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29D91" w14:textId="77777777" w:rsidR="00F22585" w:rsidRDefault="00F22585" w:rsidP="52A5D16C">
      <w:pPr>
        <w:pStyle w:val="Heading2"/>
        <w:rPr>
          <w:rFonts w:ascii="Arial" w:hAnsi="Arial" w:cs="Arial"/>
          <w:sz w:val="24"/>
          <w:szCs w:val="24"/>
        </w:rPr>
      </w:pPr>
    </w:p>
    <w:p w14:paraId="07EB7134" w14:textId="0A2DF3E7" w:rsidR="00EB5A13" w:rsidRPr="00F71F8C" w:rsidRDefault="00EB5A13" w:rsidP="52A5D16C">
      <w:pPr>
        <w:pStyle w:val="Heading2"/>
        <w:rPr>
          <w:rFonts w:ascii="Arial" w:hAnsi="Arial" w:cs="Arial"/>
          <w:sz w:val="24"/>
          <w:szCs w:val="24"/>
        </w:rPr>
      </w:pPr>
      <w:r w:rsidRPr="52A5D16C">
        <w:rPr>
          <w:rFonts w:ascii="Arial" w:hAnsi="Arial" w:cs="Arial"/>
          <w:sz w:val="24"/>
          <w:szCs w:val="24"/>
        </w:rPr>
        <w:t>STAFF REPORT</w:t>
      </w:r>
    </w:p>
    <w:p w14:paraId="6E62940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5A79BD" w:rsidRPr="009349D6" w14:paraId="057C560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3D6A099" w14:textId="07C6B62B" w:rsidR="005A79BD" w:rsidRPr="009349D6" w:rsidRDefault="005A79BD" w:rsidP="005A79BD">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BDBC003" w14:textId="2C0B4323" w:rsidR="005A79BD" w:rsidRDefault="000B31E6" w:rsidP="005A79BD">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2861EFEF" w14:textId="6102D1F8" w:rsidR="005A79BD" w:rsidRDefault="005A79BD" w:rsidP="005A79BD">
            <w:pPr>
              <w:spacing w:before="40" w:after="40"/>
              <w:ind w:right="-108"/>
              <w:rPr>
                <w:rFonts w:ascii="Arial" w:hAnsi="Arial" w:cs="Arial"/>
                <w:b/>
              </w:rPr>
            </w:pPr>
            <w:r>
              <w:rPr>
                <w:rFonts w:ascii="Arial" w:hAnsi="Arial" w:cs="Arial"/>
                <w:b/>
              </w:rPr>
              <w:t>Name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607B98E7" w14:textId="77777777" w:rsidR="00A05A83" w:rsidRDefault="005A79BD" w:rsidP="005A79BD">
            <w:pPr>
              <w:spacing w:before="40" w:after="40"/>
              <w:rPr>
                <w:rFonts w:ascii="Arial" w:hAnsi="Arial" w:cs="Arial"/>
              </w:rPr>
            </w:pPr>
            <w:r>
              <w:rPr>
                <w:rFonts w:ascii="Arial" w:hAnsi="Arial" w:cs="Arial"/>
              </w:rPr>
              <w:t>Legislative Analyst Team</w:t>
            </w:r>
            <w:r w:rsidR="00A05A83">
              <w:rPr>
                <w:rFonts w:ascii="Arial" w:hAnsi="Arial" w:cs="Arial"/>
              </w:rPr>
              <w:t xml:space="preserve"> </w:t>
            </w:r>
          </w:p>
          <w:p w14:paraId="503E6A2E" w14:textId="00A5C664" w:rsidR="005A79BD" w:rsidRDefault="00A05A83" w:rsidP="005A79BD">
            <w:pPr>
              <w:spacing w:before="40" w:after="40"/>
              <w:rPr>
                <w:rFonts w:ascii="Arial" w:hAnsi="Arial" w:cs="Arial"/>
              </w:rPr>
            </w:pPr>
            <w:r>
              <w:rPr>
                <w:rFonts w:ascii="Arial" w:hAnsi="Arial" w:cs="Arial"/>
              </w:rPr>
              <w:t>(Andrew Kim &amp; Melissa Bailey)</w:t>
            </w:r>
          </w:p>
        </w:tc>
      </w:tr>
      <w:tr w:rsidR="005A79BD" w:rsidRPr="009349D6" w14:paraId="558B5B6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D6D7D1" w14:textId="77777777" w:rsidR="005A79BD" w:rsidRPr="009349D6" w:rsidRDefault="005A79BD" w:rsidP="005A79BD">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0B225B26" w14:textId="78FD271F" w:rsidR="005A79BD" w:rsidRPr="009349D6" w:rsidRDefault="00375FBF" w:rsidP="005A79BD">
            <w:pPr>
              <w:spacing w:before="40" w:after="40"/>
              <w:rPr>
                <w:rFonts w:ascii="Arial" w:hAnsi="Arial" w:cs="Arial"/>
              </w:rPr>
            </w:pPr>
            <w:r>
              <w:rPr>
                <w:rFonts w:ascii="Arial" w:hAnsi="Arial" w:cs="Arial"/>
              </w:rPr>
              <w:t>2021-0</w:t>
            </w:r>
            <w:r w:rsidR="00D26B53">
              <w:rPr>
                <w:rFonts w:ascii="Arial" w:hAnsi="Arial" w:cs="Arial"/>
              </w:rPr>
              <w:t>372</w:t>
            </w:r>
          </w:p>
        </w:tc>
        <w:tc>
          <w:tcPr>
            <w:tcW w:w="1170" w:type="dxa"/>
            <w:tcBorders>
              <w:top w:val="single" w:sz="4" w:space="0" w:color="auto"/>
              <w:left w:val="single" w:sz="4" w:space="0" w:color="auto"/>
              <w:bottom w:val="single" w:sz="4" w:space="0" w:color="auto"/>
              <w:right w:val="single" w:sz="4" w:space="0" w:color="auto"/>
            </w:tcBorders>
            <w:vAlign w:val="center"/>
          </w:tcPr>
          <w:p w14:paraId="400F7BB3" w14:textId="07C0B09C" w:rsidR="005A79BD" w:rsidRPr="009349D6" w:rsidRDefault="005A79BD" w:rsidP="005A79BD">
            <w:pPr>
              <w:spacing w:before="40" w:after="40"/>
              <w:ind w:right="-108"/>
              <w:rPr>
                <w:rFonts w:ascii="Arial" w:hAnsi="Arial" w:cs="Arial"/>
              </w:rPr>
            </w:pPr>
            <w:r>
              <w:rPr>
                <w:rFonts w:ascii="Arial" w:hAnsi="Arial" w:cs="Arial"/>
                <w:b/>
              </w:rPr>
              <w:t>Date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21EE7F03" w14:textId="384F16DC" w:rsidR="005A79BD" w:rsidRPr="009349D6" w:rsidRDefault="000B31E6" w:rsidP="005A79BD">
            <w:pPr>
              <w:spacing w:before="40" w:after="40"/>
              <w:rPr>
                <w:rFonts w:ascii="Arial" w:hAnsi="Arial" w:cs="Arial"/>
              </w:rPr>
            </w:pPr>
            <w:r w:rsidRPr="000B31E6">
              <w:rPr>
                <w:rFonts w:ascii="Arial" w:hAnsi="Arial" w:cs="Arial"/>
              </w:rPr>
              <w:t>November 16</w:t>
            </w:r>
            <w:r w:rsidR="007177D2" w:rsidRPr="000B31E6">
              <w:rPr>
                <w:rFonts w:ascii="Arial" w:hAnsi="Arial" w:cs="Arial"/>
              </w:rPr>
              <w:t>, 2021</w:t>
            </w:r>
          </w:p>
        </w:tc>
      </w:tr>
    </w:tbl>
    <w:p w14:paraId="5E3E3291" w14:textId="77777777" w:rsidR="00785660" w:rsidRDefault="00785660" w:rsidP="005B478C">
      <w:pPr>
        <w:jc w:val="both"/>
        <w:rPr>
          <w:rFonts w:ascii="Arial" w:hAnsi="Arial" w:cs="Arial"/>
          <w:b/>
          <w:szCs w:val="24"/>
          <w:u w:val="single"/>
        </w:rPr>
      </w:pPr>
    </w:p>
    <w:p w14:paraId="1326CEB4" w14:textId="77777777" w:rsidR="00864036" w:rsidRPr="00B72BC7" w:rsidRDefault="00864036" w:rsidP="005E3DBD">
      <w:pPr>
        <w:spacing w:line="264" w:lineRule="auto"/>
        <w:jc w:val="both"/>
        <w:rPr>
          <w:rFonts w:ascii="Arial" w:hAnsi="Arial" w:cs="Arial"/>
          <w:b/>
          <w:szCs w:val="24"/>
          <w:u w:val="single"/>
        </w:rPr>
      </w:pPr>
      <w:r w:rsidRPr="00B72BC7">
        <w:rPr>
          <w:rFonts w:ascii="Arial" w:hAnsi="Arial" w:cs="Arial"/>
          <w:b/>
          <w:szCs w:val="24"/>
          <w:u w:val="single"/>
        </w:rPr>
        <w:t>SUBJECT</w:t>
      </w:r>
    </w:p>
    <w:p w14:paraId="52D483B1" w14:textId="77777777" w:rsidR="00864036" w:rsidRPr="00B72BC7" w:rsidRDefault="00864036" w:rsidP="005E3DBD">
      <w:pPr>
        <w:spacing w:line="264" w:lineRule="auto"/>
        <w:jc w:val="both"/>
        <w:rPr>
          <w:rFonts w:ascii="Arial" w:hAnsi="Arial" w:cs="Arial"/>
          <w:szCs w:val="24"/>
        </w:rPr>
      </w:pPr>
    </w:p>
    <w:p w14:paraId="3DCCEEE6" w14:textId="1CF973C5" w:rsidR="0036034E" w:rsidRDefault="00E6722B" w:rsidP="0036034E">
      <w:pPr>
        <w:spacing w:line="264" w:lineRule="auto"/>
        <w:jc w:val="both"/>
        <w:rPr>
          <w:rFonts w:ascii="Arial" w:hAnsi="Arial" w:cs="Arial"/>
          <w:color w:val="FF0000"/>
        </w:rPr>
      </w:pPr>
      <w:r>
        <w:rPr>
          <w:rFonts w:ascii="Arial" w:hAnsi="Arial" w:cs="Arial"/>
        </w:rPr>
        <w:t xml:space="preserve">An ordinance making net supplemental appropriations to general fund </w:t>
      </w:r>
      <w:r w:rsidR="00233EEA">
        <w:rPr>
          <w:rFonts w:ascii="Arial" w:hAnsi="Arial" w:cs="Arial"/>
        </w:rPr>
        <w:t>agencies</w:t>
      </w:r>
      <w:r>
        <w:rPr>
          <w:rFonts w:ascii="Arial" w:hAnsi="Arial" w:cs="Arial"/>
        </w:rPr>
        <w:t xml:space="preserve">, </w:t>
      </w:r>
      <w:r w:rsidR="00233EEA">
        <w:rPr>
          <w:rFonts w:ascii="Arial" w:hAnsi="Arial" w:cs="Arial"/>
        </w:rPr>
        <w:t>n</w:t>
      </w:r>
      <w:r>
        <w:rPr>
          <w:rFonts w:ascii="Arial" w:hAnsi="Arial" w:cs="Arial"/>
        </w:rPr>
        <w:t>on-</w:t>
      </w:r>
      <w:r w:rsidR="00233EEA">
        <w:rPr>
          <w:rFonts w:ascii="Arial" w:hAnsi="Arial" w:cs="Arial"/>
        </w:rPr>
        <w:t>g</w:t>
      </w:r>
      <w:r>
        <w:rPr>
          <w:rFonts w:ascii="Arial" w:hAnsi="Arial" w:cs="Arial"/>
        </w:rPr>
        <w:t xml:space="preserve">eneral </w:t>
      </w:r>
      <w:r w:rsidR="00233EEA">
        <w:rPr>
          <w:rFonts w:ascii="Arial" w:hAnsi="Arial" w:cs="Arial"/>
        </w:rPr>
        <w:t>f</w:t>
      </w:r>
      <w:r>
        <w:rPr>
          <w:rFonts w:ascii="Arial" w:hAnsi="Arial" w:cs="Arial"/>
        </w:rPr>
        <w:t>und</w:t>
      </w:r>
      <w:r w:rsidR="00233EEA">
        <w:rPr>
          <w:rFonts w:ascii="Arial" w:hAnsi="Arial" w:cs="Arial"/>
        </w:rPr>
        <w:t xml:space="preserve"> agencies</w:t>
      </w:r>
      <w:r>
        <w:rPr>
          <w:rFonts w:ascii="Arial" w:hAnsi="Arial" w:cs="Arial"/>
        </w:rPr>
        <w:t>, and capital fund b</w:t>
      </w:r>
      <w:r w:rsidR="003C5195">
        <w:rPr>
          <w:rFonts w:ascii="Arial" w:hAnsi="Arial" w:cs="Arial"/>
        </w:rPr>
        <w:t xml:space="preserve">udgets as part of the </w:t>
      </w:r>
      <w:r w:rsidR="00D87FB0">
        <w:rPr>
          <w:rFonts w:ascii="Arial" w:hAnsi="Arial" w:cs="Arial"/>
        </w:rPr>
        <w:t>202</w:t>
      </w:r>
      <w:r w:rsidR="00BD687C">
        <w:rPr>
          <w:rFonts w:ascii="Arial" w:hAnsi="Arial" w:cs="Arial"/>
        </w:rPr>
        <w:t>1</w:t>
      </w:r>
      <w:r w:rsidR="000B5DB5">
        <w:rPr>
          <w:rFonts w:ascii="Arial" w:hAnsi="Arial" w:cs="Arial"/>
        </w:rPr>
        <w:t xml:space="preserve"> </w:t>
      </w:r>
      <w:r w:rsidR="00E92E6D">
        <w:rPr>
          <w:rFonts w:ascii="Arial" w:hAnsi="Arial" w:cs="Arial"/>
        </w:rPr>
        <w:t>2</w:t>
      </w:r>
      <w:r w:rsidR="00E92E6D" w:rsidRPr="00E92E6D">
        <w:rPr>
          <w:rFonts w:ascii="Arial" w:hAnsi="Arial" w:cs="Arial"/>
          <w:vertAlign w:val="superscript"/>
        </w:rPr>
        <w:t>nd</w:t>
      </w:r>
      <w:r w:rsidR="00864036">
        <w:rPr>
          <w:rFonts w:ascii="Arial" w:hAnsi="Arial" w:cs="Arial"/>
        </w:rPr>
        <w:t xml:space="preserve"> </w:t>
      </w:r>
      <w:r w:rsidR="00864036" w:rsidRPr="00B72BC7">
        <w:rPr>
          <w:rFonts w:ascii="Arial" w:hAnsi="Arial" w:cs="Arial"/>
        </w:rPr>
        <w:t>Omnibus</w:t>
      </w:r>
      <w:r w:rsidR="00A10F60">
        <w:rPr>
          <w:rFonts w:ascii="Arial" w:hAnsi="Arial" w:cs="Arial"/>
        </w:rPr>
        <w:t>.</w:t>
      </w:r>
    </w:p>
    <w:p w14:paraId="5EEE6829" w14:textId="77777777" w:rsidR="0036034E" w:rsidRPr="00B72BC7" w:rsidRDefault="0036034E" w:rsidP="005E3DBD">
      <w:pPr>
        <w:spacing w:line="264" w:lineRule="auto"/>
        <w:jc w:val="both"/>
        <w:rPr>
          <w:rFonts w:ascii="Arial" w:hAnsi="Arial" w:cs="Arial"/>
          <w:b/>
          <w:smallCaps/>
          <w:szCs w:val="24"/>
          <w:highlight w:val="yellow"/>
          <w:u w:val="single"/>
        </w:rPr>
      </w:pPr>
    </w:p>
    <w:p w14:paraId="63D2AC2A" w14:textId="77777777" w:rsidR="00864036" w:rsidRPr="00B72BC7" w:rsidRDefault="00864036" w:rsidP="005E3DBD">
      <w:pPr>
        <w:spacing w:line="264" w:lineRule="auto"/>
        <w:jc w:val="both"/>
        <w:rPr>
          <w:rFonts w:ascii="Arial" w:hAnsi="Arial" w:cs="Arial"/>
          <w:b/>
          <w:smallCaps/>
          <w:szCs w:val="24"/>
          <w:u w:val="single"/>
        </w:rPr>
      </w:pPr>
      <w:r w:rsidRPr="00B72BC7">
        <w:rPr>
          <w:rFonts w:ascii="Arial" w:hAnsi="Arial" w:cs="Arial"/>
          <w:b/>
          <w:smallCaps/>
          <w:szCs w:val="24"/>
          <w:u w:val="single"/>
        </w:rPr>
        <w:t>SUMMARY</w:t>
      </w:r>
    </w:p>
    <w:p w14:paraId="7FC251FE" w14:textId="5D310A9F" w:rsidR="002A5287" w:rsidRPr="0036034E" w:rsidRDefault="002A5287" w:rsidP="005E3DBD">
      <w:pPr>
        <w:spacing w:line="264" w:lineRule="auto"/>
        <w:jc w:val="both"/>
        <w:rPr>
          <w:rFonts w:ascii="Arial" w:hAnsi="Arial" w:cs="Arial"/>
          <w:color w:val="4F81BD" w:themeColor="accent1"/>
          <w:szCs w:val="24"/>
        </w:rPr>
      </w:pPr>
    </w:p>
    <w:p w14:paraId="76991C06" w14:textId="21F82B3B" w:rsidR="00260D00" w:rsidRDefault="007210BF" w:rsidP="005E3DBD">
      <w:pPr>
        <w:spacing w:line="264" w:lineRule="auto"/>
        <w:jc w:val="both"/>
        <w:rPr>
          <w:rFonts w:ascii="Arial" w:hAnsi="Arial" w:cs="Arial"/>
          <w:szCs w:val="24"/>
        </w:rPr>
      </w:pPr>
      <w:r>
        <w:rPr>
          <w:rFonts w:ascii="Arial" w:hAnsi="Arial" w:cs="Arial"/>
          <w:szCs w:val="24"/>
        </w:rPr>
        <w:t>The proposed ordinance (</w:t>
      </w:r>
      <w:r w:rsidR="00DF482F">
        <w:rPr>
          <w:rFonts w:ascii="Arial" w:hAnsi="Arial" w:cs="Arial"/>
          <w:szCs w:val="24"/>
        </w:rPr>
        <w:t xml:space="preserve">also referred to as the 2021 </w:t>
      </w:r>
      <w:r>
        <w:rPr>
          <w:rFonts w:ascii="Arial" w:hAnsi="Arial" w:cs="Arial"/>
          <w:szCs w:val="24"/>
        </w:rPr>
        <w:t>2</w:t>
      </w:r>
      <w:r w:rsidRPr="007210BF">
        <w:rPr>
          <w:rFonts w:ascii="Arial" w:hAnsi="Arial" w:cs="Arial"/>
          <w:szCs w:val="24"/>
          <w:vertAlign w:val="superscript"/>
        </w:rPr>
        <w:t>nd</w:t>
      </w:r>
      <w:r>
        <w:rPr>
          <w:rFonts w:ascii="Arial" w:hAnsi="Arial" w:cs="Arial"/>
          <w:szCs w:val="24"/>
        </w:rPr>
        <w:t xml:space="preserve"> Omnibus</w:t>
      </w:r>
      <w:r w:rsidR="00A10F60">
        <w:rPr>
          <w:rFonts w:ascii="Arial" w:hAnsi="Arial" w:cs="Arial"/>
          <w:szCs w:val="24"/>
        </w:rPr>
        <w:t xml:space="preserve"> or mid-biennial supplemental</w:t>
      </w:r>
      <w:r>
        <w:rPr>
          <w:rFonts w:ascii="Arial" w:hAnsi="Arial" w:cs="Arial"/>
          <w:szCs w:val="24"/>
        </w:rPr>
        <w:t xml:space="preserve">) would </w:t>
      </w:r>
      <w:r w:rsidR="00260D00">
        <w:rPr>
          <w:rFonts w:ascii="Arial" w:hAnsi="Arial" w:cs="Arial"/>
          <w:szCs w:val="24"/>
        </w:rPr>
        <w:t>make a net supplemental appropriation of $617 million of which $26 million would be supported by the General Fund</w:t>
      </w:r>
      <w:r w:rsidR="00F93F4A">
        <w:rPr>
          <w:rFonts w:ascii="Arial" w:hAnsi="Arial" w:cs="Arial"/>
          <w:szCs w:val="24"/>
        </w:rPr>
        <w:t>.</w:t>
      </w:r>
      <w:r w:rsidR="001E7804">
        <w:rPr>
          <w:rFonts w:ascii="Arial" w:hAnsi="Arial" w:cs="Arial"/>
          <w:szCs w:val="24"/>
        </w:rPr>
        <w:t xml:space="preserve"> </w:t>
      </w:r>
      <w:r w:rsidR="00A500E7">
        <w:rPr>
          <w:rFonts w:ascii="Arial" w:hAnsi="Arial" w:cs="Arial"/>
          <w:szCs w:val="24"/>
        </w:rPr>
        <w:t xml:space="preserve"> </w:t>
      </w:r>
      <w:r w:rsidR="00593F61">
        <w:rPr>
          <w:rFonts w:ascii="Arial" w:hAnsi="Arial" w:cs="Arial"/>
          <w:szCs w:val="24"/>
        </w:rPr>
        <w:t xml:space="preserve">The omnibus </w:t>
      </w:r>
      <w:r w:rsidR="005F79BC">
        <w:rPr>
          <w:rFonts w:ascii="Arial" w:hAnsi="Arial" w:cs="Arial"/>
          <w:szCs w:val="24"/>
        </w:rPr>
        <w:t xml:space="preserve">would </w:t>
      </w:r>
      <w:r w:rsidR="00593F61">
        <w:rPr>
          <w:rFonts w:ascii="Arial" w:hAnsi="Arial" w:cs="Arial"/>
          <w:szCs w:val="24"/>
        </w:rPr>
        <w:t xml:space="preserve">also </w:t>
      </w:r>
      <w:r w:rsidR="005F79BC">
        <w:rPr>
          <w:rFonts w:ascii="Arial" w:hAnsi="Arial" w:cs="Arial"/>
          <w:szCs w:val="24"/>
        </w:rPr>
        <w:t xml:space="preserve">support </w:t>
      </w:r>
      <w:r w:rsidR="005F79BC" w:rsidRPr="005F79BC">
        <w:rPr>
          <w:rFonts w:ascii="Arial" w:hAnsi="Arial" w:cs="Arial"/>
          <w:szCs w:val="24"/>
        </w:rPr>
        <w:t>480</w:t>
      </w:r>
      <w:r w:rsidR="005F79BC">
        <w:rPr>
          <w:rFonts w:ascii="Arial" w:hAnsi="Arial" w:cs="Arial"/>
          <w:szCs w:val="24"/>
        </w:rPr>
        <w:t>.0 new</w:t>
      </w:r>
      <w:r w:rsidR="005F79BC" w:rsidRPr="005F79BC">
        <w:rPr>
          <w:rFonts w:ascii="Arial" w:hAnsi="Arial" w:cs="Arial"/>
          <w:szCs w:val="24"/>
        </w:rPr>
        <w:t xml:space="preserve"> FTEs and 163</w:t>
      </w:r>
      <w:r w:rsidR="005F79BC">
        <w:rPr>
          <w:rFonts w:ascii="Arial" w:hAnsi="Arial" w:cs="Arial"/>
          <w:szCs w:val="24"/>
        </w:rPr>
        <w:t>.0 new</w:t>
      </w:r>
      <w:r w:rsidR="005F79BC" w:rsidRPr="005F79BC">
        <w:rPr>
          <w:rFonts w:ascii="Arial" w:hAnsi="Arial" w:cs="Arial"/>
          <w:szCs w:val="24"/>
        </w:rPr>
        <w:t xml:space="preserve"> TLTs</w:t>
      </w:r>
      <w:r w:rsidR="005F79BC">
        <w:rPr>
          <w:rFonts w:ascii="Arial" w:hAnsi="Arial" w:cs="Arial"/>
          <w:szCs w:val="24"/>
        </w:rPr>
        <w:t xml:space="preserve">.  </w:t>
      </w:r>
      <w:r w:rsidR="00190443">
        <w:rPr>
          <w:rFonts w:ascii="Arial" w:hAnsi="Arial" w:cs="Arial"/>
          <w:szCs w:val="24"/>
        </w:rPr>
        <w:t xml:space="preserve">As shown in </w:t>
      </w:r>
      <w:r w:rsidR="00066C4B">
        <w:rPr>
          <w:rFonts w:ascii="Arial" w:hAnsi="Arial" w:cs="Arial"/>
          <w:szCs w:val="24"/>
        </w:rPr>
        <w:t>the table</w:t>
      </w:r>
      <w:r w:rsidR="00190443">
        <w:rPr>
          <w:rFonts w:ascii="Arial" w:hAnsi="Arial" w:cs="Arial"/>
          <w:szCs w:val="24"/>
        </w:rPr>
        <w:t xml:space="preserve"> below, </w:t>
      </w:r>
      <w:r w:rsidR="00827932">
        <w:rPr>
          <w:rFonts w:ascii="Arial" w:hAnsi="Arial" w:cs="Arial"/>
          <w:szCs w:val="24"/>
        </w:rPr>
        <w:t>with the addition of the 2</w:t>
      </w:r>
      <w:r w:rsidR="00827932" w:rsidRPr="00827932">
        <w:rPr>
          <w:rFonts w:ascii="Arial" w:hAnsi="Arial" w:cs="Arial"/>
          <w:szCs w:val="24"/>
          <w:vertAlign w:val="superscript"/>
        </w:rPr>
        <w:t>nd</w:t>
      </w:r>
      <w:r w:rsidR="00827932">
        <w:rPr>
          <w:rFonts w:ascii="Arial" w:hAnsi="Arial" w:cs="Arial"/>
          <w:szCs w:val="24"/>
        </w:rPr>
        <w:t xml:space="preserve"> Omnibus, the total 2021-2022 biennial revised budget would be approximately $</w:t>
      </w:r>
      <w:r w:rsidR="00C544BC">
        <w:rPr>
          <w:rFonts w:ascii="Arial" w:hAnsi="Arial" w:cs="Arial"/>
          <w:szCs w:val="24"/>
        </w:rPr>
        <w:t>14.8</w:t>
      </w:r>
      <w:r w:rsidR="00827932">
        <w:rPr>
          <w:rFonts w:ascii="Arial" w:hAnsi="Arial" w:cs="Arial"/>
          <w:szCs w:val="24"/>
        </w:rPr>
        <w:t xml:space="preserve"> billion</w:t>
      </w:r>
      <w:r w:rsidR="00C93317">
        <w:rPr>
          <w:rFonts w:ascii="Arial" w:hAnsi="Arial" w:cs="Arial"/>
          <w:szCs w:val="24"/>
        </w:rPr>
        <w:t>, a</w:t>
      </w:r>
      <w:r w:rsidR="00020AD5">
        <w:rPr>
          <w:rFonts w:ascii="Arial" w:hAnsi="Arial" w:cs="Arial"/>
          <w:szCs w:val="24"/>
        </w:rPr>
        <w:t xml:space="preserve"> 17% increase </w:t>
      </w:r>
      <w:r w:rsidR="00A10F60">
        <w:rPr>
          <w:rFonts w:ascii="Arial" w:hAnsi="Arial" w:cs="Arial"/>
          <w:szCs w:val="24"/>
        </w:rPr>
        <w:t>to</w:t>
      </w:r>
      <w:r w:rsidR="00020AD5">
        <w:rPr>
          <w:rFonts w:ascii="Arial" w:hAnsi="Arial" w:cs="Arial"/>
          <w:szCs w:val="24"/>
        </w:rPr>
        <w:t xml:space="preserve"> the </w:t>
      </w:r>
      <w:r w:rsidR="00A10F60">
        <w:rPr>
          <w:rFonts w:ascii="Arial" w:hAnsi="Arial" w:cs="Arial"/>
          <w:szCs w:val="24"/>
        </w:rPr>
        <w:t xml:space="preserve">adopted </w:t>
      </w:r>
      <w:r w:rsidR="00020AD5">
        <w:rPr>
          <w:rFonts w:ascii="Arial" w:hAnsi="Arial" w:cs="Arial"/>
          <w:szCs w:val="24"/>
        </w:rPr>
        <w:t>biennial budget.</w:t>
      </w:r>
      <w:r w:rsidR="00240F31">
        <w:rPr>
          <w:rFonts w:ascii="Arial" w:hAnsi="Arial" w:cs="Arial"/>
          <w:szCs w:val="24"/>
        </w:rPr>
        <w:t xml:space="preserve"> </w:t>
      </w:r>
      <w:r w:rsidR="005E3DBD">
        <w:rPr>
          <w:rFonts w:ascii="Arial" w:hAnsi="Arial" w:cs="Arial"/>
          <w:szCs w:val="24"/>
        </w:rPr>
        <w:t>A majority of t</w:t>
      </w:r>
      <w:r w:rsidR="00A500E7">
        <w:rPr>
          <w:rFonts w:ascii="Arial" w:hAnsi="Arial" w:cs="Arial"/>
          <w:szCs w:val="24"/>
        </w:rPr>
        <w:t>his</w:t>
      </w:r>
      <w:r w:rsidR="005E3DBD">
        <w:rPr>
          <w:rFonts w:ascii="Arial" w:hAnsi="Arial" w:cs="Arial"/>
          <w:szCs w:val="24"/>
        </w:rPr>
        <w:t xml:space="preserve"> increase </w:t>
      </w:r>
      <w:r w:rsidR="00BC2D5E">
        <w:rPr>
          <w:rFonts w:ascii="Arial" w:hAnsi="Arial" w:cs="Arial"/>
          <w:szCs w:val="24"/>
        </w:rPr>
        <w:t>is</w:t>
      </w:r>
      <w:r w:rsidR="005E3DBD">
        <w:rPr>
          <w:rFonts w:ascii="Arial" w:hAnsi="Arial" w:cs="Arial"/>
          <w:szCs w:val="24"/>
        </w:rPr>
        <w:t xml:space="preserve"> </w:t>
      </w:r>
      <w:r w:rsidR="005740EB">
        <w:rPr>
          <w:rFonts w:ascii="Arial" w:hAnsi="Arial" w:cs="Arial"/>
          <w:szCs w:val="24"/>
        </w:rPr>
        <w:t>due to</w:t>
      </w:r>
      <w:r w:rsidR="00A10F60">
        <w:rPr>
          <w:rFonts w:ascii="Arial" w:hAnsi="Arial" w:cs="Arial"/>
          <w:szCs w:val="24"/>
        </w:rPr>
        <w:t xml:space="preserve"> expenditures funded by </w:t>
      </w:r>
      <w:r w:rsidR="005740EB">
        <w:rPr>
          <w:rFonts w:ascii="Arial" w:hAnsi="Arial" w:cs="Arial"/>
          <w:szCs w:val="24"/>
        </w:rPr>
        <w:t xml:space="preserve">various </w:t>
      </w:r>
      <w:r w:rsidR="005E3DBD">
        <w:rPr>
          <w:rFonts w:ascii="Arial" w:hAnsi="Arial" w:cs="Arial"/>
          <w:szCs w:val="24"/>
        </w:rPr>
        <w:t xml:space="preserve">American Rescue Plan Act grants </w:t>
      </w:r>
      <w:r w:rsidR="00A10F60">
        <w:rPr>
          <w:rFonts w:ascii="Arial" w:hAnsi="Arial" w:cs="Arial"/>
          <w:szCs w:val="24"/>
        </w:rPr>
        <w:t>in</w:t>
      </w:r>
      <w:r w:rsidR="005E3DBD">
        <w:rPr>
          <w:rFonts w:ascii="Arial" w:hAnsi="Arial" w:cs="Arial"/>
          <w:szCs w:val="24"/>
        </w:rPr>
        <w:t xml:space="preserve"> the COVID 7 and COVID 8 supplemental appropriations ordinances.</w:t>
      </w:r>
    </w:p>
    <w:p w14:paraId="1520CFFC" w14:textId="20C67D54" w:rsidR="00864036" w:rsidRDefault="00864036" w:rsidP="00BA1A66">
      <w:pPr>
        <w:spacing w:line="240" w:lineRule="atLeast"/>
        <w:jc w:val="both"/>
        <w:rPr>
          <w:rFonts w:ascii="Arial" w:hAnsi="Arial" w:cs="Arial"/>
        </w:rPr>
      </w:pPr>
    </w:p>
    <w:tbl>
      <w:tblPr>
        <w:tblStyle w:val="TableGrid"/>
        <w:tblW w:w="9360" w:type="dxa"/>
        <w:tblInd w:w="108" w:type="dxa"/>
        <w:tblLook w:val="04A0" w:firstRow="1" w:lastRow="0" w:firstColumn="1" w:lastColumn="0" w:noHBand="0" w:noVBand="1"/>
      </w:tblPr>
      <w:tblGrid>
        <w:gridCol w:w="3240"/>
        <w:gridCol w:w="270"/>
        <w:gridCol w:w="1710"/>
        <w:gridCol w:w="270"/>
        <w:gridCol w:w="1890"/>
        <w:gridCol w:w="270"/>
        <w:gridCol w:w="1710"/>
      </w:tblGrid>
      <w:tr w:rsidR="006D2FB4" w:rsidRPr="000B01DA" w14:paraId="743D3192" w14:textId="77777777" w:rsidTr="00BA1A66">
        <w:trPr>
          <w:cantSplit/>
          <w:tblHeader/>
        </w:trPr>
        <w:tc>
          <w:tcPr>
            <w:tcW w:w="3240" w:type="dxa"/>
            <w:tcBorders>
              <w:top w:val="single" w:sz="12" w:space="0" w:color="auto"/>
              <w:left w:val="nil"/>
              <w:bottom w:val="single" w:sz="4" w:space="0" w:color="auto"/>
              <w:right w:val="nil"/>
            </w:tcBorders>
            <w:vAlign w:val="bottom"/>
          </w:tcPr>
          <w:p w14:paraId="014EA428" w14:textId="02FDA45B" w:rsidR="00407967" w:rsidRPr="000B01DA" w:rsidRDefault="004A5D42" w:rsidP="00BA1A66">
            <w:pPr>
              <w:spacing w:line="264" w:lineRule="auto"/>
              <w:contextualSpacing/>
              <w:rPr>
                <w:rFonts w:ascii="Arial" w:hAnsi="Arial" w:cs="Arial"/>
                <w:b/>
                <w:sz w:val="22"/>
                <w:szCs w:val="22"/>
              </w:rPr>
            </w:pPr>
            <w:r>
              <w:rPr>
                <w:rFonts w:ascii="Arial" w:hAnsi="Arial" w:cs="Arial"/>
                <w:b/>
                <w:sz w:val="22"/>
                <w:szCs w:val="22"/>
              </w:rPr>
              <w:t>Major Fund</w:t>
            </w:r>
          </w:p>
        </w:tc>
        <w:tc>
          <w:tcPr>
            <w:tcW w:w="270" w:type="dxa"/>
            <w:tcBorders>
              <w:top w:val="single" w:sz="12" w:space="0" w:color="auto"/>
              <w:left w:val="nil"/>
              <w:bottom w:val="nil"/>
              <w:right w:val="nil"/>
            </w:tcBorders>
          </w:tcPr>
          <w:p w14:paraId="40FC43E9" w14:textId="77777777" w:rsidR="00407967" w:rsidRPr="000B01DA" w:rsidRDefault="00407967" w:rsidP="00BA1A66">
            <w:pPr>
              <w:spacing w:line="264" w:lineRule="auto"/>
              <w:contextualSpacing/>
              <w:jc w:val="both"/>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vAlign w:val="bottom"/>
          </w:tcPr>
          <w:p w14:paraId="28C61006" w14:textId="4251CE76" w:rsidR="00407967" w:rsidRPr="000B01DA" w:rsidRDefault="00407967" w:rsidP="00BA1A66">
            <w:pPr>
              <w:spacing w:line="264" w:lineRule="auto"/>
              <w:contextualSpacing/>
              <w:jc w:val="center"/>
              <w:rPr>
                <w:rFonts w:ascii="Arial" w:hAnsi="Arial" w:cs="Arial"/>
                <w:b/>
                <w:sz w:val="22"/>
                <w:szCs w:val="22"/>
              </w:rPr>
            </w:pPr>
            <w:r>
              <w:rPr>
                <w:rFonts w:ascii="Arial" w:hAnsi="Arial" w:cs="Arial"/>
                <w:b/>
                <w:sz w:val="22"/>
                <w:szCs w:val="22"/>
              </w:rPr>
              <w:t>2021-2022 Adopted Budget</w:t>
            </w:r>
            <w:r w:rsidR="006D2FB4">
              <w:rPr>
                <w:rStyle w:val="FootnoteReference"/>
                <w:rFonts w:ascii="Arial" w:hAnsi="Arial" w:cs="Arial"/>
                <w:b/>
                <w:sz w:val="22"/>
                <w:szCs w:val="22"/>
              </w:rPr>
              <w:footnoteReference w:id="2"/>
            </w:r>
          </w:p>
        </w:tc>
        <w:tc>
          <w:tcPr>
            <w:tcW w:w="270" w:type="dxa"/>
            <w:tcBorders>
              <w:top w:val="single" w:sz="12" w:space="0" w:color="auto"/>
              <w:left w:val="nil"/>
              <w:bottom w:val="nil"/>
              <w:right w:val="nil"/>
            </w:tcBorders>
          </w:tcPr>
          <w:p w14:paraId="516174F8" w14:textId="77777777" w:rsidR="00407967" w:rsidRPr="000B01DA" w:rsidRDefault="00407967" w:rsidP="00BA1A66">
            <w:pPr>
              <w:spacing w:line="264" w:lineRule="auto"/>
              <w:contextualSpacing/>
              <w:jc w:val="center"/>
              <w:rPr>
                <w:rFonts w:ascii="Arial" w:hAnsi="Arial" w:cs="Arial"/>
                <w:b/>
                <w:sz w:val="22"/>
                <w:szCs w:val="22"/>
              </w:rPr>
            </w:pPr>
          </w:p>
        </w:tc>
        <w:tc>
          <w:tcPr>
            <w:tcW w:w="1890" w:type="dxa"/>
            <w:tcBorders>
              <w:top w:val="single" w:sz="12" w:space="0" w:color="auto"/>
              <w:left w:val="nil"/>
              <w:bottom w:val="single" w:sz="4" w:space="0" w:color="auto"/>
              <w:right w:val="nil"/>
            </w:tcBorders>
            <w:shd w:val="clear" w:color="auto" w:fill="auto"/>
            <w:vAlign w:val="bottom"/>
          </w:tcPr>
          <w:p w14:paraId="22D1302D" w14:textId="17EEDB32" w:rsidR="009622B5" w:rsidRPr="000B01DA" w:rsidRDefault="009622B5" w:rsidP="00BA1A66">
            <w:pPr>
              <w:spacing w:line="264" w:lineRule="auto"/>
              <w:contextualSpacing/>
              <w:jc w:val="center"/>
              <w:rPr>
                <w:rFonts w:ascii="Arial" w:hAnsi="Arial" w:cs="Arial"/>
                <w:b/>
                <w:sz w:val="22"/>
                <w:szCs w:val="22"/>
              </w:rPr>
            </w:pPr>
            <w:r>
              <w:rPr>
                <w:rFonts w:ascii="Arial" w:hAnsi="Arial" w:cs="Arial"/>
                <w:b/>
                <w:sz w:val="22"/>
                <w:szCs w:val="22"/>
              </w:rPr>
              <w:t xml:space="preserve">2021-2022 </w:t>
            </w:r>
            <w:r w:rsidR="00F30E7B" w:rsidRPr="00F30E7B">
              <w:rPr>
                <w:rFonts w:ascii="Arial" w:hAnsi="Arial" w:cs="Arial"/>
                <w:b/>
                <w:color w:val="4F81BD" w:themeColor="accent1"/>
                <w:sz w:val="22"/>
                <w:szCs w:val="22"/>
              </w:rPr>
              <w:t>Supplemental Appropriations</w:t>
            </w:r>
            <w:r w:rsidR="006D2FB4" w:rsidRPr="00221618">
              <w:rPr>
                <w:rStyle w:val="FootnoteReference"/>
                <w:rFonts w:ascii="Arial" w:hAnsi="Arial" w:cs="Arial"/>
                <w:b/>
                <w:bCs/>
                <w:sz w:val="22"/>
                <w:szCs w:val="22"/>
              </w:rPr>
              <w:footnoteReference w:id="3"/>
            </w:r>
          </w:p>
        </w:tc>
        <w:tc>
          <w:tcPr>
            <w:tcW w:w="270" w:type="dxa"/>
            <w:tcBorders>
              <w:top w:val="single" w:sz="12" w:space="0" w:color="auto"/>
              <w:left w:val="nil"/>
              <w:bottom w:val="nil"/>
              <w:right w:val="nil"/>
            </w:tcBorders>
            <w:vAlign w:val="bottom"/>
          </w:tcPr>
          <w:p w14:paraId="4E31FF45" w14:textId="77777777" w:rsidR="00407967" w:rsidRPr="000B01DA" w:rsidRDefault="00407967" w:rsidP="00BA1A66">
            <w:pPr>
              <w:spacing w:line="264" w:lineRule="auto"/>
              <w:contextualSpacing/>
              <w:jc w:val="center"/>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vAlign w:val="bottom"/>
          </w:tcPr>
          <w:p w14:paraId="4D56C93E" w14:textId="77777777" w:rsidR="006D2FB4" w:rsidRDefault="008D0CF0" w:rsidP="00BA1A66">
            <w:pPr>
              <w:spacing w:line="264" w:lineRule="auto"/>
              <w:contextualSpacing/>
              <w:jc w:val="center"/>
              <w:rPr>
                <w:rFonts w:ascii="Arial" w:hAnsi="Arial" w:cs="Arial"/>
                <w:b/>
                <w:sz w:val="22"/>
                <w:szCs w:val="22"/>
              </w:rPr>
            </w:pPr>
            <w:r>
              <w:rPr>
                <w:rFonts w:ascii="Arial" w:hAnsi="Arial" w:cs="Arial"/>
                <w:b/>
                <w:sz w:val="22"/>
                <w:szCs w:val="22"/>
              </w:rPr>
              <w:t xml:space="preserve">2021 </w:t>
            </w:r>
          </w:p>
          <w:p w14:paraId="6F1ADA7F" w14:textId="6181D860" w:rsidR="00407967" w:rsidRPr="000B01DA" w:rsidRDefault="008D0CF0" w:rsidP="00BA1A66">
            <w:pPr>
              <w:spacing w:line="264" w:lineRule="auto"/>
              <w:contextualSpacing/>
              <w:jc w:val="center"/>
              <w:rPr>
                <w:rFonts w:ascii="Arial" w:hAnsi="Arial" w:cs="Arial"/>
                <w:b/>
                <w:sz w:val="22"/>
                <w:szCs w:val="22"/>
              </w:rPr>
            </w:pPr>
            <w:r>
              <w:rPr>
                <w:rFonts w:ascii="Arial" w:hAnsi="Arial" w:cs="Arial"/>
                <w:b/>
                <w:sz w:val="22"/>
                <w:szCs w:val="22"/>
              </w:rPr>
              <w:t>2</w:t>
            </w:r>
            <w:r w:rsidRPr="008D0CF0">
              <w:rPr>
                <w:rFonts w:ascii="Arial" w:hAnsi="Arial" w:cs="Arial"/>
                <w:b/>
                <w:sz w:val="22"/>
                <w:szCs w:val="22"/>
                <w:vertAlign w:val="superscript"/>
              </w:rPr>
              <w:t>nd</w:t>
            </w:r>
            <w:r>
              <w:rPr>
                <w:rFonts w:ascii="Arial" w:hAnsi="Arial" w:cs="Arial"/>
                <w:b/>
                <w:sz w:val="22"/>
                <w:szCs w:val="22"/>
              </w:rPr>
              <w:t xml:space="preserve"> Omnibus Proposed</w:t>
            </w:r>
          </w:p>
        </w:tc>
      </w:tr>
      <w:tr w:rsidR="006D2FB4" w:rsidRPr="000B01DA" w14:paraId="751040FE" w14:textId="77777777" w:rsidTr="00BA1A66">
        <w:trPr>
          <w:cantSplit/>
        </w:trPr>
        <w:tc>
          <w:tcPr>
            <w:tcW w:w="3240" w:type="dxa"/>
            <w:tcBorders>
              <w:top w:val="nil"/>
              <w:left w:val="nil"/>
              <w:bottom w:val="nil"/>
              <w:right w:val="nil"/>
            </w:tcBorders>
          </w:tcPr>
          <w:p w14:paraId="6AA39C8E" w14:textId="18932B2D" w:rsidR="00407967" w:rsidRPr="00407967" w:rsidRDefault="00407967" w:rsidP="00BA1A66">
            <w:pPr>
              <w:spacing w:line="264" w:lineRule="auto"/>
              <w:contextualSpacing/>
              <w:rPr>
                <w:rFonts w:ascii="Arial" w:hAnsi="Arial" w:cs="Arial"/>
                <w:sz w:val="22"/>
                <w:szCs w:val="22"/>
              </w:rPr>
            </w:pPr>
            <w:r w:rsidRPr="00407967">
              <w:rPr>
                <w:rFonts w:ascii="Arial" w:hAnsi="Arial" w:cs="Arial"/>
                <w:sz w:val="22"/>
                <w:szCs w:val="22"/>
              </w:rPr>
              <w:t>General Fund</w:t>
            </w:r>
          </w:p>
        </w:tc>
        <w:tc>
          <w:tcPr>
            <w:tcW w:w="270" w:type="dxa"/>
            <w:tcBorders>
              <w:top w:val="nil"/>
              <w:left w:val="nil"/>
              <w:bottom w:val="nil"/>
              <w:right w:val="nil"/>
            </w:tcBorders>
          </w:tcPr>
          <w:p w14:paraId="21B9F0CB" w14:textId="77777777" w:rsidR="00407967" w:rsidRPr="00407967" w:rsidRDefault="00407967" w:rsidP="00BA1A66">
            <w:pPr>
              <w:spacing w:line="264" w:lineRule="auto"/>
              <w:contextualSpacing/>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7557633A" w14:textId="78EB66A3" w:rsidR="00407967" w:rsidRPr="00407967" w:rsidRDefault="00576DC4" w:rsidP="00BA1A66">
            <w:pPr>
              <w:spacing w:line="264" w:lineRule="auto"/>
              <w:contextualSpacing/>
              <w:jc w:val="right"/>
              <w:rPr>
                <w:rFonts w:ascii="Arial" w:hAnsi="Arial" w:cs="Arial"/>
                <w:sz w:val="22"/>
                <w:szCs w:val="22"/>
              </w:rPr>
            </w:pPr>
            <w:r>
              <w:rPr>
                <w:rFonts w:ascii="Arial" w:hAnsi="Arial" w:cs="Arial"/>
                <w:sz w:val="22"/>
                <w:szCs w:val="22"/>
              </w:rPr>
              <w:t>$1,921</w:t>
            </w:r>
            <w:r w:rsidR="006D2FB4">
              <w:rPr>
                <w:rFonts w:ascii="Arial" w:hAnsi="Arial" w:cs="Arial"/>
                <w:sz w:val="22"/>
                <w:szCs w:val="22"/>
              </w:rPr>
              <w:t xml:space="preserve"> mil</w:t>
            </w:r>
          </w:p>
        </w:tc>
        <w:tc>
          <w:tcPr>
            <w:tcW w:w="270" w:type="dxa"/>
            <w:tcBorders>
              <w:top w:val="nil"/>
              <w:left w:val="nil"/>
              <w:bottom w:val="nil"/>
              <w:right w:val="nil"/>
            </w:tcBorders>
          </w:tcPr>
          <w:p w14:paraId="34868CDA" w14:textId="77777777" w:rsidR="00407967" w:rsidRPr="000B01DA" w:rsidRDefault="00407967" w:rsidP="00BA1A66">
            <w:pPr>
              <w:spacing w:line="264" w:lineRule="auto"/>
              <w:contextualSpacing/>
              <w:jc w:val="right"/>
              <w:rPr>
                <w:rFonts w:ascii="Arial" w:hAnsi="Arial" w:cs="Arial"/>
                <w:bCs/>
                <w:sz w:val="22"/>
                <w:szCs w:val="22"/>
              </w:rPr>
            </w:pPr>
          </w:p>
        </w:tc>
        <w:tc>
          <w:tcPr>
            <w:tcW w:w="1890" w:type="dxa"/>
            <w:tcBorders>
              <w:top w:val="nil"/>
              <w:left w:val="nil"/>
              <w:bottom w:val="nil"/>
              <w:right w:val="nil"/>
            </w:tcBorders>
            <w:shd w:val="clear" w:color="auto" w:fill="auto"/>
          </w:tcPr>
          <w:p w14:paraId="28D64683" w14:textId="7A337522" w:rsidR="00407967" w:rsidRPr="000B01DA" w:rsidRDefault="00407967" w:rsidP="00BA1A66">
            <w:pPr>
              <w:spacing w:line="264" w:lineRule="auto"/>
              <w:contextualSpacing/>
              <w:jc w:val="right"/>
              <w:rPr>
                <w:rFonts w:ascii="Arial" w:hAnsi="Arial" w:cs="Arial"/>
                <w:bCs/>
                <w:sz w:val="22"/>
                <w:szCs w:val="22"/>
              </w:rPr>
            </w:pPr>
            <w:r>
              <w:rPr>
                <w:rFonts w:ascii="Arial" w:hAnsi="Arial" w:cs="Arial"/>
                <w:bCs/>
                <w:sz w:val="22"/>
                <w:szCs w:val="22"/>
              </w:rPr>
              <w:t>$</w:t>
            </w:r>
            <w:r w:rsidR="001003B5">
              <w:rPr>
                <w:rFonts w:ascii="Arial" w:hAnsi="Arial" w:cs="Arial"/>
                <w:bCs/>
                <w:sz w:val="22"/>
                <w:szCs w:val="22"/>
              </w:rPr>
              <w:t>225</w:t>
            </w:r>
            <w:r w:rsidR="006D2FB4">
              <w:rPr>
                <w:rFonts w:ascii="Arial" w:hAnsi="Arial" w:cs="Arial"/>
                <w:bCs/>
                <w:sz w:val="22"/>
                <w:szCs w:val="22"/>
              </w:rPr>
              <w:t xml:space="preserve"> mil</w:t>
            </w:r>
          </w:p>
        </w:tc>
        <w:tc>
          <w:tcPr>
            <w:tcW w:w="270" w:type="dxa"/>
            <w:tcBorders>
              <w:top w:val="nil"/>
              <w:left w:val="nil"/>
              <w:bottom w:val="nil"/>
              <w:right w:val="nil"/>
            </w:tcBorders>
          </w:tcPr>
          <w:p w14:paraId="3F5BD5B9" w14:textId="77777777" w:rsidR="00407967" w:rsidRPr="000B01DA" w:rsidRDefault="00407967" w:rsidP="00BA1A66">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4122F4A5" w14:textId="62BAAEB7" w:rsidR="00407967" w:rsidRPr="000B01DA" w:rsidRDefault="00FE5334" w:rsidP="00BA1A66">
            <w:pPr>
              <w:spacing w:line="264" w:lineRule="auto"/>
              <w:contextualSpacing/>
              <w:jc w:val="right"/>
              <w:rPr>
                <w:rFonts w:ascii="Arial" w:hAnsi="Arial" w:cs="Arial"/>
                <w:bCs/>
                <w:sz w:val="22"/>
                <w:szCs w:val="22"/>
              </w:rPr>
            </w:pPr>
            <w:r>
              <w:rPr>
                <w:rFonts w:ascii="Arial" w:hAnsi="Arial" w:cs="Arial"/>
                <w:bCs/>
                <w:sz w:val="22"/>
                <w:szCs w:val="22"/>
              </w:rPr>
              <w:t>$26</w:t>
            </w:r>
            <w:r w:rsidR="006D2FB4">
              <w:rPr>
                <w:rFonts w:ascii="Arial" w:hAnsi="Arial" w:cs="Arial"/>
                <w:bCs/>
                <w:sz w:val="22"/>
                <w:szCs w:val="22"/>
              </w:rPr>
              <w:t xml:space="preserve"> mil</w:t>
            </w:r>
          </w:p>
        </w:tc>
      </w:tr>
      <w:tr w:rsidR="006D2FB4" w:rsidRPr="000B01DA" w14:paraId="651A9646" w14:textId="77777777" w:rsidTr="00BA1A66">
        <w:trPr>
          <w:cantSplit/>
        </w:trPr>
        <w:tc>
          <w:tcPr>
            <w:tcW w:w="3240" w:type="dxa"/>
            <w:tcBorders>
              <w:top w:val="nil"/>
              <w:left w:val="nil"/>
              <w:bottom w:val="nil"/>
              <w:right w:val="nil"/>
            </w:tcBorders>
          </w:tcPr>
          <w:p w14:paraId="0B9A556D" w14:textId="5D1D0B80" w:rsidR="00407967" w:rsidRPr="00407967" w:rsidRDefault="00407967" w:rsidP="00BA1A66">
            <w:pPr>
              <w:spacing w:line="264" w:lineRule="auto"/>
              <w:contextualSpacing/>
              <w:rPr>
                <w:rFonts w:ascii="Arial" w:hAnsi="Arial" w:cs="Arial"/>
                <w:sz w:val="22"/>
                <w:szCs w:val="22"/>
              </w:rPr>
            </w:pPr>
            <w:r w:rsidRPr="00407967">
              <w:rPr>
                <w:rFonts w:ascii="Arial" w:hAnsi="Arial" w:cs="Arial"/>
                <w:sz w:val="22"/>
                <w:szCs w:val="22"/>
              </w:rPr>
              <w:t>Non-General Fund</w:t>
            </w:r>
          </w:p>
        </w:tc>
        <w:tc>
          <w:tcPr>
            <w:tcW w:w="270" w:type="dxa"/>
            <w:tcBorders>
              <w:top w:val="nil"/>
              <w:left w:val="nil"/>
              <w:bottom w:val="nil"/>
              <w:right w:val="nil"/>
            </w:tcBorders>
          </w:tcPr>
          <w:p w14:paraId="3ACBE188" w14:textId="77777777" w:rsidR="00407967" w:rsidRPr="00407967" w:rsidRDefault="00407967" w:rsidP="00BA1A66">
            <w:pPr>
              <w:spacing w:line="264" w:lineRule="auto"/>
              <w:contextualSpacing/>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3A97FB51" w14:textId="2A9C8788" w:rsidR="00407967" w:rsidRPr="00407967" w:rsidRDefault="00576DC4" w:rsidP="00BA1A66">
            <w:pPr>
              <w:spacing w:line="264" w:lineRule="auto"/>
              <w:contextualSpacing/>
              <w:jc w:val="right"/>
              <w:rPr>
                <w:rFonts w:ascii="Arial" w:hAnsi="Arial" w:cs="Arial"/>
                <w:sz w:val="22"/>
                <w:szCs w:val="22"/>
              </w:rPr>
            </w:pPr>
            <w:r>
              <w:rPr>
                <w:rFonts w:ascii="Arial" w:hAnsi="Arial" w:cs="Arial"/>
                <w:sz w:val="22"/>
                <w:szCs w:val="22"/>
              </w:rPr>
              <w:t>$9,307</w:t>
            </w:r>
            <w:r w:rsidR="006D2FB4">
              <w:rPr>
                <w:rFonts w:ascii="Arial" w:hAnsi="Arial" w:cs="Arial"/>
                <w:sz w:val="22"/>
                <w:szCs w:val="22"/>
              </w:rPr>
              <w:t xml:space="preserve"> mil</w:t>
            </w:r>
          </w:p>
        </w:tc>
        <w:tc>
          <w:tcPr>
            <w:tcW w:w="270" w:type="dxa"/>
            <w:tcBorders>
              <w:top w:val="nil"/>
              <w:left w:val="nil"/>
              <w:bottom w:val="nil"/>
              <w:right w:val="nil"/>
            </w:tcBorders>
          </w:tcPr>
          <w:p w14:paraId="73913541" w14:textId="77777777" w:rsidR="00407967" w:rsidRPr="000B01DA" w:rsidRDefault="00407967" w:rsidP="00BA1A66">
            <w:pPr>
              <w:spacing w:line="264" w:lineRule="auto"/>
              <w:contextualSpacing/>
              <w:jc w:val="right"/>
              <w:rPr>
                <w:rFonts w:ascii="Arial" w:hAnsi="Arial" w:cs="Arial"/>
                <w:bCs/>
                <w:sz w:val="22"/>
                <w:szCs w:val="22"/>
              </w:rPr>
            </w:pPr>
          </w:p>
        </w:tc>
        <w:tc>
          <w:tcPr>
            <w:tcW w:w="1890" w:type="dxa"/>
            <w:tcBorders>
              <w:top w:val="nil"/>
              <w:left w:val="nil"/>
              <w:bottom w:val="nil"/>
              <w:right w:val="nil"/>
            </w:tcBorders>
            <w:shd w:val="clear" w:color="auto" w:fill="auto"/>
          </w:tcPr>
          <w:p w14:paraId="24B4EEDC" w14:textId="0E415F46" w:rsidR="00407967" w:rsidRPr="000B01DA" w:rsidRDefault="00407967" w:rsidP="00BA1A66">
            <w:pPr>
              <w:spacing w:line="264" w:lineRule="auto"/>
              <w:contextualSpacing/>
              <w:jc w:val="right"/>
              <w:rPr>
                <w:rFonts w:ascii="Arial" w:hAnsi="Arial" w:cs="Arial"/>
                <w:bCs/>
                <w:sz w:val="22"/>
                <w:szCs w:val="22"/>
              </w:rPr>
            </w:pPr>
            <w:r>
              <w:rPr>
                <w:rFonts w:ascii="Arial" w:hAnsi="Arial" w:cs="Arial"/>
                <w:bCs/>
                <w:sz w:val="22"/>
                <w:szCs w:val="22"/>
              </w:rPr>
              <w:t>$</w:t>
            </w:r>
            <w:r w:rsidR="00C4750B">
              <w:rPr>
                <w:rFonts w:ascii="Arial" w:hAnsi="Arial" w:cs="Arial"/>
                <w:bCs/>
                <w:sz w:val="22"/>
                <w:szCs w:val="22"/>
              </w:rPr>
              <w:t>1,231</w:t>
            </w:r>
            <w:r w:rsidR="006D2FB4">
              <w:rPr>
                <w:rFonts w:ascii="Arial" w:hAnsi="Arial" w:cs="Arial"/>
                <w:bCs/>
                <w:sz w:val="22"/>
                <w:szCs w:val="22"/>
              </w:rPr>
              <w:t xml:space="preserve"> mil</w:t>
            </w:r>
          </w:p>
        </w:tc>
        <w:tc>
          <w:tcPr>
            <w:tcW w:w="270" w:type="dxa"/>
            <w:tcBorders>
              <w:top w:val="nil"/>
              <w:left w:val="nil"/>
              <w:bottom w:val="nil"/>
              <w:right w:val="nil"/>
            </w:tcBorders>
          </w:tcPr>
          <w:p w14:paraId="4C3C254B" w14:textId="77777777" w:rsidR="00407967" w:rsidRPr="000B01DA" w:rsidRDefault="00407967" w:rsidP="00BA1A66">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3A6F9101" w14:textId="02A256BB" w:rsidR="00407967" w:rsidRPr="000B01DA" w:rsidRDefault="00407967" w:rsidP="00BA1A66">
            <w:pPr>
              <w:spacing w:line="264" w:lineRule="auto"/>
              <w:contextualSpacing/>
              <w:jc w:val="right"/>
              <w:rPr>
                <w:rFonts w:ascii="Arial" w:hAnsi="Arial" w:cs="Arial"/>
                <w:bCs/>
                <w:sz w:val="22"/>
                <w:szCs w:val="22"/>
              </w:rPr>
            </w:pPr>
            <w:r>
              <w:rPr>
                <w:rFonts w:ascii="Arial" w:hAnsi="Arial" w:cs="Arial"/>
                <w:bCs/>
                <w:sz w:val="22"/>
                <w:szCs w:val="22"/>
              </w:rPr>
              <w:t>$</w:t>
            </w:r>
            <w:r w:rsidR="009811B4">
              <w:rPr>
                <w:rFonts w:ascii="Arial" w:hAnsi="Arial" w:cs="Arial"/>
                <w:bCs/>
                <w:sz w:val="22"/>
                <w:szCs w:val="22"/>
              </w:rPr>
              <w:t>333</w:t>
            </w:r>
            <w:r w:rsidR="006D2FB4">
              <w:rPr>
                <w:rFonts w:ascii="Arial" w:hAnsi="Arial" w:cs="Arial"/>
                <w:bCs/>
                <w:sz w:val="22"/>
                <w:szCs w:val="22"/>
              </w:rPr>
              <w:t xml:space="preserve"> mil</w:t>
            </w:r>
          </w:p>
        </w:tc>
      </w:tr>
      <w:tr w:rsidR="006D2FB4" w:rsidRPr="000B01DA" w14:paraId="6A01C3DC" w14:textId="77777777" w:rsidTr="00BA1A66">
        <w:trPr>
          <w:cantSplit/>
        </w:trPr>
        <w:tc>
          <w:tcPr>
            <w:tcW w:w="3240" w:type="dxa"/>
            <w:tcBorders>
              <w:top w:val="nil"/>
              <w:left w:val="nil"/>
              <w:bottom w:val="nil"/>
              <w:right w:val="nil"/>
            </w:tcBorders>
          </w:tcPr>
          <w:p w14:paraId="4803DD23" w14:textId="67794006" w:rsidR="00407967" w:rsidRPr="00407967" w:rsidRDefault="00407967" w:rsidP="00BA1A66">
            <w:pPr>
              <w:spacing w:line="264" w:lineRule="auto"/>
              <w:contextualSpacing/>
              <w:rPr>
                <w:rFonts w:ascii="Arial" w:hAnsi="Arial" w:cs="Arial"/>
                <w:sz w:val="22"/>
                <w:szCs w:val="22"/>
              </w:rPr>
            </w:pPr>
            <w:r w:rsidRPr="00407967">
              <w:rPr>
                <w:rFonts w:ascii="Arial" w:hAnsi="Arial" w:cs="Arial"/>
                <w:sz w:val="22"/>
                <w:szCs w:val="22"/>
              </w:rPr>
              <w:t>Capital Improvement Program</w:t>
            </w:r>
          </w:p>
        </w:tc>
        <w:tc>
          <w:tcPr>
            <w:tcW w:w="270" w:type="dxa"/>
            <w:tcBorders>
              <w:top w:val="nil"/>
              <w:left w:val="nil"/>
              <w:bottom w:val="nil"/>
              <w:right w:val="nil"/>
            </w:tcBorders>
          </w:tcPr>
          <w:p w14:paraId="57475C28" w14:textId="77777777" w:rsidR="00407967" w:rsidRPr="00407967" w:rsidRDefault="00407967" w:rsidP="00BA1A66">
            <w:pPr>
              <w:spacing w:line="264" w:lineRule="auto"/>
              <w:contextualSpacing/>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67A75F91" w14:textId="3BB37562" w:rsidR="00407967" w:rsidRPr="00407967" w:rsidRDefault="00576DC4" w:rsidP="00BA1A66">
            <w:pPr>
              <w:spacing w:line="264" w:lineRule="auto"/>
              <w:contextualSpacing/>
              <w:jc w:val="right"/>
              <w:rPr>
                <w:rFonts w:ascii="Arial" w:hAnsi="Arial" w:cs="Arial"/>
                <w:sz w:val="22"/>
                <w:szCs w:val="22"/>
              </w:rPr>
            </w:pPr>
            <w:r>
              <w:rPr>
                <w:rFonts w:ascii="Arial" w:hAnsi="Arial" w:cs="Arial"/>
                <w:sz w:val="22"/>
                <w:szCs w:val="22"/>
              </w:rPr>
              <w:t>$1,364</w:t>
            </w:r>
            <w:r w:rsidR="006D2FB4">
              <w:rPr>
                <w:rFonts w:ascii="Arial" w:hAnsi="Arial" w:cs="Arial"/>
                <w:sz w:val="22"/>
                <w:szCs w:val="22"/>
              </w:rPr>
              <w:t xml:space="preserve"> mil</w:t>
            </w:r>
          </w:p>
        </w:tc>
        <w:tc>
          <w:tcPr>
            <w:tcW w:w="270" w:type="dxa"/>
            <w:tcBorders>
              <w:top w:val="nil"/>
              <w:left w:val="nil"/>
              <w:bottom w:val="nil"/>
              <w:right w:val="nil"/>
            </w:tcBorders>
          </w:tcPr>
          <w:p w14:paraId="1B0A333E" w14:textId="77777777" w:rsidR="00407967" w:rsidRPr="000B01DA" w:rsidRDefault="00407967" w:rsidP="00BA1A66">
            <w:pPr>
              <w:spacing w:line="264" w:lineRule="auto"/>
              <w:contextualSpacing/>
              <w:jc w:val="right"/>
              <w:rPr>
                <w:rFonts w:ascii="Arial" w:hAnsi="Arial" w:cs="Arial"/>
                <w:bCs/>
                <w:sz w:val="22"/>
                <w:szCs w:val="22"/>
              </w:rPr>
            </w:pPr>
          </w:p>
        </w:tc>
        <w:tc>
          <w:tcPr>
            <w:tcW w:w="1890" w:type="dxa"/>
            <w:tcBorders>
              <w:top w:val="nil"/>
              <w:left w:val="nil"/>
              <w:bottom w:val="nil"/>
              <w:right w:val="nil"/>
            </w:tcBorders>
            <w:shd w:val="clear" w:color="auto" w:fill="auto"/>
          </w:tcPr>
          <w:p w14:paraId="715C84C6" w14:textId="0941810B" w:rsidR="00407967" w:rsidRPr="000B01DA" w:rsidRDefault="00407967" w:rsidP="00BA1A66">
            <w:pPr>
              <w:spacing w:line="264" w:lineRule="auto"/>
              <w:contextualSpacing/>
              <w:jc w:val="right"/>
              <w:rPr>
                <w:rFonts w:ascii="Arial" w:hAnsi="Arial" w:cs="Arial"/>
                <w:bCs/>
                <w:sz w:val="22"/>
                <w:szCs w:val="22"/>
              </w:rPr>
            </w:pPr>
            <w:r>
              <w:rPr>
                <w:rFonts w:ascii="Arial" w:hAnsi="Arial" w:cs="Arial"/>
                <w:bCs/>
                <w:sz w:val="22"/>
                <w:szCs w:val="22"/>
              </w:rPr>
              <w:t>$</w:t>
            </w:r>
            <w:r w:rsidR="00C4750B">
              <w:rPr>
                <w:rFonts w:ascii="Arial" w:hAnsi="Arial" w:cs="Arial"/>
                <w:bCs/>
                <w:sz w:val="22"/>
                <w:szCs w:val="22"/>
              </w:rPr>
              <w:t>127</w:t>
            </w:r>
            <w:r w:rsidR="006D2FB4">
              <w:rPr>
                <w:rFonts w:ascii="Arial" w:hAnsi="Arial" w:cs="Arial"/>
                <w:bCs/>
                <w:sz w:val="22"/>
                <w:szCs w:val="22"/>
              </w:rPr>
              <w:t xml:space="preserve"> mil</w:t>
            </w:r>
          </w:p>
        </w:tc>
        <w:tc>
          <w:tcPr>
            <w:tcW w:w="270" w:type="dxa"/>
            <w:tcBorders>
              <w:top w:val="nil"/>
              <w:left w:val="nil"/>
              <w:bottom w:val="nil"/>
              <w:right w:val="nil"/>
            </w:tcBorders>
          </w:tcPr>
          <w:p w14:paraId="055E8310" w14:textId="77777777" w:rsidR="00407967" w:rsidRPr="000B01DA" w:rsidRDefault="00407967" w:rsidP="00BA1A66">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15D6BC48" w14:textId="2E5C3559" w:rsidR="00407967" w:rsidRPr="000B01DA" w:rsidRDefault="00407967" w:rsidP="00BA1A66">
            <w:pPr>
              <w:spacing w:line="264" w:lineRule="auto"/>
              <w:contextualSpacing/>
              <w:jc w:val="right"/>
              <w:rPr>
                <w:rFonts w:ascii="Arial" w:hAnsi="Arial" w:cs="Arial"/>
                <w:bCs/>
                <w:sz w:val="22"/>
                <w:szCs w:val="22"/>
              </w:rPr>
            </w:pPr>
            <w:r>
              <w:rPr>
                <w:rFonts w:ascii="Arial" w:hAnsi="Arial" w:cs="Arial"/>
                <w:bCs/>
                <w:sz w:val="22"/>
                <w:szCs w:val="22"/>
              </w:rPr>
              <w:t>$</w:t>
            </w:r>
            <w:r w:rsidR="00D77561">
              <w:rPr>
                <w:rFonts w:ascii="Arial" w:hAnsi="Arial" w:cs="Arial"/>
                <w:bCs/>
                <w:sz w:val="22"/>
                <w:szCs w:val="22"/>
              </w:rPr>
              <w:t>258</w:t>
            </w:r>
            <w:r w:rsidR="006D2FB4">
              <w:rPr>
                <w:rFonts w:ascii="Arial" w:hAnsi="Arial" w:cs="Arial"/>
                <w:bCs/>
                <w:sz w:val="22"/>
                <w:szCs w:val="22"/>
              </w:rPr>
              <w:t xml:space="preserve"> mil</w:t>
            </w:r>
          </w:p>
        </w:tc>
      </w:tr>
      <w:tr w:rsidR="006D2FB4" w:rsidRPr="000B01DA" w14:paraId="06D7AB16" w14:textId="77777777" w:rsidTr="00BA1A66">
        <w:trPr>
          <w:cantSplit/>
        </w:trPr>
        <w:tc>
          <w:tcPr>
            <w:tcW w:w="3240" w:type="dxa"/>
            <w:tcBorders>
              <w:top w:val="single" w:sz="4" w:space="0" w:color="auto"/>
              <w:left w:val="nil"/>
              <w:bottom w:val="single" w:sz="12" w:space="0" w:color="auto"/>
              <w:right w:val="nil"/>
            </w:tcBorders>
          </w:tcPr>
          <w:p w14:paraId="2D0F782C" w14:textId="77777777" w:rsidR="00615EA5" w:rsidRPr="000B01DA" w:rsidRDefault="00615EA5" w:rsidP="00BA1A66">
            <w:pPr>
              <w:spacing w:line="264" w:lineRule="auto"/>
              <w:contextualSpacing/>
              <w:jc w:val="right"/>
              <w:rPr>
                <w:rFonts w:ascii="Arial" w:hAnsi="Arial" w:cs="Arial"/>
                <w:b/>
                <w:bCs/>
                <w:sz w:val="22"/>
                <w:szCs w:val="22"/>
              </w:rPr>
            </w:pPr>
          </w:p>
        </w:tc>
        <w:tc>
          <w:tcPr>
            <w:tcW w:w="270" w:type="dxa"/>
            <w:tcBorders>
              <w:top w:val="nil"/>
              <w:left w:val="nil"/>
              <w:bottom w:val="single" w:sz="12" w:space="0" w:color="auto"/>
              <w:right w:val="nil"/>
            </w:tcBorders>
          </w:tcPr>
          <w:p w14:paraId="4581FEE2" w14:textId="77777777" w:rsidR="00615EA5" w:rsidRPr="000B01DA" w:rsidRDefault="00615EA5" w:rsidP="00BA1A66">
            <w:pPr>
              <w:spacing w:line="264" w:lineRule="auto"/>
              <w:contextualSpacing/>
              <w:jc w:val="right"/>
              <w:rPr>
                <w:rFonts w:ascii="Arial" w:hAnsi="Arial" w:cs="Arial"/>
                <w:b/>
                <w:bCs/>
                <w:sz w:val="22"/>
                <w:szCs w:val="22"/>
              </w:rPr>
            </w:pPr>
          </w:p>
        </w:tc>
        <w:tc>
          <w:tcPr>
            <w:tcW w:w="171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271C0835" w14:textId="0F994030" w:rsidR="00615EA5" w:rsidRPr="000B01DA" w:rsidRDefault="009170C8" w:rsidP="00BA1A66">
            <w:pPr>
              <w:spacing w:line="264" w:lineRule="auto"/>
              <w:contextualSpacing/>
              <w:jc w:val="right"/>
              <w:rPr>
                <w:rFonts w:ascii="Arial" w:hAnsi="Arial" w:cs="Arial"/>
                <w:b/>
                <w:bCs/>
                <w:sz w:val="22"/>
                <w:szCs w:val="22"/>
              </w:rPr>
            </w:pPr>
            <w:r>
              <w:rPr>
                <w:rFonts w:ascii="Arial" w:hAnsi="Arial" w:cs="Arial"/>
                <w:b/>
                <w:bCs/>
                <w:sz w:val="22"/>
                <w:szCs w:val="22"/>
              </w:rPr>
              <w:t>$12,592</w:t>
            </w:r>
            <w:r w:rsidR="006D2FB4">
              <w:rPr>
                <w:rFonts w:ascii="Arial" w:hAnsi="Arial" w:cs="Arial"/>
                <w:b/>
                <w:bCs/>
                <w:sz w:val="22"/>
                <w:szCs w:val="22"/>
              </w:rPr>
              <w:t xml:space="preserve"> mil</w:t>
            </w:r>
          </w:p>
        </w:tc>
        <w:tc>
          <w:tcPr>
            <w:tcW w:w="270" w:type="dxa"/>
            <w:tcBorders>
              <w:top w:val="nil"/>
              <w:left w:val="nil"/>
              <w:bottom w:val="single" w:sz="12" w:space="0" w:color="auto"/>
              <w:right w:val="nil"/>
            </w:tcBorders>
          </w:tcPr>
          <w:p w14:paraId="7973A680" w14:textId="77777777" w:rsidR="00615EA5" w:rsidRPr="000B01DA" w:rsidRDefault="00615EA5" w:rsidP="00BA1A66">
            <w:pPr>
              <w:spacing w:line="264" w:lineRule="auto"/>
              <w:contextualSpacing/>
              <w:jc w:val="right"/>
              <w:rPr>
                <w:rFonts w:ascii="Arial" w:hAnsi="Arial" w:cs="Arial"/>
                <w:b/>
                <w:sz w:val="22"/>
                <w:szCs w:val="22"/>
              </w:rPr>
            </w:pPr>
          </w:p>
        </w:tc>
        <w:tc>
          <w:tcPr>
            <w:tcW w:w="1890" w:type="dxa"/>
            <w:tcBorders>
              <w:top w:val="single" w:sz="4" w:space="0" w:color="auto"/>
              <w:left w:val="nil"/>
              <w:bottom w:val="single" w:sz="12" w:space="0" w:color="auto"/>
              <w:right w:val="nil"/>
            </w:tcBorders>
            <w:shd w:val="clear" w:color="auto" w:fill="auto"/>
          </w:tcPr>
          <w:p w14:paraId="64C7871E" w14:textId="24A936D4" w:rsidR="00615EA5" w:rsidRPr="000B01DA" w:rsidRDefault="00592BF5" w:rsidP="00BA1A66">
            <w:pPr>
              <w:spacing w:line="264" w:lineRule="auto"/>
              <w:contextualSpacing/>
              <w:jc w:val="right"/>
              <w:rPr>
                <w:rFonts w:ascii="Arial" w:hAnsi="Arial" w:cs="Arial"/>
                <w:b/>
                <w:sz w:val="22"/>
                <w:szCs w:val="22"/>
              </w:rPr>
            </w:pPr>
            <w:r>
              <w:rPr>
                <w:rFonts w:ascii="Arial" w:hAnsi="Arial" w:cs="Arial"/>
                <w:b/>
                <w:sz w:val="22"/>
                <w:szCs w:val="22"/>
              </w:rPr>
              <w:t>$1,583 mil</w:t>
            </w:r>
          </w:p>
        </w:tc>
        <w:tc>
          <w:tcPr>
            <w:tcW w:w="270" w:type="dxa"/>
            <w:tcBorders>
              <w:top w:val="nil"/>
              <w:left w:val="nil"/>
              <w:bottom w:val="single" w:sz="12" w:space="0" w:color="auto"/>
              <w:right w:val="nil"/>
            </w:tcBorders>
          </w:tcPr>
          <w:p w14:paraId="5597653C" w14:textId="77777777" w:rsidR="00615EA5" w:rsidRPr="000B01DA" w:rsidRDefault="00615EA5" w:rsidP="00BA1A66">
            <w:pPr>
              <w:spacing w:line="264" w:lineRule="auto"/>
              <w:contextualSpacing/>
              <w:jc w:val="right"/>
              <w:rPr>
                <w:rFonts w:ascii="Arial" w:hAnsi="Arial" w:cs="Arial"/>
                <w:b/>
                <w:sz w:val="22"/>
                <w:szCs w:val="22"/>
              </w:rPr>
            </w:pPr>
          </w:p>
        </w:tc>
        <w:tc>
          <w:tcPr>
            <w:tcW w:w="1710" w:type="dxa"/>
            <w:tcBorders>
              <w:top w:val="single" w:sz="4" w:space="0" w:color="auto"/>
              <w:left w:val="nil"/>
              <w:bottom w:val="single" w:sz="12" w:space="0" w:color="auto"/>
              <w:right w:val="nil"/>
            </w:tcBorders>
            <w:shd w:val="clear" w:color="auto" w:fill="auto"/>
            <w:tcMar>
              <w:top w:w="43" w:type="dxa"/>
              <w:bottom w:w="43" w:type="dxa"/>
            </w:tcMar>
          </w:tcPr>
          <w:p w14:paraId="2C1398BF" w14:textId="3AFE2157" w:rsidR="00615EA5" w:rsidRPr="000B01DA" w:rsidRDefault="00615EA5" w:rsidP="00BA1A66">
            <w:pPr>
              <w:spacing w:line="264" w:lineRule="auto"/>
              <w:contextualSpacing/>
              <w:jc w:val="right"/>
              <w:rPr>
                <w:rFonts w:ascii="Arial" w:hAnsi="Arial" w:cs="Arial"/>
                <w:b/>
                <w:sz w:val="22"/>
                <w:szCs w:val="22"/>
              </w:rPr>
            </w:pPr>
            <w:r>
              <w:rPr>
                <w:rFonts w:ascii="Arial" w:hAnsi="Arial" w:cs="Arial"/>
                <w:b/>
                <w:sz w:val="22"/>
                <w:szCs w:val="22"/>
              </w:rPr>
              <w:t>$</w:t>
            </w:r>
            <w:r w:rsidR="00FE6342">
              <w:rPr>
                <w:rFonts w:ascii="Arial" w:hAnsi="Arial" w:cs="Arial"/>
                <w:b/>
                <w:sz w:val="22"/>
                <w:szCs w:val="22"/>
              </w:rPr>
              <w:t>617</w:t>
            </w:r>
            <w:r w:rsidR="006D2FB4">
              <w:rPr>
                <w:rFonts w:ascii="Arial" w:hAnsi="Arial" w:cs="Arial"/>
                <w:b/>
                <w:sz w:val="22"/>
                <w:szCs w:val="22"/>
              </w:rPr>
              <w:t xml:space="preserve"> mil</w:t>
            </w:r>
          </w:p>
        </w:tc>
      </w:tr>
    </w:tbl>
    <w:p w14:paraId="244DB07F" w14:textId="28BE98B7" w:rsidR="00864036" w:rsidRDefault="00864036" w:rsidP="00BA1A66">
      <w:pPr>
        <w:spacing w:line="240" w:lineRule="atLeast"/>
        <w:jc w:val="both"/>
        <w:rPr>
          <w:rFonts w:ascii="Arial" w:hAnsi="Arial" w:cs="Arial"/>
          <w:b/>
          <w:highlight w:val="yellow"/>
        </w:rPr>
      </w:pPr>
    </w:p>
    <w:p w14:paraId="78302477" w14:textId="0DA6EFF0" w:rsidR="00D03E7F" w:rsidRDefault="00D03E7F" w:rsidP="52A5D16C">
      <w:pPr>
        <w:spacing w:line="264" w:lineRule="auto"/>
        <w:jc w:val="both"/>
        <w:rPr>
          <w:rFonts w:ascii="Arial" w:hAnsi="Arial" w:cs="Arial"/>
        </w:rPr>
      </w:pPr>
      <w:r w:rsidRPr="52A5D16C">
        <w:rPr>
          <w:rFonts w:ascii="Arial" w:hAnsi="Arial" w:cs="Arial"/>
        </w:rPr>
        <w:lastRenderedPageBreak/>
        <w:t xml:space="preserve">Since the adoption of the 2021-2022 biennial budget </w:t>
      </w:r>
      <w:r w:rsidR="005F79BC" w:rsidRPr="52A5D16C">
        <w:rPr>
          <w:rFonts w:ascii="Arial" w:hAnsi="Arial" w:cs="Arial"/>
        </w:rPr>
        <w:t>i</w:t>
      </w:r>
      <w:r w:rsidRPr="52A5D16C">
        <w:rPr>
          <w:rFonts w:ascii="Arial" w:hAnsi="Arial" w:cs="Arial"/>
        </w:rPr>
        <w:t xml:space="preserve">n November 2020, </w:t>
      </w:r>
      <w:r w:rsidR="00555FFC" w:rsidRPr="52A5D16C">
        <w:rPr>
          <w:rFonts w:ascii="Arial" w:hAnsi="Arial" w:cs="Arial"/>
          <w:color w:val="4F81BD" w:themeColor="accent1"/>
        </w:rPr>
        <w:t xml:space="preserve">Office of Economic and Financial Analysis (OEFA) </w:t>
      </w:r>
      <w:r w:rsidRPr="52A5D16C">
        <w:rPr>
          <w:rFonts w:ascii="Arial" w:hAnsi="Arial" w:cs="Arial"/>
        </w:rPr>
        <w:t>revenue</w:t>
      </w:r>
      <w:r w:rsidR="00D3571F" w:rsidRPr="52A5D16C">
        <w:rPr>
          <w:rFonts w:ascii="Arial" w:hAnsi="Arial" w:cs="Arial"/>
        </w:rPr>
        <w:t xml:space="preserve"> </w:t>
      </w:r>
      <w:r w:rsidR="00D3571F" w:rsidRPr="52A5D16C">
        <w:rPr>
          <w:rFonts w:ascii="Arial" w:hAnsi="Arial" w:cs="Arial"/>
          <w:color w:val="4F81BD" w:themeColor="accent1"/>
        </w:rPr>
        <w:t>forecast</w:t>
      </w:r>
      <w:r w:rsidRPr="52A5D16C">
        <w:rPr>
          <w:rFonts w:ascii="Arial" w:hAnsi="Arial" w:cs="Arial"/>
          <w:color w:val="4F81BD" w:themeColor="accent1"/>
        </w:rPr>
        <w:t xml:space="preserve">s </w:t>
      </w:r>
      <w:r w:rsidRPr="52A5D16C">
        <w:rPr>
          <w:rFonts w:ascii="Arial" w:hAnsi="Arial" w:cs="Arial"/>
        </w:rPr>
        <w:t>have increased</w:t>
      </w:r>
      <w:r w:rsidR="008E4EDC" w:rsidRPr="52A5D16C">
        <w:rPr>
          <w:rFonts w:ascii="Arial" w:hAnsi="Arial" w:cs="Arial"/>
        </w:rPr>
        <w:t xml:space="preserve">. </w:t>
      </w:r>
      <w:r w:rsidR="00EF5577" w:rsidRPr="52A5D16C">
        <w:rPr>
          <w:rFonts w:ascii="Arial" w:hAnsi="Arial" w:cs="Arial"/>
        </w:rPr>
        <w:t xml:space="preserve"> For the 2021-2022 biennium, </w:t>
      </w:r>
      <w:r w:rsidR="00555FFC" w:rsidRPr="52A5D16C">
        <w:rPr>
          <w:rFonts w:ascii="Arial" w:hAnsi="Arial" w:cs="Arial"/>
        </w:rPr>
        <w:t xml:space="preserve">OEFA forecasts that </w:t>
      </w:r>
      <w:r w:rsidR="00C6573F" w:rsidRPr="52A5D16C">
        <w:rPr>
          <w:rFonts w:ascii="Arial" w:hAnsi="Arial" w:cs="Arial"/>
        </w:rPr>
        <w:t xml:space="preserve">General Fund </w:t>
      </w:r>
      <w:r w:rsidR="00D94137" w:rsidRPr="52A5D16C">
        <w:rPr>
          <w:rFonts w:ascii="Arial" w:hAnsi="Arial" w:cs="Arial"/>
          <w:color w:val="4F81BD" w:themeColor="accent1"/>
        </w:rPr>
        <w:t>sales</w:t>
      </w:r>
      <w:r w:rsidR="00C6573F" w:rsidRPr="52A5D16C">
        <w:rPr>
          <w:rFonts w:ascii="Arial" w:hAnsi="Arial" w:cs="Arial"/>
          <w:color w:val="4F81BD" w:themeColor="accent1"/>
        </w:rPr>
        <w:t xml:space="preserve"> </w:t>
      </w:r>
      <w:r w:rsidR="00C6573F" w:rsidRPr="52A5D16C">
        <w:rPr>
          <w:rFonts w:ascii="Arial" w:hAnsi="Arial" w:cs="Arial"/>
        </w:rPr>
        <w:t xml:space="preserve">tax revenue </w:t>
      </w:r>
      <w:r w:rsidR="00555FFC" w:rsidRPr="52A5D16C">
        <w:rPr>
          <w:rFonts w:ascii="Arial" w:hAnsi="Arial" w:cs="Arial"/>
          <w:color w:val="4F81BD" w:themeColor="accent1"/>
        </w:rPr>
        <w:t>would</w:t>
      </w:r>
      <w:r w:rsidR="00C6573F" w:rsidRPr="52A5D16C">
        <w:rPr>
          <w:rFonts w:ascii="Arial" w:hAnsi="Arial" w:cs="Arial"/>
          <w:color w:val="4F81BD" w:themeColor="accent1"/>
        </w:rPr>
        <w:t xml:space="preserve"> </w:t>
      </w:r>
      <w:r w:rsidR="00C6573F" w:rsidRPr="52A5D16C">
        <w:rPr>
          <w:rFonts w:ascii="Arial" w:hAnsi="Arial" w:cs="Arial"/>
        </w:rPr>
        <w:t>incr</w:t>
      </w:r>
      <w:r w:rsidR="008E4EDC" w:rsidRPr="52A5D16C">
        <w:rPr>
          <w:rFonts w:ascii="Arial" w:hAnsi="Arial" w:cs="Arial"/>
        </w:rPr>
        <w:t xml:space="preserve">ease </w:t>
      </w:r>
      <w:r w:rsidR="00EF5577" w:rsidRPr="52A5D16C">
        <w:rPr>
          <w:rFonts w:ascii="Arial" w:hAnsi="Arial" w:cs="Arial"/>
        </w:rPr>
        <w:t xml:space="preserve">by $46 million (17%), </w:t>
      </w:r>
      <w:r w:rsidR="00085DF8" w:rsidRPr="52A5D16C">
        <w:rPr>
          <w:rFonts w:ascii="Arial" w:hAnsi="Arial" w:cs="Arial"/>
        </w:rPr>
        <w:t>transit sales ta</w:t>
      </w:r>
      <w:r w:rsidR="00C83348" w:rsidRPr="52A5D16C">
        <w:rPr>
          <w:rFonts w:ascii="Arial" w:hAnsi="Arial" w:cs="Arial"/>
        </w:rPr>
        <w:t xml:space="preserve">x revenue </w:t>
      </w:r>
      <w:r w:rsidR="00555FFC" w:rsidRPr="52A5D16C">
        <w:rPr>
          <w:rFonts w:ascii="Arial" w:hAnsi="Arial" w:cs="Arial"/>
          <w:color w:val="4F81BD" w:themeColor="accent1"/>
        </w:rPr>
        <w:t>would</w:t>
      </w:r>
      <w:r w:rsidR="00C83348" w:rsidRPr="52A5D16C">
        <w:rPr>
          <w:rFonts w:ascii="Arial" w:hAnsi="Arial" w:cs="Arial"/>
          <w:color w:val="4F81BD" w:themeColor="accent1"/>
        </w:rPr>
        <w:t xml:space="preserve"> </w:t>
      </w:r>
      <w:r w:rsidR="00C83348" w:rsidRPr="52A5D16C">
        <w:rPr>
          <w:rFonts w:ascii="Arial" w:hAnsi="Arial" w:cs="Arial"/>
        </w:rPr>
        <w:t xml:space="preserve">increase by $196 million (15%), </w:t>
      </w:r>
      <w:r w:rsidR="00EE086A" w:rsidRPr="52A5D16C">
        <w:rPr>
          <w:rFonts w:ascii="Arial" w:hAnsi="Arial" w:cs="Arial"/>
        </w:rPr>
        <w:t xml:space="preserve">Mental Illness Drug and Dependency (MIDD) sales tax revenue </w:t>
      </w:r>
      <w:r w:rsidR="00555FFC" w:rsidRPr="52A5D16C">
        <w:rPr>
          <w:rFonts w:ascii="Arial" w:hAnsi="Arial" w:cs="Arial"/>
          <w:color w:val="4F81BD" w:themeColor="accent1"/>
        </w:rPr>
        <w:t>would</w:t>
      </w:r>
      <w:r w:rsidR="00EE086A" w:rsidRPr="52A5D16C">
        <w:rPr>
          <w:rFonts w:ascii="Arial" w:hAnsi="Arial" w:cs="Arial"/>
          <w:color w:val="4F81BD" w:themeColor="accent1"/>
        </w:rPr>
        <w:t xml:space="preserve"> </w:t>
      </w:r>
      <w:r w:rsidR="00EE086A" w:rsidRPr="52A5D16C">
        <w:rPr>
          <w:rFonts w:ascii="Arial" w:hAnsi="Arial" w:cs="Arial"/>
        </w:rPr>
        <w:t>increase by $22 million (</w:t>
      </w:r>
      <w:r w:rsidR="008A151F" w:rsidRPr="52A5D16C">
        <w:rPr>
          <w:rFonts w:ascii="Arial" w:hAnsi="Arial" w:cs="Arial"/>
        </w:rPr>
        <w:t>16%)</w:t>
      </w:r>
      <w:r w:rsidR="001170CA" w:rsidRPr="52A5D16C">
        <w:rPr>
          <w:rFonts w:ascii="Arial" w:hAnsi="Arial" w:cs="Arial"/>
        </w:rPr>
        <w:t xml:space="preserve">, and </w:t>
      </w:r>
      <w:r w:rsidR="003D7471" w:rsidRPr="52A5D16C">
        <w:rPr>
          <w:rFonts w:ascii="Arial" w:hAnsi="Arial" w:cs="Arial"/>
        </w:rPr>
        <w:t>Parks</w:t>
      </w:r>
      <w:r w:rsidR="001170CA" w:rsidRPr="52A5D16C">
        <w:rPr>
          <w:rFonts w:ascii="Arial" w:hAnsi="Arial" w:cs="Arial"/>
        </w:rPr>
        <w:t xml:space="preserve"> sales tax revenue </w:t>
      </w:r>
      <w:r w:rsidR="00555FFC" w:rsidRPr="52A5D16C">
        <w:rPr>
          <w:rFonts w:ascii="Arial" w:hAnsi="Arial" w:cs="Arial"/>
          <w:color w:val="4F81BD" w:themeColor="accent1"/>
        </w:rPr>
        <w:t>would</w:t>
      </w:r>
      <w:r w:rsidR="001170CA" w:rsidRPr="52A5D16C">
        <w:rPr>
          <w:rFonts w:ascii="Arial" w:hAnsi="Arial" w:cs="Arial"/>
          <w:color w:val="4F81BD" w:themeColor="accent1"/>
        </w:rPr>
        <w:t xml:space="preserve"> </w:t>
      </w:r>
      <w:r w:rsidR="001170CA" w:rsidRPr="52A5D16C">
        <w:rPr>
          <w:rFonts w:ascii="Arial" w:hAnsi="Arial" w:cs="Arial"/>
        </w:rPr>
        <w:t xml:space="preserve">increase by </w:t>
      </w:r>
      <w:r w:rsidR="003D7471" w:rsidRPr="52A5D16C">
        <w:rPr>
          <w:rFonts w:ascii="Arial" w:hAnsi="Arial" w:cs="Arial"/>
        </w:rPr>
        <w:t>$6.7 million (2.6%)</w:t>
      </w:r>
      <w:r w:rsidR="00555FFC" w:rsidRPr="52A5D16C">
        <w:rPr>
          <w:rFonts w:ascii="Arial" w:hAnsi="Arial" w:cs="Arial"/>
        </w:rPr>
        <w:t xml:space="preserve"> </w:t>
      </w:r>
      <w:r w:rsidR="00555FFC" w:rsidRPr="52A5D16C">
        <w:rPr>
          <w:rFonts w:ascii="Arial" w:hAnsi="Arial" w:cs="Arial"/>
          <w:color w:val="4F81BD" w:themeColor="accent1"/>
        </w:rPr>
        <w:t>to highlight a few</w:t>
      </w:r>
      <w:r w:rsidR="003D7471" w:rsidRPr="52A5D16C">
        <w:rPr>
          <w:rFonts w:ascii="Arial" w:hAnsi="Arial" w:cs="Arial"/>
        </w:rPr>
        <w:t>.</w:t>
      </w:r>
      <w:r w:rsidR="005F79BC" w:rsidRPr="52A5D16C">
        <w:rPr>
          <w:rStyle w:val="FootnoteReference"/>
          <w:rFonts w:ascii="Arial" w:hAnsi="Arial" w:cs="Arial"/>
        </w:rPr>
        <w:footnoteReference w:id="4"/>
      </w:r>
      <w:r w:rsidR="003D7471" w:rsidRPr="52A5D16C">
        <w:rPr>
          <w:rFonts w:ascii="Arial" w:hAnsi="Arial" w:cs="Arial"/>
        </w:rPr>
        <w:t xml:space="preserve">  As a result</w:t>
      </w:r>
      <w:r w:rsidR="009F66B9" w:rsidRPr="52A5D16C">
        <w:rPr>
          <w:rFonts w:ascii="Arial" w:hAnsi="Arial" w:cs="Arial"/>
        </w:rPr>
        <w:t xml:space="preserve"> </w:t>
      </w:r>
      <w:r w:rsidR="009F66B9" w:rsidRPr="52A5D16C">
        <w:rPr>
          <w:rFonts w:ascii="Arial" w:hAnsi="Arial" w:cs="Arial"/>
          <w:color w:val="4F81BD" w:themeColor="accent1"/>
        </w:rPr>
        <w:t>of the increase</w:t>
      </w:r>
      <w:r w:rsidR="272E6FBE" w:rsidRPr="52A5D16C">
        <w:rPr>
          <w:rFonts w:ascii="Arial" w:hAnsi="Arial" w:cs="Arial"/>
          <w:color w:val="4F81BD" w:themeColor="accent1"/>
        </w:rPr>
        <w:t>d</w:t>
      </w:r>
      <w:r w:rsidR="009F66B9" w:rsidRPr="52A5D16C">
        <w:rPr>
          <w:rFonts w:ascii="Arial" w:hAnsi="Arial" w:cs="Arial"/>
          <w:color w:val="4F81BD" w:themeColor="accent1"/>
        </w:rPr>
        <w:t xml:space="preserve"> revenue forecast, </w:t>
      </w:r>
      <w:r w:rsidR="003D7471" w:rsidRPr="52A5D16C">
        <w:rPr>
          <w:rFonts w:ascii="Arial" w:hAnsi="Arial" w:cs="Arial"/>
        </w:rPr>
        <w:t>the executive has proposed</w:t>
      </w:r>
      <w:r w:rsidR="00BE5B55" w:rsidRPr="52A5D16C">
        <w:rPr>
          <w:rFonts w:ascii="Arial" w:hAnsi="Arial" w:cs="Arial"/>
        </w:rPr>
        <w:t xml:space="preserve"> the following key </w:t>
      </w:r>
      <w:r w:rsidR="003C1DCB" w:rsidRPr="52A5D16C">
        <w:rPr>
          <w:rFonts w:ascii="Arial" w:hAnsi="Arial" w:cs="Arial"/>
        </w:rPr>
        <w:t>investments</w:t>
      </w:r>
      <w:r w:rsidR="008226A7" w:rsidRPr="52A5D16C">
        <w:rPr>
          <w:rFonts w:ascii="Arial" w:hAnsi="Arial" w:cs="Arial"/>
        </w:rPr>
        <w:t xml:space="preserve"> in the proposed 2021 2</w:t>
      </w:r>
      <w:r w:rsidR="008226A7" w:rsidRPr="52A5D16C">
        <w:rPr>
          <w:rFonts w:ascii="Arial" w:hAnsi="Arial" w:cs="Arial"/>
          <w:vertAlign w:val="superscript"/>
        </w:rPr>
        <w:t>nd</w:t>
      </w:r>
      <w:r w:rsidR="008226A7" w:rsidRPr="52A5D16C">
        <w:rPr>
          <w:rFonts w:ascii="Arial" w:hAnsi="Arial" w:cs="Arial"/>
        </w:rPr>
        <w:t xml:space="preserve"> Omnibus:</w:t>
      </w:r>
    </w:p>
    <w:p w14:paraId="3E362B15" w14:textId="77777777" w:rsidR="0060139E" w:rsidRDefault="0060139E" w:rsidP="00152F82">
      <w:pPr>
        <w:spacing w:line="264" w:lineRule="auto"/>
        <w:jc w:val="both"/>
        <w:rPr>
          <w:rFonts w:ascii="Arial" w:hAnsi="Arial" w:cs="Arial"/>
          <w:szCs w:val="24"/>
        </w:rPr>
      </w:pPr>
    </w:p>
    <w:p w14:paraId="6A4032B9" w14:textId="7B87F9B5" w:rsidR="008226A7" w:rsidRDefault="00497FBD" w:rsidP="008226A7">
      <w:pPr>
        <w:pStyle w:val="ListParagraph0"/>
        <w:numPr>
          <w:ilvl w:val="0"/>
          <w:numId w:val="38"/>
        </w:numPr>
        <w:spacing w:line="264" w:lineRule="auto"/>
        <w:jc w:val="both"/>
        <w:rPr>
          <w:rFonts w:ascii="Arial" w:hAnsi="Arial" w:cs="Arial"/>
        </w:rPr>
      </w:pPr>
      <w:r>
        <w:rPr>
          <w:rFonts w:ascii="Arial" w:hAnsi="Arial" w:cs="Arial"/>
        </w:rPr>
        <w:t xml:space="preserve">$4.0 million to </w:t>
      </w:r>
      <w:r w:rsidRPr="0060139E">
        <w:rPr>
          <w:rFonts w:ascii="Arial" w:hAnsi="Arial" w:cs="Arial"/>
          <w:b/>
          <w:bCs/>
        </w:rPr>
        <w:t xml:space="preserve">restore </w:t>
      </w:r>
      <w:r w:rsidR="00947DA2" w:rsidRPr="0060139E">
        <w:rPr>
          <w:rFonts w:ascii="Arial" w:hAnsi="Arial" w:cs="Arial"/>
          <w:b/>
          <w:bCs/>
        </w:rPr>
        <w:t xml:space="preserve">reductions and eliminate furloughs </w:t>
      </w:r>
      <w:r w:rsidR="0060139E" w:rsidRPr="0060139E">
        <w:rPr>
          <w:rFonts w:ascii="Arial" w:hAnsi="Arial" w:cs="Arial"/>
          <w:b/>
          <w:bCs/>
        </w:rPr>
        <w:t>for 2022</w:t>
      </w:r>
      <w:r w:rsidR="0060139E">
        <w:rPr>
          <w:rFonts w:ascii="Arial" w:hAnsi="Arial" w:cs="Arial"/>
        </w:rPr>
        <w:t xml:space="preserve"> which </w:t>
      </w:r>
      <w:r w:rsidRPr="00497FBD">
        <w:rPr>
          <w:rFonts w:ascii="Arial" w:hAnsi="Arial" w:cs="Arial"/>
        </w:rPr>
        <w:t xml:space="preserve">were included in the 2021-2022 adopted biennial budget to meet target reductions due to the </w:t>
      </w:r>
      <w:proofErr w:type="gramStart"/>
      <w:r w:rsidRPr="00497FBD">
        <w:rPr>
          <w:rFonts w:ascii="Arial" w:hAnsi="Arial" w:cs="Arial"/>
        </w:rPr>
        <w:t>recession</w:t>
      </w:r>
      <w:r w:rsidR="0060139E">
        <w:rPr>
          <w:rFonts w:ascii="Arial" w:hAnsi="Arial" w:cs="Arial"/>
        </w:rPr>
        <w:t>;</w:t>
      </w:r>
      <w:proofErr w:type="gramEnd"/>
    </w:p>
    <w:p w14:paraId="2A839868" w14:textId="77777777" w:rsidR="0060139E" w:rsidRDefault="0060139E" w:rsidP="0060139E">
      <w:pPr>
        <w:pStyle w:val="ListParagraph0"/>
        <w:spacing w:line="264" w:lineRule="auto"/>
        <w:jc w:val="both"/>
        <w:rPr>
          <w:rFonts w:ascii="Arial" w:hAnsi="Arial" w:cs="Arial"/>
        </w:rPr>
      </w:pPr>
    </w:p>
    <w:p w14:paraId="3D201B78" w14:textId="56A98751" w:rsidR="0060139E" w:rsidRDefault="0060139E" w:rsidP="008226A7">
      <w:pPr>
        <w:pStyle w:val="ListParagraph0"/>
        <w:numPr>
          <w:ilvl w:val="0"/>
          <w:numId w:val="38"/>
        </w:numPr>
        <w:spacing w:line="264" w:lineRule="auto"/>
        <w:jc w:val="both"/>
        <w:rPr>
          <w:rFonts w:ascii="Arial" w:hAnsi="Arial" w:cs="Arial"/>
        </w:rPr>
      </w:pPr>
      <w:r w:rsidRPr="0060139E">
        <w:rPr>
          <w:rFonts w:ascii="Arial" w:hAnsi="Arial" w:cs="Arial"/>
        </w:rPr>
        <w:t xml:space="preserve">$20 million of </w:t>
      </w:r>
      <w:r w:rsidRPr="0060139E">
        <w:rPr>
          <w:rFonts w:ascii="Arial" w:hAnsi="Arial" w:cs="Arial"/>
          <w:b/>
          <w:bCs/>
        </w:rPr>
        <w:t>Climate Equity Capital bond funds</w:t>
      </w:r>
      <w:r w:rsidRPr="0060139E">
        <w:rPr>
          <w:rFonts w:ascii="Arial" w:hAnsi="Arial" w:cs="Arial"/>
        </w:rPr>
        <w:t xml:space="preserve"> for projects identified with community partners to support frontline communities disproportionately affected by climate change and increase opportunities for those communities to benefit from emissions reductions and energy </w:t>
      </w:r>
      <w:proofErr w:type="gramStart"/>
      <w:r w:rsidRPr="0060139E">
        <w:rPr>
          <w:rFonts w:ascii="Arial" w:hAnsi="Arial" w:cs="Arial"/>
        </w:rPr>
        <w:t>efficiency</w:t>
      </w:r>
      <w:r>
        <w:rPr>
          <w:rFonts w:ascii="Arial" w:hAnsi="Arial" w:cs="Arial"/>
        </w:rPr>
        <w:t>;</w:t>
      </w:r>
      <w:proofErr w:type="gramEnd"/>
    </w:p>
    <w:p w14:paraId="16C3BBC4" w14:textId="77777777" w:rsidR="0060139E" w:rsidRPr="0060139E" w:rsidRDefault="0060139E" w:rsidP="0060139E">
      <w:pPr>
        <w:pStyle w:val="ListParagraph0"/>
        <w:rPr>
          <w:rFonts w:ascii="Arial" w:hAnsi="Arial" w:cs="Arial"/>
        </w:rPr>
      </w:pPr>
    </w:p>
    <w:p w14:paraId="37154C33" w14:textId="6CD67995" w:rsidR="0060139E" w:rsidRDefault="0060139E" w:rsidP="0060139E">
      <w:pPr>
        <w:pStyle w:val="ListParagraph0"/>
        <w:numPr>
          <w:ilvl w:val="0"/>
          <w:numId w:val="38"/>
        </w:numPr>
        <w:spacing w:line="264" w:lineRule="auto"/>
        <w:jc w:val="both"/>
        <w:rPr>
          <w:rFonts w:ascii="Arial" w:hAnsi="Arial" w:cs="Arial"/>
        </w:rPr>
      </w:pPr>
      <w:r w:rsidRPr="0060139E">
        <w:rPr>
          <w:rFonts w:ascii="Arial" w:hAnsi="Arial" w:cs="Arial"/>
        </w:rPr>
        <w:t xml:space="preserve">$3.1 million for expanded </w:t>
      </w:r>
      <w:r w:rsidRPr="0060139E">
        <w:rPr>
          <w:rFonts w:ascii="Arial" w:hAnsi="Arial" w:cs="Arial"/>
          <w:b/>
          <w:bCs/>
        </w:rPr>
        <w:t xml:space="preserve">regional gun violence and peacekeeping </w:t>
      </w:r>
      <w:r w:rsidRPr="0060139E">
        <w:rPr>
          <w:rFonts w:ascii="Arial" w:hAnsi="Arial" w:cs="Arial"/>
        </w:rPr>
        <w:t xml:space="preserve">efforts, including additional community outreach, violence interrupters, and life </w:t>
      </w:r>
      <w:proofErr w:type="gramStart"/>
      <w:r w:rsidRPr="0060139E">
        <w:rPr>
          <w:rFonts w:ascii="Arial" w:hAnsi="Arial" w:cs="Arial"/>
        </w:rPr>
        <w:t>coaches</w:t>
      </w:r>
      <w:r>
        <w:rPr>
          <w:rFonts w:ascii="Arial" w:hAnsi="Arial" w:cs="Arial"/>
        </w:rPr>
        <w:t>;</w:t>
      </w:r>
      <w:proofErr w:type="gramEnd"/>
    </w:p>
    <w:p w14:paraId="7B034CA0" w14:textId="77777777" w:rsidR="0060139E" w:rsidRPr="0060139E" w:rsidRDefault="0060139E" w:rsidP="0060139E">
      <w:pPr>
        <w:spacing w:line="264" w:lineRule="auto"/>
        <w:jc w:val="both"/>
        <w:rPr>
          <w:rFonts w:ascii="Arial" w:hAnsi="Arial" w:cs="Arial"/>
        </w:rPr>
      </w:pPr>
    </w:p>
    <w:p w14:paraId="47190443" w14:textId="369CBDC1" w:rsidR="0060139E" w:rsidRDefault="0060139E" w:rsidP="0060139E">
      <w:pPr>
        <w:pStyle w:val="ListParagraph0"/>
        <w:numPr>
          <w:ilvl w:val="0"/>
          <w:numId w:val="38"/>
        </w:numPr>
        <w:spacing w:line="264" w:lineRule="auto"/>
        <w:jc w:val="both"/>
        <w:rPr>
          <w:rFonts w:ascii="Arial" w:hAnsi="Arial" w:cs="Arial"/>
        </w:rPr>
      </w:pPr>
      <w:r w:rsidRPr="0060139E">
        <w:rPr>
          <w:rFonts w:ascii="Arial" w:hAnsi="Arial" w:cs="Arial"/>
        </w:rPr>
        <w:t xml:space="preserve">$4.3 million for the new adult felony </w:t>
      </w:r>
      <w:r w:rsidRPr="0060139E">
        <w:rPr>
          <w:rFonts w:ascii="Arial" w:hAnsi="Arial" w:cs="Arial"/>
          <w:b/>
          <w:bCs/>
        </w:rPr>
        <w:t>Community Diversion Program</w:t>
      </w:r>
      <w:r w:rsidRPr="0060139E">
        <w:rPr>
          <w:rFonts w:ascii="Arial" w:hAnsi="Arial" w:cs="Arial"/>
        </w:rPr>
        <w:t xml:space="preserve">, including resources for a loss recovery fund that provides financial supports for harmed parties; assessment and referral staff; and community-based service </w:t>
      </w:r>
      <w:proofErr w:type="gramStart"/>
      <w:r w:rsidRPr="0060139E">
        <w:rPr>
          <w:rFonts w:ascii="Arial" w:hAnsi="Arial" w:cs="Arial"/>
        </w:rPr>
        <w:t>contracts</w:t>
      </w:r>
      <w:r w:rsidR="00236364">
        <w:rPr>
          <w:rFonts w:ascii="Arial" w:hAnsi="Arial" w:cs="Arial"/>
        </w:rPr>
        <w:t>;</w:t>
      </w:r>
      <w:proofErr w:type="gramEnd"/>
    </w:p>
    <w:p w14:paraId="7890C9F7" w14:textId="77777777" w:rsidR="00236364" w:rsidRPr="00236364" w:rsidRDefault="00236364" w:rsidP="00236364">
      <w:pPr>
        <w:spacing w:line="264" w:lineRule="auto"/>
        <w:jc w:val="both"/>
        <w:rPr>
          <w:rFonts w:ascii="Arial" w:hAnsi="Arial" w:cs="Arial"/>
        </w:rPr>
      </w:pPr>
    </w:p>
    <w:p w14:paraId="1238D3AD" w14:textId="2F9ABD5C" w:rsidR="00236364" w:rsidRDefault="0060139E" w:rsidP="003C1DCB">
      <w:pPr>
        <w:pStyle w:val="ListParagraph0"/>
        <w:numPr>
          <w:ilvl w:val="0"/>
          <w:numId w:val="38"/>
        </w:numPr>
        <w:spacing w:line="264" w:lineRule="auto"/>
        <w:jc w:val="both"/>
        <w:rPr>
          <w:rFonts w:ascii="Arial" w:hAnsi="Arial" w:cs="Arial"/>
        </w:rPr>
      </w:pPr>
      <w:r w:rsidRPr="0060139E">
        <w:rPr>
          <w:rFonts w:ascii="Arial" w:hAnsi="Arial" w:cs="Arial"/>
        </w:rPr>
        <w:t>$17</w:t>
      </w:r>
      <w:r w:rsidR="000927BD">
        <w:rPr>
          <w:rFonts w:ascii="Arial" w:hAnsi="Arial" w:cs="Arial"/>
        </w:rPr>
        <w:t>.4</w:t>
      </w:r>
      <w:r w:rsidRPr="0060139E">
        <w:rPr>
          <w:rFonts w:ascii="Arial" w:hAnsi="Arial" w:cs="Arial"/>
        </w:rPr>
        <w:t xml:space="preserve"> million in </w:t>
      </w:r>
      <w:r w:rsidRPr="00236364">
        <w:rPr>
          <w:rFonts w:ascii="Arial" w:hAnsi="Arial" w:cs="Arial"/>
          <w:b/>
          <w:bCs/>
        </w:rPr>
        <w:t xml:space="preserve">Mental Illness and Drug Dependency (MIDD) </w:t>
      </w:r>
      <w:r w:rsidRPr="0060139E">
        <w:rPr>
          <w:rFonts w:ascii="Arial" w:hAnsi="Arial" w:cs="Arial"/>
        </w:rPr>
        <w:t xml:space="preserve">to restore program cuts and some program </w:t>
      </w:r>
      <w:proofErr w:type="gramStart"/>
      <w:r w:rsidRPr="0060139E">
        <w:rPr>
          <w:rFonts w:ascii="Arial" w:hAnsi="Arial" w:cs="Arial"/>
        </w:rPr>
        <w:t>expansion</w:t>
      </w:r>
      <w:r w:rsidR="00236364">
        <w:rPr>
          <w:rFonts w:ascii="Arial" w:hAnsi="Arial" w:cs="Arial"/>
        </w:rPr>
        <w:t>;</w:t>
      </w:r>
      <w:proofErr w:type="gramEnd"/>
    </w:p>
    <w:p w14:paraId="641C3763" w14:textId="77777777" w:rsidR="00575669" w:rsidRPr="00575669" w:rsidRDefault="00575669" w:rsidP="00575669">
      <w:pPr>
        <w:pStyle w:val="ListParagraph0"/>
        <w:rPr>
          <w:rFonts w:ascii="Arial" w:hAnsi="Arial" w:cs="Arial"/>
        </w:rPr>
      </w:pPr>
    </w:p>
    <w:p w14:paraId="55AC934D" w14:textId="4702EEBF" w:rsidR="003C1DCB" w:rsidRDefault="003C1DCB" w:rsidP="003C1DCB">
      <w:pPr>
        <w:pStyle w:val="ListParagraph0"/>
        <w:numPr>
          <w:ilvl w:val="0"/>
          <w:numId w:val="38"/>
        </w:numPr>
        <w:spacing w:line="264" w:lineRule="auto"/>
        <w:jc w:val="both"/>
        <w:rPr>
          <w:rFonts w:ascii="Arial" w:hAnsi="Arial" w:cs="Arial"/>
        </w:rPr>
      </w:pPr>
      <w:r w:rsidRPr="00575669">
        <w:rPr>
          <w:rFonts w:ascii="Arial" w:hAnsi="Arial" w:cs="Arial"/>
        </w:rPr>
        <w:t>$126</w:t>
      </w:r>
      <w:r w:rsidR="00575669">
        <w:rPr>
          <w:rFonts w:ascii="Arial" w:hAnsi="Arial" w:cs="Arial"/>
        </w:rPr>
        <w:t xml:space="preserve"> m</w:t>
      </w:r>
      <w:r w:rsidRPr="00575669">
        <w:rPr>
          <w:rFonts w:ascii="Arial" w:hAnsi="Arial" w:cs="Arial"/>
        </w:rPr>
        <w:t xml:space="preserve">illion for </w:t>
      </w:r>
      <w:r w:rsidRPr="00B141AB">
        <w:rPr>
          <w:rFonts w:ascii="Arial" w:hAnsi="Arial" w:cs="Arial"/>
          <w:b/>
          <w:bCs/>
        </w:rPr>
        <w:t xml:space="preserve">Best Starts for Kids (BSK) </w:t>
      </w:r>
      <w:r w:rsidRPr="00575669">
        <w:rPr>
          <w:rFonts w:ascii="Arial" w:hAnsi="Arial" w:cs="Arial"/>
        </w:rPr>
        <w:t xml:space="preserve">funds, consistent with the passage of the </w:t>
      </w:r>
      <w:r w:rsidR="00A26C6A">
        <w:rPr>
          <w:rFonts w:ascii="Arial" w:hAnsi="Arial" w:cs="Arial"/>
        </w:rPr>
        <w:t xml:space="preserve">renewed </w:t>
      </w:r>
      <w:r w:rsidRPr="00575669">
        <w:rPr>
          <w:rFonts w:ascii="Arial" w:hAnsi="Arial" w:cs="Arial"/>
        </w:rPr>
        <w:t>BSK levy by voters in August</w:t>
      </w:r>
      <w:r w:rsidR="00A26C6A">
        <w:rPr>
          <w:rFonts w:ascii="Arial" w:hAnsi="Arial" w:cs="Arial"/>
        </w:rPr>
        <w:t xml:space="preserve"> 2020</w:t>
      </w:r>
      <w:r w:rsidRPr="00575669">
        <w:rPr>
          <w:rFonts w:ascii="Arial" w:hAnsi="Arial" w:cs="Arial"/>
        </w:rPr>
        <w:t xml:space="preserve"> and the implementation </w:t>
      </w:r>
      <w:proofErr w:type="gramStart"/>
      <w:r w:rsidRPr="00575669">
        <w:rPr>
          <w:rFonts w:ascii="Arial" w:hAnsi="Arial" w:cs="Arial"/>
        </w:rPr>
        <w:t>plan</w:t>
      </w:r>
      <w:r w:rsidR="00575669">
        <w:rPr>
          <w:rFonts w:ascii="Arial" w:hAnsi="Arial" w:cs="Arial"/>
        </w:rPr>
        <w:t>;</w:t>
      </w:r>
      <w:proofErr w:type="gramEnd"/>
    </w:p>
    <w:p w14:paraId="4F70D146" w14:textId="77777777" w:rsidR="00790082" w:rsidRPr="00790082" w:rsidRDefault="00790082" w:rsidP="00790082">
      <w:pPr>
        <w:pStyle w:val="ListParagraph0"/>
        <w:rPr>
          <w:rFonts w:ascii="Arial" w:hAnsi="Arial" w:cs="Arial"/>
        </w:rPr>
      </w:pPr>
    </w:p>
    <w:p w14:paraId="10AE42C1" w14:textId="6A279412" w:rsidR="00C3137A" w:rsidRDefault="00C3137A" w:rsidP="003C1DCB">
      <w:pPr>
        <w:pStyle w:val="ListParagraph0"/>
        <w:numPr>
          <w:ilvl w:val="0"/>
          <w:numId w:val="38"/>
        </w:numPr>
        <w:spacing w:line="264" w:lineRule="auto"/>
        <w:jc w:val="both"/>
        <w:rPr>
          <w:rFonts w:ascii="Arial" w:hAnsi="Arial" w:cs="Arial"/>
        </w:rPr>
      </w:pPr>
      <w:r>
        <w:rPr>
          <w:rFonts w:ascii="Arial" w:hAnsi="Arial" w:cs="Arial"/>
        </w:rPr>
        <w:t xml:space="preserve">$18.6 million for </w:t>
      </w:r>
      <w:r w:rsidRPr="00B141AB">
        <w:rPr>
          <w:rFonts w:ascii="Arial" w:hAnsi="Arial" w:cs="Arial"/>
          <w:b/>
          <w:bCs/>
        </w:rPr>
        <w:t xml:space="preserve">bus service restorations </w:t>
      </w:r>
      <w:r>
        <w:rPr>
          <w:rFonts w:ascii="Arial" w:hAnsi="Arial" w:cs="Arial"/>
        </w:rPr>
        <w:t xml:space="preserve">including </w:t>
      </w:r>
      <w:r w:rsidRPr="00C3137A">
        <w:rPr>
          <w:rFonts w:ascii="Arial" w:hAnsi="Arial" w:cs="Arial"/>
        </w:rPr>
        <w:t xml:space="preserve">241,000 more transit service hours </w:t>
      </w:r>
      <w:r>
        <w:rPr>
          <w:rFonts w:ascii="Arial" w:hAnsi="Arial" w:cs="Arial"/>
        </w:rPr>
        <w:t>and flexible services increases;</w:t>
      </w:r>
      <w:r w:rsidR="00B141AB">
        <w:rPr>
          <w:rFonts w:ascii="Arial" w:hAnsi="Arial" w:cs="Arial"/>
        </w:rPr>
        <w:t xml:space="preserve"> and</w:t>
      </w:r>
    </w:p>
    <w:p w14:paraId="0A1B7C8E" w14:textId="77777777" w:rsidR="00790082" w:rsidRPr="00C3137A" w:rsidRDefault="00790082" w:rsidP="00C3137A">
      <w:pPr>
        <w:rPr>
          <w:rFonts w:ascii="Arial" w:hAnsi="Arial" w:cs="Arial"/>
        </w:rPr>
      </w:pPr>
    </w:p>
    <w:p w14:paraId="1508B52F" w14:textId="46DF5D57" w:rsidR="00790082" w:rsidRPr="008A3748" w:rsidRDefault="00C3137A" w:rsidP="00E34BBA">
      <w:pPr>
        <w:pStyle w:val="ListParagraph0"/>
        <w:numPr>
          <w:ilvl w:val="0"/>
          <w:numId w:val="38"/>
        </w:numPr>
        <w:spacing w:line="264" w:lineRule="auto"/>
        <w:jc w:val="both"/>
        <w:rPr>
          <w:rFonts w:ascii="Arial" w:hAnsi="Arial" w:cs="Arial"/>
        </w:rPr>
      </w:pPr>
      <w:r w:rsidRPr="008A3748">
        <w:rPr>
          <w:rFonts w:ascii="Arial" w:hAnsi="Arial" w:cs="Arial"/>
        </w:rPr>
        <w:t>$8</w:t>
      </w:r>
      <w:r w:rsidR="008A3748" w:rsidRPr="008A3748">
        <w:rPr>
          <w:rFonts w:ascii="Arial" w:hAnsi="Arial" w:cs="Arial"/>
        </w:rPr>
        <w:t xml:space="preserve">0.5 million for accelerating the planned appropriation for building </w:t>
      </w:r>
      <w:r w:rsidR="008A3748" w:rsidRPr="00B141AB">
        <w:rPr>
          <w:rFonts w:ascii="Arial" w:hAnsi="Arial" w:cs="Arial"/>
          <w:b/>
          <w:bCs/>
        </w:rPr>
        <w:t>electric bus</w:t>
      </w:r>
      <w:r w:rsidR="008A3748" w:rsidRPr="008A3748">
        <w:rPr>
          <w:rFonts w:ascii="Arial" w:hAnsi="Arial" w:cs="Arial"/>
        </w:rPr>
        <w:t xml:space="preserve"> charging capacity for 105 battery electric buses at Metro's Interim Base, an Access electric vehicle pilot, and base electrification planning.</w:t>
      </w:r>
    </w:p>
    <w:p w14:paraId="3A7341D9" w14:textId="77777777" w:rsidR="00152F82" w:rsidRDefault="00152F82" w:rsidP="00152F82">
      <w:pPr>
        <w:jc w:val="both"/>
        <w:rPr>
          <w:rFonts w:ascii="Arial" w:hAnsi="Arial" w:cs="Arial"/>
          <w:b/>
          <w:smallCaps/>
          <w:szCs w:val="24"/>
          <w:u w:val="single"/>
        </w:rPr>
      </w:pPr>
    </w:p>
    <w:p w14:paraId="05B297ED" w14:textId="77777777" w:rsidR="00E2386C" w:rsidRDefault="00E2386C" w:rsidP="00E2386C">
      <w:pPr>
        <w:ind w:firstLine="720"/>
        <w:jc w:val="both"/>
        <w:rPr>
          <w:rFonts w:ascii="Arial" w:hAnsi="Arial" w:cs="Arial"/>
          <w:b/>
          <w:smallCaps/>
          <w:szCs w:val="24"/>
          <w:u w:val="single"/>
        </w:rPr>
      </w:pPr>
    </w:p>
    <w:p w14:paraId="17026ACE" w14:textId="1DC947C6" w:rsidR="00864036" w:rsidRPr="00B72BC7" w:rsidRDefault="00864036" w:rsidP="009361AE">
      <w:pPr>
        <w:keepNext/>
        <w:spacing w:line="264" w:lineRule="auto"/>
        <w:jc w:val="both"/>
        <w:rPr>
          <w:rFonts w:ascii="Arial" w:hAnsi="Arial" w:cs="Arial"/>
          <w:b/>
          <w:smallCaps/>
          <w:szCs w:val="24"/>
          <w:u w:val="single"/>
        </w:rPr>
      </w:pPr>
      <w:r w:rsidRPr="00B72BC7">
        <w:rPr>
          <w:rFonts w:ascii="Arial" w:hAnsi="Arial" w:cs="Arial"/>
          <w:b/>
          <w:smallCaps/>
          <w:szCs w:val="24"/>
          <w:u w:val="single"/>
        </w:rPr>
        <w:lastRenderedPageBreak/>
        <w:t>ANALYSIS</w:t>
      </w:r>
    </w:p>
    <w:p w14:paraId="52C828D7" w14:textId="33D09069" w:rsidR="00864036" w:rsidRDefault="00864036" w:rsidP="009361AE">
      <w:pPr>
        <w:pStyle w:val="BodyText"/>
        <w:keepNext/>
        <w:spacing w:line="264" w:lineRule="auto"/>
        <w:jc w:val="both"/>
        <w:rPr>
          <w:rFonts w:ascii="Arial" w:hAnsi="Arial" w:cs="Arial"/>
          <w:i w:val="0"/>
        </w:rPr>
      </w:pPr>
    </w:p>
    <w:p w14:paraId="1F14216B" w14:textId="482C639D" w:rsidR="00F72921" w:rsidRDefault="00B77360" w:rsidP="00F72921">
      <w:pPr>
        <w:keepNext/>
        <w:spacing w:line="264" w:lineRule="auto"/>
        <w:jc w:val="both"/>
        <w:rPr>
          <w:rFonts w:ascii="Arial" w:hAnsi="Arial" w:cs="Arial"/>
        </w:rPr>
      </w:pPr>
      <w:r w:rsidRPr="540224F8">
        <w:rPr>
          <w:rFonts w:ascii="Arial" w:hAnsi="Arial" w:cs="Arial"/>
          <w:b/>
        </w:rPr>
        <w:t>General Fund</w:t>
      </w:r>
      <w:r w:rsidR="00926E2E" w:rsidRPr="540224F8">
        <w:rPr>
          <w:rFonts w:ascii="Arial" w:hAnsi="Arial" w:cs="Arial"/>
          <w:b/>
        </w:rPr>
        <w:t xml:space="preserve">.  </w:t>
      </w:r>
      <w:r w:rsidR="00D067A2" w:rsidRPr="540224F8">
        <w:rPr>
          <w:rFonts w:ascii="Arial" w:hAnsi="Arial" w:cs="Arial"/>
        </w:rPr>
        <w:t>T</w:t>
      </w:r>
      <w:r w:rsidR="00FA231B" w:rsidRPr="540224F8">
        <w:rPr>
          <w:rFonts w:ascii="Arial" w:hAnsi="Arial" w:cs="Arial"/>
        </w:rPr>
        <w:t>he 2021 2</w:t>
      </w:r>
      <w:r w:rsidR="00FA231B" w:rsidRPr="540224F8">
        <w:rPr>
          <w:rFonts w:ascii="Arial" w:hAnsi="Arial" w:cs="Arial"/>
          <w:vertAlign w:val="superscript"/>
        </w:rPr>
        <w:t>nd</w:t>
      </w:r>
      <w:r w:rsidR="00FA231B" w:rsidRPr="540224F8">
        <w:rPr>
          <w:rFonts w:ascii="Arial" w:hAnsi="Arial" w:cs="Arial"/>
        </w:rPr>
        <w:t xml:space="preserve"> Omnibus would appropriate $26.1 million to support General Fund agencies of which $12.5 million would be revenue-backed.  The remaining $13.6 million would come from fund balance.  </w:t>
      </w:r>
      <w:r w:rsidR="00373FF2" w:rsidRPr="540224F8">
        <w:rPr>
          <w:rFonts w:ascii="Arial" w:hAnsi="Arial" w:cs="Arial"/>
        </w:rPr>
        <w:t xml:space="preserve">The latest executive prepared General Fund financial plan (attachment to this staff report), updated in September 2021, assumes all supplemental appropriations adopted to-date including the </w:t>
      </w:r>
      <w:r w:rsidR="00236A5D" w:rsidRPr="540224F8">
        <w:rPr>
          <w:rFonts w:ascii="Arial" w:hAnsi="Arial" w:cs="Arial"/>
        </w:rPr>
        <w:t>executive proposed appropriations in the 2021 2</w:t>
      </w:r>
      <w:r w:rsidR="00236A5D" w:rsidRPr="540224F8">
        <w:rPr>
          <w:rFonts w:ascii="Arial" w:hAnsi="Arial" w:cs="Arial"/>
          <w:vertAlign w:val="superscript"/>
        </w:rPr>
        <w:t>nd</w:t>
      </w:r>
      <w:r w:rsidR="00236A5D" w:rsidRPr="540224F8">
        <w:rPr>
          <w:rFonts w:ascii="Arial" w:hAnsi="Arial" w:cs="Arial"/>
        </w:rPr>
        <w:t xml:space="preserve"> Omnibus.</w:t>
      </w:r>
    </w:p>
    <w:p w14:paraId="4B5E754C" w14:textId="6252D91D" w:rsidR="00FA231B" w:rsidRDefault="00FA231B" w:rsidP="00926E2E">
      <w:pPr>
        <w:spacing w:line="264" w:lineRule="auto"/>
        <w:jc w:val="both"/>
        <w:rPr>
          <w:rFonts w:ascii="Arial" w:hAnsi="Arial" w:cs="Arial"/>
          <w:b/>
          <w:szCs w:val="24"/>
        </w:rPr>
      </w:pPr>
    </w:p>
    <w:p w14:paraId="146874F8" w14:textId="06C025C8" w:rsidR="00952CCB" w:rsidRDefault="00C531F3" w:rsidP="00B33242">
      <w:pPr>
        <w:spacing w:line="264" w:lineRule="auto"/>
        <w:jc w:val="both"/>
        <w:rPr>
          <w:rFonts w:ascii="Arial" w:hAnsi="Arial" w:cs="Arial"/>
          <w:szCs w:val="24"/>
        </w:rPr>
      </w:pPr>
      <w:r w:rsidRPr="00C531F3">
        <w:rPr>
          <w:rFonts w:ascii="Arial" w:hAnsi="Arial" w:cs="Arial"/>
          <w:bCs/>
          <w:i/>
          <w:iCs/>
          <w:szCs w:val="24"/>
        </w:rPr>
        <w:t>Ending Undesignated Fund Balance.</w:t>
      </w:r>
      <w:r>
        <w:rPr>
          <w:rFonts w:ascii="Arial" w:hAnsi="Arial" w:cs="Arial"/>
          <w:bCs/>
          <w:szCs w:val="24"/>
        </w:rPr>
        <w:t xml:space="preserve">  </w:t>
      </w:r>
      <w:r w:rsidR="00236A5D">
        <w:rPr>
          <w:rFonts w:ascii="Arial" w:hAnsi="Arial" w:cs="Arial"/>
          <w:bCs/>
          <w:szCs w:val="24"/>
        </w:rPr>
        <w:t xml:space="preserve">The 2021-2022 current budget in the financial plan shows </w:t>
      </w:r>
      <w:r w:rsidR="003236F2">
        <w:rPr>
          <w:rFonts w:ascii="Arial" w:hAnsi="Arial" w:cs="Arial"/>
          <w:bCs/>
          <w:szCs w:val="24"/>
        </w:rPr>
        <w:t>an</w:t>
      </w:r>
      <w:r w:rsidR="00236A5D">
        <w:rPr>
          <w:rFonts w:ascii="Arial" w:hAnsi="Arial" w:cs="Arial"/>
          <w:bCs/>
          <w:szCs w:val="24"/>
        </w:rPr>
        <w:t xml:space="preserve"> </w:t>
      </w:r>
      <w:r w:rsidR="0040779B" w:rsidRPr="00183046">
        <w:rPr>
          <w:rFonts w:ascii="Arial" w:hAnsi="Arial" w:cs="Arial"/>
          <w:i/>
          <w:iCs/>
          <w:szCs w:val="24"/>
        </w:rPr>
        <w:t>Ending Undesignated Fund Balance</w:t>
      </w:r>
      <w:r w:rsidR="0040779B">
        <w:rPr>
          <w:rFonts w:ascii="Arial" w:hAnsi="Arial" w:cs="Arial"/>
          <w:szCs w:val="24"/>
        </w:rPr>
        <w:t xml:space="preserve"> of </w:t>
      </w:r>
      <w:r w:rsidR="005C3FDF">
        <w:rPr>
          <w:rFonts w:ascii="Arial" w:hAnsi="Arial" w:cs="Arial"/>
          <w:szCs w:val="24"/>
        </w:rPr>
        <w:t>$70.1 million, a $18 million increase since the 2021-2022</w:t>
      </w:r>
      <w:r w:rsidR="00364075">
        <w:rPr>
          <w:rFonts w:ascii="Arial" w:hAnsi="Arial" w:cs="Arial"/>
          <w:szCs w:val="24"/>
        </w:rPr>
        <w:t xml:space="preserve"> adopted budget.</w:t>
      </w:r>
      <w:r w:rsidR="00E27258">
        <w:rPr>
          <w:rFonts w:ascii="Arial" w:hAnsi="Arial" w:cs="Arial"/>
          <w:szCs w:val="24"/>
        </w:rPr>
        <w:t xml:space="preserve">  This </w:t>
      </w:r>
      <w:r w:rsidR="00183046">
        <w:rPr>
          <w:rFonts w:ascii="Arial" w:hAnsi="Arial" w:cs="Arial"/>
          <w:szCs w:val="24"/>
        </w:rPr>
        <w:t>would result in</w:t>
      </w:r>
      <w:r w:rsidR="00213138">
        <w:rPr>
          <w:rFonts w:ascii="Arial" w:hAnsi="Arial" w:cs="Arial"/>
          <w:szCs w:val="24"/>
        </w:rPr>
        <w:t xml:space="preserve"> meeting </w:t>
      </w:r>
      <w:r w:rsidR="00324615">
        <w:rPr>
          <w:rFonts w:ascii="Arial" w:hAnsi="Arial" w:cs="Arial"/>
          <w:szCs w:val="24"/>
        </w:rPr>
        <w:t xml:space="preserve">and exceeding </w:t>
      </w:r>
      <w:r w:rsidR="00213138">
        <w:rPr>
          <w:rFonts w:ascii="Arial" w:hAnsi="Arial" w:cs="Arial"/>
          <w:szCs w:val="24"/>
        </w:rPr>
        <w:t xml:space="preserve">the </w:t>
      </w:r>
      <w:r w:rsidR="00183046">
        <w:rPr>
          <w:rFonts w:ascii="Arial" w:hAnsi="Arial" w:cs="Arial"/>
          <w:szCs w:val="24"/>
        </w:rPr>
        <w:t>8</w:t>
      </w:r>
      <w:r w:rsidR="00AF7BEB">
        <w:rPr>
          <w:rFonts w:ascii="Arial" w:hAnsi="Arial" w:cs="Arial"/>
          <w:szCs w:val="24"/>
        </w:rPr>
        <w:t>%</w:t>
      </w:r>
      <w:r w:rsidR="00AF7BEB" w:rsidRPr="004F611A">
        <w:rPr>
          <w:rFonts w:ascii="Arial" w:hAnsi="Arial" w:cs="Arial"/>
          <w:szCs w:val="24"/>
        </w:rPr>
        <w:t xml:space="preserve"> reserve policy by $</w:t>
      </w:r>
      <w:r w:rsidR="0066435F">
        <w:rPr>
          <w:rFonts w:ascii="Arial" w:hAnsi="Arial" w:cs="Arial"/>
          <w:szCs w:val="24"/>
        </w:rPr>
        <w:t>9.3</w:t>
      </w:r>
      <w:r w:rsidR="00AF7BEB" w:rsidRPr="004F611A">
        <w:rPr>
          <w:rFonts w:ascii="Arial" w:hAnsi="Arial" w:cs="Arial"/>
          <w:szCs w:val="24"/>
        </w:rPr>
        <w:t xml:space="preserve"> million</w:t>
      </w:r>
      <w:r w:rsidR="0066435F">
        <w:rPr>
          <w:rFonts w:ascii="Arial" w:hAnsi="Arial" w:cs="Arial"/>
          <w:szCs w:val="24"/>
        </w:rPr>
        <w:t>.</w:t>
      </w:r>
      <w:r w:rsidR="00AF7BEB">
        <w:rPr>
          <w:rFonts w:ascii="Arial" w:hAnsi="Arial" w:cs="Arial"/>
          <w:szCs w:val="24"/>
        </w:rPr>
        <w:t xml:space="preserve"> </w:t>
      </w:r>
      <w:r w:rsidR="0066435F">
        <w:rPr>
          <w:rFonts w:ascii="Arial" w:hAnsi="Arial" w:cs="Arial"/>
          <w:szCs w:val="24"/>
        </w:rPr>
        <w:t xml:space="preserve"> </w:t>
      </w:r>
      <w:r w:rsidR="002336CF">
        <w:rPr>
          <w:rFonts w:ascii="Arial" w:hAnsi="Arial" w:cs="Arial"/>
          <w:szCs w:val="24"/>
        </w:rPr>
        <w:t xml:space="preserve">The County’s Comprehensive Financial Management Policies </w:t>
      </w:r>
      <w:r w:rsidR="00D6760D">
        <w:rPr>
          <w:rFonts w:ascii="Arial" w:hAnsi="Arial" w:cs="Arial"/>
          <w:szCs w:val="24"/>
        </w:rPr>
        <w:t>(</w:t>
      </w:r>
      <w:r w:rsidR="00A26ACA">
        <w:rPr>
          <w:rFonts w:ascii="Arial" w:hAnsi="Arial" w:cs="Arial"/>
          <w:szCs w:val="24"/>
        </w:rPr>
        <w:t xml:space="preserve">CFMP) </w:t>
      </w:r>
      <w:r w:rsidR="002336CF">
        <w:rPr>
          <w:rFonts w:ascii="Arial" w:hAnsi="Arial" w:cs="Arial"/>
          <w:szCs w:val="24"/>
        </w:rPr>
        <w:t xml:space="preserve">suggest a 6% to 8% reserve policy target.  </w:t>
      </w:r>
      <w:r w:rsidR="000D7834">
        <w:rPr>
          <w:rFonts w:ascii="Arial" w:hAnsi="Arial" w:cs="Arial"/>
          <w:szCs w:val="24"/>
        </w:rPr>
        <w:t>In comparison, t</w:t>
      </w:r>
      <w:r w:rsidR="0066435F">
        <w:rPr>
          <w:rFonts w:ascii="Arial" w:hAnsi="Arial" w:cs="Arial"/>
          <w:szCs w:val="24"/>
        </w:rPr>
        <w:t>he 2021-2022 adopted budget</w:t>
      </w:r>
      <w:r w:rsidR="002336CF">
        <w:rPr>
          <w:rFonts w:ascii="Arial" w:hAnsi="Arial" w:cs="Arial"/>
          <w:szCs w:val="24"/>
        </w:rPr>
        <w:t xml:space="preserve"> was slightly above </w:t>
      </w:r>
      <w:r w:rsidR="000D7834">
        <w:rPr>
          <w:rFonts w:ascii="Arial" w:hAnsi="Arial" w:cs="Arial"/>
          <w:szCs w:val="24"/>
        </w:rPr>
        <w:t xml:space="preserve">the </w:t>
      </w:r>
      <w:r w:rsidR="00A73033">
        <w:rPr>
          <w:rFonts w:ascii="Arial" w:hAnsi="Arial" w:cs="Arial"/>
          <w:szCs w:val="24"/>
        </w:rPr>
        <w:t xml:space="preserve">minimum </w:t>
      </w:r>
      <w:r w:rsidR="000D7834">
        <w:rPr>
          <w:rFonts w:ascii="Arial" w:hAnsi="Arial" w:cs="Arial"/>
          <w:szCs w:val="24"/>
        </w:rPr>
        <w:t>6% threshold.</w:t>
      </w:r>
      <w:r w:rsidR="0042791D">
        <w:rPr>
          <w:rFonts w:ascii="Arial" w:hAnsi="Arial" w:cs="Arial"/>
          <w:szCs w:val="24"/>
        </w:rPr>
        <w:t xml:space="preserve">  </w:t>
      </w:r>
      <w:r w:rsidR="00B33242">
        <w:rPr>
          <w:rFonts w:ascii="Arial" w:hAnsi="Arial" w:cs="Arial"/>
          <w:szCs w:val="24"/>
        </w:rPr>
        <w:t>The increase in additional General Fund is due to a</w:t>
      </w:r>
      <w:r w:rsidR="00993D9E">
        <w:rPr>
          <w:rFonts w:ascii="Arial" w:hAnsi="Arial" w:cs="Arial"/>
          <w:szCs w:val="24"/>
        </w:rPr>
        <w:t xml:space="preserve"> $54 million in local tax revenues and </w:t>
      </w:r>
      <w:r w:rsidR="00150279">
        <w:rPr>
          <w:rFonts w:ascii="Arial" w:hAnsi="Arial" w:cs="Arial"/>
          <w:szCs w:val="24"/>
        </w:rPr>
        <w:t xml:space="preserve">a </w:t>
      </w:r>
      <w:r w:rsidR="00071566">
        <w:rPr>
          <w:rFonts w:ascii="Arial" w:hAnsi="Arial" w:cs="Arial"/>
          <w:szCs w:val="24"/>
        </w:rPr>
        <w:t xml:space="preserve">$27 million </w:t>
      </w:r>
      <w:r w:rsidR="00150279">
        <w:rPr>
          <w:rFonts w:ascii="Arial" w:hAnsi="Arial" w:cs="Arial"/>
          <w:szCs w:val="24"/>
        </w:rPr>
        <w:t xml:space="preserve">drawdown of the </w:t>
      </w:r>
      <w:r w:rsidR="00150279" w:rsidRPr="00104812">
        <w:rPr>
          <w:rFonts w:ascii="Arial" w:hAnsi="Arial" w:cs="Arial"/>
          <w:i/>
          <w:iCs/>
          <w:szCs w:val="24"/>
        </w:rPr>
        <w:t>COVID-</w:t>
      </w:r>
      <w:r w:rsidR="00071566" w:rsidRPr="00104812">
        <w:rPr>
          <w:rFonts w:ascii="Arial" w:hAnsi="Arial" w:cs="Arial"/>
          <w:i/>
          <w:iCs/>
          <w:szCs w:val="24"/>
        </w:rPr>
        <w:t>19 Response Reserve</w:t>
      </w:r>
      <w:r w:rsidR="00071566">
        <w:rPr>
          <w:rFonts w:ascii="Arial" w:hAnsi="Arial" w:cs="Arial"/>
          <w:szCs w:val="24"/>
        </w:rPr>
        <w:t xml:space="preserve">, which was </w:t>
      </w:r>
      <w:r w:rsidR="00F74528">
        <w:rPr>
          <w:rFonts w:ascii="Arial" w:hAnsi="Arial" w:cs="Arial"/>
          <w:szCs w:val="24"/>
        </w:rPr>
        <w:t>funded by federal relief grants to support COVID-19 activities within General Fund agencies.</w:t>
      </w:r>
      <w:r w:rsidR="006D10C7">
        <w:rPr>
          <w:rFonts w:ascii="Arial" w:hAnsi="Arial" w:cs="Arial"/>
          <w:szCs w:val="24"/>
        </w:rPr>
        <w:t xml:space="preserve">  As a </w:t>
      </w:r>
      <w:r w:rsidR="0042791D">
        <w:rPr>
          <w:rFonts w:ascii="Arial" w:hAnsi="Arial" w:cs="Arial"/>
          <w:szCs w:val="24"/>
        </w:rPr>
        <w:t>result,</w:t>
      </w:r>
      <w:r w:rsidR="006D10C7">
        <w:rPr>
          <w:rFonts w:ascii="Arial" w:hAnsi="Arial" w:cs="Arial"/>
          <w:szCs w:val="24"/>
        </w:rPr>
        <w:t xml:space="preserve"> the </w:t>
      </w:r>
      <w:r w:rsidR="006D10C7" w:rsidRPr="00104812">
        <w:rPr>
          <w:rFonts w:ascii="Arial" w:hAnsi="Arial" w:cs="Arial"/>
          <w:i/>
          <w:iCs/>
          <w:szCs w:val="24"/>
        </w:rPr>
        <w:t>COVID Response Reserve</w:t>
      </w:r>
      <w:r w:rsidR="006D10C7">
        <w:rPr>
          <w:rFonts w:ascii="Arial" w:hAnsi="Arial" w:cs="Arial"/>
          <w:szCs w:val="24"/>
        </w:rPr>
        <w:t xml:space="preserve"> is now at $19.6 million.</w:t>
      </w:r>
      <w:r w:rsidR="008474A0">
        <w:rPr>
          <w:rFonts w:ascii="Arial" w:hAnsi="Arial" w:cs="Arial"/>
          <w:szCs w:val="24"/>
        </w:rPr>
        <w:t xml:space="preserve">  </w:t>
      </w:r>
    </w:p>
    <w:p w14:paraId="156130EF" w14:textId="77777777" w:rsidR="00952CCB" w:rsidRDefault="00952CCB" w:rsidP="00B33242">
      <w:pPr>
        <w:spacing w:line="264" w:lineRule="auto"/>
        <w:jc w:val="both"/>
        <w:rPr>
          <w:rFonts w:ascii="Arial" w:hAnsi="Arial" w:cs="Arial"/>
          <w:szCs w:val="24"/>
        </w:rPr>
      </w:pPr>
    </w:p>
    <w:p w14:paraId="03584A09" w14:textId="2BB4B23F" w:rsidR="000A326E" w:rsidRDefault="008474A0" w:rsidP="00B33242">
      <w:pPr>
        <w:spacing w:line="264" w:lineRule="auto"/>
        <w:jc w:val="both"/>
        <w:rPr>
          <w:rFonts w:ascii="Arial" w:hAnsi="Arial" w:cs="Arial"/>
          <w:szCs w:val="24"/>
        </w:rPr>
      </w:pPr>
      <w:r>
        <w:rPr>
          <w:rFonts w:ascii="Arial" w:hAnsi="Arial" w:cs="Arial"/>
          <w:szCs w:val="24"/>
        </w:rPr>
        <w:t>As discussed above in the summary</w:t>
      </w:r>
      <w:r w:rsidR="00C531F3">
        <w:rPr>
          <w:rFonts w:ascii="Arial" w:hAnsi="Arial" w:cs="Arial"/>
          <w:szCs w:val="24"/>
        </w:rPr>
        <w:t xml:space="preserve"> section</w:t>
      </w:r>
      <w:r>
        <w:rPr>
          <w:rFonts w:ascii="Arial" w:hAnsi="Arial" w:cs="Arial"/>
          <w:szCs w:val="24"/>
        </w:rPr>
        <w:t xml:space="preserve">, the increase in revenues has prompted the executive to </w:t>
      </w:r>
      <w:r w:rsidR="00104812">
        <w:rPr>
          <w:rFonts w:ascii="Arial" w:hAnsi="Arial" w:cs="Arial"/>
          <w:szCs w:val="24"/>
        </w:rPr>
        <w:t>propose a 2021 2</w:t>
      </w:r>
      <w:r w:rsidR="00104812" w:rsidRPr="00104812">
        <w:rPr>
          <w:rFonts w:ascii="Arial" w:hAnsi="Arial" w:cs="Arial"/>
          <w:szCs w:val="24"/>
          <w:vertAlign w:val="superscript"/>
        </w:rPr>
        <w:t>nd</w:t>
      </w:r>
      <w:r w:rsidR="00104812">
        <w:rPr>
          <w:rFonts w:ascii="Arial" w:hAnsi="Arial" w:cs="Arial"/>
          <w:szCs w:val="24"/>
        </w:rPr>
        <w:t xml:space="preserve"> Omnibus that would </w:t>
      </w:r>
      <w:r>
        <w:rPr>
          <w:rFonts w:ascii="Arial" w:hAnsi="Arial" w:cs="Arial"/>
          <w:szCs w:val="24"/>
        </w:rPr>
        <w:t>restore</w:t>
      </w:r>
      <w:r w:rsidR="006232BB">
        <w:rPr>
          <w:rFonts w:ascii="Arial" w:hAnsi="Arial" w:cs="Arial"/>
          <w:szCs w:val="24"/>
        </w:rPr>
        <w:t xml:space="preserve"> </w:t>
      </w:r>
      <w:r w:rsidR="0060139E">
        <w:rPr>
          <w:rFonts w:ascii="Arial" w:hAnsi="Arial" w:cs="Arial"/>
          <w:szCs w:val="24"/>
        </w:rPr>
        <w:t>reductions</w:t>
      </w:r>
      <w:r w:rsidR="006232BB">
        <w:rPr>
          <w:rFonts w:ascii="Arial" w:hAnsi="Arial" w:cs="Arial"/>
          <w:szCs w:val="24"/>
        </w:rPr>
        <w:t xml:space="preserve"> and eliminate furloughs that were </w:t>
      </w:r>
      <w:r w:rsidR="007432EE">
        <w:rPr>
          <w:rFonts w:ascii="Arial" w:hAnsi="Arial" w:cs="Arial"/>
          <w:szCs w:val="24"/>
        </w:rPr>
        <w:t xml:space="preserve">part of the 2021-2022 adopted budget, and </w:t>
      </w:r>
      <w:r w:rsidR="0083272B">
        <w:rPr>
          <w:rFonts w:ascii="Arial" w:hAnsi="Arial" w:cs="Arial"/>
          <w:szCs w:val="24"/>
        </w:rPr>
        <w:t xml:space="preserve">support </w:t>
      </w:r>
      <w:r w:rsidR="007432EE">
        <w:rPr>
          <w:rFonts w:ascii="Arial" w:hAnsi="Arial" w:cs="Arial"/>
          <w:szCs w:val="24"/>
        </w:rPr>
        <w:t>new programming related to climate change</w:t>
      </w:r>
      <w:r w:rsidR="00CE637F">
        <w:rPr>
          <w:rFonts w:ascii="Arial" w:hAnsi="Arial" w:cs="Arial"/>
          <w:szCs w:val="24"/>
        </w:rPr>
        <w:t xml:space="preserve">, regional gun violence and peacekeeping, and community diversion programs </w:t>
      </w:r>
      <w:r w:rsidR="000A326E">
        <w:rPr>
          <w:rFonts w:ascii="Arial" w:hAnsi="Arial" w:cs="Arial"/>
          <w:szCs w:val="24"/>
        </w:rPr>
        <w:t xml:space="preserve">that would </w:t>
      </w:r>
      <w:r w:rsidR="00C531F3">
        <w:rPr>
          <w:rFonts w:ascii="Arial" w:hAnsi="Arial" w:cs="Arial"/>
          <w:szCs w:val="24"/>
        </w:rPr>
        <w:t xml:space="preserve">all </w:t>
      </w:r>
      <w:r w:rsidR="000A326E">
        <w:rPr>
          <w:rFonts w:ascii="Arial" w:hAnsi="Arial" w:cs="Arial"/>
          <w:szCs w:val="24"/>
        </w:rPr>
        <w:t>be supported by the General Fund.</w:t>
      </w:r>
      <w:r w:rsidR="00952CCB">
        <w:rPr>
          <w:rFonts w:ascii="Arial" w:hAnsi="Arial" w:cs="Arial"/>
          <w:szCs w:val="24"/>
        </w:rPr>
        <w:t xml:space="preserve">  However, executive staff note that </w:t>
      </w:r>
      <w:r w:rsidR="00C531F3">
        <w:rPr>
          <w:rFonts w:ascii="Arial" w:hAnsi="Arial" w:cs="Arial"/>
          <w:szCs w:val="24"/>
        </w:rPr>
        <w:t>the 2021 2</w:t>
      </w:r>
      <w:r w:rsidR="00C531F3" w:rsidRPr="00C531F3">
        <w:rPr>
          <w:rFonts w:ascii="Arial" w:hAnsi="Arial" w:cs="Arial"/>
          <w:szCs w:val="24"/>
          <w:vertAlign w:val="superscript"/>
        </w:rPr>
        <w:t>nd</w:t>
      </w:r>
      <w:r w:rsidR="00C531F3">
        <w:rPr>
          <w:rFonts w:ascii="Arial" w:hAnsi="Arial" w:cs="Arial"/>
          <w:szCs w:val="24"/>
        </w:rPr>
        <w:t xml:space="preserve"> Omnibus does not include moneys to support the Coalition of Labor Agreements that are currently being negotiated.  Executive staff note that the </w:t>
      </w:r>
      <w:r w:rsidR="00C531F3" w:rsidRPr="0083272B">
        <w:rPr>
          <w:rFonts w:ascii="Arial" w:hAnsi="Arial" w:cs="Arial"/>
          <w:i/>
          <w:iCs/>
          <w:szCs w:val="24"/>
        </w:rPr>
        <w:t>Risk Reserve</w:t>
      </w:r>
      <w:r w:rsidR="00253282">
        <w:rPr>
          <w:rFonts w:ascii="Arial" w:hAnsi="Arial" w:cs="Arial"/>
          <w:szCs w:val="24"/>
        </w:rPr>
        <w:t xml:space="preserve">, which is currently at $40.7 million, would account for </w:t>
      </w:r>
      <w:r w:rsidR="0083272B">
        <w:rPr>
          <w:rFonts w:ascii="Arial" w:hAnsi="Arial" w:cs="Arial"/>
          <w:szCs w:val="24"/>
        </w:rPr>
        <w:t>new</w:t>
      </w:r>
      <w:r w:rsidR="00253282">
        <w:rPr>
          <w:rFonts w:ascii="Arial" w:hAnsi="Arial" w:cs="Arial"/>
          <w:szCs w:val="24"/>
        </w:rPr>
        <w:t xml:space="preserve"> General Fund costs as a result of the new agreements.  Executive staff estimate that </w:t>
      </w:r>
      <w:r w:rsidR="00C871A7">
        <w:rPr>
          <w:rFonts w:ascii="Arial" w:hAnsi="Arial" w:cs="Arial"/>
          <w:szCs w:val="24"/>
        </w:rPr>
        <w:t>a supplemental appropriations ordinance would be transmitted early next year to appropriate funds to support the new agreements.</w:t>
      </w:r>
    </w:p>
    <w:p w14:paraId="4B25D749" w14:textId="77777777" w:rsidR="0066435F" w:rsidRDefault="0066435F" w:rsidP="00926E2E">
      <w:pPr>
        <w:spacing w:line="264" w:lineRule="auto"/>
        <w:jc w:val="both"/>
        <w:rPr>
          <w:rFonts w:ascii="Arial" w:hAnsi="Arial" w:cs="Arial"/>
          <w:szCs w:val="24"/>
        </w:rPr>
      </w:pPr>
    </w:p>
    <w:p w14:paraId="0F3DC73C" w14:textId="7CFE590F" w:rsidR="0042791D" w:rsidRDefault="00C531F3" w:rsidP="00926E2E">
      <w:pPr>
        <w:spacing w:line="264" w:lineRule="auto"/>
        <w:jc w:val="both"/>
        <w:rPr>
          <w:rFonts w:ascii="Arial" w:hAnsi="Arial" w:cs="Arial"/>
          <w:szCs w:val="24"/>
        </w:rPr>
      </w:pPr>
      <w:r w:rsidRPr="00C531F3">
        <w:rPr>
          <w:rFonts w:ascii="Arial" w:hAnsi="Arial" w:cs="Arial"/>
          <w:i/>
          <w:iCs/>
          <w:szCs w:val="24"/>
        </w:rPr>
        <w:t>Rainy Day Reserve.</w:t>
      </w:r>
      <w:r>
        <w:rPr>
          <w:rFonts w:ascii="Arial" w:hAnsi="Arial" w:cs="Arial"/>
          <w:szCs w:val="24"/>
        </w:rPr>
        <w:t xml:space="preserve">  </w:t>
      </w:r>
      <w:r w:rsidR="00C70220">
        <w:rPr>
          <w:rFonts w:ascii="Arial" w:hAnsi="Arial" w:cs="Arial"/>
          <w:szCs w:val="24"/>
        </w:rPr>
        <w:t>Lastly, a</w:t>
      </w:r>
      <w:r w:rsidR="00D6760D">
        <w:rPr>
          <w:rFonts w:ascii="Arial" w:hAnsi="Arial" w:cs="Arial"/>
          <w:szCs w:val="24"/>
        </w:rPr>
        <w:t xml:space="preserve">s per </w:t>
      </w:r>
      <w:r w:rsidR="00A26ACA">
        <w:rPr>
          <w:rFonts w:ascii="Arial" w:hAnsi="Arial" w:cs="Arial"/>
          <w:szCs w:val="24"/>
        </w:rPr>
        <w:t>the CFMP</w:t>
      </w:r>
      <w:r w:rsidR="00D6760D">
        <w:rPr>
          <w:rFonts w:ascii="Arial" w:hAnsi="Arial" w:cs="Arial"/>
          <w:szCs w:val="24"/>
        </w:rPr>
        <w:t xml:space="preserve">, </w:t>
      </w:r>
      <w:r w:rsidR="00C70220">
        <w:rPr>
          <w:rFonts w:ascii="Arial" w:hAnsi="Arial" w:cs="Arial"/>
          <w:szCs w:val="24"/>
        </w:rPr>
        <w:t xml:space="preserve">the </w:t>
      </w:r>
      <w:r w:rsidR="00D6760D" w:rsidRPr="00D6760D">
        <w:rPr>
          <w:rFonts w:ascii="Arial" w:hAnsi="Arial" w:cs="Arial"/>
          <w:i/>
          <w:iCs/>
          <w:szCs w:val="24"/>
        </w:rPr>
        <w:t>Rainy Day Reserve</w:t>
      </w:r>
      <w:r w:rsidR="00D6760D" w:rsidRPr="00D6760D">
        <w:rPr>
          <w:rFonts w:ascii="Arial" w:hAnsi="Arial" w:cs="Arial"/>
          <w:szCs w:val="24"/>
        </w:rPr>
        <w:t xml:space="preserve"> </w:t>
      </w:r>
      <w:r w:rsidR="00C70220">
        <w:rPr>
          <w:rFonts w:ascii="Arial" w:hAnsi="Arial" w:cs="Arial"/>
          <w:szCs w:val="24"/>
        </w:rPr>
        <w:t>is</w:t>
      </w:r>
      <w:r w:rsidR="00D6760D" w:rsidRPr="00D6760D">
        <w:rPr>
          <w:rFonts w:ascii="Arial" w:hAnsi="Arial" w:cs="Arial"/>
          <w:szCs w:val="24"/>
        </w:rPr>
        <w:t xml:space="preserve"> designed to offset unknown and known risks, variable costs, and unanticipated revenue fluctuations and should equal to 30-60 days of expenditures.</w:t>
      </w:r>
      <w:r w:rsidR="00C12435">
        <w:rPr>
          <w:rFonts w:ascii="Arial" w:hAnsi="Arial" w:cs="Arial"/>
          <w:szCs w:val="24"/>
        </w:rPr>
        <w:t xml:space="preserve">  </w:t>
      </w:r>
      <w:r w:rsidR="00C12435" w:rsidRPr="00B72BC7">
        <w:rPr>
          <w:rFonts w:ascii="Arial" w:hAnsi="Arial" w:cs="Arial"/>
          <w:szCs w:val="24"/>
        </w:rPr>
        <w:t xml:space="preserve">The </w:t>
      </w:r>
      <w:r w:rsidR="00C12435" w:rsidRPr="00A26C6A">
        <w:rPr>
          <w:rFonts w:ascii="Arial" w:hAnsi="Arial" w:cs="Arial"/>
          <w:i/>
          <w:iCs/>
          <w:szCs w:val="24"/>
        </w:rPr>
        <w:t>Rainy Day Reserve</w:t>
      </w:r>
      <w:r w:rsidR="00C12435" w:rsidRPr="00B72BC7">
        <w:rPr>
          <w:rFonts w:ascii="Arial" w:hAnsi="Arial" w:cs="Arial"/>
          <w:szCs w:val="24"/>
        </w:rPr>
        <w:t xml:space="preserve"> Fund can only be used in the event of an emergency declared by the </w:t>
      </w:r>
      <w:r w:rsidR="00C70220">
        <w:rPr>
          <w:rFonts w:ascii="Arial" w:hAnsi="Arial" w:cs="Arial"/>
          <w:szCs w:val="24"/>
        </w:rPr>
        <w:t>c</w:t>
      </w:r>
      <w:r w:rsidR="00C12435" w:rsidRPr="00B72BC7">
        <w:rPr>
          <w:rFonts w:ascii="Arial" w:hAnsi="Arial" w:cs="Arial"/>
          <w:szCs w:val="24"/>
        </w:rPr>
        <w:t>ouncil.</w:t>
      </w:r>
      <w:r w:rsidR="00C12435">
        <w:rPr>
          <w:rFonts w:ascii="Arial" w:hAnsi="Arial" w:cs="Arial"/>
          <w:szCs w:val="24"/>
        </w:rPr>
        <w:t xml:space="preserve">  </w:t>
      </w:r>
      <w:r w:rsidR="00973B50">
        <w:rPr>
          <w:rFonts w:ascii="Arial" w:hAnsi="Arial" w:cs="Arial"/>
          <w:szCs w:val="24"/>
        </w:rPr>
        <w:t xml:space="preserve">For the 2021-2022 adopted budget, the council </w:t>
      </w:r>
      <w:r w:rsidR="00A26C6A">
        <w:rPr>
          <w:rFonts w:ascii="Arial" w:hAnsi="Arial" w:cs="Arial"/>
          <w:szCs w:val="24"/>
        </w:rPr>
        <w:t>expended</w:t>
      </w:r>
      <w:r w:rsidR="00973B50">
        <w:rPr>
          <w:rFonts w:ascii="Arial" w:hAnsi="Arial" w:cs="Arial"/>
          <w:szCs w:val="24"/>
        </w:rPr>
        <w:t xml:space="preserve"> $5.9 million of</w:t>
      </w:r>
      <w:r w:rsidR="00C12435">
        <w:rPr>
          <w:rFonts w:ascii="Arial" w:hAnsi="Arial" w:cs="Arial"/>
          <w:szCs w:val="24"/>
        </w:rPr>
        <w:t xml:space="preserve"> the</w:t>
      </w:r>
      <w:r w:rsidR="00973B50">
        <w:rPr>
          <w:rFonts w:ascii="Arial" w:hAnsi="Arial" w:cs="Arial"/>
          <w:szCs w:val="24"/>
        </w:rPr>
        <w:t xml:space="preserve"> </w:t>
      </w:r>
      <w:r w:rsidR="00973B50" w:rsidRPr="00C12435">
        <w:rPr>
          <w:rFonts w:ascii="Arial" w:hAnsi="Arial" w:cs="Arial"/>
          <w:i/>
          <w:iCs/>
          <w:szCs w:val="24"/>
        </w:rPr>
        <w:t>Rainy Day Reserve</w:t>
      </w:r>
      <w:r w:rsidR="00973B50">
        <w:rPr>
          <w:rFonts w:ascii="Arial" w:hAnsi="Arial" w:cs="Arial"/>
          <w:szCs w:val="24"/>
        </w:rPr>
        <w:t xml:space="preserve"> to support one-month of COVID-19 response efforts (</w:t>
      </w:r>
      <w:r w:rsidR="00ED03F6">
        <w:rPr>
          <w:rFonts w:ascii="Arial" w:hAnsi="Arial" w:cs="Arial"/>
          <w:szCs w:val="24"/>
        </w:rPr>
        <w:t>e.g.,</w:t>
      </w:r>
      <w:r w:rsidR="00973B50">
        <w:rPr>
          <w:rFonts w:ascii="Arial" w:hAnsi="Arial" w:cs="Arial"/>
          <w:szCs w:val="24"/>
        </w:rPr>
        <w:t xml:space="preserve"> isolation and deintensification facilities)  and to continue the JustCARE program.  </w:t>
      </w:r>
      <w:r w:rsidR="00A26C6A">
        <w:rPr>
          <w:rFonts w:ascii="Arial" w:hAnsi="Arial" w:cs="Arial"/>
          <w:szCs w:val="24"/>
        </w:rPr>
        <w:t>This lowered t</w:t>
      </w:r>
      <w:r w:rsidR="003843E4">
        <w:rPr>
          <w:rFonts w:ascii="Arial" w:hAnsi="Arial" w:cs="Arial"/>
          <w:szCs w:val="24"/>
        </w:rPr>
        <w:t xml:space="preserve">he </w:t>
      </w:r>
      <w:r w:rsidR="003843E4" w:rsidRPr="008175E3">
        <w:rPr>
          <w:rFonts w:ascii="Arial" w:hAnsi="Arial" w:cs="Arial"/>
          <w:i/>
          <w:szCs w:val="24"/>
        </w:rPr>
        <w:t>Rainy Day Reserve</w:t>
      </w:r>
      <w:r w:rsidR="00682F96">
        <w:rPr>
          <w:rFonts w:ascii="Arial" w:hAnsi="Arial" w:cs="Arial"/>
          <w:i/>
          <w:szCs w:val="24"/>
        </w:rPr>
        <w:t xml:space="preserve"> </w:t>
      </w:r>
      <w:r w:rsidR="00A26C6A">
        <w:rPr>
          <w:rFonts w:ascii="Arial" w:hAnsi="Arial" w:cs="Arial"/>
          <w:iCs/>
          <w:szCs w:val="24"/>
        </w:rPr>
        <w:t xml:space="preserve">to </w:t>
      </w:r>
      <w:r w:rsidR="003843E4">
        <w:rPr>
          <w:rFonts w:ascii="Arial" w:hAnsi="Arial" w:cs="Arial"/>
          <w:szCs w:val="24"/>
        </w:rPr>
        <w:t>$20.7</w:t>
      </w:r>
      <w:r w:rsidR="00A26C6A">
        <w:rPr>
          <w:rFonts w:ascii="Arial" w:hAnsi="Arial" w:cs="Arial"/>
          <w:szCs w:val="24"/>
        </w:rPr>
        <w:t xml:space="preserve"> million, a level that </w:t>
      </w:r>
      <w:r w:rsidR="00973B50">
        <w:rPr>
          <w:rFonts w:ascii="Arial" w:hAnsi="Arial" w:cs="Arial"/>
          <w:szCs w:val="24"/>
        </w:rPr>
        <w:t>does not support 30-60 days of expenditures</w:t>
      </w:r>
      <w:r w:rsidR="00C12435">
        <w:rPr>
          <w:rFonts w:ascii="Arial" w:hAnsi="Arial" w:cs="Arial"/>
          <w:szCs w:val="24"/>
        </w:rPr>
        <w:t xml:space="preserve"> as per county policy</w:t>
      </w:r>
      <w:r w:rsidR="00973B50">
        <w:rPr>
          <w:rFonts w:ascii="Arial" w:hAnsi="Arial" w:cs="Arial"/>
          <w:szCs w:val="24"/>
        </w:rPr>
        <w:t xml:space="preserve">. </w:t>
      </w:r>
      <w:r w:rsidR="00A26C6A">
        <w:rPr>
          <w:rFonts w:ascii="Arial" w:hAnsi="Arial" w:cs="Arial"/>
          <w:szCs w:val="24"/>
        </w:rPr>
        <w:t xml:space="preserve">The </w:t>
      </w:r>
      <w:r w:rsidR="00A26C6A" w:rsidRPr="00A26C6A">
        <w:rPr>
          <w:rFonts w:ascii="Arial" w:hAnsi="Arial" w:cs="Arial"/>
          <w:i/>
          <w:iCs/>
          <w:szCs w:val="24"/>
        </w:rPr>
        <w:t>Rainy Day Reserve</w:t>
      </w:r>
      <w:r w:rsidR="00A26C6A">
        <w:rPr>
          <w:rFonts w:ascii="Arial" w:hAnsi="Arial" w:cs="Arial"/>
          <w:szCs w:val="24"/>
        </w:rPr>
        <w:t xml:space="preserve"> for the 2021-2022 current budget</w:t>
      </w:r>
      <w:r w:rsidR="00973B50">
        <w:rPr>
          <w:rFonts w:ascii="Arial" w:hAnsi="Arial" w:cs="Arial"/>
          <w:szCs w:val="24"/>
        </w:rPr>
        <w:t xml:space="preserve"> </w:t>
      </w:r>
      <w:r w:rsidR="00A26C6A">
        <w:rPr>
          <w:rFonts w:ascii="Arial" w:hAnsi="Arial" w:cs="Arial"/>
          <w:szCs w:val="24"/>
        </w:rPr>
        <w:t xml:space="preserve">remains unchanged. </w:t>
      </w:r>
      <w:r w:rsidR="00E9648D">
        <w:rPr>
          <w:rFonts w:ascii="Arial" w:hAnsi="Arial" w:cs="Arial"/>
          <w:szCs w:val="24"/>
        </w:rPr>
        <w:t xml:space="preserve"> </w:t>
      </w:r>
      <w:r w:rsidR="00973B50">
        <w:rPr>
          <w:rFonts w:ascii="Arial" w:hAnsi="Arial" w:cs="Arial"/>
          <w:szCs w:val="24"/>
        </w:rPr>
        <w:t>However, the executive proposes</w:t>
      </w:r>
      <w:r w:rsidR="00C12435">
        <w:rPr>
          <w:rFonts w:ascii="Arial" w:hAnsi="Arial" w:cs="Arial"/>
          <w:szCs w:val="24"/>
        </w:rPr>
        <w:t xml:space="preserve"> to increase the </w:t>
      </w:r>
      <w:r w:rsidR="00C12435" w:rsidRPr="00C12435">
        <w:rPr>
          <w:rFonts w:ascii="Arial" w:hAnsi="Arial" w:cs="Arial"/>
          <w:i/>
          <w:iCs/>
          <w:szCs w:val="24"/>
        </w:rPr>
        <w:t>Rainy Day Reserve</w:t>
      </w:r>
      <w:r w:rsidR="00C12435">
        <w:rPr>
          <w:rFonts w:ascii="Arial" w:hAnsi="Arial" w:cs="Arial"/>
          <w:szCs w:val="24"/>
        </w:rPr>
        <w:t xml:space="preserve"> to $26.4 million through a future supplemental appropriation ordinance in 2022 to meet policy targets.</w:t>
      </w:r>
    </w:p>
    <w:p w14:paraId="44AB842B" w14:textId="02FA38DF" w:rsidR="006D27F1" w:rsidRDefault="006D27F1" w:rsidP="00926E2E">
      <w:pPr>
        <w:spacing w:line="264" w:lineRule="auto"/>
        <w:jc w:val="both"/>
        <w:rPr>
          <w:rFonts w:ascii="Arial" w:hAnsi="Arial" w:cs="Arial"/>
          <w:szCs w:val="24"/>
        </w:rPr>
      </w:pPr>
    </w:p>
    <w:p w14:paraId="1AAB2E11" w14:textId="4A6C86FE" w:rsidR="006D27F1" w:rsidRPr="00C25A8B" w:rsidRDefault="006D27F1" w:rsidP="006D27F1">
      <w:pPr>
        <w:keepNext/>
        <w:spacing w:line="264" w:lineRule="auto"/>
        <w:jc w:val="both"/>
        <w:rPr>
          <w:rFonts w:ascii="Arial" w:hAnsi="Arial" w:cs="Arial"/>
          <w:color w:val="4F81BD" w:themeColor="accent1"/>
        </w:rPr>
      </w:pPr>
      <w:r>
        <w:rPr>
          <w:rFonts w:ascii="Arial" w:hAnsi="Arial" w:cs="Arial"/>
          <w:color w:val="4F81BD" w:themeColor="accent1"/>
        </w:rPr>
        <w:lastRenderedPageBreak/>
        <w:t>On October 27</w:t>
      </w:r>
      <w:r w:rsidRPr="540224F8">
        <w:rPr>
          <w:rFonts w:ascii="Arial" w:hAnsi="Arial" w:cs="Arial"/>
          <w:color w:val="4F81BD" w:themeColor="accent1"/>
        </w:rPr>
        <w:t xml:space="preserve">, the County Assessor </w:t>
      </w:r>
      <w:r>
        <w:rPr>
          <w:rFonts w:ascii="Arial" w:hAnsi="Arial" w:cs="Arial"/>
          <w:color w:val="4F81BD" w:themeColor="accent1"/>
        </w:rPr>
        <w:t xml:space="preserve">provided updated 2021 assessment values for new construction in the county.  </w:t>
      </w:r>
      <w:r w:rsidR="00F705F7">
        <w:rPr>
          <w:rFonts w:ascii="Arial" w:hAnsi="Arial" w:cs="Arial"/>
          <w:color w:val="4F81BD" w:themeColor="accent1"/>
        </w:rPr>
        <w:t xml:space="preserve">The </w:t>
      </w:r>
      <w:r w:rsidR="00777253">
        <w:rPr>
          <w:rFonts w:ascii="Arial" w:hAnsi="Arial" w:cs="Arial"/>
          <w:color w:val="4F81BD" w:themeColor="accent1"/>
        </w:rPr>
        <w:t xml:space="preserve">assessed value increased from $9.5 billion to $10.0 billion </w:t>
      </w:r>
      <w:r w:rsidR="00FA5CBC">
        <w:rPr>
          <w:rFonts w:ascii="Arial" w:hAnsi="Arial" w:cs="Arial"/>
          <w:color w:val="4F81BD" w:themeColor="accent1"/>
        </w:rPr>
        <w:t xml:space="preserve">compared to the August 2021 OEFA forecast.  </w:t>
      </w:r>
      <w:r>
        <w:rPr>
          <w:rFonts w:ascii="Arial" w:hAnsi="Arial" w:cs="Arial"/>
          <w:color w:val="4F81BD" w:themeColor="accent1"/>
        </w:rPr>
        <w:t xml:space="preserve">The </w:t>
      </w:r>
      <w:r w:rsidR="00602EB8">
        <w:rPr>
          <w:rFonts w:ascii="Arial" w:hAnsi="Arial" w:cs="Arial"/>
          <w:color w:val="4F81BD" w:themeColor="accent1"/>
        </w:rPr>
        <w:t xml:space="preserve">updated values would </w:t>
      </w:r>
      <w:r w:rsidR="00654630">
        <w:rPr>
          <w:rFonts w:ascii="Arial" w:hAnsi="Arial" w:cs="Arial"/>
          <w:color w:val="4F81BD" w:themeColor="accent1"/>
        </w:rPr>
        <w:t>provide an additional $</w:t>
      </w:r>
      <w:r w:rsidR="00D225AD">
        <w:rPr>
          <w:rFonts w:ascii="Arial" w:hAnsi="Arial" w:cs="Arial"/>
          <w:color w:val="4F81BD" w:themeColor="accent1"/>
        </w:rPr>
        <w:t>30</w:t>
      </w:r>
      <w:r w:rsidR="00353AE4">
        <w:rPr>
          <w:rFonts w:ascii="Arial" w:hAnsi="Arial" w:cs="Arial"/>
          <w:color w:val="4F81BD" w:themeColor="accent1"/>
        </w:rPr>
        <w:t>8</w:t>
      </w:r>
      <w:r w:rsidR="00D225AD">
        <w:rPr>
          <w:rFonts w:ascii="Arial" w:hAnsi="Arial" w:cs="Arial"/>
          <w:color w:val="4F81BD" w:themeColor="accent1"/>
        </w:rPr>
        <w:t xml:space="preserve">,000 to the General Fund for </w:t>
      </w:r>
      <w:r w:rsidR="00353AE4">
        <w:rPr>
          <w:rFonts w:ascii="Arial" w:hAnsi="Arial" w:cs="Arial"/>
          <w:color w:val="4F81BD" w:themeColor="accent1"/>
        </w:rPr>
        <w:t>the biennium</w:t>
      </w:r>
      <w:r w:rsidR="00D225AD">
        <w:rPr>
          <w:rFonts w:ascii="Arial" w:hAnsi="Arial" w:cs="Arial"/>
          <w:color w:val="4F81BD" w:themeColor="accent1"/>
        </w:rPr>
        <w:t xml:space="preserve">. </w:t>
      </w:r>
    </w:p>
    <w:p w14:paraId="0BB57D12" w14:textId="18BD64E6" w:rsidR="00332BEC" w:rsidRDefault="00332BEC" w:rsidP="000D356F">
      <w:pPr>
        <w:spacing w:line="264" w:lineRule="auto"/>
        <w:jc w:val="both"/>
        <w:rPr>
          <w:rFonts w:ascii="Arial" w:hAnsi="Arial" w:cs="Arial"/>
          <w:szCs w:val="24"/>
        </w:rPr>
      </w:pPr>
    </w:p>
    <w:p w14:paraId="43058685" w14:textId="29126BC1" w:rsidR="00BB5CEE" w:rsidRDefault="00FF3751" w:rsidP="000D356F">
      <w:pPr>
        <w:spacing w:line="264" w:lineRule="auto"/>
        <w:jc w:val="both"/>
        <w:rPr>
          <w:rFonts w:ascii="Arial" w:hAnsi="Arial" w:cs="Arial"/>
          <w:szCs w:val="24"/>
        </w:rPr>
      </w:pPr>
      <w:r w:rsidRPr="00B040E2">
        <w:rPr>
          <w:rFonts w:ascii="Arial" w:hAnsi="Arial" w:cs="Arial"/>
          <w:b/>
          <w:bCs/>
          <w:szCs w:val="24"/>
        </w:rPr>
        <w:t>Proposed Appropriation</w:t>
      </w:r>
      <w:r>
        <w:rPr>
          <w:rFonts w:ascii="Arial" w:hAnsi="Arial" w:cs="Arial"/>
          <w:b/>
          <w:bCs/>
          <w:szCs w:val="24"/>
        </w:rPr>
        <w:t>s</w:t>
      </w:r>
      <w:r w:rsidRPr="00B040E2">
        <w:rPr>
          <w:rFonts w:ascii="Arial" w:hAnsi="Arial" w:cs="Arial"/>
          <w:b/>
          <w:bCs/>
          <w:szCs w:val="24"/>
        </w:rPr>
        <w:t xml:space="preserve"> Detai</w:t>
      </w:r>
      <w:r w:rsidR="003F6811">
        <w:rPr>
          <w:rFonts w:ascii="Arial" w:hAnsi="Arial" w:cs="Arial"/>
          <w:b/>
          <w:bCs/>
          <w:szCs w:val="24"/>
        </w:rPr>
        <w:t>ls</w:t>
      </w:r>
      <w:r w:rsidRPr="00B040E2">
        <w:rPr>
          <w:rFonts w:ascii="Arial" w:hAnsi="Arial" w:cs="Arial"/>
          <w:b/>
          <w:bCs/>
          <w:szCs w:val="24"/>
        </w:rPr>
        <w:t>.</w:t>
      </w:r>
      <w:r>
        <w:rPr>
          <w:rFonts w:ascii="Arial" w:hAnsi="Arial" w:cs="Arial"/>
          <w:szCs w:val="24"/>
        </w:rPr>
        <w:t xml:space="preserve">  This section</w:t>
      </w:r>
      <w:r w:rsidRPr="00B72BC7">
        <w:rPr>
          <w:rFonts w:ascii="Arial" w:hAnsi="Arial" w:cs="Arial"/>
          <w:szCs w:val="24"/>
        </w:rPr>
        <w:t xml:space="preserve"> provides</w:t>
      </w:r>
      <w:r w:rsidR="00E042CA">
        <w:rPr>
          <w:rFonts w:ascii="Arial" w:hAnsi="Arial" w:cs="Arial"/>
          <w:szCs w:val="24"/>
        </w:rPr>
        <w:t xml:space="preserve"> </w:t>
      </w:r>
      <w:r w:rsidRPr="00B72BC7">
        <w:rPr>
          <w:rFonts w:ascii="Arial" w:hAnsi="Arial" w:cs="Arial"/>
          <w:szCs w:val="24"/>
        </w:rPr>
        <w:t>ana</w:t>
      </w:r>
      <w:r>
        <w:rPr>
          <w:rFonts w:ascii="Arial" w:hAnsi="Arial" w:cs="Arial"/>
          <w:szCs w:val="24"/>
        </w:rPr>
        <w:t>lysis o</w:t>
      </w:r>
      <w:r w:rsidR="00E042CA">
        <w:rPr>
          <w:rFonts w:ascii="Arial" w:hAnsi="Arial" w:cs="Arial"/>
          <w:szCs w:val="24"/>
        </w:rPr>
        <w:t xml:space="preserve">f the proposed appropriations included in </w:t>
      </w:r>
      <w:r>
        <w:rPr>
          <w:rFonts w:ascii="Arial" w:hAnsi="Arial" w:cs="Arial"/>
          <w:szCs w:val="24"/>
        </w:rPr>
        <w:t xml:space="preserve">the 2021 </w:t>
      </w:r>
      <w:r w:rsidR="00E042CA">
        <w:rPr>
          <w:rFonts w:ascii="Arial" w:hAnsi="Arial" w:cs="Arial"/>
          <w:szCs w:val="24"/>
        </w:rPr>
        <w:t>2</w:t>
      </w:r>
      <w:r w:rsidR="00E042CA" w:rsidRPr="00E042CA">
        <w:rPr>
          <w:rFonts w:ascii="Arial" w:hAnsi="Arial" w:cs="Arial"/>
          <w:szCs w:val="24"/>
          <w:vertAlign w:val="superscript"/>
        </w:rPr>
        <w:t>nd</w:t>
      </w:r>
      <w:r w:rsidR="00E042CA">
        <w:rPr>
          <w:rFonts w:ascii="Arial" w:hAnsi="Arial" w:cs="Arial"/>
          <w:szCs w:val="24"/>
        </w:rPr>
        <w:t xml:space="preserve"> </w:t>
      </w:r>
      <w:r>
        <w:rPr>
          <w:rFonts w:ascii="Arial" w:hAnsi="Arial" w:cs="Arial"/>
          <w:szCs w:val="24"/>
        </w:rPr>
        <w:t>Omnibus</w:t>
      </w:r>
      <w:r w:rsidR="00E042CA">
        <w:rPr>
          <w:rFonts w:ascii="Arial" w:hAnsi="Arial" w:cs="Arial"/>
          <w:szCs w:val="24"/>
        </w:rPr>
        <w:t>.  The first subsection includes a summary of the executive proposed $20 million Climate Equity Capital Pool program which includes proposed appropriations across multiple agencies.  Subsequent subsections are</w:t>
      </w:r>
      <w:r w:rsidR="006B11F2">
        <w:rPr>
          <w:rFonts w:ascii="Arial" w:hAnsi="Arial" w:cs="Arial"/>
          <w:szCs w:val="24"/>
        </w:rPr>
        <w:t xml:space="preserve"> ordered </w:t>
      </w:r>
      <w:r w:rsidR="00A06F06">
        <w:rPr>
          <w:rFonts w:ascii="Arial" w:hAnsi="Arial" w:cs="Arial"/>
          <w:szCs w:val="24"/>
        </w:rPr>
        <w:t xml:space="preserve">as </w:t>
      </w:r>
      <w:r w:rsidR="00B25AAA">
        <w:rPr>
          <w:rFonts w:ascii="Arial" w:hAnsi="Arial" w:cs="Arial"/>
          <w:szCs w:val="24"/>
        </w:rPr>
        <w:t xml:space="preserve">sequentially </w:t>
      </w:r>
      <w:r w:rsidR="00E042CA">
        <w:rPr>
          <w:rFonts w:ascii="Arial" w:hAnsi="Arial" w:cs="Arial"/>
          <w:szCs w:val="24"/>
        </w:rPr>
        <w:t xml:space="preserve">listed in the proposed </w:t>
      </w:r>
      <w:r w:rsidR="00B25AAA">
        <w:rPr>
          <w:rFonts w:ascii="Arial" w:hAnsi="Arial" w:cs="Arial"/>
          <w:szCs w:val="24"/>
        </w:rPr>
        <w:t>ordinance</w:t>
      </w:r>
      <w:r w:rsidR="00024B6C">
        <w:rPr>
          <w:rFonts w:ascii="Arial" w:hAnsi="Arial" w:cs="Arial"/>
          <w:szCs w:val="24"/>
        </w:rPr>
        <w:t xml:space="preserve"> which begins </w:t>
      </w:r>
      <w:r w:rsidR="008B3419">
        <w:rPr>
          <w:rFonts w:ascii="Arial" w:hAnsi="Arial" w:cs="Arial"/>
          <w:szCs w:val="24"/>
        </w:rPr>
        <w:t>with</w:t>
      </w:r>
      <w:r w:rsidR="00E042CA">
        <w:rPr>
          <w:rFonts w:ascii="Arial" w:hAnsi="Arial" w:cs="Arial"/>
          <w:szCs w:val="24"/>
        </w:rPr>
        <w:t xml:space="preserve"> General Fund agencies</w:t>
      </w:r>
      <w:r w:rsidR="00024B6C">
        <w:rPr>
          <w:rFonts w:ascii="Arial" w:hAnsi="Arial" w:cs="Arial"/>
          <w:szCs w:val="24"/>
        </w:rPr>
        <w:t xml:space="preserve"> then </w:t>
      </w:r>
      <w:r w:rsidR="00E042CA">
        <w:rPr>
          <w:rFonts w:ascii="Arial" w:hAnsi="Arial" w:cs="Arial"/>
          <w:szCs w:val="24"/>
        </w:rPr>
        <w:t>followed by Non-General Fund agencies</w:t>
      </w:r>
      <w:r w:rsidR="00024B6C">
        <w:rPr>
          <w:rFonts w:ascii="Arial" w:hAnsi="Arial" w:cs="Arial"/>
          <w:szCs w:val="24"/>
        </w:rPr>
        <w:t xml:space="preserve">.  </w:t>
      </w:r>
      <w:r w:rsidR="00902BE2">
        <w:rPr>
          <w:rFonts w:ascii="Arial" w:hAnsi="Arial" w:cs="Arial"/>
          <w:szCs w:val="24"/>
        </w:rPr>
        <w:t>The capital funds are included with their respective operating funds.  Lastly, a</w:t>
      </w:r>
      <w:r w:rsidR="00245E9D">
        <w:rPr>
          <w:rFonts w:ascii="Arial" w:hAnsi="Arial" w:cs="Arial"/>
          <w:szCs w:val="24"/>
        </w:rPr>
        <w:t xml:space="preserve">ny proposed appropriations that are </w:t>
      </w:r>
      <w:r w:rsidR="00D42E26">
        <w:rPr>
          <w:rFonts w:ascii="Arial" w:hAnsi="Arial" w:cs="Arial"/>
          <w:szCs w:val="24"/>
        </w:rPr>
        <w:t>either reappropriations</w:t>
      </w:r>
      <w:r w:rsidR="00F9003E">
        <w:rPr>
          <w:rStyle w:val="FootnoteReference"/>
          <w:rFonts w:ascii="Arial" w:hAnsi="Arial" w:cs="Arial"/>
          <w:szCs w:val="24"/>
        </w:rPr>
        <w:footnoteReference w:id="5"/>
      </w:r>
      <w:r w:rsidR="00D42E26">
        <w:rPr>
          <w:rFonts w:ascii="Arial" w:hAnsi="Arial" w:cs="Arial"/>
          <w:szCs w:val="24"/>
        </w:rPr>
        <w:t xml:space="preserve"> or technical </w:t>
      </w:r>
      <w:r w:rsidR="00F9003E">
        <w:rPr>
          <w:rFonts w:ascii="Arial" w:hAnsi="Arial" w:cs="Arial"/>
          <w:szCs w:val="24"/>
        </w:rPr>
        <w:t>adjustments</w:t>
      </w:r>
      <w:r w:rsidR="00F9003E">
        <w:rPr>
          <w:rStyle w:val="FootnoteReference"/>
          <w:rFonts w:ascii="Arial" w:hAnsi="Arial" w:cs="Arial"/>
          <w:szCs w:val="24"/>
        </w:rPr>
        <w:footnoteReference w:id="6"/>
      </w:r>
      <w:r w:rsidR="00D42E26">
        <w:rPr>
          <w:rFonts w:ascii="Arial" w:hAnsi="Arial" w:cs="Arial"/>
          <w:szCs w:val="24"/>
        </w:rPr>
        <w:t xml:space="preserve"> are </w:t>
      </w:r>
      <w:r w:rsidR="00F9003E">
        <w:rPr>
          <w:rFonts w:ascii="Arial" w:hAnsi="Arial" w:cs="Arial"/>
          <w:szCs w:val="24"/>
        </w:rPr>
        <w:t>identified</w:t>
      </w:r>
      <w:r w:rsidR="00902BE2">
        <w:rPr>
          <w:rFonts w:ascii="Arial" w:hAnsi="Arial" w:cs="Arial"/>
          <w:szCs w:val="24"/>
        </w:rPr>
        <w:t xml:space="preserve"> as so</w:t>
      </w:r>
      <w:r w:rsidR="00F9003E">
        <w:rPr>
          <w:rFonts w:ascii="Arial" w:hAnsi="Arial" w:cs="Arial"/>
          <w:szCs w:val="24"/>
        </w:rPr>
        <w:t xml:space="preserve"> and grouped separately.</w:t>
      </w:r>
    </w:p>
    <w:p w14:paraId="1BB6649B" w14:textId="77777777" w:rsidR="003F396A" w:rsidRDefault="003F396A" w:rsidP="000D356F">
      <w:pPr>
        <w:spacing w:line="264" w:lineRule="auto"/>
        <w:jc w:val="both"/>
        <w:rPr>
          <w:rFonts w:ascii="Arial" w:hAnsi="Arial" w:cs="Arial"/>
          <w:szCs w:val="24"/>
        </w:rPr>
      </w:pPr>
    </w:p>
    <w:p w14:paraId="0EE4D1DB" w14:textId="522385EE" w:rsidR="003F6811" w:rsidRPr="000E7446" w:rsidRDefault="003F6811" w:rsidP="003F6811">
      <w:pPr>
        <w:tabs>
          <w:tab w:val="left" w:pos="720"/>
          <w:tab w:val="right" w:pos="9360"/>
        </w:tabs>
        <w:spacing w:line="264" w:lineRule="auto"/>
        <w:contextualSpacing/>
        <w:jc w:val="both"/>
        <w:rPr>
          <w:rFonts w:ascii="Arial" w:hAnsi="Arial" w:cs="Arial"/>
          <w:b/>
          <w:u w:val="single"/>
        </w:rPr>
      </w:pPr>
      <w:r>
        <w:rPr>
          <w:rFonts w:ascii="Arial" w:hAnsi="Arial" w:cs="Arial"/>
          <w:b/>
          <w:u w:val="single"/>
        </w:rPr>
        <w:t>Climate Equity Capital Pool</w:t>
      </w:r>
      <w:r w:rsidRPr="000E7446">
        <w:rPr>
          <w:rFonts w:ascii="Arial" w:hAnsi="Arial" w:cs="Arial"/>
          <w:b/>
          <w:u w:val="single"/>
        </w:rPr>
        <w:tab/>
      </w:r>
      <w:r w:rsidRPr="00F4600F">
        <w:rPr>
          <w:rFonts w:ascii="Arial" w:hAnsi="Arial" w:cs="Arial"/>
          <w:b/>
          <w:u w:val="single"/>
        </w:rPr>
        <w:t>$</w:t>
      </w:r>
      <w:r>
        <w:rPr>
          <w:rFonts w:ascii="Arial" w:hAnsi="Arial" w:cs="Arial"/>
          <w:b/>
          <w:u w:val="single"/>
        </w:rPr>
        <w:t>20</w:t>
      </w:r>
      <w:r w:rsidRPr="007177D2">
        <w:rPr>
          <w:rFonts w:ascii="Arial" w:hAnsi="Arial" w:cs="Arial"/>
          <w:b/>
          <w:u w:val="single"/>
        </w:rPr>
        <w:t>,</w:t>
      </w:r>
      <w:r w:rsidR="00A96A9F" w:rsidRPr="007177D2">
        <w:rPr>
          <w:rFonts w:ascii="Arial" w:hAnsi="Arial" w:cs="Arial"/>
          <w:b/>
          <w:u w:val="single"/>
        </w:rPr>
        <w:t>6</w:t>
      </w:r>
      <w:r w:rsidRPr="007177D2">
        <w:rPr>
          <w:rFonts w:ascii="Arial" w:hAnsi="Arial" w:cs="Arial"/>
          <w:b/>
          <w:u w:val="single"/>
        </w:rPr>
        <w:t>00</w:t>
      </w:r>
      <w:r>
        <w:rPr>
          <w:rFonts w:ascii="Arial" w:hAnsi="Arial" w:cs="Arial"/>
          <w:b/>
          <w:u w:val="single"/>
        </w:rPr>
        <w:t>,000</w:t>
      </w:r>
    </w:p>
    <w:p w14:paraId="4C310049" w14:textId="77777777" w:rsidR="003F6811" w:rsidRDefault="003F6811" w:rsidP="000D356F">
      <w:pPr>
        <w:spacing w:line="264" w:lineRule="auto"/>
        <w:jc w:val="both"/>
        <w:rPr>
          <w:rFonts w:ascii="Arial" w:hAnsi="Arial" w:cs="Arial"/>
          <w:szCs w:val="24"/>
        </w:rPr>
      </w:pPr>
    </w:p>
    <w:p w14:paraId="724FAA2F" w14:textId="7726B9CE" w:rsidR="00485872" w:rsidRDefault="00485872" w:rsidP="00485872">
      <w:pPr>
        <w:spacing w:line="264" w:lineRule="auto"/>
        <w:contextualSpacing/>
        <w:jc w:val="both"/>
        <w:rPr>
          <w:rFonts w:ascii="Arial" w:hAnsi="Arial" w:cs="Arial"/>
        </w:rPr>
      </w:pPr>
      <w:r w:rsidRPr="003D194D">
        <w:rPr>
          <w:rFonts w:ascii="Arial" w:hAnsi="Arial" w:cs="Arial"/>
        </w:rPr>
        <w:t xml:space="preserve">The </w:t>
      </w:r>
      <w:r>
        <w:rPr>
          <w:rFonts w:ascii="Arial" w:hAnsi="Arial" w:cs="Arial"/>
        </w:rPr>
        <w:t>Climate Equity Capital Pool is a $20 million pool of one-time funds supported through the issuance of new bonds with debt service paid by the General Fund.  The proposed capital projects are intended to center community voices, create green jobs for BIPOC communities, have environmental benefits, align with the Sustainable and Resilient Frontline Communities (SRFC) section of the Strategic Climate Action Plan (SCAP)</w:t>
      </w:r>
      <w:r>
        <w:rPr>
          <w:rStyle w:val="FootnoteReference"/>
          <w:rFonts w:ascii="Arial" w:hAnsi="Arial" w:cs="Arial"/>
        </w:rPr>
        <w:footnoteReference w:id="7"/>
      </w:r>
      <w:r>
        <w:rPr>
          <w:rFonts w:ascii="Arial" w:hAnsi="Arial" w:cs="Arial"/>
        </w:rPr>
        <w:t xml:space="preserve">.  The SRFC section of the SCAP was co-developed by Executive staff and members of the Climate Equity Community Task Force (CECTF).  The Taskforce is composed of approximately 22 community leaders who represent frontline communities, communities of color, immigrants, refugees, Native and Indigenous communities and groups like the Healthy King County Coalition, Metro Mobility Equity Cabinet, and King County Open Space Cabinet.  The Sustainable and Frontline Communities sections of the SCAP focuses on climate equity and community driven policy and recognizes the intersectionality of climate change as a threat multiplier to other social issues such as housing, green jobs and pathways, food security, and environmental health. </w:t>
      </w:r>
    </w:p>
    <w:p w14:paraId="7540D477" w14:textId="77777777" w:rsidR="00485872" w:rsidRDefault="00485872" w:rsidP="00485872">
      <w:pPr>
        <w:spacing w:line="264" w:lineRule="auto"/>
        <w:contextualSpacing/>
        <w:jc w:val="both"/>
        <w:rPr>
          <w:rFonts w:ascii="Arial" w:hAnsi="Arial" w:cs="Arial"/>
        </w:rPr>
      </w:pPr>
    </w:p>
    <w:p w14:paraId="5323E220" w14:textId="77777777" w:rsidR="00485872" w:rsidRDefault="00485872" w:rsidP="00485872">
      <w:pPr>
        <w:spacing w:line="264" w:lineRule="auto"/>
        <w:contextualSpacing/>
        <w:jc w:val="both"/>
        <w:rPr>
          <w:rFonts w:ascii="Arial" w:hAnsi="Arial" w:cs="Arial"/>
        </w:rPr>
      </w:pPr>
      <w:r>
        <w:rPr>
          <w:rFonts w:ascii="Arial" w:hAnsi="Arial" w:cs="Arial"/>
        </w:rPr>
        <w:t>Through a six-month process, the CECTF crafted the goals of the capital pool, developed criteria for project proposals, and ultimately selected the following project proposals in the table below for the inclusion in the 2</w:t>
      </w:r>
      <w:r w:rsidRPr="00106F86">
        <w:rPr>
          <w:rFonts w:ascii="Arial" w:hAnsi="Arial" w:cs="Arial"/>
          <w:vertAlign w:val="superscript"/>
        </w:rPr>
        <w:t>nd</w:t>
      </w:r>
      <w:r>
        <w:rPr>
          <w:rFonts w:ascii="Arial" w:hAnsi="Arial" w:cs="Arial"/>
        </w:rPr>
        <w:t xml:space="preserve"> omnibus budget proposal.  Details for each of the proposals are discussed in the narratives below the table.  Of note, t</w:t>
      </w:r>
      <w:r w:rsidRPr="00EA34DC">
        <w:rPr>
          <w:rFonts w:ascii="Arial" w:hAnsi="Arial" w:cs="Arial"/>
        </w:rPr>
        <w:t>he final bond amount will be determined at a later date when the Council approves separate legislation authorizing the issuance of the bonds.</w:t>
      </w:r>
    </w:p>
    <w:p w14:paraId="22A6BA12" w14:textId="77777777" w:rsidR="00485872" w:rsidRDefault="00485872" w:rsidP="00485872">
      <w:pPr>
        <w:spacing w:line="264" w:lineRule="auto"/>
        <w:contextualSpacing/>
        <w:jc w:val="both"/>
        <w:rPr>
          <w:rFonts w:ascii="Arial" w:hAnsi="Arial" w:cs="Arial"/>
        </w:rPr>
      </w:pPr>
    </w:p>
    <w:tbl>
      <w:tblPr>
        <w:tblStyle w:val="TableGrid"/>
        <w:tblW w:w="9360" w:type="dxa"/>
        <w:tblInd w:w="108" w:type="dxa"/>
        <w:tblLayout w:type="fixed"/>
        <w:tblLook w:val="04A0" w:firstRow="1" w:lastRow="0" w:firstColumn="1" w:lastColumn="0" w:noHBand="0" w:noVBand="1"/>
      </w:tblPr>
      <w:tblGrid>
        <w:gridCol w:w="571"/>
        <w:gridCol w:w="252"/>
        <w:gridCol w:w="3677"/>
        <w:gridCol w:w="270"/>
        <w:gridCol w:w="2610"/>
        <w:gridCol w:w="270"/>
        <w:gridCol w:w="1710"/>
      </w:tblGrid>
      <w:tr w:rsidR="00485872" w:rsidRPr="000B01DA" w14:paraId="4060A19E" w14:textId="77777777" w:rsidTr="00E34BBA">
        <w:trPr>
          <w:cantSplit/>
          <w:trHeight w:val="375"/>
          <w:tblHeader/>
        </w:trPr>
        <w:tc>
          <w:tcPr>
            <w:tcW w:w="571" w:type="dxa"/>
            <w:tcBorders>
              <w:top w:val="single" w:sz="18" w:space="0" w:color="auto"/>
              <w:left w:val="nil"/>
              <w:bottom w:val="single" w:sz="4" w:space="0" w:color="auto"/>
              <w:right w:val="nil"/>
            </w:tcBorders>
            <w:vAlign w:val="bottom"/>
          </w:tcPr>
          <w:p w14:paraId="713D1336" w14:textId="77777777" w:rsidR="00485872" w:rsidRPr="000B01DA" w:rsidRDefault="00485872" w:rsidP="00E34BBA">
            <w:pPr>
              <w:spacing w:line="264" w:lineRule="auto"/>
              <w:contextualSpacing/>
              <w:jc w:val="center"/>
              <w:rPr>
                <w:rFonts w:ascii="Arial" w:hAnsi="Arial" w:cs="Arial"/>
                <w:b/>
                <w:sz w:val="22"/>
                <w:szCs w:val="22"/>
              </w:rPr>
            </w:pPr>
            <w:r>
              <w:rPr>
                <w:rFonts w:ascii="Arial" w:hAnsi="Arial" w:cs="Arial"/>
                <w:b/>
                <w:sz w:val="22"/>
                <w:szCs w:val="22"/>
              </w:rPr>
              <w:t>No.</w:t>
            </w:r>
          </w:p>
        </w:tc>
        <w:tc>
          <w:tcPr>
            <w:tcW w:w="252" w:type="dxa"/>
            <w:tcBorders>
              <w:top w:val="single" w:sz="18" w:space="0" w:color="auto"/>
              <w:left w:val="nil"/>
              <w:bottom w:val="nil"/>
              <w:right w:val="nil"/>
            </w:tcBorders>
          </w:tcPr>
          <w:p w14:paraId="4F16F42E" w14:textId="77777777" w:rsidR="00485872" w:rsidRPr="000B01DA" w:rsidRDefault="00485872" w:rsidP="00E34BBA">
            <w:pPr>
              <w:spacing w:line="264" w:lineRule="auto"/>
              <w:contextualSpacing/>
              <w:jc w:val="both"/>
              <w:rPr>
                <w:rFonts w:ascii="Arial" w:hAnsi="Arial" w:cs="Arial"/>
                <w:b/>
                <w:sz w:val="22"/>
                <w:szCs w:val="22"/>
              </w:rPr>
            </w:pPr>
          </w:p>
        </w:tc>
        <w:tc>
          <w:tcPr>
            <w:tcW w:w="3677" w:type="dxa"/>
            <w:tcBorders>
              <w:top w:val="single" w:sz="18" w:space="0" w:color="auto"/>
              <w:left w:val="nil"/>
              <w:bottom w:val="single" w:sz="4" w:space="0" w:color="auto"/>
              <w:right w:val="nil"/>
            </w:tcBorders>
            <w:shd w:val="clear" w:color="auto" w:fill="auto"/>
            <w:vAlign w:val="bottom"/>
          </w:tcPr>
          <w:p w14:paraId="3EA26267" w14:textId="77777777" w:rsidR="00485872" w:rsidRPr="000B01DA" w:rsidRDefault="00485872" w:rsidP="00E34BBA">
            <w:pPr>
              <w:spacing w:line="264" w:lineRule="auto"/>
              <w:contextualSpacing/>
              <w:jc w:val="both"/>
              <w:rPr>
                <w:rFonts w:ascii="Arial" w:hAnsi="Arial" w:cs="Arial"/>
                <w:b/>
                <w:sz w:val="22"/>
                <w:szCs w:val="22"/>
              </w:rPr>
            </w:pPr>
            <w:r>
              <w:rPr>
                <w:rFonts w:ascii="Arial" w:hAnsi="Arial" w:cs="Arial"/>
                <w:b/>
                <w:sz w:val="22"/>
                <w:szCs w:val="22"/>
              </w:rPr>
              <w:t>Description</w:t>
            </w:r>
          </w:p>
        </w:tc>
        <w:tc>
          <w:tcPr>
            <w:tcW w:w="270" w:type="dxa"/>
            <w:tcBorders>
              <w:top w:val="single" w:sz="18" w:space="0" w:color="auto"/>
              <w:left w:val="nil"/>
              <w:bottom w:val="nil"/>
              <w:right w:val="nil"/>
            </w:tcBorders>
          </w:tcPr>
          <w:p w14:paraId="76A5CD26" w14:textId="77777777" w:rsidR="00485872" w:rsidRPr="000B01DA" w:rsidRDefault="00485872" w:rsidP="00E34BBA">
            <w:pPr>
              <w:spacing w:line="264" w:lineRule="auto"/>
              <w:contextualSpacing/>
              <w:jc w:val="center"/>
              <w:rPr>
                <w:rFonts w:ascii="Arial" w:hAnsi="Arial" w:cs="Arial"/>
                <w:b/>
                <w:sz w:val="22"/>
                <w:szCs w:val="22"/>
              </w:rPr>
            </w:pPr>
          </w:p>
        </w:tc>
        <w:tc>
          <w:tcPr>
            <w:tcW w:w="2610" w:type="dxa"/>
            <w:tcBorders>
              <w:top w:val="single" w:sz="18" w:space="0" w:color="auto"/>
              <w:left w:val="nil"/>
              <w:bottom w:val="single" w:sz="4" w:space="0" w:color="auto"/>
              <w:right w:val="nil"/>
            </w:tcBorders>
            <w:shd w:val="clear" w:color="auto" w:fill="auto"/>
            <w:vAlign w:val="bottom"/>
          </w:tcPr>
          <w:p w14:paraId="51BC32CC" w14:textId="77777777" w:rsidR="00485872" w:rsidRPr="000B01DA" w:rsidRDefault="00485872" w:rsidP="00E34BBA">
            <w:pPr>
              <w:spacing w:line="264" w:lineRule="auto"/>
              <w:contextualSpacing/>
              <w:rPr>
                <w:rFonts w:ascii="Arial" w:hAnsi="Arial" w:cs="Arial"/>
                <w:b/>
                <w:sz w:val="22"/>
                <w:szCs w:val="22"/>
              </w:rPr>
            </w:pPr>
            <w:r>
              <w:rPr>
                <w:rFonts w:ascii="Arial" w:hAnsi="Arial" w:cs="Arial"/>
                <w:b/>
                <w:sz w:val="22"/>
                <w:szCs w:val="22"/>
              </w:rPr>
              <w:t>Agency</w:t>
            </w:r>
          </w:p>
        </w:tc>
        <w:tc>
          <w:tcPr>
            <w:tcW w:w="270" w:type="dxa"/>
            <w:tcBorders>
              <w:top w:val="single" w:sz="18" w:space="0" w:color="auto"/>
              <w:left w:val="nil"/>
              <w:bottom w:val="nil"/>
              <w:right w:val="nil"/>
            </w:tcBorders>
            <w:vAlign w:val="bottom"/>
          </w:tcPr>
          <w:p w14:paraId="3BF5B006" w14:textId="77777777" w:rsidR="00485872" w:rsidRPr="000B01DA" w:rsidRDefault="00485872" w:rsidP="00E34BBA">
            <w:pPr>
              <w:spacing w:line="264" w:lineRule="auto"/>
              <w:contextualSpacing/>
              <w:jc w:val="center"/>
              <w:rPr>
                <w:rFonts w:ascii="Arial" w:hAnsi="Arial" w:cs="Arial"/>
                <w:b/>
                <w:sz w:val="22"/>
                <w:szCs w:val="22"/>
              </w:rPr>
            </w:pPr>
          </w:p>
        </w:tc>
        <w:tc>
          <w:tcPr>
            <w:tcW w:w="1710" w:type="dxa"/>
            <w:tcBorders>
              <w:top w:val="single" w:sz="18" w:space="0" w:color="auto"/>
              <w:left w:val="nil"/>
              <w:bottom w:val="single" w:sz="4" w:space="0" w:color="auto"/>
              <w:right w:val="nil"/>
            </w:tcBorders>
            <w:shd w:val="clear" w:color="auto" w:fill="auto"/>
            <w:vAlign w:val="bottom"/>
          </w:tcPr>
          <w:p w14:paraId="5B6EAFF1" w14:textId="77777777" w:rsidR="00485872" w:rsidRPr="000B01DA" w:rsidRDefault="00485872" w:rsidP="00E34BBA">
            <w:pPr>
              <w:spacing w:line="264" w:lineRule="auto"/>
              <w:contextualSpacing/>
              <w:jc w:val="center"/>
              <w:rPr>
                <w:rFonts w:ascii="Arial" w:hAnsi="Arial" w:cs="Arial"/>
                <w:b/>
                <w:sz w:val="22"/>
                <w:szCs w:val="22"/>
              </w:rPr>
            </w:pPr>
            <w:r>
              <w:rPr>
                <w:rFonts w:ascii="Arial" w:hAnsi="Arial" w:cs="Arial"/>
                <w:b/>
                <w:sz w:val="22"/>
                <w:szCs w:val="22"/>
              </w:rPr>
              <w:t>Amount</w:t>
            </w:r>
          </w:p>
        </w:tc>
      </w:tr>
      <w:tr w:rsidR="00485872" w:rsidRPr="000B01DA" w14:paraId="18CB5284" w14:textId="77777777" w:rsidTr="00E34BBA">
        <w:trPr>
          <w:cantSplit/>
          <w:trHeight w:val="317"/>
        </w:trPr>
        <w:tc>
          <w:tcPr>
            <w:tcW w:w="571" w:type="dxa"/>
            <w:tcBorders>
              <w:top w:val="nil"/>
              <w:left w:val="nil"/>
              <w:bottom w:val="nil"/>
              <w:right w:val="nil"/>
            </w:tcBorders>
          </w:tcPr>
          <w:p w14:paraId="562507E8"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1</w:t>
            </w:r>
          </w:p>
        </w:tc>
        <w:tc>
          <w:tcPr>
            <w:tcW w:w="252" w:type="dxa"/>
            <w:tcBorders>
              <w:top w:val="nil"/>
              <w:left w:val="nil"/>
              <w:bottom w:val="nil"/>
              <w:right w:val="nil"/>
            </w:tcBorders>
          </w:tcPr>
          <w:p w14:paraId="65AD437E"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43032E69" w14:textId="77777777" w:rsidR="00485872" w:rsidRPr="00F9293A" w:rsidRDefault="00485872" w:rsidP="00E34BBA">
            <w:pPr>
              <w:spacing w:line="264" w:lineRule="auto"/>
              <w:contextualSpacing/>
              <w:rPr>
                <w:rFonts w:ascii="Arial" w:hAnsi="Arial" w:cs="Arial"/>
                <w:sz w:val="22"/>
                <w:szCs w:val="22"/>
              </w:rPr>
            </w:pPr>
            <w:r w:rsidRPr="00F9293A">
              <w:rPr>
                <w:rFonts w:ascii="Arial" w:hAnsi="Arial" w:cs="Arial"/>
                <w:sz w:val="22"/>
                <w:szCs w:val="22"/>
              </w:rPr>
              <w:t>Green Building and Zero Energy</w:t>
            </w:r>
          </w:p>
        </w:tc>
        <w:tc>
          <w:tcPr>
            <w:tcW w:w="270" w:type="dxa"/>
            <w:tcBorders>
              <w:top w:val="nil"/>
              <w:left w:val="nil"/>
              <w:bottom w:val="nil"/>
              <w:right w:val="nil"/>
            </w:tcBorders>
          </w:tcPr>
          <w:p w14:paraId="6C1852BA"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7C2A8893" w14:textId="77777777" w:rsidR="00485872" w:rsidRPr="00F9293A" w:rsidRDefault="00485872" w:rsidP="00E34BBA">
            <w:pPr>
              <w:spacing w:line="264" w:lineRule="auto"/>
              <w:contextualSpacing/>
              <w:rPr>
                <w:rFonts w:ascii="Arial" w:hAnsi="Arial" w:cs="Arial"/>
                <w:bCs/>
                <w:sz w:val="22"/>
                <w:szCs w:val="22"/>
              </w:rPr>
            </w:pPr>
            <w:r>
              <w:rPr>
                <w:rFonts w:ascii="Arial" w:hAnsi="Arial" w:cs="Arial"/>
                <w:sz w:val="22"/>
                <w:szCs w:val="22"/>
              </w:rPr>
              <w:t>DCHS – HHCDD</w:t>
            </w:r>
          </w:p>
        </w:tc>
        <w:tc>
          <w:tcPr>
            <w:tcW w:w="270" w:type="dxa"/>
            <w:tcBorders>
              <w:top w:val="nil"/>
              <w:left w:val="nil"/>
              <w:bottom w:val="nil"/>
              <w:right w:val="nil"/>
            </w:tcBorders>
          </w:tcPr>
          <w:p w14:paraId="06C67BE6"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078BC9DA" w14:textId="77777777" w:rsidR="00485872" w:rsidRPr="00F9293A" w:rsidRDefault="00485872" w:rsidP="00E34BBA">
            <w:pPr>
              <w:pStyle w:val="xmsonormal0"/>
              <w:keepNext/>
              <w:spacing w:line="252" w:lineRule="auto"/>
              <w:jc w:val="right"/>
              <w:rPr>
                <w:rFonts w:ascii="Arial" w:hAnsi="Arial" w:cs="Arial"/>
              </w:rPr>
            </w:pPr>
            <w:r w:rsidRPr="00F9293A">
              <w:rPr>
                <w:rFonts w:ascii="Arial" w:hAnsi="Arial" w:cs="Arial"/>
              </w:rPr>
              <w:t>$5.5 million</w:t>
            </w:r>
          </w:p>
        </w:tc>
      </w:tr>
      <w:tr w:rsidR="00485872" w:rsidRPr="000B01DA" w14:paraId="5858A44C" w14:textId="77777777" w:rsidTr="00E34BBA">
        <w:trPr>
          <w:cantSplit/>
        </w:trPr>
        <w:tc>
          <w:tcPr>
            <w:tcW w:w="571" w:type="dxa"/>
            <w:tcBorders>
              <w:top w:val="nil"/>
              <w:left w:val="nil"/>
              <w:bottom w:val="nil"/>
              <w:right w:val="nil"/>
            </w:tcBorders>
          </w:tcPr>
          <w:p w14:paraId="4B294CC5" w14:textId="77777777" w:rsidR="00485872" w:rsidRPr="00BB14A0" w:rsidRDefault="00485872" w:rsidP="00E34BBA">
            <w:pPr>
              <w:spacing w:line="264" w:lineRule="auto"/>
              <w:contextualSpacing/>
              <w:jc w:val="center"/>
              <w:rPr>
                <w:rFonts w:ascii="Arial" w:hAnsi="Arial" w:cs="Arial"/>
                <w:sz w:val="22"/>
                <w:szCs w:val="22"/>
              </w:rPr>
            </w:pPr>
            <w:r>
              <w:rPr>
                <w:rFonts w:ascii="Arial" w:hAnsi="Arial" w:cs="Arial"/>
                <w:sz w:val="22"/>
                <w:szCs w:val="22"/>
              </w:rPr>
              <w:t>2</w:t>
            </w:r>
          </w:p>
        </w:tc>
        <w:tc>
          <w:tcPr>
            <w:tcW w:w="252" w:type="dxa"/>
            <w:tcBorders>
              <w:top w:val="nil"/>
              <w:left w:val="nil"/>
              <w:bottom w:val="nil"/>
              <w:right w:val="nil"/>
            </w:tcBorders>
          </w:tcPr>
          <w:p w14:paraId="0A7311F6" w14:textId="77777777" w:rsidR="00485872" w:rsidRPr="00BB14A0"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7B84CF86" w14:textId="77777777" w:rsidR="00485872" w:rsidRPr="00F9293A" w:rsidRDefault="00485872" w:rsidP="00E34BBA">
            <w:pPr>
              <w:spacing w:line="264" w:lineRule="auto"/>
              <w:contextualSpacing/>
              <w:rPr>
                <w:rFonts w:ascii="Arial" w:hAnsi="Arial" w:cs="Arial"/>
                <w:sz w:val="22"/>
                <w:szCs w:val="22"/>
              </w:rPr>
            </w:pPr>
            <w:r w:rsidRPr="00F9293A">
              <w:rPr>
                <w:rFonts w:ascii="Arial" w:hAnsi="Arial" w:cs="Arial"/>
                <w:sz w:val="22"/>
                <w:szCs w:val="22"/>
              </w:rPr>
              <w:t>White Center Community Hub</w:t>
            </w:r>
          </w:p>
        </w:tc>
        <w:tc>
          <w:tcPr>
            <w:tcW w:w="270" w:type="dxa"/>
            <w:tcBorders>
              <w:top w:val="nil"/>
              <w:left w:val="nil"/>
              <w:bottom w:val="nil"/>
              <w:right w:val="nil"/>
            </w:tcBorders>
          </w:tcPr>
          <w:p w14:paraId="311A3A9F"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5647B1D0" w14:textId="77777777" w:rsidR="00485872" w:rsidRPr="00F9293A" w:rsidRDefault="00485872" w:rsidP="00E34BBA">
            <w:pPr>
              <w:spacing w:line="264" w:lineRule="auto"/>
              <w:contextualSpacing/>
              <w:rPr>
                <w:rFonts w:ascii="Arial" w:hAnsi="Arial" w:cs="Arial"/>
                <w:bCs/>
                <w:sz w:val="22"/>
                <w:szCs w:val="22"/>
              </w:rPr>
            </w:pPr>
            <w:r>
              <w:rPr>
                <w:rFonts w:ascii="Arial" w:hAnsi="Arial" w:cs="Arial"/>
                <w:sz w:val="22"/>
                <w:szCs w:val="22"/>
              </w:rPr>
              <w:t>DCHS – HHCDD</w:t>
            </w:r>
          </w:p>
        </w:tc>
        <w:tc>
          <w:tcPr>
            <w:tcW w:w="270" w:type="dxa"/>
            <w:tcBorders>
              <w:top w:val="nil"/>
              <w:left w:val="nil"/>
              <w:bottom w:val="nil"/>
              <w:right w:val="nil"/>
            </w:tcBorders>
          </w:tcPr>
          <w:p w14:paraId="177D606A"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3FE892E8" w14:textId="77777777" w:rsidR="00485872" w:rsidRPr="00F9293A" w:rsidRDefault="00485872" w:rsidP="00E34BBA">
            <w:pPr>
              <w:spacing w:line="264" w:lineRule="auto"/>
              <w:contextualSpacing/>
              <w:jc w:val="right"/>
              <w:rPr>
                <w:rFonts w:ascii="Arial" w:hAnsi="Arial" w:cs="Arial"/>
                <w:bCs/>
                <w:sz w:val="22"/>
                <w:szCs w:val="22"/>
              </w:rPr>
            </w:pPr>
            <w:r w:rsidRPr="00F9293A">
              <w:rPr>
                <w:rFonts w:ascii="Arial" w:hAnsi="Arial" w:cs="Arial"/>
                <w:sz w:val="22"/>
                <w:szCs w:val="22"/>
              </w:rPr>
              <w:t>$5</w:t>
            </w:r>
            <w:r>
              <w:rPr>
                <w:rFonts w:ascii="Arial" w:hAnsi="Arial" w:cs="Arial"/>
                <w:sz w:val="22"/>
                <w:szCs w:val="22"/>
              </w:rPr>
              <w:t>.0</w:t>
            </w:r>
            <w:r w:rsidRPr="00F9293A">
              <w:rPr>
                <w:rFonts w:ascii="Arial" w:hAnsi="Arial" w:cs="Arial"/>
                <w:sz w:val="22"/>
                <w:szCs w:val="22"/>
              </w:rPr>
              <w:t xml:space="preserve"> million</w:t>
            </w:r>
          </w:p>
        </w:tc>
      </w:tr>
      <w:tr w:rsidR="00485872" w:rsidRPr="000B01DA" w14:paraId="24F19FF9" w14:textId="77777777" w:rsidTr="00E34BBA">
        <w:trPr>
          <w:cantSplit/>
        </w:trPr>
        <w:tc>
          <w:tcPr>
            <w:tcW w:w="571" w:type="dxa"/>
            <w:tcBorders>
              <w:top w:val="nil"/>
              <w:left w:val="nil"/>
              <w:bottom w:val="nil"/>
              <w:right w:val="nil"/>
            </w:tcBorders>
          </w:tcPr>
          <w:p w14:paraId="5BA3E587"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3</w:t>
            </w:r>
          </w:p>
        </w:tc>
        <w:tc>
          <w:tcPr>
            <w:tcW w:w="252" w:type="dxa"/>
            <w:tcBorders>
              <w:top w:val="nil"/>
              <w:left w:val="nil"/>
              <w:bottom w:val="nil"/>
              <w:right w:val="nil"/>
            </w:tcBorders>
          </w:tcPr>
          <w:p w14:paraId="39A957CA"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3099C1DE" w14:textId="77777777" w:rsidR="00485872" w:rsidRPr="00F9293A" w:rsidRDefault="00485872" w:rsidP="00E34BBA">
            <w:pPr>
              <w:pStyle w:val="xmsonormal0"/>
              <w:keepNext/>
              <w:spacing w:line="252" w:lineRule="auto"/>
              <w:rPr>
                <w:rFonts w:ascii="Arial" w:hAnsi="Arial" w:cs="Arial"/>
              </w:rPr>
            </w:pPr>
            <w:r w:rsidRPr="00F9293A">
              <w:rPr>
                <w:rFonts w:ascii="Arial" w:hAnsi="Arial" w:cs="Arial"/>
              </w:rPr>
              <w:t>Solar Lighting for Parks in Underinvested Areas</w:t>
            </w:r>
          </w:p>
        </w:tc>
        <w:tc>
          <w:tcPr>
            <w:tcW w:w="270" w:type="dxa"/>
            <w:tcBorders>
              <w:top w:val="nil"/>
              <w:left w:val="nil"/>
              <w:bottom w:val="nil"/>
              <w:right w:val="nil"/>
            </w:tcBorders>
          </w:tcPr>
          <w:p w14:paraId="15AF2131"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7A990979" w14:textId="77777777" w:rsidR="00485872" w:rsidRPr="00F9293A" w:rsidRDefault="00485872" w:rsidP="00E34BBA">
            <w:pPr>
              <w:pStyle w:val="xmsonormal0"/>
              <w:keepNext/>
              <w:spacing w:line="252" w:lineRule="auto"/>
              <w:rPr>
                <w:rFonts w:ascii="Arial" w:hAnsi="Arial" w:cs="Arial"/>
              </w:rPr>
            </w:pPr>
            <w:r w:rsidRPr="00F9293A">
              <w:rPr>
                <w:rFonts w:ascii="Arial" w:hAnsi="Arial" w:cs="Arial"/>
              </w:rPr>
              <w:t>Parks</w:t>
            </w:r>
          </w:p>
        </w:tc>
        <w:tc>
          <w:tcPr>
            <w:tcW w:w="270" w:type="dxa"/>
            <w:tcBorders>
              <w:top w:val="nil"/>
              <w:left w:val="nil"/>
              <w:bottom w:val="nil"/>
              <w:right w:val="nil"/>
            </w:tcBorders>
          </w:tcPr>
          <w:p w14:paraId="5C0D5B65"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07781606" w14:textId="77777777" w:rsidR="00485872" w:rsidRPr="00F9293A" w:rsidRDefault="00485872" w:rsidP="00E34BBA">
            <w:pPr>
              <w:pStyle w:val="xmsonormal0"/>
              <w:keepNext/>
              <w:spacing w:line="252" w:lineRule="auto"/>
              <w:jc w:val="right"/>
              <w:rPr>
                <w:rFonts w:ascii="Arial" w:hAnsi="Arial" w:cs="Arial"/>
              </w:rPr>
            </w:pPr>
            <w:r w:rsidRPr="00F9293A">
              <w:rPr>
                <w:rFonts w:ascii="Arial" w:hAnsi="Arial" w:cs="Arial"/>
              </w:rPr>
              <w:t>$3</w:t>
            </w:r>
            <w:r>
              <w:rPr>
                <w:rFonts w:ascii="Arial" w:hAnsi="Arial" w:cs="Arial"/>
              </w:rPr>
              <w:t>.0</w:t>
            </w:r>
            <w:r w:rsidRPr="00F9293A">
              <w:rPr>
                <w:rFonts w:ascii="Arial" w:hAnsi="Arial" w:cs="Arial"/>
              </w:rPr>
              <w:t xml:space="preserve"> million</w:t>
            </w:r>
          </w:p>
        </w:tc>
      </w:tr>
      <w:tr w:rsidR="00485872" w:rsidRPr="000B01DA" w14:paraId="2A416003" w14:textId="77777777" w:rsidTr="00E34BBA">
        <w:trPr>
          <w:cantSplit/>
        </w:trPr>
        <w:tc>
          <w:tcPr>
            <w:tcW w:w="571" w:type="dxa"/>
            <w:tcBorders>
              <w:top w:val="nil"/>
              <w:left w:val="nil"/>
              <w:bottom w:val="nil"/>
              <w:right w:val="nil"/>
            </w:tcBorders>
          </w:tcPr>
          <w:p w14:paraId="6492EB59"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4</w:t>
            </w:r>
          </w:p>
        </w:tc>
        <w:tc>
          <w:tcPr>
            <w:tcW w:w="252" w:type="dxa"/>
            <w:tcBorders>
              <w:top w:val="nil"/>
              <w:left w:val="nil"/>
              <w:bottom w:val="nil"/>
              <w:right w:val="nil"/>
            </w:tcBorders>
          </w:tcPr>
          <w:p w14:paraId="735B91A4"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1AEF3864" w14:textId="77777777" w:rsidR="00485872" w:rsidRPr="00F9293A" w:rsidRDefault="00485872" w:rsidP="00E34BBA">
            <w:pPr>
              <w:spacing w:line="264" w:lineRule="auto"/>
              <w:contextualSpacing/>
              <w:rPr>
                <w:rFonts w:ascii="Arial" w:hAnsi="Arial" w:cs="Arial"/>
                <w:sz w:val="22"/>
                <w:szCs w:val="22"/>
                <w:u w:val="single"/>
              </w:rPr>
            </w:pPr>
            <w:r w:rsidRPr="00F9293A">
              <w:rPr>
                <w:rFonts w:ascii="Arial" w:hAnsi="Arial" w:cs="Arial"/>
                <w:sz w:val="22"/>
                <w:szCs w:val="22"/>
              </w:rPr>
              <w:t>Equitable Wastewater Futures</w:t>
            </w:r>
          </w:p>
        </w:tc>
        <w:tc>
          <w:tcPr>
            <w:tcW w:w="270" w:type="dxa"/>
            <w:tcBorders>
              <w:top w:val="nil"/>
              <w:left w:val="nil"/>
              <w:bottom w:val="nil"/>
              <w:right w:val="nil"/>
            </w:tcBorders>
          </w:tcPr>
          <w:p w14:paraId="665318E3"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1CEE9E06" w14:textId="77777777" w:rsidR="00485872" w:rsidRPr="00F9293A" w:rsidRDefault="00485872" w:rsidP="00E34BBA">
            <w:pPr>
              <w:spacing w:line="264" w:lineRule="auto"/>
              <w:contextualSpacing/>
              <w:rPr>
                <w:rFonts w:ascii="Arial" w:hAnsi="Arial" w:cs="Arial"/>
                <w:bCs/>
                <w:sz w:val="22"/>
                <w:szCs w:val="22"/>
              </w:rPr>
            </w:pPr>
            <w:r>
              <w:rPr>
                <w:rFonts w:ascii="Arial" w:hAnsi="Arial" w:cs="Arial"/>
                <w:sz w:val="22"/>
                <w:szCs w:val="22"/>
              </w:rPr>
              <w:t>Environmental Health</w:t>
            </w:r>
          </w:p>
        </w:tc>
        <w:tc>
          <w:tcPr>
            <w:tcW w:w="270" w:type="dxa"/>
            <w:tcBorders>
              <w:top w:val="nil"/>
              <w:left w:val="nil"/>
              <w:bottom w:val="nil"/>
              <w:right w:val="nil"/>
            </w:tcBorders>
          </w:tcPr>
          <w:p w14:paraId="093112B1"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3AA6C0DB" w14:textId="77777777" w:rsidR="00485872" w:rsidRPr="00F9293A" w:rsidRDefault="00485872" w:rsidP="00E34BBA">
            <w:pPr>
              <w:spacing w:line="264" w:lineRule="auto"/>
              <w:contextualSpacing/>
              <w:jc w:val="right"/>
              <w:rPr>
                <w:rFonts w:ascii="Arial" w:hAnsi="Arial" w:cs="Arial"/>
                <w:bCs/>
                <w:sz w:val="22"/>
                <w:szCs w:val="22"/>
              </w:rPr>
            </w:pPr>
            <w:r w:rsidRPr="00F9293A">
              <w:rPr>
                <w:rFonts w:ascii="Arial" w:hAnsi="Arial" w:cs="Arial"/>
                <w:sz w:val="22"/>
                <w:szCs w:val="22"/>
              </w:rPr>
              <w:t>$2</w:t>
            </w:r>
            <w:r>
              <w:rPr>
                <w:rFonts w:ascii="Arial" w:hAnsi="Arial" w:cs="Arial"/>
                <w:sz w:val="22"/>
                <w:szCs w:val="22"/>
              </w:rPr>
              <w:t>.0</w:t>
            </w:r>
            <w:r w:rsidRPr="00F9293A">
              <w:rPr>
                <w:rFonts w:ascii="Arial" w:hAnsi="Arial" w:cs="Arial"/>
                <w:sz w:val="22"/>
                <w:szCs w:val="22"/>
              </w:rPr>
              <w:t xml:space="preserve"> million</w:t>
            </w:r>
          </w:p>
        </w:tc>
      </w:tr>
      <w:tr w:rsidR="00485872" w:rsidRPr="000B01DA" w14:paraId="6D1DCE3F" w14:textId="77777777" w:rsidTr="00E34BBA">
        <w:trPr>
          <w:cantSplit/>
        </w:trPr>
        <w:tc>
          <w:tcPr>
            <w:tcW w:w="571" w:type="dxa"/>
            <w:tcBorders>
              <w:top w:val="nil"/>
              <w:left w:val="nil"/>
              <w:bottom w:val="nil"/>
              <w:right w:val="nil"/>
            </w:tcBorders>
          </w:tcPr>
          <w:p w14:paraId="290D0D63"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5</w:t>
            </w:r>
          </w:p>
        </w:tc>
        <w:tc>
          <w:tcPr>
            <w:tcW w:w="252" w:type="dxa"/>
            <w:tcBorders>
              <w:top w:val="nil"/>
              <w:left w:val="nil"/>
              <w:bottom w:val="nil"/>
              <w:right w:val="nil"/>
            </w:tcBorders>
          </w:tcPr>
          <w:p w14:paraId="74C74E93"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1D1E65C6" w14:textId="77777777" w:rsidR="00485872" w:rsidRPr="00F9293A" w:rsidRDefault="00485872" w:rsidP="00E34BBA">
            <w:pPr>
              <w:spacing w:line="264" w:lineRule="auto"/>
              <w:contextualSpacing/>
              <w:rPr>
                <w:rFonts w:ascii="Arial" w:hAnsi="Arial" w:cs="Arial"/>
                <w:sz w:val="22"/>
                <w:szCs w:val="22"/>
                <w:u w:val="single"/>
              </w:rPr>
            </w:pPr>
            <w:r w:rsidRPr="00F9293A">
              <w:rPr>
                <w:rFonts w:ascii="Arial" w:hAnsi="Arial" w:cs="Arial"/>
                <w:sz w:val="22"/>
                <w:szCs w:val="22"/>
              </w:rPr>
              <w:t>Energize Home Appliance Upgrade Pilot</w:t>
            </w:r>
          </w:p>
        </w:tc>
        <w:tc>
          <w:tcPr>
            <w:tcW w:w="270" w:type="dxa"/>
            <w:tcBorders>
              <w:top w:val="nil"/>
              <w:left w:val="nil"/>
              <w:bottom w:val="nil"/>
              <w:right w:val="nil"/>
            </w:tcBorders>
          </w:tcPr>
          <w:p w14:paraId="323326E3"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6F6790A7" w14:textId="77777777" w:rsidR="00485872" w:rsidRPr="00F9293A" w:rsidRDefault="00485872" w:rsidP="00E34BBA">
            <w:pPr>
              <w:spacing w:line="264" w:lineRule="auto"/>
              <w:contextualSpacing/>
              <w:rPr>
                <w:rFonts w:ascii="Arial" w:hAnsi="Arial" w:cs="Arial"/>
                <w:bCs/>
                <w:sz w:val="22"/>
                <w:szCs w:val="22"/>
              </w:rPr>
            </w:pPr>
            <w:r w:rsidRPr="00F9293A">
              <w:rPr>
                <w:rFonts w:ascii="Arial" w:hAnsi="Arial" w:cs="Arial"/>
                <w:sz w:val="22"/>
                <w:szCs w:val="22"/>
              </w:rPr>
              <w:t>Local Services</w:t>
            </w:r>
          </w:p>
        </w:tc>
        <w:tc>
          <w:tcPr>
            <w:tcW w:w="270" w:type="dxa"/>
            <w:tcBorders>
              <w:top w:val="nil"/>
              <w:left w:val="nil"/>
              <w:bottom w:val="nil"/>
              <w:right w:val="nil"/>
            </w:tcBorders>
          </w:tcPr>
          <w:p w14:paraId="73254DBA"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7923CA88" w14:textId="77777777" w:rsidR="00485872" w:rsidRPr="00F9293A" w:rsidRDefault="00485872" w:rsidP="00E34BBA">
            <w:pPr>
              <w:spacing w:line="264" w:lineRule="auto"/>
              <w:contextualSpacing/>
              <w:jc w:val="right"/>
              <w:rPr>
                <w:rFonts w:ascii="Arial" w:hAnsi="Arial" w:cs="Arial"/>
                <w:bCs/>
                <w:sz w:val="22"/>
                <w:szCs w:val="22"/>
              </w:rPr>
            </w:pPr>
            <w:r w:rsidRPr="00F9293A">
              <w:rPr>
                <w:rFonts w:ascii="Arial" w:hAnsi="Arial" w:cs="Arial"/>
                <w:sz w:val="22"/>
                <w:szCs w:val="22"/>
              </w:rPr>
              <w:t>$</w:t>
            </w:r>
            <w:r>
              <w:rPr>
                <w:rFonts w:ascii="Arial" w:hAnsi="Arial" w:cs="Arial"/>
                <w:sz w:val="22"/>
                <w:szCs w:val="22"/>
              </w:rPr>
              <w:t>2.0</w:t>
            </w:r>
            <w:r w:rsidRPr="00F9293A">
              <w:rPr>
                <w:rFonts w:ascii="Arial" w:hAnsi="Arial" w:cs="Arial"/>
                <w:sz w:val="22"/>
                <w:szCs w:val="22"/>
              </w:rPr>
              <w:t xml:space="preserve"> million</w:t>
            </w:r>
          </w:p>
        </w:tc>
      </w:tr>
      <w:tr w:rsidR="00485872" w:rsidRPr="000B01DA" w14:paraId="59B65C47" w14:textId="77777777" w:rsidTr="00E34BBA">
        <w:trPr>
          <w:cantSplit/>
        </w:trPr>
        <w:tc>
          <w:tcPr>
            <w:tcW w:w="571" w:type="dxa"/>
            <w:tcBorders>
              <w:top w:val="nil"/>
              <w:left w:val="nil"/>
              <w:bottom w:val="nil"/>
              <w:right w:val="nil"/>
            </w:tcBorders>
          </w:tcPr>
          <w:p w14:paraId="2B7E370E"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6</w:t>
            </w:r>
          </w:p>
        </w:tc>
        <w:tc>
          <w:tcPr>
            <w:tcW w:w="252" w:type="dxa"/>
            <w:tcBorders>
              <w:top w:val="nil"/>
              <w:left w:val="nil"/>
              <w:bottom w:val="nil"/>
              <w:right w:val="nil"/>
            </w:tcBorders>
          </w:tcPr>
          <w:p w14:paraId="2412EAC8"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nil"/>
              <w:right w:val="nil"/>
            </w:tcBorders>
            <w:shd w:val="clear" w:color="auto" w:fill="auto"/>
            <w:tcMar>
              <w:top w:w="43" w:type="dxa"/>
              <w:left w:w="115" w:type="dxa"/>
              <w:bottom w:w="43" w:type="dxa"/>
              <w:right w:w="115" w:type="dxa"/>
            </w:tcMar>
          </w:tcPr>
          <w:p w14:paraId="04C5B435" w14:textId="77777777" w:rsidR="00485872" w:rsidRPr="00F9293A" w:rsidRDefault="00485872" w:rsidP="00E34BBA">
            <w:pPr>
              <w:spacing w:line="264" w:lineRule="auto"/>
              <w:contextualSpacing/>
              <w:rPr>
                <w:rFonts w:ascii="Arial" w:hAnsi="Arial" w:cs="Arial"/>
                <w:sz w:val="22"/>
                <w:szCs w:val="22"/>
              </w:rPr>
            </w:pPr>
            <w:r w:rsidRPr="00F9293A">
              <w:rPr>
                <w:rFonts w:ascii="Arial" w:hAnsi="Arial" w:cs="Arial"/>
                <w:sz w:val="22"/>
                <w:szCs w:val="22"/>
              </w:rPr>
              <w:t xml:space="preserve">ADA Pedestrian Improvements in Urban Unincorporated King County </w:t>
            </w:r>
          </w:p>
        </w:tc>
        <w:tc>
          <w:tcPr>
            <w:tcW w:w="270" w:type="dxa"/>
            <w:tcBorders>
              <w:top w:val="nil"/>
              <w:left w:val="nil"/>
              <w:bottom w:val="nil"/>
              <w:right w:val="nil"/>
            </w:tcBorders>
          </w:tcPr>
          <w:p w14:paraId="2F9EF58D"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nil"/>
              <w:right w:val="nil"/>
            </w:tcBorders>
            <w:shd w:val="clear" w:color="auto" w:fill="auto"/>
          </w:tcPr>
          <w:p w14:paraId="003EE0B8" w14:textId="77777777" w:rsidR="00485872" w:rsidRPr="00F9293A" w:rsidRDefault="00485872" w:rsidP="00E34BBA">
            <w:pPr>
              <w:spacing w:line="264" w:lineRule="auto"/>
              <w:contextualSpacing/>
              <w:rPr>
                <w:rFonts w:ascii="Arial" w:hAnsi="Arial" w:cs="Arial"/>
                <w:bCs/>
                <w:sz w:val="22"/>
                <w:szCs w:val="22"/>
              </w:rPr>
            </w:pPr>
            <w:r w:rsidRPr="00F9293A">
              <w:rPr>
                <w:rFonts w:ascii="Arial" w:hAnsi="Arial" w:cs="Arial"/>
                <w:sz w:val="22"/>
                <w:szCs w:val="22"/>
              </w:rPr>
              <w:t>Roads</w:t>
            </w:r>
          </w:p>
        </w:tc>
        <w:tc>
          <w:tcPr>
            <w:tcW w:w="270" w:type="dxa"/>
            <w:tcBorders>
              <w:top w:val="nil"/>
              <w:left w:val="nil"/>
              <w:bottom w:val="nil"/>
              <w:right w:val="nil"/>
            </w:tcBorders>
          </w:tcPr>
          <w:p w14:paraId="073F92B1"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nil"/>
              <w:right w:val="nil"/>
            </w:tcBorders>
            <w:shd w:val="clear" w:color="auto" w:fill="auto"/>
            <w:tcMar>
              <w:top w:w="43" w:type="dxa"/>
              <w:bottom w:w="43" w:type="dxa"/>
            </w:tcMar>
          </w:tcPr>
          <w:p w14:paraId="2CEB4B59" w14:textId="6E962CEB" w:rsidR="00485872" w:rsidRPr="00EA34DC" w:rsidRDefault="00485872" w:rsidP="00E34BBA">
            <w:pPr>
              <w:pStyle w:val="xmsonormal0"/>
              <w:keepNext/>
              <w:spacing w:line="252" w:lineRule="auto"/>
              <w:jc w:val="right"/>
              <w:rPr>
                <w:rFonts w:ascii="Arial" w:hAnsi="Arial" w:cs="Arial"/>
              </w:rPr>
            </w:pPr>
            <w:r w:rsidRPr="00F9293A">
              <w:rPr>
                <w:rFonts w:ascii="Arial" w:hAnsi="Arial" w:cs="Arial"/>
              </w:rPr>
              <w:t>$</w:t>
            </w:r>
            <w:r w:rsidR="00CC43C4">
              <w:rPr>
                <w:rFonts w:ascii="Arial" w:hAnsi="Arial" w:cs="Arial"/>
              </w:rPr>
              <w:t>2</w:t>
            </w:r>
            <w:r w:rsidR="00B21DBC">
              <w:rPr>
                <w:rFonts w:ascii="Arial" w:hAnsi="Arial" w:cs="Arial"/>
              </w:rPr>
              <w:t>.</w:t>
            </w:r>
            <w:r w:rsidR="00CC43C4">
              <w:rPr>
                <w:rFonts w:ascii="Arial" w:hAnsi="Arial" w:cs="Arial"/>
              </w:rPr>
              <w:t>1</w:t>
            </w:r>
            <w:r w:rsidRPr="00F9293A">
              <w:rPr>
                <w:rFonts w:ascii="Arial" w:hAnsi="Arial" w:cs="Arial"/>
              </w:rPr>
              <w:t xml:space="preserve"> million</w:t>
            </w:r>
            <w:r w:rsidRPr="00F9293A">
              <w:rPr>
                <w:rStyle w:val="FootnoteReference"/>
                <w:rFonts w:ascii="Arial" w:hAnsi="Arial" w:cs="Arial"/>
              </w:rPr>
              <w:footnoteReference w:id="8"/>
            </w:r>
          </w:p>
        </w:tc>
      </w:tr>
      <w:tr w:rsidR="00485872" w:rsidRPr="000B01DA" w14:paraId="5C061F39" w14:textId="77777777" w:rsidTr="00E34BBA">
        <w:trPr>
          <w:cantSplit/>
        </w:trPr>
        <w:tc>
          <w:tcPr>
            <w:tcW w:w="571" w:type="dxa"/>
            <w:tcBorders>
              <w:top w:val="nil"/>
              <w:left w:val="nil"/>
              <w:bottom w:val="nil"/>
              <w:right w:val="nil"/>
            </w:tcBorders>
          </w:tcPr>
          <w:p w14:paraId="43FF0146" w14:textId="77777777" w:rsidR="00485872" w:rsidRDefault="00485872" w:rsidP="00E34BBA">
            <w:pPr>
              <w:spacing w:line="264" w:lineRule="auto"/>
              <w:contextualSpacing/>
              <w:jc w:val="center"/>
              <w:rPr>
                <w:rFonts w:ascii="Arial" w:hAnsi="Arial" w:cs="Arial"/>
                <w:sz w:val="22"/>
                <w:szCs w:val="22"/>
              </w:rPr>
            </w:pPr>
            <w:r>
              <w:rPr>
                <w:rFonts w:ascii="Arial" w:hAnsi="Arial" w:cs="Arial"/>
                <w:sz w:val="22"/>
                <w:szCs w:val="22"/>
              </w:rPr>
              <w:t>7</w:t>
            </w:r>
          </w:p>
        </w:tc>
        <w:tc>
          <w:tcPr>
            <w:tcW w:w="252" w:type="dxa"/>
            <w:tcBorders>
              <w:top w:val="nil"/>
              <w:left w:val="nil"/>
              <w:bottom w:val="nil"/>
              <w:right w:val="nil"/>
            </w:tcBorders>
          </w:tcPr>
          <w:p w14:paraId="28E0A4C3" w14:textId="77777777" w:rsidR="00485872" w:rsidRDefault="00485872" w:rsidP="00E34BBA">
            <w:pPr>
              <w:spacing w:line="264" w:lineRule="auto"/>
              <w:contextualSpacing/>
              <w:rPr>
                <w:rFonts w:ascii="Arial" w:hAnsi="Arial" w:cs="Arial"/>
                <w:sz w:val="22"/>
                <w:szCs w:val="22"/>
              </w:rPr>
            </w:pPr>
          </w:p>
        </w:tc>
        <w:tc>
          <w:tcPr>
            <w:tcW w:w="3677" w:type="dxa"/>
            <w:tcBorders>
              <w:top w:val="nil"/>
              <w:left w:val="nil"/>
              <w:bottom w:val="single" w:sz="8" w:space="0" w:color="auto"/>
              <w:right w:val="nil"/>
            </w:tcBorders>
            <w:shd w:val="clear" w:color="auto" w:fill="auto"/>
            <w:tcMar>
              <w:top w:w="43" w:type="dxa"/>
              <w:left w:w="115" w:type="dxa"/>
              <w:bottom w:w="43" w:type="dxa"/>
              <w:right w:w="115" w:type="dxa"/>
            </w:tcMar>
          </w:tcPr>
          <w:p w14:paraId="4D1D8782" w14:textId="77777777" w:rsidR="00485872" w:rsidRPr="00F9293A" w:rsidRDefault="00485872" w:rsidP="00E34BBA">
            <w:pPr>
              <w:spacing w:line="264" w:lineRule="auto"/>
              <w:contextualSpacing/>
              <w:rPr>
                <w:rFonts w:ascii="Arial" w:hAnsi="Arial" w:cs="Arial"/>
                <w:sz w:val="22"/>
                <w:szCs w:val="22"/>
              </w:rPr>
            </w:pPr>
            <w:r w:rsidRPr="00F9293A">
              <w:rPr>
                <w:rFonts w:ascii="Arial" w:hAnsi="Arial" w:cs="Arial"/>
                <w:sz w:val="22"/>
                <w:szCs w:val="22"/>
              </w:rPr>
              <w:t xml:space="preserve">Farmland Infrastructure for BIPOC farmers on DNRP owned lands </w:t>
            </w:r>
          </w:p>
        </w:tc>
        <w:tc>
          <w:tcPr>
            <w:tcW w:w="270" w:type="dxa"/>
            <w:tcBorders>
              <w:top w:val="nil"/>
              <w:left w:val="nil"/>
              <w:bottom w:val="nil"/>
              <w:right w:val="nil"/>
            </w:tcBorders>
          </w:tcPr>
          <w:p w14:paraId="00E468B0" w14:textId="77777777" w:rsidR="00485872" w:rsidRPr="00F9293A" w:rsidRDefault="00485872" w:rsidP="00E34BBA">
            <w:pPr>
              <w:spacing w:line="264" w:lineRule="auto"/>
              <w:contextualSpacing/>
              <w:jc w:val="right"/>
              <w:rPr>
                <w:rFonts w:ascii="Arial" w:hAnsi="Arial" w:cs="Arial"/>
                <w:bCs/>
                <w:sz w:val="22"/>
                <w:szCs w:val="22"/>
              </w:rPr>
            </w:pPr>
          </w:p>
        </w:tc>
        <w:tc>
          <w:tcPr>
            <w:tcW w:w="2610" w:type="dxa"/>
            <w:tcBorders>
              <w:top w:val="nil"/>
              <w:left w:val="nil"/>
              <w:bottom w:val="single" w:sz="8" w:space="0" w:color="auto"/>
              <w:right w:val="nil"/>
            </w:tcBorders>
            <w:shd w:val="clear" w:color="auto" w:fill="auto"/>
          </w:tcPr>
          <w:p w14:paraId="5590CEF9" w14:textId="77777777" w:rsidR="00485872" w:rsidRPr="00F9293A" w:rsidRDefault="00485872" w:rsidP="00E34BBA">
            <w:pPr>
              <w:spacing w:line="264" w:lineRule="auto"/>
              <w:contextualSpacing/>
              <w:rPr>
                <w:rFonts w:ascii="Arial" w:hAnsi="Arial" w:cs="Arial"/>
                <w:bCs/>
                <w:sz w:val="22"/>
                <w:szCs w:val="22"/>
              </w:rPr>
            </w:pPr>
            <w:r>
              <w:rPr>
                <w:rFonts w:ascii="Arial" w:hAnsi="Arial" w:cs="Arial"/>
                <w:sz w:val="22"/>
                <w:szCs w:val="22"/>
              </w:rPr>
              <w:t>Parks – Open Spaces</w:t>
            </w:r>
          </w:p>
        </w:tc>
        <w:tc>
          <w:tcPr>
            <w:tcW w:w="270" w:type="dxa"/>
            <w:tcBorders>
              <w:top w:val="nil"/>
              <w:left w:val="nil"/>
              <w:bottom w:val="nil"/>
              <w:right w:val="nil"/>
            </w:tcBorders>
          </w:tcPr>
          <w:p w14:paraId="2F6118A6" w14:textId="77777777" w:rsidR="00485872" w:rsidRPr="000B01DA" w:rsidRDefault="00485872" w:rsidP="00E34BBA">
            <w:pPr>
              <w:spacing w:line="264" w:lineRule="auto"/>
              <w:contextualSpacing/>
              <w:jc w:val="right"/>
              <w:rPr>
                <w:rFonts w:ascii="Arial" w:hAnsi="Arial" w:cs="Arial"/>
                <w:bCs/>
                <w:sz w:val="22"/>
                <w:szCs w:val="22"/>
              </w:rPr>
            </w:pPr>
          </w:p>
        </w:tc>
        <w:tc>
          <w:tcPr>
            <w:tcW w:w="1710" w:type="dxa"/>
            <w:tcBorders>
              <w:top w:val="nil"/>
              <w:left w:val="nil"/>
              <w:bottom w:val="single" w:sz="8" w:space="0" w:color="auto"/>
              <w:right w:val="nil"/>
            </w:tcBorders>
            <w:shd w:val="clear" w:color="auto" w:fill="auto"/>
            <w:tcMar>
              <w:top w:w="43" w:type="dxa"/>
              <w:bottom w:w="43" w:type="dxa"/>
            </w:tcMar>
          </w:tcPr>
          <w:p w14:paraId="3AFB76B7" w14:textId="77777777" w:rsidR="00485872" w:rsidRPr="00F9293A" w:rsidRDefault="00485872" w:rsidP="00E34BBA">
            <w:pPr>
              <w:spacing w:line="264" w:lineRule="auto"/>
              <w:contextualSpacing/>
              <w:jc w:val="right"/>
              <w:rPr>
                <w:rFonts w:ascii="Arial" w:hAnsi="Arial" w:cs="Arial"/>
                <w:bCs/>
                <w:sz w:val="22"/>
                <w:szCs w:val="22"/>
              </w:rPr>
            </w:pPr>
            <w:r w:rsidRPr="00F9293A">
              <w:rPr>
                <w:rFonts w:ascii="Arial" w:hAnsi="Arial" w:cs="Arial"/>
                <w:sz w:val="22"/>
                <w:szCs w:val="22"/>
              </w:rPr>
              <w:t>$1</w:t>
            </w:r>
            <w:r>
              <w:rPr>
                <w:rFonts w:ascii="Arial" w:hAnsi="Arial" w:cs="Arial"/>
                <w:sz w:val="22"/>
                <w:szCs w:val="22"/>
              </w:rPr>
              <w:t>.0</w:t>
            </w:r>
            <w:r w:rsidRPr="00F9293A">
              <w:rPr>
                <w:rFonts w:ascii="Arial" w:hAnsi="Arial" w:cs="Arial"/>
                <w:sz w:val="22"/>
                <w:szCs w:val="22"/>
              </w:rPr>
              <w:t xml:space="preserve"> million </w:t>
            </w:r>
          </w:p>
        </w:tc>
      </w:tr>
      <w:tr w:rsidR="00485872" w:rsidRPr="000B01DA" w14:paraId="5AC804A6" w14:textId="77777777" w:rsidTr="00E34BBA">
        <w:trPr>
          <w:cantSplit/>
        </w:trPr>
        <w:tc>
          <w:tcPr>
            <w:tcW w:w="571" w:type="dxa"/>
            <w:tcBorders>
              <w:top w:val="nil"/>
              <w:left w:val="nil"/>
              <w:bottom w:val="single" w:sz="18" w:space="0" w:color="auto"/>
              <w:right w:val="nil"/>
            </w:tcBorders>
          </w:tcPr>
          <w:p w14:paraId="71E8B841" w14:textId="77777777" w:rsidR="00485872" w:rsidRPr="000B01DA" w:rsidRDefault="00485872" w:rsidP="00E34BBA">
            <w:pPr>
              <w:spacing w:line="264" w:lineRule="auto"/>
              <w:contextualSpacing/>
              <w:jc w:val="right"/>
              <w:rPr>
                <w:rFonts w:ascii="Arial" w:hAnsi="Arial" w:cs="Arial"/>
                <w:b/>
                <w:bCs/>
                <w:sz w:val="22"/>
                <w:szCs w:val="22"/>
              </w:rPr>
            </w:pPr>
          </w:p>
        </w:tc>
        <w:tc>
          <w:tcPr>
            <w:tcW w:w="252" w:type="dxa"/>
            <w:tcBorders>
              <w:top w:val="nil"/>
              <w:left w:val="nil"/>
              <w:bottom w:val="single" w:sz="18" w:space="0" w:color="auto"/>
              <w:right w:val="nil"/>
            </w:tcBorders>
          </w:tcPr>
          <w:p w14:paraId="07F17AB2" w14:textId="77777777" w:rsidR="00485872" w:rsidRPr="000B01DA" w:rsidRDefault="00485872" w:rsidP="00E34BBA">
            <w:pPr>
              <w:spacing w:line="264" w:lineRule="auto"/>
              <w:contextualSpacing/>
              <w:jc w:val="right"/>
              <w:rPr>
                <w:rFonts w:ascii="Arial" w:hAnsi="Arial" w:cs="Arial"/>
                <w:b/>
                <w:bCs/>
                <w:sz w:val="22"/>
                <w:szCs w:val="22"/>
              </w:rPr>
            </w:pPr>
          </w:p>
        </w:tc>
        <w:tc>
          <w:tcPr>
            <w:tcW w:w="3677" w:type="dxa"/>
            <w:tcBorders>
              <w:top w:val="single" w:sz="8" w:space="0" w:color="auto"/>
              <w:left w:val="nil"/>
              <w:bottom w:val="single" w:sz="18" w:space="0" w:color="auto"/>
              <w:right w:val="nil"/>
            </w:tcBorders>
            <w:shd w:val="clear" w:color="auto" w:fill="auto"/>
            <w:tcMar>
              <w:top w:w="43" w:type="dxa"/>
              <w:left w:w="115" w:type="dxa"/>
              <w:bottom w:w="43" w:type="dxa"/>
              <w:right w:w="115" w:type="dxa"/>
            </w:tcMar>
          </w:tcPr>
          <w:p w14:paraId="55FCB37D" w14:textId="77777777" w:rsidR="00485872" w:rsidRPr="000B01DA" w:rsidRDefault="00485872" w:rsidP="00E34BBA">
            <w:pPr>
              <w:spacing w:line="264" w:lineRule="auto"/>
              <w:contextualSpacing/>
              <w:jc w:val="right"/>
              <w:rPr>
                <w:rFonts w:ascii="Arial" w:hAnsi="Arial" w:cs="Arial"/>
                <w:b/>
                <w:bCs/>
                <w:sz w:val="22"/>
                <w:szCs w:val="22"/>
              </w:rPr>
            </w:pPr>
          </w:p>
        </w:tc>
        <w:tc>
          <w:tcPr>
            <w:tcW w:w="270" w:type="dxa"/>
            <w:tcBorders>
              <w:top w:val="nil"/>
              <w:left w:val="nil"/>
              <w:bottom w:val="single" w:sz="18" w:space="0" w:color="auto"/>
              <w:right w:val="nil"/>
            </w:tcBorders>
          </w:tcPr>
          <w:p w14:paraId="5A7E9E6C" w14:textId="77777777" w:rsidR="00485872" w:rsidRPr="000B01DA" w:rsidRDefault="00485872" w:rsidP="00E34BBA">
            <w:pPr>
              <w:spacing w:line="264" w:lineRule="auto"/>
              <w:contextualSpacing/>
              <w:jc w:val="right"/>
              <w:rPr>
                <w:rFonts w:ascii="Arial" w:hAnsi="Arial" w:cs="Arial"/>
                <w:b/>
                <w:sz w:val="22"/>
                <w:szCs w:val="22"/>
              </w:rPr>
            </w:pPr>
          </w:p>
        </w:tc>
        <w:tc>
          <w:tcPr>
            <w:tcW w:w="2610" w:type="dxa"/>
            <w:tcBorders>
              <w:top w:val="single" w:sz="8" w:space="0" w:color="auto"/>
              <w:left w:val="nil"/>
              <w:bottom w:val="single" w:sz="18" w:space="0" w:color="auto"/>
              <w:right w:val="nil"/>
            </w:tcBorders>
            <w:shd w:val="clear" w:color="auto" w:fill="auto"/>
          </w:tcPr>
          <w:p w14:paraId="4690712C" w14:textId="77777777" w:rsidR="00485872" w:rsidRPr="000B01DA" w:rsidRDefault="00485872" w:rsidP="00E34BBA">
            <w:pPr>
              <w:spacing w:line="264" w:lineRule="auto"/>
              <w:contextualSpacing/>
              <w:jc w:val="right"/>
              <w:rPr>
                <w:rFonts w:ascii="Arial" w:hAnsi="Arial" w:cs="Arial"/>
                <w:b/>
                <w:sz w:val="22"/>
                <w:szCs w:val="22"/>
              </w:rPr>
            </w:pPr>
          </w:p>
        </w:tc>
        <w:tc>
          <w:tcPr>
            <w:tcW w:w="270" w:type="dxa"/>
            <w:tcBorders>
              <w:top w:val="nil"/>
              <w:left w:val="nil"/>
              <w:bottom w:val="single" w:sz="18" w:space="0" w:color="auto"/>
              <w:right w:val="nil"/>
            </w:tcBorders>
          </w:tcPr>
          <w:p w14:paraId="2E5279F4" w14:textId="77777777" w:rsidR="00485872" w:rsidRPr="000B01DA" w:rsidRDefault="00485872" w:rsidP="00E34BBA">
            <w:pPr>
              <w:spacing w:line="264" w:lineRule="auto"/>
              <w:contextualSpacing/>
              <w:jc w:val="right"/>
              <w:rPr>
                <w:rFonts w:ascii="Arial" w:hAnsi="Arial" w:cs="Arial"/>
                <w:b/>
                <w:sz w:val="22"/>
                <w:szCs w:val="22"/>
              </w:rPr>
            </w:pPr>
          </w:p>
        </w:tc>
        <w:tc>
          <w:tcPr>
            <w:tcW w:w="1710" w:type="dxa"/>
            <w:tcBorders>
              <w:top w:val="single" w:sz="8" w:space="0" w:color="auto"/>
              <w:left w:val="nil"/>
              <w:bottom w:val="single" w:sz="18" w:space="0" w:color="auto"/>
              <w:right w:val="nil"/>
            </w:tcBorders>
            <w:shd w:val="clear" w:color="auto" w:fill="auto"/>
            <w:tcMar>
              <w:top w:w="43" w:type="dxa"/>
              <w:bottom w:w="43" w:type="dxa"/>
            </w:tcMar>
          </w:tcPr>
          <w:p w14:paraId="2D1D5EBB" w14:textId="3CE6E547" w:rsidR="00485872" w:rsidRPr="000B01DA" w:rsidRDefault="00485872" w:rsidP="00E34BBA">
            <w:pPr>
              <w:spacing w:line="264" w:lineRule="auto"/>
              <w:contextualSpacing/>
              <w:jc w:val="right"/>
              <w:rPr>
                <w:rFonts w:ascii="Arial" w:hAnsi="Arial" w:cs="Arial"/>
                <w:b/>
                <w:sz w:val="22"/>
                <w:szCs w:val="22"/>
              </w:rPr>
            </w:pPr>
            <w:r>
              <w:rPr>
                <w:rFonts w:ascii="Arial" w:hAnsi="Arial" w:cs="Arial"/>
                <w:b/>
                <w:sz w:val="22"/>
                <w:szCs w:val="22"/>
              </w:rPr>
              <w:t>$20</w:t>
            </w:r>
            <w:r w:rsidRPr="00D47BC8">
              <w:rPr>
                <w:rFonts w:ascii="Arial" w:hAnsi="Arial" w:cs="Arial"/>
                <w:b/>
                <w:sz w:val="22"/>
                <w:szCs w:val="22"/>
              </w:rPr>
              <w:t>.</w:t>
            </w:r>
            <w:r w:rsidR="00335E11">
              <w:rPr>
                <w:rFonts w:ascii="Arial" w:hAnsi="Arial" w:cs="Arial"/>
                <w:b/>
                <w:sz w:val="22"/>
                <w:szCs w:val="22"/>
              </w:rPr>
              <w:t>6</w:t>
            </w:r>
            <w:r>
              <w:rPr>
                <w:rFonts w:ascii="Arial" w:hAnsi="Arial" w:cs="Arial"/>
                <w:b/>
                <w:sz w:val="22"/>
                <w:szCs w:val="22"/>
              </w:rPr>
              <w:t xml:space="preserve"> million</w:t>
            </w:r>
          </w:p>
        </w:tc>
      </w:tr>
    </w:tbl>
    <w:p w14:paraId="4667308B" w14:textId="77777777" w:rsidR="00485872" w:rsidRDefault="00485872" w:rsidP="00485872">
      <w:pPr>
        <w:spacing w:line="264" w:lineRule="auto"/>
        <w:contextualSpacing/>
        <w:jc w:val="both"/>
        <w:rPr>
          <w:rFonts w:ascii="Arial" w:hAnsi="Arial" w:cs="Arial"/>
        </w:rPr>
      </w:pPr>
    </w:p>
    <w:p w14:paraId="7FBE0EF9" w14:textId="77777777" w:rsidR="00485872" w:rsidRDefault="00485872" w:rsidP="00485872">
      <w:pPr>
        <w:spacing w:line="264" w:lineRule="auto"/>
        <w:jc w:val="both"/>
        <w:rPr>
          <w:rFonts w:ascii="Arial" w:hAnsi="Arial" w:cs="Arial"/>
        </w:rPr>
      </w:pPr>
    </w:p>
    <w:p w14:paraId="3951556D" w14:textId="351FBEA9" w:rsidR="00485872" w:rsidRDefault="00485872" w:rsidP="00485872">
      <w:pPr>
        <w:spacing w:line="264" w:lineRule="auto"/>
        <w:jc w:val="both"/>
        <w:rPr>
          <w:rFonts w:ascii="Arial" w:hAnsi="Arial" w:cs="Arial"/>
        </w:rPr>
      </w:pPr>
      <w:r w:rsidRPr="00B00255">
        <w:rPr>
          <w:rFonts w:ascii="Arial" w:hAnsi="Arial" w:cs="Arial"/>
          <w:b/>
          <w:bCs/>
          <w:i/>
          <w:iCs/>
        </w:rPr>
        <w:t xml:space="preserve">Green Building and Zero Energy </w:t>
      </w:r>
      <w:r>
        <w:rPr>
          <w:rFonts w:ascii="Arial" w:hAnsi="Arial" w:cs="Arial"/>
          <w:b/>
          <w:bCs/>
          <w:i/>
          <w:iCs/>
        </w:rPr>
        <w:t xml:space="preserve">[$5.5. million].  </w:t>
      </w:r>
      <w:r>
        <w:rPr>
          <w:rFonts w:ascii="Arial" w:hAnsi="Arial" w:cs="Arial"/>
        </w:rPr>
        <w:t>This proposed appropriation would be used to create a Green Building and Zero Energy Grant Pool within DCHS’ Housing Finance Program (HFP).  The HFP makes capital awards to affordable housing developers through its annual Request for Proposals to build housing for low-income County residents.  HFP funds an average of 11 projects annually.  Within the HFP funding round, HFP will fund three or more affordable housing applicants to either (1) use green elements in their projects such as lower flow fixtures, nontoxic materials, more efficient hearing and cooling, and increased ventilation, or (2) incorporate solar energy systems into their projects that generate enough renewable energy to meet the building’s annual energy use.  All of the funded improvements must be for elements that are beyond what is required by code.  All of the funding will be for new projects, either through the HFP RFP or for projects that have received recent funding from HFP but have not yet started construction.</w:t>
      </w:r>
    </w:p>
    <w:p w14:paraId="004710E4" w14:textId="77777777" w:rsidR="00485872" w:rsidRDefault="00485872" w:rsidP="00485872">
      <w:pPr>
        <w:spacing w:line="264" w:lineRule="auto"/>
        <w:jc w:val="both"/>
        <w:rPr>
          <w:rFonts w:ascii="Arial" w:hAnsi="Arial" w:cs="Arial"/>
        </w:rPr>
      </w:pPr>
    </w:p>
    <w:p w14:paraId="415FA995" w14:textId="77777777" w:rsidR="00485872" w:rsidRDefault="00485872" w:rsidP="00485872">
      <w:pPr>
        <w:spacing w:line="264" w:lineRule="auto"/>
        <w:jc w:val="both"/>
        <w:rPr>
          <w:rFonts w:ascii="Arial" w:hAnsi="Arial" w:cs="Arial"/>
        </w:rPr>
      </w:pPr>
      <w:r>
        <w:rPr>
          <w:rFonts w:ascii="Arial" w:hAnsi="Arial" w:cs="Arial"/>
        </w:rPr>
        <w:t>Executive staff report that a third-party construction inspector will review the project plans to ensure the proposed green energy components exceeding code are included in the plan and will inspect the building as it is constructed and at completion ensure those components are completed as designed.</w:t>
      </w:r>
    </w:p>
    <w:p w14:paraId="61E2BD84" w14:textId="4E4B240B" w:rsidR="00485872" w:rsidRPr="002F3692" w:rsidRDefault="00485872" w:rsidP="52A5D16C">
      <w:pPr>
        <w:spacing w:line="264" w:lineRule="auto"/>
        <w:contextualSpacing/>
        <w:jc w:val="both"/>
        <w:rPr>
          <w:rFonts w:ascii="Arial" w:hAnsi="Arial" w:cs="Arial"/>
          <w:szCs w:val="24"/>
        </w:rPr>
      </w:pPr>
    </w:p>
    <w:p w14:paraId="528D6923" w14:textId="77777777" w:rsidR="00485872" w:rsidRDefault="00485872" w:rsidP="00485872">
      <w:pPr>
        <w:spacing w:line="264" w:lineRule="auto"/>
        <w:jc w:val="both"/>
        <w:rPr>
          <w:rFonts w:ascii="Arial" w:hAnsi="Arial" w:cs="Arial"/>
        </w:rPr>
      </w:pPr>
      <w:r w:rsidRPr="00B00255">
        <w:rPr>
          <w:rFonts w:ascii="Arial" w:hAnsi="Arial" w:cs="Arial"/>
          <w:b/>
          <w:bCs/>
          <w:i/>
          <w:iCs/>
        </w:rPr>
        <w:t>White Center Community Hub</w:t>
      </w:r>
      <w:r>
        <w:rPr>
          <w:rFonts w:ascii="Arial" w:hAnsi="Arial" w:cs="Arial"/>
          <w:b/>
          <w:bCs/>
          <w:i/>
          <w:iCs/>
        </w:rPr>
        <w:t xml:space="preserve"> [$5 million]</w:t>
      </w:r>
      <w:r w:rsidRPr="00C46A27">
        <w:rPr>
          <w:rFonts w:ascii="Arial" w:hAnsi="Arial" w:cs="Arial"/>
        </w:rPr>
        <w:t xml:space="preserve">. </w:t>
      </w:r>
      <w:r>
        <w:rPr>
          <w:rFonts w:ascii="Arial" w:hAnsi="Arial" w:cs="Arial"/>
        </w:rPr>
        <w:t xml:space="preserve"> </w:t>
      </w:r>
      <w:r w:rsidRPr="00C46A27">
        <w:rPr>
          <w:rFonts w:ascii="Arial" w:hAnsi="Arial" w:cs="Arial"/>
        </w:rPr>
        <w:t xml:space="preserve">The </w:t>
      </w:r>
      <w:r>
        <w:rPr>
          <w:rFonts w:ascii="Arial" w:hAnsi="Arial" w:cs="Arial"/>
        </w:rPr>
        <w:t>proposed appropriation</w:t>
      </w:r>
      <w:r w:rsidRPr="00C46A27">
        <w:rPr>
          <w:rFonts w:ascii="Arial" w:hAnsi="Arial" w:cs="Arial"/>
        </w:rPr>
        <w:t xml:space="preserve"> would go towards an affordable housing project in White Center on a property currently owned by King County but proposed to be sold to the White Center Community Development </w:t>
      </w:r>
      <w:r w:rsidRPr="00C46A27">
        <w:rPr>
          <w:rFonts w:ascii="Arial" w:hAnsi="Arial" w:cs="Arial"/>
        </w:rPr>
        <w:lastRenderedPageBreak/>
        <w:t>Association through P</w:t>
      </w:r>
      <w:r>
        <w:rPr>
          <w:rFonts w:ascii="Arial" w:hAnsi="Arial" w:cs="Arial"/>
        </w:rPr>
        <w:t xml:space="preserve">roposed </w:t>
      </w:r>
      <w:r w:rsidRPr="00C46A27">
        <w:rPr>
          <w:rFonts w:ascii="Arial" w:hAnsi="Arial" w:cs="Arial"/>
        </w:rPr>
        <w:t>O</w:t>
      </w:r>
      <w:r>
        <w:rPr>
          <w:rFonts w:ascii="Arial" w:hAnsi="Arial" w:cs="Arial"/>
        </w:rPr>
        <w:t>rdinance</w:t>
      </w:r>
      <w:r w:rsidRPr="00C46A27">
        <w:rPr>
          <w:rFonts w:ascii="Arial" w:hAnsi="Arial" w:cs="Arial"/>
        </w:rPr>
        <w:t xml:space="preserve"> 2021-0275</w:t>
      </w:r>
      <w:r>
        <w:rPr>
          <w:rStyle w:val="FootnoteReference"/>
          <w:rFonts w:ascii="Arial" w:hAnsi="Arial" w:cs="Arial"/>
        </w:rPr>
        <w:footnoteReference w:customMarkFollows="1" w:id="9"/>
        <w:t>[1]</w:t>
      </w:r>
      <w:r w:rsidRPr="00C46A27">
        <w:rPr>
          <w:rFonts w:ascii="Arial" w:hAnsi="Arial" w:cs="Arial"/>
        </w:rPr>
        <w:t xml:space="preserve">.  </w:t>
      </w:r>
      <w:r>
        <w:rPr>
          <w:rFonts w:ascii="Arial" w:hAnsi="Arial" w:cs="Arial"/>
        </w:rPr>
        <w:t>The project will incorporate green energy systems, include innovative HVAC, and water heating technology and have significant solar array which will reduce residents’ utility costs.</w:t>
      </w:r>
    </w:p>
    <w:p w14:paraId="16074B0B" w14:textId="77777777" w:rsidR="00485872" w:rsidRDefault="00485872" w:rsidP="00485872">
      <w:pPr>
        <w:spacing w:line="264" w:lineRule="auto"/>
        <w:jc w:val="both"/>
        <w:rPr>
          <w:rFonts w:ascii="Arial" w:hAnsi="Arial" w:cs="Arial"/>
        </w:rPr>
      </w:pPr>
    </w:p>
    <w:p w14:paraId="30D6AAFB" w14:textId="77777777" w:rsidR="00485872" w:rsidRDefault="00485872" w:rsidP="00485872">
      <w:pPr>
        <w:spacing w:line="264" w:lineRule="auto"/>
        <w:jc w:val="both"/>
        <w:rPr>
          <w:rFonts w:ascii="Arial" w:hAnsi="Arial" w:cs="Arial"/>
          <w:sz w:val="22"/>
        </w:rPr>
      </w:pPr>
      <w:r>
        <w:rPr>
          <w:rFonts w:ascii="Arial" w:hAnsi="Arial" w:cs="Arial"/>
        </w:rPr>
        <w:t>Currently, Proposed Ordinance 2021-0275 is referred to the Council’s Budget and Fiscal Management Committee, which would authorize the Executive to enter into a purchase and sale agreement (PSA) with the White Center Community Development Association (WCCDA) for a property in White Center.  The PSA and its exhibits would require an affordable housing project as well as a community use project for the purpose of providing community event space, educational and family counseling, primary and behavioral healthcare, and nonprofit office space.</w:t>
      </w:r>
    </w:p>
    <w:p w14:paraId="366A2BB0" w14:textId="77777777" w:rsidR="00485872" w:rsidRDefault="00485872" w:rsidP="00485872">
      <w:pPr>
        <w:spacing w:line="264" w:lineRule="auto"/>
        <w:jc w:val="both"/>
        <w:rPr>
          <w:rFonts w:ascii="Arial" w:hAnsi="Arial" w:cs="Arial"/>
          <w:sz w:val="22"/>
        </w:rPr>
      </w:pPr>
    </w:p>
    <w:p w14:paraId="221AC3E0" w14:textId="77777777" w:rsidR="00485872" w:rsidRPr="002458BF" w:rsidRDefault="00485872" w:rsidP="00485872">
      <w:pPr>
        <w:spacing w:line="264" w:lineRule="auto"/>
        <w:jc w:val="both"/>
        <w:rPr>
          <w:rFonts w:ascii="Arial" w:hAnsi="Arial" w:cs="Arial"/>
        </w:rPr>
      </w:pPr>
      <w:r w:rsidRPr="00C46A27">
        <w:rPr>
          <w:rFonts w:ascii="Arial" w:hAnsi="Arial" w:cs="Arial"/>
        </w:rPr>
        <w:t xml:space="preserve">This </w:t>
      </w:r>
      <w:r>
        <w:rPr>
          <w:rFonts w:ascii="Arial" w:hAnsi="Arial" w:cs="Arial"/>
        </w:rPr>
        <w:t>proposed appropriation</w:t>
      </w:r>
      <w:r w:rsidRPr="00C46A27">
        <w:rPr>
          <w:rFonts w:ascii="Arial" w:hAnsi="Arial" w:cs="Arial"/>
        </w:rPr>
        <w:t xml:space="preserve"> would leave a funding gap of approximately $6.5 million for the affordable housing project.</w:t>
      </w:r>
      <w:r>
        <w:rPr>
          <w:rFonts w:ascii="Arial" w:hAnsi="Arial" w:cs="Arial"/>
        </w:rPr>
        <w:t xml:space="preserve">  The WCCDA submitted two applications for the remaining funding that are currently under consideration, one with the state Department of Commerce’s Housing Trust Fund RFP and one for DCHS’s Housing Finance Program Affordable Housing Capital RFP.  After these public funds are secured, the WCCDA would also seek the </w:t>
      </w:r>
      <w:r w:rsidRPr="009834F1">
        <w:rPr>
          <w:rFonts w:ascii="Arial" w:hAnsi="Arial" w:cs="Arial"/>
        </w:rPr>
        <w:t>9% Low Income Housing Tax Credit Program</w:t>
      </w:r>
      <w:r>
        <w:rPr>
          <w:rFonts w:ascii="Arial" w:hAnsi="Arial" w:cs="Arial"/>
        </w:rPr>
        <w:t xml:space="preserve">, a </w:t>
      </w:r>
      <w:r w:rsidRPr="009834F1">
        <w:rPr>
          <w:rFonts w:ascii="Arial" w:hAnsi="Arial" w:cs="Arial"/>
        </w:rPr>
        <w:t>federal income tax credit to developers to encourage the construction/rehab of affordable multifamily housing units.</w:t>
      </w:r>
      <w:r>
        <w:rPr>
          <w:rFonts w:ascii="Arial" w:hAnsi="Arial" w:cs="Arial"/>
        </w:rPr>
        <w:t xml:space="preserve">  </w:t>
      </w:r>
      <w:r w:rsidRPr="009834F1">
        <w:rPr>
          <w:rFonts w:ascii="Arial" w:hAnsi="Arial" w:cs="Arial"/>
        </w:rPr>
        <w:t>The</w:t>
      </w:r>
      <w:r>
        <w:rPr>
          <w:rFonts w:ascii="Arial" w:hAnsi="Arial" w:cs="Arial"/>
        </w:rPr>
        <w:t>se tax credits</w:t>
      </w:r>
      <w:r w:rsidRPr="009834F1">
        <w:rPr>
          <w:rFonts w:ascii="Arial" w:hAnsi="Arial" w:cs="Arial"/>
        </w:rPr>
        <w:t xml:space="preserve"> are </w:t>
      </w:r>
      <w:r>
        <w:rPr>
          <w:rFonts w:ascii="Arial" w:hAnsi="Arial" w:cs="Arial"/>
        </w:rPr>
        <w:t>technically awarded</w:t>
      </w:r>
      <w:r w:rsidRPr="009834F1">
        <w:rPr>
          <w:rFonts w:ascii="Arial" w:hAnsi="Arial" w:cs="Arial"/>
        </w:rPr>
        <w:t xml:space="preserve"> through an annual competitive grant process, though operatively, once funding is largely secured for a project, the developers </w:t>
      </w:r>
      <w:r>
        <w:rPr>
          <w:rFonts w:ascii="Arial" w:hAnsi="Arial" w:cs="Arial"/>
        </w:rPr>
        <w:t>are</w:t>
      </w:r>
      <w:r w:rsidRPr="009834F1">
        <w:rPr>
          <w:rFonts w:ascii="Arial" w:hAnsi="Arial" w:cs="Arial"/>
        </w:rPr>
        <w:t xml:space="preserve"> almost certainly given the tax credit.</w:t>
      </w:r>
    </w:p>
    <w:p w14:paraId="77D9200B" w14:textId="77777777" w:rsidR="00485872" w:rsidRDefault="00485872" w:rsidP="00485872">
      <w:pPr>
        <w:spacing w:line="264" w:lineRule="auto"/>
        <w:jc w:val="both"/>
        <w:rPr>
          <w:rFonts w:ascii="Arial" w:hAnsi="Arial" w:cs="Arial"/>
          <w:b/>
          <w:bCs/>
          <w:i/>
          <w:iCs/>
        </w:rPr>
      </w:pPr>
    </w:p>
    <w:p w14:paraId="5FAF44A0" w14:textId="09C86D0A" w:rsidR="00485872" w:rsidRDefault="00485872" w:rsidP="52A5D16C">
      <w:pPr>
        <w:spacing w:line="264" w:lineRule="auto"/>
        <w:jc w:val="both"/>
        <w:rPr>
          <w:rFonts w:ascii="Arial" w:hAnsi="Arial" w:cs="Arial"/>
        </w:rPr>
      </w:pPr>
      <w:r w:rsidRPr="52A5D16C">
        <w:rPr>
          <w:rFonts w:ascii="Arial" w:hAnsi="Arial" w:cs="Arial"/>
          <w:b/>
          <w:bCs/>
          <w:i/>
          <w:iCs/>
        </w:rPr>
        <w:t xml:space="preserve">Solar Lighting for Parks in Underinvested Areas [$3 million].  </w:t>
      </w:r>
      <w:r w:rsidRPr="52A5D16C">
        <w:rPr>
          <w:rFonts w:ascii="Arial" w:hAnsi="Arial" w:cs="Arial"/>
        </w:rPr>
        <w:t xml:space="preserve">This proposed appropriation would install </w:t>
      </w:r>
      <w:r w:rsidRPr="00132CF2">
        <w:rPr>
          <w:rFonts w:ascii="Arial" w:hAnsi="Arial" w:cs="Arial"/>
          <w:color w:val="4F81BD" w:themeColor="accent1"/>
        </w:rPr>
        <w:t xml:space="preserve">solar </w:t>
      </w:r>
      <w:r w:rsidR="55C90139" w:rsidRPr="00132CF2">
        <w:rPr>
          <w:rFonts w:ascii="Arial" w:hAnsi="Arial" w:cs="Arial"/>
          <w:color w:val="4F81BD" w:themeColor="accent1"/>
        </w:rPr>
        <w:t xml:space="preserve">panels </w:t>
      </w:r>
      <w:r w:rsidR="55C90139" w:rsidRPr="52A5D16C">
        <w:rPr>
          <w:rFonts w:ascii="Arial" w:hAnsi="Arial" w:cs="Arial"/>
        </w:rPr>
        <w:t xml:space="preserve">at picnic shelters and install solar lighting in </w:t>
      </w:r>
      <w:r w:rsidRPr="52A5D16C">
        <w:rPr>
          <w:rFonts w:ascii="Arial" w:hAnsi="Arial" w:cs="Arial"/>
        </w:rPr>
        <w:t>parking areas, along paths, in parking areas, at major trail intersections, and at picnic shelters.  Executive staff report the solar lighting would illuminate previously unlit areas.  Exact locations for the installations would be determined during the planning phase based on results of community outreach, however, the goal is to target park sites in underserved areas in the Sunset and Five Mile Lake Districts such as, Five Mile Lake, Lake Geneva, Dick Thurnau, and Steve Cox and in urban locations such as Green River trail where safety is a concern.  King County Parks has hired a consultant to conduct a series of focus groups on the concept of safety and belonging in parks and trails; the consultant is currently in an onboarding phase.  Focus groups are expected to wrap up by Q1 2022 with a summary report that includes findings and recommendations for actions.  The focus groups and consultant report will inform which sites to add the solar improvements.</w:t>
      </w:r>
    </w:p>
    <w:p w14:paraId="61E88710" w14:textId="77777777" w:rsidR="00485872" w:rsidRPr="00CA0FD0" w:rsidRDefault="00485872" w:rsidP="00485872">
      <w:pPr>
        <w:spacing w:line="264" w:lineRule="auto"/>
        <w:jc w:val="both"/>
        <w:rPr>
          <w:rFonts w:ascii="Arial" w:hAnsi="Arial" w:cs="Arial"/>
          <w:bCs/>
        </w:rPr>
      </w:pPr>
    </w:p>
    <w:p w14:paraId="309261F5" w14:textId="77777777" w:rsidR="00485872" w:rsidRDefault="00485872" w:rsidP="00485872">
      <w:pPr>
        <w:spacing w:line="264" w:lineRule="auto"/>
        <w:jc w:val="both"/>
        <w:rPr>
          <w:rFonts w:ascii="Arial" w:hAnsi="Arial" w:cs="Arial"/>
          <w:szCs w:val="24"/>
        </w:rPr>
      </w:pPr>
      <w:r w:rsidRPr="00B00255">
        <w:rPr>
          <w:rFonts w:ascii="Arial" w:hAnsi="Arial" w:cs="Arial"/>
          <w:b/>
          <w:bCs/>
          <w:i/>
          <w:iCs/>
        </w:rPr>
        <w:t>Equitable Wastewater Futures</w:t>
      </w:r>
      <w:r>
        <w:rPr>
          <w:rFonts w:ascii="Arial" w:hAnsi="Arial" w:cs="Arial"/>
          <w:b/>
          <w:bCs/>
          <w:i/>
          <w:iCs/>
        </w:rPr>
        <w:t xml:space="preserve"> [$2 million].  </w:t>
      </w:r>
      <w:r>
        <w:rPr>
          <w:rFonts w:ascii="Arial" w:hAnsi="Arial" w:cs="Arial"/>
        </w:rPr>
        <w:t xml:space="preserve">The proposed appropriation would </w:t>
      </w:r>
      <w:r>
        <w:rPr>
          <w:rFonts w:ascii="Arial" w:hAnsi="Arial" w:cs="Arial"/>
          <w:szCs w:val="24"/>
        </w:rPr>
        <w:t>p</w:t>
      </w:r>
      <w:r w:rsidRPr="00402163">
        <w:rPr>
          <w:rFonts w:ascii="Arial" w:hAnsi="Arial" w:cs="Arial"/>
          <w:szCs w:val="24"/>
        </w:rPr>
        <w:t xml:space="preserve">rovide on-site septic replacements or sewer connections for low-income property owners who are not eligible for loans or need to offset loan costs. </w:t>
      </w:r>
      <w:r>
        <w:rPr>
          <w:rFonts w:ascii="Arial" w:hAnsi="Arial" w:cs="Arial"/>
          <w:szCs w:val="24"/>
        </w:rPr>
        <w:t xml:space="preserve"> </w:t>
      </w:r>
      <w:r w:rsidRPr="00402163">
        <w:rPr>
          <w:rFonts w:ascii="Arial" w:hAnsi="Arial" w:cs="Arial"/>
          <w:szCs w:val="24"/>
        </w:rPr>
        <w:t xml:space="preserve">This program </w:t>
      </w:r>
      <w:r>
        <w:rPr>
          <w:rFonts w:ascii="Arial" w:hAnsi="Arial" w:cs="Arial"/>
          <w:szCs w:val="24"/>
        </w:rPr>
        <w:t>would</w:t>
      </w:r>
      <w:r w:rsidRPr="00402163">
        <w:rPr>
          <w:rFonts w:ascii="Arial" w:hAnsi="Arial" w:cs="Arial"/>
          <w:szCs w:val="24"/>
        </w:rPr>
        <w:t xml:space="preserve"> prioritize failing on-site sewage systems located in urban areas such as Skyway or </w:t>
      </w:r>
      <w:r w:rsidRPr="00402163">
        <w:rPr>
          <w:rFonts w:ascii="Arial" w:hAnsi="Arial" w:cs="Arial"/>
          <w:szCs w:val="24"/>
        </w:rPr>
        <w:lastRenderedPageBreak/>
        <w:t>North Highline.</w:t>
      </w:r>
      <w:r>
        <w:rPr>
          <w:rFonts w:ascii="Arial" w:hAnsi="Arial" w:cs="Arial"/>
          <w:szCs w:val="24"/>
        </w:rPr>
        <w:t xml:space="preserve">  Executive staff report the project will begin with a year of planning work and community engagement.  The intent of this project is to pilot a program to shift from a fixing individual failing on-site sewage systems (OSS) approach to a neighborhood scale solutions approach to save time and resources in solving the widespread challenge of aging failing urban OSS infrastructure. </w:t>
      </w:r>
    </w:p>
    <w:p w14:paraId="7AC4B21E" w14:textId="77777777" w:rsidR="00485872" w:rsidRDefault="00485872" w:rsidP="00485872">
      <w:pPr>
        <w:spacing w:line="264" w:lineRule="auto"/>
        <w:jc w:val="both"/>
        <w:rPr>
          <w:rFonts w:ascii="Arial" w:hAnsi="Arial" w:cs="Arial"/>
          <w:szCs w:val="24"/>
        </w:rPr>
      </w:pPr>
    </w:p>
    <w:p w14:paraId="66F218FD" w14:textId="77777777" w:rsidR="00485872" w:rsidRPr="00402163" w:rsidRDefault="00485872" w:rsidP="00485872">
      <w:pPr>
        <w:spacing w:after="240" w:line="264" w:lineRule="auto"/>
        <w:jc w:val="both"/>
        <w:rPr>
          <w:rFonts w:ascii="Arial" w:hAnsi="Arial" w:cs="Arial"/>
          <w:szCs w:val="24"/>
        </w:rPr>
      </w:pPr>
      <w:r w:rsidRPr="003065F8">
        <w:rPr>
          <w:rFonts w:ascii="Arial" w:hAnsi="Arial" w:cs="Arial"/>
          <w:szCs w:val="24"/>
        </w:rPr>
        <w:t>Initial planning would assess neighborhoods within the geographic areas of Skyway/West Hill, North Highline, or the unincorporated area between Federal Way and Auburn in South King County, that meet</w:t>
      </w:r>
      <w:r>
        <w:rPr>
          <w:rFonts w:ascii="Arial" w:hAnsi="Arial" w:cs="Arial"/>
          <w:szCs w:val="24"/>
        </w:rPr>
        <w:t xml:space="preserve"> criteria, including neighborhoods that are predominantly low income.  Executive staff report that property owners would be notified and engaged in the process.  Given the timeline of this project, Executive staff report that the Executive will request reappropriation of unspent funds in the 2023-2024 biennium for Council’s review.</w:t>
      </w:r>
    </w:p>
    <w:p w14:paraId="70B597EB" w14:textId="77777777" w:rsidR="00485872" w:rsidRPr="004F074C" w:rsidRDefault="00485872" w:rsidP="00485872">
      <w:pPr>
        <w:spacing w:line="264" w:lineRule="auto"/>
        <w:jc w:val="both"/>
        <w:rPr>
          <w:rFonts w:ascii="Arial" w:hAnsi="Arial" w:cs="Arial"/>
        </w:rPr>
      </w:pPr>
      <w:r w:rsidRPr="004F074C">
        <w:rPr>
          <w:rFonts w:ascii="Arial" w:hAnsi="Arial" w:cs="Arial"/>
          <w:b/>
          <w:bCs/>
          <w:i/>
          <w:iCs/>
        </w:rPr>
        <w:t xml:space="preserve">Energize Home Appliance Upgrade Pilot </w:t>
      </w:r>
      <w:r>
        <w:rPr>
          <w:rFonts w:ascii="Arial" w:hAnsi="Arial" w:cs="Arial"/>
          <w:b/>
          <w:bCs/>
          <w:i/>
          <w:iCs/>
        </w:rPr>
        <w:t>[$2 million]</w:t>
      </w:r>
      <w:r w:rsidRPr="004F074C">
        <w:rPr>
          <w:rFonts w:ascii="Arial" w:hAnsi="Arial" w:cs="Arial"/>
        </w:rPr>
        <w:t xml:space="preserve">. </w:t>
      </w:r>
      <w:r>
        <w:rPr>
          <w:rFonts w:ascii="Arial" w:hAnsi="Arial" w:cs="Arial"/>
        </w:rPr>
        <w:t xml:space="preserve"> </w:t>
      </w:r>
      <w:r w:rsidRPr="004F074C">
        <w:rPr>
          <w:rFonts w:ascii="Arial" w:hAnsi="Arial" w:cs="Arial"/>
        </w:rPr>
        <w:t>Th</w:t>
      </w:r>
      <w:r>
        <w:rPr>
          <w:rFonts w:ascii="Arial" w:hAnsi="Arial" w:cs="Arial"/>
        </w:rPr>
        <w:t>e</w:t>
      </w:r>
      <w:r w:rsidRPr="004F074C">
        <w:rPr>
          <w:rFonts w:ascii="Arial" w:hAnsi="Arial" w:cs="Arial"/>
        </w:rPr>
        <w:t xml:space="preserve"> propos</w:t>
      </w:r>
      <w:r>
        <w:rPr>
          <w:rFonts w:ascii="Arial" w:hAnsi="Arial" w:cs="Arial"/>
        </w:rPr>
        <w:t>ed appropriation would</w:t>
      </w:r>
      <w:r w:rsidRPr="004F074C">
        <w:rPr>
          <w:rFonts w:ascii="Arial" w:hAnsi="Arial" w:cs="Arial"/>
        </w:rPr>
        <w:t xml:space="preserve"> fund a pilot program to install high-efficiency heat pumps in up to 150 homes occupied by residents with low- and moderate-incomes in the White Center and Skyway unincorporated areas. </w:t>
      </w:r>
      <w:r>
        <w:rPr>
          <w:rFonts w:ascii="Arial" w:hAnsi="Arial" w:cs="Arial"/>
        </w:rPr>
        <w:t xml:space="preserve"> </w:t>
      </w:r>
      <w:r w:rsidRPr="004F074C">
        <w:rPr>
          <w:rFonts w:ascii="Arial" w:hAnsi="Arial" w:cs="Arial"/>
        </w:rPr>
        <w:t xml:space="preserve">The residences would be upgraded on a first-come, first-served basis for those that apply and proceed through home assessment and income verification. </w:t>
      </w:r>
      <w:r>
        <w:rPr>
          <w:rFonts w:ascii="Arial" w:hAnsi="Arial" w:cs="Arial"/>
        </w:rPr>
        <w:t xml:space="preserve"> </w:t>
      </w:r>
      <w:r w:rsidRPr="004F074C">
        <w:rPr>
          <w:rFonts w:ascii="Arial" w:hAnsi="Arial" w:cs="Arial"/>
        </w:rPr>
        <w:t xml:space="preserve">Cost coverage would depend on income qualification level. </w:t>
      </w:r>
      <w:r>
        <w:rPr>
          <w:rFonts w:ascii="Arial" w:hAnsi="Arial" w:cs="Arial"/>
        </w:rPr>
        <w:t xml:space="preserve"> </w:t>
      </w:r>
      <w:r w:rsidRPr="004F074C">
        <w:rPr>
          <w:rFonts w:ascii="Arial" w:hAnsi="Arial" w:cs="Arial"/>
        </w:rPr>
        <w:t>The proposal is for</w:t>
      </w:r>
      <w:r>
        <w:rPr>
          <w:rFonts w:ascii="Arial" w:hAnsi="Arial" w:cs="Arial"/>
        </w:rPr>
        <w:t xml:space="preserve"> the following</w:t>
      </w:r>
      <w:r w:rsidRPr="004F074C">
        <w:rPr>
          <w:rFonts w:ascii="Arial" w:hAnsi="Arial" w:cs="Arial"/>
        </w:rPr>
        <w:t xml:space="preserve">: </w:t>
      </w:r>
    </w:p>
    <w:p w14:paraId="019215CD" w14:textId="77777777" w:rsidR="00485872" w:rsidRDefault="00485872" w:rsidP="00485872">
      <w:pPr>
        <w:pStyle w:val="ListParagraph0"/>
        <w:numPr>
          <w:ilvl w:val="1"/>
          <w:numId w:val="15"/>
        </w:numPr>
        <w:spacing w:line="264" w:lineRule="auto"/>
        <w:ind w:left="720"/>
        <w:jc w:val="both"/>
        <w:rPr>
          <w:rFonts w:ascii="Arial" w:hAnsi="Arial" w:cs="Arial"/>
        </w:rPr>
      </w:pPr>
      <w:r w:rsidRPr="00C93833">
        <w:rPr>
          <w:rFonts w:ascii="Arial" w:hAnsi="Arial" w:cs="Arial"/>
        </w:rPr>
        <w:t xml:space="preserve">90% cost-coverage for those between 80% – 120% </w:t>
      </w:r>
      <w:r>
        <w:rPr>
          <w:rFonts w:ascii="Arial" w:hAnsi="Arial" w:cs="Arial"/>
        </w:rPr>
        <w:t>area median income</w:t>
      </w:r>
      <w:r w:rsidRPr="00C93833">
        <w:rPr>
          <w:rFonts w:ascii="Arial" w:hAnsi="Arial" w:cs="Arial"/>
        </w:rPr>
        <w:t xml:space="preserve"> ($92,560 - $138,840 for </w:t>
      </w:r>
      <w:r>
        <w:rPr>
          <w:rFonts w:ascii="Arial" w:hAnsi="Arial" w:cs="Arial"/>
        </w:rPr>
        <w:t>a f</w:t>
      </w:r>
      <w:r w:rsidRPr="00C93833">
        <w:rPr>
          <w:rFonts w:ascii="Arial" w:hAnsi="Arial" w:cs="Arial"/>
        </w:rPr>
        <w:t>our person</w:t>
      </w:r>
      <w:r>
        <w:rPr>
          <w:rFonts w:ascii="Arial" w:hAnsi="Arial" w:cs="Arial"/>
        </w:rPr>
        <w:t xml:space="preserve"> household</w:t>
      </w:r>
      <w:r w:rsidRPr="00C93833">
        <w:rPr>
          <w:rFonts w:ascii="Arial" w:hAnsi="Arial" w:cs="Arial"/>
        </w:rPr>
        <w:t>)</w:t>
      </w:r>
      <w:r>
        <w:rPr>
          <w:rFonts w:ascii="Arial" w:hAnsi="Arial" w:cs="Arial"/>
        </w:rPr>
        <w:t>,</w:t>
      </w:r>
    </w:p>
    <w:p w14:paraId="5C5AFDA9" w14:textId="77777777" w:rsidR="00485872" w:rsidRDefault="00485872" w:rsidP="00485872">
      <w:pPr>
        <w:pStyle w:val="ListParagraph0"/>
        <w:numPr>
          <w:ilvl w:val="1"/>
          <w:numId w:val="15"/>
        </w:numPr>
        <w:spacing w:line="264" w:lineRule="auto"/>
        <w:ind w:left="720"/>
        <w:jc w:val="both"/>
        <w:rPr>
          <w:rFonts w:ascii="Arial" w:hAnsi="Arial" w:cs="Arial"/>
        </w:rPr>
      </w:pPr>
      <w:r w:rsidRPr="002458BF">
        <w:rPr>
          <w:rFonts w:ascii="Arial" w:hAnsi="Arial" w:cs="Arial"/>
        </w:rPr>
        <w:t xml:space="preserve">100% cost-coverage for those between 50% – 80% area medium income ($57,850 – $92,560 for </w:t>
      </w:r>
      <w:r>
        <w:rPr>
          <w:rFonts w:ascii="Arial" w:hAnsi="Arial" w:cs="Arial"/>
        </w:rPr>
        <w:t xml:space="preserve">a </w:t>
      </w:r>
      <w:r w:rsidRPr="002458BF">
        <w:rPr>
          <w:rFonts w:ascii="Arial" w:hAnsi="Arial" w:cs="Arial"/>
        </w:rPr>
        <w:t xml:space="preserve">four person household), and </w:t>
      </w:r>
    </w:p>
    <w:p w14:paraId="29C23256" w14:textId="77777777" w:rsidR="00485872" w:rsidRPr="002458BF" w:rsidRDefault="00485872" w:rsidP="00485872">
      <w:pPr>
        <w:pStyle w:val="ListParagraph0"/>
        <w:numPr>
          <w:ilvl w:val="1"/>
          <w:numId w:val="15"/>
        </w:numPr>
        <w:spacing w:line="264" w:lineRule="auto"/>
        <w:ind w:left="720"/>
        <w:jc w:val="both"/>
        <w:rPr>
          <w:rFonts w:ascii="Arial" w:hAnsi="Arial" w:cs="Arial"/>
        </w:rPr>
      </w:pPr>
      <w:r w:rsidRPr="002458BF">
        <w:rPr>
          <w:rFonts w:ascii="Arial" w:hAnsi="Arial" w:cs="Arial"/>
        </w:rPr>
        <w:t>100% cost coverage for under 50% area medium income.</w:t>
      </w:r>
    </w:p>
    <w:p w14:paraId="1A11C870" w14:textId="77777777" w:rsidR="00485872" w:rsidRDefault="00485872" w:rsidP="00485872">
      <w:pPr>
        <w:pStyle w:val="ListParagraph0"/>
        <w:spacing w:line="264" w:lineRule="auto"/>
        <w:ind w:left="1440"/>
        <w:jc w:val="both"/>
        <w:rPr>
          <w:rFonts w:ascii="Arial" w:hAnsi="Arial" w:cs="Arial"/>
        </w:rPr>
      </w:pPr>
    </w:p>
    <w:p w14:paraId="37433732" w14:textId="1D89E537" w:rsidR="00485872" w:rsidRDefault="00485872" w:rsidP="00485872">
      <w:pPr>
        <w:spacing w:line="264" w:lineRule="auto"/>
        <w:jc w:val="both"/>
        <w:rPr>
          <w:rFonts w:ascii="Arial" w:hAnsi="Arial" w:cs="Arial"/>
        </w:rPr>
      </w:pPr>
      <w:r w:rsidRPr="52A5D16C">
        <w:rPr>
          <w:rFonts w:ascii="Arial" w:hAnsi="Arial" w:cs="Arial"/>
        </w:rPr>
        <w:t xml:space="preserve">Program details are still being determined due to potentially overlapping programs offered by other entities.  </w:t>
      </w:r>
    </w:p>
    <w:p w14:paraId="28A95015" w14:textId="77777777" w:rsidR="00485872" w:rsidRPr="00A977E8" w:rsidRDefault="00485872" w:rsidP="00485872">
      <w:pPr>
        <w:spacing w:line="264" w:lineRule="auto"/>
        <w:jc w:val="both"/>
        <w:rPr>
          <w:rFonts w:ascii="Arial" w:hAnsi="Arial" w:cs="Arial"/>
        </w:rPr>
      </w:pPr>
    </w:p>
    <w:p w14:paraId="02720415" w14:textId="76D5D3B5" w:rsidR="00485872" w:rsidRPr="002B7695" w:rsidRDefault="00485872" w:rsidP="00485872">
      <w:pPr>
        <w:spacing w:line="264" w:lineRule="auto"/>
        <w:jc w:val="both"/>
        <w:rPr>
          <w:rFonts w:ascii="Arial" w:hAnsi="Arial" w:cs="Arial"/>
          <w:szCs w:val="24"/>
        </w:rPr>
      </w:pPr>
      <w:r w:rsidRPr="00B00255">
        <w:rPr>
          <w:rFonts w:ascii="Arial" w:hAnsi="Arial" w:cs="Arial"/>
          <w:b/>
          <w:bCs/>
          <w:i/>
          <w:iCs/>
        </w:rPr>
        <w:t>ADA Pedestrian Improvements in Urban Unincorporated King County</w:t>
      </w:r>
      <w:r>
        <w:rPr>
          <w:rFonts w:ascii="Arial" w:hAnsi="Arial" w:cs="Arial"/>
          <w:b/>
          <w:bCs/>
          <w:i/>
          <w:iCs/>
        </w:rPr>
        <w:t xml:space="preserve"> [$</w:t>
      </w:r>
      <w:r w:rsidR="00335E11">
        <w:rPr>
          <w:rFonts w:ascii="Arial" w:hAnsi="Arial" w:cs="Arial"/>
          <w:b/>
          <w:bCs/>
          <w:i/>
          <w:iCs/>
        </w:rPr>
        <w:t>2.1</w:t>
      </w:r>
      <w:r>
        <w:rPr>
          <w:rFonts w:ascii="Arial" w:hAnsi="Arial" w:cs="Arial"/>
          <w:b/>
          <w:bCs/>
          <w:i/>
          <w:iCs/>
        </w:rPr>
        <w:t xml:space="preserve"> million, 2.0 TLTs].  </w:t>
      </w:r>
      <w:r>
        <w:rPr>
          <w:rFonts w:ascii="Arial" w:hAnsi="Arial" w:cs="Arial"/>
        </w:rPr>
        <w:t xml:space="preserve">The proposed appropriation is intended to </w:t>
      </w:r>
      <w:r>
        <w:rPr>
          <w:rFonts w:ascii="Arial" w:hAnsi="Arial" w:cs="Arial"/>
          <w:szCs w:val="24"/>
        </w:rPr>
        <w:t>i</w:t>
      </w:r>
      <w:r w:rsidRPr="002B7695">
        <w:rPr>
          <w:rFonts w:ascii="Arial" w:hAnsi="Arial" w:cs="Arial"/>
          <w:szCs w:val="24"/>
        </w:rPr>
        <w:t xml:space="preserve">mprove transit access for frontline communities by bringing up to 60 existing ADA ramps along the Rapid Ride H White Center corridor to contemporary standards. </w:t>
      </w:r>
      <w:r>
        <w:rPr>
          <w:rFonts w:ascii="Arial" w:hAnsi="Arial" w:cs="Arial"/>
          <w:szCs w:val="24"/>
        </w:rPr>
        <w:t xml:space="preserve"> </w:t>
      </w:r>
      <w:r w:rsidRPr="002B7695">
        <w:rPr>
          <w:rFonts w:ascii="Arial" w:hAnsi="Arial" w:cs="Arial"/>
          <w:szCs w:val="24"/>
        </w:rPr>
        <w:t xml:space="preserve">This </w:t>
      </w:r>
      <w:r>
        <w:rPr>
          <w:rFonts w:ascii="Arial" w:hAnsi="Arial" w:cs="Arial"/>
          <w:szCs w:val="24"/>
        </w:rPr>
        <w:t>would</w:t>
      </w:r>
      <w:r w:rsidRPr="002B7695">
        <w:rPr>
          <w:rFonts w:ascii="Arial" w:hAnsi="Arial" w:cs="Arial"/>
          <w:szCs w:val="24"/>
        </w:rPr>
        <w:t xml:space="preserve"> facilitate the use of active transportation and transit for people with disabilities, using strollers, and with limited mobility.  </w:t>
      </w:r>
      <w:r w:rsidR="009218B1">
        <w:rPr>
          <w:rFonts w:ascii="Arial" w:hAnsi="Arial" w:cs="Arial"/>
          <w:szCs w:val="24"/>
        </w:rPr>
        <w:t>Of the total, $1.5 million would support installation of the ramps and $600,000 would support</w:t>
      </w:r>
      <w:r>
        <w:rPr>
          <w:rFonts w:ascii="Arial" w:hAnsi="Arial" w:cs="Arial"/>
          <w:szCs w:val="24"/>
        </w:rPr>
        <w:t xml:space="preserve"> 2 TLT Roads Division positions that would be loaned out to support this project</w:t>
      </w:r>
      <w:r w:rsidR="009218B1">
        <w:rPr>
          <w:rFonts w:ascii="Arial" w:hAnsi="Arial" w:cs="Arial"/>
          <w:szCs w:val="24"/>
        </w:rPr>
        <w:t xml:space="preserve">.  Both are </w:t>
      </w:r>
      <w:r>
        <w:rPr>
          <w:rFonts w:ascii="Arial" w:hAnsi="Arial" w:cs="Arial"/>
          <w:szCs w:val="24"/>
        </w:rPr>
        <w:t xml:space="preserve">described in the Roads section </w:t>
      </w:r>
      <w:r w:rsidR="0098133D">
        <w:rPr>
          <w:rFonts w:ascii="Arial" w:hAnsi="Arial" w:cs="Arial"/>
          <w:szCs w:val="24"/>
        </w:rPr>
        <w:t>of</w:t>
      </w:r>
      <w:r>
        <w:rPr>
          <w:rFonts w:ascii="Arial" w:hAnsi="Arial" w:cs="Arial"/>
          <w:szCs w:val="24"/>
        </w:rPr>
        <w:t xml:space="preserve"> this staff report. </w:t>
      </w:r>
    </w:p>
    <w:p w14:paraId="6B1353EC" w14:textId="77777777" w:rsidR="00485872" w:rsidRPr="002B7695" w:rsidRDefault="00485872" w:rsidP="00485872">
      <w:pPr>
        <w:spacing w:line="264" w:lineRule="auto"/>
        <w:contextualSpacing/>
        <w:jc w:val="both"/>
        <w:rPr>
          <w:rFonts w:ascii="Arial" w:hAnsi="Arial" w:cs="Arial"/>
          <w:b/>
          <w:bCs/>
          <w:i/>
          <w:iCs/>
          <w:szCs w:val="24"/>
        </w:rPr>
      </w:pPr>
    </w:p>
    <w:p w14:paraId="5F876AB6" w14:textId="77777777" w:rsidR="00485872" w:rsidRDefault="00485872" w:rsidP="00485872">
      <w:pPr>
        <w:tabs>
          <w:tab w:val="left" w:pos="720"/>
          <w:tab w:val="right" w:pos="9360"/>
        </w:tabs>
        <w:spacing w:line="264" w:lineRule="auto"/>
        <w:contextualSpacing/>
        <w:jc w:val="both"/>
        <w:rPr>
          <w:rFonts w:ascii="Arial" w:hAnsi="Arial" w:cs="Arial"/>
          <w:bCs/>
        </w:rPr>
      </w:pPr>
      <w:r w:rsidRPr="003A59D0">
        <w:rPr>
          <w:rFonts w:ascii="Arial" w:hAnsi="Arial" w:cs="Arial"/>
          <w:b/>
          <w:bCs/>
          <w:i/>
          <w:iCs/>
        </w:rPr>
        <w:t>Farmland Infrastructure for BIPOC farmers on DNRP owned lands</w:t>
      </w:r>
      <w:r>
        <w:rPr>
          <w:rFonts w:ascii="Arial" w:hAnsi="Arial" w:cs="Arial"/>
          <w:b/>
          <w:bCs/>
          <w:i/>
          <w:iCs/>
        </w:rPr>
        <w:t xml:space="preserve"> [$1 million].  </w:t>
      </w:r>
      <w:r>
        <w:rPr>
          <w:rFonts w:ascii="Arial" w:hAnsi="Arial" w:cs="Arial"/>
          <w:bCs/>
        </w:rPr>
        <w:t xml:space="preserve">This proposed ordinance would appropriate $1 million to the Open Space and Farmland Fund to support the County’s farmland program.  Department of Natural Resources and Parks (DNRP) currently manages a portfolio of five farms (approximately 140 farmable acres) that primarily provide farmland access for beginning farmers and Black, Indigenous, and People of Color (BIPOC) farmers. </w:t>
      </w:r>
      <w:r w:rsidRPr="00115382">
        <w:t xml:space="preserve"> </w:t>
      </w:r>
      <w:r w:rsidRPr="00115382">
        <w:rPr>
          <w:rFonts w:ascii="Arial" w:hAnsi="Arial" w:cs="Arial"/>
          <w:bCs/>
        </w:rPr>
        <w:t xml:space="preserve">In 2019, DNRP conducted an </w:t>
      </w:r>
      <w:r w:rsidRPr="00115382">
        <w:rPr>
          <w:rFonts w:ascii="Arial" w:hAnsi="Arial" w:cs="Arial"/>
          <w:bCs/>
        </w:rPr>
        <w:lastRenderedPageBreak/>
        <w:t>assessment of immigrant</w:t>
      </w:r>
      <w:r>
        <w:rPr>
          <w:rFonts w:ascii="Arial" w:hAnsi="Arial" w:cs="Arial"/>
          <w:bCs/>
        </w:rPr>
        <w:t xml:space="preserve"> and </w:t>
      </w:r>
      <w:r w:rsidRPr="00115382">
        <w:rPr>
          <w:rFonts w:ascii="Arial" w:hAnsi="Arial" w:cs="Arial"/>
          <w:bCs/>
        </w:rPr>
        <w:t xml:space="preserve">refugee farmers in King County and </w:t>
      </w:r>
      <w:r>
        <w:rPr>
          <w:rFonts w:ascii="Arial" w:hAnsi="Arial" w:cs="Arial"/>
          <w:bCs/>
        </w:rPr>
        <w:t>found</w:t>
      </w:r>
      <w:r w:rsidRPr="00115382">
        <w:rPr>
          <w:rFonts w:ascii="Arial" w:hAnsi="Arial" w:cs="Arial"/>
          <w:bCs/>
        </w:rPr>
        <w:t xml:space="preserve"> </w:t>
      </w:r>
      <w:r>
        <w:rPr>
          <w:rFonts w:ascii="Arial" w:hAnsi="Arial" w:cs="Arial"/>
          <w:bCs/>
        </w:rPr>
        <w:t xml:space="preserve">a </w:t>
      </w:r>
      <w:r w:rsidRPr="00115382">
        <w:rPr>
          <w:rFonts w:ascii="Arial" w:hAnsi="Arial" w:cs="Arial"/>
          <w:bCs/>
        </w:rPr>
        <w:t xml:space="preserve">need for greater opportunities to access farmland by traditionally underserved communities. </w:t>
      </w:r>
      <w:r>
        <w:rPr>
          <w:rFonts w:ascii="Arial" w:hAnsi="Arial" w:cs="Arial"/>
          <w:bCs/>
        </w:rPr>
        <w:t xml:space="preserve">  </w:t>
      </w:r>
    </w:p>
    <w:p w14:paraId="6915C120" w14:textId="77777777" w:rsidR="00485872" w:rsidRDefault="00485872" w:rsidP="00485872">
      <w:pPr>
        <w:tabs>
          <w:tab w:val="left" w:pos="720"/>
          <w:tab w:val="right" w:pos="9360"/>
        </w:tabs>
        <w:spacing w:line="264" w:lineRule="auto"/>
        <w:contextualSpacing/>
        <w:jc w:val="both"/>
        <w:rPr>
          <w:rFonts w:ascii="Arial" w:hAnsi="Arial" w:cs="Arial"/>
          <w:bCs/>
        </w:rPr>
      </w:pPr>
    </w:p>
    <w:p w14:paraId="029ECFE1" w14:textId="77777777" w:rsidR="00485872" w:rsidRDefault="00485872" w:rsidP="00485872">
      <w:pPr>
        <w:tabs>
          <w:tab w:val="left" w:pos="720"/>
          <w:tab w:val="right" w:pos="9360"/>
        </w:tabs>
        <w:spacing w:line="264" w:lineRule="auto"/>
        <w:contextualSpacing/>
        <w:jc w:val="both"/>
        <w:rPr>
          <w:rFonts w:ascii="Arial" w:hAnsi="Arial" w:cs="Arial"/>
          <w:bCs/>
        </w:rPr>
      </w:pPr>
      <w:r>
        <w:rPr>
          <w:rFonts w:ascii="Arial" w:hAnsi="Arial" w:cs="Arial"/>
          <w:bCs/>
        </w:rPr>
        <w:t>According to the executive, thi</w:t>
      </w:r>
      <w:r w:rsidRPr="00401E1B">
        <w:rPr>
          <w:rFonts w:ascii="Arial" w:hAnsi="Arial" w:cs="Arial"/>
          <w:bCs/>
        </w:rPr>
        <w:t>s project w</w:t>
      </w:r>
      <w:r>
        <w:rPr>
          <w:rFonts w:ascii="Arial" w:hAnsi="Arial" w:cs="Arial"/>
          <w:bCs/>
        </w:rPr>
        <w:t>ould</w:t>
      </w:r>
      <w:r w:rsidRPr="00401E1B">
        <w:rPr>
          <w:rFonts w:ascii="Arial" w:hAnsi="Arial" w:cs="Arial"/>
          <w:bCs/>
        </w:rPr>
        <w:t xml:space="preserve"> implement the necessary improvements to irrigation infrastructure, wash/pack stations, farm equipment, and other investments needed to allow farmers to produce high value crops, access more lucrative markets, and develop viable businesses. </w:t>
      </w:r>
      <w:r>
        <w:rPr>
          <w:rFonts w:ascii="Arial" w:hAnsi="Arial" w:cs="Arial"/>
          <w:bCs/>
        </w:rPr>
        <w:t xml:space="preserve"> This appropriation</w:t>
      </w:r>
      <w:r w:rsidRPr="00401E1B">
        <w:rPr>
          <w:rFonts w:ascii="Arial" w:hAnsi="Arial" w:cs="Arial"/>
          <w:bCs/>
        </w:rPr>
        <w:t xml:space="preserve"> w</w:t>
      </w:r>
      <w:r>
        <w:rPr>
          <w:rFonts w:ascii="Arial" w:hAnsi="Arial" w:cs="Arial"/>
          <w:bCs/>
        </w:rPr>
        <w:t>ould</w:t>
      </w:r>
      <w:r w:rsidRPr="00401E1B">
        <w:rPr>
          <w:rFonts w:ascii="Arial" w:hAnsi="Arial" w:cs="Arial"/>
          <w:bCs/>
        </w:rPr>
        <w:t xml:space="preserve"> allow the County to bring all five farms to the same level of infrastructure to provide an equitable level of service and opportunity to all farmers.</w:t>
      </w:r>
      <w:r>
        <w:rPr>
          <w:rFonts w:ascii="Arial" w:hAnsi="Arial" w:cs="Arial"/>
          <w:bCs/>
        </w:rPr>
        <w:t xml:space="preserve">  Executive staff provided the following estimated breakdown of the proposed allocation of the proposed appropriation:</w:t>
      </w:r>
    </w:p>
    <w:p w14:paraId="2199A9C1" w14:textId="77777777" w:rsidR="00485872" w:rsidRDefault="00485872" w:rsidP="00485872">
      <w:pPr>
        <w:pStyle w:val="ListParagraph0"/>
        <w:numPr>
          <w:ilvl w:val="0"/>
          <w:numId w:val="16"/>
        </w:numPr>
        <w:tabs>
          <w:tab w:val="left" w:pos="720"/>
          <w:tab w:val="right" w:pos="9360"/>
        </w:tabs>
        <w:spacing w:line="264" w:lineRule="auto"/>
        <w:contextualSpacing/>
        <w:jc w:val="both"/>
        <w:rPr>
          <w:rFonts w:ascii="Arial" w:hAnsi="Arial" w:cs="Arial"/>
          <w:bCs/>
        </w:rPr>
      </w:pPr>
      <w:proofErr w:type="spellStart"/>
      <w:r>
        <w:rPr>
          <w:rFonts w:ascii="Arial" w:hAnsi="Arial" w:cs="Arial"/>
          <w:bCs/>
        </w:rPr>
        <w:t>Horseneck</w:t>
      </w:r>
      <w:proofErr w:type="spellEnd"/>
      <w:r>
        <w:rPr>
          <w:rFonts w:ascii="Arial" w:hAnsi="Arial" w:cs="Arial"/>
          <w:bCs/>
        </w:rPr>
        <w:t xml:space="preserve"> Farm: $350,000</w:t>
      </w:r>
    </w:p>
    <w:p w14:paraId="1F1221BE" w14:textId="77777777" w:rsidR="00485872" w:rsidRDefault="00485872" w:rsidP="00485872">
      <w:pPr>
        <w:pStyle w:val="ListParagraph0"/>
        <w:numPr>
          <w:ilvl w:val="0"/>
          <w:numId w:val="16"/>
        </w:numPr>
        <w:tabs>
          <w:tab w:val="left" w:pos="720"/>
          <w:tab w:val="right" w:pos="9360"/>
        </w:tabs>
        <w:spacing w:line="264" w:lineRule="auto"/>
        <w:contextualSpacing/>
        <w:jc w:val="both"/>
        <w:rPr>
          <w:rFonts w:ascii="Arial" w:hAnsi="Arial" w:cs="Arial"/>
          <w:bCs/>
        </w:rPr>
      </w:pPr>
      <w:r>
        <w:rPr>
          <w:rFonts w:ascii="Arial" w:hAnsi="Arial" w:cs="Arial"/>
          <w:bCs/>
        </w:rPr>
        <w:t>Green River Farm: $170,000</w:t>
      </w:r>
    </w:p>
    <w:p w14:paraId="15A52B3A" w14:textId="77777777" w:rsidR="00485872" w:rsidRDefault="00485872" w:rsidP="00485872">
      <w:pPr>
        <w:pStyle w:val="ListParagraph0"/>
        <w:numPr>
          <w:ilvl w:val="0"/>
          <w:numId w:val="16"/>
        </w:numPr>
        <w:tabs>
          <w:tab w:val="left" w:pos="720"/>
          <w:tab w:val="right" w:pos="9360"/>
        </w:tabs>
        <w:spacing w:line="264" w:lineRule="auto"/>
        <w:contextualSpacing/>
        <w:jc w:val="both"/>
        <w:rPr>
          <w:rFonts w:ascii="Arial" w:hAnsi="Arial" w:cs="Arial"/>
          <w:bCs/>
        </w:rPr>
      </w:pPr>
      <w:r>
        <w:rPr>
          <w:rFonts w:ascii="Arial" w:hAnsi="Arial" w:cs="Arial"/>
          <w:bCs/>
        </w:rPr>
        <w:t>Sammamish River Farm: $150,000</w:t>
      </w:r>
    </w:p>
    <w:p w14:paraId="7C780232" w14:textId="77777777" w:rsidR="00485872" w:rsidRDefault="00485872" w:rsidP="00485872">
      <w:pPr>
        <w:pStyle w:val="ListParagraph0"/>
        <w:numPr>
          <w:ilvl w:val="0"/>
          <w:numId w:val="16"/>
        </w:numPr>
        <w:tabs>
          <w:tab w:val="left" w:pos="720"/>
          <w:tab w:val="right" w:pos="9360"/>
        </w:tabs>
        <w:spacing w:line="264" w:lineRule="auto"/>
        <w:contextualSpacing/>
        <w:jc w:val="both"/>
        <w:rPr>
          <w:rFonts w:ascii="Arial" w:hAnsi="Arial" w:cs="Arial"/>
          <w:bCs/>
        </w:rPr>
      </w:pPr>
      <w:r>
        <w:rPr>
          <w:rFonts w:ascii="Arial" w:hAnsi="Arial" w:cs="Arial"/>
          <w:bCs/>
        </w:rPr>
        <w:t>Snoqualmie River Farm: $265,000</w:t>
      </w:r>
    </w:p>
    <w:p w14:paraId="22F925DC" w14:textId="77777777" w:rsidR="00485872" w:rsidRPr="00A710B3" w:rsidRDefault="00485872" w:rsidP="00485872">
      <w:pPr>
        <w:pStyle w:val="ListParagraph0"/>
        <w:numPr>
          <w:ilvl w:val="0"/>
          <w:numId w:val="16"/>
        </w:numPr>
        <w:tabs>
          <w:tab w:val="left" w:pos="720"/>
          <w:tab w:val="right" w:pos="9360"/>
        </w:tabs>
        <w:spacing w:line="264" w:lineRule="auto"/>
        <w:contextualSpacing/>
        <w:jc w:val="both"/>
        <w:rPr>
          <w:rFonts w:ascii="Arial" w:hAnsi="Arial" w:cs="Arial"/>
          <w:bCs/>
        </w:rPr>
      </w:pPr>
      <w:r>
        <w:rPr>
          <w:rFonts w:ascii="Arial" w:hAnsi="Arial" w:cs="Arial"/>
          <w:bCs/>
        </w:rPr>
        <w:t>Issaquah Creek Farm: $65,000</w:t>
      </w:r>
    </w:p>
    <w:p w14:paraId="529D298B" w14:textId="77777777" w:rsidR="00485872" w:rsidRDefault="00485872" w:rsidP="000D356F">
      <w:pPr>
        <w:spacing w:line="264" w:lineRule="auto"/>
        <w:jc w:val="both"/>
        <w:rPr>
          <w:rFonts w:ascii="Arial" w:hAnsi="Arial" w:cs="Arial"/>
          <w:szCs w:val="24"/>
        </w:rPr>
      </w:pPr>
    </w:p>
    <w:p w14:paraId="6C7153E2" w14:textId="77777777" w:rsidR="00FF3751" w:rsidRDefault="00FF3751" w:rsidP="000D356F">
      <w:pPr>
        <w:spacing w:line="264" w:lineRule="auto"/>
        <w:jc w:val="both"/>
        <w:rPr>
          <w:rFonts w:ascii="Arial" w:hAnsi="Arial" w:cs="Arial"/>
          <w:szCs w:val="24"/>
        </w:rPr>
      </w:pPr>
    </w:p>
    <w:p w14:paraId="067F122F" w14:textId="77777777" w:rsidR="00B93AE2" w:rsidRPr="000E7446" w:rsidRDefault="00B93AE2" w:rsidP="00B93AE2">
      <w:pPr>
        <w:tabs>
          <w:tab w:val="left" w:pos="720"/>
          <w:tab w:val="right" w:pos="9360"/>
        </w:tabs>
        <w:spacing w:line="264" w:lineRule="auto"/>
        <w:contextualSpacing/>
        <w:jc w:val="both"/>
        <w:rPr>
          <w:rFonts w:ascii="Arial" w:hAnsi="Arial" w:cs="Arial"/>
          <w:b/>
          <w:u w:val="single"/>
        </w:rPr>
      </w:pPr>
      <w:r>
        <w:rPr>
          <w:rFonts w:ascii="Arial" w:hAnsi="Arial" w:cs="Arial"/>
          <w:b/>
          <w:u w:val="single"/>
        </w:rPr>
        <w:t>Council Administration</w:t>
      </w:r>
      <w:r w:rsidRPr="000E7446">
        <w:rPr>
          <w:rFonts w:ascii="Arial" w:hAnsi="Arial" w:cs="Arial"/>
          <w:b/>
          <w:u w:val="single"/>
        </w:rPr>
        <w:tab/>
      </w:r>
      <w:r w:rsidRPr="00F4600F">
        <w:rPr>
          <w:rFonts w:ascii="Arial" w:hAnsi="Arial" w:cs="Arial"/>
          <w:b/>
          <w:u w:val="single"/>
        </w:rPr>
        <w:t>$1,400,00</w:t>
      </w:r>
      <w:r>
        <w:rPr>
          <w:rFonts w:ascii="Arial" w:hAnsi="Arial" w:cs="Arial"/>
          <w:b/>
          <w:u w:val="single"/>
        </w:rPr>
        <w:t>0</w:t>
      </w:r>
      <w:r w:rsidRPr="00F4600F">
        <w:rPr>
          <w:rFonts w:ascii="Arial" w:hAnsi="Arial" w:cs="Arial"/>
          <w:b/>
          <w:u w:val="single"/>
        </w:rPr>
        <w:t>, 3.0 FTEs</w:t>
      </w:r>
    </w:p>
    <w:p w14:paraId="53E94E05" w14:textId="77777777" w:rsidR="00B93AE2" w:rsidRDefault="00B93AE2" w:rsidP="00B93AE2">
      <w:pPr>
        <w:spacing w:line="264" w:lineRule="auto"/>
        <w:contextualSpacing/>
        <w:jc w:val="both"/>
        <w:rPr>
          <w:b/>
        </w:rPr>
      </w:pPr>
    </w:p>
    <w:p w14:paraId="46D5CE99" w14:textId="77777777" w:rsidR="00B93AE2" w:rsidRDefault="00B93AE2" w:rsidP="00B93AE2">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[$1,400,000, 3.0 FTEs, ongoing]</w:t>
      </w:r>
      <w:r w:rsidRPr="0054665B">
        <w:rPr>
          <w:rFonts w:ascii="Arial" w:hAnsi="Arial" w:cs="Arial"/>
          <w:b/>
          <w:i/>
          <w:iCs/>
        </w:rPr>
        <w:t>.</w:t>
      </w:r>
      <w:r>
        <w:rPr>
          <w:rFonts w:ascii="Arial" w:hAnsi="Arial" w:cs="Arial"/>
          <w:b/>
        </w:rPr>
        <w:t xml:space="preserve">  </w:t>
      </w:r>
      <w:r w:rsidRPr="00FC1A7F">
        <w:rPr>
          <w:rFonts w:ascii="Arial" w:hAnsi="Arial" w:cs="Arial"/>
        </w:rPr>
        <w:t>The proposed ordinance would appropriate $</w:t>
      </w:r>
      <w:r>
        <w:rPr>
          <w:rFonts w:ascii="Arial" w:hAnsi="Arial" w:cs="Arial"/>
        </w:rPr>
        <w:t>1</w:t>
      </w:r>
      <w:r w:rsidRPr="00FC1A7F">
        <w:rPr>
          <w:rFonts w:ascii="Arial" w:hAnsi="Arial" w:cs="Arial"/>
        </w:rPr>
        <w:t>,</w:t>
      </w:r>
      <w:r>
        <w:rPr>
          <w:rFonts w:ascii="Arial" w:hAnsi="Arial" w:cs="Arial"/>
        </w:rPr>
        <w:t>400,</w:t>
      </w:r>
      <w:r w:rsidRPr="00FC1A7F">
        <w:rPr>
          <w:rFonts w:ascii="Arial" w:hAnsi="Arial" w:cs="Arial"/>
        </w:rPr>
        <w:t xml:space="preserve">000 to restore </w:t>
      </w:r>
      <w:r>
        <w:rPr>
          <w:rFonts w:ascii="Arial" w:hAnsi="Arial" w:cs="Arial"/>
        </w:rPr>
        <w:t>three</w:t>
      </w:r>
      <w:r w:rsidRPr="00FC1A7F">
        <w:rPr>
          <w:rFonts w:ascii="Arial" w:hAnsi="Arial" w:cs="Arial"/>
        </w:rPr>
        <w:t xml:space="preserve"> FTE positions, furlough days, </w:t>
      </w:r>
      <w:r>
        <w:rPr>
          <w:rFonts w:ascii="Arial" w:hAnsi="Arial" w:cs="Arial"/>
        </w:rPr>
        <w:t xml:space="preserve">travel training, </w:t>
      </w:r>
      <w:r w:rsidRPr="00FC1A7F">
        <w:rPr>
          <w:rFonts w:ascii="Arial" w:hAnsi="Arial" w:cs="Arial"/>
        </w:rPr>
        <w:t xml:space="preserve">and </w:t>
      </w:r>
      <w:r>
        <w:rPr>
          <w:rFonts w:ascii="Arial" w:hAnsi="Arial" w:cs="Arial"/>
        </w:rPr>
        <w:t>supplies</w:t>
      </w:r>
      <w:r w:rsidRPr="00FC1A7F">
        <w:rPr>
          <w:rFonts w:ascii="Arial" w:hAnsi="Arial" w:cs="Arial"/>
        </w:rPr>
        <w:t xml:space="preserve"> for 2022.</w:t>
      </w:r>
      <w:r>
        <w:rPr>
          <w:rFonts w:ascii="Arial" w:hAnsi="Arial" w:cs="Arial"/>
        </w:rPr>
        <w:t xml:space="preserve">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However, the 3.0 FTE restoration was </w:t>
      </w:r>
      <w:r w:rsidRPr="00B93AE2">
        <w:rPr>
          <w:rFonts w:ascii="Arial" w:hAnsi="Arial" w:cs="Arial"/>
        </w:rPr>
        <w:t>erroneously included in the proposed ordinance as those FTEs were not eliminated in 2021.  An amendment to this section to remove 3.0 FTEs is necessary to meet the policy intent of the proposed ordinance.</w:t>
      </w:r>
    </w:p>
    <w:p w14:paraId="1D7C8479" w14:textId="6817F906" w:rsidR="00002BC9" w:rsidRDefault="00002BC9" w:rsidP="00002BC9">
      <w:pPr>
        <w:spacing w:line="264" w:lineRule="auto"/>
        <w:contextualSpacing/>
        <w:jc w:val="both"/>
        <w:rPr>
          <w:rFonts w:ascii="Arial" w:hAnsi="Arial" w:cs="Arial"/>
          <w:szCs w:val="24"/>
        </w:rPr>
      </w:pPr>
    </w:p>
    <w:p w14:paraId="7AB95649" w14:textId="77777777" w:rsidR="00002BC9" w:rsidRDefault="00002BC9" w:rsidP="00002BC9">
      <w:pPr>
        <w:spacing w:line="264" w:lineRule="auto"/>
        <w:contextualSpacing/>
        <w:jc w:val="both"/>
        <w:rPr>
          <w:rFonts w:ascii="Arial" w:hAnsi="Arial" w:cs="Arial"/>
          <w:szCs w:val="24"/>
        </w:rPr>
      </w:pPr>
    </w:p>
    <w:p w14:paraId="4CF2DEDD" w14:textId="77777777" w:rsidR="00002BC9" w:rsidRPr="000E7446" w:rsidRDefault="00002BC9" w:rsidP="00002BC9">
      <w:pPr>
        <w:tabs>
          <w:tab w:val="left" w:pos="720"/>
          <w:tab w:val="right" w:pos="9360"/>
        </w:tabs>
        <w:spacing w:line="264" w:lineRule="auto"/>
        <w:contextualSpacing/>
        <w:jc w:val="both"/>
        <w:rPr>
          <w:rFonts w:ascii="Arial" w:hAnsi="Arial" w:cs="Arial"/>
          <w:b/>
          <w:u w:val="single"/>
        </w:rPr>
      </w:pPr>
      <w:r>
        <w:rPr>
          <w:rFonts w:ascii="Arial" w:hAnsi="Arial" w:cs="Arial"/>
          <w:b/>
          <w:u w:val="single"/>
        </w:rPr>
        <w:t>Hearing Examiner</w:t>
      </w:r>
      <w:r w:rsidRPr="000E7446">
        <w:rPr>
          <w:rFonts w:ascii="Arial" w:hAnsi="Arial" w:cs="Arial"/>
          <w:b/>
          <w:u w:val="single"/>
        </w:rPr>
        <w:tab/>
      </w:r>
      <w:r w:rsidRPr="00F4600F">
        <w:rPr>
          <w:rFonts w:ascii="Arial" w:hAnsi="Arial" w:cs="Arial"/>
          <w:b/>
          <w:u w:val="single"/>
        </w:rPr>
        <w:t>$</w:t>
      </w:r>
      <w:r>
        <w:rPr>
          <w:rFonts w:ascii="Arial" w:hAnsi="Arial" w:cs="Arial"/>
          <w:b/>
          <w:u w:val="single"/>
        </w:rPr>
        <w:t>49,000</w:t>
      </w:r>
    </w:p>
    <w:p w14:paraId="1C5C9403" w14:textId="77777777" w:rsidR="00002BC9" w:rsidRDefault="00002BC9" w:rsidP="00002BC9">
      <w:pPr>
        <w:spacing w:line="264" w:lineRule="auto"/>
        <w:contextualSpacing/>
        <w:jc w:val="both"/>
        <w:rPr>
          <w:b/>
        </w:rPr>
      </w:pPr>
    </w:p>
    <w:p w14:paraId="276309D2" w14:textId="7A833E80" w:rsidR="00002BC9" w:rsidRDefault="00002BC9" w:rsidP="00002BC9">
      <w:pPr>
        <w:spacing w:line="264" w:lineRule="auto"/>
        <w:jc w:val="both"/>
        <w:rPr>
          <w:rFonts w:ascii="Arial" w:hAnsi="Arial" w:cs="Arial"/>
          <w:szCs w:val="24"/>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[$49,000, ongoing]. </w:t>
      </w:r>
      <w:r w:rsidR="002E4C50">
        <w:rPr>
          <w:rFonts w:ascii="Arial" w:hAnsi="Arial" w:cs="Arial"/>
          <w:b/>
          <w:i/>
          <w:iCs/>
        </w:rPr>
        <w:t xml:space="preserve"> </w:t>
      </w:r>
      <w:r w:rsidRPr="00FC1A7F">
        <w:rPr>
          <w:rFonts w:ascii="Arial" w:hAnsi="Arial" w:cs="Arial"/>
        </w:rPr>
        <w:t>The proposed ordinance would appropriate $</w:t>
      </w:r>
      <w:r>
        <w:rPr>
          <w:rFonts w:ascii="Arial" w:hAnsi="Arial" w:cs="Arial"/>
        </w:rPr>
        <w:t>49,000</w:t>
      </w:r>
      <w:r w:rsidRPr="00FC1A7F">
        <w:rPr>
          <w:rFonts w:ascii="Arial" w:hAnsi="Arial" w:cs="Arial"/>
        </w:rPr>
        <w:t xml:space="preserve"> to restore </w:t>
      </w:r>
      <w:r>
        <w:rPr>
          <w:rFonts w:ascii="Arial" w:hAnsi="Arial" w:cs="Arial"/>
        </w:rPr>
        <w:t xml:space="preserve">funding for training </w:t>
      </w:r>
      <w:r w:rsidRPr="00FC1A7F">
        <w:rPr>
          <w:rFonts w:ascii="Arial" w:hAnsi="Arial" w:cs="Arial"/>
        </w:rPr>
        <w:t xml:space="preserve">and </w:t>
      </w:r>
      <w:r>
        <w:rPr>
          <w:rFonts w:ascii="Arial" w:hAnsi="Arial" w:cs="Arial"/>
        </w:rPr>
        <w:t>supplies</w:t>
      </w:r>
      <w:r w:rsidRPr="00FC1A7F">
        <w:rPr>
          <w:rFonts w:ascii="Arial" w:hAnsi="Arial" w:cs="Arial"/>
        </w:rPr>
        <w:t xml:space="preserve"> </w:t>
      </w:r>
      <w:r>
        <w:rPr>
          <w:rFonts w:ascii="Arial" w:hAnsi="Arial" w:cs="Arial"/>
        </w:rPr>
        <w:t>in</w:t>
      </w:r>
      <w:r w:rsidRPr="00FC1A7F">
        <w:rPr>
          <w:rFonts w:ascii="Arial" w:hAnsi="Arial" w:cs="Arial"/>
        </w:rPr>
        <w:t xml:space="preserve"> 2022.</w:t>
      </w:r>
      <w:r>
        <w:rPr>
          <w:rFonts w:ascii="Arial" w:hAnsi="Arial" w:cs="Arial"/>
        </w:rPr>
        <w:t xml:space="preserve">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43226D14" w14:textId="0A1AFA37" w:rsidR="00090F59" w:rsidRDefault="00090F59" w:rsidP="000D356F">
      <w:pPr>
        <w:spacing w:line="264" w:lineRule="auto"/>
        <w:jc w:val="both"/>
        <w:rPr>
          <w:rFonts w:ascii="Arial" w:hAnsi="Arial" w:cs="Arial"/>
          <w:szCs w:val="24"/>
        </w:rPr>
      </w:pPr>
    </w:p>
    <w:p w14:paraId="47FDC3C1" w14:textId="77777777" w:rsidR="00FA31B0" w:rsidRDefault="00FA31B0" w:rsidP="000D356F">
      <w:pPr>
        <w:spacing w:line="264" w:lineRule="auto"/>
        <w:jc w:val="both"/>
        <w:rPr>
          <w:rFonts w:ascii="Arial" w:hAnsi="Arial" w:cs="Arial"/>
          <w:szCs w:val="24"/>
        </w:rPr>
      </w:pPr>
    </w:p>
    <w:p w14:paraId="244B1D15" w14:textId="77777777" w:rsidR="00FA31B0" w:rsidRPr="000E7446" w:rsidRDefault="00FA31B0" w:rsidP="00FA31B0">
      <w:pPr>
        <w:tabs>
          <w:tab w:val="left" w:pos="720"/>
          <w:tab w:val="right" w:pos="9360"/>
        </w:tabs>
        <w:spacing w:line="264" w:lineRule="auto"/>
        <w:contextualSpacing/>
        <w:jc w:val="both"/>
        <w:rPr>
          <w:rFonts w:ascii="Arial" w:hAnsi="Arial" w:cs="Arial"/>
          <w:b/>
          <w:u w:val="single"/>
        </w:rPr>
      </w:pPr>
      <w:r>
        <w:rPr>
          <w:rFonts w:ascii="Arial" w:hAnsi="Arial" w:cs="Arial"/>
          <w:b/>
          <w:u w:val="single"/>
        </w:rPr>
        <w:t>County Auditor</w:t>
      </w:r>
      <w:r w:rsidRPr="000E7446">
        <w:rPr>
          <w:rFonts w:ascii="Arial" w:hAnsi="Arial" w:cs="Arial"/>
          <w:b/>
          <w:u w:val="single"/>
        </w:rPr>
        <w:tab/>
      </w:r>
      <w:r w:rsidRPr="00F4600F">
        <w:rPr>
          <w:rFonts w:ascii="Arial" w:hAnsi="Arial" w:cs="Arial"/>
          <w:b/>
          <w:u w:val="single"/>
        </w:rPr>
        <w:t>$</w:t>
      </w:r>
      <w:r>
        <w:rPr>
          <w:rFonts w:ascii="Arial" w:hAnsi="Arial" w:cs="Arial"/>
          <w:b/>
          <w:u w:val="single"/>
        </w:rPr>
        <w:t>198,000</w:t>
      </w:r>
    </w:p>
    <w:p w14:paraId="70A77150" w14:textId="77777777" w:rsidR="00FA31B0" w:rsidRDefault="00FA31B0" w:rsidP="00FA31B0">
      <w:pPr>
        <w:spacing w:line="264" w:lineRule="auto"/>
        <w:contextualSpacing/>
        <w:jc w:val="both"/>
        <w:rPr>
          <w:b/>
        </w:rPr>
      </w:pPr>
    </w:p>
    <w:p w14:paraId="07A97AF5" w14:textId="43F71F94" w:rsidR="00FA31B0" w:rsidRDefault="00FA31B0" w:rsidP="00FA31B0">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[$198,000, ongoing]. </w:t>
      </w:r>
      <w:r w:rsidR="002E4C50">
        <w:rPr>
          <w:rFonts w:ascii="Arial" w:hAnsi="Arial" w:cs="Arial"/>
          <w:b/>
          <w:i/>
          <w:iCs/>
        </w:rPr>
        <w:t xml:space="preserve"> </w:t>
      </w:r>
      <w:r w:rsidRPr="00FC1A7F">
        <w:rPr>
          <w:rFonts w:ascii="Arial" w:hAnsi="Arial" w:cs="Arial"/>
        </w:rPr>
        <w:t>The proposed ordinance would appropriate $</w:t>
      </w:r>
      <w:r>
        <w:rPr>
          <w:rFonts w:ascii="Arial" w:hAnsi="Arial" w:cs="Arial"/>
        </w:rPr>
        <w:t>198,000</w:t>
      </w:r>
      <w:r w:rsidRPr="00FC1A7F">
        <w:rPr>
          <w:rFonts w:ascii="Arial" w:hAnsi="Arial" w:cs="Arial"/>
        </w:rPr>
        <w:t xml:space="preserve"> to </w:t>
      </w:r>
      <w:r>
        <w:rPr>
          <w:rFonts w:ascii="Arial" w:hAnsi="Arial" w:cs="Arial"/>
        </w:rPr>
        <w:t xml:space="preserve">partially restore furloughs for 2022 and to fully </w:t>
      </w:r>
      <w:r w:rsidRPr="00FC1A7F">
        <w:rPr>
          <w:rFonts w:ascii="Arial" w:hAnsi="Arial" w:cs="Arial"/>
        </w:rPr>
        <w:t xml:space="preserve">restore </w:t>
      </w:r>
      <w:r>
        <w:rPr>
          <w:rFonts w:ascii="Arial" w:hAnsi="Arial" w:cs="Arial"/>
        </w:rPr>
        <w:t xml:space="preserve">funding for training </w:t>
      </w:r>
      <w:r w:rsidRPr="00FC1A7F">
        <w:rPr>
          <w:rFonts w:ascii="Arial" w:hAnsi="Arial" w:cs="Arial"/>
        </w:rPr>
        <w:t xml:space="preserve">and </w:t>
      </w:r>
      <w:r>
        <w:rPr>
          <w:rFonts w:ascii="Arial" w:hAnsi="Arial" w:cs="Arial"/>
        </w:rPr>
        <w:t>supplies</w:t>
      </w:r>
      <w:r w:rsidRPr="00FC1A7F">
        <w:rPr>
          <w:rFonts w:ascii="Arial" w:hAnsi="Arial" w:cs="Arial"/>
        </w:rPr>
        <w:t xml:space="preserve"> </w:t>
      </w:r>
      <w:r>
        <w:rPr>
          <w:rFonts w:ascii="Arial" w:hAnsi="Arial" w:cs="Arial"/>
        </w:rPr>
        <w:t>in</w:t>
      </w:r>
      <w:r w:rsidRPr="00FC1A7F">
        <w:rPr>
          <w:rFonts w:ascii="Arial" w:hAnsi="Arial" w:cs="Arial"/>
        </w:rPr>
        <w:t xml:space="preserve"> 2022.</w:t>
      </w:r>
      <w:r>
        <w:rPr>
          <w:rFonts w:ascii="Arial" w:hAnsi="Arial" w:cs="Arial"/>
        </w:rPr>
        <w:t xml:space="preserve">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573E8667" w14:textId="6D4BB0A8" w:rsidR="00002BC9" w:rsidRDefault="00002BC9" w:rsidP="000D356F">
      <w:pPr>
        <w:spacing w:line="264" w:lineRule="auto"/>
        <w:jc w:val="both"/>
        <w:rPr>
          <w:rFonts w:ascii="Arial" w:hAnsi="Arial" w:cs="Arial"/>
          <w:szCs w:val="24"/>
        </w:rPr>
      </w:pPr>
    </w:p>
    <w:p w14:paraId="0BC50C4E" w14:textId="6B825CC3" w:rsidR="00FA31B0" w:rsidRDefault="00FA31B0" w:rsidP="000D356F">
      <w:pPr>
        <w:spacing w:line="264" w:lineRule="auto"/>
        <w:jc w:val="both"/>
        <w:rPr>
          <w:rFonts w:ascii="Arial" w:hAnsi="Arial" w:cs="Arial"/>
          <w:szCs w:val="24"/>
        </w:rPr>
      </w:pPr>
    </w:p>
    <w:p w14:paraId="032DA007" w14:textId="77777777" w:rsidR="00BD7E05" w:rsidRDefault="00BD7E05" w:rsidP="000D356F">
      <w:pPr>
        <w:spacing w:line="264" w:lineRule="auto"/>
        <w:jc w:val="both"/>
        <w:rPr>
          <w:rFonts w:ascii="Arial" w:hAnsi="Arial" w:cs="Arial"/>
          <w:szCs w:val="24"/>
        </w:rPr>
      </w:pPr>
    </w:p>
    <w:p w14:paraId="31E043F4" w14:textId="1F85AED5" w:rsidR="00090F59" w:rsidRPr="000E7446" w:rsidRDefault="00090F59" w:rsidP="00090F59">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Ombuds/Tax Advisor</w:t>
      </w:r>
      <w:r w:rsidRPr="000E7446">
        <w:rPr>
          <w:rFonts w:ascii="Arial" w:hAnsi="Arial" w:cs="Arial"/>
          <w:b/>
          <w:u w:val="single"/>
        </w:rPr>
        <w:tab/>
      </w:r>
      <w:r w:rsidRPr="00F4600F">
        <w:rPr>
          <w:rFonts w:ascii="Arial" w:hAnsi="Arial" w:cs="Arial"/>
          <w:b/>
          <w:u w:val="single"/>
        </w:rPr>
        <w:t>$</w:t>
      </w:r>
      <w:r>
        <w:rPr>
          <w:rFonts w:ascii="Arial" w:hAnsi="Arial" w:cs="Arial"/>
          <w:b/>
          <w:u w:val="single"/>
        </w:rPr>
        <w:t>62,000</w:t>
      </w:r>
      <w:r w:rsidRPr="00F4600F">
        <w:rPr>
          <w:rFonts w:ascii="Arial" w:hAnsi="Arial" w:cs="Arial"/>
          <w:b/>
          <w:u w:val="single"/>
        </w:rPr>
        <w:t xml:space="preserve">, </w:t>
      </w:r>
      <w:r>
        <w:rPr>
          <w:rFonts w:ascii="Arial" w:hAnsi="Arial" w:cs="Arial"/>
          <w:b/>
          <w:u w:val="single"/>
        </w:rPr>
        <w:t>0</w:t>
      </w:r>
      <w:r w:rsidRPr="00F4600F">
        <w:rPr>
          <w:rFonts w:ascii="Arial" w:hAnsi="Arial" w:cs="Arial"/>
          <w:b/>
          <w:u w:val="single"/>
        </w:rPr>
        <w:t>.</w:t>
      </w:r>
      <w:r>
        <w:rPr>
          <w:rFonts w:ascii="Arial" w:hAnsi="Arial" w:cs="Arial"/>
          <w:b/>
          <w:u w:val="single"/>
        </w:rPr>
        <w:t>5</w:t>
      </w:r>
      <w:r w:rsidRPr="00F4600F">
        <w:rPr>
          <w:rFonts w:ascii="Arial" w:hAnsi="Arial" w:cs="Arial"/>
          <w:b/>
          <w:u w:val="single"/>
        </w:rPr>
        <w:t xml:space="preserve"> FTE</w:t>
      </w:r>
      <w:r w:rsidR="00832E86">
        <w:rPr>
          <w:rFonts w:ascii="Arial" w:hAnsi="Arial" w:cs="Arial"/>
          <w:b/>
          <w:u w:val="single"/>
        </w:rPr>
        <w:t>s</w:t>
      </w:r>
    </w:p>
    <w:p w14:paraId="039BBA71" w14:textId="77777777" w:rsidR="00090F59" w:rsidRDefault="00090F59" w:rsidP="00090F59">
      <w:pPr>
        <w:spacing w:line="264" w:lineRule="auto"/>
        <w:contextualSpacing/>
        <w:jc w:val="both"/>
        <w:rPr>
          <w:b/>
        </w:rPr>
      </w:pPr>
    </w:p>
    <w:p w14:paraId="6CE163B9" w14:textId="620B3B65" w:rsidR="00090F59" w:rsidRDefault="00090F59" w:rsidP="00090F59">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[$62,000, 0.5 FTEs, ongoing]</w:t>
      </w:r>
      <w:r w:rsidRPr="0054665B">
        <w:rPr>
          <w:rFonts w:ascii="Arial" w:hAnsi="Arial" w:cs="Arial"/>
          <w:b/>
          <w:i/>
          <w:iCs/>
        </w:rPr>
        <w:t>.</w:t>
      </w:r>
      <w:r>
        <w:rPr>
          <w:rFonts w:ascii="Arial" w:hAnsi="Arial" w:cs="Arial"/>
          <w:b/>
        </w:rPr>
        <w:t xml:space="preserve">  </w:t>
      </w:r>
      <w:r>
        <w:rPr>
          <w:rFonts w:ascii="Arial" w:hAnsi="Arial" w:cs="Arial"/>
        </w:rPr>
        <w:t xml:space="preserve">The proposed ordinance would appropriate $62,000 to restore a partially eliminated FTE position for 2022. </w:t>
      </w:r>
      <w:r w:rsidR="005B6947">
        <w:rPr>
          <w:rFonts w:ascii="Arial" w:hAnsi="Arial" w:cs="Arial"/>
        </w:rPr>
        <w:t xml:space="preserve"> </w:t>
      </w:r>
      <w:r>
        <w:rPr>
          <w:rFonts w:ascii="Arial" w:hAnsi="Arial" w:cs="Arial"/>
        </w:rPr>
        <w:t xml:space="preserve">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0EB9795E" w14:textId="0860D156" w:rsidR="00B93AE2" w:rsidRDefault="00B93AE2" w:rsidP="000D356F">
      <w:pPr>
        <w:spacing w:line="264" w:lineRule="auto"/>
        <w:jc w:val="both"/>
        <w:rPr>
          <w:rFonts w:ascii="Arial" w:hAnsi="Arial" w:cs="Arial"/>
          <w:szCs w:val="24"/>
        </w:rPr>
      </w:pPr>
    </w:p>
    <w:p w14:paraId="054B8AD8" w14:textId="77777777" w:rsidR="00BD7E05" w:rsidRDefault="00BD7E05" w:rsidP="000D356F">
      <w:pPr>
        <w:spacing w:line="264" w:lineRule="auto"/>
        <w:jc w:val="both"/>
        <w:rPr>
          <w:rFonts w:ascii="Arial" w:hAnsi="Arial" w:cs="Arial"/>
          <w:szCs w:val="24"/>
        </w:rPr>
      </w:pPr>
    </w:p>
    <w:p w14:paraId="712FB9D7" w14:textId="77777777" w:rsidR="00C759A2" w:rsidRPr="000E7446" w:rsidRDefault="00C759A2" w:rsidP="00C759A2">
      <w:pPr>
        <w:tabs>
          <w:tab w:val="left" w:pos="720"/>
          <w:tab w:val="right" w:pos="9360"/>
        </w:tabs>
        <w:spacing w:line="264" w:lineRule="auto"/>
        <w:contextualSpacing/>
        <w:jc w:val="both"/>
        <w:rPr>
          <w:rFonts w:ascii="Arial" w:hAnsi="Arial" w:cs="Arial"/>
          <w:b/>
          <w:u w:val="single"/>
        </w:rPr>
      </w:pPr>
      <w:r>
        <w:rPr>
          <w:rFonts w:ascii="Arial" w:hAnsi="Arial" w:cs="Arial"/>
          <w:b/>
          <w:u w:val="single"/>
        </w:rPr>
        <w:t>King County Civic Television</w:t>
      </w:r>
      <w:r w:rsidRPr="000E7446">
        <w:rPr>
          <w:rFonts w:ascii="Arial" w:hAnsi="Arial" w:cs="Arial"/>
          <w:b/>
          <w:u w:val="single"/>
        </w:rPr>
        <w:tab/>
      </w:r>
      <w:r w:rsidRPr="00F4600F">
        <w:rPr>
          <w:rFonts w:ascii="Arial" w:hAnsi="Arial" w:cs="Arial"/>
          <w:b/>
          <w:u w:val="single"/>
        </w:rPr>
        <w:t>$</w:t>
      </w:r>
      <w:r>
        <w:rPr>
          <w:rFonts w:ascii="Arial" w:hAnsi="Arial" w:cs="Arial"/>
          <w:b/>
          <w:u w:val="single"/>
        </w:rPr>
        <w:t>56,000</w:t>
      </w:r>
    </w:p>
    <w:p w14:paraId="4EF9715A" w14:textId="77777777" w:rsidR="00C759A2" w:rsidRDefault="00C759A2" w:rsidP="00C759A2">
      <w:pPr>
        <w:spacing w:line="264" w:lineRule="auto"/>
        <w:contextualSpacing/>
        <w:jc w:val="both"/>
        <w:rPr>
          <w:b/>
        </w:rPr>
      </w:pPr>
    </w:p>
    <w:p w14:paraId="592CE8DE" w14:textId="2CC60694" w:rsidR="00C759A2" w:rsidRDefault="00C759A2" w:rsidP="00C759A2">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[$56,000, ongoing]. </w:t>
      </w:r>
      <w:r w:rsidR="002E4C50">
        <w:rPr>
          <w:rFonts w:ascii="Arial" w:hAnsi="Arial" w:cs="Arial"/>
          <w:b/>
          <w:i/>
          <w:iCs/>
        </w:rPr>
        <w:t xml:space="preserve"> </w:t>
      </w:r>
      <w:r>
        <w:rPr>
          <w:rFonts w:ascii="Arial" w:hAnsi="Arial" w:cs="Arial"/>
        </w:rPr>
        <w:t xml:space="preserve">The proposed ordinance would appropriate $56,000 to restore funding for furlough days, travel training, and supplies in 2022.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0516EF8C" w14:textId="4D711F75" w:rsidR="00DD4D09" w:rsidRDefault="00DD4D09" w:rsidP="000D356F">
      <w:pPr>
        <w:spacing w:line="264" w:lineRule="auto"/>
        <w:jc w:val="both"/>
        <w:rPr>
          <w:rFonts w:ascii="Arial" w:hAnsi="Arial" w:cs="Arial"/>
          <w:szCs w:val="24"/>
        </w:rPr>
      </w:pPr>
    </w:p>
    <w:p w14:paraId="07D0B036" w14:textId="77777777" w:rsidR="00C759A2" w:rsidRDefault="00C759A2" w:rsidP="000D356F">
      <w:pPr>
        <w:spacing w:line="264" w:lineRule="auto"/>
        <w:jc w:val="both"/>
        <w:rPr>
          <w:rFonts w:ascii="Arial" w:hAnsi="Arial" w:cs="Arial"/>
          <w:szCs w:val="24"/>
        </w:rPr>
      </w:pPr>
    </w:p>
    <w:p w14:paraId="4E558150" w14:textId="77777777" w:rsidR="00DD4D09" w:rsidRPr="000E7446" w:rsidRDefault="00DD4D09" w:rsidP="00DD4D09">
      <w:pPr>
        <w:tabs>
          <w:tab w:val="left" w:pos="720"/>
          <w:tab w:val="right" w:pos="9360"/>
        </w:tabs>
        <w:spacing w:line="264" w:lineRule="auto"/>
        <w:contextualSpacing/>
        <w:jc w:val="both"/>
        <w:rPr>
          <w:rFonts w:ascii="Arial" w:hAnsi="Arial" w:cs="Arial"/>
          <w:b/>
          <w:u w:val="single"/>
        </w:rPr>
      </w:pPr>
      <w:r>
        <w:rPr>
          <w:rFonts w:ascii="Arial" w:hAnsi="Arial" w:cs="Arial"/>
          <w:b/>
          <w:u w:val="single"/>
        </w:rPr>
        <w:t>Board of Appeals</w:t>
      </w:r>
      <w:r w:rsidRPr="000E7446">
        <w:rPr>
          <w:rFonts w:ascii="Arial" w:hAnsi="Arial" w:cs="Arial"/>
          <w:b/>
          <w:u w:val="single"/>
        </w:rPr>
        <w:tab/>
      </w:r>
      <w:r w:rsidRPr="00F4600F">
        <w:rPr>
          <w:rFonts w:ascii="Arial" w:hAnsi="Arial" w:cs="Arial"/>
          <w:b/>
          <w:u w:val="single"/>
        </w:rPr>
        <w:t>$</w:t>
      </w:r>
      <w:r>
        <w:rPr>
          <w:rFonts w:ascii="Arial" w:hAnsi="Arial" w:cs="Arial"/>
          <w:b/>
          <w:u w:val="single"/>
        </w:rPr>
        <w:t>76,000</w:t>
      </w:r>
      <w:r w:rsidRPr="00F4600F">
        <w:rPr>
          <w:rFonts w:ascii="Arial" w:hAnsi="Arial" w:cs="Arial"/>
          <w:b/>
          <w:u w:val="single"/>
        </w:rPr>
        <w:t xml:space="preserve">, </w:t>
      </w:r>
      <w:r>
        <w:rPr>
          <w:rFonts w:ascii="Arial" w:hAnsi="Arial" w:cs="Arial"/>
          <w:b/>
          <w:u w:val="single"/>
        </w:rPr>
        <w:t>0</w:t>
      </w:r>
      <w:r w:rsidRPr="00F4600F">
        <w:rPr>
          <w:rFonts w:ascii="Arial" w:hAnsi="Arial" w:cs="Arial"/>
          <w:b/>
          <w:u w:val="single"/>
        </w:rPr>
        <w:t>.</w:t>
      </w:r>
      <w:r>
        <w:rPr>
          <w:rFonts w:ascii="Arial" w:hAnsi="Arial" w:cs="Arial"/>
          <w:b/>
          <w:u w:val="single"/>
        </w:rPr>
        <w:t>5</w:t>
      </w:r>
      <w:r w:rsidRPr="00F4600F">
        <w:rPr>
          <w:rFonts w:ascii="Arial" w:hAnsi="Arial" w:cs="Arial"/>
          <w:b/>
          <w:u w:val="single"/>
        </w:rPr>
        <w:t xml:space="preserve"> FTE</w:t>
      </w:r>
      <w:r>
        <w:rPr>
          <w:rFonts w:ascii="Arial" w:hAnsi="Arial" w:cs="Arial"/>
          <w:b/>
          <w:u w:val="single"/>
        </w:rPr>
        <w:t>s</w:t>
      </w:r>
    </w:p>
    <w:p w14:paraId="414ECC2E" w14:textId="77777777" w:rsidR="00DD4D09" w:rsidRDefault="00DD4D09" w:rsidP="00DD4D09">
      <w:pPr>
        <w:spacing w:line="264" w:lineRule="auto"/>
        <w:contextualSpacing/>
        <w:jc w:val="both"/>
        <w:rPr>
          <w:b/>
        </w:rPr>
      </w:pPr>
    </w:p>
    <w:p w14:paraId="04E85CD3" w14:textId="77777777" w:rsidR="00DD4D09" w:rsidRDefault="00DD4D09" w:rsidP="00DD4D09">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[$58,000, 0.5 FTEs, ongoing]</w:t>
      </w:r>
      <w:r w:rsidRPr="0054665B">
        <w:rPr>
          <w:rFonts w:ascii="Arial" w:hAnsi="Arial" w:cs="Arial"/>
          <w:b/>
          <w:i/>
          <w:iCs/>
        </w:rPr>
        <w:t>.</w:t>
      </w:r>
      <w:r>
        <w:rPr>
          <w:rFonts w:ascii="Arial" w:hAnsi="Arial" w:cs="Arial"/>
          <w:b/>
        </w:rPr>
        <w:t xml:space="preserve">  </w:t>
      </w:r>
      <w:r>
        <w:rPr>
          <w:rFonts w:ascii="Arial" w:hAnsi="Arial" w:cs="Arial"/>
        </w:rPr>
        <w:t xml:space="preserve">The proposed ordinance would appropriate $58,000 to restore a partially eliminated FTE position for 2022.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613DB8CE" w14:textId="77777777" w:rsidR="00DD4D09" w:rsidRDefault="00DD4D09" w:rsidP="00DD4D09">
      <w:pPr>
        <w:spacing w:line="264" w:lineRule="auto"/>
        <w:contextualSpacing/>
        <w:jc w:val="both"/>
        <w:rPr>
          <w:rFonts w:ascii="Arial" w:hAnsi="Arial" w:cs="Arial"/>
          <w:iCs/>
        </w:rPr>
      </w:pPr>
    </w:p>
    <w:p w14:paraId="17E7B2D8" w14:textId="77777777" w:rsidR="00DD4D09" w:rsidRDefault="00DD4D09" w:rsidP="00DD4D09">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2EC4D38C" w14:textId="01A4DD2F" w:rsidR="00DD4D09" w:rsidRPr="00D05CFD" w:rsidRDefault="00DD4D09" w:rsidP="00DD4D09">
      <w:pPr>
        <w:jc w:val="both"/>
        <w:rPr>
          <w:rFonts w:ascii="Arial" w:hAnsi="Arial" w:cs="Arial"/>
          <w:color w:val="000000"/>
          <w:szCs w:val="24"/>
        </w:rPr>
      </w:pPr>
      <w:r>
        <w:rPr>
          <w:rFonts w:ascii="Arial" w:hAnsi="Arial" w:cs="Arial"/>
          <w:b/>
          <w:i/>
        </w:rPr>
        <w:t>Funding restoration [$18,000, ongoing]</w:t>
      </w:r>
      <w:r w:rsidR="002E4C50">
        <w:rPr>
          <w:rFonts w:ascii="Arial" w:hAnsi="Arial" w:cs="Arial"/>
          <w:b/>
          <w:iCs/>
        </w:rPr>
        <w:t>.</w:t>
      </w:r>
      <w:r>
        <w:rPr>
          <w:rFonts w:ascii="Arial" w:hAnsi="Arial" w:cs="Arial"/>
          <w:b/>
          <w:iCs/>
        </w:rPr>
        <w:t xml:space="preserve"> </w:t>
      </w:r>
      <w:r w:rsidR="002E4C50">
        <w:rPr>
          <w:rFonts w:ascii="Arial" w:hAnsi="Arial" w:cs="Arial"/>
          <w:b/>
          <w:iCs/>
        </w:rPr>
        <w:t xml:space="preserve"> </w:t>
      </w:r>
      <w:r w:rsidRPr="00D05CFD">
        <w:rPr>
          <w:rFonts w:ascii="Arial" w:hAnsi="Arial" w:cs="Arial"/>
          <w:color w:val="000000"/>
          <w:szCs w:val="24"/>
        </w:rPr>
        <w:t xml:space="preserve">Add </w:t>
      </w:r>
      <w:r>
        <w:rPr>
          <w:rFonts w:ascii="Arial" w:hAnsi="Arial" w:cs="Arial"/>
          <w:color w:val="000000"/>
          <w:szCs w:val="24"/>
        </w:rPr>
        <w:t>funding that was</w:t>
      </w:r>
      <w:r w:rsidRPr="00D05CFD">
        <w:rPr>
          <w:rFonts w:ascii="Arial" w:hAnsi="Arial" w:cs="Arial"/>
          <w:color w:val="000000"/>
          <w:szCs w:val="24"/>
        </w:rPr>
        <w:t xml:space="preserve"> inadvertently removed in </w:t>
      </w:r>
      <w:r>
        <w:rPr>
          <w:rFonts w:ascii="Arial" w:hAnsi="Arial" w:cs="Arial"/>
          <w:color w:val="000000"/>
          <w:szCs w:val="24"/>
        </w:rPr>
        <w:t xml:space="preserve">the </w:t>
      </w:r>
      <w:r w:rsidRPr="00D05CFD">
        <w:rPr>
          <w:rFonts w:ascii="Arial" w:hAnsi="Arial" w:cs="Arial"/>
          <w:color w:val="000000"/>
          <w:szCs w:val="24"/>
        </w:rPr>
        <w:t>1</w:t>
      </w:r>
      <w:r w:rsidRPr="002458BF">
        <w:rPr>
          <w:rFonts w:ascii="Arial" w:hAnsi="Arial" w:cs="Arial"/>
          <w:color w:val="000000"/>
          <w:szCs w:val="24"/>
          <w:vertAlign w:val="superscript"/>
        </w:rPr>
        <w:t>st</w:t>
      </w:r>
      <w:r w:rsidRPr="00D05CFD">
        <w:rPr>
          <w:rFonts w:ascii="Arial" w:hAnsi="Arial" w:cs="Arial"/>
          <w:color w:val="000000"/>
          <w:szCs w:val="24"/>
        </w:rPr>
        <w:t xml:space="preserve"> Omnibus </w:t>
      </w:r>
      <w:r>
        <w:rPr>
          <w:rFonts w:ascii="Arial" w:hAnsi="Arial" w:cs="Arial"/>
          <w:color w:val="000000"/>
          <w:szCs w:val="24"/>
        </w:rPr>
        <w:t>supplemental appropriations o</w:t>
      </w:r>
      <w:r w:rsidRPr="00D05CFD">
        <w:rPr>
          <w:rFonts w:ascii="Arial" w:hAnsi="Arial" w:cs="Arial"/>
          <w:color w:val="000000"/>
          <w:szCs w:val="24"/>
        </w:rPr>
        <w:t>rdinance.</w:t>
      </w:r>
    </w:p>
    <w:p w14:paraId="33654003" w14:textId="77777777" w:rsidR="00DD4D09" w:rsidRDefault="00DD4D09" w:rsidP="000D356F">
      <w:pPr>
        <w:spacing w:line="264" w:lineRule="auto"/>
        <w:jc w:val="both"/>
        <w:rPr>
          <w:rFonts w:ascii="Arial" w:hAnsi="Arial" w:cs="Arial"/>
          <w:szCs w:val="24"/>
        </w:rPr>
      </w:pPr>
    </w:p>
    <w:p w14:paraId="476F1F59" w14:textId="77777777" w:rsidR="002E4C50" w:rsidRDefault="002E4C50" w:rsidP="002E4C50">
      <w:pPr>
        <w:spacing w:line="264" w:lineRule="auto"/>
        <w:contextualSpacing/>
        <w:jc w:val="both"/>
        <w:rPr>
          <w:rFonts w:ascii="Arial" w:hAnsi="Arial" w:cs="Arial"/>
          <w:szCs w:val="24"/>
        </w:rPr>
      </w:pPr>
    </w:p>
    <w:p w14:paraId="0D127BF1" w14:textId="77777777" w:rsidR="002E4C50" w:rsidRPr="000E7446" w:rsidRDefault="002E4C50" w:rsidP="002E4C50">
      <w:pPr>
        <w:tabs>
          <w:tab w:val="left" w:pos="720"/>
          <w:tab w:val="right" w:pos="9360"/>
        </w:tabs>
        <w:spacing w:line="264" w:lineRule="auto"/>
        <w:contextualSpacing/>
        <w:jc w:val="both"/>
        <w:rPr>
          <w:rFonts w:ascii="Arial" w:hAnsi="Arial" w:cs="Arial"/>
          <w:b/>
          <w:u w:val="single"/>
        </w:rPr>
      </w:pPr>
      <w:r>
        <w:rPr>
          <w:rFonts w:ascii="Arial" w:hAnsi="Arial" w:cs="Arial"/>
          <w:b/>
          <w:u w:val="single"/>
        </w:rPr>
        <w:t>Office of Law Enforcement Oversight</w:t>
      </w:r>
      <w:r w:rsidRPr="000E7446">
        <w:rPr>
          <w:rFonts w:ascii="Arial" w:hAnsi="Arial" w:cs="Arial"/>
          <w:b/>
          <w:u w:val="single"/>
        </w:rPr>
        <w:tab/>
      </w:r>
      <w:r w:rsidRPr="00F4600F">
        <w:rPr>
          <w:rFonts w:ascii="Arial" w:hAnsi="Arial" w:cs="Arial"/>
          <w:b/>
          <w:u w:val="single"/>
        </w:rPr>
        <w:t>$</w:t>
      </w:r>
      <w:r>
        <w:rPr>
          <w:rFonts w:ascii="Arial" w:hAnsi="Arial" w:cs="Arial"/>
          <w:b/>
          <w:u w:val="single"/>
        </w:rPr>
        <w:t>10,000</w:t>
      </w:r>
    </w:p>
    <w:p w14:paraId="19298187" w14:textId="77777777" w:rsidR="002E4C50" w:rsidRDefault="002E4C50" w:rsidP="002E4C50">
      <w:pPr>
        <w:spacing w:line="264" w:lineRule="auto"/>
        <w:contextualSpacing/>
        <w:jc w:val="both"/>
        <w:rPr>
          <w:b/>
        </w:rPr>
      </w:pPr>
    </w:p>
    <w:p w14:paraId="00A88330" w14:textId="6D786384" w:rsidR="002E4C50" w:rsidRDefault="002E4C50" w:rsidP="002E4C50">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[$10,000, ongoing]. </w:t>
      </w:r>
      <w:r>
        <w:rPr>
          <w:rFonts w:ascii="Arial" w:hAnsi="Arial" w:cs="Arial"/>
        </w:rPr>
        <w:t xml:space="preserve">The proposed ordinance would appropriate $10,000 to restore funding for travel, training, and supplies in 2022.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314490B2" w14:textId="0209C100" w:rsidR="0087523D" w:rsidRDefault="0087523D" w:rsidP="000D356F">
      <w:pPr>
        <w:spacing w:line="264" w:lineRule="auto"/>
        <w:jc w:val="both"/>
        <w:rPr>
          <w:rFonts w:ascii="Arial" w:hAnsi="Arial" w:cs="Arial"/>
          <w:szCs w:val="24"/>
        </w:rPr>
      </w:pPr>
    </w:p>
    <w:p w14:paraId="4B3DD5CC" w14:textId="77777777" w:rsidR="00050DD7" w:rsidRDefault="00050DD7" w:rsidP="000D356F">
      <w:pPr>
        <w:spacing w:line="264" w:lineRule="auto"/>
        <w:jc w:val="both"/>
        <w:rPr>
          <w:rFonts w:ascii="Arial" w:hAnsi="Arial" w:cs="Arial"/>
          <w:szCs w:val="24"/>
        </w:rPr>
      </w:pPr>
    </w:p>
    <w:p w14:paraId="077A4265" w14:textId="77777777" w:rsidR="00050DD7" w:rsidRPr="000E7446" w:rsidRDefault="00050DD7" w:rsidP="00050DD7">
      <w:pPr>
        <w:tabs>
          <w:tab w:val="left" w:pos="720"/>
          <w:tab w:val="right" w:pos="9360"/>
        </w:tabs>
        <w:spacing w:line="264" w:lineRule="auto"/>
        <w:contextualSpacing/>
        <w:jc w:val="both"/>
        <w:rPr>
          <w:rFonts w:ascii="Arial" w:hAnsi="Arial" w:cs="Arial"/>
          <w:b/>
          <w:u w:val="single"/>
        </w:rPr>
      </w:pPr>
      <w:r>
        <w:rPr>
          <w:rFonts w:ascii="Arial" w:hAnsi="Arial" w:cs="Arial"/>
          <w:b/>
          <w:u w:val="single"/>
        </w:rPr>
        <w:t xml:space="preserve">Office of Economic and Financial Analysis </w:t>
      </w:r>
      <w:r w:rsidRPr="000E7446">
        <w:rPr>
          <w:rFonts w:ascii="Arial" w:hAnsi="Arial" w:cs="Arial"/>
          <w:b/>
          <w:u w:val="single"/>
        </w:rPr>
        <w:tab/>
      </w:r>
      <w:r w:rsidRPr="00F4600F">
        <w:rPr>
          <w:rFonts w:ascii="Arial" w:hAnsi="Arial" w:cs="Arial"/>
          <w:b/>
          <w:u w:val="single"/>
        </w:rPr>
        <w:t>$</w:t>
      </w:r>
      <w:r>
        <w:rPr>
          <w:rFonts w:ascii="Arial" w:hAnsi="Arial" w:cs="Arial"/>
          <w:b/>
          <w:u w:val="single"/>
        </w:rPr>
        <w:t>20,000</w:t>
      </w:r>
    </w:p>
    <w:p w14:paraId="7851D64F" w14:textId="77777777" w:rsidR="00050DD7" w:rsidRDefault="00050DD7" w:rsidP="00050DD7">
      <w:pPr>
        <w:spacing w:line="264" w:lineRule="auto"/>
        <w:contextualSpacing/>
        <w:jc w:val="both"/>
        <w:rPr>
          <w:b/>
        </w:rPr>
      </w:pPr>
    </w:p>
    <w:p w14:paraId="2E63A8AC" w14:textId="7A7D8431" w:rsidR="00050DD7" w:rsidRDefault="00050DD7" w:rsidP="00050DD7">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[$20,000, ongoing]. </w:t>
      </w:r>
      <w:r>
        <w:rPr>
          <w:rFonts w:ascii="Arial" w:hAnsi="Arial" w:cs="Arial"/>
        </w:rPr>
        <w:t>The proposed ordinance would appropriate $20,000 to restore funding for furlough days in 2022.</w:t>
      </w:r>
      <w:r w:rsidRPr="006602B6">
        <w:rPr>
          <w:rFonts w:ascii="Arial" w:hAnsi="Arial" w:cs="Arial"/>
        </w:rPr>
        <w:t xml:space="preserve"> </w:t>
      </w:r>
      <w:r>
        <w:rPr>
          <w:rFonts w:ascii="Arial" w:hAnsi="Arial" w:cs="Arial"/>
        </w:rPr>
        <w:t xml:space="preserve">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w:t>
      </w:r>
    </w:p>
    <w:p w14:paraId="0FE0083C" w14:textId="2CC720B9" w:rsidR="002E4C50" w:rsidRDefault="002E4C50" w:rsidP="000D356F">
      <w:pPr>
        <w:spacing w:line="264" w:lineRule="auto"/>
        <w:jc w:val="both"/>
        <w:rPr>
          <w:rFonts w:ascii="Arial" w:hAnsi="Arial" w:cs="Arial"/>
          <w:szCs w:val="24"/>
        </w:rPr>
      </w:pPr>
    </w:p>
    <w:p w14:paraId="57FD805D" w14:textId="75D81485" w:rsidR="00CC6934" w:rsidRDefault="00CC6934" w:rsidP="00CC6934">
      <w:pPr>
        <w:spacing w:line="264" w:lineRule="auto"/>
        <w:contextualSpacing/>
        <w:jc w:val="both"/>
        <w:rPr>
          <w:rFonts w:ascii="Arial" w:hAnsi="Arial" w:cs="Arial"/>
          <w:szCs w:val="24"/>
        </w:rPr>
      </w:pPr>
    </w:p>
    <w:p w14:paraId="7D982ADF" w14:textId="77777777" w:rsidR="00C41D1C" w:rsidRDefault="00C41D1C" w:rsidP="00CC6934">
      <w:pPr>
        <w:spacing w:line="264" w:lineRule="auto"/>
        <w:contextualSpacing/>
        <w:jc w:val="both"/>
        <w:rPr>
          <w:rFonts w:ascii="Arial" w:hAnsi="Arial" w:cs="Arial"/>
          <w:szCs w:val="24"/>
        </w:rPr>
      </w:pPr>
    </w:p>
    <w:p w14:paraId="33325191" w14:textId="77777777" w:rsidR="00CC6934" w:rsidRPr="000E7446" w:rsidRDefault="00CC6934" w:rsidP="00CC6934">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Office of the Executive</w:t>
      </w:r>
      <w:r w:rsidRPr="000E7446">
        <w:rPr>
          <w:rFonts w:ascii="Arial" w:hAnsi="Arial" w:cs="Arial"/>
          <w:b/>
          <w:u w:val="single"/>
        </w:rPr>
        <w:tab/>
      </w:r>
      <w:r w:rsidRPr="00F4600F">
        <w:rPr>
          <w:rFonts w:ascii="Arial" w:hAnsi="Arial" w:cs="Arial"/>
          <w:b/>
          <w:u w:val="single"/>
        </w:rPr>
        <w:t>$</w:t>
      </w:r>
      <w:r>
        <w:rPr>
          <w:rFonts w:ascii="Arial" w:hAnsi="Arial" w:cs="Arial"/>
          <w:b/>
          <w:u w:val="single"/>
        </w:rPr>
        <w:t>700,000</w:t>
      </w:r>
    </w:p>
    <w:p w14:paraId="2C700317" w14:textId="77777777" w:rsidR="00CC6934" w:rsidRDefault="00CC6934" w:rsidP="00CC6934">
      <w:pPr>
        <w:spacing w:line="264" w:lineRule="auto"/>
        <w:contextualSpacing/>
        <w:jc w:val="both"/>
        <w:rPr>
          <w:b/>
        </w:rPr>
      </w:pPr>
    </w:p>
    <w:p w14:paraId="2C26E138" w14:textId="77777777" w:rsidR="00CC6934" w:rsidRDefault="00CC6934" w:rsidP="00CC6934">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 xml:space="preserve">[$700,000, ongoing]. </w:t>
      </w:r>
      <w:r>
        <w:rPr>
          <w:rFonts w:ascii="Arial" w:hAnsi="Arial" w:cs="Arial"/>
        </w:rPr>
        <w:t>The proposed ordinance would appropriate $700,00 to restore funding for furlough days and temporary staffing reductions in 2022.</w:t>
      </w:r>
      <w:r w:rsidRPr="00A310F4">
        <w:rPr>
          <w:rFonts w:ascii="Arial" w:hAnsi="Arial" w:cs="Arial"/>
        </w:rPr>
        <w:t xml:space="preserve"> </w:t>
      </w:r>
      <w:r>
        <w:rPr>
          <w:rFonts w:ascii="Arial" w:hAnsi="Arial" w:cs="Arial"/>
        </w:rPr>
        <w:t xml:space="preserve">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w:t>
      </w:r>
    </w:p>
    <w:p w14:paraId="681064F2" w14:textId="77777777" w:rsidR="00CC6934" w:rsidRDefault="00CC6934" w:rsidP="000D356F">
      <w:pPr>
        <w:spacing w:line="264" w:lineRule="auto"/>
        <w:jc w:val="both"/>
        <w:rPr>
          <w:rFonts w:ascii="Arial" w:hAnsi="Arial" w:cs="Arial"/>
          <w:szCs w:val="24"/>
        </w:rPr>
      </w:pPr>
    </w:p>
    <w:p w14:paraId="7B6259BA" w14:textId="77777777" w:rsidR="00103C66" w:rsidRDefault="00103C66" w:rsidP="000D356F">
      <w:pPr>
        <w:spacing w:line="264" w:lineRule="auto"/>
        <w:jc w:val="both"/>
        <w:rPr>
          <w:rFonts w:ascii="Arial" w:hAnsi="Arial" w:cs="Arial"/>
          <w:szCs w:val="24"/>
        </w:rPr>
      </w:pPr>
    </w:p>
    <w:p w14:paraId="7EB479E8" w14:textId="02485BCB" w:rsidR="0087523D" w:rsidRPr="000E7446" w:rsidRDefault="0087523D" w:rsidP="0087523D">
      <w:pPr>
        <w:tabs>
          <w:tab w:val="left" w:pos="720"/>
          <w:tab w:val="right" w:pos="9360"/>
        </w:tabs>
        <w:spacing w:line="264" w:lineRule="auto"/>
        <w:contextualSpacing/>
        <w:jc w:val="both"/>
        <w:rPr>
          <w:rFonts w:ascii="Arial" w:hAnsi="Arial" w:cs="Arial"/>
          <w:b/>
          <w:u w:val="single"/>
        </w:rPr>
      </w:pPr>
      <w:r>
        <w:rPr>
          <w:rFonts w:ascii="Arial" w:hAnsi="Arial" w:cs="Arial"/>
          <w:b/>
          <w:u w:val="single"/>
        </w:rPr>
        <w:t>Office of Performance, Strategy, and Budget (PSB)</w:t>
      </w:r>
      <w:r w:rsidRPr="000E7446">
        <w:rPr>
          <w:rFonts w:ascii="Arial" w:hAnsi="Arial" w:cs="Arial"/>
          <w:b/>
          <w:u w:val="single"/>
        </w:rPr>
        <w:tab/>
      </w:r>
      <w:r w:rsidRPr="007653BB">
        <w:rPr>
          <w:rFonts w:ascii="Arial" w:hAnsi="Arial" w:cs="Arial"/>
          <w:b/>
          <w:color w:val="C0504D" w:themeColor="accent2"/>
          <w:u w:val="single"/>
        </w:rPr>
        <w:t>-$773,000</w:t>
      </w:r>
      <w:r w:rsidR="005C6460">
        <w:rPr>
          <w:rStyle w:val="FootnoteReference"/>
          <w:rFonts w:ascii="Arial" w:hAnsi="Arial" w:cs="Arial"/>
          <w:b/>
          <w:color w:val="C0504D" w:themeColor="accent2"/>
          <w:u w:val="single"/>
        </w:rPr>
        <w:footnoteReference w:id="10"/>
      </w:r>
      <w:r>
        <w:rPr>
          <w:rFonts w:ascii="Arial" w:hAnsi="Arial" w:cs="Arial"/>
          <w:b/>
          <w:u w:val="single"/>
        </w:rPr>
        <w:t>, 2.0 FTEs</w:t>
      </w:r>
    </w:p>
    <w:p w14:paraId="6CB5B4D6" w14:textId="77777777" w:rsidR="0087523D" w:rsidRDefault="0087523D" w:rsidP="0087523D">
      <w:pPr>
        <w:spacing w:line="264" w:lineRule="auto"/>
        <w:contextualSpacing/>
        <w:jc w:val="both"/>
        <w:rPr>
          <w:b/>
        </w:rPr>
      </w:pPr>
    </w:p>
    <w:p w14:paraId="74ECF5F4" w14:textId="46B51FFE" w:rsidR="0087523D" w:rsidRDefault="0087523D" w:rsidP="0087523D">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[$807,000, 2.0 FTEs, ongoing]</w:t>
      </w:r>
      <w:r w:rsidRPr="0054665B">
        <w:rPr>
          <w:rFonts w:ascii="Arial" w:hAnsi="Arial" w:cs="Arial"/>
          <w:b/>
          <w:i/>
          <w:iCs/>
        </w:rPr>
        <w:t>.</w:t>
      </w:r>
      <w:r>
        <w:rPr>
          <w:rFonts w:ascii="Arial" w:hAnsi="Arial" w:cs="Arial"/>
          <w:b/>
        </w:rPr>
        <w:t xml:space="preserve">  </w:t>
      </w:r>
      <w:r w:rsidRPr="00FC1A7F">
        <w:rPr>
          <w:rFonts w:ascii="Arial" w:hAnsi="Arial" w:cs="Arial"/>
        </w:rPr>
        <w:t xml:space="preserve">The proposed ordinance would appropriate $807,000 to restore two FTE positions, furlough days, </w:t>
      </w:r>
      <w:r>
        <w:rPr>
          <w:rFonts w:ascii="Arial" w:hAnsi="Arial" w:cs="Arial"/>
        </w:rPr>
        <w:t xml:space="preserve">travel and training, </w:t>
      </w:r>
      <w:r w:rsidRPr="00FC1A7F">
        <w:rPr>
          <w:rFonts w:ascii="Arial" w:hAnsi="Arial" w:cs="Arial"/>
        </w:rPr>
        <w:t>and merit pay for 2022.</w:t>
      </w:r>
      <w:r>
        <w:rPr>
          <w:rFonts w:ascii="Arial" w:hAnsi="Arial" w:cs="Arial"/>
        </w:rPr>
        <w:t xml:space="preserve">  </w:t>
      </w:r>
      <w:r w:rsidRPr="00F83C99">
        <w:rPr>
          <w:rFonts w:ascii="Arial" w:hAnsi="Arial" w:cs="Arial"/>
        </w:rPr>
        <w:t>This would be funded using a General Fund Overhead model, which shares the costs countywide. The General Fund Overhead is comprised of approximately 34</w:t>
      </w:r>
      <w:r>
        <w:rPr>
          <w:rFonts w:ascii="Arial" w:hAnsi="Arial" w:cs="Arial"/>
        </w:rPr>
        <w:t xml:space="preserve">% </w:t>
      </w:r>
      <w:r w:rsidRPr="00F83C99">
        <w:rPr>
          <w:rFonts w:ascii="Arial" w:hAnsi="Arial" w:cs="Arial"/>
        </w:rPr>
        <w:t>General Fund and 66</w:t>
      </w:r>
      <w:r>
        <w:rPr>
          <w:rFonts w:ascii="Arial" w:hAnsi="Arial" w:cs="Arial"/>
        </w:rPr>
        <w:t xml:space="preserve">% </w:t>
      </w:r>
      <w:r w:rsidRPr="00F83C99">
        <w:rPr>
          <w:rFonts w:ascii="Arial" w:hAnsi="Arial" w:cs="Arial"/>
        </w:rPr>
        <w:t>non-General Fund.</w:t>
      </w:r>
    </w:p>
    <w:p w14:paraId="41A49836" w14:textId="77777777" w:rsidR="0087523D" w:rsidRDefault="0087523D" w:rsidP="0087523D">
      <w:pPr>
        <w:spacing w:line="264" w:lineRule="auto"/>
        <w:ind w:left="720"/>
        <w:contextualSpacing/>
        <w:jc w:val="both"/>
        <w:rPr>
          <w:rFonts w:ascii="Arial" w:hAnsi="Arial" w:cs="Arial"/>
        </w:rPr>
      </w:pPr>
    </w:p>
    <w:p w14:paraId="62703225" w14:textId="77777777" w:rsidR="0087523D" w:rsidRPr="006D3FF8" w:rsidRDefault="0087523D" w:rsidP="0087523D">
      <w:pPr>
        <w:spacing w:line="264" w:lineRule="auto"/>
        <w:contextualSpacing/>
        <w:jc w:val="both"/>
        <w:rPr>
          <w:rFonts w:ascii="Arial" w:hAnsi="Arial" w:cs="Arial"/>
          <w:b/>
          <w:i/>
        </w:rPr>
      </w:pPr>
      <w:r>
        <w:rPr>
          <w:rFonts w:ascii="Arial" w:hAnsi="Arial" w:cs="Arial"/>
          <w:b/>
          <w:i/>
          <w:iCs/>
        </w:rPr>
        <w:t>Environmental Impact Statement for 2024 Comprehensive Plan Update</w:t>
      </w:r>
      <w:r w:rsidRPr="0054665B">
        <w:rPr>
          <w:rFonts w:ascii="Arial" w:hAnsi="Arial" w:cs="Arial"/>
          <w:b/>
          <w:i/>
          <w:iCs/>
        </w:rPr>
        <w:t xml:space="preserve"> </w:t>
      </w:r>
      <w:r>
        <w:rPr>
          <w:rFonts w:ascii="Arial" w:hAnsi="Arial" w:cs="Arial"/>
          <w:b/>
          <w:i/>
          <w:iCs/>
        </w:rPr>
        <w:t>[</w:t>
      </w:r>
      <w:r w:rsidRPr="0054665B">
        <w:rPr>
          <w:rFonts w:ascii="Arial" w:hAnsi="Arial" w:cs="Arial"/>
          <w:b/>
          <w:i/>
          <w:iCs/>
        </w:rPr>
        <w:t>$</w:t>
      </w:r>
      <w:r>
        <w:rPr>
          <w:rFonts w:ascii="Arial" w:hAnsi="Arial" w:cs="Arial"/>
          <w:b/>
          <w:i/>
          <w:iCs/>
        </w:rPr>
        <w:t>270,000, 1.0 TLT, ongoing]</w:t>
      </w:r>
      <w:r w:rsidRPr="0054665B">
        <w:rPr>
          <w:rFonts w:ascii="Arial" w:hAnsi="Arial" w:cs="Arial"/>
          <w:b/>
          <w:i/>
          <w:iCs/>
        </w:rPr>
        <w:t>.</w:t>
      </w:r>
      <w:r>
        <w:rPr>
          <w:rFonts w:ascii="Arial" w:hAnsi="Arial" w:cs="Arial"/>
          <w:b/>
          <w:iCs/>
        </w:rPr>
        <w:t xml:space="preserve">  </w:t>
      </w:r>
      <w:r w:rsidRPr="0067605C">
        <w:rPr>
          <w:rFonts w:ascii="Arial" w:hAnsi="Arial" w:cs="Arial"/>
        </w:rPr>
        <w:t xml:space="preserve">The proposed ordinance would appropriate $270,000 for </w:t>
      </w:r>
      <w:r>
        <w:rPr>
          <w:rFonts w:ascii="Arial" w:hAnsi="Arial" w:cs="Arial"/>
        </w:rPr>
        <w:t xml:space="preserve">1.0 TLT and consultant resources to prepare an Environmental Impact Statement (EIS) as part of the 2024 King County Comprehensive Plan Update, which is due to be adopted in June 2024.  PSB reports that they anticipate requesting additional consultant funding and continuation of the TLT through 2024, for a potential request of $600,000 in the 2023-2024 biennium. </w:t>
      </w:r>
    </w:p>
    <w:p w14:paraId="0540B02E" w14:textId="77777777" w:rsidR="0087523D" w:rsidRPr="003D194D" w:rsidRDefault="0087523D" w:rsidP="0087523D">
      <w:pPr>
        <w:spacing w:line="264" w:lineRule="auto"/>
        <w:contextualSpacing/>
        <w:jc w:val="both"/>
        <w:rPr>
          <w:rFonts w:ascii="Arial" w:hAnsi="Arial" w:cs="Arial"/>
        </w:rPr>
      </w:pPr>
    </w:p>
    <w:p w14:paraId="1DB3760E" w14:textId="77777777" w:rsidR="0087523D" w:rsidRDefault="0087523D" w:rsidP="0087523D">
      <w:pPr>
        <w:spacing w:line="264" w:lineRule="auto"/>
        <w:jc w:val="both"/>
        <w:rPr>
          <w:rFonts w:ascii="Arial" w:hAnsi="Arial" w:cs="Arial"/>
        </w:rPr>
      </w:pPr>
      <w:r>
        <w:rPr>
          <w:rFonts w:ascii="Arial" w:hAnsi="Arial" w:cs="Arial"/>
          <w:b/>
          <w:bCs/>
          <w:i/>
          <w:iCs/>
        </w:rPr>
        <w:t xml:space="preserve">Department of Adult and Juvenile Detention (DAJD) Staffing and Overtime Assessment: [$150,000].  </w:t>
      </w:r>
      <w:r>
        <w:rPr>
          <w:rFonts w:ascii="Arial" w:hAnsi="Arial" w:cs="Arial"/>
        </w:rPr>
        <w:t>The proposed ordinance would appropriate $150,000 of General Fund for a consultant to review DAJD staffing practices to assess staffing levels and drivers of overtime.  According to Executive staff, this best practice study would consider work rules, policies, procedures, and provisions in labor agreements.  Executive staff indicated that the study is likely to surface ideas that would need to be bargained.</w:t>
      </w:r>
    </w:p>
    <w:p w14:paraId="08C4CA69" w14:textId="77777777" w:rsidR="0087523D" w:rsidRDefault="0087523D" w:rsidP="0087523D">
      <w:pPr>
        <w:spacing w:line="264" w:lineRule="auto"/>
        <w:contextualSpacing/>
        <w:jc w:val="both"/>
        <w:rPr>
          <w:rFonts w:ascii="Arial" w:hAnsi="Arial" w:cs="Arial"/>
          <w:b/>
          <w:iCs/>
        </w:rPr>
      </w:pPr>
    </w:p>
    <w:p w14:paraId="0095D106" w14:textId="77777777" w:rsidR="0087523D" w:rsidRDefault="0087523D" w:rsidP="0087523D">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0E809379" w14:textId="77777777" w:rsidR="0087523D" w:rsidRDefault="0087523D" w:rsidP="0087523D">
      <w:pPr>
        <w:spacing w:line="264" w:lineRule="auto"/>
        <w:contextualSpacing/>
        <w:jc w:val="both"/>
        <w:rPr>
          <w:rFonts w:ascii="Arial" w:hAnsi="Arial" w:cs="Arial"/>
          <w:iCs/>
        </w:rPr>
      </w:pPr>
      <w:r>
        <w:rPr>
          <w:rFonts w:ascii="Arial" w:hAnsi="Arial" w:cs="Arial"/>
          <w:b/>
          <w:i/>
        </w:rPr>
        <w:t>Eviction Moratorium ER &amp; Proviso</w:t>
      </w:r>
      <w:r w:rsidRPr="0054665B">
        <w:rPr>
          <w:rFonts w:ascii="Arial" w:hAnsi="Arial" w:cs="Arial"/>
          <w:b/>
          <w:i/>
        </w:rPr>
        <w:t xml:space="preserve"> </w:t>
      </w:r>
      <w:r>
        <w:rPr>
          <w:rFonts w:ascii="Arial" w:hAnsi="Arial" w:cs="Arial"/>
          <w:b/>
          <w:i/>
        </w:rPr>
        <w:t>[</w:t>
      </w:r>
      <w:r w:rsidRPr="0054665B">
        <w:rPr>
          <w:rFonts w:ascii="Arial" w:hAnsi="Arial" w:cs="Arial"/>
          <w:b/>
          <w:i/>
        </w:rPr>
        <w:t>$</w:t>
      </w:r>
      <w:r>
        <w:rPr>
          <w:rFonts w:ascii="Arial" w:hAnsi="Arial" w:cs="Arial"/>
          <w:b/>
          <w:i/>
        </w:rPr>
        <w:t>0]</w:t>
      </w:r>
      <w:r w:rsidRPr="0054665B">
        <w:rPr>
          <w:rFonts w:ascii="Arial" w:hAnsi="Arial" w:cs="Arial"/>
          <w:b/>
          <w:i/>
        </w:rPr>
        <w:t>.</w:t>
      </w:r>
      <w:r>
        <w:rPr>
          <w:rFonts w:ascii="Arial" w:hAnsi="Arial" w:cs="Arial"/>
          <w:b/>
          <w:iCs/>
        </w:rPr>
        <w:t xml:space="preserve">  </w:t>
      </w:r>
      <w:r>
        <w:rPr>
          <w:rFonts w:ascii="Arial" w:hAnsi="Arial" w:cs="Arial"/>
          <w:iCs/>
        </w:rPr>
        <w:t>Technical changes to reflect the enactment number for the COVID 8 supplemental appropriations ordinance.</w:t>
      </w:r>
    </w:p>
    <w:p w14:paraId="75A63696" w14:textId="77777777" w:rsidR="0087523D" w:rsidRDefault="0087523D" w:rsidP="0087523D">
      <w:pPr>
        <w:spacing w:line="264" w:lineRule="auto"/>
        <w:contextualSpacing/>
        <w:jc w:val="both"/>
        <w:rPr>
          <w:rFonts w:ascii="Arial" w:hAnsi="Arial" w:cs="Arial"/>
          <w:iCs/>
        </w:rPr>
      </w:pPr>
    </w:p>
    <w:p w14:paraId="04891597" w14:textId="79798987" w:rsidR="0087523D" w:rsidRPr="006D3FF8" w:rsidRDefault="0087523D" w:rsidP="0087523D">
      <w:pPr>
        <w:spacing w:line="264" w:lineRule="auto"/>
        <w:contextualSpacing/>
        <w:jc w:val="both"/>
        <w:rPr>
          <w:rFonts w:ascii="Arial" w:hAnsi="Arial" w:cs="Arial"/>
          <w:b/>
          <w:iCs/>
        </w:rPr>
      </w:pPr>
      <w:r w:rsidRPr="0074458C">
        <w:rPr>
          <w:rFonts w:ascii="Arial" w:hAnsi="Arial" w:cs="Arial"/>
          <w:b/>
          <w:bCs/>
          <w:i/>
        </w:rPr>
        <w:t>Transfer Gun Violence Prevention Initiative to Public Health</w:t>
      </w:r>
      <w:r>
        <w:rPr>
          <w:rFonts w:ascii="Arial" w:hAnsi="Arial" w:cs="Arial"/>
          <w:b/>
          <w:bCs/>
          <w:i/>
        </w:rPr>
        <w:t xml:space="preserve"> </w:t>
      </w:r>
      <w:r>
        <w:rPr>
          <w:rFonts w:ascii="Arial" w:hAnsi="Arial" w:cs="Arial"/>
          <w:b/>
          <w:i/>
          <w:iCs/>
        </w:rPr>
        <w:t>[</w:t>
      </w:r>
      <w:r w:rsidRPr="002458BF">
        <w:rPr>
          <w:rFonts w:ascii="Arial" w:hAnsi="Arial" w:cs="Arial"/>
          <w:b/>
          <w:i/>
          <w:iCs/>
          <w:color w:val="C00000"/>
        </w:rPr>
        <w:t>-$2,000,000</w:t>
      </w:r>
      <w:r w:rsidRPr="001E063E">
        <w:rPr>
          <w:rFonts w:ascii="Arial" w:hAnsi="Arial" w:cs="Arial"/>
          <w:b/>
          <w:i/>
          <w:iCs/>
        </w:rPr>
        <w:t>]</w:t>
      </w:r>
      <w:r w:rsidR="008479D3">
        <w:rPr>
          <w:rFonts w:ascii="Arial" w:hAnsi="Arial" w:cs="Arial"/>
          <w:b/>
          <w:i/>
          <w:iCs/>
        </w:rPr>
        <w:t>.</w:t>
      </w:r>
      <w:r w:rsidRPr="001E063E">
        <w:rPr>
          <w:rFonts w:ascii="Arial" w:hAnsi="Arial" w:cs="Arial"/>
          <w:b/>
          <w:i/>
          <w:iCs/>
        </w:rPr>
        <w:t xml:space="preserve"> </w:t>
      </w:r>
      <w:r>
        <w:rPr>
          <w:rFonts w:ascii="Arial" w:hAnsi="Arial" w:cs="Arial"/>
          <w:b/>
          <w:i/>
          <w:iCs/>
        </w:rPr>
        <w:t xml:space="preserve"> </w:t>
      </w:r>
      <w:r w:rsidRPr="001E063E">
        <w:rPr>
          <w:rFonts w:ascii="Arial" w:hAnsi="Arial" w:cs="Arial"/>
          <w:iCs/>
        </w:rPr>
        <w:t>The proposed ordinance would make a technical change</w:t>
      </w:r>
      <w:r>
        <w:rPr>
          <w:rFonts w:ascii="Arial" w:hAnsi="Arial" w:cs="Arial"/>
          <w:iCs/>
        </w:rPr>
        <w:t xml:space="preserve">, transferring </w:t>
      </w:r>
      <w:r w:rsidRPr="001E063E">
        <w:rPr>
          <w:rFonts w:ascii="Arial" w:hAnsi="Arial" w:cs="Arial"/>
          <w:iCs/>
        </w:rPr>
        <w:t xml:space="preserve">$2 million </w:t>
      </w:r>
      <w:r>
        <w:rPr>
          <w:rFonts w:ascii="Arial" w:hAnsi="Arial" w:cs="Arial"/>
          <w:iCs/>
        </w:rPr>
        <w:t xml:space="preserve">appropriated </w:t>
      </w:r>
      <w:r w:rsidRPr="001E063E">
        <w:rPr>
          <w:rFonts w:ascii="Arial" w:hAnsi="Arial" w:cs="Arial"/>
          <w:iCs/>
        </w:rPr>
        <w:t>in COVID 6</w:t>
      </w:r>
      <w:r>
        <w:rPr>
          <w:rFonts w:ascii="Arial" w:hAnsi="Arial" w:cs="Arial"/>
          <w:iCs/>
        </w:rPr>
        <w:t xml:space="preserve"> to the Department of Public Health.  More information is included in the Public Health section </w:t>
      </w:r>
      <w:r w:rsidR="0098133D">
        <w:rPr>
          <w:rFonts w:ascii="Arial" w:hAnsi="Arial" w:cs="Arial"/>
          <w:iCs/>
        </w:rPr>
        <w:t>of</w:t>
      </w:r>
      <w:r>
        <w:rPr>
          <w:rFonts w:ascii="Arial" w:hAnsi="Arial" w:cs="Arial"/>
          <w:iCs/>
        </w:rPr>
        <w:t xml:space="preserve"> this staff report.</w:t>
      </w:r>
    </w:p>
    <w:p w14:paraId="0F20F71B" w14:textId="77777777" w:rsidR="0087523D" w:rsidRDefault="0087523D" w:rsidP="000D356F">
      <w:pPr>
        <w:spacing w:line="264" w:lineRule="auto"/>
        <w:jc w:val="both"/>
        <w:rPr>
          <w:rFonts w:ascii="Arial" w:hAnsi="Arial" w:cs="Arial"/>
          <w:szCs w:val="24"/>
        </w:rPr>
      </w:pPr>
    </w:p>
    <w:p w14:paraId="3DE54358" w14:textId="77777777" w:rsidR="00090F59" w:rsidRDefault="00090F59" w:rsidP="000D356F">
      <w:pPr>
        <w:spacing w:line="264" w:lineRule="auto"/>
        <w:jc w:val="both"/>
        <w:rPr>
          <w:rFonts w:ascii="Arial" w:hAnsi="Arial" w:cs="Arial"/>
          <w:szCs w:val="24"/>
        </w:rPr>
      </w:pPr>
    </w:p>
    <w:p w14:paraId="0F5A715B" w14:textId="77777777" w:rsidR="007149C8" w:rsidRPr="000E7446" w:rsidRDefault="007149C8" w:rsidP="007149C8">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Office of Equity and Social Justice</w:t>
      </w:r>
      <w:r w:rsidRPr="000E7446">
        <w:rPr>
          <w:rFonts w:ascii="Arial" w:hAnsi="Arial" w:cs="Arial"/>
          <w:b/>
          <w:u w:val="single"/>
        </w:rPr>
        <w:tab/>
        <w:t>$</w:t>
      </w:r>
      <w:r>
        <w:rPr>
          <w:rFonts w:ascii="Arial" w:hAnsi="Arial" w:cs="Arial"/>
          <w:b/>
          <w:u w:val="single"/>
        </w:rPr>
        <w:t>1,425,000, 2.0 FTEs</w:t>
      </w:r>
    </w:p>
    <w:p w14:paraId="1BBB772B" w14:textId="77777777" w:rsidR="007149C8" w:rsidRDefault="007149C8" w:rsidP="007149C8">
      <w:pPr>
        <w:spacing w:line="264" w:lineRule="auto"/>
        <w:contextualSpacing/>
        <w:jc w:val="both"/>
        <w:rPr>
          <w:b/>
        </w:rPr>
      </w:pPr>
    </w:p>
    <w:p w14:paraId="40B937CB" w14:textId="5B81C174" w:rsidR="007149C8" w:rsidRPr="003C7BD0" w:rsidRDefault="007149C8" w:rsidP="007149C8">
      <w:pPr>
        <w:spacing w:line="264" w:lineRule="auto"/>
        <w:contextualSpacing/>
        <w:jc w:val="both"/>
        <w:rPr>
          <w:rFonts w:ascii="Arial" w:hAnsi="Arial" w:cs="Arial"/>
          <w:bCs/>
          <w:color w:val="4F81BD" w:themeColor="accent1"/>
        </w:rPr>
      </w:pPr>
      <w:r w:rsidRPr="00D5160D">
        <w:rPr>
          <w:rFonts w:ascii="Arial" w:hAnsi="Arial" w:cs="Arial"/>
          <w:b/>
          <w:i/>
          <w:iCs/>
        </w:rPr>
        <w:t>Coalition Against Hate and Bias Membership</w:t>
      </w:r>
      <w:r>
        <w:rPr>
          <w:rFonts w:ascii="Arial" w:hAnsi="Arial" w:cs="Arial"/>
          <w:b/>
          <w:i/>
          <w:iCs/>
        </w:rPr>
        <w:t xml:space="preserve"> [$100,000]</w:t>
      </w:r>
      <w:r w:rsidRPr="00D5160D">
        <w:rPr>
          <w:rFonts w:ascii="Arial" w:hAnsi="Arial" w:cs="Arial"/>
          <w:b/>
          <w:i/>
          <w:iCs/>
        </w:rPr>
        <w:t xml:space="preserve">. </w:t>
      </w:r>
      <w:r>
        <w:rPr>
          <w:rFonts w:ascii="Arial" w:hAnsi="Arial" w:cs="Arial"/>
          <w:bCs/>
        </w:rPr>
        <w:t xml:space="preserve">The proposed ordinance would appropriate $100,000 to </w:t>
      </w:r>
      <w:r w:rsidRPr="00C836D2">
        <w:rPr>
          <w:rFonts w:ascii="Arial" w:hAnsi="Arial" w:cs="Arial"/>
          <w:bCs/>
          <w:color w:val="4F81BD" w:themeColor="accent1"/>
        </w:rPr>
        <w:t>expand the</w:t>
      </w:r>
      <w:r w:rsidR="00C836D2" w:rsidRPr="00C836D2">
        <w:rPr>
          <w:rFonts w:ascii="Arial" w:hAnsi="Arial" w:cs="Arial"/>
          <w:bCs/>
          <w:color w:val="4F81BD" w:themeColor="accent1"/>
        </w:rPr>
        <w:t xml:space="preserve"> </w:t>
      </w:r>
      <w:r w:rsidR="00377647">
        <w:rPr>
          <w:rFonts w:ascii="Arial" w:hAnsi="Arial" w:cs="Arial"/>
          <w:bCs/>
          <w:color w:val="4F81BD" w:themeColor="accent1"/>
        </w:rPr>
        <w:t xml:space="preserve">number </w:t>
      </w:r>
      <w:r w:rsidR="00352408">
        <w:rPr>
          <w:rFonts w:ascii="Arial" w:hAnsi="Arial" w:cs="Arial"/>
          <w:bCs/>
          <w:color w:val="4F81BD" w:themeColor="accent1"/>
        </w:rPr>
        <w:t xml:space="preserve">of </w:t>
      </w:r>
      <w:r w:rsidR="00C836D2" w:rsidRPr="00C836D2">
        <w:rPr>
          <w:rFonts w:ascii="Arial" w:hAnsi="Arial" w:cs="Arial"/>
          <w:bCs/>
          <w:color w:val="4F81BD" w:themeColor="accent1"/>
        </w:rPr>
        <w:t>organizations supported by the</w:t>
      </w:r>
      <w:r w:rsidRPr="00C836D2">
        <w:rPr>
          <w:rFonts w:ascii="Arial" w:hAnsi="Arial" w:cs="Arial"/>
          <w:bCs/>
          <w:color w:val="4F81BD" w:themeColor="accent1"/>
        </w:rPr>
        <w:t xml:space="preserve"> Coalition Against Hate and Bias.</w:t>
      </w:r>
      <w:r w:rsidR="00407401">
        <w:rPr>
          <w:rStyle w:val="FootnoteReference"/>
          <w:rFonts w:ascii="Arial" w:hAnsi="Arial" w:cs="Arial"/>
          <w:bCs/>
          <w:color w:val="4F81BD" w:themeColor="accent1"/>
        </w:rPr>
        <w:footnoteReference w:id="11"/>
      </w:r>
      <w:r w:rsidRPr="00C836D2">
        <w:rPr>
          <w:rFonts w:ascii="Arial" w:hAnsi="Arial" w:cs="Arial"/>
          <w:bCs/>
          <w:color w:val="4F81BD" w:themeColor="accent1"/>
        </w:rPr>
        <w:t xml:space="preserve"> </w:t>
      </w:r>
      <w:r>
        <w:rPr>
          <w:rFonts w:ascii="Arial" w:hAnsi="Arial" w:cs="Arial"/>
          <w:bCs/>
        </w:rPr>
        <w:t xml:space="preserve">This would be revenue-backed with one-time funds from the City of Seattle.  </w:t>
      </w:r>
      <w:r w:rsidR="003C7BD0" w:rsidRPr="003C7BD0">
        <w:rPr>
          <w:rFonts w:ascii="Arial" w:hAnsi="Arial" w:cs="Arial"/>
          <w:bCs/>
          <w:color w:val="4F81BD" w:themeColor="accent1"/>
        </w:rPr>
        <w:t xml:space="preserve">According to Executive staff, this money would provide </w:t>
      </w:r>
      <w:r w:rsidR="00345FC9">
        <w:rPr>
          <w:rFonts w:ascii="Arial" w:hAnsi="Arial" w:cs="Arial"/>
          <w:bCs/>
          <w:color w:val="4F81BD" w:themeColor="accent1"/>
        </w:rPr>
        <w:t xml:space="preserve">grantmaking </w:t>
      </w:r>
      <w:r w:rsidR="003C7BD0" w:rsidRPr="003C7BD0">
        <w:rPr>
          <w:rFonts w:ascii="Arial" w:hAnsi="Arial" w:cs="Arial"/>
          <w:bCs/>
          <w:color w:val="4F81BD" w:themeColor="accent1"/>
        </w:rPr>
        <w:t xml:space="preserve">support to small organizations </w:t>
      </w:r>
      <w:r w:rsidR="00D1731F">
        <w:rPr>
          <w:rFonts w:ascii="Arial" w:hAnsi="Arial" w:cs="Arial"/>
          <w:bCs/>
          <w:color w:val="4F81BD" w:themeColor="accent1"/>
        </w:rPr>
        <w:t xml:space="preserve">seeking </w:t>
      </w:r>
      <w:r w:rsidR="00267954">
        <w:rPr>
          <w:rFonts w:ascii="Arial" w:hAnsi="Arial" w:cs="Arial"/>
          <w:bCs/>
          <w:color w:val="4F81BD" w:themeColor="accent1"/>
        </w:rPr>
        <w:t xml:space="preserve">federal </w:t>
      </w:r>
      <w:r w:rsidR="00175612">
        <w:rPr>
          <w:rFonts w:ascii="Arial" w:hAnsi="Arial" w:cs="Arial"/>
          <w:bCs/>
          <w:color w:val="4F81BD" w:themeColor="accent1"/>
        </w:rPr>
        <w:t xml:space="preserve">American Rescue Plan Act’s </w:t>
      </w:r>
      <w:r w:rsidR="00972741">
        <w:rPr>
          <w:rFonts w:ascii="Arial" w:hAnsi="Arial" w:cs="Arial"/>
          <w:bCs/>
          <w:color w:val="4F81BD" w:themeColor="accent1"/>
        </w:rPr>
        <w:t>Coronavirus Local Fiscal Recovery Funds (</w:t>
      </w:r>
      <w:r w:rsidR="00175612">
        <w:rPr>
          <w:rFonts w:ascii="Arial" w:hAnsi="Arial" w:cs="Arial"/>
          <w:bCs/>
          <w:color w:val="4F81BD" w:themeColor="accent1"/>
        </w:rPr>
        <w:t xml:space="preserve">ARPA </w:t>
      </w:r>
      <w:r w:rsidR="00972741">
        <w:rPr>
          <w:rFonts w:ascii="Arial" w:hAnsi="Arial" w:cs="Arial"/>
          <w:bCs/>
          <w:color w:val="4F81BD" w:themeColor="accent1"/>
        </w:rPr>
        <w:t>CLFR</w:t>
      </w:r>
      <w:r w:rsidR="00175612">
        <w:rPr>
          <w:rFonts w:ascii="Arial" w:hAnsi="Arial" w:cs="Arial"/>
          <w:bCs/>
          <w:color w:val="4F81BD" w:themeColor="accent1"/>
        </w:rPr>
        <w:t>F</w:t>
      </w:r>
      <w:r w:rsidR="00972741">
        <w:rPr>
          <w:rFonts w:ascii="Arial" w:hAnsi="Arial" w:cs="Arial"/>
          <w:bCs/>
          <w:color w:val="4F81BD" w:themeColor="accent1"/>
        </w:rPr>
        <w:t>)</w:t>
      </w:r>
      <w:r w:rsidR="00F67875">
        <w:rPr>
          <w:rFonts w:ascii="Arial" w:hAnsi="Arial" w:cs="Arial"/>
          <w:bCs/>
          <w:color w:val="4F81BD" w:themeColor="accent1"/>
        </w:rPr>
        <w:t>,</w:t>
      </w:r>
      <w:r w:rsidR="005A79D3">
        <w:rPr>
          <w:rFonts w:ascii="Arial" w:hAnsi="Arial" w:cs="Arial"/>
          <w:bCs/>
          <w:color w:val="4F81BD" w:themeColor="accent1"/>
        </w:rPr>
        <w:t xml:space="preserve"> that</w:t>
      </w:r>
      <w:r w:rsidR="00FB3882">
        <w:rPr>
          <w:rFonts w:ascii="Arial" w:hAnsi="Arial" w:cs="Arial"/>
          <w:bCs/>
          <w:color w:val="4F81BD" w:themeColor="accent1"/>
        </w:rPr>
        <w:t xml:space="preserve"> w</w:t>
      </w:r>
      <w:r w:rsidR="00FC3D93">
        <w:rPr>
          <w:rFonts w:ascii="Arial" w:hAnsi="Arial" w:cs="Arial"/>
          <w:bCs/>
          <w:color w:val="4F81BD" w:themeColor="accent1"/>
        </w:rPr>
        <w:t>ere</w:t>
      </w:r>
      <w:r w:rsidR="00FB3882">
        <w:rPr>
          <w:rFonts w:ascii="Arial" w:hAnsi="Arial" w:cs="Arial"/>
          <w:bCs/>
          <w:color w:val="4F81BD" w:themeColor="accent1"/>
        </w:rPr>
        <w:t xml:space="preserve"> appropriated </w:t>
      </w:r>
      <w:r w:rsidR="00B524F6">
        <w:rPr>
          <w:rFonts w:ascii="Arial" w:hAnsi="Arial" w:cs="Arial"/>
          <w:bCs/>
          <w:color w:val="4F81BD" w:themeColor="accent1"/>
        </w:rPr>
        <w:t xml:space="preserve">to the Coalition </w:t>
      </w:r>
      <w:r w:rsidR="005C5C1B">
        <w:rPr>
          <w:rFonts w:ascii="Arial" w:hAnsi="Arial" w:cs="Arial"/>
          <w:bCs/>
          <w:color w:val="4F81BD" w:themeColor="accent1"/>
        </w:rPr>
        <w:t>through</w:t>
      </w:r>
      <w:r w:rsidR="00FB3882">
        <w:rPr>
          <w:rFonts w:ascii="Arial" w:hAnsi="Arial" w:cs="Arial"/>
          <w:bCs/>
          <w:color w:val="4F81BD" w:themeColor="accent1"/>
        </w:rPr>
        <w:t xml:space="preserve"> the COVID 7 supplemental appropriations ordinance,</w:t>
      </w:r>
      <w:r w:rsidR="00972741">
        <w:rPr>
          <w:rFonts w:ascii="Arial" w:hAnsi="Arial" w:cs="Arial"/>
          <w:bCs/>
          <w:color w:val="4F81BD" w:themeColor="accent1"/>
        </w:rPr>
        <w:t xml:space="preserve"> but lacking</w:t>
      </w:r>
      <w:r w:rsidR="003C7BD0" w:rsidRPr="003C7BD0">
        <w:rPr>
          <w:rFonts w:ascii="Arial" w:hAnsi="Arial" w:cs="Arial"/>
          <w:bCs/>
          <w:color w:val="4F81BD" w:themeColor="accent1"/>
        </w:rPr>
        <w:t xml:space="preserve"> capacity to comply with </w:t>
      </w:r>
      <w:r w:rsidR="005859E1">
        <w:rPr>
          <w:rFonts w:ascii="Arial" w:hAnsi="Arial" w:cs="Arial"/>
          <w:bCs/>
          <w:color w:val="4F81BD" w:themeColor="accent1"/>
        </w:rPr>
        <w:t xml:space="preserve">reporting </w:t>
      </w:r>
      <w:r w:rsidR="003C7BD0" w:rsidRPr="003C7BD0">
        <w:rPr>
          <w:rFonts w:ascii="Arial" w:hAnsi="Arial" w:cs="Arial"/>
          <w:bCs/>
          <w:color w:val="4F81BD" w:themeColor="accent1"/>
        </w:rPr>
        <w:t xml:space="preserve">regulations associated with the </w:t>
      </w:r>
      <w:r w:rsidR="00513E06">
        <w:rPr>
          <w:rFonts w:ascii="Arial" w:hAnsi="Arial" w:cs="Arial"/>
          <w:bCs/>
          <w:color w:val="4F81BD" w:themeColor="accent1"/>
        </w:rPr>
        <w:t xml:space="preserve">federal </w:t>
      </w:r>
      <w:r w:rsidR="003C7BD0" w:rsidRPr="003C7BD0">
        <w:rPr>
          <w:rFonts w:ascii="Arial" w:hAnsi="Arial" w:cs="Arial"/>
          <w:bCs/>
          <w:color w:val="4F81BD" w:themeColor="accent1"/>
        </w:rPr>
        <w:t>funds</w:t>
      </w:r>
      <w:r w:rsidR="00B524F6">
        <w:rPr>
          <w:rFonts w:ascii="Arial" w:hAnsi="Arial" w:cs="Arial"/>
          <w:bCs/>
          <w:color w:val="4F81BD" w:themeColor="accent1"/>
        </w:rPr>
        <w:t xml:space="preserve">.  The </w:t>
      </w:r>
      <w:r w:rsidR="00C836D2">
        <w:rPr>
          <w:rFonts w:ascii="Arial" w:hAnsi="Arial" w:cs="Arial"/>
          <w:bCs/>
          <w:color w:val="4F81BD" w:themeColor="accent1"/>
        </w:rPr>
        <w:t>money</w:t>
      </w:r>
      <w:r w:rsidR="00F32D93">
        <w:rPr>
          <w:rFonts w:ascii="Arial" w:hAnsi="Arial" w:cs="Arial"/>
          <w:bCs/>
          <w:color w:val="4F81BD" w:themeColor="accent1"/>
        </w:rPr>
        <w:t xml:space="preserve"> </w:t>
      </w:r>
      <w:r w:rsidR="003C7BD0" w:rsidRPr="003C7BD0">
        <w:rPr>
          <w:rFonts w:ascii="Arial" w:hAnsi="Arial" w:cs="Arial"/>
          <w:bCs/>
          <w:color w:val="4F81BD" w:themeColor="accent1"/>
        </w:rPr>
        <w:t xml:space="preserve">would </w:t>
      </w:r>
      <w:r w:rsidR="002E68B2">
        <w:rPr>
          <w:rFonts w:ascii="Arial" w:hAnsi="Arial" w:cs="Arial"/>
          <w:bCs/>
          <w:color w:val="4F81BD" w:themeColor="accent1"/>
        </w:rPr>
        <w:t xml:space="preserve">also </w:t>
      </w:r>
      <w:r w:rsidR="003C7BD0" w:rsidRPr="003C7BD0">
        <w:rPr>
          <w:rFonts w:ascii="Arial" w:hAnsi="Arial" w:cs="Arial"/>
          <w:bCs/>
          <w:color w:val="4F81BD" w:themeColor="accent1"/>
        </w:rPr>
        <w:t xml:space="preserve">support </w:t>
      </w:r>
      <w:r w:rsidR="00B524F6">
        <w:rPr>
          <w:rFonts w:ascii="Arial" w:hAnsi="Arial" w:cs="Arial"/>
          <w:bCs/>
          <w:color w:val="4F81BD" w:themeColor="accent1"/>
        </w:rPr>
        <w:t xml:space="preserve">the small </w:t>
      </w:r>
      <w:r w:rsidR="00352408">
        <w:rPr>
          <w:rFonts w:ascii="Arial" w:hAnsi="Arial" w:cs="Arial"/>
          <w:bCs/>
          <w:color w:val="4F81BD" w:themeColor="accent1"/>
        </w:rPr>
        <w:t>organizations'</w:t>
      </w:r>
      <w:r w:rsidR="003C7BD0" w:rsidRPr="003C7BD0">
        <w:rPr>
          <w:rFonts w:ascii="Arial" w:hAnsi="Arial" w:cs="Arial"/>
          <w:bCs/>
          <w:color w:val="4F81BD" w:themeColor="accent1"/>
        </w:rPr>
        <w:t xml:space="preserve"> ability to grow their capacity and to reach and support the BIPOC community.</w:t>
      </w:r>
      <w:r w:rsidR="004A6109">
        <w:rPr>
          <w:rFonts w:ascii="Arial" w:hAnsi="Arial" w:cs="Arial"/>
          <w:bCs/>
          <w:color w:val="4F81BD" w:themeColor="accent1"/>
        </w:rPr>
        <w:t xml:space="preserve"> </w:t>
      </w:r>
    </w:p>
    <w:p w14:paraId="1C9E4A68" w14:textId="77777777" w:rsidR="007149C8" w:rsidRDefault="007149C8" w:rsidP="007149C8">
      <w:pPr>
        <w:spacing w:line="264" w:lineRule="auto"/>
        <w:contextualSpacing/>
        <w:jc w:val="both"/>
        <w:rPr>
          <w:rFonts w:ascii="Arial" w:hAnsi="Arial" w:cs="Arial"/>
          <w:bCs/>
        </w:rPr>
      </w:pPr>
    </w:p>
    <w:p w14:paraId="7F993239" w14:textId="77777777" w:rsidR="007149C8" w:rsidRDefault="007149C8" w:rsidP="007149C8">
      <w:pPr>
        <w:spacing w:line="264" w:lineRule="auto"/>
        <w:contextualSpacing/>
        <w:jc w:val="both"/>
        <w:rPr>
          <w:rFonts w:ascii="Arial" w:hAnsi="Arial" w:cs="Arial"/>
          <w:szCs w:val="24"/>
        </w:rPr>
      </w:pPr>
      <w:r>
        <w:rPr>
          <w:rFonts w:ascii="Arial" w:hAnsi="Arial" w:cs="Arial"/>
          <w:szCs w:val="24"/>
        </w:rPr>
        <w:t>The</w:t>
      </w:r>
      <w:r w:rsidRPr="00EE0718">
        <w:rPr>
          <w:rFonts w:ascii="Arial" w:hAnsi="Arial" w:cs="Arial"/>
          <w:szCs w:val="24"/>
        </w:rPr>
        <w:t xml:space="preserve"> Coalition Against Hate </w:t>
      </w:r>
      <w:r>
        <w:rPr>
          <w:rFonts w:ascii="Arial" w:hAnsi="Arial" w:cs="Arial"/>
          <w:szCs w:val="24"/>
        </w:rPr>
        <w:t>and</w:t>
      </w:r>
      <w:r w:rsidRPr="00EE0718">
        <w:rPr>
          <w:rFonts w:ascii="Arial" w:hAnsi="Arial" w:cs="Arial"/>
          <w:szCs w:val="24"/>
        </w:rPr>
        <w:t xml:space="preserve"> Bias was formed in 2020 as a community-led initiative to address hate and bias incidents by strengthening and networking communities who experience racist and bigoted treatment and all forms of oppression.</w:t>
      </w:r>
      <w:r>
        <w:rPr>
          <w:rStyle w:val="FootnoteReference"/>
          <w:rFonts w:ascii="Arial" w:hAnsi="Arial" w:cs="Arial"/>
          <w:szCs w:val="24"/>
        </w:rPr>
        <w:footnoteReference w:id="12"/>
      </w:r>
      <w:r w:rsidRPr="00EE0718">
        <w:rPr>
          <w:rFonts w:ascii="Arial" w:hAnsi="Arial" w:cs="Arial"/>
          <w:szCs w:val="24"/>
        </w:rPr>
        <w:t xml:space="preserve"> </w:t>
      </w:r>
      <w:r>
        <w:rPr>
          <w:rFonts w:ascii="Arial" w:hAnsi="Arial" w:cs="Arial"/>
          <w:szCs w:val="24"/>
        </w:rPr>
        <w:t xml:space="preserve"> </w:t>
      </w:r>
      <w:r w:rsidRPr="00EE0718">
        <w:rPr>
          <w:rFonts w:ascii="Arial" w:hAnsi="Arial" w:cs="Arial"/>
          <w:szCs w:val="24"/>
        </w:rPr>
        <w:t>The Coalition includes eight community partner organization</w:t>
      </w:r>
      <w:r>
        <w:rPr>
          <w:rFonts w:ascii="Arial" w:hAnsi="Arial" w:cs="Arial"/>
          <w:szCs w:val="24"/>
        </w:rPr>
        <w:t>s,</w:t>
      </w:r>
      <w:r>
        <w:rPr>
          <w:rStyle w:val="FootnoteReference"/>
          <w:rFonts w:ascii="Arial" w:hAnsi="Arial" w:cs="Arial"/>
          <w:szCs w:val="24"/>
        </w:rPr>
        <w:footnoteReference w:id="13"/>
      </w:r>
      <w:r w:rsidRPr="00EE0718">
        <w:rPr>
          <w:rFonts w:ascii="Arial" w:hAnsi="Arial" w:cs="Arial"/>
          <w:szCs w:val="24"/>
        </w:rPr>
        <w:t xml:space="preserve"> and they are also the administrators of the Hate and Bias Incident Response Survey to collect data from communities affected by hate and bias. </w:t>
      </w:r>
    </w:p>
    <w:p w14:paraId="3328A89F" w14:textId="77777777" w:rsidR="007149C8" w:rsidRDefault="007149C8" w:rsidP="007149C8">
      <w:pPr>
        <w:spacing w:line="264" w:lineRule="auto"/>
        <w:contextualSpacing/>
        <w:jc w:val="both"/>
        <w:rPr>
          <w:rFonts w:ascii="Arial" w:hAnsi="Arial" w:cs="Arial"/>
          <w:szCs w:val="24"/>
        </w:rPr>
      </w:pPr>
    </w:p>
    <w:p w14:paraId="39D9B59A" w14:textId="3C0A89F3" w:rsidR="007149C8" w:rsidRPr="00392321" w:rsidRDefault="007149C8" w:rsidP="007149C8">
      <w:pPr>
        <w:spacing w:line="264" w:lineRule="auto"/>
        <w:contextualSpacing/>
        <w:jc w:val="both"/>
        <w:rPr>
          <w:rFonts w:ascii="Arial" w:hAnsi="Arial" w:cs="Arial"/>
          <w:szCs w:val="24"/>
        </w:rPr>
      </w:pPr>
      <w:r>
        <w:rPr>
          <w:rFonts w:ascii="Arial" w:hAnsi="Arial" w:cs="Arial"/>
          <w:szCs w:val="24"/>
        </w:rPr>
        <w:t xml:space="preserve">In the 2019-2020 budget, Council appropriated $80,000 to support anti-hate and bias work in King County.  </w:t>
      </w:r>
      <w:r>
        <w:rPr>
          <w:rFonts w:ascii="Arial" w:hAnsi="Arial" w:cs="Arial"/>
          <w:bCs/>
        </w:rPr>
        <w:t xml:space="preserve">In Ordinance 19289, </w:t>
      </w:r>
      <w:r w:rsidR="00175612">
        <w:rPr>
          <w:rFonts w:ascii="Arial" w:hAnsi="Arial" w:cs="Arial"/>
          <w:bCs/>
        </w:rPr>
        <w:t xml:space="preserve">the </w:t>
      </w:r>
      <w:r w:rsidR="00175612" w:rsidRPr="00175612">
        <w:rPr>
          <w:rFonts w:ascii="Arial" w:hAnsi="Arial" w:cs="Arial"/>
          <w:bCs/>
          <w:color w:val="4F81BD" w:themeColor="accent1"/>
        </w:rPr>
        <w:t xml:space="preserve">COVID 7 </w:t>
      </w:r>
      <w:r w:rsidRPr="00175612">
        <w:rPr>
          <w:rFonts w:ascii="Arial" w:hAnsi="Arial" w:cs="Arial"/>
          <w:bCs/>
          <w:color w:val="4F81BD" w:themeColor="accent1"/>
        </w:rPr>
        <w:t xml:space="preserve">supplemental </w:t>
      </w:r>
      <w:r w:rsidR="00175612" w:rsidRPr="00175612">
        <w:rPr>
          <w:rFonts w:ascii="Arial" w:hAnsi="Arial" w:cs="Arial"/>
          <w:bCs/>
          <w:color w:val="4F81BD" w:themeColor="accent1"/>
        </w:rPr>
        <w:t>appropriations ordinance</w:t>
      </w:r>
      <w:r w:rsidRPr="00175612">
        <w:rPr>
          <w:rFonts w:ascii="Arial" w:hAnsi="Arial" w:cs="Arial"/>
          <w:color w:val="4F81BD" w:themeColor="accent1"/>
        </w:rPr>
        <w:t xml:space="preserve"> </w:t>
      </w:r>
      <w:r>
        <w:rPr>
          <w:rFonts w:ascii="Arial" w:hAnsi="Arial" w:cs="Arial"/>
          <w:bCs/>
        </w:rPr>
        <w:t xml:space="preserve">enacted </w:t>
      </w:r>
      <w:r w:rsidR="00ED03F6">
        <w:rPr>
          <w:rFonts w:ascii="Arial" w:hAnsi="Arial" w:cs="Arial"/>
          <w:bCs/>
        </w:rPr>
        <w:t>in</w:t>
      </w:r>
      <w:r>
        <w:rPr>
          <w:rFonts w:ascii="Arial" w:hAnsi="Arial" w:cs="Arial"/>
          <w:bCs/>
        </w:rPr>
        <w:t xml:space="preserve"> June 2021, the Council appropriated an additional $2 million to support the Coalition Against Hate and Bias and other organizations to continue the work of addressing hate and bias throughout King County</w:t>
      </w:r>
      <w:r w:rsidR="0001325D">
        <w:rPr>
          <w:rFonts w:ascii="Arial" w:hAnsi="Arial" w:cs="Arial"/>
          <w:bCs/>
        </w:rPr>
        <w:t xml:space="preserve"> </w:t>
      </w:r>
      <w:r w:rsidR="0001325D" w:rsidRPr="00175612">
        <w:rPr>
          <w:rFonts w:ascii="Arial" w:hAnsi="Arial" w:cs="Arial"/>
          <w:bCs/>
          <w:color w:val="4F81BD" w:themeColor="accent1"/>
        </w:rPr>
        <w:t xml:space="preserve">funded by </w:t>
      </w:r>
      <w:r w:rsidR="00175612">
        <w:rPr>
          <w:rFonts w:ascii="Arial" w:hAnsi="Arial" w:cs="Arial"/>
          <w:bCs/>
          <w:color w:val="4F81BD" w:themeColor="accent1"/>
        </w:rPr>
        <w:t>ARPA</w:t>
      </w:r>
      <w:r w:rsidR="0001325D" w:rsidRPr="00175612">
        <w:rPr>
          <w:rFonts w:ascii="Arial" w:hAnsi="Arial" w:cs="Arial"/>
          <w:bCs/>
          <w:color w:val="4F81BD" w:themeColor="accent1"/>
        </w:rPr>
        <w:t xml:space="preserve"> </w:t>
      </w:r>
      <w:r w:rsidR="00175612">
        <w:rPr>
          <w:rFonts w:ascii="Arial" w:hAnsi="Arial" w:cs="Arial"/>
          <w:bCs/>
          <w:color w:val="4F81BD" w:themeColor="accent1"/>
        </w:rPr>
        <w:t>CLFRF</w:t>
      </w:r>
      <w:r w:rsidRPr="00EE0718">
        <w:rPr>
          <w:rFonts w:ascii="Arial" w:hAnsi="Arial" w:cs="Arial"/>
          <w:szCs w:val="24"/>
        </w:rPr>
        <w:t xml:space="preserve">. </w:t>
      </w:r>
    </w:p>
    <w:p w14:paraId="7018A69D" w14:textId="77777777" w:rsidR="007149C8" w:rsidRPr="00D5160D" w:rsidRDefault="007149C8" w:rsidP="007149C8">
      <w:pPr>
        <w:spacing w:line="264" w:lineRule="auto"/>
        <w:ind w:left="720"/>
        <w:contextualSpacing/>
        <w:jc w:val="both"/>
        <w:rPr>
          <w:rFonts w:ascii="Arial" w:hAnsi="Arial" w:cs="Arial"/>
          <w:i/>
          <w:iCs/>
        </w:rPr>
      </w:pPr>
    </w:p>
    <w:p w14:paraId="7CBCD4C9" w14:textId="77777777" w:rsidR="007149C8" w:rsidRDefault="007149C8" w:rsidP="007149C8">
      <w:pPr>
        <w:spacing w:line="264" w:lineRule="auto"/>
        <w:contextualSpacing/>
        <w:jc w:val="both"/>
        <w:rPr>
          <w:rFonts w:ascii="Arial" w:hAnsi="Arial" w:cs="Arial"/>
        </w:rPr>
      </w:pPr>
      <w:r w:rsidRPr="00D5160D">
        <w:rPr>
          <w:rFonts w:ascii="Arial" w:hAnsi="Arial" w:cs="Arial"/>
          <w:b/>
          <w:i/>
          <w:iCs/>
        </w:rPr>
        <w:t xml:space="preserve">Community Engagement </w:t>
      </w:r>
      <w:r>
        <w:rPr>
          <w:rFonts w:ascii="Arial" w:hAnsi="Arial" w:cs="Arial"/>
          <w:b/>
          <w:i/>
          <w:iCs/>
        </w:rPr>
        <w:t>[</w:t>
      </w:r>
      <w:r w:rsidRPr="00D5160D">
        <w:rPr>
          <w:rFonts w:ascii="Arial" w:hAnsi="Arial" w:cs="Arial"/>
          <w:b/>
          <w:i/>
          <w:iCs/>
        </w:rPr>
        <w:t>$1,000,000, ongoing</w:t>
      </w:r>
      <w:r>
        <w:rPr>
          <w:rFonts w:ascii="Arial" w:hAnsi="Arial" w:cs="Arial"/>
          <w:b/>
          <w:i/>
          <w:iCs/>
        </w:rPr>
        <w:t>]</w:t>
      </w:r>
      <w:r w:rsidRPr="00D5160D">
        <w:rPr>
          <w:rFonts w:ascii="Arial" w:hAnsi="Arial" w:cs="Arial"/>
          <w:b/>
          <w:i/>
          <w:iCs/>
        </w:rPr>
        <w:t>.</w:t>
      </w:r>
      <w:r w:rsidRPr="00CA6E34">
        <w:rPr>
          <w:rFonts w:ascii="Arial" w:hAnsi="Arial" w:cs="Arial"/>
          <w:b/>
        </w:rPr>
        <w:t xml:space="preserve">  </w:t>
      </w:r>
      <w:r w:rsidRPr="00CA6E34">
        <w:rPr>
          <w:rFonts w:ascii="Arial" w:hAnsi="Arial" w:cs="Arial"/>
        </w:rPr>
        <w:t>The proposed ordinance would appropriate $1,000,000 to fund community liaisons and a community co-creation fund.</w:t>
      </w:r>
      <w:r>
        <w:rPr>
          <w:rFonts w:ascii="Arial" w:hAnsi="Arial" w:cs="Arial"/>
        </w:rPr>
        <w:t xml:space="preserve">  This ongoing request that would be funded with a $1,000,000 general fund reserve created in the 2021-2022 biennial budget to invest in intentional and meaningful community engagement to co-create pro-equity solutions with community.</w:t>
      </w:r>
    </w:p>
    <w:p w14:paraId="733C17AE" w14:textId="77777777" w:rsidR="007149C8" w:rsidRDefault="007149C8" w:rsidP="007149C8">
      <w:pPr>
        <w:spacing w:line="264" w:lineRule="auto"/>
        <w:contextualSpacing/>
        <w:jc w:val="both"/>
        <w:rPr>
          <w:rFonts w:ascii="Arial" w:hAnsi="Arial" w:cs="Arial"/>
        </w:rPr>
      </w:pPr>
    </w:p>
    <w:p w14:paraId="6365675E" w14:textId="77777777" w:rsidR="007149C8" w:rsidRDefault="007149C8" w:rsidP="007149C8">
      <w:pPr>
        <w:spacing w:line="264" w:lineRule="auto"/>
        <w:contextualSpacing/>
        <w:jc w:val="both"/>
        <w:rPr>
          <w:rFonts w:ascii="Arial" w:hAnsi="Arial" w:cs="Arial"/>
        </w:rPr>
      </w:pPr>
      <w:r>
        <w:rPr>
          <w:rFonts w:ascii="Arial" w:hAnsi="Arial" w:cs="Arial"/>
        </w:rPr>
        <w:t>Executive staff have provided the following estimated breakdown, noting that flexibility is needed to respond to the evolving learning environment of community co-creation:</w:t>
      </w:r>
    </w:p>
    <w:p w14:paraId="443B7669" w14:textId="77777777" w:rsidR="007149C8" w:rsidRDefault="007149C8" w:rsidP="007149C8">
      <w:pPr>
        <w:pStyle w:val="ListParagraph0"/>
        <w:numPr>
          <w:ilvl w:val="0"/>
          <w:numId w:val="12"/>
        </w:numPr>
        <w:spacing w:line="264" w:lineRule="auto"/>
        <w:contextualSpacing/>
        <w:jc w:val="both"/>
        <w:rPr>
          <w:rFonts w:ascii="Arial" w:hAnsi="Arial" w:cs="Arial"/>
        </w:rPr>
      </w:pPr>
      <w:r>
        <w:rPr>
          <w:rFonts w:ascii="Arial" w:hAnsi="Arial" w:cs="Arial"/>
          <w:b/>
          <w:bCs/>
        </w:rPr>
        <w:t>Community liaisons (</w:t>
      </w:r>
      <w:r w:rsidRPr="00364EC2">
        <w:rPr>
          <w:rFonts w:ascii="Arial" w:hAnsi="Arial" w:cs="Arial"/>
          <w:b/>
          <w:bCs/>
        </w:rPr>
        <w:t>$300,000</w:t>
      </w:r>
      <w:r>
        <w:rPr>
          <w:rFonts w:ascii="Arial" w:hAnsi="Arial" w:cs="Arial"/>
          <w:b/>
          <w:bCs/>
        </w:rPr>
        <w:t>)</w:t>
      </w:r>
      <w:r>
        <w:rPr>
          <w:rFonts w:ascii="Arial" w:hAnsi="Arial" w:cs="Arial"/>
        </w:rPr>
        <w:t xml:space="preserve"> </w:t>
      </w:r>
      <w:r w:rsidRPr="007363CD">
        <w:rPr>
          <w:rFonts w:ascii="Arial" w:hAnsi="Arial" w:cs="Arial"/>
        </w:rPr>
        <w:t xml:space="preserve">– </w:t>
      </w:r>
      <w:r>
        <w:rPr>
          <w:rFonts w:ascii="Arial" w:hAnsi="Arial" w:cs="Arial"/>
        </w:rPr>
        <w:t xml:space="preserve">these funds would support </w:t>
      </w:r>
      <w:r w:rsidRPr="007363CD">
        <w:rPr>
          <w:rFonts w:ascii="Arial" w:hAnsi="Arial" w:cs="Arial"/>
        </w:rPr>
        <w:t xml:space="preserve">individuals or organizations serving as bridges between historically marginalized, limited </w:t>
      </w:r>
      <w:r w:rsidRPr="007363CD">
        <w:rPr>
          <w:rFonts w:ascii="Arial" w:hAnsi="Arial" w:cs="Arial"/>
        </w:rPr>
        <w:lastRenderedPageBreak/>
        <w:t>English proficient, and BIPOC communities and King County government to help build trust and shared understanding of community needs and priorities.</w:t>
      </w:r>
    </w:p>
    <w:p w14:paraId="383A7E40" w14:textId="77777777" w:rsidR="007149C8" w:rsidRDefault="007149C8" w:rsidP="007149C8">
      <w:pPr>
        <w:pStyle w:val="ListParagraph0"/>
        <w:spacing w:line="264" w:lineRule="auto"/>
        <w:jc w:val="both"/>
        <w:rPr>
          <w:rFonts w:ascii="Arial" w:hAnsi="Arial" w:cs="Arial"/>
        </w:rPr>
      </w:pPr>
    </w:p>
    <w:p w14:paraId="370A2A80" w14:textId="77777777" w:rsidR="007149C8" w:rsidRDefault="007149C8" w:rsidP="007149C8">
      <w:pPr>
        <w:pStyle w:val="ListParagraph0"/>
        <w:numPr>
          <w:ilvl w:val="0"/>
          <w:numId w:val="12"/>
        </w:numPr>
        <w:spacing w:line="264" w:lineRule="auto"/>
        <w:contextualSpacing/>
        <w:jc w:val="both"/>
        <w:rPr>
          <w:rFonts w:ascii="Arial" w:hAnsi="Arial" w:cs="Arial"/>
        </w:rPr>
      </w:pPr>
      <w:r w:rsidRPr="002E30AE">
        <w:rPr>
          <w:rFonts w:ascii="Arial" w:hAnsi="Arial" w:cs="Arial"/>
          <w:b/>
          <w:bCs/>
        </w:rPr>
        <w:t>Expansion of community compensation fund ($350,000)</w:t>
      </w:r>
      <w:r>
        <w:rPr>
          <w:rFonts w:ascii="Arial" w:hAnsi="Arial" w:cs="Arial"/>
          <w:b/>
          <w:bCs/>
        </w:rPr>
        <w:t xml:space="preserve"> </w:t>
      </w:r>
      <w:r>
        <w:rPr>
          <w:rFonts w:ascii="Arial" w:hAnsi="Arial" w:cs="Arial"/>
        </w:rPr>
        <w:t xml:space="preserve">– these funds would support individuals serving on advisory bodies and committees throughout King County, providing for greater involvement by community in county planning efforts. These funds would be added to funds provided in the 2021-2022 adopted budget. </w:t>
      </w:r>
      <w:r w:rsidRPr="00B66787">
        <w:rPr>
          <w:rFonts w:ascii="Arial" w:hAnsi="Arial" w:cs="Arial"/>
        </w:rPr>
        <w:t xml:space="preserve">OESJ </w:t>
      </w:r>
      <w:r>
        <w:rPr>
          <w:rFonts w:ascii="Arial" w:hAnsi="Arial" w:cs="Arial"/>
        </w:rPr>
        <w:t xml:space="preserve">intends to contract </w:t>
      </w:r>
      <w:r w:rsidRPr="00B66787">
        <w:rPr>
          <w:rFonts w:ascii="Arial" w:hAnsi="Arial" w:cs="Arial"/>
        </w:rPr>
        <w:t xml:space="preserve">with a consultant </w:t>
      </w:r>
      <w:r>
        <w:rPr>
          <w:rFonts w:ascii="Arial" w:hAnsi="Arial" w:cs="Arial"/>
        </w:rPr>
        <w:t>to</w:t>
      </w:r>
      <w:r w:rsidRPr="00B66787">
        <w:rPr>
          <w:rFonts w:ascii="Arial" w:hAnsi="Arial" w:cs="Arial"/>
        </w:rPr>
        <w:t xml:space="preserve"> assist with developing policy recommendations for standard and consistent processes, policies, and practices for compensating volunteers serving on County boards, advisory committees, ad hoc committees, and task forces.</w:t>
      </w:r>
    </w:p>
    <w:p w14:paraId="1C0D54C2" w14:textId="77777777" w:rsidR="007149C8" w:rsidRDefault="007149C8" w:rsidP="007149C8">
      <w:pPr>
        <w:pStyle w:val="ListParagraph0"/>
        <w:spacing w:line="264" w:lineRule="auto"/>
        <w:jc w:val="both"/>
        <w:rPr>
          <w:rFonts w:ascii="Arial" w:hAnsi="Arial" w:cs="Arial"/>
        </w:rPr>
      </w:pPr>
    </w:p>
    <w:p w14:paraId="46794B4D" w14:textId="77777777" w:rsidR="007149C8" w:rsidRPr="00333D34" w:rsidRDefault="007149C8" w:rsidP="007149C8">
      <w:pPr>
        <w:pStyle w:val="ListParagraph0"/>
        <w:numPr>
          <w:ilvl w:val="0"/>
          <w:numId w:val="12"/>
        </w:numPr>
        <w:spacing w:line="264" w:lineRule="auto"/>
        <w:contextualSpacing/>
        <w:jc w:val="both"/>
        <w:rPr>
          <w:rFonts w:ascii="Arial" w:hAnsi="Arial" w:cs="Arial"/>
          <w:b/>
          <w:bCs/>
        </w:rPr>
      </w:pPr>
      <w:r w:rsidRPr="00055BD3">
        <w:rPr>
          <w:rFonts w:ascii="Arial" w:hAnsi="Arial" w:cs="Arial"/>
          <w:b/>
          <w:bCs/>
        </w:rPr>
        <w:t>Community driven data and research methods and activities; advertising; and software ($300,000</w:t>
      </w:r>
      <w:r w:rsidRPr="004C4855">
        <w:rPr>
          <w:rFonts w:ascii="Arial" w:hAnsi="Arial" w:cs="Arial"/>
          <w:b/>
          <w:bCs/>
        </w:rPr>
        <w:t>)</w:t>
      </w:r>
      <w:r>
        <w:rPr>
          <w:rFonts w:ascii="Arial" w:hAnsi="Arial" w:cs="Arial"/>
          <w:b/>
          <w:bCs/>
        </w:rPr>
        <w:t xml:space="preserve"> </w:t>
      </w:r>
      <w:r w:rsidRPr="004C4855">
        <w:rPr>
          <w:rFonts w:ascii="Arial" w:hAnsi="Arial" w:cs="Arial"/>
        </w:rPr>
        <w:t>– t</w:t>
      </w:r>
      <w:r>
        <w:rPr>
          <w:rFonts w:ascii="Arial" w:hAnsi="Arial" w:cs="Arial"/>
        </w:rPr>
        <w:t>hese</w:t>
      </w:r>
      <w:r w:rsidRPr="004C4855">
        <w:rPr>
          <w:rFonts w:ascii="Arial" w:hAnsi="Arial" w:cs="Arial"/>
        </w:rPr>
        <w:t xml:space="preserve"> funds would support community driven data and research methods led by communities, such as surveys, resource mapping, focus groups. This work would support the gathering of information to help communities define which priorities the community determines most vital for their community to thrive.</w:t>
      </w:r>
    </w:p>
    <w:p w14:paraId="364AA4FC" w14:textId="77777777" w:rsidR="007149C8" w:rsidRPr="00055BD3" w:rsidRDefault="007149C8" w:rsidP="007149C8">
      <w:pPr>
        <w:pStyle w:val="ListParagraph0"/>
        <w:spacing w:line="264" w:lineRule="auto"/>
        <w:jc w:val="both"/>
        <w:rPr>
          <w:rFonts w:ascii="Arial" w:hAnsi="Arial" w:cs="Arial"/>
          <w:b/>
          <w:bCs/>
        </w:rPr>
      </w:pPr>
    </w:p>
    <w:p w14:paraId="68A8337B" w14:textId="77777777" w:rsidR="007149C8" w:rsidRPr="007363CD" w:rsidRDefault="007149C8" w:rsidP="007149C8">
      <w:pPr>
        <w:pStyle w:val="ListParagraph0"/>
        <w:numPr>
          <w:ilvl w:val="0"/>
          <w:numId w:val="12"/>
        </w:numPr>
        <w:spacing w:line="264" w:lineRule="auto"/>
        <w:contextualSpacing/>
        <w:jc w:val="both"/>
        <w:rPr>
          <w:rFonts w:ascii="Arial" w:hAnsi="Arial" w:cs="Arial"/>
        </w:rPr>
      </w:pPr>
      <w:r>
        <w:rPr>
          <w:rFonts w:ascii="Arial" w:hAnsi="Arial" w:cs="Arial"/>
          <w:b/>
          <w:bCs/>
        </w:rPr>
        <w:t>Professional development (</w:t>
      </w:r>
      <w:r w:rsidRPr="00364EC2">
        <w:rPr>
          <w:rFonts w:ascii="Arial" w:hAnsi="Arial" w:cs="Arial"/>
          <w:b/>
          <w:bCs/>
        </w:rPr>
        <w:t>$50,000</w:t>
      </w:r>
      <w:r>
        <w:rPr>
          <w:rFonts w:ascii="Arial" w:hAnsi="Arial" w:cs="Arial"/>
          <w:b/>
          <w:bCs/>
        </w:rPr>
        <w:t>)</w:t>
      </w:r>
      <w:r>
        <w:rPr>
          <w:rFonts w:ascii="Arial" w:hAnsi="Arial" w:cs="Arial"/>
        </w:rPr>
        <w:t xml:space="preserve"> – these funds would support trainings for community engagement staff including trainings on anti-racism and community engagement.</w:t>
      </w:r>
    </w:p>
    <w:p w14:paraId="17CBF105" w14:textId="77777777" w:rsidR="007149C8" w:rsidRDefault="007149C8" w:rsidP="007149C8">
      <w:pPr>
        <w:spacing w:line="264" w:lineRule="auto"/>
        <w:contextualSpacing/>
        <w:jc w:val="both"/>
        <w:rPr>
          <w:rFonts w:ascii="Arial" w:hAnsi="Arial" w:cs="Arial"/>
        </w:rPr>
      </w:pPr>
      <w:r>
        <w:rPr>
          <w:rFonts w:ascii="Arial" w:hAnsi="Arial" w:cs="Arial"/>
        </w:rPr>
        <w:t xml:space="preserve">                                                                                                                 </w:t>
      </w:r>
    </w:p>
    <w:p w14:paraId="05E9FF8C" w14:textId="77777777" w:rsidR="007149C8" w:rsidRPr="00CA6E34" w:rsidRDefault="007149C8" w:rsidP="007149C8">
      <w:pPr>
        <w:spacing w:line="264" w:lineRule="auto"/>
        <w:contextualSpacing/>
        <w:jc w:val="both"/>
        <w:rPr>
          <w:rFonts w:ascii="Arial" w:hAnsi="Arial" w:cs="Arial"/>
        </w:rPr>
      </w:pPr>
      <w:r>
        <w:rPr>
          <w:rFonts w:ascii="Arial" w:hAnsi="Arial" w:cs="Arial"/>
        </w:rPr>
        <w:t>The 2021-2022 biennial budget included $1,590,358 and 3.0 TLT for a pro-equity engagement coordination team and alignment approach, which included a community engagement compensation fund, consulting services to develop guidelines for the community engagement compensation fund, and a community engagement survey.</w:t>
      </w:r>
    </w:p>
    <w:p w14:paraId="7CFD5035" w14:textId="77777777" w:rsidR="007149C8" w:rsidRDefault="007149C8" w:rsidP="007149C8">
      <w:pPr>
        <w:spacing w:line="264" w:lineRule="auto"/>
        <w:contextualSpacing/>
        <w:jc w:val="both"/>
        <w:rPr>
          <w:rFonts w:ascii="Arial" w:hAnsi="Arial" w:cs="Arial"/>
        </w:rPr>
      </w:pPr>
    </w:p>
    <w:p w14:paraId="1CFB03DB" w14:textId="77777777" w:rsidR="007149C8" w:rsidRDefault="007149C8" w:rsidP="007149C8">
      <w:pPr>
        <w:spacing w:line="264" w:lineRule="auto"/>
        <w:contextualSpacing/>
        <w:jc w:val="both"/>
        <w:rPr>
          <w:rFonts w:ascii="Arial" w:hAnsi="Arial" w:cs="Arial"/>
          <w:bCs/>
          <w:iCs/>
        </w:rPr>
      </w:pPr>
      <w:r w:rsidRPr="00D5160D">
        <w:rPr>
          <w:rFonts w:ascii="Arial" w:hAnsi="Arial" w:cs="Arial"/>
          <w:b/>
          <w:i/>
        </w:rPr>
        <w:t>ADA Coordinators</w:t>
      </w:r>
      <w:r>
        <w:rPr>
          <w:rFonts w:ascii="Arial" w:hAnsi="Arial" w:cs="Arial"/>
          <w:b/>
          <w:i/>
        </w:rPr>
        <w:t xml:space="preserve"> [$307,000, 1.0 FTE]</w:t>
      </w:r>
      <w:r w:rsidRPr="00D5160D">
        <w:rPr>
          <w:rFonts w:ascii="Arial" w:hAnsi="Arial" w:cs="Arial"/>
          <w:b/>
          <w:i/>
        </w:rPr>
        <w:t>.</w:t>
      </w:r>
      <w:r>
        <w:rPr>
          <w:rFonts w:ascii="Arial" w:hAnsi="Arial" w:cs="Arial"/>
          <w:b/>
          <w:iCs/>
        </w:rPr>
        <w:t xml:space="preserve">  </w:t>
      </w:r>
      <w:r>
        <w:rPr>
          <w:rFonts w:ascii="Arial" w:hAnsi="Arial" w:cs="Arial"/>
          <w:bCs/>
          <w:iCs/>
        </w:rPr>
        <w:t xml:space="preserve">The proposed ordinance would add funding for 2.0 FTEs and FTE authority for 1.0 FTE to coordinate ADA services.  The positions would coordinate county-wide compliance with Title II of the ADA and Section 504 of the Rehabilitation Act; conduct assessments on public facing programs, services, and facilities; and create transition and improvement plans to ensure equitable and meaningful access for people with disabilities. </w:t>
      </w:r>
    </w:p>
    <w:p w14:paraId="64CFB31C" w14:textId="77777777" w:rsidR="007149C8" w:rsidRDefault="007149C8" w:rsidP="007149C8">
      <w:pPr>
        <w:spacing w:line="264" w:lineRule="auto"/>
        <w:contextualSpacing/>
        <w:jc w:val="both"/>
        <w:rPr>
          <w:rFonts w:ascii="Arial" w:hAnsi="Arial" w:cs="Arial"/>
          <w:bCs/>
          <w:iCs/>
        </w:rPr>
      </w:pPr>
    </w:p>
    <w:p w14:paraId="0F172F1D" w14:textId="77777777" w:rsidR="007149C8" w:rsidRDefault="007149C8" w:rsidP="007149C8">
      <w:pPr>
        <w:spacing w:line="264" w:lineRule="auto"/>
        <w:contextualSpacing/>
        <w:jc w:val="both"/>
        <w:rPr>
          <w:rFonts w:ascii="Arial" w:hAnsi="Arial" w:cs="Arial"/>
          <w:bCs/>
          <w:iCs/>
        </w:rPr>
      </w:pPr>
      <w:r>
        <w:rPr>
          <w:rFonts w:ascii="Arial" w:hAnsi="Arial" w:cs="Arial"/>
          <w:bCs/>
          <w:iCs/>
        </w:rPr>
        <w:t>The Disability Equity Action Plan, which was transmitted by the Executive to Council on June 30, 2021, included a recommendation to fund 2.0 FTE for ADA coordination.  In the 2021-2022 biennial budget, Council provided 1.0 FTE authority but did not provide funding for this position.</w:t>
      </w:r>
      <w:r>
        <w:rPr>
          <w:rStyle w:val="FootnoteReference"/>
          <w:rFonts w:ascii="Arial" w:hAnsi="Arial" w:cs="Arial"/>
          <w:iCs/>
        </w:rPr>
        <w:footnoteReference w:id="14"/>
      </w:r>
      <w:r>
        <w:rPr>
          <w:rFonts w:ascii="Arial" w:hAnsi="Arial" w:cs="Arial"/>
          <w:bCs/>
          <w:iCs/>
        </w:rPr>
        <w:t xml:space="preserve"> </w:t>
      </w:r>
    </w:p>
    <w:p w14:paraId="07771B45" w14:textId="77777777" w:rsidR="007149C8" w:rsidRDefault="007149C8" w:rsidP="007149C8">
      <w:pPr>
        <w:spacing w:line="264" w:lineRule="auto"/>
        <w:contextualSpacing/>
        <w:jc w:val="both"/>
        <w:rPr>
          <w:rFonts w:ascii="Arial" w:hAnsi="Arial" w:cs="Arial"/>
          <w:bCs/>
          <w:iCs/>
        </w:rPr>
      </w:pPr>
    </w:p>
    <w:p w14:paraId="7F5DCE39" w14:textId="77777777" w:rsidR="007149C8" w:rsidRDefault="007149C8" w:rsidP="007149C8">
      <w:pPr>
        <w:spacing w:line="264" w:lineRule="auto"/>
        <w:contextualSpacing/>
        <w:jc w:val="both"/>
        <w:rPr>
          <w:rFonts w:ascii="Arial" w:hAnsi="Arial" w:cs="Arial"/>
          <w:bCs/>
          <w:iCs/>
        </w:rPr>
      </w:pPr>
      <w:r>
        <w:rPr>
          <w:rFonts w:ascii="Arial" w:hAnsi="Arial" w:cs="Arial"/>
          <w:bCs/>
          <w:iCs/>
        </w:rPr>
        <w:lastRenderedPageBreak/>
        <w:t xml:space="preserve">This proposed appropriation would be funded </w:t>
      </w:r>
      <w:r>
        <w:rPr>
          <w:rFonts w:ascii="Arial" w:hAnsi="Arial" w:cs="Arial"/>
        </w:rPr>
        <w:t xml:space="preserve">using </w:t>
      </w:r>
      <w:r w:rsidRPr="00217232">
        <w:rPr>
          <w:rFonts w:ascii="Arial" w:hAnsi="Arial" w:cs="Arial"/>
        </w:rPr>
        <w:t>a General Fund Overhead model</w:t>
      </w:r>
      <w:r>
        <w:rPr>
          <w:rFonts w:ascii="Arial" w:hAnsi="Arial" w:cs="Arial"/>
        </w:rPr>
        <w:t xml:space="preserve">, </w:t>
      </w:r>
      <w:r w:rsidRPr="00217232">
        <w:rPr>
          <w:rFonts w:ascii="Arial" w:hAnsi="Arial" w:cs="Arial"/>
        </w:rPr>
        <w:t>which shares the costs countywide. The General Fund Overhead is comprised of approximately 34</w:t>
      </w:r>
      <w:r>
        <w:rPr>
          <w:rFonts w:ascii="Arial" w:hAnsi="Arial" w:cs="Arial"/>
        </w:rPr>
        <w:t xml:space="preserve"> percent</w:t>
      </w:r>
      <w:r w:rsidRPr="00217232">
        <w:rPr>
          <w:rFonts w:ascii="Arial" w:hAnsi="Arial" w:cs="Arial"/>
        </w:rPr>
        <w:t xml:space="preserve"> General Fund and 6</w:t>
      </w:r>
      <w:r>
        <w:rPr>
          <w:rFonts w:ascii="Arial" w:hAnsi="Arial" w:cs="Arial"/>
        </w:rPr>
        <w:t>6 percent n</w:t>
      </w:r>
      <w:r w:rsidRPr="00217232">
        <w:rPr>
          <w:rFonts w:ascii="Arial" w:hAnsi="Arial" w:cs="Arial"/>
        </w:rPr>
        <w:t>on-General Fund.</w:t>
      </w:r>
      <w:r>
        <w:rPr>
          <w:rFonts w:ascii="Arial" w:hAnsi="Arial" w:cs="Arial"/>
          <w:bCs/>
          <w:iCs/>
        </w:rPr>
        <w:t xml:space="preserve"> </w:t>
      </w:r>
    </w:p>
    <w:p w14:paraId="4CBD6EB2" w14:textId="77777777" w:rsidR="007149C8" w:rsidRDefault="007149C8" w:rsidP="007149C8">
      <w:pPr>
        <w:spacing w:line="264" w:lineRule="auto"/>
        <w:contextualSpacing/>
        <w:jc w:val="both"/>
        <w:rPr>
          <w:rFonts w:ascii="Arial" w:hAnsi="Arial" w:cs="Arial"/>
          <w:bCs/>
          <w:iCs/>
        </w:rPr>
      </w:pPr>
    </w:p>
    <w:p w14:paraId="1A4C8499" w14:textId="77777777" w:rsidR="007149C8" w:rsidRPr="00CA6E34" w:rsidRDefault="007149C8" w:rsidP="007149C8">
      <w:pPr>
        <w:spacing w:line="264" w:lineRule="auto"/>
        <w:contextualSpacing/>
        <w:jc w:val="both"/>
        <w:rPr>
          <w:rFonts w:ascii="Arial" w:hAnsi="Arial" w:cs="Arial"/>
          <w:bCs/>
          <w:iCs/>
        </w:rPr>
      </w:pPr>
      <w:r w:rsidRPr="00D5160D">
        <w:rPr>
          <w:rFonts w:ascii="Arial" w:hAnsi="Arial" w:cs="Arial"/>
          <w:b/>
          <w:i/>
        </w:rPr>
        <w:t xml:space="preserve">Deputy Director for </w:t>
      </w:r>
      <w:r>
        <w:rPr>
          <w:rFonts w:ascii="Arial" w:hAnsi="Arial" w:cs="Arial"/>
          <w:b/>
          <w:i/>
        </w:rPr>
        <w:t>Business Operations</w:t>
      </w:r>
      <w:r w:rsidRPr="00D5160D">
        <w:rPr>
          <w:rFonts w:ascii="Arial" w:hAnsi="Arial" w:cs="Arial"/>
          <w:b/>
          <w:i/>
        </w:rPr>
        <w:t xml:space="preserve"> </w:t>
      </w:r>
      <w:r>
        <w:rPr>
          <w:rFonts w:ascii="Arial" w:hAnsi="Arial" w:cs="Arial"/>
          <w:b/>
          <w:i/>
        </w:rPr>
        <w:t>[</w:t>
      </w:r>
      <w:r w:rsidRPr="00D5160D">
        <w:rPr>
          <w:rFonts w:ascii="Arial" w:hAnsi="Arial" w:cs="Arial"/>
          <w:b/>
          <w:i/>
        </w:rPr>
        <w:t>1.0 FTE</w:t>
      </w:r>
      <w:r>
        <w:rPr>
          <w:rFonts w:ascii="Arial" w:hAnsi="Arial" w:cs="Arial"/>
          <w:b/>
          <w:i/>
        </w:rPr>
        <w:t>]</w:t>
      </w:r>
      <w:r>
        <w:rPr>
          <w:rFonts w:ascii="Arial" w:hAnsi="Arial" w:cs="Arial"/>
          <w:b/>
          <w:iCs/>
        </w:rPr>
        <w:t>.</w:t>
      </w:r>
      <w:r>
        <w:rPr>
          <w:rStyle w:val="FootnoteReference"/>
          <w:rFonts w:ascii="Arial" w:hAnsi="Arial" w:cs="Arial"/>
          <w:iCs/>
        </w:rPr>
        <w:footnoteReference w:id="15"/>
      </w:r>
      <w:r>
        <w:rPr>
          <w:rFonts w:ascii="Arial" w:hAnsi="Arial" w:cs="Arial"/>
          <w:b/>
          <w:iCs/>
        </w:rPr>
        <w:t xml:space="preserve">  </w:t>
      </w:r>
      <w:r>
        <w:rPr>
          <w:rFonts w:ascii="Arial" w:hAnsi="Arial" w:cs="Arial"/>
          <w:bCs/>
          <w:iCs/>
        </w:rPr>
        <w:t>The proposed ordinance would support a 1.0 FTE Deputy Director for Business Operations to provide support for and supervision of OESJ staff; develop and implement systems for improving the operations of OESJ and increase the effectiveness of the Office to serve enterprise and community stakeholders; and provide expertise and leadership for critical strategic initiatives and lead updates to existing policies and initiatives.  According to Executive staff, this requested position is necessary to ensure proper professional running of OESJ and to enhance the County’s ability to become a pro-equity/anti-racist organization and region.</w:t>
      </w:r>
    </w:p>
    <w:p w14:paraId="0487A492" w14:textId="77777777" w:rsidR="007149C8" w:rsidRDefault="007149C8" w:rsidP="007149C8">
      <w:pPr>
        <w:spacing w:line="264" w:lineRule="auto"/>
        <w:contextualSpacing/>
        <w:jc w:val="both"/>
        <w:rPr>
          <w:rFonts w:ascii="Arial" w:hAnsi="Arial" w:cs="Arial"/>
          <w:b/>
          <w:iCs/>
        </w:rPr>
      </w:pPr>
    </w:p>
    <w:p w14:paraId="62C13759" w14:textId="77777777" w:rsidR="007149C8" w:rsidRPr="00CA6E34" w:rsidRDefault="007149C8" w:rsidP="007149C8">
      <w:pPr>
        <w:spacing w:line="264" w:lineRule="auto"/>
        <w:contextualSpacing/>
        <w:jc w:val="both"/>
        <w:rPr>
          <w:rFonts w:ascii="Arial" w:hAnsi="Arial" w:cs="Arial"/>
          <w:bCs/>
          <w:iCs/>
        </w:rPr>
      </w:pPr>
      <w:r w:rsidRPr="00D5160D">
        <w:rPr>
          <w:rFonts w:ascii="Arial" w:hAnsi="Arial" w:cs="Arial"/>
          <w:b/>
          <w:i/>
        </w:rPr>
        <w:t>Restore 2022 Reduction</w:t>
      </w:r>
      <w:r>
        <w:rPr>
          <w:rFonts w:ascii="Arial" w:hAnsi="Arial" w:cs="Arial"/>
          <w:b/>
          <w:i/>
        </w:rPr>
        <w:t xml:space="preserve"> [$18,000]</w:t>
      </w:r>
      <w:r w:rsidRPr="00D5160D">
        <w:rPr>
          <w:rFonts w:ascii="Arial" w:hAnsi="Arial" w:cs="Arial"/>
          <w:b/>
          <w:i/>
        </w:rPr>
        <w:t>.</w:t>
      </w:r>
      <w:r>
        <w:rPr>
          <w:rFonts w:ascii="Arial" w:hAnsi="Arial" w:cs="Arial"/>
          <w:b/>
          <w:iCs/>
        </w:rPr>
        <w:t xml:space="preserve">  </w:t>
      </w:r>
      <w:r>
        <w:rPr>
          <w:rFonts w:ascii="Arial" w:hAnsi="Arial" w:cs="Arial"/>
          <w:bCs/>
          <w:iCs/>
        </w:rPr>
        <w:t xml:space="preserve">The proposed ordinance would restore six unpaid days off for 2022. The appropriation would be funded by the General Fund Overhead model as discussed above.  The 2021-2022 biennial budget, OESJ included three days of unpaid leave in 2022 for all staff excluding administrative support staff, and an additional three days of unpaid leave in 2022 for the Chief Equity Officer. </w:t>
      </w:r>
    </w:p>
    <w:p w14:paraId="29754805" w14:textId="3489894F" w:rsidR="007149C8" w:rsidRDefault="007149C8" w:rsidP="007149C8"/>
    <w:p w14:paraId="1B655E50" w14:textId="77777777" w:rsidR="00116596" w:rsidRDefault="00116596" w:rsidP="007149C8"/>
    <w:p w14:paraId="7FF1D3AF" w14:textId="77777777" w:rsidR="00116596" w:rsidRPr="000E7446" w:rsidRDefault="00116596" w:rsidP="00116596">
      <w:pPr>
        <w:tabs>
          <w:tab w:val="left" w:pos="720"/>
          <w:tab w:val="right" w:pos="9360"/>
        </w:tabs>
        <w:spacing w:line="264" w:lineRule="auto"/>
        <w:contextualSpacing/>
        <w:jc w:val="both"/>
        <w:rPr>
          <w:rFonts w:ascii="Arial" w:hAnsi="Arial" w:cs="Arial"/>
          <w:b/>
          <w:u w:val="single"/>
        </w:rPr>
      </w:pPr>
      <w:r>
        <w:rPr>
          <w:rFonts w:ascii="Arial" w:hAnsi="Arial" w:cs="Arial"/>
          <w:b/>
          <w:u w:val="single"/>
        </w:rPr>
        <w:t>Sheriff</w:t>
      </w:r>
      <w:r w:rsidRPr="000E7446">
        <w:rPr>
          <w:rFonts w:ascii="Arial" w:hAnsi="Arial" w:cs="Arial"/>
          <w:b/>
          <w:u w:val="single"/>
        </w:rPr>
        <w:tab/>
      </w:r>
      <w:r w:rsidRPr="006A456C">
        <w:rPr>
          <w:rFonts w:ascii="Arial" w:hAnsi="Arial" w:cs="Arial"/>
          <w:b/>
          <w:u w:val="single"/>
        </w:rPr>
        <w:t>$3,102,000</w:t>
      </w:r>
      <w:r>
        <w:rPr>
          <w:rFonts w:ascii="Arial" w:hAnsi="Arial" w:cs="Arial"/>
          <w:b/>
          <w:u w:val="single"/>
        </w:rPr>
        <w:t>, 9.0 FTEs</w:t>
      </w:r>
    </w:p>
    <w:p w14:paraId="7B52D010" w14:textId="77777777" w:rsidR="00116596" w:rsidRDefault="00116596" w:rsidP="00116596">
      <w:pPr>
        <w:spacing w:line="264" w:lineRule="auto"/>
        <w:contextualSpacing/>
        <w:jc w:val="both"/>
        <w:rPr>
          <w:b/>
        </w:rPr>
      </w:pPr>
    </w:p>
    <w:p w14:paraId="61FCB693" w14:textId="77777777" w:rsidR="00116596" w:rsidRDefault="00116596" w:rsidP="00116596">
      <w:pPr>
        <w:spacing w:line="264" w:lineRule="auto"/>
        <w:contextualSpacing/>
        <w:jc w:val="both"/>
        <w:rPr>
          <w:rFonts w:ascii="Arial" w:hAnsi="Arial" w:cs="Arial"/>
        </w:rPr>
      </w:pPr>
      <w:r>
        <w:rPr>
          <w:rFonts w:ascii="Arial" w:hAnsi="Arial" w:cs="Arial"/>
          <w:b/>
          <w:i/>
          <w:iCs/>
        </w:rPr>
        <w:t xml:space="preserve">Equity, Inclusion and Belonging Manager </w:t>
      </w:r>
      <w:r w:rsidRPr="0054665B">
        <w:rPr>
          <w:rFonts w:ascii="Arial" w:hAnsi="Arial" w:cs="Arial"/>
          <w:b/>
          <w:i/>
          <w:iCs/>
        </w:rPr>
        <w:t>[</w:t>
      </w:r>
      <w:r>
        <w:rPr>
          <w:rFonts w:ascii="Arial" w:hAnsi="Arial" w:cs="Arial"/>
          <w:b/>
          <w:i/>
          <w:iCs/>
        </w:rPr>
        <w:t>$191,000, 1.0 FTE, ongoing]</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appropriate $191,000 and 1.0 FTE to add an Equity, Inclusion and Belonging Manager (EIB Manager) to the Sheriff's Office (KCSO).  According to KCSO, the EIB Manager will develop programs and initiatives focused on racial equity in the workforce and toward the goal of fair, unbiased, and responsible policing.  The</w:t>
      </w:r>
      <w:r w:rsidRPr="00481559">
        <w:rPr>
          <w:rFonts w:ascii="Arial" w:eastAsiaTheme="minorHAnsi" w:hAnsi="Arial" w:cs="Arial"/>
          <w:i/>
          <w:iCs/>
          <w:sz w:val="22"/>
          <w:szCs w:val="22"/>
        </w:rPr>
        <w:t xml:space="preserve"> </w:t>
      </w:r>
      <w:r w:rsidRPr="007D4230">
        <w:rPr>
          <w:rFonts w:ascii="Arial" w:hAnsi="Arial" w:cs="Arial"/>
        </w:rPr>
        <w:t>EIB Manager</w:t>
      </w:r>
      <w:r>
        <w:rPr>
          <w:rFonts w:ascii="Arial" w:hAnsi="Arial" w:cs="Arial"/>
        </w:rPr>
        <w:t xml:space="preserve"> will</w:t>
      </w:r>
      <w:r w:rsidRPr="007D4230">
        <w:rPr>
          <w:rFonts w:ascii="Arial" w:hAnsi="Arial" w:cs="Arial"/>
        </w:rPr>
        <w:t xml:space="preserve"> work with </w:t>
      </w:r>
      <w:r>
        <w:rPr>
          <w:rFonts w:ascii="Arial" w:hAnsi="Arial" w:cs="Arial"/>
        </w:rPr>
        <w:t>KCSO</w:t>
      </w:r>
      <w:r w:rsidRPr="007D4230">
        <w:rPr>
          <w:rFonts w:ascii="Arial" w:hAnsi="Arial" w:cs="Arial"/>
        </w:rPr>
        <w:t xml:space="preserve"> leadership and the Office of Equity and Social Justice (OESJ) </w:t>
      </w:r>
      <w:r>
        <w:rPr>
          <w:rFonts w:ascii="Arial" w:hAnsi="Arial" w:cs="Arial"/>
        </w:rPr>
        <w:t xml:space="preserve">and will simultaneously </w:t>
      </w:r>
      <w:r w:rsidRPr="00481559">
        <w:rPr>
          <w:rFonts w:ascii="Arial" w:hAnsi="Arial" w:cs="Arial"/>
        </w:rPr>
        <w:t xml:space="preserve">report </w:t>
      </w:r>
      <w:r>
        <w:rPr>
          <w:rFonts w:ascii="Arial" w:hAnsi="Arial" w:cs="Arial"/>
        </w:rPr>
        <w:t>to the Sheriff</w:t>
      </w:r>
      <w:r w:rsidRPr="00481559">
        <w:rPr>
          <w:rFonts w:ascii="Arial" w:hAnsi="Arial" w:cs="Arial"/>
        </w:rPr>
        <w:t xml:space="preserve"> and the </w:t>
      </w:r>
      <w:r>
        <w:rPr>
          <w:rFonts w:ascii="Arial" w:hAnsi="Arial" w:cs="Arial"/>
        </w:rPr>
        <w:t xml:space="preserve">county’s </w:t>
      </w:r>
      <w:r w:rsidRPr="00481559">
        <w:rPr>
          <w:rFonts w:ascii="Arial" w:hAnsi="Arial" w:cs="Arial"/>
        </w:rPr>
        <w:t xml:space="preserve">Chief Equity and Inclusion Officer. </w:t>
      </w:r>
      <w:r>
        <w:rPr>
          <w:rFonts w:ascii="Arial" w:hAnsi="Arial" w:cs="Arial"/>
        </w:rPr>
        <w:t xml:space="preserve"> The Executive noted further that the 2021-2022 biennial budget</w:t>
      </w:r>
      <w:r>
        <w:rPr>
          <w:rStyle w:val="FootnoteReference"/>
          <w:rFonts w:ascii="Arial" w:hAnsi="Arial" w:cs="Arial"/>
        </w:rPr>
        <w:footnoteReference w:id="16"/>
      </w:r>
      <w:r>
        <w:rPr>
          <w:rFonts w:ascii="Arial" w:hAnsi="Arial" w:cs="Arial"/>
        </w:rPr>
        <w:t xml:space="preserve"> provided EIB Manager positions to many large County departments. The EIB Managers were added to </w:t>
      </w:r>
      <w:r w:rsidRPr="007D2778">
        <w:rPr>
          <w:rFonts w:ascii="Arial" w:hAnsi="Arial" w:cs="Arial"/>
        </w:rPr>
        <w:t xml:space="preserve">oversee, develop, and implement </w:t>
      </w:r>
      <w:r>
        <w:rPr>
          <w:rFonts w:ascii="Arial" w:hAnsi="Arial" w:cs="Arial"/>
        </w:rPr>
        <w:t xml:space="preserve">the County's </w:t>
      </w:r>
      <w:r w:rsidRPr="007D2778">
        <w:rPr>
          <w:rFonts w:ascii="Arial" w:hAnsi="Arial" w:cs="Arial"/>
        </w:rPr>
        <w:t xml:space="preserve">Equity and Social Justice (ESJ) efforts </w:t>
      </w:r>
      <w:r>
        <w:rPr>
          <w:rFonts w:ascii="Arial" w:hAnsi="Arial" w:cs="Arial"/>
        </w:rPr>
        <w:t>and</w:t>
      </w:r>
      <w:r w:rsidRPr="007D2778">
        <w:rPr>
          <w:rFonts w:ascii="Arial" w:hAnsi="Arial" w:cs="Arial"/>
        </w:rPr>
        <w:t xml:space="preserve"> drive organizational change.</w:t>
      </w:r>
      <w:r>
        <w:rPr>
          <w:rFonts w:ascii="Arial" w:hAnsi="Arial" w:cs="Arial"/>
        </w:rPr>
        <w:t xml:space="preserve"> </w:t>
      </w:r>
    </w:p>
    <w:p w14:paraId="36F51A24" w14:textId="77777777" w:rsidR="00116596" w:rsidRDefault="00116596" w:rsidP="00116596">
      <w:pPr>
        <w:spacing w:line="264" w:lineRule="auto"/>
        <w:contextualSpacing/>
        <w:jc w:val="both"/>
        <w:rPr>
          <w:rFonts w:ascii="Arial" w:hAnsi="Arial" w:cs="Arial"/>
        </w:rPr>
      </w:pPr>
    </w:p>
    <w:p w14:paraId="73F8B0C4" w14:textId="77777777" w:rsidR="00116596" w:rsidRDefault="00116596" w:rsidP="00116596">
      <w:pPr>
        <w:spacing w:line="264" w:lineRule="auto"/>
        <w:contextualSpacing/>
        <w:jc w:val="both"/>
        <w:rPr>
          <w:rFonts w:ascii="Arial" w:hAnsi="Arial" w:cs="Arial"/>
          <w:bCs/>
        </w:rPr>
      </w:pPr>
      <w:bookmarkStart w:id="0" w:name="_Hlk84505212"/>
      <w:r>
        <w:rPr>
          <w:rFonts w:ascii="Arial" w:hAnsi="Arial" w:cs="Arial"/>
          <w:b/>
          <w:i/>
          <w:iCs/>
        </w:rPr>
        <w:t>Policy Writer</w:t>
      </w:r>
      <w:r w:rsidRPr="00116DC8">
        <w:rPr>
          <w:rFonts w:ascii="Arial" w:hAnsi="Arial" w:cs="Arial"/>
          <w:b/>
          <w:i/>
          <w:iCs/>
        </w:rPr>
        <w:t xml:space="preserve"> [$</w:t>
      </w:r>
      <w:r>
        <w:rPr>
          <w:rFonts w:ascii="Arial" w:hAnsi="Arial" w:cs="Arial"/>
          <w:b/>
          <w:i/>
          <w:iCs/>
        </w:rPr>
        <w:t>187,000 ($105,000 revenue backed),</w:t>
      </w:r>
      <w:r w:rsidRPr="00116DC8">
        <w:rPr>
          <w:rFonts w:ascii="Arial" w:hAnsi="Arial" w:cs="Arial"/>
          <w:b/>
          <w:i/>
          <w:iCs/>
        </w:rPr>
        <w:t xml:space="preserve"> 1.0 FTE, ongoing].</w:t>
      </w:r>
      <w:r>
        <w:rPr>
          <w:rFonts w:ascii="Arial" w:hAnsi="Arial" w:cs="Arial"/>
          <w:b/>
          <w:i/>
          <w:iCs/>
        </w:rPr>
        <w:t xml:space="preserve"> </w:t>
      </w:r>
      <w:bookmarkEnd w:id="0"/>
      <w:r>
        <w:rPr>
          <w:rFonts w:ascii="Arial" w:hAnsi="Arial" w:cs="Arial"/>
          <w:bCs/>
        </w:rPr>
        <w:t>The proposed ordinance would appropriate $187,000 and 1.0 FTE to restore a full-time Policy Writer position that was eliminated in the 2017-2018 biennial budget.</w:t>
      </w:r>
      <w:r>
        <w:rPr>
          <w:rStyle w:val="FootnoteReference"/>
          <w:rFonts w:ascii="Arial" w:hAnsi="Arial" w:cs="Arial"/>
          <w:bCs/>
        </w:rPr>
        <w:footnoteReference w:id="17"/>
      </w:r>
      <w:r>
        <w:rPr>
          <w:rFonts w:ascii="Arial" w:hAnsi="Arial" w:cs="Arial"/>
          <w:bCs/>
        </w:rPr>
        <w:t xml:space="preserve">  According to the KCSO, since the elimination of that position, policy writing has been assigned to a member of KCSO's leadership team who may or may not have sufficient </w:t>
      </w:r>
      <w:r>
        <w:rPr>
          <w:rFonts w:ascii="Arial" w:hAnsi="Arial" w:cs="Arial"/>
          <w:bCs/>
        </w:rPr>
        <w:lastRenderedPageBreak/>
        <w:t xml:space="preserve">capacity to effectively manage the sometimes-substantial body of work.  Effective and timely policy writing is particularly important in law enforcement, as the written policy must be completed and approved before officers can be trained and updated procedures can be implemented.  KCSO anticipates an increase in policy writing needs in response to greater community involvement in law enforcement practices, anticipated changes in laws at the federal, state, and local level and the possible deployment of body and dash cameras, to name a few.  Additionally, the KCSO General Orders Manual is 900 pages long and many sections have not been updated in years; work which KCSO believes should be done by a dedicated full-time professional. </w:t>
      </w:r>
    </w:p>
    <w:p w14:paraId="26A2394E" w14:textId="77777777" w:rsidR="00116596" w:rsidRDefault="00116596" w:rsidP="00116596">
      <w:pPr>
        <w:spacing w:line="264" w:lineRule="auto"/>
        <w:contextualSpacing/>
        <w:jc w:val="both"/>
        <w:rPr>
          <w:rFonts w:ascii="Arial" w:hAnsi="Arial" w:cs="Arial"/>
          <w:bCs/>
        </w:rPr>
      </w:pPr>
    </w:p>
    <w:p w14:paraId="387D209B" w14:textId="77777777" w:rsidR="00116596" w:rsidRPr="00680A39" w:rsidRDefault="00116596" w:rsidP="00116596">
      <w:pPr>
        <w:spacing w:line="264" w:lineRule="auto"/>
        <w:contextualSpacing/>
        <w:jc w:val="both"/>
        <w:rPr>
          <w:rFonts w:ascii="Arial" w:hAnsi="Arial" w:cs="Arial"/>
        </w:rPr>
      </w:pPr>
      <w:r>
        <w:rPr>
          <w:rFonts w:ascii="Arial" w:hAnsi="Arial" w:cs="Arial"/>
          <w:b/>
          <w:bCs/>
          <w:i/>
          <w:iCs/>
        </w:rPr>
        <w:t xml:space="preserve">Professional Standards Manager </w:t>
      </w:r>
      <w:r w:rsidRPr="0041219C">
        <w:rPr>
          <w:rFonts w:ascii="Arial" w:hAnsi="Arial" w:cs="Arial"/>
          <w:b/>
          <w:bCs/>
          <w:i/>
          <w:iCs/>
        </w:rPr>
        <w:t>[$</w:t>
      </w:r>
      <w:r>
        <w:rPr>
          <w:rFonts w:ascii="Arial" w:hAnsi="Arial" w:cs="Arial"/>
          <w:b/>
          <w:bCs/>
          <w:i/>
          <w:iCs/>
        </w:rPr>
        <w:t>203,000,</w:t>
      </w:r>
      <w:r w:rsidRPr="0041219C">
        <w:rPr>
          <w:rFonts w:ascii="Arial" w:hAnsi="Arial" w:cs="Arial"/>
          <w:b/>
          <w:bCs/>
          <w:i/>
          <w:iCs/>
        </w:rPr>
        <w:t xml:space="preserve"> 1.0 FTE, ongoing].</w:t>
      </w:r>
      <w:r>
        <w:rPr>
          <w:rFonts w:ascii="Arial" w:hAnsi="Arial" w:cs="Arial"/>
          <w:b/>
          <w:bCs/>
          <w:i/>
          <w:iCs/>
        </w:rPr>
        <w:t xml:space="preserve">  </w:t>
      </w:r>
      <w:r>
        <w:rPr>
          <w:rFonts w:ascii="Arial" w:hAnsi="Arial" w:cs="Arial"/>
        </w:rPr>
        <w:t xml:space="preserve">The proposed ordinance would appropriate $203,000 and 1.0 FTE to add a Professional Standards Manager to ensure accountability and compliance work is performed consistent with all laws, policies, best practices.  According to KCSO, the </w:t>
      </w:r>
      <w:r w:rsidRPr="00B118B7">
        <w:rPr>
          <w:rFonts w:ascii="Arial" w:hAnsi="Arial" w:cs="Arial"/>
        </w:rPr>
        <w:t>civilian</w:t>
      </w:r>
      <w:r>
        <w:rPr>
          <w:rFonts w:ascii="Arial" w:hAnsi="Arial" w:cs="Arial"/>
        </w:rPr>
        <w:t xml:space="preserve"> position</w:t>
      </w:r>
      <w:r w:rsidRPr="00B118B7">
        <w:rPr>
          <w:rFonts w:ascii="Arial" w:hAnsi="Arial" w:cs="Arial"/>
        </w:rPr>
        <w:t xml:space="preserve"> would oversee </w:t>
      </w:r>
      <w:r>
        <w:rPr>
          <w:rFonts w:ascii="Arial" w:hAnsi="Arial" w:cs="Arial"/>
        </w:rPr>
        <w:t>the</w:t>
      </w:r>
      <w:r w:rsidRPr="00B118B7">
        <w:rPr>
          <w:rFonts w:ascii="Arial" w:hAnsi="Arial" w:cs="Arial"/>
        </w:rPr>
        <w:t xml:space="preserve"> Internal Investigations Unit, would ensure best practices, and work directly with O</w:t>
      </w:r>
      <w:r>
        <w:rPr>
          <w:rFonts w:ascii="Arial" w:hAnsi="Arial" w:cs="Arial"/>
        </w:rPr>
        <w:t xml:space="preserve">ffice of </w:t>
      </w:r>
      <w:r w:rsidRPr="00B118B7">
        <w:rPr>
          <w:rFonts w:ascii="Arial" w:hAnsi="Arial" w:cs="Arial"/>
        </w:rPr>
        <w:t>L</w:t>
      </w:r>
      <w:r>
        <w:rPr>
          <w:rFonts w:ascii="Arial" w:hAnsi="Arial" w:cs="Arial"/>
        </w:rPr>
        <w:t xml:space="preserve">aw </w:t>
      </w:r>
      <w:r w:rsidRPr="00B118B7">
        <w:rPr>
          <w:rFonts w:ascii="Arial" w:hAnsi="Arial" w:cs="Arial"/>
        </w:rPr>
        <w:t>E</w:t>
      </w:r>
      <w:r>
        <w:rPr>
          <w:rFonts w:ascii="Arial" w:hAnsi="Arial" w:cs="Arial"/>
        </w:rPr>
        <w:t xml:space="preserve">nforcement </w:t>
      </w:r>
      <w:r w:rsidRPr="00B118B7">
        <w:rPr>
          <w:rFonts w:ascii="Arial" w:hAnsi="Arial" w:cs="Arial"/>
        </w:rPr>
        <w:t>O</w:t>
      </w:r>
      <w:r>
        <w:rPr>
          <w:rFonts w:ascii="Arial" w:hAnsi="Arial" w:cs="Arial"/>
        </w:rPr>
        <w:t>versight</w:t>
      </w:r>
      <w:r w:rsidRPr="00B118B7">
        <w:rPr>
          <w:rFonts w:ascii="Arial" w:hAnsi="Arial" w:cs="Arial"/>
        </w:rPr>
        <w:t xml:space="preserve"> on their policy and training recommendations. </w:t>
      </w:r>
      <w:r>
        <w:rPr>
          <w:rFonts w:ascii="Arial" w:hAnsi="Arial" w:cs="Arial"/>
        </w:rPr>
        <w:t xml:space="preserve"> The position would also serve</w:t>
      </w:r>
      <w:r w:rsidRPr="00B118B7">
        <w:rPr>
          <w:rFonts w:ascii="Arial" w:hAnsi="Arial" w:cs="Arial"/>
        </w:rPr>
        <w:t xml:space="preserve"> </w:t>
      </w:r>
      <w:r>
        <w:rPr>
          <w:rFonts w:ascii="Arial" w:hAnsi="Arial" w:cs="Arial"/>
        </w:rPr>
        <w:t>as</w:t>
      </w:r>
      <w:r w:rsidRPr="00B118B7">
        <w:rPr>
          <w:rFonts w:ascii="Arial" w:hAnsi="Arial" w:cs="Arial"/>
        </w:rPr>
        <w:t xml:space="preserve"> the point person for ensuring lessons learned from incidents are followed up and</w:t>
      </w:r>
      <w:r>
        <w:rPr>
          <w:rFonts w:ascii="Arial" w:hAnsi="Arial" w:cs="Arial"/>
        </w:rPr>
        <w:t xml:space="preserve"> </w:t>
      </w:r>
      <w:r w:rsidRPr="00B118B7">
        <w:rPr>
          <w:rFonts w:ascii="Arial" w:hAnsi="Arial" w:cs="Arial"/>
        </w:rPr>
        <w:t>action</w:t>
      </w:r>
      <w:r>
        <w:rPr>
          <w:rFonts w:ascii="Arial" w:hAnsi="Arial" w:cs="Arial"/>
        </w:rPr>
        <w:t>s are</w:t>
      </w:r>
      <w:r w:rsidRPr="00B118B7">
        <w:rPr>
          <w:rFonts w:ascii="Arial" w:hAnsi="Arial" w:cs="Arial"/>
        </w:rPr>
        <w:t xml:space="preserve"> taking to improve training and/or policy</w:t>
      </w:r>
      <w:r>
        <w:rPr>
          <w:rFonts w:ascii="Arial" w:hAnsi="Arial" w:cs="Arial"/>
        </w:rPr>
        <w:t xml:space="preserve">. </w:t>
      </w:r>
    </w:p>
    <w:p w14:paraId="3358A7C9" w14:textId="77777777" w:rsidR="00116596" w:rsidRDefault="00116596" w:rsidP="00116596">
      <w:pPr>
        <w:spacing w:line="264" w:lineRule="auto"/>
        <w:contextualSpacing/>
        <w:jc w:val="both"/>
        <w:rPr>
          <w:rFonts w:ascii="Arial" w:hAnsi="Arial" w:cs="Arial"/>
          <w:b/>
          <w:bCs/>
          <w:i/>
          <w:iCs/>
        </w:rPr>
      </w:pPr>
    </w:p>
    <w:p w14:paraId="6B299CD0" w14:textId="77777777" w:rsidR="00116596" w:rsidRPr="009E66F2" w:rsidRDefault="00116596" w:rsidP="00116596">
      <w:pPr>
        <w:spacing w:line="264" w:lineRule="auto"/>
        <w:contextualSpacing/>
        <w:jc w:val="both"/>
        <w:rPr>
          <w:rFonts w:ascii="Arial" w:hAnsi="Arial" w:cs="Arial"/>
          <w:b/>
          <w:bCs/>
          <w:i/>
          <w:iCs/>
        </w:rPr>
      </w:pPr>
      <w:r>
        <w:rPr>
          <w:rFonts w:ascii="Arial" w:hAnsi="Arial" w:cs="Arial"/>
          <w:b/>
          <w:bCs/>
          <w:i/>
          <w:iCs/>
        </w:rPr>
        <w:t xml:space="preserve">Sound Transit Contract Additions [$1,044,000 ($1,239,000 revenue backed), 3.0 FTEs, ongoing].  </w:t>
      </w:r>
      <w:r>
        <w:rPr>
          <w:rFonts w:ascii="Arial" w:hAnsi="Arial" w:cs="Arial"/>
        </w:rPr>
        <w:t xml:space="preserve">The proposed ordinance would appropriate $1,044,000 ($1,239,000 revenue backed) and 3.0 FTEs to add three deputy positions to the Sound Transit contract as requested by Sound Transit. </w:t>
      </w:r>
    </w:p>
    <w:p w14:paraId="3671CCC0" w14:textId="77777777" w:rsidR="00116596" w:rsidRDefault="00116596" w:rsidP="00116596">
      <w:pPr>
        <w:spacing w:line="264" w:lineRule="auto"/>
        <w:contextualSpacing/>
        <w:jc w:val="both"/>
        <w:rPr>
          <w:rFonts w:ascii="Arial" w:hAnsi="Arial" w:cs="Arial"/>
          <w:b/>
          <w:bCs/>
          <w:i/>
          <w:iCs/>
        </w:rPr>
      </w:pPr>
    </w:p>
    <w:p w14:paraId="46C8BEE3" w14:textId="77777777" w:rsidR="00116596" w:rsidRDefault="00116596" w:rsidP="00116596">
      <w:pPr>
        <w:spacing w:line="264" w:lineRule="auto"/>
        <w:contextualSpacing/>
        <w:jc w:val="both"/>
        <w:rPr>
          <w:rFonts w:ascii="Arial" w:hAnsi="Arial" w:cs="Arial"/>
        </w:rPr>
      </w:pPr>
      <w:bookmarkStart w:id="1" w:name="_Hlk84596375"/>
      <w:r>
        <w:rPr>
          <w:rFonts w:ascii="Arial" w:hAnsi="Arial" w:cs="Arial"/>
          <w:b/>
          <w:bCs/>
          <w:i/>
          <w:iCs/>
        </w:rPr>
        <w:t>Program and Project Manager</w:t>
      </w:r>
      <w:r w:rsidRPr="00523999">
        <w:rPr>
          <w:rFonts w:ascii="Arial" w:hAnsi="Arial" w:cs="Arial"/>
          <w:b/>
          <w:bCs/>
          <w:i/>
          <w:iCs/>
        </w:rPr>
        <w:t xml:space="preserve"> [$</w:t>
      </w:r>
      <w:r>
        <w:rPr>
          <w:rFonts w:ascii="Arial" w:hAnsi="Arial" w:cs="Arial"/>
          <w:b/>
          <w:bCs/>
          <w:i/>
          <w:iCs/>
        </w:rPr>
        <w:t>163</w:t>
      </w:r>
      <w:bookmarkEnd w:id="1"/>
      <w:r>
        <w:rPr>
          <w:rFonts w:ascii="Arial" w:hAnsi="Arial" w:cs="Arial"/>
          <w:b/>
          <w:bCs/>
          <w:i/>
          <w:iCs/>
        </w:rPr>
        <w:t>,000,</w:t>
      </w:r>
      <w:r w:rsidRPr="00523999">
        <w:rPr>
          <w:rFonts w:ascii="Arial" w:hAnsi="Arial" w:cs="Arial"/>
          <w:b/>
          <w:bCs/>
          <w:i/>
          <w:iCs/>
        </w:rPr>
        <w:t xml:space="preserve"> 1.0 FTE, ongoing]</w:t>
      </w:r>
      <w:r>
        <w:rPr>
          <w:rFonts w:ascii="Arial" w:hAnsi="Arial" w:cs="Arial"/>
          <w:b/>
          <w:bCs/>
          <w:i/>
          <w:iCs/>
        </w:rPr>
        <w:t xml:space="preserve">.  </w:t>
      </w:r>
      <w:r>
        <w:rPr>
          <w:rFonts w:ascii="Arial" w:hAnsi="Arial" w:cs="Arial"/>
        </w:rPr>
        <w:t xml:space="preserve">The proposed ordinance would appropriate $163,000 and 1.0 FTE to add a Program and Project Manager to KCSO's Legal Advisor's Office.  According to KCSO, the legal unit does not have sufficient staff to respond to subpoenas and other request required by law, such as civil discovery demands.  While the legal unit does have one Project and Program Manager currently on staff, requests for information have increased in frequency as well as grown in complexity and </w:t>
      </w:r>
      <w:proofErr w:type="gramStart"/>
      <w:r>
        <w:rPr>
          <w:rFonts w:ascii="Arial" w:hAnsi="Arial" w:cs="Arial"/>
        </w:rPr>
        <w:t>scope;</w:t>
      </w:r>
      <w:proofErr w:type="gramEnd"/>
      <w:r>
        <w:rPr>
          <w:rFonts w:ascii="Arial" w:hAnsi="Arial" w:cs="Arial"/>
        </w:rPr>
        <w:t xml:space="preserve"> extending compliance times out months in some cases.  Additionally, the position would assist the Civil Litigation Unit of the Prosecuting Attorney's Office, in gathering records and data for defense against lawsuits involving KCSO.</w:t>
      </w:r>
    </w:p>
    <w:p w14:paraId="1E4FDBD7" w14:textId="77777777" w:rsidR="00116596" w:rsidRDefault="00116596" w:rsidP="00116596">
      <w:pPr>
        <w:spacing w:line="264" w:lineRule="auto"/>
        <w:contextualSpacing/>
        <w:jc w:val="both"/>
        <w:rPr>
          <w:rFonts w:ascii="Arial" w:hAnsi="Arial" w:cs="Arial"/>
        </w:rPr>
      </w:pPr>
    </w:p>
    <w:p w14:paraId="78B1849E" w14:textId="77777777" w:rsidR="00116596" w:rsidRPr="00DC09D1" w:rsidRDefault="00116596" w:rsidP="00116596">
      <w:pPr>
        <w:spacing w:line="264" w:lineRule="auto"/>
        <w:contextualSpacing/>
        <w:jc w:val="both"/>
        <w:rPr>
          <w:rFonts w:ascii="Arial" w:hAnsi="Arial" w:cs="Arial"/>
        </w:rPr>
      </w:pPr>
      <w:r w:rsidRPr="0065401E">
        <w:rPr>
          <w:rFonts w:ascii="Arial" w:hAnsi="Arial" w:cs="Arial"/>
          <w:b/>
          <w:bCs/>
          <w:i/>
          <w:iCs/>
        </w:rPr>
        <w:t xml:space="preserve">Body Worn &amp; Dash Camera Project Manager </w:t>
      </w:r>
      <w:r>
        <w:rPr>
          <w:rFonts w:ascii="Arial" w:hAnsi="Arial" w:cs="Arial"/>
          <w:b/>
          <w:bCs/>
          <w:i/>
          <w:iCs/>
        </w:rPr>
        <w:t>[</w:t>
      </w:r>
      <w:r w:rsidRPr="00523999">
        <w:rPr>
          <w:rFonts w:ascii="Arial" w:hAnsi="Arial" w:cs="Arial"/>
          <w:b/>
          <w:bCs/>
          <w:i/>
          <w:iCs/>
        </w:rPr>
        <w:t>$</w:t>
      </w:r>
      <w:r>
        <w:rPr>
          <w:rFonts w:ascii="Arial" w:hAnsi="Arial" w:cs="Arial"/>
          <w:b/>
          <w:bCs/>
          <w:i/>
          <w:iCs/>
        </w:rPr>
        <w:t>184,000,</w:t>
      </w:r>
      <w:r w:rsidRPr="00523999">
        <w:rPr>
          <w:rFonts w:ascii="Arial" w:hAnsi="Arial" w:cs="Arial"/>
          <w:b/>
          <w:bCs/>
          <w:i/>
          <w:iCs/>
        </w:rPr>
        <w:t xml:space="preserve"> 1.0 </w:t>
      </w:r>
      <w:r>
        <w:rPr>
          <w:rFonts w:ascii="Arial" w:hAnsi="Arial" w:cs="Arial"/>
          <w:b/>
          <w:bCs/>
          <w:i/>
          <w:iCs/>
        </w:rPr>
        <w:t>TLT</w:t>
      </w:r>
      <w:r w:rsidRPr="00523999">
        <w:rPr>
          <w:rFonts w:ascii="Arial" w:hAnsi="Arial" w:cs="Arial"/>
          <w:b/>
          <w:bCs/>
          <w:i/>
          <w:iCs/>
        </w:rPr>
        <w:t>]</w:t>
      </w:r>
      <w:r>
        <w:rPr>
          <w:rFonts w:ascii="Arial" w:hAnsi="Arial" w:cs="Arial"/>
          <w:b/>
          <w:bCs/>
          <w:i/>
          <w:iCs/>
        </w:rPr>
        <w:t xml:space="preserve">.  </w:t>
      </w:r>
      <w:r>
        <w:rPr>
          <w:rFonts w:ascii="Arial" w:hAnsi="Arial" w:cs="Arial"/>
        </w:rPr>
        <w:t xml:space="preserve">The proposed ordinance would appropriate $184,000 and 1.0 TLT to add a Project Manager tasked with managing KCSO's body and dash camera pilot program and planning for future implementation.  According to KCSO, the body and dash camera pilot program is currently in a field trial with ten cameras and two vehicle dash cameras in operation.  The trial will end on November 16, 2021 at which point the equipment will be pulled from patrol and a full evaluation will be conducted.  The Program Manager will assist with this work as well as develop a plan to be implemented should body and dash cameras be funded and approved for department wide use.  KCSO expects to utilize the position for two years.  </w:t>
      </w:r>
    </w:p>
    <w:p w14:paraId="4D39A678" w14:textId="77777777" w:rsidR="00116596" w:rsidRDefault="00116596" w:rsidP="00116596">
      <w:pPr>
        <w:spacing w:line="264" w:lineRule="auto"/>
        <w:contextualSpacing/>
        <w:jc w:val="both"/>
        <w:rPr>
          <w:rFonts w:ascii="Arial" w:hAnsi="Arial" w:cs="Arial"/>
        </w:rPr>
      </w:pPr>
    </w:p>
    <w:p w14:paraId="37B43A36" w14:textId="77777777" w:rsidR="00116596" w:rsidRPr="00FF2107" w:rsidRDefault="00116596" w:rsidP="00116596">
      <w:pPr>
        <w:spacing w:line="264" w:lineRule="auto"/>
        <w:contextualSpacing/>
        <w:jc w:val="both"/>
        <w:rPr>
          <w:rFonts w:ascii="Arial" w:hAnsi="Arial" w:cs="Arial"/>
        </w:rPr>
      </w:pPr>
      <w:r>
        <w:rPr>
          <w:rFonts w:ascii="Arial" w:hAnsi="Arial" w:cs="Arial"/>
          <w:b/>
          <w:bCs/>
          <w:i/>
          <w:iCs/>
        </w:rPr>
        <w:t xml:space="preserve">County Executive Protection Unit </w:t>
      </w:r>
      <w:r w:rsidRPr="00EC1CA5">
        <w:rPr>
          <w:rFonts w:ascii="Arial" w:hAnsi="Arial" w:cs="Arial"/>
          <w:b/>
          <w:bCs/>
          <w:i/>
          <w:iCs/>
        </w:rPr>
        <w:t>[$</w:t>
      </w:r>
      <w:r>
        <w:rPr>
          <w:rFonts w:ascii="Arial" w:hAnsi="Arial" w:cs="Arial"/>
          <w:b/>
          <w:bCs/>
          <w:i/>
          <w:iCs/>
        </w:rPr>
        <w:t>300,000, 2.0 FTEs, ongoing</w:t>
      </w:r>
      <w:r w:rsidRPr="00EC1CA5">
        <w:rPr>
          <w:rFonts w:ascii="Arial" w:hAnsi="Arial" w:cs="Arial"/>
          <w:b/>
          <w:bCs/>
          <w:i/>
          <w:iCs/>
        </w:rPr>
        <w:t>].</w:t>
      </w:r>
      <w:r>
        <w:rPr>
          <w:rFonts w:ascii="Arial" w:hAnsi="Arial" w:cs="Arial"/>
          <w:b/>
          <w:bCs/>
          <w:i/>
          <w:iCs/>
        </w:rPr>
        <w:t xml:space="preserve">  </w:t>
      </w:r>
      <w:r>
        <w:rPr>
          <w:rFonts w:ascii="Arial" w:hAnsi="Arial" w:cs="Arial"/>
        </w:rPr>
        <w:t xml:space="preserve">The proposed ordinance would appropriate $300,000 and 2.0 FTEs to restore the County Executive Protection Unit back to pre-COVID levels. </w:t>
      </w:r>
    </w:p>
    <w:p w14:paraId="182A03AF" w14:textId="77777777" w:rsidR="00116596" w:rsidRDefault="00116596" w:rsidP="00116596">
      <w:pPr>
        <w:spacing w:line="264" w:lineRule="auto"/>
        <w:contextualSpacing/>
        <w:jc w:val="both"/>
        <w:rPr>
          <w:rFonts w:ascii="Arial" w:hAnsi="Arial" w:cs="Arial"/>
          <w:b/>
          <w:bCs/>
          <w:i/>
          <w:iCs/>
        </w:rPr>
      </w:pPr>
    </w:p>
    <w:p w14:paraId="1EDC10CA" w14:textId="77777777" w:rsidR="00116596" w:rsidRDefault="00116596" w:rsidP="00116596">
      <w:pPr>
        <w:spacing w:line="264" w:lineRule="auto"/>
        <w:contextualSpacing/>
        <w:jc w:val="both"/>
        <w:rPr>
          <w:rFonts w:ascii="Arial" w:hAnsi="Arial" w:cs="Arial"/>
        </w:rPr>
      </w:pPr>
      <w:r>
        <w:rPr>
          <w:rFonts w:ascii="Arial" w:hAnsi="Arial" w:cs="Arial"/>
          <w:b/>
          <w:bCs/>
          <w:i/>
          <w:iCs/>
        </w:rPr>
        <w:t>Personal Protective Equipment</w:t>
      </w:r>
      <w:r w:rsidRPr="007F7F90">
        <w:rPr>
          <w:rFonts w:ascii="Arial" w:hAnsi="Arial" w:cs="Arial"/>
          <w:b/>
          <w:bCs/>
          <w:i/>
          <w:iCs/>
        </w:rPr>
        <w:t xml:space="preserve"> [$</w:t>
      </w:r>
      <w:r>
        <w:rPr>
          <w:rFonts w:ascii="Arial" w:hAnsi="Arial" w:cs="Arial"/>
          <w:b/>
          <w:bCs/>
          <w:i/>
          <w:iCs/>
        </w:rPr>
        <w:t xml:space="preserve">604,000].  </w:t>
      </w:r>
      <w:r>
        <w:rPr>
          <w:rFonts w:ascii="Arial" w:hAnsi="Arial" w:cs="Arial"/>
        </w:rPr>
        <w:t xml:space="preserve">The proposed ordinance would appropriate $604,000 to reimburse KCSO for the purchase of personal protective equipment including protective helmets and eye protection related to demonstration management.  In August 2020, KCSO </w:t>
      </w:r>
      <w:r w:rsidRPr="004F7E27">
        <w:rPr>
          <w:rFonts w:ascii="Arial" w:hAnsi="Arial" w:cs="Arial"/>
        </w:rPr>
        <w:t xml:space="preserve">received a citation and fine, stemming from a complaint, from the State Department of Labor and Industries </w:t>
      </w:r>
      <w:r>
        <w:rPr>
          <w:rFonts w:ascii="Arial" w:hAnsi="Arial" w:cs="Arial"/>
        </w:rPr>
        <w:t xml:space="preserve">(L&amp;I) </w:t>
      </w:r>
      <w:r w:rsidRPr="004F7E27">
        <w:rPr>
          <w:rFonts w:ascii="Arial" w:hAnsi="Arial" w:cs="Arial"/>
        </w:rPr>
        <w:t>for not having the proper protective gear for commissioned personnel who were tasked with responding to civil unrest in downtown Seattle</w:t>
      </w:r>
      <w:r>
        <w:rPr>
          <w:rFonts w:ascii="Arial" w:hAnsi="Arial" w:cs="Arial"/>
        </w:rPr>
        <w:t xml:space="preserve">.  According to KCSO, </w:t>
      </w:r>
      <w:r w:rsidRPr="00D37CAD">
        <w:rPr>
          <w:rFonts w:ascii="Arial" w:hAnsi="Arial" w:cs="Arial"/>
        </w:rPr>
        <w:t>equipment updates for demonstration management teams or commissioned personnel who may find themselves responding to significant civil unrest</w:t>
      </w:r>
      <w:r>
        <w:rPr>
          <w:rFonts w:ascii="Arial" w:hAnsi="Arial" w:cs="Arial"/>
        </w:rPr>
        <w:t xml:space="preserve"> were not prioritized over the years</w:t>
      </w:r>
      <w:r w:rsidRPr="00D37CAD">
        <w:rPr>
          <w:rFonts w:ascii="Arial" w:hAnsi="Arial" w:cs="Arial"/>
        </w:rPr>
        <w:t>.</w:t>
      </w:r>
      <w:r w:rsidRPr="00285976">
        <w:rPr>
          <w:rFonts w:ascii="Calibri" w:hAnsi="Calibri" w:cs="Calibri"/>
          <w:color w:val="FF0000"/>
          <w:sz w:val="22"/>
          <w:szCs w:val="22"/>
        </w:rPr>
        <w:t xml:space="preserve"> </w:t>
      </w:r>
      <w:r>
        <w:rPr>
          <w:rFonts w:ascii="Calibri" w:hAnsi="Calibri" w:cs="Calibri"/>
          <w:color w:val="FF0000"/>
          <w:sz w:val="22"/>
          <w:szCs w:val="22"/>
        </w:rPr>
        <w:t xml:space="preserve"> </w:t>
      </w:r>
      <w:r w:rsidRPr="00285976">
        <w:rPr>
          <w:rFonts w:ascii="Arial" w:hAnsi="Arial" w:cs="Arial"/>
        </w:rPr>
        <w:t>Although the Sheriff ha</w:t>
      </w:r>
      <w:r>
        <w:rPr>
          <w:rFonts w:ascii="Arial" w:hAnsi="Arial" w:cs="Arial"/>
        </w:rPr>
        <w:t>s</w:t>
      </w:r>
      <w:r w:rsidRPr="00285976">
        <w:rPr>
          <w:rFonts w:ascii="Arial" w:hAnsi="Arial" w:cs="Arial"/>
        </w:rPr>
        <w:t xml:space="preserve"> ordered that KCSO personnel </w:t>
      </w:r>
      <w:r>
        <w:rPr>
          <w:rFonts w:ascii="Arial" w:hAnsi="Arial" w:cs="Arial"/>
        </w:rPr>
        <w:t>will no</w:t>
      </w:r>
      <w:r w:rsidRPr="00285976">
        <w:rPr>
          <w:rFonts w:ascii="Arial" w:hAnsi="Arial" w:cs="Arial"/>
        </w:rPr>
        <w:t xml:space="preserve"> longer be deployed to assist </w:t>
      </w:r>
      <w:r>
        <w:rPr>
          <w:rFonts w:ascii="Arial" w:hAnsi="Arial" w:cs="Arial"/>
        </w:rPr>
        <w:t xml:space="preserve">the </w:t>
      </w:r>
      <w:r w:rsidRPr="00285976">
        <w:rPr>
          <w:rFonts w:ascii="Arial" w:hAnsi="Arial" w:cs="Arial"/>
        </w:rPr>
        <w:t>Seattle P</w:t>
      </w:r>
      <w:r>
        <w:rPr>
          <w:rFonts w:ascii="Arial" w:hAnsi="Arial" w:cs="Arial"/>
        </w:rPr>
        <w:t xml:space="preserve">olice </w:t>
      </w:r>
      <w:r w:rsidRPr="00285976">
        <w:rPr>
          <w:rFonts w:ascii="Arial" w:hAnsi="Arial" w:cs="Arial"/>
        </w:rPr>
        <w:t>D</w:t>
      </w:r>
      <w:r>
        <w:rPr>
          <w:rFonts w:ascii="Arial" w:hAnsi="Arial" w:cs="Arial"/>
        </w:rPr>
        <w:t>epartment</w:t>
      </w:r>
      <w:r w:rsidRPr="00285976">
        <w:rPr>
          <w:rFonts w:ascii="Arial" w:hAnsi="Arial" w:cs="Arial"/>
        </w:rPr>
        <w:t xml:space="preserve"> with civil unrest, </w:t>
      </w:r>
      <w:r>
        <w:rPr>
          <w:rFonts w:ascii="Arial" w:hAnsi="Arial" w:cs="Arial"/>
        </w:rPr>
        <w:t>t</w:t>
      </w:r>
      <w:r w:rsidRPr="00F558A1">
        <w:rPr>
          <w:rFonts w:ascii="Arial" w:hAnsi="Arial" w:cs="Arial"/>
        </w:rPr>
        <w:t>he L&amp;I citation and subsequent settlement</w:t>
      </w:r>
      <w:r>
        <w:rPr>
          <w:rFonts w:ascii="Arial" w:hAnsi="Arial" w:cs="Arial"/>
        </w:rPr>
        <w:t>,</w:t>
      </w:r>
      <w:r w:rsidRPr="00F558A1">
        <w:rPr>
          <w:rFonts w:ascii="Arial" w:hAnsi="Arial" w:cs="Arial"/>
        </w:rPr>
        <w:t xml:space="preserve"> required</w:t>
      </w:r>
      <w:r>
        <w:rPr>
          <w:rFonts w:ascii="Arial" w:hAnsi="Arial" w:cs="Arial"/>
        </w:rPr>
        <w:t xml:space="preserve"> KCSO</w:t>
      </w:r>
      <w:r w:rsidRPr="00F558A1">
        <w:rPr>
          <w:rFonts w:ascii="Arial" w:hAnsi="Arial" w:cs="Arial"/>
        </w:rPr>
        <w:t xml:space="preserve"> to purchase the proper </w:t>
      </w:r>
      <w:r>
        <w:rPr>
          <w:rFonts w:ascii="Arial" w:hAnsi="Arial" w:cs="Arial"/>
        </w:rPr>
        <w:t>equipment</w:t>
      </w:r>
      <w:r w:rsidRPr="00285976">
        <w:rPr>
          <w:rFonts w:ascii="Arial" w:hAnsi="Arial" w:cs="Arial"/>
        </w:rPr>
        <w:t>.</w:t>
      </w:r>
    </w:p>
    <w:p w14:paraId="7B7CE268" w14:textId="77777777" w:rsidR="00116596" w:rsidRPr="006D3FF8" w:rsidRDefault="00116596" w:rsidP="00116596">
      <w:pPr>
        <w:spacing w:line="264" w:lineRule="auto"/>
        <w:contextualSpacing/>
        <w:jc w:val="both"/>
        <w:rPr>
          <w:rFonts w:ascii="Arial" w:hAnsi="Arial" w:cs="Arial"/>
          <w:iCs/>
        </w:rPr>
      </w:pPr>
    </w:p>
    <w:p w14:paraId="0106A57F" w14:textId="77777777" w:rsidR="00116596" w:rsidRDefault="00116596" w:rsidP="00116596">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7707BA65" w14:textId="77777777" w:rsidR="00116596" w:rsidRPr="006D3FF8" w:rsidRDefault="00116596" w:rsidP="00116596">
      <w:pPr>
        <w:spacing w:line="264" w:lineRule="auto"/>
        <w:contextualSpacing/>
        <w:jc w:val="both"/>
        <w:rPr>
          <w:rFonts w:ascii="Arial" w:hAnsi="Arial" w:cs="Arial"/>
          <w:b/>
          <w:iCs/>
        </w:rPr>
      </w:pPr>
      <w:r>
        <w:rPr>
          <w:rFonts w:ascii="Arial" w:hAnsi="Arial" w:cs="Arial"/>
          <w:b/>
          <w:i/>
        </w:rPr>
        <w:t>Smart 911 Transfer from E911 to KCSO</w:t>
      </w:r>
      <w:r w:rsidRPr="0054665B">
        <w:rPr>
          <w:rFonts w:ascii="Arial" w:hAnsi="Arial" w:cs="Arial"/>
          <w:b/>
          <w:i/>
        </w:rPr>
        <w:t xml:space="preserve"> </w:t>
      </w:r>
      <w:r>
        <w:rPr>
          <w:rFonts w:ascii="Arial" w:hAnsi="Arial" w:cs="Arial"/>
          <w:b/>
          <w:i/>
        </w:rPr>
        <w:t>[</w:t>
      </w:r>
      <w:r w:rsidRPr="0054665B">
        <w:rPr>
          <w:rFonts w:ascii="Arial" w:hAnsi="Arial" w:cs="Arial"/>
          <w:b/>
          <w:i/>
        </w:rPr>
        <w:t>$</w:t>
      </w:r>
      <w:r>
        <w:rPr>
          <w:rFonts w:ascii="Arial" w:hAnsi="Arial" w:cs="Arial"/>
          <w:b/>
          <w:i/>
        </w:rPr>
        <w:t>200,000 ($200,000 revenue backed), ongoing]</w:t>
      </w:r>
      <w:r w:rsidRPr="0054665B">
        <w:rPr>
          <w:rFonts w:ascii="Arial" w:hAnsi="Arial" w:cs="Arial"/>
          <w:b/>
          <w:i/>
        </w:rPr>
        <w:t>.</w:t>
      </w:r>
      <w:r>
        <w:rPr>
          <w:rFonts w:ascii="Arial" w:hAnsi="Arial" w:cs="Arial"/>
          <w:b/>
          <w:iCs/>
        </w:rPr>
        <w:t xml:space="preserve">   </w:t>
      </w:r>
      <w:r w:rsidRPr="006D3FF8">
        <w:rPr>
          <w:rFonts w:ascii="Arial" w:hAnsi="Arial" w:cs="Arial"/>
          <w:iCs/>
        </w:rPr>
        <w:t xml:space="preserve">The proposed ordinance would </w:t>
      </w:r>
      <w:r>
        <w:rPr>
          <w:rFonts w:ascii="Arial" w:hAnsi="Arial" w:cs="Arial"/>
          <w:iCs/>
        </w:rPr>
        <w:t>appropriate $200,000 to transfer the Smart 911 contract from the E-911 program office to KCSO</w:t>
      </w:r>
      <w:r w:rsidRPr="006D3FF8">
        <w:rPr>
          <w:rFonts w:ascii="Arial" w:hAnsi="Arial" w:cs="Arial"/>
          <w:iCs/>
        </w:rPr>
        <w:t>.</w:t>
      </w:r>
      <w:r w:rsidRPr="00F33236">
        <w:t xml:space="preserve"> </w:t>
      </w:r>
      <w:r>
        <w:t xml:space="preserve"> </w:t>
      </w:r>
      <w:r w:rsidRPr="00F33236">
        <w:rPr>
          <w:rFonts w:ascii="Arial" w:hAnsi="Arial" w:cs="Arial"/>
          <w:iCs/>
        </w:rPr>
        <w:t>Smart 911 provides call receivers with important safety information about the people and places linked to the number placing an emergency call.</w:t>
      </w:r>
      <w:r>
        <w:rPr>
          <w:rFonts w:ascii="Arial" w:hAnsi="Arial" w:cs="Arial"/>
          <w:iCs/>
        </w:rPr>
        <w:t xml:space="preserve">  According to KCSO, the Smart 911 contract is up for renewal and the E911 Program Office, which has managed the contract on KCSO's behalf, requested KCSO directly procure the contract.  The contract would continue to be funded by E911 excise tax revenues. </w:t>
      </w:r>
    </w:p>
    <w:p w14:paraId="7E86BCE9" w14:textId="77777777" w:rsidR="00116596" w:rsidRPr="006D3FF8" w:rsidRDefault="00116596" w:rsidP="00116596">
      <w:pPr>
        <w:spacing w:line="264" w:lineRule="auto"/>
        <w:ind w:left="720"/>
        <w:contextualSpacing/>
        <w:jc w:val="both"/>
        <w:rPr>
          <w:rFonts w:ascii="Arial" w:hAnsi="Arial" w:cs="Arial"/>
          <w:iCs/>
        </w:rPr>
      </w:pPr>
    </w:p>
    <w:p w14:paraId="120A2491" w14:textId="1FD41897" w:rsidR="00116596" w:rsidRDefault="00116596" w:rsidP="00116596">
      <w:pPr>
        <w:spacing w:line="264" w:lineRule="auto"/>
        <w:contextualSpacing/>
        <w:jc w:val="both"/>
        <w:rPr>
          <w:rFonts w:ascii="Arial" w:hAnsi="Arial" w:cs="Arial"/>
          <w:iCs/>
        </w:rPr>
      </w:pPr>
      <w:r>
        <w:rPr>
          <w:rFonts w:ascii="Arial" w:hAnsi="Arial" w:cs="Arial"/>
          <w:b/>
          <w:i/>
        </w:rPr>
        <w:t>Correct Error in Previous Omnibus [</w:t>
      </w:r>
      <w:r w:rsidRPr="0054665B">
        <w:rPr>
          <w:rFonts w:ascii="Arial" w:hAnsi="Arial" w:cs="Arial"/>
          <w:b/>
          <w:i/>
        </w:rPr>
        <w:t>$</w:t>
      </w:r>
      <w:r>
        <w:rPr>
          <w:rFonts w:ascii="Arial" w:hAnsi="Arial" w:cs="Arial"/>
          <w:b/>
          <w:i/>
        </w:rPr>
        <w:t>25</w:t>
      </w:r>
      <w:r w:rsidRPr="0054665B">
        <w:rPr>
          <w:rFonts w:ascii="Arial" w:hAnsi="Arial" w:cs="Arial"/>
          <w:b/>
          <w:i/>
        </w:rPr>
        <w:t>,000</w:t>
      </w:r>
      <w:r>
        <w:rPr>
          <w:rFonts w:ascii="Arial" w:hAnsi="Arial" w:cs="Arial"/>
          <w:b/>
          <w:i/>
        </w:rPr>
        <w:t>]</w:t>
      </w:r>
      <w:r w:rsidRPr="0054665B">
        <w:rPr>
          <w:rFonts w:ascii="Arial" w:hAnsi="Arial" w:cs="Arial"/>
          <w:b/>
          <w:i/>
        </w:rPr>
        <w:t>.</w:t>
      </w:r>
      <w:r>
        <w:rPr>
          <w:rFonts w:ascii="Arial" w:hAnsi="Arial" w:cs="Arial"/>
          <w:b/>
          <w:iCs/>
        </w:rPr>
        <w:t xml:space="preserve">  </w:t>
      </w:r>
      <w:r w:rsidRPr="006D3FF8">
        <w:rPr>
          <w:rFonts w:ascii="Arial" w:hAnsi="Arial" w:cs="Arial"/>
          <w:iCs/>
        </w:rPr>
        <w:t>The proposed ordinance would appropriate $</w:t>
      </w:r>
      <w:r>
        <w:rPr>
          <w:rFonts w:ascii="Arial" w:hAnsi="Arial" w:cs="Arial"/>
          <w:iCs/>
        </w:rPr>
        <w:t>25,000 to correct an error in the 2021 1</w:t>
      </w:r>
      <w:r w:rsidRPr="001C023C">
        <w:rPr>
          <w:rFonts w:ascii="Arial" w:hAnsi="Arial" w:cs="Arial"/>
          <w:iCs/>
          <w:vertAlign w:val="superscript"/>
        </w:rPr>
        <w:t>st</w:t>
      </w:r>
      <w:r>
        <w:rPr>
          <w:rFonts w:ascii="Arial" w:hAnsi="Arial" w:cs="Arial"/>
          <w:iCs/>
        </w:rPr>
        <w:t xml:space="preserve"> omnibus ordinance</w:t>
      </w:r>
      <w:r>
        <w:rPr>
          <w:rStyle w:val="FootnoteReference"/>
          <w:rFonts w:ascii="Arial" w:hAnsi="Arial" w:cs="Arial"/>
          <w:iCs/>
        </w:rPr>
        <w:footnoteReference w:id="18"/>
      </w:r>
      <w:r>
        <w:rPr>
          <w:rFonts w:ascii="Arial" w:hAnsi="Arial" w:cs="Arial"/>
          <w:iCs/>
        </w:rPr>
        <w:t xml:space="preserve">, which inadvertently reduced KCSO's total approved appropriation by $25,000. </w:t>
      </w:r>
    </w:p>
    <w:p w14:paraId="6B564E0C" w14:textId="4440FDE0" w:rsidR="00A0341C" w:rsidRDefault="00A0341C" w:rsidP="00AB45DE">
      <w:pPr>
        <w:tabs>
          <w:tab w:val="left" w:pos="720"/>
          <w:tab w:val="right" w:pos="9360"/>
        </w:tabs>
        <w:spacing w:line="264" w:lineRule="auto"/>
        <w:contextualSpacing/>
        <w:jc w:val="both"/>
        <w:rPr>
          <w:rFonts w:ascii="Arial" w:hAnsi="Arial" w:cs="Arial"/>
          <w:b/>
          <w:u w:val="single"/>
        </w:rPr>
      </w:pPr>
    </w:p>
    <w:p w14:paraId="0C585A36" w14:textId="77777777" w:rsidR="00116596" w:rsidRDefault="00116596" w:rsidP="00AB45DE">
      <w:pPr>
        <w:tabs>
          <w:tab w:val="left" w:pos="720"/>
          <w:tab w:val="right" w:pos="9360"/>
        </w:tabs>
        <w:spacing w:line="264" w:lineRule="auto"/>
        <w:contextualSpacing/>
        <w:jc w:val="both"/>
        <w:rPr>
          <w:rFonts w:ascii="Arial" w:hAnsi="Arial" w:cs="Arial"/>
          <w:b/>
          <w:u w:val="single"/>
        </w:rPr>
      </w:pPr>
    </w:p>
    <w:p w14:paraId="474C2240" w14:textId="640D3735" w:rsidR="00A0341C" w:rsidRPr="000E7446" w:rsidRDefault="00A0341C" w:rsidP="00A0341C">
      <w:pPr>
        <w:tabs>
          <w:tab w:val="left" w:pos="720"/>
          <w:tab w:val="right" w:pos="9360"/>
        </w:tabs>
        <w:spacing w:line="264" w:lineRule="auto"/>
        <w:contextualSpacing/>
        <w:jc w:val="both"/>
        <w:rPr>
          <w:rFonts w:ascii="Arial" w:hAnsi="Arial" w:cs="Arial"/>
          <w:b/>
          <w:u w:val="single"/>
        </w:rPr>
      </w:pPr>
      <w:r>
        <w:rPr>
          <w:rFonts w:ascii="Arial" w:hAnsi="Arial" w:cs="Arial"/>
          <w:b/>
          <w:u w:val="single"/>
        </w:rPr>
        <w:t>Office of Emergency Management</w:t>
      </w:r>
      <w:r w:rsidRPr="000E7446">
        <w:rPr>
          <w:rFonts w:ascii="Arial" w:hAnsi="Arial" w:cs="Arial"/>
          <w:b/>
          <w:u w:val="single"/>
        </w:rPr>
        <w:tab/>
        <w:t>$</w:t>
      </w:r>
      <w:r>
        <w:rPr>
          <w:rFonts w:ascii="Arial" w:hAnsi="Arial" w:cs="Arial"/>
          <w:b/>
          <w:u w:val="single"/>
        </w:rPr>
        <w:t>500,000</w:t>
      </w:r>
    </w:p>
    <w:p w14:paraId="25B6EBA3" w14:textId="77777777" w:rsidR="00502FEE" w:rsidRDefault="00502FEE" w:rsidP="00A0341C">
      <w:pPr>
        <w:spacing w:line="264" w:lineRule="auto"/>
        <w:contextualSpacing/>
        <w:jc w:val="both"/>
        <w:rPr>
          <w:b/>
        </w:rPr>
      </w:pPr>
    </w:p>
    <w:p w14:paraId="39184076" w14:textId="31AE5EA7" w:rsidR="00A0341C" w:rsidRDefault="00A0341C" w:rsidP="00A0341C">
      <w:pPr>
        <w:spacing w:line="264" w:lineRule="auto"/>
        <w:contextualSpacing/>
        <w:jc w:val="both"/>
        <w:rPr>
          <w:rFonts w:ascii="Arial" w:hAnsi="Arial" w:cs="Arial"/>
        </w:rPr>
      </w:pPr>
      <w:r>
        <w:rPr>
          <w:rFonts w:ascii="Arial" w:hAnsi="Arial" w:cs="Arial"/>
          <w:b/>
          <w:i/>
          <w:iCs/>
        </w:rPr>
        <w:t>Emergency Operations Center Infrastructure Enhancements</w:t>
      </w:r>
      <w:r w:rsidRPr="0054665B">
        <w:rPr>
          <w:rFonts w:ascii="Arial" w:hAnsi="Arial" w:cs="Arial"/>
          <w:b/>
          <w:i/>
          <w:iCs/>
        </w:rPr>
        <w:t xml:space="preserve"> </w:t>
      </w:r>
      <w:r w:rsidR="00BB175A">
        <w:rPr>
          <w:rFonts w:ascii="Arial" w:hAnsi="Arial" w:cs="Arial"/>
          <w:b/>
          <w:i/>
          <w:iCs/>
        </w:rPr>
        <w:t>[</w:t>
      </w:r>
      <w:r>
        <w:rPr>
          <w:rFonts w:ascii="Arial" w:hAnsi="Arial" w:cs="Arial"/>
          <w:b/>
          <w:i/>
          <w:iCs/>
        </w:rPr>
        <w:t>$500,000</w:t>
      </w:r>
      <w:r w:rsidR="00BB175A">
        <w:rPr>
          <w:rFonts w:ascii="Arial" w:hAnsi="Arial" w:cs="Arial"/>
          <w:b/>
          <w:i/>
          <w:iCs/>
        </w:rPr>
        <w:t>]</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appropriate </w:t>
      </w:r>
      <w:r>
        <w:rPr>
          <w:rFonts w:ascii="Arial" w:hAnsi="Arial" w:cs="Arial"/>
        </w:rPr>
        <w:t>$500,000 to upgrade the King County Emergency Operations Center (EOC).  This would include new work sessions (computers, chairs, tables) to meet the equipment needs and industry standards for an EOC that has been continuously activated since February 2020.  The existing equipment is nearly 20 years old.</w:t>
      </w:r>
    </w:p>
    <w:p w14:paraId="726DAE41" w14:textId="77777777" w:rsidR="00A0341C" w:rsidRDefault="00A0341C" w:rsidP="00A0341C">
      <w:pPr>
        <w:spacing w:line="264" w:lineRule="auto"/>
        <w:ind w:left="720"/>
        <w:contextualSpacing/>
        <w:jc w:val="both"/>
        <w:rPr>
          <w:rFonts w:ascii="Arial" w:hAnsi="Arial" w:cs="Arial"/>
        </w:rPr>
      </w:pPr>
    </w:p>
    <w:p w14:paraId="31E780BA" w14:textId="77777777" w:rsidR="007427D5" w:rsidRPr="00E64512" w:rsidRDefault="007427D5" w:rsidP="007427D5">
      <w:pPr>
        <w:tabs>
          <w:tab w:val="left" w:pos="720"/>
          <w:tab w:val="right" w:pos="9360"/>
        </w:tabs>
        <w:spacing w:line="264" w:lineRule="auto"/>
        <w:contextualSpacing/>
        <w:jc w:val="both"/>
        <w:rPr>
          <w:rFonts w:ascii="Arial" w:hAnsi="Arial" w:cs="Arial"/>
          <w:b/>
          <w:szCs w:val="24"/>
          <w:u w:val="single"/>
        </w:rPr>
      </w:pPr>
      <w:r w:rsidRPr="00E64512">
        <w:rPr>
          <w:rFonts w:ascii="Arial" w:hAnsi="Arial" w:cs="Arial"/>
          <w:b/>
          <w:szCs w:val="24"/>
          <w:u w:val="single"/>
        </w:rPr>
        <w:lastRenderedPageBreak/>
        <w:t>Human Resources Management</w:t>
      </w:r>
      <w:r>
        <w:rPr>
          <w:rFonts w:ascii="Arial" w:hAnsi="Arial" w:cs="Arial"/>
          <w:b/>
          <w:szCs w:val="24"/>
          <w:u w:val="single"/>
        </w:rPr>
        <w:t xml:space="preserve"> (HRM)</w:t>
      </w:r>
      <w:r w:rsidRPr="00E64512">
        <w:rPr>
          <w:rFonts w:ascii="Arial" w:hAnsi="Arial" w:cs="Arial"/>
          <w:b/>
          <w:szCs w:val="24"/>
          <w:u w:val="single"/>
        </w:rPr>
        <w:tab/>
        <w:t>$1,119,000, 9.0 FTEs &amp; 1.0 TLT</w:t>
      </w:r>
    </w:p>
    <w:p w14:paraId="19421D8A" w14:textId="77777777" w:rsidR="007427D5" w:rsidRPr="00E64512" w:rsidRDefault="007427D5" w:rsidP="007427D5">
      <w:pPr>
        <w:spacing w:line="264" w:lineRule="auto"/>
        <w:contextualSpacing/>
        <w:jc w:val="both"/>
        <w:rPr>
          <w:rFonts w:ascii="Arial" w:hAnsi="Arial" w:cs="Arial"/>
          <w:b/>
          <w:szCs w:val="24"/>
        </w:rPr>
      </w:pPr>
    </w:p>
    <w:p w14:paraId="333B45FD" w14:textId="5FAAD04F" w:rsidR="007427D5" w:rsidRPr="00E64512" w:rsidRDefault="007427D5" w:rsidP="007427D5">
      <w:pPr>
        <w:spacing w:line="264" w:lineRule="auto"/>
        <w:contextualSpacing/>
        <w:jc w:val="both"/>
        <w:rPr>
          <w:rFonts w:ascii="Arial" w:hAnsi="Arial" w:cs="Arial"/>
          <w:bCs/>
          <w:color w:val="FF0000"/>
          <w:szCs w:val="24"/>
        </w:rPr>
      </w:pPr>
      <w:r w:rsidRPr="00E64512">
        <w:rPr>
          <w:rFonts w:ascii="Arial" w:hAnsi="Arial" w:cs="Arial"/>
          <w:b/>
          <w:i/>
          <w:iCs/>
          <w:szCs w:val="24"/>
        </w:rPr>
        <w:t xml:space="preserve">Countywide Training Development Content and Integration [$100,000]. </w:t>
      </w:r>
      <w:r w:rsidRPr="00E64512">
        <w:rPr>
          <w:rFonts w:ascii="Arial" w:hAnsi="Arial" w:cs="Arial"/>
          <w:szCs w:val="24"/>
        </w:rPr>
        <w:t xml:space="preserve">The proposed ordinance would include a </w:t>
      </w:r>
      <w:r w:rsidRPr="00EA37E6">
        <w:rPr>
          <w:rFonts w:ascii="Arial" w:hAnsi="Arial" w:cs="Arial"/>
          <w:szCs w:val="24"/>
        </w:rPr>
        <w:t xml:space="preserve">one-time expenditure to obtain consultant services to assist with the development of Equity and Social Justice (ESJ) trainings, other countywide trainings, and the integration of specific department training content into the new NeoGov Learn system. </w:t>
      </w:r>
      <w:r w:rsidR="00B47EEA">
        <w:rPr>
          <w:rFonts w:ascii="Arial" w:hAnsi="Arial" w:cs="Arial"/>
          <w:szCs w:val="24"/>
        </w:rPr>
        <w:t xml:space="preserve"> </w:t>
      </w:r>
      <w:r w:rsidRPr="00E64512">
        <w:rPr>
          <w:rFonts w:ascii="Arial" w:hAnsi="Arial" w:cs="Arial"/>
          <w:szCs w:val="24"/>
        </w:rPr>
        <w:t xml:space="preserve">Of the $100,000 appropriation, $66,000 </w:t>
      </w:r>
      <w:r>
        <w:rPr>
          <w:rFonts w:ascii="Arial" w:hAnsi="Arial" w:cs="Arial"/>
          <w:szCs w:val="24"/>
        </w:rPr>
        <w:t>would be</w:t>
      </w:r>
      <w:r w:rsidRPr="00E64512">
        <w:rPr>
          <w:rFonts w:ascii="Arial" w:hAnsi="Arial" w:cs="Arial"/>
          <w:szCs w:val="24"/>
        </w:rPr>
        <w:t xml:space="preserve"> funded by </w:t>
      </w:r>
      <w:r>
        <w:rPr>
          <w:rFonts w:ascii="Arial" w:hAnsi="Arial" w:cs="Arial"/>
          <w:szCs w:val="24"/>
        </w:rPr>
        <w:t>n</w:t>
      </w:r>
      <w:r w:rsidRPr="00E64512">
        <w:rPr>
          <w:rFonts w:ascii="Arial" w:hAnsi="Arial" w:cs="Arial"/>
          <w:szCs w:val="24"/>
        </w:rPr>
        <w:t>on-</w:t>
      </w:r>
      <w:r>
        <w:rPr>
          <w:rFonts w:ascii="Arial" w:hAnsi="Arial" w:cs="Arial"/>
          <w:szCs w:val="24"/>
        </w:rPr>
        <w:t>G</w:t>
      </w:r>
      <w:r w:rsidRPr="00E64512">
        <w:rPr>
          <w:rFonts w:ascii="Arial" w:hAnsi="Arial" w:cs="Arial"/>
          <w:szCs w:val="24"/>
        </w:rPr>
        <w:t xml:space="preserve">eneral </w:t>
      </w:r>
      <w:r>
        <w:rPr>
          <w:rFonts w:ascii="Arial" w:hAnsi="Arial" w:cs="Arial"/>
          <w:szCs w:val="24"/>
        </w:rPr>
        <w:t>F</w:t>
      </w:r>
      <w:r w:rsidRPr="00E64512">
        <w:rPr>
          <w:rFonts w:ascii="Arial" w:hAnsi="Arial" w:cs="Arial"/>
          <w:szCs w:val="24"/>
        </w:rPr>
        <w:t xml:space="preserve">und revenue and the remaining $34,000 by the </w:t>
      </w:r>
      <w:r>
        <w:rPr>
          <w:rFonts w:ascii="Arial" w:hAnsi="Arial" w:cs="Arial"/>
          <w:szCs w:val="24"/>
        </w:rPr>
        <w:t>G</w:t>
      </w:r>
      <w:r w:rsidRPr="00E64512">
        <w:rPr>
          <w:rFonts w:ascii="Arial" w:hAnsi="Arial" w:cs="Arial"/>
          <w:szCs w:val="24"/>
        </w:rPr>
        <w:t xml:space="preserve">eneral </w:t>
      </w:r>
      <w:r>
        <w:rPr>
          <w:rFonts w:ascii="Arial" w:hAnsi="Arial" w:cs="Arial"/>
          <w:szCs w:val="24"/>
        </w:rPr>
        <w:t>F</w:t>
      </w:r>
      <w:r w:rsidRPr="00E64512">
        <w:rPr>
          <w:rFonts w:ascii="Arial" w:hAnsi="Arial" w:cs="Arial"/>
          <w:szCs w:val="24"/>
        </w:rPr>
        <w:t>und.</w:t>
      </w:r>
      <w:r w:rsidRPr="00E64512">
        <w:rPr>
          <w:rStyle w:val="FootnoteReference"/>
          <w:rFonts w:ascii="Arial" w:hAnsi="Arial" w:cs="Arial"/>
          <w:szCs w:val="24"/>
        </w:rPr>
        <w:footnoteReference w:id="19"/>
      </w:r>
      <w:r w:rsidRPr="00E64512">
        <w:rPr>
          <w:rFonts w:ascii="Arial" w:hAnsi="Arial" w:cs="Arial"/>
          <w:szCs w:val="24"/>
        </w:rPr>
        <w:t xml:space="preserve">  </w:t>
      </w:r>
    </w:p>
    <w:p w14:paraId="03F8D73A" w14:textId="77777777" w:rsidR="007427D5" w:rsidRPr="00E64512" w:rsidRDefault="007427D5" w:rsidP="007427D5">
      <w:pPr>
        <w:spacing w:line="264" w:lineRule="auto"/>
        <w:contextualSpacing/>
        <w:jc w:val="both"/>
        <w:rPr>
          <w:rFonts w:ascii="Arial" w:hAnsi="Arial" w:cs="Arial"/>
          <w:szCs w:val="24"/>
        </w:rPr>
      </w:pPr>
    </w:p>
    <w:p w14:paraId="5B98FE04" w14:textId="79DBF5B5" w:rsidR="007427D5" w:rsidRDefault="007427D5" w:rsidP="002E0E38">
      <w:pPr>
        <w:spacing w:line="264" w:lineRule="auto"/>
        <w:contextualSpacing/>
        <w:jc w:val="both"/>
        <w:rPr>
          <w:rFonts w:ascii="Arial" w:hAnsi="Arial" w:cs="Arial"/>
        </w:rPr>
      </w:pPr>
      <w:r w:rsidRPr="00E64512">
        <w:rPr>
          <w:rFonts w:ascii="Arial" w:hAnsi="Arial" w:cs="Arial"/>
          <w:b/>
          <w:i/>
          <w:iCs/>
          <w:szCs w:val="24"/>
        </w:rPr>
        <w:t xml:space="preserve">New positions: Adding 9 FTEs and 1 TLT [$1,682,421]. </w:t>
      </w:r>
      <w:r w:rsidR="00B47EEA">
        <w:rPr>
          <w:rFonts w:ascii="Arial" w:hAnsi="Arial" w:cs="Arial"/>
          <w:b/>
          <w:i/>
          <w:iCs/>
          <w:szCs w:val="24"/>
        </w:rPr>
        <w:t xml:space="preserve"> </w:t>
      </w:r>
      <w:r w:rsidRPr="00E64512">
        <w:rPr>
          <w:rFonts w:ascii="Arial" w:hAnsi="Arial" w:cs="Arial"/>
          <w:szCs w:val="24"/>
        </w:rPr>
        <w:t xml:space="preserve">The table below summarizes the proposed positions within the </w:t>
      </w:r>
      <w:r>
        <w:rPr>
          <w:rFonts w:ascii="Arial" w:hAnsi="Arial" w:cs="Arial"/>
          <w:szCs w:val="24"/>
        </w:rPr>
        <w:t>HRM</w:t>
      </w:r>
      <w:r w:rsidRPr="00E64512">
        <w:rPr>
          <w:rFonts w:ascii="Arial" w:hAnsi="Arial" w:cs="Arial"/>
          <w:szCs w:val="24"/>
        </w:rPr>
        <w:t xml:space="preserve"> budget. All 9 FTEs represent an ongoing cost.</w:t>
      </w:r>
      <w:r w:rsidRPr="00E64512">
        <w:rPr>
          <w:rFonts w:ascii="Arial" w:hAnsi="Arial" w:cs="Arial"/>
          <w:color w:val="FF0000"/>
          <w:szCs w:val="24"/>
        </w:rPr>
        <w:t xml:space="preserve"> </w:t>
      </w:r>
      <w:r w:rsidR="00B47EEA">
        <w:rPr>
          <w:rFonts w:ascii="Arial" w:hAnsi="Arial" w:cs="Arial"/>
          <w:color w:val="FF0000"/>
          <w:szCs w:val="24"/>
        </w:rPr>
        <w:t xml:space="preserve"> </w:t>
      </w:r>
      <w:r>
        <w:rPr>
          <w:rFonts w:ascii="Arial" w:hAnsi="Arial" w:cs="Arial"/>
        </w:rPr>
        <w:t xml:space="preserve">A majority of the requested positions (6 FTEs and 1 TLT, totaling about $1.17 million) are funded using </w:t>
      </w:r>
      <w:r w:rsidRPr="00217232">
        <w:rPr>
          <w:rFonts w:ascii="Arial" w:hAnsi="Arial" w:cs="Arial"/>
        </w:rPr>
        <w:t>a General Fund Overhead model</w:t>
      </w:r>
      <w:r>
        <w:rPr>
          <w:rFonts w:ascii="Arial" w:hAnsi="Arial" w:cs="Arial"/>
        </w:rPr>
        <w:t xml:space="preserve">, </w:t>
      </w:r>
      <w:r w:rsidRPr="00217232">
        <w:rPr>
          <w:rFonts w:ascii="Arial" w:hAnsi="Arial" w:cs="Arial"/>
        </w:rPr>
        <w:t xml:space="preserve">which shares the costs countywide. </w:t>
      </w:r>
      <w:r w:rsidR="00B47EEA">
        <w:rPr>
          <w:rFonts w:ascii="Arial" w:hAnsi="Arial" w:cs="Arial"/>
        </w:rPr>
        <w:t xml:space="preserve"> </w:t>
      </w:r>
      <w:r w:rsidRPr="00217232">
        <w:rPr>
          <w:rFonts w:ascii="Arial" w:hAnsi="Arial" w:cs="Arial"/>
        </w:rPr>
        <w:t>The General Fund Overhead is comprised of approximately 34</w:t>
      </w:r>
      <w:r>
        <w:rPr>
          <w:rFonts w:ascii="Arial" w:hAnsi="Arial" w:cs="Arial"/>
        </w:rPr>
        <w:t xml:space="preserve"> percent</w:t>
      </w:r>
      <w:r w:rsidRPr="00217232">
        <w:rPr>
          <w:rFonts w:ascii="Arial" w:hAnsi="Arial" w:cs="Arial"/>
        </w:rPr>
        <w:t xml:space="preserve"> General Fund and 6</w:t>
      </w:r>
      <w:r>
        <w:rPr>
          <w:rFonts w:ascii="Arial" w:hAnsi="Arial" w:cs="Arial"/>
        </w:rPr>
        <w:t>6 percent n</w:t>
      </w:r>
      <w:r w:rsidRPr="00217232">
        <w:rPr>
          <w:rFonts w:ascii="Arial" w:hAnsi="Arial" w:cs="Arial"/>
        </w:rPr>
        <w:t>on-General Fund. </w:t>
      </w:r>
      <w:r w:rsidR="00B47EEA">
        <w:rPr>
          <w:rFonts w:ascii="Arial" w:hAnsi="Arial" w:cs="Arial"/>
        </w:rPr>
        <w:t xml:space="preserve"> </w:t>
      </w:r>
      <w:r w:rsidRPr="00217232">
        <w:rPr>
          <w:rFonts w:ascii="Arial" w:hAnsi="Arial" w:cs="Arial"/>
        </w:rPr>
        <w:t>The remaining proposed positions would be funded entirely by General Fund since those positions will be used solely for specific General Fund agencies.</w:t>
      </w:r>
    </w:p>
    <w:p w14:paraId="066E25C1" w14:textId="77777777" w:rsidR="000B169B" w:rsidRPr="002E0E38" w:rsidRDefault="000B169B" w:rsidP="002E0E38">
      <w:pPr>
        <w:spacing w:line="264" w:lineRule="auto"/>
        <w:contextualSpacing/>
        <w:jc w:val="both"/>
        <w:rPr>
          <w:rFonts w:ascii="Arial" w:hAnsi="Arial" w:cs="Arial"/>
          <w:bCs/>
          <w:szCs w:val="24"/>
        </w:rPr>
      </w:pPr>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5256"/>
        <w:gridCol w:w="1170"/>
        <w:gridCol w:w="1170"/>
        <w:gridCol w:w="1350"/>
      </w:tblGrid>
      <w:tr w:rsidR="007427D5" w:rsidRPr="00E64512" w14:paraId="4C90B651" w14:textId="77777777" w:rsidTr="00E34BBA">
        <w:trPr>
          <w:cantSplit/>
          <w:trHeight w:val="411"/>
          <w:tblHeader/>
          <w:jc w:val="center"/>
        </w:trPr>
        <w:tc>
          <w:tcPr>
            <w:tcW w:w="612" w:type="dxa"/>
            <w:tcBorders>
              <w:top w:val="single" w:sz="12" w:space="0" w:color="auto"/>
              <w:bottom w:val="single" w:sz="4" w:space="0" w:color="auto"/>
            </w:tcBorders>
            <w:vAlign w:val="center"/>
          </w:tcPr>
          <w:p w14:paraId="1755BA32" w14:textId="77777777" w:rsidR="007427D5" w:rsidRPr="00E64512" w:rsidRDefault="007427D5" w:rsidP="00E34BBA">
            <w:pPr>
              <w:keepNext/>
              <w:rPr>
                <w:rFonts w:ascii="Arial" w:hAnsi="Arial" w:cs="Arial"/>
                <w:b/>
                <w:sz w:val="22"/>
                <w:szCs w:val="22"/>
              </w:rPr>
            </w:pPr>
            <w:r w:rsidRPr="00E64512">
              <w:rPr>
                <w:rFonts w:ascii="Arial" w:hAnsi="Arial" w:cs="Arial"/>
                <w:b/>
                <w:sz w:val="22"/>
                <w:szCs w:val="22"/>
              </w:rPr>
              <w:t>No.</w:t>
            </w:r>
          </w:p>
        </w:tc>
        <w:tc>
          <w:tcPr>
            <w:tcW w:w="5256" w:type="dxa"/>
            <w:tcBorders>
              <w:top w:val="single" w:sz="12" w:space="0" w:color="auto"/>
              <w:bottom w:val="single" w:sz="4" w:space="0" w:color="auto"/>
            </w:tcBorders>
            <w:shd w:val="clear" w:color="auto" w:fill="auto"/>
            <w:vAlign w:val="center"/>
          </w:tcPr>
          <w:p w14:paraId="4ED4C25E" w14:textId="77777777" w:rsidR="007427D5" w:rsidRPr="00E64512" w:rsidRDefault="007427D5" w:rsidP="00E34BBA">
            <w:pPr>
              <w:keepNext/>
              <w:rPr>
                <w:rFonts w:ascii="Arial" w:hAnsi="Arial" w:cs="Arial"/>
                <w:b/>
                <w:sz w:val="22"/>
                <w:szCs w:val="22"/>
              </w:rPr>
            </w:pPr>
            <w:r w:rsidRPr="00E64512">
              <w:rPr>
                <w:rFonts w:ascii="Arial" w:hAnsi="Arial" w:cs="Arial"/>
                <w:b/>
                <w:sz w:val="22"/>
                <w:szCs w:val="22"/>
              </w:rPr>
              <w:t>Position Description</w:t>
            </w:r>
          </w:p>
        </w:tc>
        <w:tc>
          <w:tcPr>
            <w:tcW w:w="1170" w:type="dxa"/>
            <w:tcBorders>
              <w:top w:val="single" w:sz="12" w:space="0" w:color="auto"/>
              <w:bottom w:val="single" w:sz="4" w:space="0" w:color="auto"/>
            </w:tcBorders>
            <w:vAlign w:val="center"/>
          </w:tcPr>
          <w:p w14:paraId="53315E73" w14:textId="77777777" w:rsidR="007427D5" w:rsidRPr="00E64512" w:rsidRDefault="007427D5" w:rsidP="00E34BBA">
            <w:pPr>
              <w:keepNext/>
              <w:jc w:val="center"/>
              <w:rPr>
                <w:rFonts w:ascii="Arial" w:hAnsi="Arial" w:cs="Arial"/>
                <w:b/>
                <w:sz w:val="22"/>
                <w:szCs w:val="22"/>
              </w:rPr>
            </w:pPr>
            <w:r w:rsidRPr="00E64512">
              <w:rPr>
                <w:rFonts w:ascii="Arial" w:hAnsi="Arial" w:cs="Arial"/>
                <w:b/>
                <w:sz w:val="22"/>
                <w:szCs w:val="22"/>
              </w:rPr>
              <w:t xml:space="preserve">GF </w:t>
            </w:r>
          </w:p>
        </w:tc>
        <w:tc>
          <w:tcPr>
            <w:tcW w:w="1170" w:type="dxa"/>
            <w:tcBorders>
              <w:top w:val="single" w:sz="12" w:space="0" w:color="auto"/>
              <w:bottom w:val="single" w:sz="4" w:space="0" w:color="auto"/>
            </w:tcBorders>
            <w:vAlign w:val="center"/>
          </w:tcPr>
          <w:p w14:paraId="28013480" w14:textId="77777777" w:rsidR="007427D5" w:rsidRPr="00E64512" w:rsidRDefault="007427D5" w:rsidP="00E34BBA">
            <w:pPr>
              <w:keepNext/>
              <w:jc w:val="center"/>
              <w:rPr>
                <w:rFonts w:ascii="Arial" w:hAnsi="Arial" w:cs="Arial"/>
                <w:b/>
                <w:sz w:val="22"/>
                <w:szCs w:val="22"/>
              </w:rPr>
            </w:pPr>
            <w:r w:rsidRPr="00E64512">
              <w:rPr>
                <w:rFonts w:ascii="Arial" w:hAnsi="Arial" w:cs="Arial"/>
                <w:b/>
                <w:sz w:val="22"/>
                <w:szCs w:val="22"/>
              </w:rPr>
              <w:t>Non-GF</w:t>
            </w:r>
          </w:p>
        </w:tc>
        <w:tc>
          <w:tcPr>
            <w:tcW w:w="1350" w:type="dxa"/>
            <w:tcBorders>
              <w:top w:val="single" w:sz="12" w:space="0" w:color="auto"/>
              <w:bottom w:val="single" w:sz="4" w:space="0" w:color="auto"/>
            </w:tcBorders>
            <w:vAlign w:val="center"/>
          </w:tcPr>
          <w:p w14:paraId="5147DA5B" w14:textId="77777777" w:rsidR="007427D5" w:rsidRPr="00E64512" w:rsidRDefault="007427D5" w:rsidP="00E34BBA">
            <w:pPr>
              <w:keepNext/>
              <w:jc w:val="center"/>
              <w:rPr>
                <w:rFonts w:ascii="Arial" w:hAnsi="Arial" w:cs="Arial"/>
                <w:b/>
                <w:sz w:val="22"/>
                <w:szCs w:val="22"/>
              </w:rPr>
            </w:pPr>
            <w:r w:rsidRPr="00E64512">
              <w:rPr>
                <w:rFonts w:ascii="Arial" w:hAnsi="Arial" w:cs="Arial"/>
                <w:b/>
                <w:sz w:val="22"/>
                <w:szCs w:val="22"/>
              </w:rPr>
              <w:t>Total</w:t>
            </w:r>
          </w:p>
        </w:tc>
      </w:tr>
      <w:tr w:rsidR="007427D5" w:rsidRPr="00E64512" w14:paraId="72934BFF" w14:textId="77777777" w:rsidTr="00E34BBA">
        <w:trPr>
          <w:cantSplit/>
          <w:jc w:val="center"/>
        </w:trPr>
        <w:tc>
          <w:tcPr>
            <w:tcW w:w="612" w:type="dxa"/>
            <w:tcBorders>
              <w:top w:val="single" w:sz="4" w:space="0" w:color="auto"/>
              <w:bottom w:val="dotted" w:sz="4" w:space="0" w:color="auto"/>
            </w:tcBorders>
          </w:tcPr>
          <w:p w14:paraId="66AF126C" w14:textId="77777777" w:rsidR="007427D5" w:rsidRPr="00E64512" w:rsidRDefault="007427D5" w:rsidP="00E34BBA">
            <w:pPr>
              <w:rPr>
                <w:rFonts w:ascii="Arial" w:hAnsi="Arial" w:cs="Arial"/>
                <w:sz w:val="22"/>
                <w:szCs w:val="22"/>
              </w:rPr>
            </w:pPr>
            <w:r w:rsidRPr="00E64512">
              <w:rPr>
                <w:rFonts w:ascii="Arial" w:hAnsi="Arial" w:cs="Arial"/>
                <w:sz w:val="22"/>
                <w:szCs w:val="22"/>
              </w:rPr>
              <w:t>1</w:t>
            </w:r>
          </w:p>
        </w:tc>
        <w:tc>
          <w:tcPr>
            <w:tcW w:w="5256" w:type="dxa"/>
            <w:tcBorders>
              <w:top w:val="single" w:sz="4" w:space="0" w:color="auto"/>
              <w:bottom w:val="dotted" w:sz="4" w:space="0" w:color="auto"/>
            </w:tcBorders>
            <w:tcMar>
              <w:top w:w="72" w:type="dxa"/>
              <w:left w:w="115" w:type="dxa"/>
              <w:bottom w:w="72" w:type="dxa"/>
              <w:right w:w="115" w:type="dxa"/>
            </w:tcMar>
          </w:tcPr>
          <w:p w14:paraId="6562A0A2" w14:textId="77777777" w:rsidR="007427D5" w:rsidRPr="00242327" w:rsidRDefault="007427D5" w:rsidP="00E34BBA">
            <w:pPr>
              <w:spacing w:line="264" w:lineRule="auto"/>
              <w:rPr>
                <w:rFonts w:ascii="Arial" w:hAnsi="Arial" w:cs="Arial"/>
                <w:sz w:val="22"/>
                <w:szCs w:val="22"/>
                <w:u w:val="single"/>
              </w:rPr>
            </w:pPr>
            <w:r w:rsidRPr="00E64512">
              <w:rPr>
                <w:rFonts w:ascii="Arial" w:hAnsi="Arial" w:cs="Arial"/>
                <w:sz w:val="22"/>
                <w:szCs w:val="22"/>
                <w:u w:val="single"/>
              </w:rPr>
              <w:t>Equity, Inclusion, and Belonging Manager (1 FTE)</w:t>
            </w:r>
            <w:r w:rsidRPr="00E64512">
              <w:rPr>
                <w:rFonts w:ascii="Arial" w:hAnsi="Arial" w:cs="Arial"/>
                <w:sz w:val="22"/>
                <w:szCs w:val="22"/>
              </w:rPr>
              <w:t>.</w:t>
            </w:r>
            <w:r w:rsidRPr="00E64512">
              <w:rPr>
                <w:rFonts w:ascii="Arial" w:hAnsi="Arial" w:cs="Arial"/>
                <w:color w:val="FF0000"/>
                <w:sz w:val="22"/>
                <w:szCs w:val="22"/>
              </w:rPr>
              <w:t xml:space="preserve"> </w:t>
            </w:r>
            <w:r w:rsidRPr="00E64512">
              <w:rPr>
                <w:rFonts w:ascii="Arial" w:hAnsi="Arial" w:cs="Arial"/>
                <w:bCs/>
                <w:sz w:val="22"/>
                <w:szCs w:val="22"/>
              </w:rPr>
              <w:t xml:space="preserve">The position would provide consultation, coaching, and support to ensure Department of Human Resources (DHR) employees are creating culturally responsive, inclusive, and equitable services and programs. It would also identify and implement ESJ initiatives for DHR. </w:t>
            </w:r>
          </w:p>
        </w:tc>
        <w:tc>
          <w:tcPr>
            <w:tcW w:w="1170" w:type="dxa"/>
            <w:tcBorders>
              <w:top w:val="single" w:sz="4" w:space="0" w:color="auto"/>
              <w:bottom w:val="dotted" w:sz="4" w:space="0" w:color="auto"/>
            </w:tcBorders>
            <w:tcMar>
              <w:top w:w="72" w:type="dxa"/>
              <w:left w:w="115" w:type="dxa"/>
              <w:bottom w:w="72" w:type="dxa"/>
              <w:right w:w="115" w:type="dxa"/>
            </w:tcMar>
          </w:tcPr>
          <w:p w14:paraId="13B95A2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$63,139</w:t>
            </w:r>
          </w:p>
        </w:tc>
        <w:tc>
          <w:tcPr>
            <w:tcW w:w="1170" w:type="dxa"/>
            <w:tcBorders>
              <w:top w:val="single" w:sz="4" w:space="0" w:color="auto"/>
              <w:bottom w:val="dotted" w:sz="4" w:space="0" w:color="auto"/>
            </w:tcBorders>
          </w:tcPr>
          <w:p w14:paraId="48C4EC00"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$123,000</w:t>
            </w:r>
          </w:p>
        </w:tc>
        <w:tc>
          <w:tcPr>
            <w:tcW w:w="1350" w:type="dxa"/>
            <w:tcBorders>
              <w:top w:val="single" w:sz="4" w:space="0" w:color="auto"/>
              <w:bottom w:val="dotted" w:sz="4" w:space="0" w:color="auto"/>
            </w:tcBorders>
          </w:tcPr>
          <w:p w14:paraId="459EA7AC"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$186,139</w:t>
            </w:r>
          </w:p>
        </w:tc>
      </w:tr>
      <w:tr w:rsidR="007427D5" w:rsidRPr="00E64512" w14:paraId="29E36C1D" w14:textId="77777777" w:rsidTr="000C002B">
        <w:trPr>
          <w:cantSplit/>
          <w:jc w:val="center"/>
        </w:trPr>
        <w:tc>
          <w:tcPr>
            <w:tcW w:w="612" w:type="dxa"/>
            <w:tcBorders>
              <w:top w:val="dotted" w:sz="4" w:space="0" w:color="auto"/>
              <w:bottom w:val="dotted" w:sz="4" w:space="0" w:color="auto"/>
            </w:tcBorders>
          </w:tcPr>
          <w:p w14:paraId="17D75FAA" w14:textId="77777777" w:rsidR="007427D5" w:rsidRPr="00E64512" w:rsidRDefault="007427D5" w:rsidP="00E34BBA">
            <w:pPr>
              <w:rPr>
                <w:rFonts w:ascii="Arial" w:hAnsi="Arial" w:cs="Arial"/>
                <w:sz w:val="22"/>
                <w:szCs w:val="22"/>
              </w:rPr>
            </w:pPr>
            <w:r w:rsidRPr="00E64512">
              <w:rPr>
                <w:rFonts w:ascii="Arial" w:hAnsi="Arial" w:cs="Arial"/>
                <w:sz w:val="22"/>
                <w:szCs w:val="22"/>
              </w:rPr>
              <w:t>2</w:t>
            </w:r>
          </w:p>
        </w:tc>
        <w:tc>
          <w:tcPr>
            <w:tcW w:w="5256" w:type="dxa"/>
            <w:tcBorders>
              <w:top w:val="dotted" w:sz="4" w:space="0" w:color="auto"/>
              <w:bottom w:val="dotted" w:sz="4" w:space="0" w:color="auto"/>
            </w:tcBorders>
            <w:tcMar>
              <w:top w:w="72" w:type="dxa"/>
              <w:left w:w="115" w:type="dxa"/>
              <w:bottom w:w="72" w:type="dxa"/>
              <w:right w:w="115" w:type="dxa"/>
            </w:tcMar>
          </w:tcPr>
          <w:p w14:paraId="3C7DB122" w14:textId="77777777" w:rsidR="007427D5" w:rsidRPr="00E64512" w:rsidRDefault="007427D5" w:rsidP="00E34BBA">
            <w:pPr>
              <w:spacing w:line="264" w:lineRule="auto"/>
              <w:rPr>
                <w:rFonts w:ascii="Arial" w:hAnsi="Arial" w:cs="Arial"/>
                <w:sz w:val="22"/>
                <w:szCs w:val="22"/>
              </w:rPr>
            </w:pPr>
            <w:r w:rsidRPr="00E64512">
              <w:rPr>
                <w:rFonts w:ascii="Arial" w:hAnsi="Arial" w:cs="Arial"/>
                <w:sz w:val="22"/>
                <w:szCs w:val="22"/>
                <w:u w:val="single"/>
              </w:rPr>
              <w:t xml:space="preserve">Equal Employment Opportunity (EEO) Support </w:t>
            </w:r>
            <w:r>
              <w:rPr>
                <w:rFonts w:ascii="Arial" w:hAnsi="Arial" w:cs="Arial"/>
                <w:sz w:val="22"/>
                <w:szCs w:val="22"/>
                <w:u w:val="single"/>
              </w:rPr>
              <w:t xml:space="preserve">    </w:t>
            </w:r>
            <w:r w:rsidRPr="00E64512">
              <w:rPr>
                <w:rFonts w:ascii="Arial" w:hAnsi="Arial" w:cs="Arial"/>
                <w:sz w:val="22"/>
                <w:szCs w:val="22"/>
                <w:u w:val="single"/>
              </w:rPr>
              <w:t>(2 FTEs)</w:t>
            </w:r>
            <w:r w:rsidRPr="00E64512">
              <w:rPr>
                <w:rFonts w:ascii="Arial" w:hAnsi="Arial" w:cs="Arial"/>
                <w:sz w:val="22"/>
                <w:szCs w:val="22"/>
              </w:rPr>
              <w:t xml:space="preserve">. Currently, DHR has one in-house position available to respond to all </w:t>
            </w:r>
            <w:r>
              <w:rPr>
                <w:rFonts w:ascii="Arial" w:hAnsi="Arial" w:cs="Arial"/>
                <w:sz w:val="22"/>
                <w:szCs w:val="22"/>
              </w:rPr>
              <w:t xml:space="preserve">EEO </w:t>
            </w:r>
            <w:r w:rsidRPr="00E64512">
              <w:rPr>
                <w:rFonts w:ascii="Arial" w:hAnsi="Arial" w:cs="Arial"/>
                <w:sz w:val="22"/>
                <w:szCs w:val="22"/>
              </w:rPr>
              <w:t>investigations.</w:t>
            </w:r>
            <w:r>
              <w:rPr>
                <w:rFonts w:ascii="Arial" w:hAnsi="Arial" w:cs="Arial"/>
                <w:sz w:val="22"/>
                <w:szCs w:val="22"/>
              </w:rPr>
              <w:t xml:space="preserve"> </w:t>
            </w:r>
            <w:r w:rsidRPr="00574607">
              <w:rPr>
                <w:rFonts w:ascii="Arial" w:hAnsi="Arial" w:cs="Arial"/>
                <w:sz w:val="22"/>
                <w:szCs w:val="22"/>
              </w:rPr>
              <w:t xml:space="preserve">With over 130 complaints a year, executive staff have indicated departments routinely hire outside investigators costing between $5,000 and $30,000 per investigator. </w:t>
            </w:r>
            <w:r w:rsidRPr="00B11D0A">
              <w:rPr>
                <w:rFonts w:ascii="Arial" w:hAnsi="Arial" w:cs="Arial"/>
                <w:sz w:val="22"/>
                <w:szCs w:val="22"/>
              </w:rPr>
              <w:t xml:space="preserve">These FTEs would increase internal capacity and </w:t>
            </w:r>
            <w:r>
              <w:rPr>
                <w:rFonts w:ascii="Arial" w:hAnsi="Arial" w:cs="Arial"/>
                <w:sz w:val="22"/>
                <w:szCs w:val="22"/>
              </w:rPr>
              <w:t xml:space="preserve">possibly </w:t>
            </w:r>
            <w:r w:rsidRPr="00B11D0A">
              <w:rPr>
                <w:rFonts w:ascii="Arial" w:hAnsi="Arial" w:cs="Arial"/>
                <w:sz w:val="22"/>
                <w:szCs w:val="22"/>
              </w:rPr>
              <w:t>reduce costs</w:t>
            </w:r>
            <w:r>
              <w:rPr>
                <w:rFonts w:ascii="Arial" w:hAnsi="Arial" w:cs="Arial"/>
                <w:sz w:val="22"/>
                <w:szCs w:val="22"/>
              </w:rPr>
              <w:t xml:space="preserve"> for external investigators</w:t>
            </w:r>
            <w:r w:rsidRPr="00B11D0A">
              <w:rPr>
                <w:rFonts w:ascii="Arial" w:hAnsi="Arial" w:cs="Arial"/>
                <w:sz w:val="22"/>
                <w:szCs w:val="22"/>
              </w:rPr>
              <w:t>.</w:t>
            </w:r>
            <w:r>
              <w:rPr>
                <w:rFonts w:ascii="Arial" w:hAnsi="Arial" w:cs="Arial"/>
                <w:color w:val="FF0000"/>
                <w:sz w:val="22"/>
                <w:szCs w:val="22"/>
              </w:rPr>
              <w:t xml:space="preserve"> </w:t>
            </w:r>
          </w:p>
        </w:tc>
        <w:tc>
          <w:tcPr>
            <w:tcW w:w="1170" w:type="dxa"/>
            <w:tcBorders>
              <w:top w:val="dotted" w:sz="4" w:space="0" w:color="auto"/>
              <w:bottom w:val="dotted" w:sz="4" w:space="0" w:color="auto"/>
            </w:tcBorders>
            <w:tcMar>
              <w:top w:w="72" w:type="dxa"/>
              <w:left w:w="115" w:type="dxa"/>
              <w:bottom w:w="72" w:type="dxa"/>
              <w:right w:w="115" w:type="dxa"/>
            </w:tcMar>
          </w:tcPr>
          <w:p w14:paraId="3D013DE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$116,537</w:t>
            </w:r>
          </w:p>
        </w:tc>
        <w:tc>
          <w:tcPr>
            <w:tcW w:w="1170" w:type="dxa"/>
            <w:tcBorders>
              <w:top w:val="dotted" w:sz="4" w:space="0" w:color="auto"/>
              <w:bottom w:val="dotted" w:sz="4" w:space="0" w:color="auto"/>
            </w:tcBorders>
          </w:tcPr>
          <w:p w14:paraId="73B12EA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$228,000</w:t>
            </w:r>
          </w:p>
        </w:tc>
        <w:tc>
          <w:tcPr>
            <w:tcW w:w="1350" w:type="dxa"/>
            <w:tcBorders>
              <w:top w:val="dotted" w:sz="4" w:space="0" w:color="auto"/>
              <w:bottom w:val="dotted" w:sz="4" w:space="0" w:color="auto"/>
            </w:tcBorders>
          </w:tcPr>
          <w:p w14:paraId="6F584F34"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$344,537</w:t>
            </w:r>
          </w:p>
        </w:tc>
      </w:tr>
      <w:tr w:rsidR="007427D5" w:rsidRPr="00E64512" w14:paraId="20E7F66E" w14:textId="77777777" w:rsidTr="00D1724E">
        <w:trPr>
          <w:cantSplit/>
          <w:jc w:val="center"/>
        </w:trPr>
        <w:tc>
          <w:tcPr>
            <w:tcW w:w="612" w:type="dxa"/>
            <w:tcBorders>
              <w:top w:val="dotted" w:sz="4" w:space="0" w:color="auto"/>
              <w:bottom w:val="dotted" w:sz="4" w:space="0" w:color="auto"/>
            </w:tcBorders>
          </w:tcPr>
          <w:p w14:paraId="14B74F82" w14:textId="77777777" w:rsidR="007427D5" w:rsidRPr="00E64512" w:rsidRDefault="007427D5" w:rsidP="00E34BBA">
            <w:pPr>
              <w:rPr>
                <w:rFonts w:ascii="Arial" w:hAnsi="Arial" w:cs="Arial"/>
                <w:sz w:val="22"/>
                <w:szCs w:val="22"/>
              </w:rPr>
            </w:pPr>
            <w:r w:rsidRPr="00E64512">
              <w:rPr>
                <w:rFonts w:ascii="Arial" w:hAnsi="Arial" w:cs="Arial"/>
                <w:sz w:val="22"/>
                <w:szCs w:val="22"/>
              </w:rPr>
              <w:lastRenderedPageBreak/>
              <w:t>3</w:t>
            </w:r>
          </w:p>
        </w:tc>
        <w:tc>
          <w:tcPr>
            <w:tcW w:w="5256" w:type="dxa"/>
            <w:tcBorders>
              <w:top w:val="dotted" w:sz="4" w:space="0" w:color="auto"/>
              <w:bottom w:val="dotted" w:sz="4" w:space="0" w:color="auto"/>
            </w:tcBorders>
            <w:tcMar>
              <w:top w:w="72" w:type="dxa"/>
              <w:left w:w="115" w:type="dxa"/>
              <w:bottom w:w="72" w:type="dxa"/>
              <w:right w:w="115" w:type="dxa"/>
            </w:tcMar>
          </w:tcPr>
          <w:p w14:paraId="5771DFD4" w14:textId="77777777" w:rsidR="007427D5" w:rsidRPr="00E64512" w:rsidRDefault="007427D5" w:rsidP="00E34BBA">
            <w:pPr>
              <w:spacing w:line="264" w:lineRule="auto"/>
              <w:rPr>
                <w:rFonts w:ascii="Arial" w:hAnsi="Arial" w:cs="Arial"/>
                <w:sz w:val="22"/>
                <w:szCs w:val="22"/>
              </w:rPr>
            </w:pPr>
            <w:r w:rsidRPr="00E64512">
              <w:rPr>
                <w:rFonts w:ascii="Arial" w:hAnsi="Arial" w:cs="Arial"/>
                <w:sz w:val="22"/>
                <w:szCs w:val="22"/>
                <w:u w:val="single"/>
              </w:rPr>
              <w:t>Educator Consultant</w:t>
            </w:r>
            <w:r>
              <w:rPr>
                <w:rFonts w:ascii="Arial" w:hAnsi="Arial" w:cs="Arial"/>
                <w:sz w:val="22"/>
                <w:szCs w:val="22"/>
                <w:u w:val="single"/>
              </w:rPr>
              <w:t>s (3 FTEs)</w:t>
            </w:r>
            <w:r w:rsidRPr="009022F3">
              <w:rPr>
                <w:rFonts w:ascii="Arial" w:hAnsi="Arial" w:cs="Arial"/>
                <w:sz w:val="22"/>
                <w:szCs w:val="22"/>
              </w:rPr>
              <w:t xml:space="preserve">: </w:t>
            </w:r>
            <w:r w:rsidRPr="001836D6">
              <w:rPr>
                <w:rFonts w:ascii="Arial" w:hAnsi="Arial" w:cs="Arial"/>
                <w:sz w:val="22"/>
                <w:szCs w:val="22"/>
              </w:rPr>
              <w:t>The 2021-22 Budget eliminated an educator consultant</w:t>
            </w:r>
            <w:r>
              <w:rPr>
                <w:rFonts w:ascii="Arial" w:hAnsi="Arial" w:cs="Arial"/>
                <w:sz w:val="22"/>
                <w:szCs w:val="22"/>
              </w:rPr>
              <w:t xml:space="preserve"> in </w:t>
            </w:r>
            <w:r w:rsidRPr="00727B3C">
              <w:rPr>
                <w:rFonts w:ascii="Arial" w:hAnsi="Arial" w:cs="Arial"/>
                <w:sz w:val="22"/>
                <w:szCs w:val="22"/>
              </w:rPr>
              <w:t xml:space="preserve">DHR focused on </w:t>
            </w:r>
            <w:r w:rsidRPr="00EC5A6E">
              <w:rPr>
                <w:rFonts w:ascii="Arial" w:hAnsi="Arial" w:cs="Arial"/>
                <w:sz w:val="22"/>
                <w:szCs w:val="22"/>
              </w:rPr>
              <w:t>harassment prevention. Th</w:t>
            </w:r>
            <w:r>
              <w:rPr>
                <w:rFonts w:ascii="Arial" w:hAnsi="Arial" w:cs="Arial"/>
                <w:sz w:val="22"/>
                <w:szCs w:val="22"/>
              </w:rPr>
              <w:t>e</w:t>
            </w:r>
            <w:r w:rsidRPr="00EC5A6E">
              <w:rPr>
                <w:rFonts w:ascii="Arial" w:hAnsi="Arial" w:cs="Arial"/>
                <w:sz w:val="22"/>
                <w:szCs w:val="22"/>
              </w:rPr>
              <w:t xml:space="preserve"> </w:t>
            </w:r>
            <w:r w:rsidRPr="00727B3C">
              <w:rPr>
                <w:rFonts w:ascii="Arial" w:hAnsi="Arial" w:cs="Arial"/>
                <w:sz w:val="22"/>
                <w:szCs w:val="22"/>
              </w:rPr>
              <w:t xml:space="preserve">proposed ordinance would add </w:t>
            </w:r>
            <w:r>
              <w:rPr>
                <w:rFonts w:ascii="Arial" w:hAnsi="Arial" w:cs="Arial"/>
                <w:sz w:val="22"/>
                <w:szCs w:val="22"/>
              </w:rPr>
              <w:t>that</w:t>
            </w:r>
            <w:r w:rsidRPr="00727B3C">
              <w:rPr>
                <w:rFonts w:ascii="Arial" w:hAnsi="Arial" w:cs="Arial"/>
                <w:sz w:val="22"/>
                <w:szCs w:val="22"/>
              </w:rPr>
              <w:t xml:space="preserve"> position</w:t>
            </w:r>
            <w:r>
              <w:rPr>
                <w:rFonts w:ascii="Arial" w:hAnsi="Arial" w:cs="Arial"/>
                <w:sz w:val="22"/>
                <w:szCs w:val="22"/>
              </w:rPr>
              <w:t xml:space="preserve"> back</w:t>
            </w:r>
            <w:r w:rsidRPr="00727B3C">
              <w:rPr>
                <w:rFonts w:ascii="Arial" w:hAnsi="Arial" w:cs="Arial"/>
                <w:sz w:val="22"/>
                <w:szCs w:val="22"/>
              </w:rPr>
              <w:t xml:space="preserve"> as well as two other educator consultants – one to </w:t>
            </w:r>
            <w:r>
              <w:rPr>
                <w:rFonts w:ascii="Arial" w:hAnsi="Arial" w:cs="Arial"/>
                <w:sz w:val="22"/>
                <w:szCs w:val="22"/>
              </w:rPr>
              <w:t>help address the increased demand for ESJ focused training and o</w:t>
            </w:r>
            <w:r w:rsidRPr="00727B3C">
              <w:rPr>
                <w:rFonts w:ascii="Arial" w:hAnsi="Arial" w:cs="Arial"/>
                <w:sz w:val="22"/>
                <w:szCs w:val="22"/>
              </w:rPr>
              <w:t xml:space="preserve">ne to provide </w:t>
            </w:r>
            <w:r w:rsidRPr="00815515">
              <w:rPr>
                <w:rFonts w:ascii="Arial" w:hAnsi="Arial" w:cs="Arial"/>
                <w:sz w:val="22"/>
                <w:szCs w:val="22"/>
              </w:rPr>
              <w:t xml:space="preserve">leadership and management training focused on equity, healthy conflict, organization development, and other leadership training needs. </w:t>
            </w:r>
            <w:r w:rsidRPr="00727B3C">
              <w:rPr>
                <w:rFonts w:ascii="Arial" w:hAnsi="Arial" w:cs="Arial"/>
                <w:sz w:val="22"/>
                <w:szCs w:val="22"/>
              </w:rPr>
              <w:t xml:space="preserve">Currently, </w:t>
            </w:r>
            <w:r w:rsidRPr="001836D6">
              <w:rPr>
                <w:rFonts w:ascii="Arial" w:hAnsi="Arial" w:cs="Arial"/>
                <w:sz w:val="22"/>
                <w:szCs w:val="22"/>
              </w:rPr>
              <w:t>DHR</w:t>
            </w:r>
            <w:r>
              <w:rPr>
                <w:rFonts w:ascii="Arial" w:hAnsi="Arial" w:cs="Arial"/>
                <w:sz w:val="22"/>
                <w:szCs w:val="22"/>
              </w:rPr>
              <w:t xml:space="preserve"> </w:t>
            </w:r>
            <w:r w:rsidRPr="001836D6">
              <w:rPr>
                <w:rFonts w:ascii="Arial" w:hAnsi="Arial" w:cs="Arial"/>
                <w:sz w:val="22"/>
                <w:szCs w:val="22"/>
              </w:rPr>
              <w:t>has four educator consultants to provide enterprise-wide training, two of which are focused on ESJ</w:t>
            </w:r>
            <w:r>
              <w:rPr>
                <w:rFonts w:ascii="Arial" w:hAnsi="Arial" w:cs="Arial"/>
                <w:sz w:val="22"/>
                <w:szCs w:val="22"/>
              </w:rPr>
              <w:t xml:space="preserve"> trainings</w:t>
            </w:r>
            <w:r w:rsidRPr="001836D6">
              <w:rPr>
                <w:rFonts w:ascii="Arial" w:hAnsi="Arial" w:cs="Arial"/>
                <w:sz w:val="22"/>
                <w:szCs w:val="22"/>
              </w:rPr>
              <w:t>.</w:t>
            </w:r>
          </w:p>
        </w:tc>
        <w:tc>
          <w:tcPr>
            <w:tcW w:w="1170" w:type="dxa"/>
            <w:tcBorders>
              <w:top w:val="dotted" w:sz="4" w:space="0" w:color="auto"/>
              <w:bottom w:val="dotted" w:sz="4" w:space="0" w:color="auto"/>
            </w:tcBorders>
            <w:tcMar>
              <w:top w:w="72" w:type="dxa"/>
              <w:left w:w="115" w:type="dxa"/>
              <w:bottom w:w="72" w:type="dxa"/>
              <w:right w:w="115" w:type="dxa"/>
            </w:tcMar>
          </w:tcPr>
          <w:p w14:paraId="46A4AB4C"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w:t>
            </w:r>
            <w:r>
              <w:rPr>
                <w:rFonts w:ascii="Arial" w:hAnsi="Arial" w:cs="Arial"/>
                <w:sz w:val="22"/>
                <w:szCs w:val="22"/>
              </w:rPr>
              <w:t>1</w:t>
            </w:r>
            <w:r w:rsidRPr="00E64512">
              <w:rPr>
                <w:rFonts w:ascii="Arial" w:hAnsi="Arial" w:cs="Arial"/>
                <w:sz w:val="22"/>
                <w:szCs w:val="22"/>
              </w:rPr>
              <w:t>50,</w:t>
            </w:r>
            <w:r>
              <w:rPr>
                <w:rFonts w:ascii="Arial" w:hAnsi="Arial" w:cs="Arial"/>
                <w:sz w:val="22"/>
                <w:szCs w:val="22"/>
              </w:rPr>
              <w:t>246</w:t>
            </w:r>
          </w:p>
        </w:tc>
        <w:tc>
          <w:tcPr>
            <w:tcW w:w="1170" w:type="dxa"/>
            <w:tcBorders>
              <w:top w:val="dotted" w:sz="4" w:space="0" w:color="auto"/>
              <w:bottom w:val="dotted" w:sz="4" w:space="0" w:color="auto"/>
            </w:tcBorders>
          </w:tcPr>
          <w:p w14:paraId="364C4FF0"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w:t>
            </w:r>
            <w:r>
              <w:rPr>
                <w:rFonts w:ascii="Arial" w:hAnsi="Arial" w:cs="Arial"/>
                <w:sz w:val="22"/>
                <w:szCs w:val="22"/>
              </w:rPr>
              <w:t>294</w:t>
            </w:r>
            <w:r w:rsidRPr="00E64512">
              <w:rPr>
                <w:rFonts w:ascii="Arial" w:hAnsi="Arial" w:cs="Arial"/>
                <w:sz w:val="22"/>
                <w:szCs w:val="22"/>
              </w:rPr>
              <w:t>,000</w:t>
            </w:r>
          </w:p>
        </w:tc>
        <w:tc>
          <w:tcPr>
            <w:tcW w:w="1350" w:type="dxa"/>
            <w:tcBorders>
              <w:top w:val="dotted" w:sz="4" w:space="0" w:color="auto"/>
              <w:bottom w:val="dotted" w:sz="4" w:space="0" w:color="auto"/>
            </w:tcBorders>
          </w:tcPr>
          <w:p w14:paraId="28A36F0C"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w:t>
            </w:r>
            <w:r>
              <w:rPr>
                <w:rFonts w:ascii="Arial" w:hAnsi="Arial" w:cs="Arial"/>
                <w:sz w:val="22"/>
                <w:szCs w:val="22"/>
              </w:rPr>
              <w:t>444,246</w:t>
            </w:r>
          </w:p>
        </w:tc>
      </w:tr>
      <w:tr w:rsidR="007427D5" w:rsidRPr="00E64512" w14:paraId="1CB97267" w14:textId="77777777" w:rsidTr="00D1724E">
        <w:trPr>
          <w:cantSplit/>
          <w:jc w:val="center"/>
        </w:trPr>
        <w:tc>
          <w:tcPr>
            <w:tcW w:w="612" w:type="dxa"/>
            <w:tcBorders>
              <w:top w:val="dotted" w:sz="4" w:space="0" w:color="auto"/>
              <w:bottom w:val="dotted" w:sz="4" w:space="0" w:color="auto"/>
            </w:tcBorders>
          </w:tcPr>
          <w:p w14:paraId="7DE58FFB" w14:textId="77777777" w:rsidR="007427D5" w:rsidRPr="00E64512" w:rsidRDefault="007427D5" w:rsidP="00E34BBA">
            <w:pPr>
              <w:rPr>
                <w:rFonts w:ascii="Arial" w:hAnsi="Arial" w:cs="Arial"/>
                <w:sz w:val="22"/>
                <w:szCs w:val="22"/>
              </w:rPr>
            </w:pPr>
            <w:r>
              <w:rPr>
                <w:rFonts w:ascii="Arial" w:hAnsi="Arial" w:cs="Arial"/>
                <w:sz w:val="22"/>
                <w:szCs w:val="22"/>
              </w:rPr>
              <w:t>4</w:t>
            </w:r>
          </w:p>
        </w:tc>
        <w:tc>
          <w:tcPr>
            <w:tcW w:w="5256" w:type="dxa"/>
            <w:tcBorders>
              <w:top w:val="dotted" w:sz="4" w:space="0" w:color="auto"/>
              <w:bottom w:val="dotted" w:sz="4" w:space="0" w:color="auto"/>
            </w:tcBorders>
            <w:tcMar>
              <w:top w:w="72" w:type="dxa"/>
              <w:left w:w="115" w:type="dxa"/>
              <w:bottom w:w="72" w:type="dxa"/>
              <w:right w:w="115" w:type="dxa"/>
            </w:tcMar>
          </w:tcPr>
          <w:p w14:paraId="6AD18EF6" w14:textId="77777777" w:rsidR="007427D5" w:rsidRPr="00E64512" w:rsidRDefault="007427D5" w:rsidP="00E34BBA">
            <w:pPr>
              <w:spacing w:line="264" w:lineRule="auto"/>
              <w:rPr>
                <w:rFonts w:ascii="Arial" w:hAnsi="Arial" w:cs="Arial"/>
                <w:sz w:val="22"/>
                <w:szCs w:val="22"/>
                <w:u w:val="single"/>
              </w:rPr>
            </w:pPr>
            <w:r w:rsidRPr="00E64512">
              <w:rPr>
                <w:rFonts w:ascii="Arial" w:hAnsi="Arial" w:cs="Arial"/>
                <w:sz w:val="22"/>
                <w:szCs w:val="22"/>
                <w:u w:val="single"/>
              </w:rPr>
              <w:t>Senior Policy Analyst (1 TLT)</w:t>
            </w:r>
            <w:r w:rsidRPr="00E64512">
              <w:rPr>
                <w:rFonts w:ascii="Arial" w:hAnsi="Arial" w:cs="Arial"/>
                <w:sz w:val="22"/>
                <w:szCs w:val="22"/>
              </w:rPr>
              <w:t>. Would assist with the increased workload associated with</w:t>
            </w:r>
            <w:r>
              <w:rPr>
                <w:rFonts w:ascii="Arial" w:hAnsi="Arial" w:cs="Arial"/>
                <w:sz w:val="22"/>
                <w:szCs w:val="22"/>
              </w:rPr>
              <w:t xml:space="preserve"> </w:t>
            </w:r>
            <w:r w:rsidRPr="00E64512">
              <w:rPr>
                <w:rFonts w:ascii="Arial" w:hAnsi="Arial" w:cs="Arial"/>
                <w:sz w:val="22"/>
                <w:szCs w:val="22"/>
              </w:rPr>
              <w:t xml:space="preserve">developing </w:t>
            </w:r>
            <w:r w:rsidRPr="0023142F">
              <w:rPr>
                <w:rFonts w:ascii="Arial" w:hAnsi="Arial" w:cs="Arial"/>
                <w:sz w:val="22"/>
                <w:szCs w:val="22"/>
              </w:rPr>
              <w:t xml:space="preserve">human resources policies pertaining </w:t>
            </w:r>
            <w:r w:rsidRPr="00E64512">
              <w:rPr>
                <w:rFonts w:ascii="Arial" w:hAnsi="Arial" w:cs="Arial"/>
                <w:sz w:val="22"/>
                <w:szCs w:val="22"/>
              </w:rPr>
              <w:t xml:space="preserve">to COVID-19, vaccination, and return to work issues. </w:t>
            </w:r>
          </w:p>
        </w:tc>
        <w:tc>
          <w:tcPr>
            <w:tcW w:w="1170" w:type="dxa"/>
            <w:tcBorders>
              <w:top w:val="dotted" w:sz="4" w:space="0" w:color="auto"/>
              <w:bottom w:val="dotted" w:sz="4" w:space="0" w:color="auto"/>
            </w:tcBorders>
            <w:tcMar>
              <w:top w:w="72" w:type="dxa"/>
              <w:left w:w="115" w:type="dxa"/>
              <w:bottom w:w="72" w:type="dxa"/>
              <w:right w:w="115" w:type="dxa"/>
            </w:tcMar>
          </w:tcPr>
          <w:p w14:paraId="04665A19"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$66,822</w:t>
            </w:r>
          </w:p>
        </w:tc>
        <w:tc>
          <w:tcPr>
            <w:tcW w:w="1170" w:type="dxa"/>
            <w:tcBorders>
              <w:top w:val="dotted" w:sz="4" w:space="0" w:color="auto"/>
              <w:bottom w:val="dotted" w:sz="4" w:space="0" w:color="auto"/>
            </w:tcBorders>
          </w:tcPr>
          <w:p w14:paraId="659B25C1"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$130,000</w:t>
            </w:r>
          </w:p>
        </w:tc>
        <w:tc>
          <w:tcPr>
            <w:tcW w:w="1350" w:type="dxa"/>
            <w:tcBorders>
              <w:top w:val="dotted" w:sz="4" w:space="0" w:color="auto"/>
              <w:bottom w:val="dotted" w:sz="4" w:space="0" w:color="auto"/>
            </w:tcBorders>
          </w:tcPr>
          <w:p w14:paraId="0C04518E"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$196,822</w:t>
            </w:r>
          </w:p>
        </w:tc>
      </w:tr>
      <w:tr w:rsidR="007427D5" w:rsidRPr="00E64512" w14:paraId="47FAC71F" w14:textId="77777777" w:rsidTr="00E34BBA">
        <w:trPr>
          <w:cantSplit/>
          <w:jc w:val="center"/>
        </w:trPr>
        <w:tc>
          <w:tcPr>
            <w:tcW w:w="612" w:type="dxa"/>
            <w:tcBorders>
              <w:top w:val="dotted" w:sz="4" w:space="0" w:color="auto"/>
              <w:bottom w:val="dotted" w:sz="4" w:space="0" w:color="auto"/>
            </w:tcBorders>
          </w:tcPr>
          <w:p w14:paraId="1166ADA4" w14:textId="77777777" w:rsidR="007427D5" w:rsidRPr="00E64512" w:rsidRDefault="007427D5" w:rsidP="00E34BBA">
            <w:pPr>
              <w:rPr>
                <w:rFonts w:ascii="Arial" w:hAnsi="Arial" w:cs="Arial"/>
                <w:sz w:val="22"/>
                <w:szCs w:val="22"/>
              </w:rPr>
            </w:pPr>
            <w:r>
              <w:rPr>
                <w:rFonts w:ascii="Arial" w:hAnsi="Arial" w:cs="Arial"/>
                <w:sz w:val="22"/>
                <w:szCs w:val="22"/>
              </w:rPr>
              <w:t>5</w:t>
            </w:r>
          </w:p>
        </w:tc>
        <w:tc>
          <w:tcPr>
            <w:tcW w:w="5256" w:type="dxa"/>
            <w:tcBorders>
              <w:top w:val="dotted" w:sz="4" w:space="0" w:color="auto"/>
              <w:bottom w:val="dotted" w:sz="4" w:space="0" w:color="auto"/>
            </w:tcBorders>
            <w:tcMar>
              <w:top w:w="72" w:type="dxa"/>
              <w:left w:w="115" w:type="dxa"/>
              <w:bottom w:w="72" w:type="dxa"/>
              <w:right w:w="115" w:type="dxa"/>
            </w:tcMar>
          </w:tcPr>
          <w:p w14:paraId="2B202659" w14:textId="77777777" w:rsidR="007427D5" w:rsidRPr="00E64512" w:rsidRDefault="007427D5" w:rsidP="00E34BBA">
            <w:pPr>
              <w:spacing w:line="264" w:lineRule="auto"/>
              <w:rPr>
                <w:rFonts w:ascii="Arial" w:hAnsi="Arial" w:cs="Arial"/>
                <w:sz w:val="22"/>
                <w:szCs w:val="22"/>
                <w:u w:val="single"/>
              </w:rPr>
            </w:pPr>
            <w:r w:rsidRPr="00E64512">
              <w:rPr>
                <w:rFonts w:ascii="Arial" w:hAnsi="Arial" w:cs="Arial"/>
                <w:sz w:val="22"/>
                <w:szCs w:val="22"/>
                <w:u w:val="single"/>
              </w:rPr>
              <w:t>Department of Judicial Administration (DJA): Human Resources Manager II (1 FTE)</w:t>
            </w:r>
            <w:r w:rsidRPr="00E64512">
              <w:rPr>
                <w:rFonts w:ascii="Arial" w:hAnsi="Arial" w:cs="Arial"/>
                <w:sz w:val="22"/>
                <w:szCs w:val="22"/>
              </w:rPr>
              <w:t>. DJA does not currently have a position dedicated to human resources. This position</w:t>
            </w:r>
            <w:r>
              <w:rPr>
                <w:rFonts w:ascii="Arial" w:hAnsi="Arial" w:cs="Arial"/>
                <w:sz w:val="22"/>
                <w:szCs w:val="22"/>
              </w:rPr>
              <w:t xml:space="preserve"> </w:t>
            </w:r>
            <w:r w:rsidRPr="00E64512">
              <w:rPr>
                <w:rFonts w:ascii="Arial" w:hAnsi="Arial" w:cs="Arial"/>
                <w:sz w:val="22"/>
                <w:szCs w:val="22"/>
              </w:rPr>
              <w:t>would provide comprehensive human resources services and programs for DJA</w:t>
            </w:r>
            <w:r>
              <w:rPr>
                <w:rFonts w:ascii="Arial" w:hAnsi="Arial" w:cs="Arial"/>
                <w:sz w:val="22"/>
                <w:szCs w:val="22"/>
              </w:rPr>
              <w:t xml:space="preserve"> and report to DHR. </w:t>
            </w:r>
            <w:r w:rsidRPr="00E64512">
              <w:rPr>
                <w:rFonts w:ascii="Arial" w:hAnsi="Arial" w:cs="Arial"/>
                <w:sz w:val="22"/>
                <w:szCs w:val="22"/>
              </w:rPr>
              <w:t xml:space="preserve"> </w:t>
            </w:r>
          </w:p>
        </w:tc>
        <w:tc>
          <w:tcPr>
            <w:tcW w:w="1170" w:type="dxa"/>
            <w:tcBorders>
              <w:top w:val="dotted" w:sz="4" w:space="0" w:color="auto"/>
              <w:bottom w:val="dotted" w:sz="4" w:space="0" w:color="auto"/>
            </w:tcBorders>
            <w:tcMar>
              <w:top w:w="72" w:type="dxa"/>
              <w:left w:w="115" w:type="dxa"/>
              <w:bottom w:w="72" w:type="dxa"/>
              <w:right w:w="115" w:type="dxa"/>
            </w:tcMar>
          </w:tcPr>
          <w:p w14:paraId="0B6BFFE6"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$186,139</w:t>
            </w:r>
          </w:p>
        </w:tc>
        <w:tc>
          <w:tcPr>
            <w:tcW w:w="1170" w:type="dxa"/>
            <w:tcBorders>
              <w:top w:val="dotted" w:sz="4" w:space="0" w:color="auto"/>
              <w:bottom w:val="dotted" w:sz="4" w:space="0" w:color="auto"/>
            </w:tcBorders>
          </w:tcPr>
          <w:p w14:paraId="4944CCAE"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c>
          <w:tcPr>
            <w:tcW w:w="1350" w:type="dxa"/>
            <w:tcBorders>
              <w:top w:val="dotted" w:sz="4" w:space="0" w:color="auto"/>
              <w:bottom w:val="dotted" w:sz="4" w:space="0" w:color="auto"/>
            </w:tcBorders>
          </w:tcPr>
          <w:p w14:paraId="6F6D1CE7"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$186,139</w:t>
            </w:r>
          </w:p>
        </w:tc>
      </w:tr>
      <w:tr w:rsidR="007427D5" w:rsidRPr="00E64512" w14:paraId="4165D268" w14:textId="77777777" w:rsidTr="00E34BBA">
        <w:trPr>
          <w:cantSplit/>
          <w:jc w:val="center"/>
        </w:trPr>
        <w:tc>
          <w:tcPr>
            <w:tcW w:w="612" w:type="dxa"/>
            <w:tcBorders>
              <w:top w:val="dotted" w:sz="4" w:space="0" w:color="auto"/>
              <w:bottom w:val="dotted" w:sz="4" w:space="0" w:color="auto"/>
            </w:tcBorders>
          </w:tcPr>
          <w:p w14:paraId="7AB5DE2E" w14:textId="77777777" w:rsidR="007427D5" w:rsidRPr="00E64512" w:rsidRDefault="007427D5" w:rsidP="00E34BBA">
            <w:pPr>
              <w:rPr>
                <w:rFonts w:ascii="Arial" w:hAnsi="Arial" w:cs="Arial"/>
                <w:sz w:val="22"/>
                <w:szCs w:val="22"/>
              </w:rPr>
            </w:pPr>
            <w:r>
              <w:rPr>
                <w:rFonts w:ascii="Arial" w:hAnsi="Arial" w:cs="Arial"/>
                <w:sz w:val="22"/>
                <w:szCs w:val="22"/>
              </w:rPr>
              <w:t>6</w:t>
            </w:r>
          </w:p>
        </w:tc>
        <w:tc>
          <w:tcPr>
            <w:tcW w:w="5256" w:type="dxa"/>
            <w:tcBorders>
              <w:top w:val="dotted" w:sz="4" w:space="0" w:color="auto"/>
              <w:bottom w:val="dotted" w:sz="4" w:space="0" w:color="auto"/>
            </w:tcBorders>
            <w:tcMar>
              <w:top w:w="72" w:type="dxa"/>
              <w:left w:w="115" w:type="dxa"/>
              <w:bottom w:w="72" w:type="dxa"/>
              <w:right w:w="115" w:type="dxa"/>
            </w:tcMar>
          </w:tcPr>
          <w:p w14:paraId="2E197676" w14:textId="77777777" w:rsidR="007427D5" w:rsidRPr="00E64512" w:rsidRDefault="007427D5" w:rsidP="00E34BBA">
            <w:pPr>
              <w:spacing w:line="264" w:lineRule="auto"/>
              <w:rPr>
                <w:rFonts w:ascii="Arial" w:hAnsi="Arial" w:cs="Arial"/>
                <w:sz w:val="22"/>
                <w:szCs w:val="22"/>
                <w:u w:val="single"/>
              </w:rPr>
            </w:pPr>
            <w:r>
              <w:rPr>
                <w:rFonts w:ascii="Arial" w:hAnsi="Arial" w:cs="Arial"/>
                <w:sz w:val="22"/>
                <w:szCs w:val="22"/>
                <w:u w:val="single"/>
              </w:rPr>
              <w:t>Sheriff’s Office (KCSO)</w:t>
            </w:r>
            <w:r w:rsidRPr="00E64512">
              <w:rPr>
                <w:rFonts w:ascii="Arial" w:hAnsi="Arial" w:cs="Arial"/>
                <w:sz w:val="22"/>
                <w:szCs w:val="22"/>
                <w:u w:val="single"/>
              </w:rPr>
              <w:t>: Human Resources Manager III (1 FTE)</w:t>
            </w:r>
            <w:r w:rsidRPr="00E64512">
              <w:rPr>
                <w:rFonts w:ascii="Arial" w:hAnsi="Arial" w:cs="Arial"/>
                <w:sz w:val="22"/>
                <w:szCs w:val="22"/>
              </w:rPr>
              <w:t xml:space="preserve">. </w:t>
            </w:r>
            <w:r w:rsidRPr="00E50ACD">
              <w:rPr>
                <w:rFonts w:ascii="Arial" w:hAnsi="Arial" w:cs="Arial"/>
                <w:sz w:val="22"/>
                <w:szCs w:val="22"/>
              </w:rPr>
              <w:t xml:space="preserve">Reporting to DHR, </w:t>
            </w:r>
            <w:r w:rsidRPr="00E64512">
              <w:rPr>
                <w:rFonts w:ascii="Arial" w:hAnsi="Arial" w:cs="Arial"/>
                <w:sz w:val="22"/>
                <w:szCs w:val="22"/>
              </w:rPr>
              <w:t xml:space="preserve">this position would direct and oversee comprehensive human resources programs and services for </w:t>
            </w:r>
            <w:r>
              <w:rPr>
                <w:rFonts w:ascii="Arial" w:hAnsi="Arial" w:cs="Arial"/>
                <w:sz w:val="22"/>
                <w:szCs w:val="22"/>
              </w:rPr>
              <w:t>KCSO</w:t>
            </w:r>
            <w:r w:rsidRPr="00E64512">
              <w:rPr>
                <w:rFonts w:ascii="Arial" w:hAnsi="Arial" w:cs="Arial"/>
                <w:sz w:val="22"/>
                <w:szCs w:val="22"/>
              </w:rPr>
              <w:t xml:space="preserve">. </w:t>
            </w:r>
            <w:r w:rsidRPr="00703067">
              <w:rPr>
                <w:rFonts w:ascii="Arial" w:hAnsi="Arial" w:cs="Arial"/>
                <w:sz w:val="22"/>
                <w:szCs w:val="22"/>
              </w:rPr>
              <w:t xml:space="preserve">This would bring </w:t>
            </w:r>
            <w:r>
              <w:rPr>
                <w:rFonts w:ascii="Arial" w:hAnsi="Arial" w:cs="Arial"/>
                <w:sz w:val="22"/>
                <w:szCs w:val="22"/>
              </w:rPr>
              <w:t>KCSO</w:t>
            </w:r>
            <w:r w:rsidRPr="00703067">
              <w:rPr>
                <w:rFonts w:ascii="Arial" w:hAnsi="Arial" w:cs="Arial"/>
                <w:sz w:val="22"/>
                <w:szCs w:val="22"/>
              </w:rPr>
              <w:t xml:space="preserve"> into alignment with the human resources manager framework used in the executive branch. </w:t>
            </w:r>
          </w:p>
        </w:tc>
        <w:tc>
          <w:tcPr>
            <w:tcW w:w="1170" w:type="dxa"/>
            <w:tcBorders>
              <w:top w:val="dotted" w:sz="4" w:space="0" w:color="auto"/>
              <w:bottom w:val="dotted" w:sz="4" w:space="0" w:color="auto"/>
            </w:tcBorders>
            <w:tcMar>
              <w:top w:w="72" w:type="dxa"/>
              <w:left w:w="115" w:type="dxa"/>
              <w:bottom w:w="72" w:type="dxa"/>
              <w:right w:w="115" w:type="dxa"/>
            </w:tcMar>
          </w:tcPr>
          <w:p w14:paraId="21E24823"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$196,822</w:t>
            </w:r>
          </w:p>
        </w:tc>
        <w:tc>
          <w:tcPr>
            <w:tcW w:w="1170" w:type="dxa"/>
            <w:tcBorders>
              <w:top w:val="dotted" w:sz="4" w:space="0" w:color="auto"/>
              <w:bottom w:val="dotted" w:sz="4" w:space="0" w:color="auto"/>
            </w:tcBorders>
          </w:tcPr>
          <w:p w14:paraId="00F63432"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c>
          <w:tcPr>
            <w:tcW w:w="1350" w:type="dxa"/>
            <w:tcBorders>
              <w:top w:val="dotted" w:sz="4" w:space="0" w:color="auto"/>
              <w:bottom w:val="dotted" w:sz="4" w:space="0" w:color="auto"/>
            </w:tcBorders>
          </w:tcPr>
          <w:p w14:paraId="003D0E9A"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$196,822</w:t>
            </w:r>
          </w:p>
        </w:tc>
      </w:tr>
      <w:tr w:rsidR="007427D5" w:rsidRPr="00E64512" w14:paraId="37CA9CDB" w14:textId="77777777" w:rsidTr="000C002B">
        <w:trPr>
          <w:cantSplit/>
          <w:jc w:val="center"/>
        </w:trPr>
        <w:tc>
          <w:tcPr>
            <w:tcW w:w="612" w:type="dxa"/>
            <w:tcBorders>
              <w:top w:val="dotted" w:sz="4" w:space="0" w:color="auto"/>
              <w:bottom w:val="dotted" w:sz="4" w:space="0" w:color="auto"/>
            </w:tcBorders>
          </w:tcPr>
          <w:p w14:paraId="7A45C86A" w14:textId="77777777" w:rsidR="007427D5" w:rsidRPr="00E64512" w:rsidRDefault="007427D5" w:rsidP="00E34BBA">
            <w:pPr>
              <w:rPr>
                <w:rFonts w:ascii="Arial" w:hAnsi="Arial" w:cs="Arial"/>
                <w:sz w:val="22"/>
                <w:szCs w:val="22"/>
              </w:rPr>
            </w:pPr>
            <w:r>
              <w:rPr>
                <w:rFonts w:ascii="Arial" w:hAnsi="Arial" w:cs="Arial"/>
                <w:sz w:val="22"/>
                <w:szCs w:val="22"/>
              </w:rPr>
              <w:t>7</w:t>
            </w:r>
            <w:r w:rsidRPr="00E64512">
              <w:rPr>
                <w:rFonts w:ascii="Arial" w:hAnsi="Arial" w:cs="Arial"/>
                <w:sz w:val="22"/>
                <w:szCs w:val="22"/>
              </w:rPr>
              <w:t xml:space="preserve"> </w:t>
            </w:r>
          </w:p>
        </w:tc>
        <w:tc>
          <w:tcPr>
            <w:tcW w:w="5256" w:type="dxa"/>
            <w:tcBorders>
              <w:top w:val="dotted" w:sz="4" w:space="0" w:color="auto"/>
              <w:bottom w:val="dotted" w:sz="4" w:space="0" w:color="auto"/>
            </w:tcBorders>
            <w:tcMar>
              <w:top w:w="72" w:type="dxa"/>
              <w:left w:w="115" w:type="dxa"/>
              <w:bottom w:w="72" w:type="dxa"/>
              <w:right w:w="115" w:type="dxa"/>
            </w:tcMar>
          </w:tcPr>
          <w:p w14:paraId="62267CC6" w14:textId="77777777" w:rsidR="007427D5" w:rsidRPr="00E64512" w:rsidRDefault="007427D5" w:rsidP="00E34BBA">
            <w:pPr>
              <w:spacing w:line="264" w:lineRule="auto"/>
              <w:rPr>
                <w:rFonts w:ascii="Arial" w:hAnsi="Arial" w:cs="Arial"/>
                <w:sz w:val="22"/>
                <w:szCs w:val="22"/>
                <w:u w:val="single"/>
              </w:rPr>
            </w:pPr>
            <w:r>
              <w:rPr>
                <w:rFonts w:ascii="Arial" w:hAnsi="Arial" w:cs="Arial"/>
                <w:sz w:val="22"/>
                <w:szCs w:val="22"/>
                <w:u w:val="single"/>
              </w:rPr>
              <w:t>KCSO</w:t>
            </w:r>
            <w:r w:rsidRPr="00E64512">
              <w:rPr>
                <w:rFonts w:ascii="Arial" w:hAnsi="Arial" w:cs="Arial"/>
                <w:sz w:val="22"/>
                <w:szCs w:val="22"/>
                <w:u w:val="single"/>
              </w:rPr>
              <w:t>: Civil Service Human Resources Analyst (1 FTE)</w:t>
            </w:r>
            <w:r w:rsidRPr="00E64512">
              <w:rPr>
                <w:rFonts w:ascii="Arial" w:hAnsi="Arial" w:cs="Arial"/>
                <w:sz w:val="22"/>
                <w:szCs w:val="22"/>
              </w:rPr>
              <w:t xml:space="preserve">. </w:t>
            </w:r>
            <w:r>
              <w:rPr>
                <w:rFonts w:ascii="Arial" w:hAnsi="Arial" w:cs="Arial"/>
                <w:sz w:val="22"/>
                <w:szCs w:val="22"/>
              </w:rPr>
              <w:t>KCSO</w:t>
            </w:r>
            <w:r w:rsidRPr="00E64512">
              <w:rPr>
                <w:rFonts w:ascii="Arial" w:hAnsi="Arial" w:cs="Arial"/>
                <w:sz w:val="22"/>
                <w:szCs w:val="22"/>
              </w:rPr>
              <w:t xml:space="preserve"> has many vacancies to fill and applications for public safety jobs have declined nationally. This position would develop recruitment strategies and support the civil service team's community outreach efforts.</w:t>
            </w:r>
          </w:p>
        </w:tc>
        <w:tc>
          <w:tcPr>
            <w:tcW w:w="1170" w:type="dxa"/>
            <w:tcBorders>
              <w:top w:val="dotted" w:sz="4" w:space="0" w:color="auto"/>
              <w:bottom w:val="dotted" w:sz="4" w:space="0" w:color="auto"/>
            </w:tcBorders>
            <w:tcMar>
              <w:top w:w="72" w:type="dxa"/>
              <w:left w:w="115" w:type="dxa"/>
              <w:bottom w:w="72" w:type="dxa"/>
              <w:right w:w="115" w:type="dxa"/>
            </w:tcMar>
          </w:tcPr>
          <w:p w14:paraId="798D91EA"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$127,716</w:t>
            </w:r>
          </w:p>
        </w:tc>
        <w:tc>
          <w:tcPr>
            <w:tcW w:w="1170" w:type="dxa"/>
            <w:tcBorders>
              <w:top w:val="dotted" w:sz="4" w:space="0" w:color="auto"/>
              <w:bottom w:val="dotted" w:sz="4" w:space="0" w:color="auto"/>
            </w:tcBorders>
          </w:tcPr>
          <w:p w14:paraId="4723C3F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c>
          <w:tcPr>
            <w:tcW w:w="1350" w:type="dxa"/>
            <w:tcBorders>
              <w:top w:val="dotted" w:sz="4" w:space="0" w:color="auto"/>
              <w:bottom w:val="dotted" w:sz="4" w:space="0" w:color="auto"/>
            </w:tcBorders>
          </w:tcPr>
          <w:p w14:paraId="42224555"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$127,716</w:t>
            </w:r>
          </w:p>
        </w:tc>
      </w:tr>
      <w:tr w:rsidR="007427D5" w:rsidRPr="00E64512" w14:paraId="52BA12D1" w14:textId="77777777" w:rsidTr="000C002B">
        <w:trPr>
          <w:cantSplit/>
          <w:jc w:val="center"/>
        </w:trPr>
        <w:tc>
          <w:tcPr>
            <w:tcW w:w="612" w:type="dxa"/>
            <w:tcBorders>
              <w:top w:val="dotted" w:sz="4" w:space="0" w:color="auto"/>
              <w:bottom w:val="single" w:sz="8" w:space="0" w:color="auto"/>
            </w:tcBorders>
          </w:tcPr>
          <w:p w14:paraId="72F04244" w14:textId="77777777" w:rsidR="007427D5" w:rsidRPr="00E64512" w:rsidRDefault="007427D5" w:rsidP="00E34BBA">
            <w:pPr>
              <w:rPr>
                <w:rFonts w:ascii="Arial" w:hAnsi="Arial" w:cs="Arial"/>
                <w:sz w:val="22"/>
                <w:szCs w:val="22"/>
              </w:rPr>
            </w:pPr>
            <w:r>
              <w:rPr>
                <w:rFonts w:ascii="Arial" w:hAnsi="Arial" w:cs="Arial"/>
                <w:sz w:val="22"/>
                <w:szCs w:val="22"/>
              </w:rPr>
              <w:lastRenderedPageBreak/>
              <w:t>8</w:t>
            </w:r>
            <w:r w:rsidRPr="00E64512">
              <w:rPr>
                <w:rFonts w:ascii="Arial" w:hAnsi="Arial" w:cs="Arial"/>
                <w:sz w:val="22"/>
                <w:szCs w:val="22"/>
              </w:rPr>
              <w:t xml:space="preserve"> </w:t>
            </w:r>
          </w:p>
        </w:tc>
        <w:tc>
          <w:tcPr>
            <w:tcW w:w="5256" w:type="dxa"/>
            <w:tcBorders>
              <w:top w:val="dotted" w:sz="4" w:space="0" w:color="auto"/>
              <w:bottom w:val="single" w:sz="8" w:space="0" w:color="auto"/>
            </w:tcBorders>
            <w:tcMar>
              <w:top w:w="72" w:type="dxa"/>
              <w:left w:w="115" w:type="dxa"/>
              <w:bottom w:w="72" w:type="dxa"/>
              <w:right w:w="115" w:type="dxa"/>
            </w:tcMar>
          </w:tcPr>
          <w:p w14:paraId="062B1A33" w14:textId="63575A5F" w:rsidR="007427D5" w:rsidRPr="00E64512" w:rsidRDefault="007427D5" w:rsidP="00E34BBA">
            <w:pPr>
              <w:spacing w:line="264" w:lineRule="auto"/>
              <w:rPr>
                <w:rFonts w:ascii="Arial" w:hAnsi="Arial" w:cs="Arial"/>
                <w:sz w:val="22"/>
                <w:szCs w:val="22"/>
                <w:u w:val="single"/>
              </w:rPr>
            </w:pPr>
            <w:r>
              <w:rPr>
                <w:rFonts w:ascii="Arial" w:hAnsi="Arial" w:cs="Arial"/>
                <w:sz w:val="22"/>
                <w:szCs w:val="22"/>
                <w:u w:val="single"/>
              </w:rPr>
              <w:t>KCSO</w:t>
            </w:r>
            <w:r w:rsidRPr="00E64512">
              <w:rPr>
                <w:rFonts w:ascii="Arial" w:hAnsi="Arial" w:cs="Arial"/>
                <w:sz w:val="22"/>
                <w:szCs w:val="22"/>
                <w:u w:val="single"/>
              </w:rPr>
              <w:t>: Civil Service Human Resources Analyst (1 FTE)</w:t>
            </w:r>
            <w:r w:rsidRPr="00E64512">
              <w:rPr>
                <w:rFonts w:ascii="Arial" w:hAnsi="Arial" w:cs="Arial"/>
                <w:sz w:val="22"/>
                <w:szCs w:val="22"/>
              </w:rPr>
              <w:t xml:space="preserve">. </w:t>
            </w:r>
            <w:r>
              <w:rPr>
                <w:rFonts w:ascii="Arial" w:hAnsi="Arial" w:cs="Arial"/>
                <w:sz w:val="22"/>
                <w:szCs w:val="22"/>
              </w:rPr>
              <w:t>The p</w:t>
            </w:r>
            <w:r w:rsidRPr="00E64512">
              <w:rPr>
                <w:rFonts w:ascii="Arial" w:hAnsi="Arial" w:cs="Arial"/>
                <w:sz w:val="22"/>
                <w:szCs w:val="22"/>
              </w:rPr>
              <w:t xml:space="preserve">roposed ordinance converts </w:t>
            </w:r>
            <w:r>
              <w:rPr>
                <w:rFonts w:ascii="Arial" w:hAnsi="Arial" w:cs="Arial"/>
                <w:sz w:val="22"/>
                <w:szCs w:val="22"/>
              </w:rPr>
              <w:t xml:space="preserve">a </w:t>
            </w:r>
            <w:r w:rsidRPr="00E64512">
              <w:rPr>
                <w:rFonts w:ascii="Arial" w:hAnsi="Arial" w:cs="Arial"/>
                <w:sz w:val="22"/>
                <w:szCs w:val="22"/>
              </w:rPr>
              <w:t xml:space="preserve">TLT to </w:t>
            </w:r>
            <w:r w:rsidR="004F3FBC">
              <w:rPr>
                <w:rFonts w:ascii="Arial" w:hAnsi="Arial" w:cs="Arial"/>
                <w:sz w:val="22"/>
                <w:szCs w:val="22"/>
              </w:rPr>
              <w:t>an</w:t>
            </w:r>
            <w:r>
              <w:rPr>
                <w:rFonts w:ascii="Arial" w:hAnsi="Arial" w:cs="Arial"/>
                <w:sz w:val="22"/>
                <w:szCs w:val="22"/>
              </w:rPr>
              <w:t xml:space="preserve"> </w:t>
            </w:r>
            <w:r w:rsidRPr="00E64512">
              <w:rPr>
                <w:rFonts w:ascii="Arial" w:hAnsi="Arial" w:cs="Arial"/>
                <w:sz w:val="22"/>
                <w:szCs w:val="22"/>
              </w:rPr>
              <w:t xml:space="preserve">FTE to reflect the ongoing nature of </w:t>
            </w:r>
            <w:r>
              <w:rPr>
                <w:rFonts w:ascii="Arial" w:hAnsi="Arial" w:cs="Arial"/>
                <w:sz w:val="22"/>
                <w:szCs w:val="22"/>
              </w:rPr>
              <w:t>KCSO</w:t>
            </w:r>
            <w:r w:rsidRPr="00E64512">
              <w:rPr>
                <w:rFonts w:ascii="Arial" w:hAnsi="Arial" w:cs="Arial"/>
                <w:sz w:val="22"/>
                <w:szCs w:val="22"/>
              </w:rPr>
              <w:t xml:space="preserve"> civil service recruitments. Since the appropriation amount is already accounted for in the 2021-22 budget</w:t>
            </w:r>
            <w:r>
              <w:rPr>
                <w:rFonts w:ascii="Arial" w:hAnsi="Arial" w:cs="Arial"/>
                <w:sz w:val="22"/>
                <w:szCs w:val="22"/>
              </w:rPr>
              <w:t xml:space="preserve"> as a TLT</w:t>
            </w:r>
            <w:r w:rsidRPr="00E64512">
              <w:rPr>
                <w:rFonts w:ascii="Arial" w:hAnsi="Arial" w:cs="Arial"/>
                <w:sz w:val="22"/>
                <w:szCs w:val="22"/>
              </w:rPr>
              <w:t xml:space="preserve">, there is no additional appropriation in the proposed ordinance. It should be noted, however, that changing this position from a TLT to an FTE assumes an ongoing cost of </w:t>
            </w:r>
            <w:r w:rsidRPr="0051516F">
              <w:rPr>
                <w:rFonts w:ascii="Arial" w:hAnsi="Arial" w:cs="Arial"/>
                <w:sz w:val="22"/>
                <w:szCs w:val="22"/>
              </w:rPr>
              <w:t xml:space="preserve">about </w:t>
            </w:r>
            <w:bookmarkStart w:id="2" w:name="_Hlk84854795"/>
            <w:r w:rsidRPr="0051516F">
              <w:rPr>
                <w:rFonts w:ascii="Arial" w:hAnsi="Arial" w:cs="Arial"/>
                <w:sz w:val="22"/>
                <w:szCs w:val="22"/>
              </w:rPr>
              <w:t>$</w:t>
            </w:r>
            <w:r>
              <w:rPr>
                <w:rFonts w:ascii="Arial" w:hAnsi="Arial" w:cs="Arial"/>
                <w:sz w:val="22"/>
                <w:szCs w:val="22"/>
              </w:rPr>
              <w:t>257,054 per biennium</w:t>
            </w:r>
            <w:bookmarkEnd w:id="2"/>
            <w:r w:rsidRPr="0051516F">
              <w:rPr>
                <w:rFonts w:ascii="Arial" w:hAnsi="Arial" w:cs="Arial"/>
                <w:sz w:val="22"/>
                <w:szCs w:val="22"/>
              </w:rPr>
              <w:t>.</w:t>
            </w:r>
            <w:r w:rsidRPr="00E64512">
              <w:rPr>
                <w:rFonts w:ascii="Arial" w:hAnsi="Arial" w:cs="Arial"/>
                <w:color w:val="FF0000"/>
                <w:sz w:val="22"/>
                <w:szCs w:val="22"/>
              </w:rPr>
              <w:t xml:space="preserve">  </w:t>
            </w:r>
          </w:p>
        </w:tc>
        <w:tc>
          <w:tcPr>
            <w:tcW w:w="1170" w:type="dxa"/>
            <w:tcBorders>
              <w:top w:val="dotted" w:sz="4" w:space="0" w:color="auto"/>
              <w:bottom w:val="single" w:sz="4" w:space="0" w:color="auto"/>
            </w:tcBorders>
            <w:tcMar>
              <w:top w:w="72" w:type="dxa"/>
              <w:left w:w="115" w:type="dxa"/>
              <w:bottom w:w="72" w:type="dxa"/>
              <w:right w:w="115" w:type="dxa"/>
            </w:tcMar>
          </w:tcPr>
          <w:p w14:paraId="3E98D4C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c>
          <w:tcPr>
            <w:tcW w:w="1170" w:type="dxa"/>
            <w:tcBorders>
              <w:top w:val="dotted" w:sz="4" w:space="0" w:color="auto"/>
              <w:bottom w:val="single" w:sz="4" w:space="0" w:color="auto"/>
            </w:tcBorders>
          </w:tcPr>
          <w:p w14:paraId="0828476A"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c>
          <w:tcPr>
            <w:tcW w:w="1350" w:type="dxa"/>
            <w:tcBorders>
              <w:top w:val="dotted" w:sz="4" w:space="0" w:color="auto"/>
              <w:bottom w:val="single" w:sz="4" w:space="0" w:color="auto"/>
            </w:tcBorders>
          </w:tcPr>
          <w:p w14:paraId="0C4874EB" w14:textId="77777777" w:rsidR="007427D5" w:rsidRPr="00E64512" w:rsidRDefault="007427D5" w:rsidP="00E34BBA">
            <w:pPr>
              <w:jc w:val="right"/>
              <w:rPr>
                <w:rFonts w:ascii="Arial" w:hAnsi="Arial" w:cs="Arial"/>
                <w:sz w:val="22"/>
                <w:szCs w:val="22"/>
              </w:rPr>
            </w:pPr>
            <w:r w:rsidRPr="00E64512">
              <w:rPr>
                <w:rFonts w:ascii="Arial" w:hAnsi="Arial" w:cs="Arial"/>
                <w:sz w:val="22"/>
                <w:szCs w:val="22"/>
              </w:rPr>
              <w:t>$0</w:t>
            </w:r>
          </w:p>
        </w:tc>
      </w:tr>
      <w:tr w:rsidR="007427D5" w:rsidRPr="00E64512" w14:paraId="0A1793A0" w14:textId="77777777" w:rsidTr="00E34BBA">
        <w:trPr>
          <w:cantSplit/>
          <w:jc w:val="center"/>
        </w:trPr>
        <w:tc>
          <w:tcPr>
            <w:tcW w:w="612" w:type="dxa"/>
            <w:tcBorders>
              <w:top w:val="single" w:sz="8" w:space="0" w:color="auto"/>
              <w:bottom w:val="single" w:sz="12" w:space="0" w:color="auto"/>
            </w:tcBorders>
          </w:tcPr>
          <w:p w14:paraId="4770C5A6" w14:textId="77777777" w:rsidR="007427D5" w:rsidRPr="00E64512" w:rsidRDefault="007427D5" w:rsidP="00E34BBA">
            <w:pPr>
              <w:rPr>
                <w:rFonts w:ascii="Arial" w:hAnsi="Arial" w:cs="Arial"/>
                <w:sz w:val="22"/>
                <w:szCs w:val="22"/>
              </w:rPr>
            </w:pPr>
          </w:p>
        </w:tc>
        <w:tc>
          <w:tcPr>
            <w:tcW w:w="5256" w:type="dxa"/>
            <w:tcBorders>
              <w:top w:val="single" w:sz="8" w:space="0" w:color="auto"/>
              <w:bottom w:val="single" w:sz="12" w:space="0" w:color="auto"/>
            </w:tcBorders>
            <w:tcMar>
              <w:top w:w="72" w:type="dxa"/>
              <w:left w:w="115" w:type="dxa"/>
              <w:bottom w:w="72" w:type="dxa"/>
              <w:right w:w="115" w:type="dxa"/>
            </w:tcMar>
          </w:tcPr>
          <w:p w14:paraId="4C5B5675" w14:textId="77777777" w:rsidR="007427D5" w:rsidRPr="00502FEE" w:rsidRDefault="007427D5" w:rsidP="00E34BBA">
            <w:pPr>
              <w:spacing w:line="264" w:lineRule="auto"/>
              <w:jc w:val="right"/>
              <w:rPr>
                <w:rFonts w:ascii="Arial" w:hAnsi="Arial" w:cs="Arial"/>
                <w:b/>
                <w:bCs/>
                <w:sz w:val="22"/>
                <w:szCs w:val="22"/>
              </w:rPr>
            </w:pPr>
            <w:r w:rsidRPr="00502FEE">
              <w:rPr>
                <w:rFonts w:ascii="Arial" w:hAnsi="Arial" w:cs="Arial"/>
                <w:b/>
                <w:bCs/>
                <w:sz w:val="22"/>
                <w:szCs w:val="22"/>
              </w:rPr>
              <w:t>TOTAL</w:t>
            </w:r>
          </w:p>
        </w:tc>
        <w:tc>
          <w:tcPr>
            <w:tcW w:w="1170" w:type="dxa"/>
            <w:tcBorders>
              <w:top w:val="single" w:sz="4" w:space="0" w:color="auto"/>
              <w:bottom w:val="single" w:sz="12" w:space="0" w:color="auto"/>
            </w:tcBorders>
            <w:tcMar>
              <w:top w:w="72" w:type="dxa"/>
              <w:left w:w="115" w:type="dxa"/>
              <w:bottom w:w="72" w:type="dxa"/>
              <w:right w:w="115" w:type="dxa"/>
            </w:tcMar>
          </w:tcPr>
          <w:p w14:paraId="6710A895" w14:textId="77777777" w:rsidR="007427D5" w:rsidRPr="00733983" w:rsidRDefault="007427D5" w:rsidP="00E34BBA">
            <w:pPr>
              <w:jc w:val="right"/>
              <w:rPr>
                <w:rFonts w:ascii="Arial" w:hAnsi="Arial" w:cs="Arial"/>
                <w:b/>
                <w:bCs/>
                <w:sz w:val="22"/>
                <w:szCs w:val="22"/>
              </w:rPr>
            </w:pPr>
            <w:r w:rsidRPr="00733983">
              <w:rPr>
                <w:rFonts w:ascii="Arial" w:hAnsi="Arial" w:cs="Arial"/>
                <w:b/>
                <w:bCs/>
                <w:sz w:val="22"/>
                <w:szCs w:val="22"/>
              </w:rPr>
              <w:t>$907,421</w:t>
            </w:r>
          </w:p>
        </w:tc>
        <w:tc>
          <w:tcPr>
            <w:tcW w:w="1170" w:type="dxa"/>
            <w:tcBorders>
              <w:top w:val="single" w:sz="4" w:space="0" w:color="auto"/>
              <w:bottom w:val="single" w:sz="12" w:space="0" w:color="auto"/>
            </w:tcBorders>
          </w:tcPr>
          <w:p w14:paraId="0520536B" w14:textId="77777777" w:rsidR="007427D5" w:rsidRPr="00733983" w:rsidRDefault="007427D5" w:rsidP="00E34BBA">
            <w:pPr>
              <w:jc w:val="right"/>
              <w:rPr>
                <w:rFonts w:ascii="Arial" w:hAnsi="Arial" w:cs="Arial"/>
                <w:b/>
                <w:bCs/>
                <w:sz w:val="22"/>
                <w:szCs w:val="22"/>
              </w:rPr>
            </w:pPr>
            <w:r w:rsidRPr="00733983">
              <w:rPr>
                <w:rFonts w:ascii="Arial" w:hAnsi="Arial" w:cs="Arial"/>
                <w:b/>
                <w:bCs/>
                <w:sz w:val="22"/>
                <w:szCs w:val="22"/>
              </w:rPr>
              <w:t>$775,000</w:t>
            </w:r>
          </w:p>
        </w:tc>
        <w:tc>
          <w:tcPr>
            <w:tcW w:w="1350" w:type="dxa"/>
            <w:tcBorders>
              <w:top w:val="single" w:sz="4" w:space="0" w:color="auto"/>
              <w:bottom w:val="single" w:sz="12" w:space="0" w:color="auto"/>
            </w:tcBorders>
          </w:tcPr>
          <w:p w14:paraId="442CE9F1" w14:textId="77777777" w:rsidR="007427D5" w:rsidRPr="00733983" w:rsidRDefault="007427D5" w:rsidP="00E34BBA">
            <w:pPr>
              <w:jc w:val="right"/>
              <w:rPr>
                <w:rFonts w:ascii="Arial" w:hAnsi="Arial" w:cs="Arial"/>
                <w:b/>
                <w:bCs/>
                <w:sz w:val="22"/>
                <w:szCs w:val="22"/>
              </w:rPr>
            </w:pPr>
            <w:r w:rsidRPr="00733983">
              <w:rPr>
                <w:rFonts w:ascii="Arial" w:hAnsi="Arial" w:cs="Arial"/>
                <w:b/>
                <w:bCs/>
                <w:sz w:val="22"/>
                <w:szCs w:val="22"/>
              </w:rPr>
              <w:t>$1,682,421</w:t>
            </w:r>
          </w:p>
        </w:tc>
      </w:tr>
    </w:tbl>
    <w:p w14:paraId="45872922" w14:textId="77777777" w:rsidR="007427D5" w:rsidRPr="00E64512" w:rsidRDefault="007427D5" w:rsidP="007427D5">
      <w:pPr>
        <w:tabs>
          <w:tab w:val="left" w:pos="720"/>
          <w:tab w:val="right" w:pos="9360"/>
        </w:tabs>
        <w:spacing w:line="264" w:lineRule="auto"/>
        <w:contextualSpacing/>
        <w:jc w:val="both"/>
        <w:rPr>
          <w:rFonts w:ascii="Arial" w:hAnsi="Arial" w:cs="Arial"/>
          <w:b/>
          <w:szCs w:val="24"/>
          <w:u w:val="single"/>
        </w:rPr>
      </w:pPr>
    </w:p>
    <w:p w14:paraId="6D41C62E" w14:textId="77777777" w:rsidR="007427D5" w:rsidRPr="00E64512" w:rsidRDefault="007427D5" w:rsidP="007427D5">
      <w:pPr>
        <w:spacing w:line="264" w:lineRule="auto"/>
        <w:contextualSpacing/>
        <w:jc w:val="both"/>
        <w:rPr>
          <w:rFonts w:ascii="Arial" w:hAnsi="Arial" w:cs="Arial"/>
          <w:b/>
          <w:iCs/>
          <w:szCs w:val="24"/>
        </w:rPr>
      </w:pPr>
      <w:r w:rsidRPr="00E64512">
        <w:rPr>
          <w:rFonts w:ascii="Arial" w:hAnsi="Arial" w:cs="Arial"/>
          <w:b/>
          <w:iCs/>
          <w:szCs w:val="24"/>
        </w:rPr>
        <w:t>TECHNICAL</w:t>
      </w:r>
    </w:p>
    <w:p w14:paraId="74F125FA" w14:textId="4C099B09" w:rsidR="007427D5" w:rsidRPr="00B47EEA" w:rsidRDefault="007427D5" w:rsidP="007427D5">
      <w:pPr>
        <w:spacing w:line="264" w:lineRule="auto"/>
        <w:contextualSpacing/>
        <w:jc w:val="both"/>
        <w:rPr>
          <w:rFonts w:ascii="Arial" w:hAnsi="Arial" w:cs="Arial"/>
          <w:b/>
          <w:iCs/>
          <w:szCs w:val="24"/>
        </w:rPr>
      </w:pPr>
      <w:r w:rsidRPr="00E64512">
        <w:rPr>
          <w:rFonts w:ascii="Arial" w:hAnsi="Arial" w:cs="Arial"/>
          <w:b/>
          <w:i/>
          <w:szCs w:val="24"/>
        </w:rPr>
        <w:t xml:space="preserve">Deferred Compensation Fund </w:t>
      </w:r>
      <w:r w:rsidRPr="00E64512">
        <w:rPr>
          <w:rFonts w:ascii="Arial" w:hAnsi="Arial" w:cs="Arial"/>
          <w:b/>
          <w:i/>
          <w:iCs/>
          <w:color w:val="000000" w:themeColor="text1"/>
          <w:szCs w:val="24"/>
        </w:rPr>
        <w:t>[</w:t>
      </w:r>
      <w:r w:rsidRPr="00E64512">
        <w:rPr>
          <w:rFonts w:ascii="Arial" w:hAnsi="Arial" w:cs="Arial"/>
          <w:b/>
          <w:i/>
          <w:iCs/>
          <w:color w:val="C0504D" w:themeColor="accent2"/>
          <w:szCs w:val="24"/>
        </w:rPr>
        <w:t>-$664,195, -1.0 FTE</w:t>
      </w:r>
      <w:r w:rsidRPr="00E64512">
        <w:rPr>
          <w:rFonts w:ascii="Arial" w:hAnsi="Arial" w:cs="Arial"/>
          <w:b/>
          <w:i/>
          <w:szCs w:val="24"/>
        </w:rPr>
        <w:t>].</w:t>
      </w:r>
      <w:r w:rsidRPr="00E64512">
        <w:rPr>
          <w:rFonts w:ascii="Arial" w:hAnsi="Arial" w:cs="Arial"/>
          <w:b/>
          <w:iCs/>
          <w:szCs w:val="24"/>
        </w:rPr>
        <w:t xml:space="preserve">  </w:t>
      </w:r>
      <w:r w:rsidR="00B47EEA">
        <w:rPr>
          <w:rFonts w:ascii="Arial" w:hAnsi="Arial" w:cs="Arial"/>
          <w:iCs/>
          <w:szCs w:val="24"/>
        </w:rPr>
        <w:t>T</w:t>
      </w:r>
      <w:r w:rsidRPr="00E64512">
        <w:rPr>
          <w:rFonts w:ascii="Arial" w:hAnsi="Arial" w:cs="Arial"/>
          <w:iCs/>
          <w:szCs w:val="24"/>
        </w:rPr>
        <w:t xml:space="preserve">he proposed ordinance would transfer budgeted expenditure authority from the Department of Human Resources (DHR) </w:t>
      </w:r>
      <w:r>
        <w:rPr>
          <w:rFonts w:ascii="Arial" w:hAnsi="Arial" w:cs="Arial"/>
          <w:iCs/>
          <w:szCs w:val="24"/>
        </w:rPr>
        <w:t>G</w:t>
      </w:r>
      <w:r w:rsidRPr="00E64512">
        <w:rPr>
          <w:rFonts w:ascii="Arial" w:hAnsi="Arial" w:cs="Arial"/>
          <w:iCs/>
          <w:szCs w:val="24"/>
        </w:rPr>
        <w:t xml:space="preserve">eneral </w:t>
      </w:r>
      <w:r>
        <w:rPr>
          <w:rFonts w:ascii="Arial" w:hAnsi="Arial" w:cs="Arial"/>
          <w:iCs/>
          <w:szCs w:val="24"/>
        </w:rPr>
        <w:t>F</w:t>
      </w:r>
      <w:r w:rsidRPr="00E64512">
        <w:rPr>
          <w:rFonts w:ascii="Arial" w:hAnsi="Arial" w:cs="Arial"/>
          <w:iCs/>
          <w:szCs w:val="24"/>
        </w:rPr>
        <w:t xml:space="preserve">und appropriation to the newly created </w:t>
      </w:r>
      <w:r>
        <w:rPr>
          <w:rFonts w:ascii="Arial" w:hAnsi="Arial" w:cs="Arial"/>
          <w:iCs/>
          <w:szCs w:val="24"/>
        </w:rPr>
        <w:t>D</w:t>
      </w:r>
      <w:r w:rsidRPr="00E64512">
        <w:rPr>
          <w:rFonts w:ascii="Arial" w:hAnsi="Arial" w:cs="Arial"/>
          <w:iCs/>
          <w:szCs w:val="24"/>
        </w:rPr>
        <w:t xml:space="preserve">eferred </w:t>
      </w:r>
      <w:r>
        <w:rPr>
          <w:rFonts w:ascii="Arial" w:hAnsi="Arial" w:cs="Arial"/>
          <w:iCs/>
          <w:szCs w:val="24"/>
        </w:rPr>
        <w:t>C</w:t>
      </w:r>
      <w:r w:rsidRPr="00E64512">
        <w:rPr>
          <w:rFonts w:ascii="Arial" w:hAnsi="Arial" w:cs="Arial"/>
          <w:iCs/>
          <w:szCs w:val="24"/>
        </w:rPr>
        <w:t xml:space="preserve">ompensation </w:t>
      </w:r>
      <w:r>
        <w:rPr>
          <w:rFonts w:ascii="Arial" w:hAnsi="Arial" w:cs="Arial"/>
          <w:iCs/>
          <w:szCs w:val="24"/>
        </w:rPr>
        <w:t>A</w:t>
      </w:r>
      <w:r w:rsidRPr="00E64512">
        <w:rPr>
          <w:rFonts w:ascii="Arial" w:hAnsi="Arial" w:cs="Arial"/>
          <w:iCs/>
          <w:szCs w:val="24"/>
        </w:rPr>
        <w:t>dministration fund (</w:t>
      </w:r>
      <w:r>
        <w:rPr>
          <w:rFonts w:ascii="Arial" w:hAnsi="Arial" w:cs="Arial"/>
          <w:iCs/>
          <w:szCs w:val="24"/>
        </w:rPr>
        <w:t>1</w:t>
      </w:r>
      <w:r w:rsidRPr="00E64512">
        <w:rPr>
          <w:rFonts w:ascii="Arial" w:hAnsi="Arial" w:cs="Arial"/>
          <w:iCs/>
          <w:szCs w:val="24"/>
        </w:rPr>
        <w:t xml:space="preserve">330). </w:t>
      </w:r>
      <w:r w:rsidR="00B47EEA">
        <w:rPr>
          <w:rFonts w:ascii="Arial" w:hAnsi="Arial" w:cs="Arial"/>
          <w:iCs/>
          <w:szCs w:val="24"/>
        </w:rPr>
        <w:t xml:space="preserve"> </w:t>
      </w:r>
      <w:r w:rsidRPr="00E64512">
        <w:rPr>
          <w:rFonts w:ascii="Arial" w:hAnsi="Arial" w:cs="Arial"/>
          <w:iCs/>
          <w:szCs w:val="24"/>
        </w:rPr>
        <w:t xml:space="preserve">This fund would be used to record the administrative expenditures and revenues for the deferred compensation program. </w:t>
      </w:r>
      <w:r w:rsidR="00B47EEA">
        <w:rPr>
          <w:rFonts w:ascii="Arial" w:hAnsi="Arial" w:cs="Arial"/>
          <w:iCs/>
          <w:szCs w:val="24"/>
        </w:rPr>
        <w:t xml:space="preserve"> </w:t>
      </w:r>
      <w:r w:rsidRPr="00AA2637">
        <w:rPr>
          <w:rFonts w:ascii="Arial" w:hAnsi="Arial" w:cs="Arial"/>
          <w:iCs/>
          <w:szCs w:val="24"/>
        </w:rPr>
        <w:t xml:space="preserve">The proposed ordinance also includes an equivalent appropriation </w:t>
      </w:r>
      <w:r>
        <w:rPr>
          <w:rFonts w:ascii="Arial" w:hAnsi="Arial" w:cs="Arial"/>
          <w:iCs/>
          <w:szCs w:val="24"/>
        </w:rPr>
        <w:t>to</w:t>
      </w:r>
      <w:r w:rsidRPr="00AA2637">
        <w:rPr>
          <w:rFonts w:ascii="Arial" w:hAnsi="Arial" w:cs="Arial"/>
          <w:iCs/>
          <w:szCs w:val="24"/>
        </w:rPr>
        <w:t xml:space="preserve"> the new fund, which </w:t>
      </w:r>
      <w:r>
        <w:rPr>
          <w:rFonts w:ascii="Arial" w:hAnsi="Arial" w:cs="Arial"/>
          <w:iCs/>
          <w:szCs w:val="24"/>
        </w:rPr>
        <w:t xml:space="preserve">would </w:t>
      </w:r>
      <w:r w:rsidRPr="00AA2637">
        <w:rPr>
          <w:rFonts w:ascii="Arial" w:hAnsi="Arial" w:cs="Arial"/>
          <w:iCs/>
          <w:szCs w:val="24"/>
        </w:rPr>
        <w:t>offset th</w:t>
      </w:r>
      <w:r>
        <w:rPr>
          <w:rFonts w:ascii="Arial" w:hAnsi="Arial" w:cs="Arial"/>
          <w:iCs/>
          <w:szCs w:val="24"/>
        </w:rPr>
        <w:t>e</w:t>
      </w:r>
      <w:r w:rsidRPr="00AA2637">
        <w:rPr>
          <w:rFonts w:ascii="Arial" w:hAnsi="Arial" w:cs="Arial"/>
          <w:iCs/>
          <w:szCs w:val="24"/>
        </w:rPr>
        <w:t xml:space="preserve"> d</w:t>
      </w:r>
      <w:r>
        <w:rPr>
          <w:rFonts w:ascii="Arial" w:hAnsi="Arial" w:cs="Arial"/>
          <w:iCs/>
          <w:szCs w:val="24"/>
        </w:rPr>
        <w:t>isappropriation</w:t>
      </w:r>
      <w:r w:rsidRPr="00AA2637">
        <w:rPr>
          <w:rFonts w:ascii="Arial" w:hAnsi="Arial" w:cs="Arial"/>
          <w:iCs/>
          <w:szCs w:val="24"/>
        </w:rPr>
        <w:t xml:space="preserve"> in the Human Resources Management </w:t>
      </w:r>
      <w:r>
        <w:rPr>
          <w:rFonts w:ascii="Arial" w:hAnsi="Arial" w:cs="Arial"/>
          <w:iCs/>
          <w:szCs w:val="24"/>
        </w:rPr>
        <w:t>fund</w:t>
      </w:r>
      <w:r w:rsidRPr="00AA2637">
        <w:rPr>
          <w:rFonts w:ascii="Arial" w:hAnsi="Arial" w:cs="Arial"/>
          <w:iCs/>
          <w:szCs w:val="24"/>
        </w:rPr>
        <w:t xml:space="preserve">. </w:t>
      </w:r>
      <w:r w:rsidR="00B47EEA">
        <w:rPr>
          <w:rFonts w:ascii="Arial" w:hAnsi="Arial" w:cs="Arial"/>
          <w:iCs/>
          <w:szCs w:val="24"/>
        </w:rPr>
        <w:t xml:space="preserve"> </w:t>
      </w:r>
      <w:r w:rsidRPr="00AA2637">
        <w:rPr>
          <w:rFonts w:ascii="Arial" w:hAnsi="Arial" w:cs="Arial"/>
          <w:iCs/>
          <w:szCs w:val="24"/>
        </w:rPr>
        <w:t>This is a technical adjustment with no change to spending or policies as a result of the transfer.</w:t>
      </w:r>
      <w:r w:rsidR="00B47EEA">
        <w:rPr>
          <w:rFonts w:ascii="Arial" w:hAnsi="Arial" w:cs="Arial"/>
          <w:iCs/>
          <w:szCs w:val="24"/>
        </w:rPr>
        <w:t xml:space="preserve">  </w:t>
      </w:r>
      <w:r w:rsidRPr="00E64512">
        <w:rPr>
          <w:rFonts w:ascii="Arial" w:hAnsi="Arial" w:cs="Arial"/>
          <w:iCs/>
          <w:szCs w:val="24"/>
        </w:rPr>
        <w:t xml:space="preserve">The Executive has also transmitted Proposed Ordinance </w:t>
      </w:r>
      <w:r w:rsidRPr="00E64512">
        <w:rPr>
          <w:rFonts w:ascii="Arial" w:hAnsi="Arial" w:cs="Arial"/>
          <w:bCs/>
          <w:iCs/>
          <w:szCs w:val="24"/>
        </w:rPr>
        <w:t>2021-0380, which would create the new fund (</w:t>
      </w:r>
      <w:r>
        <w:rPr>
          <w:rFonts w:ascii="Arial" w:hAnsi="Arial" w:cs="Arial"/>
          <w:bCs/>
          <w:iCs/>
          <w:szCs w:val="24"/>
        </w:rPr>
        <w:t>1</w:t>
      </w:r>
      <w:r w:rsidRPr="00E64512">
        <w:rPr>
          <w:rFonts w:ascii="Arial" w:hAnsi="Arial" w:cs="Arial"/>
          <w:bCs/>
          <w:iCs/>
          <w:szCs w:val="24"/>
        </w:rPr>
        <w:t xml:space="preserve">330). </w:t>
      </w:r>
    </w:p>
    <w:p w14:paraId="47C028BC" w14:textId="349F791C" w:rsidR="007427D5" w:rsidRDefault="007427D5" w:rsidP="00AB45DE">
      <w:pPr>
        <w:tabs>
          <w:tab w:val="left" w:pos="720"/>
          <w:tab w:val="right" w:pos="9360"/>
        </w:tabs>
        <w:spacing w:line="264" w:lineRule="auto"/>
        <w:contextualSpacing/>
        <w:jc w:val="both"/>
        <w:rPr>
          <w:rFonts w:ascii="Arial" w:hAnsi="Arial" w:cs="Arial"/>
          <w:b/>
          <w:u w:val="single"/>
        </w:rPr>
      </w:pPr>
    </w:p>
    <w:p w14:paraId="64F5E5CF" w14:textId="77777777" w:rsidR="00BA5CD7" w:rsidRDefault="00BA5CD7" w:rsidP="00AB45DE">
      <w:pPr>
        <w:tabs>
          <w:tab w:val="left" w:pos="720"/>
          <w:tab w:val="right" w:pos="9360"/>
        </w:tabs>
        <w:spacing w:line="264" w:lineRule="auto"/>
        <w:contextualSpacing/>
        <w:jc w:val="both"/>
        <w:rPr>
          <w:rFonts w:ascii="Arial" w:hAnsi="Arial" w:cs="Arial"/>
          <w:b/>
          <w:u w:val="single"/>
        </w:rPr>
      </w:pPr>
    </w:p>
    <w:p w14:paraId="78536180" w14:textId="77777777" w:rsidR="003D6EFE" w:rsidRPr="000E7446" w:rsidRDefault="003D6EFE" w:rsidP="003D6EFE">
      <w:pPr>
        <w:tabs>
          <w:tab w:val="left" w:pos="720"/>
          <w:tab w:val="right" w:pos="9360"/>
        </w:tabs>
        <w:spacing w:line="264" w:lineRule="auto"/>
        <w:contextualSpacing/>
        <w:jc w:val="both"/>
        <w:rPr>
          <w:rFonts w:ascii="Arial" w:hAnsi="Arial" w:cs="Arial"/>
          <w:b/>
          <w:u w:val="single"/>
        </w:rPr>
      </w:pPr>
      <w:r>
        <w:rPr>
          <w:rFonts w:ascii="Arial" w:hAnsi="Arial" w:cs="Arial"/>
          <w:b/>
          <w:u w:val="single"/>
        </w:rPr>
        <w:t>Office of Labor Relations</w:t>
      </w:r>
      <w:r w:rsidRPr="000E7446">
        <w:rPr>
          <w:rFonts w:ascii="Arial" w:hAnsi="Arial" w:cs="Arial"/>
          <w:b/>
          <w:u w:val="single"/>
        </w:rPr>
        <w:tab/>
      </w:r>
      <w:r w:rsidRPr="00F4600F">
        <w:rPr>
          <w:rFonts w:ascii="Arial" w:hAnsi="Arial" w:cs="Arial"/>
          <w:b/>
          <w:u w:val="single"/>
        </w:rPr>
        <w:t>$</w:t>
      </w:r>
      <w:r>
        <w:rPr>
          <w:rFonts w:ascii="Arial" w:hAnsi="Arial" w:cs="Arial"/>
          <w:b/>
          <w:u w:val="single"/>
        </w:rPr>
        <w:t>301</w:t>
      </w:r>
      <w:r w:rsidRPr="00F4600F">
        <w:rPr>
          <w:rFonts w:ascii="Arial" w:hAnsi="Arial" w:cs="Arial"/>
          <w:b/>
          <w:u w:val="single"/>
        </w:rPr>
        <w:t>,00</w:t>
      </w:r>
      <w:r>
        <w:rPr>
          <w:rFonts w:ascii="Arial" w:hAnsi="Arial" w:cs="Arial"/>
          <w:b/>
          <w:u w:val="single"/>
        </w:rPr>
        <w:t>0</w:t>
      </w:r>
      <w:r w:rsidRPr="00F4600F">
        <w:rPr>
          <w:rFonts w:ascii="Arial" w:hAnsi="Arial" w:cs="Arial"/>
          <w:b/>
          <w:u w:val="single"/>
        </w:rPr>
        <w:t xml:space="preserve">, </w:t>
      </w:r>
      <w:r>
        <w:rPr>
          <w:rFonts w:ascii="Arial" w:hAnsi="Arial" w:cs="Arial"/>
          <w:b/>
          <w:u w:val="single"/>
        </w:rPr>
        <w:t>2</w:t>
      </w:r>
      <w:r w:rsidRPr="00F4600F">
        <w:rPr>
          <w:rFonts w:ascii="Arial" w:hAnsi="Arial" w:cs="Arial"/>
          <w:b/>
          <w:u w:val="single"/>
        </w:rPr>
        <w:t>.0 FTEs</w:t>
      </w:r>
    </w:p>
    <w:p w14:paraId="31D05DEB" w14:textId="77777777" w:rsidR="003D6EFE" w:rsidRDefault="003D6EFE" w:rsidP="003D6EFE">
      <w:pPr>
        <w:spacing w:line="264" w:lineRule="auto"/>
        <w:contextualSpacing/>
        <w:jc w:val="both"/>
        <w:rPr>
          <w:b/>
        </w:rPr>
      </w:pPr>
    </w:p>
    <w:p w14:paraId="6EAFC530" w14:textId="77777777" w:rsidR="003D6EFE" w:rsidRDefault="003D6EFE" w:rsidP="003D6EFE">
      <w:pPr>
        <w:spacing w:line="264" w:lineRule="auto"/>
        <w:contextualSpacing/>
        <w:jc w:val="both"/>
        <w:rPr>
          <w:rFonts w:ascii="Arial" w:hAnsi="Arial" w:cs="Arial"/>
        </w:rPr>
      </w:pPr>
      <w:r>
        <w:rPr>
          <w:rFonts w:ascii="Arial" w:hAnsi="Arial" w:cs="Arial"/>
          <w:b/>
          <w:i/>
          <w:iCs/>
        </w:rPr>
        <w:t>Restoration of 2022 reductions</w:t>
      </w:r>
      <w:r w:rsidRPr="0054665B">
        <w:rPr>
          <w:rFonts w:ascii="Arial" w:hAnsi="Arial" w:cs="Arial"/>
          <w:b/>
          <w:i/>
          <w:iCs/>
        </w:rPr>
        <w:t xml:space="preserve"> </w:t>
      </w:r>
      <w:r>
        <w:rPr>
          <w:rFonts w:ascii="Arial" w:hAnsi="Arial" w:cs="Arial"/>
          <w:b/>
          <w:i/>
          <w:iCs/>
        </w:rPr>
        <w:t>[$301,000, 2.0 FTEs, ongoing]</w:t>
      </w:r>
      <w:r w:rsidRPr="0054665B">
        <w:rPr>
          <w:rFonts w:ascii="Arial" w:hAnsi="Arial" w:cs="Arial"/>
          <w:b/>
          <w:i/>
          <w:iCs/>
        </w:rPr>
        <w:t>.</w:t>
      </w:r>
      <w:r>
        <w:rPr>
          <w:rFonts w:ascii="Arial" w:hAnsi="Arial" w:cs="Arial"/>
          <w:b/>
        </w:rPr>
        <w:t xml:space="preserve">  </w:t>
      </w:r>
      <w:r>
        <w:rPr>
          <w:rFonts w:ascii="Arial" w:hAnsi="Arial" w:cs="Arial"/>
        </w:rPr>
        <w:t xml:space="preserve">The proposed ordinance would appropriate $301,000 to restore two FTE positions, and furlough days for 2022.  The 2022 reductions were included in the 2021-2022 adopted biennial budget </w:t>
      </w:r>
      <w:r w:rsidRPr="00E64512">
        <w:rPr>
          <w:rFonts w:ascii="Arial" w:hAnsi="Arial" w:cs="Arial"/>
          <w:szCs w:val="24"/>
        </w:rPr>
        <w:t>to meet target reductions</w:t>
      </w:r>
      <w:r>
        <w:rPr>
          <w:rFonts w:ascii="Arial" w:hAnsi="Arial" w:cs="Arial"/>
          <w:szCs w:val="24"/>
        </w:rPr>
        <w:t xml:space="preserve"> due to the recession.</w:t>
      </w:r>
      <w:r>
        <w:rPr>
          <w:rFonts w:ascii="Arial" w:hAnsi="Arial" w:cs="Arial"/>
        </w:rPr>
        <w:t xml:space="preserve">  </w:t>
      </w:r>
    </w:p>
    <w:p w14:paraId="6E6A1FD0" w14:textId="77777777" w:rsidR="003D6EFE" w:rsidRDefault="003D6EFE" w:rsidP="00AB45DE">
      <w:pPr>
        <w:tabs>
          <w:tab w:val="left" w:pos="720"/>
          <w:tab w:val="right" w:pos="9360"/>
        </w:tabs>
        <w:spacing w:line="264" w:lineRule="auto"/>
        <w:contextualSpacing/>
        <w:jc w:val="both"/>
        <w:rPr>
          <w:rFonts w:ascii="Arial" w:hAnsi="Arial" w:cs="Arial"/>
          <w:b/>
          <w:u w:val="single"/>
        </w:rPr>
      </w:pPr>
    </w:p>
    <w:p w14:paraId="55460C05" w14:textId="77777777" w:rsidR="00F130C6" w:rsidRDefault="00F130C6" w:rsidP="00AB45DE">
      <w:pPr>
        <w:tabs>
          <w:tab w:val="left" w:pos="720"/>
          <w:tab w:val="right" w:pos="9360"/>
        </w:tabs>
        <w:spacing w:line="264" w:lineRule="auto"/>
        <w:contextualSpacing/>
        <w:jc w:val="both"/>
        <w:rPr>
          <w:rFonts w:ascii="Arial" w:hAnsi="Arial" w:cs="Arial"/>
          <w:b/>
          <w:u w:val="single"/>
        </w:rPr>
      </w:pPr>
    </w:p>
    <w:p w14:paraId="64A3C67C" w14:textId="77777777" w:rsidR="006C290D" w:rsidRPr="000E7446" w:rsidRDefault="006C290D" w:rsidP="006C290D">
      <w:pPr>
        <w:tabs>
          <w:tab w:val="left" w:pos="720"/>
          <w:tab w:val="right" w:pos="9360"/>
        </w:tabs>
        <w:spacing w:line="264" w:lineRule="auto"/>
        <w:contextualSpacing/>
        <w:jc w:val="both"/>
        <w:rPr>
          <w:rFonts w:ascii="Arial" w:hAnsi="Arial" w:cs="Arial"/>
          <w:b/>
          <w:u w:val="single"/>
        </w:rPr>
      </w:pPr>
      <w:r>
        <w:rPr>
          <w:rFonts w:ascii="Arial" w:hAnsi="Arial" w:cs="Arial"/>
          <w:b/>
          <w:u w:val="single"/>
        </w:rPr>
        <w:t>Records and Licensing Services (RALS)</w:t>
      </w:r>
      <w:r w:rsidRPr="000E7446">
        <w:rPr>
          <w:rFonts w:ascii="Arial" w:hAnsi="Arial" w:cs="Arial"/>
          <w:b/>
          <w:u w:val="single"/>
        </w:rPr>
        <w:tab/>
        <w:t>$</w:t>
      </w:r>
      <w:r>
        <w:rPr>
          <w:rFonts w:ascii="Arial" w:hAnsi="Arial" w:cs="Arial"/>
          <w:b/>
          <w:u w:val="single"/>
        </w:rPr>
        <w:t>655,000, 4.0 FTEs</w:t>
      </w:r>
    </w:p>
    <w:p w14:paraId="7A0278FB" w14:textId="77777777" w:rsidR="006C290D" w:rsidRDefault="006C290D" w:rsidP="006C290D">
      <w:pPr>
        <w:spacing w:line="264" w:lineRule="auto"/>
        <w:contextualSpacing/>
        <w:jc w:val="both"/>
        <w:rPr>
          <w:b/>
        </w:rPr>
      </w:pPr>
    </w:p>
    <w:p w14:paraId="25C52F2E" w14:textId="77777777" w:rsidR="006C290D" w:rsidRDefault="006C290D" w:rsidP="006C290D">
      <w:pPr>
        <w:spacing w:line="264" w:lineRule="auto"/>
        <w:contextualSpacing/>
        <w:jc w:val="both"/>
        <w:rPr>
          <w:rFonts w:ascii="Arial" w:hAnsi="Arial" w:cs="Arial"/>
        </w:rPr>
      </w:pPr>
      <w:r>
        <w:rPr>
          <w:rFonts w:ascii="Arial" w:hAnsi="Arial" w:cs="Arial"/>
          <w:b/>
          <w:i/>
          <w:iCs/>
        </w:rPr>
        <w:t>Recorder's Office Accountant</w:t>
      </w:r>
      <w:r w:rsidRPr="0054665B">
        <w:rPr>
          <w:rFonts w:ascii="Arial" w:hAnsi="Arial" w:cs="Arial"/>
          <w:b/>
          <w:i/>
          <w:iCs/>
        </w:rPr>
        <w:t xml:space="preserve"> </w:t>
      </w:r>
      <w:r>
        <w:rPr>
          <w:rFonts w:ascii="Arial" w:hAnsi="Arial" w:cs="Arial"/>
          <w:b/>
          <w:i/>
          <w:iCs/>
        </w:rPr>
        <w:t>[$179,904, 1.0 FTE, ongoing</w:t>
      </w:r>
      <w:r w:rsidRPr="00DD6305">
        <w:rPr>
          <w:rFonts w:ascii="Arial" w:hAnsi="Arial" w:cs="Arial"/>
          <w:b/>
          <w:i/>
          <w:iCs/>
        </w:rPr>
        <w:t>].</w:t>
      </w:r>
      <w:r w:rsidRPr="00DD6305">
        <w:rPr>
          <w:rFonts w:ascii="Arial" w:hAnsi="Arial" w:cs="Arial"/>
          <w:b/>
        </w:rPr>
        <w:t xml:space="preserve">  </w:t>
      </w:r>
      <w:r w:rsidRPr="00DD6305">
        <w:rPr>
          <w:rFonts w:ascii="Arial" w:hAnsi="Arial" w:cs="Arial"/>
        </w:rPr>
        <w:t>The proposed ordinance would add 1.0 FTE for an accountant to receiv</w:t>
      </w:r>
      <w:r>
        <w:rPr>
          <w:rFonts w:ascii="Arial" w:hAnsi="Arial" w:cs="Arial"/>
        </w:rPr>
        <w:t>e</w:t>
      </w:r>
      <w:r w:rsidRPr="00DD6305">
        <w:rPr>
          <w:rFonts w:ascii="Arial" w:hAnsi="Arial" w:cs="Arial"/>
        </w:rPr>
        <w:t xml:space="preserve"> real estate excise tax and recording fees and distributing them to the correct agencies.</w:t>
      </w:r>
      <w:r>
        <w:rPr>
          <w:rFonts w:ascii="Arial" w:hAnsi="Arial" w:cs="Arial"/>
        </w:rPr>
        <w:t xml:space="preserve"> </w:t>
      </w:r>
      <w:r w:rsidRPr="00DD6305">
        <w:rPr>
          <w:rFonts w:ascii="Arial" w:hAnsi="Arial" w:cs="Arial"/>
        </w:rPr>
        <w:t xml:space="preserve"> Executive staff</w:t>
      </w:r>
      <w:r>
        <w:rPr>
          <w:rFonts w:ascii="Arial" w:hAnsi="Arial" w:cs="Arial"/>
        </w:rPr>
        <w:t xml:space="preserve"> report that the need for this position is due to "[r]</w:t>
      </w:r>
      <w:proofErr w:type="spellStart"/>
      <w:r w:rsidRPr="0030078F">
        <w:rPr>
          <w:rFonts w:ascii="Arial" w:hAnsi="Arial" w:cs="Arial"/>
        </w:rPr>
        <w:t>ecent</w:t>
      </w:r>
      <w:proofErr w:type="spellEnd"/>
      <w:r w:rsidRPr="0030078F">
        <w:rPr>
          <w:rFonts w:ascii="Arial" w:hAnsi="Arial" w:cs="Arial"/>
        </w:rPr>
        <w:t xml:space="preserve"> efforts in reconciliation have shown that the finances and transactions are of such complexity and volume that accountant resources are needed to provide accurate and professional fiscal attention."</w:t>
      </w:r>
      <w:r>
        <w:rPr>
          <w:rFonts w:ascii="Arial" w:hAnsi="Arial" w:cs="Arial"/>
        </w:rPr>
        <w:t xml:space="preserve">  This position would be funded by the General Fund.</w:t>
      </w:r>
    </w:p>
    <w:p w14:paraId="18AFBFF2" w14:textId="77777777" w:rsidR="006C290D" w:rsidRDefault="006C290D" w:rsidP="006C290D">
      <w:pPr>
        <w:spacing w:line="264" w:lineRule="auto"/>
        <w:ind w:left="720"/>
        <w:contextualSpacing/>
        <w:jc w:val="both"/>
        <w:rPr>
          <w:rFonts w:ascii="Arial" w:hAnsi="Arial" w:cs="Arial"/>
        </w:rPr>
      </w:pPr>
    </w:p>
    <w:p w14:paraId="29635E4A" w14:textId="77777777" w:rsidR="006C290D" w:rsidRPr="006D3FF8" w:rsidRDefault="006C290D" w:rsidP="006C290D">
      <w:pPr>
        <w:spacing w:line="264" w:lineRule="auto"/>
        <w:contextualSpacing/>
        <w:jc w:val="both"/>
        <w:rPr>
          <w:rFonts w:ascii="Arial" w:hAnsi="Arial" w:cs="Arial"/>
          <w:b/>
          <w:i/>
        </w:rPr>
      </w:pPr>
      <w:r>
        <w:rPr>
          <w:rFonts w:ascii="Arial" w:hAnsi="Arial" w:cs="Arial"/>
          <w:b/>
          <w:i/>
          <w:iCs/>
        </w:rPr>
        <w:lastRenderedPageBreak/>
        <w:t>Recorder's Office Customer Services</w:t>
      </w:r>
      <w:r w:rsidRPr="0054665B">
        <w:rPr>
          <w:rFonts w:ascii="Arial" w:hAnsi="Arial" w:cs="Arial"/>
          <w:b/>
          <w:i/>
          <w:iCs/>
        </w:rPr>
        <w:t xml:space="preserve"> </w:t>
      </w:r>
      <w:r>
        <w:rPr>
          <w:rFonts w:ascii="Arial" w:hAnsi="Arial" w:cs="Arial"/>
          <w:b/>
          <w:i/>
          <w:iCs/>
        </w:rPr>
        <w:t>[</w:t>
      </w:r>
      <w:r w:rsidRPr="0054665B">
        <w:rPr>
          <w:rFonts w:ascii="Arial" w:hAnsi="Arial" w:cs="Arial"/>
          <w:b/>
          <w:i/>
          <w:iCs/>
        </w:rPr>
        <w:t>$</w:t>
      </w:r>
      <w:r>
        <w:rPr>
          <w:rFonts w:ascii="Arial" w:hAnsi="Arial" w:cs="Arial"/>
          <w:b/>
          <w:i/>
          <w:iCs/>
        </w:rPr>
        <w:t xml:space="preserve">282,814, 2.0 FTEs, </w:t>
      </w:r>
      <w:r w:rsidRPr="00DD6305">
        <w:rPr>
          <w:rFonts w:ascii="Arial" w:hAnsi="Arial" w:cs="Arial"/>
          <w:b/>
          <w:i/>
          <w:iCs/>
        </w:rPr>
        <w:t>ongoing].</w:t>
      </w:r>
      <w:r w:rsidRPr="00DD6305">
        <w:rPr>
          <w:rFonts w:ascii="Arial" w:hAnsi="Arial" w:cs="Arial"/>
          <w:b/>
          <w:iCs/>
        </w:rPr>
        <w:t xml:space="preserve">  </w:t>
      </w:r>
      <w:r w:rsidRPr="00DD6305">
        <w:rPr>
          <w:rFonts w:ascii="Arial" w:hAnsi="Arial" w:cs="Arial"/>
        </w:rPr>
        <w:t xml:space="preserve">The proposed ordinance would restore 2.0 FTEs for 2022 that were cut in the adopted </w:t>
      </w:r>
      <w:r>
        <w:rPr>
          <w:rFonts w:ascii="Arial" w:hAnsi="Arial" w:cs="Arial"/>
        </w:rPr>
        <w:t xml:space="preserve">2021-2022 </w:t>
      </w:r>
      <w:r w:rsidRPr="00DD6305">
        <w:rPr>
          <w:rFonts w:ascii="Arial" w:hAnsi="Arial" w:cs="Arial"/>
        </w:rPr>
        <w:t xml:space="preserve">biennial budget </w:t>
      </w:r>
      <w:r>
        <w:rPr>
          <w:rFonts w:ascii="Arial" w:hAnsi="Arial" w:cs="Arial"/>
        </w:rPr>
        <w:t>as part of targeted reductions due to the recession</w:t>
      </w:r>
      <w:r w:rsidRPr="00DD6305">
        <w:rPr>
          <w:rFonts w:ascii="Arial" w:hAnsi="Arial" w:cs="Arial"/>
        </w:rPr>
        <w:t>.  As stated in the transmittal documentation</w:t>
      </w:r>
      <w:r>
        <w:rPr>
          <w:rFonts w:ascii="Arial" w:hAnsi="Arial" w:cs="Arial"/>
        </w:rPr>
        <w:t>, "</w:t>
      </w:r>
      <w:r w:rsidRPr="0030078F">
        <w:rPr>
          <w:rFonts w:ascii="Arial" w:hAnsi="Arial" w:cs="Arial"/>
        </w:rPr>
        <w:t>The Recorders Office has experienced major revenue growth in 2020 which has continued into 2021 (due to an increase in property sales tax).  This surge has created a significant increase in workload which has caused an increase in overtime work and general stress.</w:t>
      </w:r>
      <w:r>
        <w:rPr>
          <w:rFonts w:ascii="Arial" w:hAnsi="Arial" w:cs="Arial"/>
        </w:rPr>
        <w:t>"  These positions would be funded by the General Fund.</w:t>
      </w:r>
    </w:p>
    <w:p w14:paraId="6424F946" w14:textId="77777777" w:rsidR="006C290D" w:rsidRDefault="006C290D" w:rsidP="006C290D">
      <w:pPr>
        <w:spacing w:line="264" w:lineRule="auto"/>
        <w:contextualSpacing/>
        <w:jc w:val="both"/>
        <w:rPr>
          <w:rFonts w:ascii="Arial" w:hAnsi="Arial" w:cs="Arial"/>
        </w:rPr>
      </w:pPr>
    </w:p>
    <w:p w14:paraId="797BDBB3" w14:textId="77777777" w:rsidR="006C290D" w:rsidRDefault="006C290D" w:rsidP="006C290D">
      <w:pPr>
        <w:spacing w:line="264" w:lineRule="auto"/>
        <w:contextualSpacing/>
        <w:jc w:val="both"/>
        <w:rPr>
          <w:rFonts w:ascii="Arial" w:hAnsi="Arial" w:cs="Arial"/>
        </w:rPr>
      </w:pPr>
      <w:r>
        <w:rPr>
          <w:rFonts w:ascii="Arial" w:hAnsi="Arial" w:cs="Arial"/>
          <w:b/>
          <w:i/>
          <w:iCs/>
        </w:rPr>
        <w:t>Director's Office Administrator</w:t>
      </w:r>
      <w:r w:rsidRPr="0054665B">
        <w:rPr>
          <w:rFonts w:ascii="Arial" w:hAnsi="Arial" w:cs="Arial"/>
          <w:b/>
          <w:i/>
          <w:iCs/>
        </w:rPr>
        <w:t xml:space="preserve"> </w:t>
      </w:r>
      <w:r>
        <w:rPr>
          <w:rFonts w:ascii="Arial" w:hAnsi="Arial" w:cs="Arial"/>
          <w:b/>
          <w:i/>
          <w:iCs/>
        </w:rPr>
        <w:t>[</w:t>
      </w:r>
      <w:r w:rsidRPr="0054665B">
        <w:rPr>
          <w:rFonts w:ascii="Arial" w:hAnsi="Arial" w:cs="Arial"/>
          <w:b/>
          <w:i/>
          <w:iCs/>
        </w:rPr>
        <w:t>$</w:t>
      </w:r>
      <w:r>
        <w:rPr>
          <w:rFonts w:ascii="Arial" w:hAnsi="Arial" w:cs="Arial"/>
          <w:b/>
          <w:i/>
          <w:iCs/>
        </w:rPr>
        <w:t>191,</w:t>
      </w:r>
      <w:r w:rsidRPr="00DD6305">
        <w:rPr>
          <w:rFonts w:ascii="Arial" w:hAnsi="Arial" w:cs="Arial"/>
          <w:b/>
          <w:i/>
          <w:iCs/>
        </w:rPr>
        <w:t xml:space="preserve">573, 1.0 FTE, </w:t>
      </w:r>
      <w:r w:rsidRPr="002409C7">
        <w:rPr>
          <w:rFonts w:ascii="Arial" w:hAnsi="Arial" w:cs="Arial"/>
          <w:b/>
          <w:i/>
          <w:iCs/>
          <w:color w:val="C0504D" w:themeColor="accent2"/>
        </w:rPr>
        <w:t xml:space="preserve">-1.0 </w:t>
      </w:r>
      <w:r>
        <w:rPr>
          <w:rFonts w:ascii="Arial" w:hAnsi="Arial" w:cs="Arial"/>
          <w:b/>
          <w:i/>
          <w:iCs/>
        </w:rPr>
        <w:t xml:space="preserve">TLT, </w:t>
      </w:r>
      <w:r w:rsidRPr="00DD6305">
        <w:rPr>
          <w:rFonts w:ascii="Arial" w:hAnsi="Arial" w:cs="Arial"/>
          <w:b/>
          <w:i/>
          <w:iCs/>
        </w:rPr>
        <w:t>ongoing].</w:t>
      </w:r>
      <w:r w:rsidRPr="00DD6305">
        <w:rPr>
          <w:rFonts w:ascii="Arial" w:hAnsi="Arial" w:cs="Arial"/>
          <w:b/>
          <w:iCs/>
        </w:rPr>
        <w:t xml:space="preserve">  </w:t>
      </w:r>
      <w:r w:rsidRPr="00DD6305">
        <w:rPr>
          <w:rFonts w:ascii="Arial" w:hAnsi="Arial" w:cs="Arial"/>
        </w:rPr>
        <w:t>The proposed ordinance would add 1.0 FTE for an adminis</w:t>
      </w:r>
      <w:r>
        <w:rPr>
          <w:rFonts w:ascii="Arial" w:hAnsi="Arial" w:cs="Arial"/>
        </w:rPr>
        <w:t>trator position in the RALS Director's Office.  This position would convert a TLT to an FTE; the existing TLT position cannot be extended past March 2022 and has been working with RALS to set up RALS in a hybrid in-office and telework setting.  Executive staff note that without this FTE, "</w:t>
      </w:r>
      <w:r w:rsidRPr="00A20D3E">
        <w:rPr>
          <w:rFonts w:ascii="Arial" w:hAnsi="Arial" w:cs="Arial"/>
        </w:rPr>
        <w:t>multiple projects will be under resourced to maintain and/or move forward, including the adoption of electronic Tier 3 boards that require data analysis and development, management of Teams sites for the division, backup for division payroll processing, monthly and quarterly electronic communications for the division, support and coordination of the division move planning from the Administration building to the King Street Center anticipated in 2022, and the latest project assigned to RALS for ADA disability equity."  This position would be funded by the General Fund.</w:t>
      </w:r>
    </w:p>
    <w:p w14:paraId="0951B190" w14:textId="77D8B25B" w:rsidR="00AB45DE" w:rsidRDefault="00AB45DE" w:rsidP="00AB45DE">
      <w:pPr>
        <w:tabs>
          <w:tab w:val="left" w:pos="720"/>
          <w:tab w:val="right" w:pos="9360"/>
        </w:tabs>
        <w:spacing w:line="264" w:lineRule="auto"/>
        <w:contextualSpacing/>
        <w:jc w:val="both"/>
        <w:rPr>
          <w:rFonts w:ascii="Arial" w:hAnsi="Arial" w:cs="Arial"/>
          <w:b/>
          <w:u w:val="single"/>
        </w:rPr>
      </w:pPr>
    </w:p>
    <w:p w14:paraId="0EE2AEDF" w14:textId="77777777" w:rsidR="004F141D" w:rsidRDefault="004F141D" w:rsidP="00AB45DE">
      <w:pPr>
        <w:tabs>
          <w:tab w:val="left" w:pos="720"/>
          <w:tab w:val="right" w:pos="9360"/>
        </w:tabs>
        <w:spacing w:line="264" w:lineRule="auto"/>
        <w:contextualSpacing/>
        <w:jc w:val="both"/>
        <w:rPr>
          <w:rFonts w:ascii="Arial" w:hAnsi="Arial" w:cs="Arial"/>
          <w:b/>
          <w:u w:val="single"/>
        </w:rPr>
      </w:pPr>
    </w:p>
    <w:p w14:paraId="47323C1F" w14:textId="77777777" w:rsidR="009F35FC" w:rsidRPr="000E7446" w:rsidRDefault="009F35FC" w:rsidP="009F35FC">
      <w:pPr>
        <w:tabs>
          <w:tab w:val="left" w:pos="720"/>
          <w:tab w:val="right" w:pos="9360"/>
        </w:tabs>
        <w:spacing w:line="264" w:lineRule="auto"/>
        <w:contextualSpacing/>
        <w:jc w:val="both"/>
        <w:rPr>
          <w:rFonts w:ascii="Arial" w:hAnsi="Arial" w:cs="Arial"/>
          <w:b/>
          <w:u w:val="single"/>
        </w:rPr>
      </w:pPr>
      <w:r>
        <w:rPr>
          <w:rFonts w:ascii="Arial" w:hAnsi="Arial" w:cs="Arial"/>
          <w:b/>
          <w:u w:val="single"/>
        </w:rPr>
        <w:t xml:space="preserve">Prosecuting Attorney (PAO)  </w:t>
      </w:r>
      <w:r w:rsidRPr="000E7446">
        <w:rPr>
          <w:rFonts w:ascii="Arial" w:hAnsi="Arial" w:cs="Arial"/>
          <w:b/>
          <w:u w:val="single"/>
        </w:rPr>
        <w:tab/>
        <w:t>$</w:t>
      </w:r>
      <w:r>
        <w:rPr>
          <w:rFonts w:ascii="Arial" w:hAnsi="Arial" w:cs="Arial"/>
          <w:b/>
          <w:u w:val="single"/>
        </w:rPr>
        <w:t>3,386,000, 13.0 FTEs</w:t>
      </w:r>
    </w:p>
    <w:p w14:paraId="6D395B6F" w14:textId="77777777" w:rsidR="009F35FC" w:rsidRDefault="009F35FC" w:rsidP="009F35FC">
      <w:pPr>
        <w:spacing w:line="264" w:lineRule="auto"/>
        <w:contextualSpacing/>
        <w:jc w:val="both"/>
        <w:rPr>
          <w:b/>
        </w:rPr>
      </w:pPr>
    </w:p>
    <w:p w14:paraId="569EE274" w14:textId="77777777" w:rsidR="009F35FC" w:rsidRDefault="009F35FC" w:rsidP="009F35FC">
      <w:pPr>
        <w:spacing w:line="264" w:lineRule="auto"/>
        <w:contextualSpacing/>
        <w:jc w:val="both"/>
        <w:rPr>
          <w:rFonts w:ascii="Arial" w:hAnsi="Arial" w:cs="Arial"/>
          <w:bCs/>
        </w:rPr>
      </w:pPr>
      <w:r>
        <w:rPr>
          <w:rFonts w:ascii="Arial" w:hAnsi="Arial" w:cs="Arial"/>
          <w:b/>
          <w:i/>
          <w:iCs/>
        </w:rPr>
        <w:t>Community Diversion Program [PAO: $1,123,721, 4.0 FTEs and JHS: $3,210,000, 7.0 FTEs]</w:t>
      </w:r>
      <w:r>
        <w:rPr>
          <w:rFonts w:ascii="Arial" w:hAnsi="Arial" w:cs="Arial"/>
          <w:bCs/>
        </w:rPr>
        <w:t>.  The Community Diversion Program (CDP) is a new, proposed restorative justice program for adults intended to divert eligible</w:t>
      </w:r>
      <w:r>
        <w:rPr>
          <w:rStyle w:val="FootnoteReference"/>
          <w:rFonts w:ascii="Arial" w:hAnsi="Arial" w:cs="Arial"/>
          <w:bCs/>
        </w:rPr>
        <w:footnoteReference w:id="20"/>
      </w:r>
      <w:r>
        <w:rPr>
          <w:rFonts w:ascii="Arial" w:hAnsi="Arial" w:cs="Arial"/>
          <w:bCs/>
        </w:rPr>
        <w:t xml:space="preserve"> individuals facing their first low-level property and/or drug felony to a community-based, culturally competent program in lieu of prosecution.  The program would be coordinated by the PAO and Jail Health Services (JHS)  and plans to divert about 1,000 of these filings each year depending on the total number of referrals, costs per client, and available funding.  As part of the 2021-2022 Budget, the Council approved $289,492 for the planning efforts.  Additionally, $2.5 million was set aside in the General Fund reserve for program implementation.  The program now intends to launch in the first quarter of 2022. </w:t>
      </w:r>
    </w:p>
    <w:p w14:paraId="28624F50" w14:textId="77777777" w:rsidR="009F35FC" w:rsidRDefault="009F35FC" w:rsidP="009F35FC">
      <w:pPr>
        <w:spacing w:line="264" w:lineRule="auto"/>
        <w:contextualSpacing/>
        <w:jc w:val="both"/>
        <w:rPr>
          <w:rFonts w:ascii="Arial" w:hAnsi="Arial" w:cs="Arial"/>
          <w:bCs/>
        </w:rPr>
      </w:pPr>
    </w:p>
    <w:p w14:paraId="5E897B5D" w14:textId="77777777" w:rsidR="009F35FC" w:rsidRDefault="009F35FC" w:rsidP="009F35FC">
      <w:pPr>
        <w:spacing w:line="264" w:lineRule="auto"/>
        <w:contextualSpacing/>
        <w:jc w:val="both"/>
        <w:rPr>
          <w:rFonts w:ascii="Arial" w:hAnsi="Arial" w:cs="Arial"/>
          <w:bCs/>
        </w:rPr>
      </w:pPr>
      <w:r>
        <w:rPr>
          <w:rFonts w:ascii="Arial" w:hAnsi="Arial" w:cs="Arial"/>
          <w:bCs/>
        </w:rPr>
        <w:t>According to Executive staff, the CDP program would follow the following case flow:</w:t>
      </w:r>
    </w:p>
    <w:p w14:paraId="5B4E8DAD" w14:textId="77777777"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t>Police submit low-level property/drug offense to Prosecutor.</w:t>
      </w:r>
    </w:p>
    <w:p w14:paraId="6F9E1F74" w14:textId="48127EAC"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lastRenderedPageBreak/>
        <w:t>PAO reviews and screens for eligibility (eliminating repeat offenders, reviewing criminal history, facts alleged, nature of the charges, police input).</w:t>
      </w:r>
    </w:p>
    <w:p w14:paraId="20299DC7" w14:textId="77777777"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t>Victims contacted to assess needs and initiate financial recovery.</w:t>
      </w:r>
    </w:p>
    <w:p w14:paraId="77969FD9" w14:textId="700B504A"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t>Eligible participants are evaluated by the Public Health JHS team of Care Coordinators and directed to a culturally relevant community-based program to address needs and acknowledge harm caused by their actions.</w:t>
      </w:r>
    </w:p>
    <w:p w14:paraId="687F4FC0" w14:textId="77777777"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t>Community providers begin engagement.</w:t>
      </w:r>
    </w:p>
    <w:p w14:paraId="772365C5" w14:textId="77777777" w:rsidR="009F35FC" w:rsidRDefault="009F35FC" w:rsidP="009F35FC">
      <w:pPr>
        <w:pStyle w:val="ListParagraph0"/>
        <w:numPr>
          <w:ilvl w:val="0"/>
          <w:numId w:val="17"/>
        </w:numPr>
        <w:spacing w:line="264" w:lineRule="auto"/>
        <w:contextualSpacing/>
        <w:jc w:val="both"/>
        <w:rPr>
          <w:rFonts w:ascii="Arial" w:hAnsi="Arial" w:cs="Arial"/>
          <w:bCs/>
        </w:rPr>
      </w:pPr>
      <w:r>
        <w:rPr>
          <w:rFonts w:ascii="Arial" w:hAnsi="Arial" w:cs="Arial"/>
          <w:bCs/>
        </w:rPr>
        <w:t xml:space="preserve">When the participant engages with the community provider the PAO will decline to file the case. </w:t>
      </w:r>
    </w:p>
    <w:p w14:paraId="24041B6C" w14:textId="5ACA53C2" w:rsidR="009F35FC" w:rsidRPr="008B31E9" w:rsidRDefault="009F35FC" w:rsidP="009F35FC">
      <w:pPr>
        <w:pStyle w:val="ListParagraph0"/>
        <w:numPr>
          <w:ilvl w:val="0"/>
          <w:numId w:val="17"/>
        </w:numPr>
        <w:spacing w:line="264" w:lineRule="auto"/>
        <w:contextualSpacing/>
        <w:jc w:val="both"/>
        <w:rPr>
          <w:rFonts w:ascii="Arial" w:hAnsi="Arial" w:cs="Arial"/>
          <w:bCs/>
          <w:color w:val="4F81BD" w:themeColor="accent1"/>
        </w:rPr>
      </w:pPr>
      <w:r>
        <w:rPr>
          <w:rFonts w:ascii="Arial" w:hAnsi="Arial" w:cs="Arial"/>
          <w:bCs/>
        </w:rPr>
        <w:t>Stanford University will lead the program evaluation in partnership with PAO, JHS, and PSB.</w:t>
      </w:r>
      <w:r w:rsidR="0002115C">
        <w:rPr>
          <w:rFonts w:ascii="Arial" w:hAnsi="Arial" w:cs="Arial"/>
          <w:bCs/>
        </w:rPr>
        <w:t xml:space="preserve"> </w:t>
      </w:r>
      <w:r w:rsidR="00582DDF" w:rsidRPr="008B31E9">
        <w:rPr>
          <w:rFonts w:ascii="Arial" w:hAnsi="Arial" w:cs="Arial"/>
          <w:bCs/>
          <w:color w:val="4F81BD" w:themeColor="accent1"/>
        </w:rPr>
        <w:t xml:space="preserve">This effort would be supported by </w:t>
      </w:r>
      <w:r w:rsidR="005B1512" w:rsidRPr="008B31E9">
        <w:rPr>
          <w:rFonts w:ascii="Arial" w:hAnsi="Arial" w:cs="Arial"/>
          <w:bCs/>
          <w:color w:val="4F81BD" w:themeColor="accent1"/>
        </w:rPr>
        <w:t>a grant from the</w:t>
      </w:r>
      <w:r w:rsidR="00582DDF" w:rsidRPr="008B31E9">
        <w:rPr>
          <w:rFonts w:ascii="Arial" w:hAnsi="Arial" w:cs="Arial"/>
          <w:bCs/>
          <w:color w:val="4F81BD" w:themeColor="accent1"/>
        </w:rPr>
        <w:t xml:space="preserve"> </w:t>
      </w:r>
      <w:r w:rsidR="005B1512" w:rsidRPr="008B31E9">
        <w:rPr>
          <w:rFonts w:ascii="Arial" w:hAnsi="Arial" w:cs="Arial"/>
          <w:bCs/>
          <w:color w:val="4F81BD" w:themeColor="accent1"/>
        </w:rPr>
        <w:t xml:space="preserve">Stanford Computational Policy Lab to </w:t>
      </w:r>
      <w:r w:rsidR="0070563C" w:rsidRPr="008B31E9">
        <w:rPr>
          <w:rFonts w:ascii="Arial" w:hAnsi="Arial" w:cs="Arial"/>
          <w:bCs/>
          <w:color w:val="4F81BD" w:themeColor="accent1"/>
        </w:rPr>
        <w:t xml:space="preserve">cover all </w:t>
      </w:r>
      <w:r w:rsidR="008B31E9" w:rsidRPr="008B31E9">
        <w:rPr>
          <w:rFonts w:ascii="Arial" w:hAnsi="Arial" w:cs="Arial"/>
          <w:bCs/>
          <w:color w:val="4F81BD" w:themeColor="accent1"/>
        </w:rPr>
        <w:t>evaluation effort</w:t>
      </w:r>
      <w:r w:rsidR="00B94BA6">
        <w:rPr>
          <w:rFonts w:ascii="Arial" w:hAnsi="Arial" w:cs="Arial"/>
          <w:bCs/>
          <w:color w:val="4F81BD" w:themeColor="accent1"/>
        </w:rPr>
        <w:t xml:space="preserve"> costs</w:t>
      </w:r>
      <w:r w:rsidR="008B31E9" w:rsidRPr="008B31E9">
        <w:rPr>
          <w:rFonts w:ascii="Arial" w:hAnsi="Arial" w:cs="Arial"/>
          <w:bCs/>
          <w:color w:val="4F81BD" w:themeColor="accent1"/>
        </w:rPr>
        <w:t>.</w:t>
      </w:r>
    </w:p>
    <w:p w14:paraId="4C9CC497" w14:textId="77777777" w:rsidR="009F35FC" w:rsidRDefault="009F35FC" w:rsidP="009F35FC">
      <w:pPr>
        <w:spacing w:line="264" w:lineRule="auto"/>
        <w:contextualSpacing/>
        <w:jc w:val="both"/>
        <w:rPr>
          <w:rFonts w:ascii="Arial" w:hAnsi="Arial" w:cs="Arial"/>
          <w:bCs/>
        </w:rPr>
      </w:pPr>
    </w:p>
    <w:p w14:paraId="352EC433" w14:textId="04BFBBB3" w:rsidR="009F35FC" w:rsidRDefault="009F35FC" w:rsidP="009F35FC">
      <w:pPr>
        <w:jc w:val="both"/>
        <w:rPr>
          <w:rFonts w:ascii="Arial" w:hAnsi="Arial" w:cs="Arial"/>
          <w:bCs/>
        </w:rPr>
      </w:pPr>
      <w:r>
        <w:rPr>
          <w:rFonts w:ascii="Arial" w:hAnsi="Arial" w:cs="Arial"/>
          <w:bCs/>
        </w:rPr>
        <w:t xml:space="preserve">The proposal includes an expansion of the Therapeutic Alternative to Drugs (TAD) program, which is both a pre-file and a post-file program run in partnership between JHS and PAO that connects those referred to the TAD with necessary services who would otherwise be convicted with expedited felonies in District Court. </w:t>
      </w:r>
    </w:p>
    <w:p w14:paraId="5E29AF38" w14:textId="77777777" w:rsidR="009F35FC" w:rsidRDefault="009F35FC" w:rsidP="009F35FC">
      <w:pPr>
        <w:spacing w:line="264" w:lineRule="auto"/>
        <w:jc w:val="both"/>
        <w:rPr>
          <w:rFonts w:ascii="Arial" w:hAnsi="Arial" w:cs="Arial"/>
          <w:bCs/>
        </w:rPr>
      </w:pPr>
    </w:p>
    <w:p w14:paraId="0033D742" w14:textId="77777777" w:rsidR="009F35FC" w:rsidRDefault="009F35FC" w:rsidP="009F35FC">
      <w:pPr>
        <w:spacing w:line="264" w:lineRule="auto"/>
        <w:jc w:val="both"/>
        <w:rPr>
          <w:rFonts w:ascii="Arial" w:hAnsi="Arial" w:cs="Arial"/>
          <w:bCs/>
        </w:rPr>
      </w:pPr>
      <w:r>
        <w:rPr>
          <w:rFonts w:ascii="Arial" w:hAnsi="Arial" w:cs="Arial"/>
          <w:bCs/>
        </w:rPr>
        <w:t>If an individual fails to engage, the JHS Care Coordinator will contact the prosecutor who reserves the right to file the original charge within the statute of limitation.  JHS will monitor participant progress based on data shared by community providers and will update the PAO case management system with data as appropriate.   If an individual completes a warm handoff from the Care Coordinator to the community provider, the PAO will decline to file the charge(s).  Once the PAO declines to file the case, the PAO reports it will not seek to file a charge on that existing case regardless of whether the participant completes the recommended services. However, if law enforcement initiates a referral for a new offense for an existing CDP participant, that participant will not be eligible for CDP for the new offense.</w:t>
      </w:r>
    </w:p>
    <w:p w14:paraId="5FD59F45" w14:textId="77777777" w:rsidR="009F35FC" w:rsidRDefault="009F35FC" w:rsidP="009F35FC">
      <w:pPr>
        <w:spacing w:line="264" w:lineRule="auto"/>
        <w:rPr>
          <w:rFonts w:ascii="Arial" w:hAnsi="Arial" w:cs="Arial"/>
          <w:bCs/>
        </w:rPr>
      </w:pPr>
    </w:p>
    <w:p w14:paraId="214BFEEC" w14:textId="77777777" w:rsidR="009F35FC" w:rsidRDefault="009F35FC" w:rsidP="009F35FC">
      <w:pPr>
        <w:spacing w:line="264" w:lineRule="auto"/>
        <w:jc w:val="both"/>
        <w:rPr>
          <w:rFonts w:ascii="Arial" w:hAnsi="Arial" w:cs="Arial"/>
          <w:bCs/>
        </w:rPr>
      </w:pPr>
      <w:r>
        <w:rPr>
          <w:rFonts w:ascii="Arial" w:hAnsi="Arial" w:cs="Arial"/>
          <w:bCs/>
        </w:rPr>
        <w:t>According to the PAO, restitution will be a key part of the CDP.  The program will include a Loss Recovery Fund ($500,000 for TAD and CDP), which will enable victims to submit proof of their out of pocket expenses and be reimbursed up front.  The restitution will be for individual victims only and not corporate victims.  The budget proposal for the PAO also includes two loss recovery specialists and a finance analyst to manage the restitution process.</w:t>
      </w:r>
    </w:p>
    <w:p w14:paraId="7B7F7853" w14:textId="77777777" w:rsidR="009F35FC" w:rsidRDefault="009F35FC" w:rsidP="009F35FC">
      <w:pPr>
        <w:spacing w:line="264" w:lineRule="auto"/>
        <w:jc w:val="both"/>
        <w:rPr>
          <w:rFonts w:ascii="Arial" w:hAnsi="Arial" w:cs="Arial"/>
          <w:bCs/>
        </w:rPr>
      </w:pPr>
    </w:p>
    <w:p w14:paraId="64380B20" w14:textId="7A1216CF" w:rsidR="009F35FC" w:rsidRDefault="009F35FC" w:rsidP="009F35FC">
      <w:pPr>
        <w:spacing w:line="264" w:lineRule="auto"/>
        <w:jc w:val="both"/>
        <w:rPr>
          <w:rFonts w:ascii="Arial" w:hAnsi="Arial" w:cs="Arial"/>
          <w:bCs/>
        </w:rPr>
      </w:pPr>
      <w:r>
        <w:rPr>
          <w:rFonts w:ascii="Arial" w:hAnsi="Arial" w:cs="Arial"/>
          <w:bCs/>
        </w:rPr>
        <w:t xml:space="preserve">As shown in the table below, the proposed appropriation includes $2 million for various client needs and services that will be provided via community contracts.  This includes funding for transportation, basic personal needs, emergency housing/shelter support, and related incidentals provided via community contracts.  The proposed appropriation also includes $1.5 million annually for three years for non-Medicaid behavioral health services that will help providers accept some of the referrals from CDP. </w:t>
      </w:r>
    </w:p>
    <w:p w14:paraId="550FB7F2" w14:textId="77777777" w:rsidR="009F35FC" w:rsidRDefault="009F35FC" w:rsidP="009F35FC">
      <w:pPr>
        <w:spacing w:line="264" w:lineRule="auto"/>
        <w:jc w:val="both"/>
        <w:rPr>
          <w:rFonts w:ascii="Arial" w:hAnsi="Arial" w:cs="Arial"/>
          <w:bCs/>
        </w:rPr>
      </w:pPr>
    </w:p>
    <w:tbl>
      <w:tblPr>
        <w:tblStyle w:val="TableGrid"/>
        <w:tblW w:w="9580" w:type="dxa"/>
        <w:jc w:val="center"/>
        <w:tblLayout w:type="fixed"/>
        <w:tblLook w:val="04A0" w:firstRow="1" w:lastRow="0" w:firstColumn="1" w:lastColumn="0" w:noHBand="0" w:noVBand="1"/>
      </w:tblPr>
      <w:tblGrid>
        <w:gridCol w:w="574"/>
        <w:gridCol w:w="249"/>
        <w:gridCol w:w="5137"/>
        <w:gridCol w:w="270"/>
        <w:gridCol w:w="1620"/>
        <w:gridCol w:w="270"/>
        <w:gridCol w:w="1460"/>
      </w:tblGrid>
      <w:tr w:rsidR="009F35FC" w:rsidRPr="008D0300" w14:paraId="745DFEB2" w14:textId="77777777" w:rsidTr="00E34BBA">
        <w:trPr>
          <w:cantSplit/>
          <w:trHeight w:val="411"/>
          <w:tblHeader/>
          <w:jc w:val="center"/>
        </w:trPr>
        <w:tc>
          <w:tcPr>
            <w:tcW w:w="574" w:type="dxa"/>
            <w:tcBorders>
              <w:top w:val="single" w:sz="12" w:space="0" w:color="auto"/>
              <w:left w:val="nil"/>
              <w:bottom w:val="single" w:sz="4" w:space="0" w:color="auto"/>
              <w:right w:val="nil"/>
            </w:tcBorders>
            <w:vAlign w:val="center"/>
          </w:tcPr>
          <w:p w14:paraId="57109947" w14:textId="77777777" w:rsidR="009F35FC" w:rsidRPr="00152F3D" w:rsidRDefault="009F35FC" w:rsidP="00E34BBA">
            <w:pPr>
              <w:keepNext/>
              <w:jc w:val="center"/>
              <w:rPr>
                <w:rFonts w:ascii="Arial" w:hAnsi="Arial" w:cs="Arial"/>
                <w:b/>
                <w:sz w:val="22"/>
                <w:szCs w:val="22"/>
              </w:rPr>
            </w:pPr>
            <w:r w:rsidRPr="00152F3D">
              <w:rPr>
                <w:rFonts w:ascii="Arial" w:hAnsi="Arial" w:cs="Arial"/>
                <w:b/>
                <w:sz w:val="22"/>
                <w:szCs w:val="22"/>
              </w:rPr>
              <w:lastRenderedPageBreak/>
              <w:t>No.</w:t>
            </w:r>
          </w:p>
        </w:tc>
        <w:tc>
          <w:tcPr>
            <w:tcW w:w="249" w:type="dxa"/>
            <w:tcBorders>
              <w:top w:val="single" w:sz="12" w:space="0" w:color="auto"/>
              <w:left w:val="nil"/>
              <w:bottom w:val="nil"/>
              <w:right w:val="nil"/>
            </w:tcBorders>
          </w:tcPr>
          <w:p w14:paraId="32D514E2" w14:textId="77777777" w:rsidR="009F35FC" w:rsidRPr="00152F3D" w:rsidRDefault="009F35FC" w:rsidP="00E34BBA">
            <w:pPr>
              <w:keepNext/>
              <w:rPr>
                <w:rFonts w:ascii="Arial" w:hAnsi="Arial" w:cs="Arial"/>
                <w:b/>
                <w:sz w:val="22"/>
                <w:szCs w:val="22"/>
              </w:rPr>
            </w:pPr>
          </w:p>
        </w:tc>
        <w:tc>
          <w:tcPr>
            <w:tcW w:w="5137" w:type="dxa"/>
            <w:tcBorders>
              <w:top w:val="single" w:sz="12" w:space="0" w:color="auto"/>
              <w:left w:val="nil"/>
              <w:bottom w:val="single" w:sz="4" w:space="0" w:color="auto"/>
              <w:right w:val="nil"/>
            </w:tcBorders>
            <w:vAlign w:val="center"/>
          </w:tcPr>
          <w:p w14:paraId="338EDEA5" w14:textId="77777777" w:rsidR="009F35FC" w:rsidRPr="00152F3D" w:rsidRDefault="009F35FC" w:rsidP="00E34BBA">
            <w:pPr>
              <w:keepNext/>
              <w:rPr>
                <w:rFonts w:ascii="Arial" w:hAnsi="Arial" w:cs="Arial"/>
                <w:b/>
                <w:sz w:val="22"/>
                <w:szCs w:val="22"/>
              </w:rPr>
            </w:pPr>
            <w:r w:rsidRPr="00152F3D">
              <w:rPr>
                <w:rFonts w:ascii="Arial" w:hAnsi="Arial" w:cs="Arial"/>
                <w:b/>
                <w:sz w:val="22"/>
                <w:szCs w:val="22"/>
              </w:rPr>
              <w:t>Cost Descriptions</w:t>
            </w:r>
          </w:p>
        </w:tc>
        <w:tc>
          <w:tcPr>
            <w:tcW w:w="270" w:type="dxa"/>
            <w:tcBorders>
              <w:top w:val="single" w:sz="12" w:space="0" w:color="auto"/>
              <w:left w:val="nil"/>
              <w:bottom w:val="nil"/>
              <w:right w:val="nil"/>
            </w:tcBorders>
            <w:vAlign w:val="center"/>
          </w:tcPr>
          <w:p w14:paraId="0B0030CB" w14:textId="77777777" w:rsidR="009F35FC" w:rsidRPr="00152F3D" w:rsidRDefault="009F35FC" w:rsidP="00E34BBA">
            <w:pPr>
              <w:keepNext/>
              <w:jc w:val="right"/>
              <w:rPr>
                <w:rFonts w:ascii="Arial" w:hAnsi="Arial" w:cs="Arial"/>
                <w:b/>
                <w:sz w:val="22"/>
                <w:szCs w:val="22"/>
              </w:rPr>
            </w:pPr>
          </w:p>
        </w:tc>
        <w:tc>
          <w:tcPr>
            <w:tcW w:w="1620" w:type="dxa"/>
            <w:tcBorders>
              <w:top w:val="single" w:sz="12" w:space="0" w:color="auto"/>
              <w:left w:val="nil"/>
              <w:bottom w:val="single" w:sz="4" w:space="0" w:color="auto"/>
              <w:right w:val="nil"/>
            </w:tcBorders>
            <w:shd w:val="clear" w:color="auto" w:fill="auto"/>
            <w:vAlign w:val="center"/>
          </w:tcPr>
          <w:p w14:paraId="215C8ED9" w14:textId="77777777" w:rsidR="009F35FC" w:rsidRPr="00152F3D" w:rsidRDefault="009F35FC" w:rsidP="00E34BBA">
            <w:pPr>
              <w:keepNext/>
              <w:jc w:val="right"/>
              <w:rPr>
                <w:rFonts w:ascii="Arial" w:hAnsi="Arial" w:cs="Arial"/>
                <w:b/>
                <w:sz w:val="22"/>
                <w:szCs w:val="22"/>
              </w:rPr>
            </w:pPr>
            <w:r w:rsidRPr="00152F3D">
              <w:rPr>
                <w:rFonts w:ascii="Arial" w:hAnsi="Arial" w:cs="Arial"/>
                <w:b/>
                <w:sz w:val="22"/>
                <w:szCs w:val="22"/>
              </w:rPr>
              <w:t>Agency</w:t>
            </w:r>
          </w:p>
        </w:tc>
        <w:tc>
          <w:tcPr>
            <w:tcW w:w="270" w:type="dxa"/>
            <w:tcBorders>
              <w:top w:val="single" w:sz="12" w:space="0" w:color="auto"/>
              <w:left w:val="nil"/>
              <w:bottom w:val="nil"/>
              <w:right w:val="nil"/>
            </w:tcBorders>
            <w:vAlign w:val="center"/>
          </w:tcPr>
          <w:p w14:paraId="76E0F006" w14:textId="77777777" w:rsidR="009F35FC" w:rsidRPr="00152F3D" w:rsidRDefault="009F35FC" w:rsidP="00E34BBA">
            <w:pPr>
              <w:keepNext/>
              <w:jc w:val="right"/>
              <w:rPr>
                <w:rFonts w:ascii="Arial" w:hAnsi="Arial" w:cs="Arial"/>
                <w:b/>
                <w:sz w:val="22"/>
                <w:szCs w:val="22"/>
              </w:rPr>
            </w:pPr>
          </w:p>
        </w:tc>
        <w:tc>
          <w:tcPr>
            <w:tcW w:w="1460" w:type="dxa"/>
            <w:tcBorders>
              <w:top w:val="single" w:sz="12" w:space="0" w:color="auto"/>
              <w:left w:val="nil"/>
              <w:bottom w:val="single" w:sz="4" w:space="0" w:color="auto"/>
              <w:right w:val="single" w:sz="2" w:space="0" w:color="FFFFFF" w:themeColor="background1"/>
            </w:tcBorders>
            <w:vAlign w:val="center"/>
          </w:tcPr>
          <w:p w14:paraId="2E65042D" w14:textId="77777777" w:rsidR="009F35FC" w:rsidRPr="00152F3D" w:rsidRDefault="009F35FC" w:rsidP="00E34BBA">
            <w:pPr>
              <w:keepNext/>
              <w:jc w:val="center"/>
              <w:rPr>
                <w:rFonts w:ascii="Arial" w:hAnsi="Arial" w:cs="Arial"/>
                <w:b/>
                <w:sz w:val="22"/>
                <w:szCs w:val="22"/>
              </w:rPr>
            </w:pPr>
            <w:r w:rsidRPr="00152F3D">
              <w:rPr>
                <w:rFonts w:ascii="Arial" w:hAnsi="Arial" w:cs="Arial"/>
                <w:b/>
                <w:sz w:val="22"/>
                <w:szCs w:val="22"/>
              </w:rPr>
              <w:t>Cost</w:t>
            </w:r>
          </w:p>
        </w:tc>
      </w:tr>
      <w:tr w:rsidR="009F35FC" w:rsidRPr="008D0300" w14:paraId="5900DB4F" w14:textId="77777777" w:rsidTr="00E34BBA">
        <w:trPr>
          <w:cantSplit/>
          <w:jc w:val="center"/>
        </w:trPr>
        <w:tc>
          <w:tcPr>
            <w:tcW w:w="574" w:type="dxa"/>
            <w:tcBorders>
              <w:top w:val="single" w:sz="4" w:space="0" w:color="auto"/>
              <w:left w:val="nil"/>
              <w:bottom w:val="nil"/>
              <w:right w:val="nil"/>
            </w:tcBorders>
          </w:tcPr>
          <w:p w14:paraId="5500F663"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w:t>
            </w:r>
          </w:p>
        </w:tc>
        <w:tc>
          <w:tcPr>
            <w:tcW w:w="249" w:type="dxa"/>
            <w:tcBorders>
              <w:top w:val="nil"/>
              <w:left w:val="nil"/>
              <w:bottom w:val="nil"/>
              <w:right w:val="nil"/>
            </w:tcBorders>
          </w:tcPr>
          <w:p w14:paraId="20F91A65" w14:textId="77777777" w:rsidR="009F35FC" w:rsidRPr="00152F3D" w:rsidRDefault="009F35FC" w:rsidP="00E34BBA">
            <w:pPr>
              <w:keepNext/>
              <w:rPr>
                <w:rFonts w:ascii="Arial" w:hAnsi="Arial" w:cs="Arial"/>
                <w:sz w:val="22"/>
                <w:szCs w:val="22"/>
              </w:rPr>
            </w:pPr>
          </w:p>
        </w:tc>
        <w:tc>
          <w:tcPr>
            <w:tcW w:w="5137" w:type="dxa"/>
            <w:tcBorders>
              <w:top w:val="single" w:sz="4" w:space="0" w:color="auto"/>
              <w:left w:val="nil"/>
              <w:bottom w:val="nil"/>
              <w:right w:val="nil"/>
            </w:tcBorders>
          </w:tcPr>
          <w:p w14:paraId="0F7653C9"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 xml:space="preserve">Project Coordinator </w:t>
            </w:r>
          </w:p>
        </w:tc>
        <w:tc>
          <w:tcPr>
            <w:tcW w:w="270" w:type="dxa"/>
            <w:tcBorders>
              <w:top w:val="nil"/>
              <w:left w:val="nil"/>
              <w:bottom w:val="nil"/>
              <w:right w:val="nil"/>
            </w:tcBorders>
            <w:vAlign w:val="center"/>
          </w:tcPr>
          <w:p w14:paraId="4978F73F" w14:textId="77777777" w:rsidR="009F35FC" w:rsidRPr="00152F3D" w:rsidRDefault="009F35FC" w:rsidP="00E34BBA">
            <w:pPr>
              <w:keepNext/>
              <w:jc w:val="right"/>
              <w:rPr>
                <w:rFonts w:ascii="Arial" w:hAnsi="Arial" w:cs="Arial"/>
                <w:sz w:val="22"/>
                <w:szCs w:val="22"/>
              </w:rPr>
            </w:pPr>
          </w:p>
        </w:tc>
        <w:tc>
          <w:tcPr>
            <w:tcW w:w="1620" w:type="dxa"/>
            <w:tcBorders>
              <w:top w:val="single" w:sz="4" w:space="0" w:color="auto"/>
              <w:left w:val="nil"/>
              <w:bottom w:val="nil"/>
              <w:right w:val="nil"/>
            </w:tcBorders>
            <w:tcMar>
              <w:top w:w="72" w:type="dxa"/>
              <w:left w:w="115" w:type="dxa"/>
              <w:bottom w:w="72" w:type="dxa"/>
              <w:right w:w="115" w:type="dxa"/>
            </w:tcMar>
          </w:tcPr>
          <w:p w14:paraId="40B212B0"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0A83CBDF" w14:textId="77777777" w:rsidR="009F35FC" w:rsidRPr="00152F3D" w:rsidRDefault="009F35FC" w:rsidP="00E34BBA">
            <w:pPr>
              <w:keepNext/>
              <w:jc w:val="right"/>
              <w:rPr>
                <w:rFonts w:ascii="Arial" w:hAnsi="Arial" w:cs="Arial"/>
                <w:sz w:val="22"/>
                <w:szCs w:val="22"/>
              </w:rPr>
            </w:pPr>
          </w:p>
        </w:tc>
        <w:tc>
          <w:tcPr>
            <w:tcW w:w="146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7D30ECFF"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$134,000</w:t>
            </w:r>
          </w:p>
        </w:tc>
      </w:tr>
      <w:tr w:rsidR="009F35FC" w:rsidRPr="008D0300" w14:paraId="0844C07E" w14:textId="77777777" w:rsidTr="00E34BBA">
        <w:trPr>
          <w:cantSplit/>
          <w:jc w:val="center"/>
        </w:trPr>
        <w:tc>
          <w:tcPr>
            <w:tcW w:w="574" w:type="dxa"/>
            <w:tcBorders>
              <w:top w:val="nil"/>
              <w:left w:val="nil"/>
              <w:bottom w:val="nil"/>
              <w:right w:val="nil"/>
            </w:tcBorders>
          </w:tcPr>
          <w:p w14:paraId="10EA5C77"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2</w:t>
            </w:r>
          </w:p>
        </w:tc>
        <w:tc>
          <w:tcPr>
            <w:tcW w:w="249" w:type="dxa"/>
            <w:tcBorders>
              <w:top w:val="nil"/>
              <w:left w:val="nil"/>
              <w:bottom w:val="nil"/>
              <w:right w:val="nil"/>
            </w:tcBorders>
          </w:tcPr>
          <w:p w14:paraId="09E9F0E3"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6ECAFC05"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Contract Management</w:t>
            </w:r>
          </w:p>
        </w:tc>
        <w:tc>
          <w:tcPr>
            <w:tcW w:w="270" w:type="dxa"/>
            <w:tcBorders>
              <w:top w:val="nil"/>
              <w:left w:val="nil"/>
              <w:bottom w:val="nil"/>
              <w:right w:val="nil"/>
            </w:tcBorders>
            <w:vAlign w:val="center"/>
          </w:tcPr>
          <w:p w14:paraId="7C33378F"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53E770F1"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70E4C176"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12DECBFF"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$169,000</w:t>
            </w:r>
          </w:p>
        </w:tc>
      </w:tr>
      <w:tr w:rsidR="009F35FC" w:rsidRPr="008D0300" w14:paraId="6BC65C3C" w14:textId="77777777" w:rsidTr="00E34BBA">
        <w:trPr>
          <w:cantSplit/>
          <w:jc w:val="center"/>
        </w:trPr>
        <w:tc>
          <w:tcPr>
            <w:tcW w:w="574" w:type="dxa"/>
            <w:tcBorders>
              <w:top w:val="nil"/>
              <w:left w:val="nil"/>
              <w:bottom w:val="nil"/>
              <w:right w:val="nil"/>
            </w:tcBorders>
          </w:tcPr>
          <w:p w14:paraId="509966DB"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3</w:t>
            </w:r>
          </w:p>
        </w:tc>
        <w:tc>
          <w:tcPr>
            <w:tcW w:w="249" w:type="dxa"/>
            <w:tcBorders>
              <w:top w:val="nil"/>
              <w:left w:val="nil"/>
              <w:bottom w:val="nil"/>
              <w:right w:val="nil"/>
            </w:tcBorders>
          </w:tcPr>
          <w:p w14:paraId="280BCB88"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678BF06D"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Social Workers – 4 FTE (includes TAD FTE)</w:t>
            </w:r>
          </w:p>
        </w:tc>
        <w:tc>
          <w:tcPr>
            <w:tcW w:w="270" w:type="dxa"/>
            <w:tcBorders>
              <w:top w:val="nil"/>
              <w:left w:val="nil"/>
              <w:bottom w:val="nil"/>
              <w:right w:val="nil"/>
            </w:tcBorders>
            <w:vAlign w:val="center"/>
          </w:tcPr>
          <w:p w14:paraId="7E93857F"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7C755BA9"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3D4A4C6B"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66627F9B"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$546,000</w:t>
            </w:r>
          </w:p>
        </w:tc>
      </w:tr>
      <w:tr w:rsidR="009F35FC" w:rsidRPr="008D0300" w14:paraId="51269967" w14:textId="77777777" w:rsidTr="00E34BBA">
        <w:trPr>
          <w:cantSplit/>
          <w:jc w:val="center"/>
        </w:trPr>
        <w:tc>
          <w:tcPr>
            <w:tcW w:w="574" w:type="dxa"/>
            <w:tcBorders>
              <w:top w:val="nil"/>
              <w:left w:val="nil"/>
              <w:bottom w:val="nil"/>
              <w:right w:val="nil"/>
            </w:tcBorders>
          </w:tcPr>
          <w:p w14:paraId="33CD5E76"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4</w:t>
            </w:r>
          </w:p>
        </w:tc>
        <w:tc>
          <w:tcPr>
            <w:tcW w:w="249" w:type="dxa"/>
            <w:tcBorders>
              <w:top w:val="nil"/>
              <w:left w:val="nil"/>
              <w:bottom w:val="nil"/>
              <w:right w:val="nil"/>
            </w:tcBorders>
          </w:tcPr>
          <w:p w14:paraId="68ADA7A9"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6905F395"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Overtime savings</w:t>
            </w:r>
          </w:p>
        </w:tc>
        <w:tc>
          <w:tcPr>
            <w:tcW w:w="270" w:type="dxa"/>
            <w:tcBorders>
              <w:top w:val="nil"/>
              <w:left w:val="nil"/>
              <w:bottom w:val="nil"/>
              <w:right w:val="nil"/>
            </w:tcBorders>
            <w:vAlign w:val="center"/>
          </w:tcPr>
          <w:p w14:paraId="245E7844"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57389A13"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317BAEC8"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70ED0D5D"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($40,000)</w:t>
            </w:r>
          </w:p>
        </w:tc>
      </w:tr>
      <w:tr w:rsidR="009F35FC" w:rsidRPr="008D0300" w14:paraId="787A7A82" w14:textId="77777777" w:rsidTr="00E34BBA">
        <w:trPr>
          <w:cantSplit/>
          <w:jc w:val="center"/>
        </w:trPr>
        <w:tc>
          <w:tcPr>
            <w:tcW w:w="574" w:type="dxa"/>
            <w:tcBorders>
              <w:top w:val="nil"/>
              <w:left w:val="nil"/>
              <w:bottom w:val="nil"/>
              <w:right w:val="nil"/>
            </w:tcBorders>
          </w:tcPr>
          <w:p w14:paraId="50D7DE8E"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5</w:t>
            </w:r>
          </w:p>
        </w:tc>
        <w:tc>
          <w:tcPr>
            <w:tcW w:w="249" w:type="dxa"/>
            <w:tcBorders>
              <w:top w:val="nil"/>
              <w:left w:val="nil"/>
              <w:bottom w:val="nil"/>
              <w:right w:val="nil"/>
            </w:tcBorders>
          </w:tcPr>
          <w:p w14:paraId="0481DB23"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04C07043"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Other costs such as IT, training, and misc. costs</w:t>
            </w:r>
          </w:p>
        </w:tc>
        <w:tc>
          <w:tcPr>
            <w:tcW w:w="270" w:type="dxa"/>
            <w:tcBorders>
              <w:top w:val="nil"/>
              <w:left w:val="nil"/>
              <w:bottom w:val="nil"/>
              <w:right w:val="nil"/>
            </w:tcBorders>
            <w:vAlign w:val="center"/>
          </w:tcPr>
          <w:p w14:paraId="659F63B3"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2EC0AE0F"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30E23BBC"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721A5D4E"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$41,000</w:t>
            </w:r>
          </w:p>
        </w:tc>
      </w:tr>
      <w:tr w:rsidR="009F35FC" w:rsidRPr="008D0300" w14:paraId="38640FBE" w14:textId="77777777" w:rsidTr="00E34BBA">
        <w:trPr>
          <w:cantSplit/>
          <w:jc w:val="center"/>
        </w:trPr>
        <w:tc>
          <w:tcPr>
            <w:tcW w:w="574" w:type="dxa"/>
            <w:tcBorders>
              <w:top w:val="nil"/>
              <w:left w:val="nil"/>
              <w:bottom w:val="nil"/>
              <w:right w:val="nil"/>
            </w:tcBorders>
          </w:tcPr>
          <w:p w14:paraId="0DBAD320"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6</w:t>
            </w:r>
          </w:p>
        </w:tc>
        <w:tc>
          <w:tcPr>
            <w:tcW w:w="249" w:type="dxa"/>
            <w:tcBorders>
              <w:top w:val="nil"/>
              <w:left w:val="nil"/>
              <w:bottom w:val="nil"/>
              <w:right w:val="nil"/>
            </w:tcBorders>
          </w:tcPr>
          <w:p w14:paraId="53423CE1"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2F265DCE"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Client service budget</w:t>
            </w:r>
          </w:p>
        </w:tc>
        <w:tc>
          <w:tcPr>
            <w:tcW w:w="270" w:type="dxa"/>
            <w:tcBorders>
              <w:top w:val="nil"/>
              <w:left w:val="nil"/>
              <w:bottom w:val="nil"/>
              <w:right w:val="nil"/>
            </w:tcBorders>
            <w:vAlign w:val="center"/>
          </w:tcPr>
          <w:p w14:paraId="6DE9680C"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2E4987C0"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55E9A019"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7EAFC6A1"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$360,000</w:t>
            </w:r>
          </w:p>
        </w:tc>
      </w:tr>
      <w:tr w:rsidR="009F35FC" w:rsidRPr="008D0300" w14:paraId="02AE4F14" w14:textId="77777777" w:rsidTr="00E34BBA">
        <w:trPr>
          <w:cantSplit/>
          <w:jc w:val="center"/>
        </w:trPr>
        <w:tc>
          <w:tcPr>
            <w:tcW w:w="574" w:type="dxa"/>
            <w:tcBorders>
              <w:top w:val="nil"/>
              <w:left w:val="nil"/>
              <w:bottom w:val="nil"/>
              <w:right w:val="nil"/>
            </w:tcBorders>
          </w:tcPr>
          <w:p w14:paraId="71BCAC3C"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7</w:t>
            </w:r>
          </w:p>
        </w:tc>
        <w:tc>
          <w:tcPr>
            <w:tcW w:w="249" w:type="dxa"/>
            <w:tcBorders>
              <w:top w:val="nil"/>
              <w:left w:val="nil"/>
              <w:bottom w:val="nil"/>
              <w:right w:val="nil"/>
            </w:tcBorders>
          </w:tcPr>
          <w:p w14:paraId="6E286D2F"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1FF199CA"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Community Based Orgs. Service Contracts</w:t>
            </w:r>
          </w:p>
        </w:tc>
        <w:tc>
          <w:tcPr>
            <w:tcW w:w="270" w:type="dxa"/>
            <w:tcBorders>
              <w:top w:val="nil"/>
              <w:left w:val="nil"/>
              <w:bottom w:val="nil"/>
              <w:right w:val="nil"/>
            </w:tcBorders>
            <w:vAlign w:val="center"/>
          </w:tcPr>
          <w:p w14:paraId="12A59BA6"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single" w:sz="8" w:space="0" w:color="auto"/>
              <w:right w:val="nil"/>
            </w:tcBorders>
            <w:tcMar>
              <w:top w:w="72" w:type="dxa"/>
              <w:left w:w="115" w:type="dxa"/>
              <w:bottom w:w="72" w:type="dxa"/>
              <w:right w:w="115" w:type="dxa"/>
            </w:tcMar>
          </w:tcPr>
          <w:p w14:paraId="7650EACB"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JHS</w:t>
            </w:r>
          </w:p>
        </w:tc>
        <w:tc>
          <w:tcPr>
            <w:tcW w:w="270" w:type="dxa"/>
            <w:tcBorders>
              <w:top w:val="nil"/>
              <w:left w:val="nil"/>
              <w:bottom w:val="nil"/>
              <w:right w:val="nil"/>
            </w:tcBorders>
          </w:tcPr>
          <w:p w14:paraId="194C767E"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single" w:sz="8" w:space="0" w:color="auto"/>
              <w:right w:val="single" w:sz="2" w:space="0" w:color="FFFFFF" w:themeColor="background1"/>
            </w:tcBorders>
            <w:tcMar>
              <w:top w:w="72" w:type="dxa"/>
              <w:left w:w="115" w:type="dxa"/>
              <w:bottom w:w="72" w:type="dxa"/>
              <w:right w:w="115" w:type="dxa"/>
            </w:tcMar>
          </w:tcPr>
          <w:p w14:paraId="256A8648"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$2,000,000</w:t>
            </w:r>
          </w:p>
        </w:tc>
      </w:tr>
      <w:tr w:rsidR="009F35FC" w:rsidRPr="008D0300" w14:paraId="0107B21C" w14:textId="77777777" w:rsidTr="00152F3D">
        <w:trPr>
          <w:cantSplit/>
          <w:trHeight w:val="394"/>
          <w:jc w:val="center"/>
        </w:trPr>
        <w:tc>
          <w:tcPr>
            <w:tcW w:w="574" w:type="dxa"/>
            <w:tcBorders>
              <w:top w:val="nil"/>
              <w:left w:val="nil"/>
              <w:bottom w:val="nil"/>
              <w:right w:val="nil"/>
            </w:tcBorders>
          </w:tcPr>
          <w:p w14:paraId="741C5A59" w14:textId="77777777" w:rsidR="009F35FC" w:rsidRPr="00152F3D" w:rsidRDefault="009F35FC" w:rsidP="00E34BBA">
            <w:pPr>
              <w:keepNext/>
              <w:rPr>
                <w:rFonts w:ascii="Arial" w:hAnsi="Arial" w:cs="Arial"/>
                <w:sz w:val="22"/>
                <w:szCs w:val="22"/>
              </w:rPr>
            </w:pPr>
          </w:p>
        </w:tc>
        <w:tc>
          <w:tcPr>
            <w:tcW w:w="249" w:type="dxa"/>
            <w:tcBorders>
              <w:top w:val="nil"/>
              <w:left w:val="nil"/>
              <w:bottom w:val="nil"/>
              <w:right w:val="nil"/>
            </w:tcBorders>
          </w:tcPr>
          <w:p w14:paraId="7EC30F5A"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1C30ECC1" w14:textId="77777777" w:rsidR="009F35FC" w:rsidRPr="00152F3D" w:rsidRDefault="009F35FC" w:rsidP="00E34BBA">
            <w:pPr>
              <w:keepNext/>
              <w:jc w:val="right"/>
              <w:rPr>
                <w:rFonts w:ascii="Arial" w:hAnsi="Arial" w:cs="Arial"/>
                <w:b/>
                <w:bCs/>
                <w:sz w:val="22"/>
                <w:szCs w:val="22"/>
              </w:rPr>
            </w:pPr>
          </w:p>
        </w:tc>
        <w:tc>
          <w:tcPr>
            <w:tcW w:w="270" w:type="dxa"/>
            <w:tcBorders>
              <w:top w:val="nil"/>
              <w:left w:val="nil"/>
              <w:bottom w:val="nil"/>
              <w:right w:val="nil"/>
            </w:tcBorders>
            <w:vAlign w:val="center"/>
          </w:tcPr>
          <w:p w14:paraId="1BF761BC" w14:textId="77777777" w:rsidR="009F35FC" w:rsidRPr="00152F3D" w:rsidRDefault="009F35FC" w:rsidP="00E34BBA">
            <w:pPr>
              <w:keepNext/>
              <w:jc w:val="right"/>
              <w:rPr>
                <w:rFonts w:ascii="Arial" w:hAnsi="Arial" w:cs="Arial"/>
                <w:sz w:val="22"/>
                <w:szCs w:val="22"/>
              </w:rPr>
            </w:pPr>
          </w:p>
        </w:tc>
        <w:tc>
          <w:tcPr>
            <w:tcW w:w="1620" w:type="dxa"/>
            <w:tcBorders>
              <w:top w:val="single" w:sz="8" w:space="0" w:color="auto"/>
              <w:left w:val="nil"/>
              <w:bottom w:val="nil"/>
              <w:right w:val="nil"/>
            </w:tcBorders>
            <w:tcMar>
              <w:top w:w="72" w:type="dxa"/>
              <w:left w:w="115" w:type="dxa"/>
              <w:bottom w:w="72" w:type="dxa"/>
              <w:right w:w="115" w:type="dxa"/>
            </w:tcMar>
          </w:tcPr>
          <w:p w14:paraId="7C6D36EB" w14:textId="77777777" w:rsidR="009F35FC" w:rsidRPr="00152F3D" w:rsidRDefault="009F35FC" w:rsidP="00E34BBA">
            <w:pPr>
              <w:keepNext/>
              <w:jc w:val="right"/>
              <w:rPr>
                <w:rFonts w:ascii="Arial" w:hAnsi="Arial" w:cs="Arial"/>
                <w:b/>
                <w:bCs/>
                <w:sz w:val="22"/>
                <w:szCs w:val="22"/>
              </w:rPr>
            </w:pPr>
            <w:r w:rsidRPr="00152F3D">
              <w:rPr>
                <w:rFonts w:ascii="Arial" w:hAnsi="Arial" w:cs="Arial"/>
                <w:b/>
                <w:bCs/>
                <w:sz w:val="22"/>
                <w:szCs w:val="22"/>
              </w:rPr>
              <w:t>JHS Total</w:t>
            </w:r>
          </w:p>
        </w:tc>
        <w:tc>
          <w:tcPr>
            <w:tcW w:w="270" w:type="dxa"/>
            <w:tcBorders>
              <w:top w:val="nil"/>
              <w:left w:val="nil"/>
              <w:bottom w:val="nil"/>
              <w:right w:val="nil"/>
            </w:tcBorders>
          </w:tcPr>
          <w:p w14:paraId="04E0DC79" w14:textId="77777777" w:rsidR="009F35FC" w:rsidRPr="00152F3D" w:rsidRDefault="009F35FC" w:rsidP="00E34BBA">
            <w:pPr>
              <w:keepNext/>
              <w:jc w:val="right"/>
              <w:rPr>
                <w:rFonts w:ascii="Arial" w:hAnsi="Arial" w:cs="Arial"/>
                <w:sz w:val="22"/>
                <w:szCs w:val="22"/>
              </w:rPr>
            </w:pPr>
          </w:p>
        </w:tc>
        <w:tc>
          <w:tcPr>
            <w:tcW w:w="1460" w:type="dxa"/>
            <w:tcBorders>
              <w:top w:val="single" w:sz="8" w:space="0" w:color="auto"/>
              <w:left w:val="nil"/>
              <w:bottom w:val="nil"/>
              <w:right w:val="single" w:sz="2" w:space="0" w:color="FFFFFF" w:themeColor="background1"/>
            </w:tcBorders>
            <w:tcMar>
              <w:top w:w="72" w:type="dxa"/>
              <w:left w:w="115" w:type="dxa"/>
              <w:bottom w:w="72" w:type="dxa"/>
              <w:right w:w="115" w:type="dxa"/>
            </w:tcMar>
          </w:tcPr>
          <w:p w14:paraId="4176AE40" w14:textId="39918901" w:rsidR="007721E9" w:rsidRPr="00152F3D" w:rsidRDefault="009F35FC" w:rsidP="00152F3D">
            <w:pPr>
              <w:keepNext/>
              <w:jc w:val="right"/>
              <w:rPr>
                <w:rFonts w:ascii="Arial" w:hAnsi="Arial" w:cs="Arial"/>
                <w:b/>
                <w:bCs/>
                <w:sz w:val="22"/>
                <w:szCs w:val="22"/>
              </w:rPr>
            </w:pPr>
            <w:r w:rsidRPr="00152F3D">
              <w:rPr>
                <w:rFonts w:ascii="Arial" w:hAnsi="Arial" w:cs="Arial"/>
                <w:b/>
                <w:bCs/>
                <w:sz w:val="22"/>
                <w:szCs w:val="22"/>
              </w:rPr>
              <w:t>$3,210,000</w:t>
            </w:r>
          </w:p>
        </w:tc>
      </w:tr>
      <w:tr w:rsidR="009F35FC" w:rsidRPr="008D0300" w14:paraId="411529E2" w14:textId="77777777" w:rsidTr="00E34BBA">
        <w:trPr>
          <w:cantSplit/>
          <w:jc w:val="center"/>
        </w:trPr>
        <w:tc>
          <w:tcPr>
            <w:tcW w:w="574" w:type="dxa"/>
            <w:tcBorders>
              <w:top w:val="nil"/>
              <w:left w:val="nil"/>
              <w:bottom w:val="nil"/>
              <w:right w:val="nil"/>
            </w:tcBorders>
          </w:tcPr>
          <w:p w14:paraId="1F487C05"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8</w:t>
            </w:r>
          </w:p>
        </w:tc>
        <w:tc>
          <w:tcPr>
            <w:tcW w:w="249" w:type="dxa"/>
            <w:tcBorders>
              <w:top w:val="nil"/>
              <w:left w:val="nil"/>
              <w:bottom w:val="nil"/>
              <w:right w:val="nil"/>
            </w:tcBorders>
          </w:tcPr>
          <w:p w14:paraId="3ACA86DD"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06A4905D"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Loss recovery to harmed parties (CDP)</w:t>
            </w:r>
          </w:p>
        </w:tc>
        <w:tc>
          <w:tcPr>
            <w:tcW w:w="270" w:type="dxa"/>
            <w:tcBorders>
              <w:top w:val="nil"/>
              <w:left w:val="nil"/>
              <w:bottom w:val="nil"/>
              <w:right w:val="nil"/>
            </w:tcBorders>
            <w:vAlign w:val="center"/>
          </w:tcPr>
          <w:p w14:paraId="7242E0E7"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0ABAE2B3"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3E97AC58"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5BBB721A"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$350,000</w:t>
            </w:r>
          </w:p>
        </w:tc>
      </w:tr>
      <w:tr w:rsidR="009F35FC" w:rsidRPr="008D0300" w14:paraId="2B7781B8" w14:textId="77777777" w:rsidTr="00E34BBA">
        <w:trPr>
          <w:cantSplit/>
          <w:jc w:val="center"/>
        </w:trPr>
        <w:tc>
          <w:tcPr>
            <w:tcW w:w="574" w:type="dxa"/>
            <w:tcBorders>
              <w:top w:val="nil"/>
              <w:left w:val="nil"/>
              <w:bottom w:val="nil"/>
              <w:right w:val="nil"/>
            </w:tcBorders>
          </w:tcPr>
          <w:p w14:paraId="63F4A628"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9</w:t>
            </w:r>
          </w:p>
        </w:tc>
        <w:tc>
          <w:tcPr>
            <w:tcW w:w="249" w:type="dxa"/>
            <w:tcBorders>
              <w:top w:val="nil"/>
              <w:left w:val="nil"/>
              <w:bottom w:val="nil"/>
              <w:right w:val="nil"/>
            </w:tcBorders>
          </w:tcPr>
          <w:p w14:paraId="3B972B51"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316593A6"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Loss recovery to harmed parties (TAD)</w:t>
            </w:r>
          </w:p>
        </w:tc>
        <w:tc>
          <w:tcPr>
            <w:tcW w:w="270" w:type="dxa"/>
            <w:tcBorders>
              <w:top w:val="nil"/>
              <w:left w:val="nil"/>
              <w:bottom w:val="nil"/>
              <w:right w:val="nil"/>
            </w:tcBorders>
            <w:vAlign w:val="center"/>
          </w:tcPr>
          <w:p w14:paraId="20DE1D40"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0414E0D8"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3002619D"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66677EC7"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$150,000</w:t>
            </w:r>
          </w:p>
        </w:tc>
      </w:tr>
      <w:tr w:rsidR="009F35FC" w:rsidRPr="008D0300" w14:paraId="23C2F1C2" w14:textId="77777777" w:rsidTr="00E34BBA">
        <w:trPr>
          <w:cantSplit/>
          <w:jc w:val="center"/>
        </w:trPr>
        <w:tc>
          <w:tcPr>
            <w:tcW w:w="574" w:type="dxa"/>
            <w:tcBorders>
              <w:top w:val="nil"/>
              <w:left w:val="nil"/>
              <w:bottom w:val="nil"/>
              <w:right w:val="nil"/>
            </w:tcBorders>
          </w:tcPr>
          <w:p w14:paraId="22B83920"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10</w:t>
            </w:r>
          </w:p>
        </w:tc>
        <w:tc>
          <w:tcPr>
            <w:tcW w:w="249" w:type="dxa"/>
            <w:tcBorders>
              <w:top w:val="nil"/>
              <w:left w:val="nil"/>
              <w:bottom w:val="nil"/>
              <w:right w:val="nil"/>
            </w:tcBorders>
          </w:tcPr>
          <w:p w14:paraId="10744CD5"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58B43070"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 xml:space="preserve">Loss Recovery Specialists – 2 FTE </w:t>
            </w:r>
          </w:p>
        </w:tc>
        <w:tc>
          <w:tcPr>
            <w:tcW w:w="270" w:type="dxa"/>
            <w:tcBorders>
              <w:top w:val="nil"/>
              <w:left w:val="nil"/>
              <w:bottom w:val="nil"/>
              <w:right w:val="nil"/>
            </w:tcBorders>
            <w:vAlign w:val="center"/>
          </w:tcPr>
          <w:p w14:paraId="13B32736"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5AF3F305"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5BBEEDB1"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46B18833"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$218,000</w:t>
            </w:r>
          </w:p>
        </w:tc>
      </w:tr>
      <w:tr w:rsidR="009F35FC" w:rsidRPr="008D0300" w14:paraId="2A603A98" w14:textId="77777777" w:rsidTr="00E34BBA">
        <w:trPr>
          <w:cantSplit/>
          <w:jc w:val="center"/>
        </w:trPr>
        <w:tc>
          <w:tcPr>
            <w:tcW w:w="574" w:type="dxa"/>
            <w:tcBorders>
              <w:top w:val="nil"/>
              <w:left w:val="nil"/>
              <w:bottom w:val="nil"/>
              <w:right w:val="nil"/>
            </w:tcBorders>
          </w:tcPr>
          <w:p w14:paraId="08C1622B"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11</w:t>
            </w:r>
          </w:p>
        </w:tc>
        <w:tc>
          <w:tcPr>
            <w:tcW w:w="249" w:type="dxa"/>
            <w:tcBorders>
              <w:top w:val="nil"/>
              <w:left w:val="nil"/>
              <w:bottom w:val="nil"/>
              <w:right w:val="nil"/>
            </w:tcBorders>
          </w:tcPr>
          <w:p w14:paraId="7DDFB20E"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09BECA43"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 xml:space="preserve">Finance Analyst </w:t>
            </w:r>
          </w:p>
        </w:tc>
        <w:tc>
          <w:tcPr>
            <w:tcW w:w="270" w:type="dxa"/>
            <w:tcBorders>
              <w:top w:val="nil"/>
              <w:left w:val="nil"/>
              <w:bottom w:val="nil"/>
              <w:right w:val="nil"/>
            </w:tcBorders>
            <w:vAlign w:val="center"/>
          </w:tcPr>
          <w:p w14:paraId="77621386"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0893FBD0"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302FFF0E"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3C58812C"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$155,000</w:t>
            </w:r>
          </w:p>
        </w:tc>
      </w:tr>
      <w:tr w:rsidR="009F35FC" w:rsidRPr="008D0300" w14:paraId="197F01B6" w14:textId="77777777" w:rsidTr="00E34BBA">
        <w:trPr>
          <w:cantSplit/>
          <w:jc w:val="center"/>
        </w:trPr>
        <w:tc>
          <w:tcPr>
            <w:tcW w:w="574" w:type="dxa"/>
            <w:tcBorders>
              <w:top w:val="nil"/>
              <w:left w:val="nil"/>
              <w:bottom w:val="nil"/>
              <w:right w:val="nil"/>
            </w:tcBorders>
          </w:tcPr>
          <w:p w14:paraId="48B4A93E"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12</w:t>
            </w:r>
          </w:p>
        </w:tc>
        <w:tc>
          <w:tcPr>
            <w:tcW w:w="249" w:type="dxa"/>
            <w:tcBorders>
              <w:top w:val="nil"/>
              <w:left w:val="nil"/>
              <w:bottom w:val="nil"/>
              <w:right w:val="nil"/>
            </w:tcBorders>
          </w:tcPr>
          <w:p w14:paraId="55CD8910"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491006F9"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 xml:space="preserve">Program Coordinator </w:t>
            </w:r>
          </w:p>
        </w:tc>
        <w:tc>
          <w:tcPr>
            <w:tcW w:w="270" w:type="dxa"/>
            <w:tcBorders>
              <w:top w:val="nil"/>
              <w:left w:val="nil"/>
              <w:bottom w:val="nil"/>
              <w:right w:val="nil"/>
            </w:tcBorders>
            <w:vAlign w:val="center"/>
          </w:tcPr>
          <w:p w14:paraId="06E86856"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1CF7519C"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57028126"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1621607B"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$92,000</w:t>
            </w:r>
          </w:p>
        </w:tc>
      </w:tr>
      <w:tr w:rsidR="009F35FC" w:rsidRPr="008D0300" w14:paraId="5315E408" w14:textId="77777777" w:rsidTr="00E34BBA">
        <w:trPr>
          <w:cantSplit/>
          <w:jc w:val="center"/>
        </w:trPr>
        <w:tc>
          <w:tcPr>
            <w:tcW w:w="574" w:type="dxa"/>
            <w:tcBorders>
              <w:top w:val="nil"/>
              <w:left w:val="nil"/>
              <w:bottom w:val="nil"/>
              <w:right w:val="nil"/>
            </w:tcBorders>
          </w:tcPr>
          <w:p w14:paraId="38717158"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13</w:t>
            </w:r>
          </w:p>
        </w:tc>
        <w:tc>
          <w:tcPr>
            <w:tcW w:w="249" w:type="dxa"/>
            <w:tcBorders>
              <w:top w:val="nil"/>
              <w:left w:val="nil"/>
              <w:bottom w:val="nil"/>
              <w:right w:val="nil"/>
            </w:tcBorders>
          </w:tcPr>
          <w:p w14:paraId="731608B8"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2F596D30"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IT costs - Vant4ge and other TBD</w:t>
            </w:r>
          </w:p>
        </w:tc>
        <w:tc>
          <w:tcPr>
            <w:tcW w:w="270" w:type="dxa"/>
            <w:tcBorders>
              <w:top w:val="nil"/>
              <w:left w:val="nil"/>
              <w:bottom w:val="nil"/>
              <w:right w:val="nil"/>
            </w:tcBorders>
            <w:vAlign w:val="center"/>
          </w:tcPr>
          <w:p w14:paraId="14BE851C"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nil"/>
              <w:right w:val="nil"/>
            </w:tcBorders>
            <w:tcMar>
              <w:top w:w="72" w:type="dxa"/>
              <w:left w:w="115" w:type="dxa"/>
              <w:bottom w:w="72" w:type="dxa"/>
              <w:right w:w="115" w:type="dxa"/>
            </w:tcMar>
          </w:tcPr>
          <w:p w14:paraId="6C053F43"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2058E11B"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nil"/>
              <w:right w:val="single" w:sz="2" w:space="0" w:color="FFFFFF" w:themeColor="background1"/>
            </w:tcBorders>
            <w:tcMar>
              <w:top w:w="72" w:type="dxa"/>
              <w:left w:w="115" w:type="dxa"/>
              <w:bottom w:w="72" w:type="dxa"/>
              <w:right w:w="115" w:type="dxa"/>
            </w:tcMar>
          </w:tcPr>
          <w:p w14:paraId="0CC094B7"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$72,000</w:t>
            </w:r>
          </w:p>
        </w:tc>
      </w:tr>
      <w:tr w:rsidR="009F35FC" w:rsidRPr="008D0300" w14:paraId="2AAFBF4E" w14:textId="77777777" w:rsidTr="00E34BBA">
        <w:trPr>
          <w:cantSplit/>
          <w:jc w:val="center"/>
        </w:trPr>
        <w:tc>
          <w:tcPr>
            <w:tcW w:w="574" w:type="dxa"/>
            <w:tcBorders>
              <w:top w:val="nil"/>
              <w:left w:val="nil"/>
              <w:bottom w:val="nil"/>
              <w:right w:val="nil"/>
            </w:tcBorders>
          </w:tcPr>
          <w:p w14:paraId="09D9DF8D"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14</w:t>
            </w:r>
          </w:p>
        </w:tc>
        <w:tc>
          <w:tcPr>
            <w:tcW w:w="249" w:type="dxa"/>
            <w:tcBorders>
              <w:top w:val="nil"/>
              <w:left w:val="nil"/>
              <w:bottom w:val="nil"/>
              <w:right w:val="nil"/>
            </w:tcBorders>
          </w:tcPr>
          <w:p w14:paraId="0661D322" w14:textId="77777777" w:rsidR="009F35FC" w:rsidRPr="00152F3D" w:rsidRDefault="009F35FC" w:rsidP="00E34BBA">
            <w:pPr>
              <w:keepNext/>
              <w:rPr>
                <w:rFonts w:ascii="Arial" w:hAnsi="Arial" w:cs="Arial"/>
                <w:sz w:val="22"/>
                <w:szCs w:val="22"/>
              </w:rPr>
            </w:pPr>
          </w:p>
        </w:tc>
        <w:tc>
          <w:tcPr>
            <w:tcW w:w="5137" w:type="dxa"/>
            <w:tcBorders>
              <w:top w:val="nil"/>
              <w:left w:val="nil"/>
              <w:bottom w:val="nil"/>
              <w:right w:val="nil"/>
            </w:tcBorders>
          </w:tcPr>
          <w:p w14:paraId="71ED6796" w14:textId="77777777" w:rsidR="009F35FC" w:rsidRPr="00152F3D" w:rsidRDefault="009F35FC" w:rsidP="00E34BBA">
            <w:pPr>
              <w:keepNext/>
              <w:rPr>
                <w:rFonts w:ascii="Arial" w:hAnsi="Arial" w:cs="Arial"/>
                <w:sz w:val="22"/>
                <w:szCs w:val="22"/>
              </w:rPr>
            </w:pPr>
            <w:r w:rsidRPr="00152F3D">
              <w:rPr>
                <w:rFonts w:ascii="Arial" w:hAnsi="Arial" w:cs="Arial"/>
                <w:sz w:val="22"/>
                <w:szCs w:val="22"/>
              </w:rPr>
              <w:t xml:space="preserve">Other costs (IT equipment, </w:t>
            </w:r>
            <w:proofErr w:type="spellStart"/>
            <w:r w:rsidRPr="00152F3D">
              <w:rPr>
                <w:rFonts w:ascii="Arial" w:hAnsi="Arial" w:cs="Arial"/>
                <w:sz w:val="22"/>
                <w:szCs w:val="22"/>
              </w:rPr>
              <w:t>PbK</w:t>
            </w:r>
            <w:proofErr w:type="spellEnd"/>
            <w:r w:rsidRPr="00152F3D">
              <w:rPr>
                <w:rFonts w:ascii="Arial" w:hAnsi="Arial" w:cs="Arial"/>
                <w:sz w:val="22"/>
                <w:szCs w:val="22"/>
              </w:rPr>
              <w:t xml:space="preserve"> license, etc.)</w:t>
            </w:r>
          </w:p>
        </w:tc>
        <w:tc>
          <w:tcPr>
            <w:tcW w:w="270" w:type="dxa"/>
            <w:tcBorders>
              <w:top w:val="nil"/>
              <w:left w:val="nil"/>
              <w:bottom w:val="nil"/>
              <w:right w:val="nil"/>
            </w:tcBorders>
            <w:vAlign w:val="center"/>
          </w:tcPr>
          <w:p w14:paraId="3BABD416" w14:textId="77777777" w:rsidR="009F35FC" w:rsidRPr="00152F3D" w:rsidRDefault="009F35FC" w:rsidP="00E34BBA">
            <w:pPr>
              <w:keepNext/>
              <w:jc w:val="right"/>
              <w:rPr>
                <w:rFonts w:ascii="Arial" w:hAnsi="Arial" w:cs="Arial"/>
                <w:sz w:val="22"/>
                <w:szCs w:val="22"/>
              </w:rPr>
            </w:pPr>
          </w:p>
        </w:tc>
        <w:tc>
          <w:tcPr>
            <w:tcW w:w="1620" w:type="dxa"/>
            <w:tcBorders>
              <w:top w:val="nil"/>
              <w:left w:val="nil"/>
              <w:bottom w:val="single" w:sz="4" w:space="0" w:color="auto"/>
              <w:right w:val="nil"/>
            </w:tcBorders>
            <w:tcMar>
              <w:top w:w="72" w:type="dxa"/>
              <w:left w:w="115" w:type="dxa"/>
              <w:bottom w:w="72" w:type="dxa"/>
              <w:right w:w="115" w:type="dxa"/>
            </w:tcMar>
          </w:tcPr>
          <w:p w14:paraId="49F42DBA"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PAO</w:t>
            </w:r>
          </w:p>
        </w:tc>
        <w:tc>
          <w:tcPr>
            <w:tcW w:w="270" w:type="dxa"/>
            <w:tcBorders>
              <w:top w:val="nil"/>
              <w:left w:val="nil"/>
              <w:bottom w:val="nil"/>
              <w:right w:val="nil"/>
            </w:tcBorders>
          </w:tcPr>
          <w:p w14:paraId="378B1B54" w14:textId="77777777" w:rsidR="009F35FC" w:rsidRPr="00152F3D" w:rsidRDefault="009F35FC" w:rsidP="00E34BBA">
            <w:pPr>
              <w:keepNext/>
              <w:jc w:val="right"/>
              <w:rPr>
                <w:rFonts w:ascii="Arial" w:hAnsi="Arial" w:cs="Arial"/>
                <w:sz w:val="22"/>
                <w:szCs w:val="22"/>
              </w:rPr>
            </w:pPr>
          </w:p>
        </w:tc>
        <w:tc>
          <w:tcPr>
            <w:tcW w:w="146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6EA4286D" w14:textId="77777777" w:rsidR="009F35FC" w:rsidRPr="00152F3D" w:rsidRDefault="009F35FC" w:rsidP="00E34BBA">
            <w:pPr>
              <w:keepNext/>
              <w:jc w:val="right"/>
              <w:rPr>
                <w:rFonts w:ascii="Arial" w:hAnsi="Arial" w:cs="Arial"/>
                <w:sz w:val="22"/>
                <w:szCs w:val="22"/>
              </w:rPr>
            </w:pPr>
            <w:r w:rsidRPr="00152F3D">
              <w:rPr>
                <w:rFonts w:ascii="Arial" w:hAnsi="Arial" w:cs="Arial"/>
                <w:sz w:val="22"/>
                <w:szCs w:val="22"/>
              </w:rPr>
              <w:t>$86,000</w:t>
            </w:r>
          </w:p>
        </w:tc>
      </w:tr>
      <w:tr w:rsidR="009F35FC" w:rsidRPr="008D0300" w14:paraId="5D5DE2A2" w14:textId="77777777" w:rsidTr="00E34BBA">
        <w:trPr>
          <w:cantSplit/>
          <w:trHeight w:val="13"/>
          <w:jc w:val="center"/>
        </w:trPr>
        <w:tc>
          <w:tcPr>
            <w:tcW w:w="574" w:type="dxa"/>
            <w:tcBorders>
              <w:top w:val="nil"/>
              <w:left w:val="nil"/>
              <w:bottom w:val="nil"/>
              <w:right w:val="nil"/>
            </w:tcBorders>
          </w:tcPr>
          <w:p w14:paraId="334AE7C8" w14:textId="77777777" w:rsidR="009F35FC" w:rsidRPr="00152F3D" w:rsidRDefault="009F35FC" w:rsidP="00E34BBA">
            <w:pPr>
              <w:keepNext/>
              <w:jc w:val="right"/>
              <w:rPr>
                <w:rFonts w:ascii="Arial" w:hAnsi="Arial" w:cs="Arial"/>
                <w:b/>
                <w:sz w:val="22"/>
                <w:szCs w:val="22"/>
              </w:rPr>
            </w:pPr>
          </w:p>
        </w:tc>
        <w:tc>
          <w:tcPr>
            <w:tcW w:w="249" w:type="dxa"/>
            <w:tcBorders>
              <w:top w:val="nil"/>
              <w:left w:val="nil"/>
              <w:bottom w:val="nil"/>
              <w:right w:val="nil"/>
            </w:tcBorders>
          </w:tcPr>
          <w:p w14:paraId="5BAAB254" w14:textId="77777777" w:rsidR="009F35FC" w:rsidRPr="00152F3D" w:rsidRDefault="009F35FC" w:rsidP="00E34BBA">
            <w:pPr>
              <w:keepNext/>
              <w:jc w:val="right"/>
              <w:rPr>
                <w:rFonts w:ascii="Arial" w:hAnsi="Arial" w:cs="Arial"/>
                <w:b/>
                <w:sz w:val="22"/>
                <w:szCs w:val="22"/>
              </w:rPr>
            </w:pPr>
          </w:p>
        </w:tc>
        <w:tc>
          <w:tcPr>
            <w:tcW w:w="5137" w:type="dxa"/>
            <w:tcBorders>
              <w:top w:val="nil"/>
              <w:left w:val="nil"/>
              <w:bottom w:val="nil"/>
              <w:right w:val="nil"/>
            </w:tcBorders>
            <w:vAlign w:val="center"/>
          </w:tcPr>
          <w:p w14:paraId="3E883614" w14:textId="77777777" w:rsidR="009F35FC" w:rsidRPr="00152F3D" w:rsidRDefault="009F35FC" w:rsidP="00E34BBA">
            <w:pPr>
              <w:keepNext/>
              <w:jc w:val="right"/>
              <w:rPr>
                <w:rFonts w:ascii="Arial" w:hAnsi="Arial" w:cs="Arial"/>
                <w:b/>
                <w:sz w:val="22"/>
                <w:szCs w:val="22"/>
              </w:rPr>
            </w:pPr>
          </w:p>
        </w:tc>
        <w:tc>
          <w:tcPr>
            <w:tcW w:w="270" w:type="dxa"/>
            <w:tcBorders>
              <w:top w:val="nil"/>
              <w:left w:val="nil"/>
              <w:bottom w:val="nil"/>
              <w:right w:val="nil"/>
            </w:tcBorders>
            <w:vAlign w:val="center"/>
          </w:tcPr>
          <w:p w14:paraId="0A8F76E2" w14:textId="77777777" w:rsidR="009F35FC" w:rsidRPr="00152F3D" w:rsidRDefault="009F35FC" w:rsidP="00E34BBA">
            <w:pPr>
              <w:keepNext/>
              <w:jc w:val="right"/>
              <w:rPr>
                <w:rFonts w:ascii="Arial" w:hAnsi="Arial" w:cs="Arial"/>
                <w:b/>
                <w:sz w:val="22"/>
                <w:szCs w:val="22"/>
              </w:rPr>
            </w:pPr>
          </w:p>
        </w:tc>
        <w:tc>
          <w:tcPr>
            <w:tcW w:w="1620" w:type="dxa"/>
            <w:tcBorders>
              <w:top w:val="single" w:sz="4" w:space="0" w:color="auto"/>
              <w:left w:val="nil"/>
              <w:bottom w:val="single" w:sz="12" w:space="0" w:color="auto"/>
              <w:right w:val="nil"/>
            </w:tcBorders>
            <w:tcMar>
              <w:top w:w="72" w:type="dxa"/>
              <w:left w:w="115" w:type="dxa"/>
              <w:bottom w:w="72" w:type="dxa"/>
              <w:right w:w="115" w:type="dxa"/>
            </w:tcMar>
            <w:vAlign w:val="center"/>
          </w:tcPr>
          <w:p w14:paraId="3CD078DE" w14:textId="77777777" w:rsidR="009F35FC" w:rsidRPr="00152F3D" w:rsidRDefault="009F35FC" w:rsidP="00E34BBA">
            <w:pPr>
              <w:keepNext/>
              <w:jc w:val="right"/>
              <w:rPr>
                <w:rFonts w:ascii="Arial" w:hAnsi="Arial" w:cs="Arial"/>
                <w:b/>
                <w:sz w:val="22"/>
                <w:szCs w:val="22"/>
              </w:rPr>
            </w:pPr>
            <w:r w:rsidRPr="00152F3D">
              <w:rPr>
                <w:rFonts w:ascii="Arial" w:hAnsi="Arial" w:cs="Arial"/>
                <w:b/>
                <w:sz w:val="22"/>
                <w:szCs w:val="22"/>
              </w:rPr>
              <w:t>PAO Total</w:t>
            </w:r>
          </w:p>
        </w:tc>
        <w:tc>
          <w:tcPr>
            <w:tcW w:w="270" w:type="dxa"/>
            <w:tcBorders>
              <w:top w:val="nil"/>
              <w:left w:val="single" w:sz="2" w:space="0" w:color="FFFFFF" w:themeColor="background1"/>
              <w:bottom w:val="nil"/>
              <w:right w:val="single" w:sz="2" w:space="0" w:color="FFFFFF" w:themeColor="background1"/>
            </w:tcBorders>
            <w:vAlign w:val="center"/>
          </w:tcPr>
          <w:p w14:paraId="24B9C267" w14:textId="77777777" w:rsidR="009F35FC" w:rsidRPr="00152F3D" w:rsidRDefault="009F35FC" w:rsidP="00E34BBA">
            <w:pPr>
              <w:keepNext/>
              <w:jc w:val="right"/>
              <w:rPr>
                <w:rFonts w:ascii="Arial" w:hAnsi="Arial" w:cs="Arial"/>
                <w:b/>
                <w:sz w:val="22"/>
                <w:szCs w:val="22"/>
              </w:rPr>
            </w:pPr>
          </w:p>
        </w:tc>
        <w:tc>
          <w:tcPr>
            <w:tcW w:w="146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0563B686" w14:textId="77777777" w:rsidR="009F35FC" w:rsidRPr="00152F3D" w:rsidRDefault="009F35FC" w:rsidP="00E34BBA">
            <w:pPr>
              <w:keepNext/>
              <w:jc w:val="right"/>
              <w:rPr>
                <w:rFonts w:ascii="Arial" w:hAnsi="Arial" w:cs="Arial"/>
                <w:b/>
                <w:sz w:val="22"/>
                <w:szCs w:val="22"/>
              </w:rPr>
            </w:pPr>
            <w:r w:rsidRPr="00152F3D">
              <w:rPr>
                <w:rFonts w:ascii="Arial" w:hAnsi="Arial" w:cs="Arial"/>
                <w:b/>
                <w:sz w:val="22"/>
                <w:szCs w:val="22"/>
              </w:rPr>
              <w:t>$1,123,000</w:t>
            </w:r>
          </w:p>
        </w:tc>
      </w:tr>
      <w:tr w:rsidR="009F35FC" w:rsidRPr="008D0300" w14:paraId="5DFE918B" w14:textId="77777777" w:rsidTr="00E34BBA">
        <w:trPr>
          <w:cantSplit/>
          <w:trHeight w:val="13"/>
          <w:jc w:val="center"/>
        </w:trPr>
        <w:tc>
          <w:tcPr>
            <w:tcW w:w="574" w:type="dxa"/>
            <w:tcBorders>
              <w:top w:val="nil"/>
              <w:left w:val="nil"/>
              <w:bottom w:val="single" w:sz="12" w:space="0" w:color="auto"/>
              <w:right w:val="nil"/>
            </w:tcBorders>
          </w:tcPr>
          <w:p w14:paraId="75CC4447" w14:textId="77777777" w:rsidR="009F35FC" w:rsidRPr="00152F3D" w:rsidRDefault="009F35FC" w:rsidP="00E34BBA">
            <w:pPr>
              <w:keepNext/>
              <w:jc w:val="right"/>
              <w:rPr>
                <w:rFonts w:ascii="Arial" w:hAnsi="Arial" w:cs="Arial"/>
                <w:b/>
                <w:sz w:val="22"/>
                <w:szCs w:val="22"/>
              </w:rPr>
            </w:pPr>
          </w:p>
        </w:tc>
        <w:tc>
          <w:tcPr>
            <w:tcW w:w="249" w:type="dxa"/>
            <w:tcBorders>
              <w:top w:val="nil"/>
              <w:left w:val="nil"/>
              <w:bottom w:val="single" w:sz="12" w:space="0" w:color="auto"/>
              <w:right w:val="nil"/>
            </w:tcBorders>
          </w:tcPr>
          <w:p w14:paraId="3864596B" w14:textId="77777777" w:rsidR="009F35FC" w:rsidRPr="00152F3D" w:rsidRDefault="009F35FC" w:rsidP="00E34BBA">
            <w:pPr>
              <w:keepNext/>
              <w:jc w:val="right"/>
              <w:rPr>
                <w:rFonts w:ascii="Arial" w:hAnsi="Arial" w:cs="Arial"/>
                <w:b/>
                <w:sz w:val="22"/>
                <w:szCs w:val="22"/>
              </w:rPr>
            </w:pPr>
          </w:p>
        </w:tc>
        <w:tc>
          <w:tcPr>
            <w:tcW w:w="5137" w:type="dxa"/>
            <w:tcBorders>
              <w:top w:val="nil"/>
              <w:left w:val="nil"/>
              <w:bottom w:val="single" w:sz="12" w:space="0" w:color="auto"/>
              <w:right w:val="nil"/>
            </w:tcBorders>
            <w:vAlign w:val="center"/>
          </w:tcPr>
          <w:p w14:paraId="7CC740FF" w14:textId="77777777" w:rsidR="009F35FC" w:rsidRPr="00152F3D" w:rsidRDefault="009F35FC" w:rsidP="00E34BBA">
            <w:pPr>
              <w:keepNext/>
              <w:jc w:val="right"/>
              <w:rPr>
                <w:rFonts w:ascii="Arial" w:hAnsi="Arial" w:cs="Arial"/>
                <w:b/>
                <w:sz w:val="22"/>
                <w:szCs w:val="22"/>
              </w:rPr>
            </w:pPr>
          </w:p>
        </w:tc>
        <w:tc>
          <w:tcPr>
            <w:tcW w:w="270" w:type="dxa"/>
            <w:tcBorders>
              <w:top w:val="nil"/>
              <w:left w:val="nil"/>
              <w:bottom w:val="single" w:sz="12" w:space="0" w:color="auto"/>
              <w:right w:val="nil"/>
            </w:tcBorders>
            <w:vAlign w:val="center"/>
          </w:tcPr>
          <w:p w14:paraId="031582C2" w14:textId="77777777" w:rsidR="009F35FC" w:rsidRPr="00152F3D" w:rsidRDefault="009F35FC" w:rsidP="00E34BBA">
            <w:pPr>
              <w:keepNext/>
              <w:jc w:val="right"/>
              <w:rPr>
                <w:rFonts w:ascii="Arial" w:hAnsi="Arial" w:cs="Arial"/>
                <w:b/>
                <w:sz w:val="22"/>
                <w:szCs w:val="22"/>
              </w:rPr>
            </w:pPr>
          </w:p>
        </w:tc>
        <w:tc>
          <w:tcPr>
            <w:tcW w:w="1620" w:type="dxa"/>
            <w:tcBorders>
              <w:top w:val="double" w:sz="4" w:space="0" w:color="auto"/>
              <w:left w:val="nil"/>
              <w:bottom w:val="single" w:sz="12" w:space="0" w:color="auto"/>
              <w:right w:val="nil"/>
            </w:tcBorders>
            <w:tcMar>
              <w:top w:w="72" w:type="dxa"/>
              <w:left w:w="115" w:type="dxa"/>
              <w:bottom w:w="72" w:type="dxa"/>
              <w:right w:w="115" w:type="dxa"/>
            </w:tcMar>
            <w:vAlign w:val="center"/>
          </w:tcPr>
          <w:p w14:paraId="6B45F35D" w14:textId="77777777" w:rsidR="009F35FC" w:rsidRPr="00152F3D" w:rsidRDefault="009F35FC" w:rsidP="00E34BBA">
            <w:pPr>
              <w:keepNext/>
              <w:jc w:val="right"/>
              <w:rPr>
                <w:rFonts w:ascii="Arial" w:hAnsi="Arial" w:cs="Arial"/>
                <w:b/>
                <w:sz w:val="22"/>
                <w:szCs w:val="22"/>
              </w:rPr>
            </w:pPr>
            <w:r w:rsidRPr="00152F3D">
              <w:rPr>
                <w:rFonts w:ascii="Arial" w:hAnsi="Arial" w:cs="Arial"/>
                <w:b/>
                <w:sz w:val="22"/>
                <w:szCs w:val="22"/>
              </w:rPr>
              <w:t>CDP TOTAL</w:t>
            </w:r>
          </w:p>
        </w:tc>
        <w:tc>
          <w:tcPr>
            <w:tcW w:w="270" w:type="dxa"/>
            <w:tcBorders>
              <w:top w:val="nil"/>
              <w:left w:val="single" w:sz="2" w:space="0" w:color="FFFFFF" w:themeColor="background1"/>
              <w:bottom w:val="single" w:sz="12" w:space="0" w:color="auto"/>
              <w:right w:val="single" w:sz="2" w:space="0" w:color="FFFFFF" w:themeColor="background1"/>
            </w:tcBorders>
            <w:vAlign w:val="center"/>
          </w:tcPr>
          <w:p w14:paraId="75961B0A" w14:textId="77777777" w:rsidR="009F35FC" w:rsidRPr="00152F3D" w:rsidRDefault="009F35FC" w:rsidP="00E34BBA">
            <w:pPr>
              <w:keepNext/>
              <w:jc w:val="right"/>
              <w:rPr>
                <w:rFonts w:ascii="Arial" w:hAnsi="Arial" w:cs="Arial"/>
                <w:b/>
                <w:sz w:val="22"/>
                <w:szCs w:val="22"/>
              </w:rPr>
            </w:pPr>
          </w:p>
        </w:tc>
        <w:tc>
          <w:tcPr>
            <w:tcW w:w="1460" w:type="dxa"/>
            <w:tcBorders>
              <w:top w:val="doub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A9840E7" w14:textId="77777777" w:rsidR="009F35FC" w:rsidRPr="00152F3D" w:rsidRDefault="009F35FC" w:rsidP="00E34BBA">
            <w:pPr>
              <w:keepNext/>
              <w:jc w:val="right"/>
              <w:rPr>
                <w:rFonts w:ascii="Arial" w:hAnsi="Arial" w:cs="Arial"/>
                <w:b/>
                <w:sz w:val="22"/>
                <w:szCs w:val="22"/>
              </w:rPr>
            </w:pPr>
            <w:r w:rsidRPr="00152F3D">
              <w:rPr>
                <w:rFonts w:ascii="Arial" w:hAnsi="Arial" w:cs="Arial"/>
                <w:b/>
                <w:sz w:val="22"/>
                <w:szCs w:val="22"/>
              </w:rPr>
              <w:t>$4,333,000</w:t>
            </w:r>
          </w:p>
        </w:tc>
      </w:tr>
    </w:tbl>
    <w:p w14:paraId="0A22611C" w14:textId="77777777" w:rsidR="009F35FC" w:rsidRDefault="009F35FC" w:rsidP="009F35FC">
      <w:pPr>
        <w:spacing w:line="264" w:lineRule="auto"/>
        <w:jc w:val="both"/>
        <w:rPr>
          <w:rFonts w:ascii="Arial" w:hAnsi="Arial" w:cs="Arial"/>
          <w:bCs/>
        </w:rPr>
      </w:pPr>
    </w:p>
    <w:p w14:paraId="26949AFB" w14:textId="77777777" w:rsidR="009F35FC" w:rsidRDefault="009F35FC" w:rsidP="009F35FC">
      <w:pPr>
        <w:spacing w:line="264" w:lineRule="auto"/>
        <w:jc w:val="both"/>
        <w:rPr>
          <w:rFonts w:ascii="Arial" w:hAnsi="Arial" w:cs="Arial"/>
          <w:i/>
          <w:iCs/>
        </w:rPr>
      </w:pPr>
      <w:r w:rsidRPr="004339C7">
        <w:rPr>
          <w:rFonts w:ascii="Arial" w:hAnsi="Arial" w:cs="Arial"/>
          <w:bCs/>
        </w:rPr>
        <w:t xml:space="preserve">Council staff asked for additional information on the capacity of local community service providers to offer services. </w:t>
      </w:r>
      <w:r>
        <w:rPr>
          <w:rFonts w:ascii="Arial" w:hAnsi="Arial" w:cs="Arial"/>
          <w:bCs/>
        </w:rPr>
        <w:t xml:space="preserve"> </w:t>
      </w:r>
      <w:r w:rsidRPr="004339C7">
        <w:rPr>
          <w:rFonts w:ascii="Arial" w:hAnsi="Arial" w:cs="Arial"/>
          <w:bCs/>
        </w:rPr>
        <w:t>Executive staff report</w:t>
      </w:r>
      <w:r>
        <w:rPr>
          <w:rFonts w:ascii="Arial" w:hAnsi="Arial" w:cs="Arial"/>
          <w:bCs/>
        </w:rPr>
        <w:t>,</w:t>
      </w:r>
      <w:r w:rsidRPr="004339C7">
        <w:rPr>
          <w:rFonts w:ascii="Arial" w:hAnsi="Arial" w:cs="Arial"/>
          <w:bCs/>
        </w:rPr>
        <w:t xml:space="preserve"> </w:t>
      </w:r>
      <w:r>
        <w:rPr>
          <w:rFonts w:ascii="Arial" w:hAnsi="Arial" w:cs="Arial"/>
          <w:bCs/>
        </w:rPr>
        <w:t>“</w:t>
      </w:r>
      <w:r w:rsidRPr="004339C7">
        <w:rPr>
          <w:rFonts w:ascii="Arial" w:hAnsi="Arial" w:cs="Arial"/>
          <w:i/>
          <w:iCs/>
        </w:rPr>
        <w:t>Many providers have limited experience in providing criminal legal needs-based services beyond traditional behavioral health care. They have expressed intent to participate in the program and stated interest in training and capacity building support.</w:t>
      </w:r>
      <w:r>
        <w:rPr>
          <w:rFonts w:ascii="Arial" w:hAnsi="Arial" w:cs="Arial"/>
          <w:i/>
          <w:iCs/>
        </w:rPr>
        <w:t>”</w:t>
      </w:r>
    </w:p>
    <w:p w14:paraId="2E0A53E5" w14:textId="77777777" w:rsidR="009F35FC" w:rsidRDefault="009F35FC" w:rsidP="009F35FC">
      <w:pPr>
        <w:spacing w:line="264" w:lineRule="auto"/>
        <w:contextualSpacing/>
        <w:jc w:val="both"/>
        <w:rPr>
          <w:rFonts w:ascii="Arial" w:hAnsi="Arial" w:cs="Arial"/>
          <w:i/>
          <w:iCs/>
        </w:rPr>
      </w:pPr>
    </w:p>
    <w:p w14:paraId="5D414152" w14:textId="77777777" w:rsidR="009F35FC" w:rsidRDefault="009F35FC" w:rsidP="009F35FC">
      <w:pPr>
        <w:spacing w:line="264" w:lineRule="auto"/>
        <w:contextualSpacing/>
        <w:jc w:val="both"/>
        <w:rPr>
          <w:rFonts w:ascii="Arial" w:hAnsi="Arial" w:cs="Arial"/>
          <w:bCs/>
        </w:rPr>
      </w:pPr>
      <w:r>
        <w:rPr>
          <w:rFonts w:ascii="Arial" w:hAnsi="Arial" w:cs="Arial"/>
          <w:bCs/>
        </w:rPr>
        <w:t xml:space="preserve">The PAO applied for and received an evaluation grant from Stanford University and the design of the evaluation which includes community providers has begun. </w:t>
      </w:r>
    </w:p>
    <w:p w14:paraId="4DA8388A" w14:textId="77777777" w:rsidR="009F35FC" w:rsidRDefault="009F35FC" w:rsidP="009F35FC">
      <w:pPr>
        <w:spacing w:line="264" w:lineRule="auto"/>
        <w:contextualSpacing/>
        <w:jc w:val="both"/>
        <w:rPr>
          <w:rFonts w:ascii="Arial" w:hAnsi="Arial" w:cs="Arial"/>
          <w:b/>
          <w:i/>
          <w:iCs/>
        </w:rPr>
      </w:pPr>
    </w:p>
    <w:p w14:paraId="498DE3F1" w14:textId="77777777" w:rsidR="009F35FC" w:rsidRDefault="009F35FC" w:rsidP="009F35FC">
      <w:pPr>
        <w:spacing w:line="264" w:lineRule="auto"/>
        <w:contextualSpacing/>
        <w:jc w:val="both"/>
        <w:rPr>
          <w:rFonts w:ascii="Arial" w:hAnsi="Arial" w:cs="Arial"/>
        </w:rPr>
      </w:pPr>
      <w:r>
        <w:rPr>
          <w:rFonts w:ascii="Arial" w:hAnsi="Arial" w:cs="Arial"/>
          <w:b/>
          <w:i/>
          <w:iCs/>
        </w:rPr>
        <w:t>Officer Involved Shooting Staff and Resources [$684,455, 3.0 FTEs]</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two prosecutors, one paralegal, and resources for expert witnesses to address officer involved shooting incidents in response to a change in the law.  In 2018, Initiative 940 was passed, removing the need to prove malice in order to hold a peace officer criminally liable for using deadly force.  According to the PAO, prior to this change, criminal prosecution of these instances was nearly impossible.  In response to this change in the law, the PAO formed a team of senior prosecutors to work with law enforcement on the criminal investigation of these cases, consult with expert witnesses as necessary, and prosecute when appropriate. </w:t>
      </w:r>
    </w:p>
    <w:p w14:paraId="20EF2896" w14:textId="77777777" w:rsidR="009F35FC" w:rsidRPr="00A916B4" w:rsidRDefault="009F35FC" w:rsidP="009F35FC">
      <w:pPr>
        <w:spacing w:line="264" w:lineRule="auto"/>
        <w:contextualSpacing/>
        <w:jc w:val="both"/>
        <w:rPr>
          <w:rFonts w:ascii="Arial" w:hAnsi="Arial" w:cs="Arial"/>
          <w:bCs/>
          <w:i/>
          <w:iCs/>
        </w:rPr>
      </w:pPr>
      <w:r>
        <w:rPr>
          <w:rFonts w:ascii="Arial" w:hAnsi="Arial" w:cs="Arial"/>
          <w:b/>
          <w:i/>
          <w:iCs/>
        </w:rPr>
        <w:lastRenderedPageBreak/>
        <w:t>Body Worn Camera Paralegal Positions [1.0 FTE]</w:t>
      </w:r>
      <w:r w:rsidRPr="0054665B">
        <w:rPr>
          <w:rFonts w:ascii="Arial" w:hAnsi="Arial" w:cs="Arial"/>
          <w:b/>
          <w:i/>
          <w:iCs/>
        </w:rPr>
        <w:t>.</w:t>
      </w:r>
      <w:r>
        <w:rPr>
          <w:rFonts w:ascii="Arial" w:hAnsi="Arial" w:cs="Arial"/>
          <w:b/>
        </w:rPr>
        <w:t xml:space="preserve">  </w:t>
      </w:r>
      <w:r>
        <w:rPr>
          <w:rFonts w:ascii="Arial" w:hAnsi="Arial" w:cs="Arial"/>
          <w:bCs/>
        </w:rPr>
        <w:t xml:space="preserve">The proposed ordinance would add FTE authority for two paralegal positions to address growing workload associated with body worn cameras.  The paralegals will assist in all phases of processing of digital evidence for body-worn video, in-car video, photos, and other general video and digital files for cases.  The PAO will fund the positions out of existing appropriation authority. </w:t>
      </w:r>
    </w:p>
    <w:p w14:paraId="11F4BE37" w14:textId="77777777" w:rsidR="009F35FC" w:rsidRDefault="009F35FC" w:rsidP="009F35FC">
      <w:pPr>
        <w:spacing w:line="264" w:lineRule="auto"/>
        <w:contextualSpacing/>
        <w:jc w:val="both"/>
        <w:rPr>
          <w:rFonts w:ascii="Arial" w:hAnsi="Arial" w:cs="Arial"/>
          <w:b/>
          <w:i/>
          <w:iCs/>
        </w:rPr>
      </w:pPr>
    </w:p>
    <w:p w14:paraId="7531EE89" w14:textId="31C53BED" w:rsidR="009F35FC" w:rsidRDefault="009F35FC" w:rsidP="009F35FC">
      <w:pPr>
        <w:spacing w:line="264" w:lineRule="auto"/>
        <w:contextualSpacing/>
        <w:jc w:val="both"/>
        <w:rPr>
          <w:rFonts w:ascii="Arial" w:hAnsi="Arial" w:cs="Arial"/>
        </w:rPr>
      </w:pPr>
      <w:r>
        <w:rPr>
          <w:rFonts w:ascii="Arial" w:hAnsi="Arial" w:cs="Arial"/>
          <w:b/>
          <w:i/>
          <w:iCs/>
        </w:rPr>
        <w:t xml:space="preserve">Crime Victim Fund </w:t>
      </w:r>
      <w:r w:rsidR="007721E9">
        <w:rPr>
          <w:rFonts w:ascii="Arial" w:hAnsi="Arial" w:cs="Arial"/>
          <w:b/>
          <w:i/>
          <w:iCs/>
        </w:rPr>
        <w:t>Victims’</w:t>
      </w:r>
      <w:r>
        <w:rPr>
          <w:rFonts w:ascii="Arial" w:hAnsi="Arial" w:cs="Arial"/>
          <w:b/>
          <w:i/>
          <w:iCs/>
        </w:rPr>
        <w:t xml:space="preserve"> Advocates [$315</w:t>
      </w:r>
      <w:r w:rsidRPr="00C05420">
        <w:rPr>
          <w:rFonts w:ascii="Arial" w:hAnsi="Arial" w:cs="Arial"/>
          <w:b/>
          <w:i/>
          <w:iCs/>
        </w:rPr>
        <w:t>,</w:t>
      </w:r>
      <w:r>
        <w:rPr>
          <w:rFonts w:ascii="Arial" w:hAnsi="Arial" w:cs="Arial"/>
          <w:b/>
          <w:i/>
          <w:iCs/>
        </w:rPr>
        <w:t>701, 2.0 FTEs]</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victim advocate positions to support crime victims.  The proposal is funded with Crime Victim Penalty Fund revenue.  </w:t>
      </w:r>
    </w:p>
    <w:p w14:paraId="17990491" w14:textId="77777777" w:rsidR="009F35FC" w:rsidRDefault="009F35FC" w:rsidP="009F35FC">
      <w:pPr>
        <w:spacing w:line="264" w:lineRule="auto"/>
        <w:contextualSpacing/>
        <w:jc w:val="both"/>
        <w:rPr>
          <w:rFonts w:ascii="Arial" w:hAnsi="Arial" w:cs="Arial"/>
          <w:b/>
          <w:i/>
          <w:iCs/>
        </w:rPr>
      </w:pPr>
    </w:p>
    <w:p w14:paraId="6450FFD2" w14:textId="5AA836A6" w:rsidR="009F35FC" w:rsidRDefault="009F35FC" w:rsidP="009F35FC">
      <w:pPr>
        <w:spacing w:line="264" w:lineRule="auto"/>
        <w:contextualSpacing/>
        <w:jc w:val="both"/>
        <w:rPr>
          <w:rFonts w:ascii="Arial" w:hAnsi="Arial" w:cs="Arial"/>
        </w:rPr>
      </w:pPr>
      <w:r>
        <w:rPr>
          <w:rFonts w:ascii="Arial" w:hAnsi="Arial" w:cs="Arial"/>
          <w:b/>
          <w:i/>
          <w:iCs/>
        </w:rPr>
        <w:t>Involuntary Treatment Act (ITA) Court Pilot [$214,588, 1.0 FTE]</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an attorney to support the ITA Court </w:t>
      </w:r>
      <w:r w:rsidR="007721E9">
        <w:rPr>
          <w:rFonts w:ascii="Arial" w:hAnsi="Arial" w:cs="Arial"/>
        </w:rPr>
        <w:t>Recovery</w:t>
      </w:r>
      <w:r>
        <w:rPr>
          <w:rFonts w:ascii="Arial" w:hAnsi="Arial" w:cs="Arial"/>
        </w:rPr>
        <w:t xml:space="preserve"> Pilot for the period of July 2021 through December 2022.  By statute, the PAO is charged with representing the treatment facility seeking longer involuntary treatment.  Funding beyond 2022 is pending program review and assessment. </w:t>
      </w:r>
    </w:p>
    <w:p w14:paraId="127310A1" w14:textId="77777777" w:rsidR="009F35FC" w:rsidRDefault="009F35FC" w:rsidP="009F35FC">
      <w:pPr>
        <w:spacing w:line="264" w:lineRule="auto"/>
        <w:contextualSpacing/>
        <w:jc w:val="both"/>
        <w:rPr>
          <w:rFonts w:ascii="Arial" w:hAnsi="Arial" w:cs="Arial"/>
          <w:b/>
          <w:i/>
          <w:iCs/>
        </w:rPr>
      </w:pPr>
    </w:p>
    <w:p w14:paraId="6351B532" w14:textId="77777777" w:rsidR="009F35FC" w:rsidRDefault="009F35FC" w:rsidP="009F35FC">
      <w:pPr>
        <w:spacing w:line="264" w:lineRule="auto"/>
        <w:contextualSpacing/>
        <w:jc w:val="both"/>
        <w:rPr>
          <w:rFonts w:ascii="Arial" w:hAnsi="Arial" w:cs="Arial"/>
        </w:rPr>
      </w:pPr>
      <w:r>
        <w:rPr>
          <w:rFonts w:ascii="Arial" w:hAnsi="Arial" w:cs="Arial"/>
          <w:b/>
          <w:i/>
          <w:iCs/>
        </w:rPr>
        <w:t>Civil Division Lease Costs [$545,000]</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funding for new lease costs for the Civil Division due to the closing of the King County Administration Building. </w:t>
      </w:r>
    </w:p>
    <w:p w14:paraId="50A12EA8" w14:textId="77777777" w:rsidR="009F35FC" w:rsidRDefault="009F35FC" w:rsidP="009F35FC">
      <w:pPr>
        <w:spacing w:line="264" w:lineRule="auto"/>
        <w:contextualSpacing/>
        <w:jc w:val="both"/>
        <w:rPr>
          <w:rFonts w:ascii="Arial" w:hAnsi="Arial" w:cs="Arial"/>
          <w:b/>
          <w:i/>
          <w:iCs/>
        </w:rPr>
      </w:pPr>
    </w:p>
    <w:p w14:paraId="5287C7A9" w14:textId="77777777" w:rsidR="009F35FC" w:rsidRDefault="009F35FC" w:rsidP="009F35FC">
      <w:pPr>
        <w:spacing w:line="264" w:lineRule="auto"/>
        <w:contextualSpacing/>
        <w:jc w:val="both"/>
        <w:rPr>
          <w:rFonts w:ascii="Arial" w:hAnsi="Arial" w:cs="Arial"/>
        </w:rPr>
      </w:pPr>
      <w:r>
        <w:rPr>
          <w:rFonts w:ascii="Arial" w:hAnsi="Arial" w:cs="Arial"/>
          <w:b/>
          <w:i/>
          <w:iCs/>
        </w:rPr>
        <w:t>Increased database license costs [$</w:t>
      </w:r>
      <w:r w:rsidRPr="00C05420">
        <w:rPr>
          <w:rFonts w:ascii="Arial" w:hAnsi="Arial" w:cs="Arial"/>
          <w:b/>
          <w:i/>
          <w:iCs/>
        </w:rPr>
        <w:t>250,000</w:t>
      </w:r>
      <w:r>
        <w:rPr>
          <w:rFonts w:ascii="Arial" w:hAnsi="Arial" w:cs="Arial"/>
          <w:b/>
          <w:i/>
          <w:iCs/>
        </w:rPr>
        <w:t>]</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funding for increased Dynamics 365 databased annual license costs due to the increase in number of users. </w:t>
      </w:r>
    </w:p>
    <w:p w14:paraId="3E037610" w14:textId="77777777" w:rsidR="009F35FC" w:rsidRDefault="009F35FC" w:rsidP="009F35FC">
      <w:pPr>
        <w:spacing w:line="264" w:lineRule="auto"/>
        <w:contextualSpacing/>
        <w:jc w:val="both"/>
        <w:rPr>
          <w:rFonts w:ascii="Arial" w:hAnsi="Arial" w:cs="Arial"/>
        </w:rPr>
      </w:pPr>
    </w:p>
    <w:p w14:paraId="25D50B39" w14:textId="77777777" w:rsidR="009F35FC" w:rsidRDefault="009F35FC" w:rsidP="009F35FC">
      <w:pPr>
        <w:spacing w:line="264" w:lineRule="auto"/>
        <w:contextualSpacing/>
        <w:jc w:val="both"/>
        <w:rPr>
          <w:rFonts w:ascii="Arial" w:hAnsi="Arial" w:cs="Arial"/>
        </w:rPr>
      </w:pPr>
      <w:r>
        <w:rPr>
          <w:rFonts w:ascii="Arial" w:hAnsi="Arial" w:cs="Arial"/>
          <w:b/>
          <w:i/>
          <w:iCs/>
        </w:rPr>
        <w:t>Legal Administrative Specialist [1.0 FTE]</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FTE authority for one legal administrative specialist in the Sentence Review Unit to handle increase workload.  The PAO would fund the position out of existing appropriation authority. </w:t>
      </w:r>
    </w:p>
    <w:p w14:paraId="791C4127" w14:textId="77777777" w:rsidR="009F35FC" w:rsidRDefault="009F35FC" w:rsidP="009F35FC">
      <w:pPr>
        <w:spacing w:line="264" w:lineRule="auto"/>
        <w:contextualSpacing/>
        <w:jc w:val="both"/>
        <w:rPr>
          <w:rFonts w:ascii="Arial" w:hAnsi="Arial" w:cs="Arial"/>
        </w:rPr>
      </w:pPr>
    </w:p>
    <w:p w14:paraId="4BFC5EE4" w14:textId="77777777" w:rsidR="009F35FC" w:rsidRPr="006D3FF8" w:rsidRDefault="009F35FC" w:rsidP="009F35FC">
      <w:pPr>
        <w:spacing w:line="264" w:lineRule="auto"/>
        <w:contextualSpacing/>
        <w:jc w:val="both"/>
        <w:rPr>
          <w:rFonts w:ascii="Arial" w:hAnsi="Arial" w:cs="Arial"/>
          <w:b/>
          <w:i/>
        </w:rPr>
      </w:pPr>
      <w:r>
        <w:rPr>
          <w:rFonts w:ascii="Arial" w:hAnsi="Arial" w:cs="Arial"/>
          <w:b/>
          <w:i/>
          <w:iCs/>
        </w:rPr>
        <w:t>Parking Reimbursement During COVID-19 Pandemic [</w:t>
      </w:r>
      <w:r w:rsidRPr="0054665B">
        <w:rPr>
          <w:rFonts w:ascii="Arial" w:hAnsi="Arial" w:cs="Arial"/>
          <w:b/>
          <w:i/>
          <w:iCs/>
        </w:rPr>
        <w:t>$</w:t>
      </w:r>
      <w:r>
        <w:rPr>
          <w:rFonts w:ascii="Arial" w:hAnsi="Arial" w:cs="Arial"/>
          <w:b/>
          <w:i/>
          <w:iCs/>
        </w:rPr>
        <w:t>250</w:t>
      </w:r>
      <w:r w:rsidRPr="0054665B">
        <w:rPr>
          <w:rFonts w:ascii="Arial" w:hAnsi="Arial" w:cs="Arial"/>
          <w:b/>
          <w:i/>
          <w:iCs/>
        </w:rPr>
        <w:t>,000</w:t>
      </w:r>
      <w:r>
        <w:rPr>
          <w:rFonts w:ascii="Arial" w:hAnsi="Arial" w:cs="Arial"/>
          <w:b/>
          <w:i/>
        </w:rPr>
        <w:t>].</w:t>
      </w:r>
      <w:r>
        <w:rPr>
          <w:rFonts w:ascii="Arial" w:hAnsi="Arial" w:cs="Arial"/>
          <w:b/>
          <w:iCs/>
        </w:rPr>
        <w:t xml:space="preserve">  </w:t>
      </w:r>
      <w:r w:rsidRPr="003D194D">
        <w:rPr>
          <w:rFonts w:ascii="Arial" w:hAnsi="Arial" w:cs="Arial"/>
        </w:rPr>
        <w:t>The proposed ordinance would appropriate $</w:t>
      </w:r>
      <w:r>
        <w:rPr>
          <w:rFonts w:ascii="Arial" w:hAnsi="Arial" w:cs="Arial"/>
        </w:rPr>
        <w:t xml:space="preserve">250,000 to reimburse PAO staff for parking costs during the COVID-19 pandemic. </w:t>
      </w:r>
    </w:p>
    <w:p w14:paraId="2979F82A" w14:textId="0D5AB7F3" w:rsidR="009F35FC" w:rsidRDefault="009F35FC" w:rsidP="00AB45DE">
      <w:pPr>
        <w:tabs>
          <w:tab w:val="left" w:pos="720"/>
          <w:tab w:val="right" w:pos="9360"/>
        </w:tabs>
        <w:spacing w:line="264" w:lineRule="auto"/>
        <w:contextualSpacing/>
        <w:jc w:val="both"/>
        <w:rPr>
          <w:rFonts w:ascii="Arial" w:hAnsi="Arial" w:cs="Arial"/>
          <w:b/>
          <w:u w:val="single"/>
        </w:rPr>
      </w:pPr>
    </w:p>
    <w:p w14:paraId="6C4F8B90" w14:textId="77777777" w:rsidR="009F35FC" w:rsidRDefault="009F35FC" w:rsidP="00AB45DE">
      <w:pPr>
        <w:tabs>
          <w:tab w:val="left" w:pos="720"/>
          <w:tab w:val="right" w:pos="9360"/>
        </w:tabs>
        <w:spacing w:line="264" w:lineRule="auto"/>
        <w:contextualSpacing/>
        <w:jc w:val="both"/>
        <w:rPr>
          <w:rFonts w:ascii="Arial" w:hAnsi="Arial" w:cs="Arial"/>
          <w:b/>
          <w:u w:val="single"/>
        </w:rPr>
      </w:pPr>
    </w:p>
    <w:p w14:paraId="7D7D0908" w14:textId="77777777" w:rsidR="004D3E95" w:rsidRPr="000E7446" w:rsidRDefault="004D3E95" w:rsidP="004D3E95">
      <w:pPr>
        <w:tabs>
          <w:tab w:val="left" w:pos="720"/>
          <w:tab w:val="right" w:pos="9360"/>
        </w:tabs>
        <w:spacing w:line="264" w:lineRule="auto"/>
        <w:contextualSpacing/>
        <w:jc w:val="both"/>
        <w:rPr>
          <w:rFonts w:ascii="Arial" w:hAnsi="Arial" w:cs="Arial"/>
          <w:b/>
          <w:u w:val="single"/>
        </w:rPr>
      </w:pPr>
      <w:r>
        <w:rPr>
          <w:rFonts w:ascii="Arial" w:hAnsi="Arial" w:cs="Arial"/>
          <w:b/>
          <w:u w:val="single"/>
        </w:rPr>
        <w:t>Superior Court</w:t>
      </w:r>
      <w:r w:rsidRPr="000E7446">
        <w:rPr>
          <w:rFonts w:ascii="Arial" w:hAnsi="Arial" w:cs="Arial"/>
          <w:b/>
          <w:u w:val="single"/>
        </w:rPr>
        <w:tab/>
        <w:t>$</w:t>
      </w:r>
      <w:r>
        <w:rPr>
          <w:rFonts w:ascii="Arial" w:hAnsi="Arial" w:cs="Arial"/>
          <w:b/>
          <w:u w:val="single"/>
        </w:rPr>
        <w:t>870,000</w:t>
      </w:r>
    </w:p>
    <w:p w14:paraId="40D06F1E" w14:textId="77777777" w:rsidR="004D3E95" w:rsidRDefault="004D3E95" w:rsidP="004D3E95">
      <w:pPr>
        <w:spacing w:line="264" w:lineRule="auto"/>
        <w:contextualSpacing/>
        <w:jc w:val="both"/>
        <w:rPr>
          <w:b/>
        </w:rPr>
      </w:pPr>
    </w:p>
    <w:p w14:paraId="1A14C3DA" w14:textId="77777777" w:rsidR="004D3E95" w:rsidRDefault="004D3E95" w:rsidP="004D3E95">
      <w:pPr>
        <w:spacing w:line="264" w:lineRule="auto"/>
        <w:contextualSpacing/>
        <w:jc w:val="both"/>
        <w:rPr>
          <w:rFonts w:ascii="Arial" w:hAnsi="Arial" w:cs="Arial"/>
          <w:b/>
          <w:i/>
          <w:iCs/>
        </w:rPr>
      </w:pPr>
      <w:r w:rsidRPr="008126D3">
        <w:rPr>
          <w:rFonts w:ascii="Arial" w:hAnsi="Arial" w:cs="Arial"/>
          <w:b/>
          <w:i/>
          <w:iCs/>
        </w:rPr>
        <w:t xml:space="preserve">Employee and Juror Parking </w:t>
      </w:r>
      <w:r>
        <w:rPr>
          <w:rFonts w:ascii="Arial" w:hAnsi="Arial" w:cs="Arial"/>
          <w:b/>
          <w:i/>
          <w:iCs/>
        </w:rPr>
        <w:t>[$207,000]</w:t>
      </w:r>
      <w:r>
        <w:rPr>
          <w:rFonts w:ascii="Arial" w:hAnsi="Arial" w:cs="Arial"/>
          <w:b/>
        </w:rPr>
        <w:t>.</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$207,000 of General Fund to pay for employee parking at Goat Hill Garage and juror parking at the Seattle Municipal Tower.  Juror parking has been negotiated to $10 per day.  Paid employee parking</w:t>
      </w:r>
      <w:r w:rsidRPr="00E448E4">
        <w:rPr>
          <w:rFonts w:ascii="Arial" w:hAnsi="Arial" w:cs="Arial"/>
        </w:rPr>
        <w:t xml:space="preserve"> is part of the </w:t>
      </w:r>
      <w:r>
        <w:rPr>
          <w:rFonts w:ascii="Arial" w:hAnsi="Arial" w:cs="Arial"/>
        </w:rPr>
        <w:t>Memorandum of Agreement related to COVID-19 impacts</w:t>
      </w:r>
      <w:r w:rsidRPr="00E448E4">
        <w:rPr>
          <w:rFonts w:ascii="Arial" w:hAnsi="Arial" w:cs="Arial"/>
        </w:rPr>
        <w:t xml:space="preserve"> with the Coalition of Unions. </w:t>
      </w:r>
      <w:r>
        <w:rPr>
          <w:rFonts w:ascii="Arial" w:hAnsi="Arial" w:cs="Arial"/>
        </w:rPr>
        <w:t xml:space="preserve"> </w:t>
      </w:r>
      <w:r w:rsidRPr="00E448E4">
        <w:rPr>
          <w:rFonts w:ascii="Arial" w:hAnsi="Arial" w:cs="Arial"/>
        </w:rPr>
        <w:t xml:space="preserve">This </w:t>
      </w:r>
      <w:r>
        <w:rPr>
          <w:rFonts w:ascii="Arial" w:hAnsi="Arial" w:cs="Arial"/>
        </w:rPr>
        <w:t xml:space="preserve">would </w:t>
      </w:r>
      <w:r w:rsidRPr="00E448E4">
        <w:rPr>
          <w:rFonts w:ascii="Arial" w:hAnsi="Arial" w:cs="Arial"/>
        </w:rPr>
        <w:t>fund parking through the end of September</w:t>
      </w:r>
      <w:r>
        <w:rPr>
          <w:rFonts w:ascii="Arial" w:hAnsi="Arial" w:cs="Arial"/>
        </w:rPr>
        <w:t xml:space="preserve"> 2021.</w:t>
      </w:r>
    </w:p>
    <w:p w14:paraId="29AA45B5" w14:textId="77777777" w:rsidR="004D3E95" w:rsidRDefault="004D3E95" w:rsidP="004D3E95">
      <w:pPr>
        <w:spacing w:line="264" w:lineRule="auto"/>
        <w:contextualSpacing/>
        <w:jc w:val="both"/>
        <w:rPr>
          <w:rFonts w:ascii="Arial" w:hAnsi="Arial" w:cs="Arial"/>
          <w:b/>
          <w:i/>
          <w:iCs/>
        </w:rPr>
      </w:pPr>
    </w:p>
    <w:p w14:paraId="0440FD7C" w14:textId="77777777" w:rsidR="004D3E95" w:rsidRDefault="004D3E95" w:rsidP="004D3E95">
      <w:pPr>
        <w:spacing w:line="264" w:lineRule="auto"/>
        <w:contextualSpacing/>
        <w:jc w:val="both"/>
        <w:rPr>
          <w:rFonts w:ascii="Arial" w:hAnsi="Arial" w:cs="Arial"/>
        </w:rPr>
      </w:pPr>
      <w:r w:rsidRPr="008126D3">
        <w:rPr>
          <w:rFonts w:ascii="Arial" w:hAnsi="Arial" w:cs="Arial"/>
          <w:b/>
          <w:i/>
          <w:iCs/>
        </w:rPr>
        <w:t>Guardian ad Litem Rate Increase</w:t>
      </w:r>
      <w:r>
        <w:rPr>
          <w:rFonts w:ascii="Arial" w:hAnsi="Arial" w:cs="Arial"/>
          <w:b/>
          <w:i/>
          <w:iCs/>
        </w:rPr>
        <w:t xml:space="preserve"> [$285,000, ongoing]</w:t>
      </w:r>
      <w:r>
        <w:rPr>
          <w:rFonts w:ascii="Arial" w:hAnsi="Arial" w:cs="Arial"/>
          <w:b/>
        </w:rPr>
        <w:t xml:space="preserve">. </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$285,000 of General Fund to increase the pay rate for Guardian ad </w:t>
      </w:r>
      <w:proofErr w:type="spellStart"/>
      <w:r>
        <w:rPr>
          <w:rFonts w:ascii="Arial" w:hAnsi="Arial" w:cs="Arial"/>
        </w:rPr>
        <w:lastRenderedPageBreak/>
        <w:t>Litems</w:t>
      </w:r>
      <w:proofErr w:type="spellEnd"/>
      <w:r>
        <w:rPr>
          <w:rFonts w:ascii="Arial" w:hAnsi="Arial" w:cs="Arial"/>
        </w:rPr>
        <w:t xml:space="preserve"> (GALs) in King County.  GALs are appointed by the Court to serve guardianships and represent the best interests of children or individuals who have been deemed incapacitated.  Current rates for GALs in King County have not changed since the early 1990s and are $45/hour with a cap of $300.  This proposed appropriation would allow the Court to increase the rate to $70/hour with a cap of $700.  Exceeding the cap is allowable with court approval.  According to Executive Staff, i</w:t>
      </w:r>
      <w:r w:rsidRPr="0082032C">
        <w:rPr>
          <w:rFonts w:ascii="Arial" w:hAnsi="Arial" w:cs="Arial"/>
        </w:rPr>
        <w:t>n addition to existing rates not being competitive with other jurisdictions, the implementation of the Uniform Guardianship Act in 2021 has expanded GAL appointments and increased the difficulty in securing GLAs to accept appointments from the Court.</w:t>
      </w:r>
      <w:r>
        <w:rPr>
          <w:rFonts w:ascii="Arial" w:hAnsi="Arial" w:cs="Arial"/>
        </w:rPr>
        <w:t xml:space="preserve">  Rates in Pierce County are $75/hour and Snohomish County is $50/hour.  </w:t>
      </w:r>
    </w:p>
    <w:p w14:paraId="4C493186" w14:textId="77777777" w:rsidR="004D3E95" w:rsidRDefault="004D3E95" w:rsidP="004D3E95">
      <w:pPr>
        <w:spacing w:line="264" w:lineRule="auto"/>
        <w:contextualSpacing/>
        <w:jc w:val="both"/>
        <w:rPr>
          <w:rFonts w:ascii="Arial" w:hAnsi="Arial" w:cs="Arial"/>
          <w:b/>
          <w:i/>
          <w:iCs/>
        </w:rPr>
      </w:pPr>
    </w:p>
    <w:p w14:paraId="2EFDB35A" w14:textId="77777777" w:rsidR="004D3E95" w:rsidRDefault="004D3E95" w:rsidP="004D3E95">
      <w:pPr>
        <w:spacing w:line="264" w:lineRule="auto"/>
        <w:contextualSpacing/>
        <w:jc w:val="both"/>
        <w:rPr>
          <w:rFonts w:ascii="Arial" w:hAnsi="Arial" w:cs="Arial"/>
        </w:rPr>
      </w:pPr>
      <w:r w:rsidRPr="008126D3">
        <w:rPr>
          <w:rFonts w:ascii="Arial" w:hAnsi="Arial" w:cs="Arial"/>
          <w:b/>
          <w:i/>
          <w:iCs/>
        </w:rPr>
        <w:t>Interpreter Costs</w:t>
      </w:r>
      <w:r>
        <w:rPr>
          <w:rFonts w:ascii="Arial" w:hAnsi="Arial" w:cs="Arial"/>
          <w:b/>
          <w:i/>
          <w:iCs/>
        </w:rPr>
        <w:t xml:space="preserve"> [$160,000]</w:t>
      </w:r>
      <w:r>
        <w:rPr>
          <w:rFonts w:ascii="Arial" w:hAnsi="Arial" w:cs="Arial"/>
          <w:b/>
        </w:rPr>
        <w:t>.</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$160,000 of General Fund to increase hourly minimums for interpreters during the pandemic.  This would be a one-time increase through the end of 2022.  These rates were last increased in 2017.  Executive staff state that it has become increasingly difficult to secure interpreters with existing rates due to more frequent opportunities for remote work nationwide, "allowing interpreters </w:t>
      </w:r>
      <w:r w:rsidRPr="00FA1712">
        <w:rPr>
          <w:rFonts w:ascii="Arial" w:hAnsi="Arial" w:cs="Arial"/>
        </w:rPr>
        <w:t>to schedule back-to-back events in different jurisdictions</w:t>
      </w:r>
      <w:r>
        <w:rPr>
          <w:rFonts w:ascii="Arial" w:hAnsi="Arial" w:cs="Arial"/>
        </w:rPr>
        <w:t xml:space="preserve">."  According to materials transmitted with the budget, these costs are not eligible for federal COVID-19 funds. </w:t>
      </w:r>
    </w:p>
    <w:p w14:paraId="55D65D15" w14:textId="77777777" w:rsidR="004D3E95" w:rsidRPr="008126D3" w:rsidRDefault="004D3E95" w:rsidP="004D3E95">
      <w:pPr>
        <w:spacing w:line="264" w:lineRule="auto"/>
        <w:contextualSpacing/>
        <w:jc w:val="both"/>
        <w:rPr>
          <w:rFonts w:ascii="Arial" w:hAnsi="Arial" w:cs="Arial"/>
          <w:b/>
          <w:i/>
          <w:iCs/>
        </w:rPr>
      </w:pPr>
    </w:p>
    <w:p w14:paraId="1BBDE338" w14:textId="77777777" w:rsidR="004D3E95" w:rsidRDefault="004D3E95" w:rsidP="00BA7C77">
      <w:pPr>
        <w:keepNext/>
        <w:spacing w:line="264" w:lineRule="auto"/>
        <w:contextualSpacing/>
        <w:jc w:val="both"/>
        <w:rPr>
          <w:rFonts w:ascii="Arial" w:hAnsi="Arial" w:cs="Arial"/>
          <w:b/>
        </w:rPr>
      </w:pPr>
      <w:r>
        <w:rPr>
          <w:rFonts w:ascii="Arial" w:hAnsi="Arial" w:cs="Arial"/>
          <w:b/>
        </w:rPr>
        <w:t xml:space="preserve">TECHNICAL </w:t>
      </w:r>
    </w:p>
    <w:p w14:paraId="648BFF2E" w14:textId="7BEB77E3" w:rsidR="00CC5B9B" w:rsidRDefault="004D3E95" w:rsidP="00BA7C77">
      <w:pPr>
        <w:keepNext/>
        <w:spacing w:line="264" w:lineRule="auto"/>
        <w:contextualSpacing/>
        <w:jc w:val="both"/>
        <w:rPr>
          <w:rFonts w:ascii="Arial" w:hAnsi="Arial" w:cs="Arial"/>
          <w:b/>
          <w:u w:val="single"/>
        </w:rPr>
      </w:pPr>
      <w:r w:rsidRPr="008126D3">
        <w:rPr>
          <w:rFonts w:ascii="Arial" w:hAnsi="Arial" w:cs="Arial"/>
          <w:b/>
          <w:i/>
          <w:iCs/>
        </w:rPr>
        <w:t>2022 Trial Court Improvement Funds</w:t>
      </w:r>
      <w:r>
        <w:rPr>
          <w:rFonts w:ascii="Arial" w:hAnsi="Arial" w:cs="Arial"/>
          <w:b/>
          <w:i/>
          <w:iCs/>
        </w:rPr>
        <w:t xml:space="preserve"> [$285,000]</w:t>
      </w:r>
      <w:r>
        <w:rPr>
          <w:rFonts w:ascii="Arial" w:hAnsi="Arial" w:cs="Arial"/>
          <w:b/>
        </w:rPr>
        <w:t>.</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$285,000 of State trial court improvement funds</w:t>
      </w:r>
      <w:r>
        <w:rPr>
          <w:rStyle w:val="FootnoteReference"/>
          <w:rFonts w:ascii="Arial" w:hAnsi="Arial" w:cs="Arial"/>
        </w:rPr>
        <w:footnoteReference w:id="21"/>
      </w:r>
      <w:r>
        <w:rPr>
          <w:rFonts w:ascii="Arial" w:hAnsi="Arial" w:cs="Arial"/>
        </w:rPr>
        <w:t xml:space="preserve"> to be received in 2022 for one-time projects.  </w:t>
      </w:r>
      <w:r w:rsidRPr="0082032C">
        <w:rPr>
          <w:rFonts w:ascii="Arial" w:hAnsi="Arial" w:cs="Arial"/>
        </w:rPr>
        <w:t xml:space="preserve">Examples of current </w:t>
      </w:r>
      <w:r>
        <w:rPr>
          <w:rFonts w:ascii="Arial" w:hAnsi="Arial" w:cs="Arial"/>
        </w:rPr>
        <w:t>Trial Court Improvement</w:t>
      </w:r>
      <w:r w:rsidRPr="0082032C">
        <w:rPr>
          <w:rFonts w:ascii="Arial" w:hAnsi="Arial" w:cs="Arial"/>
        </w:rPr>
        <w:t xml:space="preserve"> projects</w:t>
      </w:r>
      <w:r>
        <w:rPr>
          <w:rFonts w:ascii="Arial" w:hAnsi="Arial" w:cs="Arial"/>
        </w:rPr>
        <w:t xml:space="preserve"> </w:t>
      </w:r>
      <w:r w:rsidRPr="0082032C">
        <w:rPr>
          <w:rFonts w:ascii="Arial" w:hAnsi="Arial" w:cs="Arial"/>
        </w:rPr>
        <w:t xml:space="preserve">include training, community outreach programs, strategic planning, furniture &amp; equipment, translation of documents into multiple languages, and new pilot projects such as youth action teams. </w:t>
      </w:r>
      <w:r>
        <w:rPr>
          <w:rFonts w:ascii="Arial" w:hAnsi="Arial" w:cs="Arial"/>
        </w:rPr>
        <w:t xml:space="preserve"> Projects supported by this proposed appropriation would be determined in early 2022.</w:t>
      </w:r>
      <w:r w:rsidRPr="0082032C">
        <w:rPr>
          <w:rFonts w:ascii="Arial" w:hAnsi="Arial" w:cs="Arial"/>
        </w:rPr>
        <w:t xml:space="preserve"> </w:t>
      </w:r>
    </w:p>
    <w:p w14:paraId="13632BD0" w14:textId="5E949736" w:rsidR="00A8211D" w:rsidRDefault="00A8211D" w:rsidP="00BA7C77">
      <w:pPr>
        <w:keepNext/>
        <w:spacing w:line="264" w:lineRule="auto"/>
        <w:contextualSpacing/>
        <w:jc w:val="both"/>
        <w:rPr>
          <w:rFonts w:ascii="Arial" w:hAnsi="Arial" w:cs="Arial"/>
          <w:b/>
          <w:u w:val="single"/>
        </w:rPr>
      </w:pPr>
    </w:p>
    <w:p w14:paraId="0579EBDB" w14:textId="77777777" w:rsidR="00A8211D" w:rsidRPr="00413779" w:rsidRDefault="00A8211D" w:rsidP="00BA7C77">
      <w:pPr>
        <w:keepNext/>
        <w:spacing w:line="264" w:lineRule="auto"/>
        <w:contextualSpacing/>
        <w:jc w:val="both"/>
        <w:rPr>
          <w:rFonts w:ascii="Arial" w:hAnsi="Arial" w:cs="Arial"/>
          <w:b/>
          <w:i/>
          <w:iCs/>
        </w:rPr>
      </w:pPr>
    </w:p>
    <w:p w14:paraId="382E0EF8" w14:textId="77777777" w:rsidR="00CC5B9B" w:rsidRPr="000E7446" w:rsidRDefault="00CC5B9B" w:rsidP="00413779">
      <w:pPr>
        <w:tabs>
          <w:tab w:val="left" w:pos="720"/>
          <w:tab w:val="right" w:pos="9360"/>
        </w:tabs>
        <w:spacing w:line="264" w:lineRule="auto"/>
        <w:contextualSpacing/>
        <w:jc w:val="both"/>
        <w:rPr>
          <w:rFonts w:ascii="Arial" w:hAnsi="Arial" w:cs="Arial"/>
          <w:b/>
          <w:u w:val="single"/>
        </w:rPr>
      </w:pPr>
      <w:r>
        <w:rPr>
          <w:rFonts w:ascii="Arial" w:hAnsi="Arial" w:cs="Arial"/>
          <w:b/>
          <w:u w:val="single"/>
        </w:rPr>
        <w:t>Department of Judicial Administration</w:t>
      </w:r>
      <w:r w:rsidRPr="000E7446">
        <w:rPr>
          <w:rFonts w:ascii="Arial" w:hAnsi="Arial" w:cs="Arial"/>
          <w:b/>
          <w:u w:val="single"/>
        </w:rPr>
        <w:tab/>
        <w:t>$</w:t>
      </w:r>
      <w:r>
        <w:rPr>
          <w:rFonts w:ascii="Arial" w:hAnsi="Arial" w:cs="Arial"/>
          <w:b/>
          <w:u w:val="single"/>
        </w:rPr>
        <w:t>145</w:t>
      </w:r>
      <w:r w:rsidRPr="00424A3B">
        <w:rPr>
          <w:rFonts w:ascii="Arial" w:hAnsi="Arial" w:cs="Arial"/>
          <w:b/>
          <w:u w:val="single"/>
        </w:rPr>
        <w:t>,000</w:t>
      </w:r>
      <w:r>
        <w:rPr>
          <w:rFonts w:ascii="Arial" w:hAnsi="Arial" w:cs="Arial"/>
          <w:b/>
          <w:u w:val="single"/>
        </w:rPr>
        <w:t xml:space="preserve">, </w:t>
      </w:r>
      <w:r w:rsidRPr="00046B22">
        <w:rPr>
          <w:rFonts w:ascii="Arial" w:hAnsi="Arial" w:cs="Arial"/>
          <w:b/>
          <w:color w:val="C00000"/>
          <w:u w:val="single"/>
        </w:rPr>
        <w:t>-2.0</w:t>
      </w:r>
      <w:r>
        <w:rPr>
          <w:rFonts w:ascii="Arial" w:hAnsi="Arial" w:cs="Arial"/>
          <w:b/>
          <w:u w:val="single"/>
        </w:rPr>
        <w:t xml:space="preserve"> FTEs</w:t>
      </w:r>
    </w:p>
    <w:p w14:paraId="5A010434" w14:textId="77777777" w:rsidR="00CC5B9B" w:rsidRDefault="00CC5B9B" w:rsidP="00413779">
      <w:pPr>
        <w:spacing w:line="264" w:lineRule="auto"/>
        <w:contextualSpacing/>
        <w:jc w:val="both"/>
        <w:rPr>
          <w:b/>
        </w:rPr>
      </w:pPr>
    </w:p>
    <w:p w14:paraId="6964683B" w14:textId="77777777" w:rsidR="00CC5B9B" w:rsidRPr="008126D3" w:rsidRDefault="00CC5B9B" w:rsidP="00413779">
      <w:pPr>
        <w:spacing w:line="264" w:lineRule="auto"/>
        <w:contextualSpacing/>
        <w:jc w:val="both"/>
        <w:rPr>
          <w:rFonts w:ascii="Arial" w:hAnsi="Arial" w:cs="Arial"/>
          <w:b/>
          <w:i/>
          <w:iCs/>
        </w:rPr>
      </w:pPr>
      <w:r w:rsidRPr="00000FC8">
        <w:rPr>
          <w:rFonts w:ascii="Arial" w:hAnsi="Arial" w:cs="Arial"/>
          <w:b/>
          <w:i/>
          <w:iCs/>
        </w:rPr>
        <w:t>Electronic Protection Orders Business Analyst</w:t>
      </w:r>
      <w:r>
        <w:rPr>
          <w:rFonts w:ascii="Arial" w:hAnsi="Arial" w:cs="Arial"/>
          <w:b/>
          <w:i/>
          <w:iCs/>
        </w:rPr>
        <w:t xml:space="preserve"> [$</w:t>
      </w:r>
      <w:r w:rsidRPr="005F6BD7">
        <w:rPr>
          <w:rFonts w:ascii="Arial" w:hAnsi="Arial" w:cs="Arial"/>
          <w:b/>
          <w:i/>
          <w:iCs/>
        </w:rPr>
        <w:t>145,</w:t>
      </w:r>
      <w:r>
        <w:rPr>
          <w:rFonts w:ascii="Arial" w:hAnsi="Arial" w:cs="Arial"/>
          <w:b/>
          <w:i/>
          <w:iCs/>
        </w:rPr>
        <w:t>000]</w:t>
      </w:r>
      <w:r>
        <w:rPr>
          <w:rFonts w:ascii="Arial" w:hAnsi="Arial" w:cs="Arial"/>
          <w:b/>
        </w:rPr>
        <w:t>.</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$145,000 to fund 1.0 TLT to perform the</w:t>
      </w:r>
      <w:r w:rsidRPr="006B19A8">
        <w:rPr>
          <w:rFonts w:ascii="Arial" w:hAnsi="Arial" w:cs="Arial"/>
        </w:rPr>
        <w:t xml:space="preserve"> business analysis needed to implement accepting, processing</w:t>
      </w:r>
      <w:r>
        <w:rPr>
          <w:rFonts w:ascii="Arial" w:hAnsi="Arial" w:cs="Arial"/>
        </w:rPr>
        <w:t>,</w:t>
      </w:r>
      <w:r w:rsidRPr="006B19A8">
        <w:rPr>
          <w:rFonts w:ascii="Arial" w:hAnsi="Arial" w:cs="Arial"/>
        </w:rPr>
        <w:t xml:space="preserve"> and presenting electronic protection orders due to </w:t>
      </w:r>
      <w:r>
        <w:rPr>
          <w:rFonts w:ascii="Arial" w:hAnsi="Arial" w:cs="Arial"/>
        </w:rPr>
        <w:t>recent</w:t>
      </w:r>
      <w:r w:rsidRPr="006B19A8">
        <w:rPr>
          <w:rFonts w:ascii="Arial" w:hAnsi="Arial" w:cs="Arial"/>
        </w:rPr>
        <w:t xml:space="preserve"> state requirements, including HB1320</w:t>
      </w:r>
      <w:r>
        <w:rPr>
          <w:rFonts w:ascii="Arial" w:hAnsi="Arial" w:cs="Arial"/>
        </w:rPr>
        <w:t xml:space="preserve">.  HB1320 </w:t>
      </w:r>
      <w:r w:rsidRPr="002C5AE0">
        <w:rPr>
          <w:rFonts w:ascii="Arial" w:hAnsi="Arial" w:cs="Arial"/>
        </w:rPr>
        <w:t xml:space="preserve">established a new chapter of </w:t>
      </w:r>
      <w:r>
        <w:rPr>
          <w:rFonts w:ascii="Arial" w:hAnsi="Arial" w:cs="Arial"/>
        </w:rPr>
        <w:t xml:space="preserve">state </w:t>
      </w:r>
      <w:r w:rsidRPr="002C5AE0">
        <w:rPr>
          <w:rFonts w:ascii="Arial" w:hAnsi="Arial" w:cs="Arial"/>
        </w:rPr>
        <w:t xml:space="preserve">law governing protection orders with the intention to improve the efficacy and accessibility of protection orders. </w:t>
      </w:r>
      <w:r>
        <w:rPr>
          <w:rFonts w:ascii="Arial" w:hAnsi="Arial" w:cs="Arial"/>
        </w:rPr>
        <w:t xml:space="preserve"> Executive staff indicate that this allocation would fund the TLT through the end of 2022, though DJA anticipates this workload to be ongoing. </w:t>
      </w:r>
    </w:p>
    <w:p w14:paraId="4BFF9A8A" w14:textId="77777777" w:rsidR="00CC5B9B" w:rsidRPr="00000FC8" w:rsidRDefault="00CC5B9B" w:rsidP="00CC5B9B">
      <w:pPr>
        <w:spacing w:line="264" w:lineRule="auto"/>
        <w:contextualSpacing/>
        <w:jc w:val="both"/>
        <w:rPr>
          <w:rFonts w:ascii="Arial" w:hAnsi="Arial" w:cs="Arial"/>
          <w:b/>
          <w:i/>
          <w:iCs/>
        </w:rPr>
      </w:pPr>
    </w:p>
    <w:p w14:paraId="27D88AAF" w14:textId="77777777" w:rsidR="00CC5B9B" w:rsidRPr="008126D3" w:rsidRDefault="00CC5B9B" w:rsidP="00CC5B9B">
      <w:pPr>
        <w:spacing w:line="264" w:lineRule="auto"/>
        <w:contextualSpacing/>
        <w:jc w:val="both"/>
        <w:rPr>
          <w:rFonts w:ascii="Arial" w:hAnsi="Arial" w:cs="Arial"/>
          <w:b/>
          <w:i/>
          <w:iCs/>
        </w:rPr>
      </w:pPr>
      <w:r w:rsidRPr="00000FC8">
        <w:rPr>
          <w:rFonts w:ascii="Arial" w:hAnsi="Arial" w:cs="Arial"/>
          <w:b/>
          <w:i/>
          <w:iCs/>
        </w:rPr>
        <w:lastRenderedPageBreak/>
        <w:t>Parking for DJA Employees Safety</w:t>
      </w:r>
      <w:r>
        <w:rPr>
          <w:rFonts w:ascii="Arial" w:hAnsi="Arial" w:cs="Arial"/>
          <w:b/>
          <w:i/>
          <w:iCs/>
        </w:rPr>
        <w:t xml:space="preserve"> [$140,000]</w:t>
      </w:r>
      <w:r>
        <w:rPr>
          <w:rFonts w:ascii="Arial" w:hAnsi="Arial" w:cs="Arial"/>
          <w:b/>
        </w:rPr>
        <w:t>.</w:t>
      </w:r>
      <w:r>
        <w:rPr>
          <w:rFonts w:ascii="Arial" w:hAnsi="Arial" w:cs="Arial"/>
          <w:b/>
          <w:i/>
          <w:iCs/>
        </w:rPr>
        <w:t xml:space="preserve">  </w:t>
      </w:r>
      <w:r w:rsidRPr="003D194D">
        <w:rPr>
          <w:rFonts w:ascii="Arial" w:hAnsi="Arial" w:cs="Arial"/>
        </w:rPr>
        <w:t>The proposed ordinance would appropriate</w:t>
      </w:r>
      <w:r>
        <w:rPr>
          <w:rFonts w:ascii="Arial" w:hAnsi="Arial" w:cs="Arial"/>
        </w:rPr>
        <w:t xml:space="preserve"> $140,000 of General Fund to pay for employee parking at Goat Hill Garage.  Paid employee parking</w:t>
      </w:r>
      <w:r w:rsidRPr="00E448E4">
        <w:rPr>
          <w:rFonts w:ascii="Arial" w:hAnsi="Arial" w:cs="Arial"/>
        </w:rPr>
        <w:t xml:space="preserve"> is part of the </w:t>
      </w:r>
      <w:r>
        <w:rPr>
          <w:rFonts w:ascii="Arial" w:hAnsi="Arial" w:cs="Arial"/>
        </w:rPr>
        <w:t>Memorandum of Agreement related to COVID-19 impacts</w:t>
      </w:r>
      <w:r w:rsidRPr="00E448E4">
        <w:rPr>
          <w:rFonts w:ascii="Arial" w:hAnsi="Arial" w:cs="Arial"/>
        </w:rPr>
        <w:t xml:space="preserve"> with the Coalition of Unions. </w:t>
      </w:r>
      <w:r>
        <w:rPr>
          <w:rFonts w:ascii="Arial" w:hAnsi="Arial" w:cs="Arial"/>
        </w:rPr>
        <w:t xml:space="preserve"> </w:t>
      </w:r>
      <w:r w:rsidRPr="00E448E4">
        <w:rPr>
          <w:rFonts w:ascii="Arial" w:hAnsi="Arial" w:cs="Arial"/>
        </w:rPr>
        <w:t xml:space="preserve">This </w:t>
      </w:r>
      <w:r>
        <w:rPr>
          <w:rFonts w:ascii="Arial" w:hAnsi="Arial" w:cs="Arial"/>
        </w:rPr>
        <w:t>proposed appropriation would</w:t>
      </w:r>
      <w:r w:rsidRPr="00E448E4">
        <w:rPr>
          <w:rFonts w:ascii="Arial" w:hAnsi="Arial" w:cs="Arial"/>
        </w:rPr>
        <w:t xml:space="preserve"> fund parking through the end of September</w:t>
      </w:r>
      <w:r>
        <w:rPr>
          <w:rFonts w:ascii="Arial" w:hAnsi="Arial" w:cs="Arial"/>
        </w:rPr>
        <w:t xml:space="preserve"> 2021.</w:t>
      </w:r>
    </w:p>
    <w:p w14:paraId="70D50BAE" w14:textId="5BE0A17E" w:rsidR="00CC5B9B" w:rsidRDefault="00CC5B9B" w:rsidP="00AB45DE">
      <w:pPr>
        <w:tabs>
          <w:tab w:val="left" w:pos="720"/>
          <w:tab w:val="right" w:pos="9360"/>
        </w:tabs>
        <w:spacing w:line="264" w:lineRule="auto"/>
        <w:contextualSpacing/>
        <w:jc w:val="both"/>
        <w:rPr>
          <w:rFonts w:ascii="Arial" w:hAnsi="Arial" w:cs="Arial"/>
          <w:b/>
          <w:u w:val="single"/>
        </w:rPr>
      </w:pPr>
    </w:p>
    <w:p w14:paraId="53A04F64" w14:textId="77777777" w:rsidR="00413779" w:rsidRDefault="00413779" w:rsidP="00AB45DE">
      <w:pPr>
        <w:tabs>
          <w:tab w:val="left" w:pos="720"/>
          <w:tab w:val="right" w:pos="9360"/>
        </w:tabs>
        <w:spacing w:line="264" w:lineRule="auto"/>
        <w:contextualSpacing/>
        <w:jc w:val="both"/>
        <w:rPr>
          <w:rFonts w:ascii="Arial" w:hAnsi="Arial" w:cs="Arial"/>
          <w:b/>
          <w:u w:val="single"/>
        </w:rPr>
      </w:pPr>
    </w:p>
    <w:p w14:paraId="6FEBE4D8" w14:textId="77777777" w:rsidR="00E4673B" w:rsidRPr="000E7446" w:rsidRDefault="00E4673B" w:rsidP="00E4673B">
      <w:pPr>
        <w:tabs>
          <w:tab w:val="left" w:pos="720"/>
          <w:tab w:val="right" w:pos="9360"/>
        </w:tabs>
        <w:spacing w:line="264" w:lineRule="auto"/>
        <w:contextualSpacing/>
        <w:jc w:val="both"/>
        <w:rPr>
          <w:rFonts w:ascii="Arial" w:hAnsi="Arial" w:cs="Arial"/>
          <w:b/>
          <w:u w:val="single"/>
        </w:rPr>
      </w:pPr>
      <w:r>
        <w:rPr>
          <w:rFonts w:ascii="Arial" w:hAnsi="Arial" w:cs="Arial"/>
          <w:b/>
          <w:u w:val="single"/>
        </w:rPr>
        <w:t>Memberships and Dues</w:t>
      </w:r>
      <w:r w:rsidRPr="000E7446">
        <w:rPr>
          <w:rFonts w:ascii="Arial" w:hAnsi="Arial" w:cs="Arial"/>
          <w:b/>
          <w:u w:val="single"/>
        </w:rPr>
        <w:tab/>
        <w:t>$</w:t>
      </w:r>
      <w:r>
        <w:rPr>
          <w:rFonts w:ascii="Arial" w:hAnsi="Arial" w:cs="Arial"/>
          <w:b/>
          <w:u w:val="single"/>
        </w:rPr>
        <w:t>100,000</w:t>
      </w:r>
    </w:p>
    <w:p w14:paraId="47B7331F" w14:textId="77777777" w:rsidR="00E4673B" w:rsidRDefault="00E4673B" w:rsidP="00E4673B">
      <w:pPr>
        <w:spacing w:line="264" w:lineRule="auto"/>
        <w:contextualSpacing/>
        <w:jc w:val="both"/>
        <w:rPr>
          <w:b/>
        </w:rPr>
      </w:pPr>
    </w:p>
    <w:p w14:paraId="2511AD23" w14:textId="05587775" w:rsidR="00E4673B" w:rsidRPr="00D646A4" w:rsidRDefault="00E4673B" w:rsidP="00E4673B">
      <w:pPr>
        <w:tabs>
          <w:tab w:val="left" w:pos="720"/>
          <w:tab w:val="right" w:pos="9360"/>
        </w:tabs>
        <w:spacing w:line="264" w:lineRule="auto"/>
        <w:contextualSpacing/>
        <w:jc w:val="both"/>
        <w:rPr>
          <w:rFonts w:ascii="Arial" w:hAnsi="Arial" w:cs="Arial"/>
          <w:bCs/>
        </w:rPr>
      </w:pPr>
      <w:r>
        <w:rPr>
          <w:rFonts w:ascii="Arial" w:hAnsi="Arial" w:cs="Arial"/>
          <w:b/>
          <w:i/>
          <w:iCs/>
        </w:rPr>
        <w:t>Creative Economy</w:t>
      </w:r>
      <w:r w:rsidRPr="0054665B">
        <w:rPr>
          <w:rFonts w:ascii="Arial" w:hAnsi="Arial" w:cs="Arial"/>
          <w:b/>
          <w:i/>
          <w:iCs/>
        </w:rPr>
        <w:t xml:space="preserve"> </w:t>
      </w:r>
      <w:r>
        <w:rPr>
          <w:rFonts w:ascii="Arial" w:hAnsi="Arial" w:cs="Arial"/>
          <w:b/>
          <w:i/>
          <w:iCs/>
        </w:rPr>
        <w:t>and Economic Development [</w:t>
      </w:r>
      <w:r w:rsidRPr="0054665B">
        <w:rPr>
          <w:rFonts w:ascii="Arial" w:hAnsi="Arial" w:cs="Arial"/>
          <w:b/>
          <w:i/>
          <w:iCs/>
        </w:rPr>
        <w:t>$</w:t>
      </w:r>
      <w:r>
        <w:rPr>
          <w:rFonts w:ascii="Arial" w:hAnsi="Arial" w:cs="Arial"/>
          <w:b/>
          <w:i/>
          <w:iCs/>
        </w:rPr>
        <w:t>100,000]</w:t>
      </w:r>
      <w:r w:rsidRPr="0054665B">
        <w:rPr>
          <w:rFonts w:ascii="Arial" w:hAnsi="Arial" w:cs="Arial"/>
          <w:b/>
          <w:i/>
          <w:iCs/>
        </w:rPr>
        <w:t>.</w:t>
      </w:r>
      <w:r>
        <w:rPr>
          <w:rFonts w:ascii="Arial" w:hAnsi="Arial" w:cs="Arial"/>
          <w:b/>
        </w:rPr>
        <w:t xml:space="preserve">  </w:t>
      </w:r>
      <w:r>
        <w:rPr>
          <w:rFonts w:ascii="Arial" w:hAnsi="Arial" w:cs="Arial"/>
        </w:rPr>
        <w:t xml:space="preserve">This proposed appropriation would support ongoing </w:t>
      </w:r>
      <w:r w:rsidRPr="00A23AA1">
        <w:rPr>
          <w:rFonts w:ascii="Arial" w:hAnsi="Arial" w:cs="Arial"/>
        </w:rPr>
        <w:t>economic development and creative economy efforts within</w:t>
      </w:r>
      <w:r>
        <w:rPr>
          <w:rFonts w:ascii="Arial" w:hAnsi="Arial" w:cs="Arial"/>
        </w:rPr>
        <w:t xml:space="preserve"> the Office of the Executive. </w:t>
      </w:r>
      <w:r w:rsidR="00CD4E4B">
        <w:rPr>
          <w:rFonts w:ascii="Arial" w:hAnsi="Arial" w:cs="Arial"/>
        </w:rPr>
        <w:t xml:space="preserve"> </w:t>
      </w:r>
      <w:r>
        <w:rPr>
          <w:rFonts w:ascii="Arial" w:hAnsi="Arial" w:cs="Arial"/>
        </w:rPr>
        <w:t xml:space="preserve">Some of these efforts may include </w:t>
      </w:r>
      <w:r>
        <w:rPr>
          <w:rFonts w:ascii="Arial" w:hAnsi="Arial" w:cs="Arial"/>
          <w:bCs/>
        </w:rPr>
        <w:t>providing</w:t>
      </w:r>
      <w:r w:rsidRPr="001B0269">
        <w:rPr>
          <w:rFonts w:ascii="Arial" w:hAnsi="Arial" w:cs="Arial"/>
          <w:bCs/>
        </w:rPr>
        <w:t xml:space="preserve"> support to non-profits and special events/initiatives, such as Uplift Northwest, South King County Economic Equity Summit, the Africatown Apprenticeship Program, and Film/Music Career Day. </w:t>
      </w:r>
      <w:r w:rsidR="00CD4E4B">
        <w:rPr>
          <w:rFonts w:ascii="Arial" w:hAnsi="Arial" w:cs="Arial"/>
          <w:bCs/>
        </w:rPr>
        <w:t xml:space="preserve"> </w:t>
      </w:r>
      <w:r>
        <w:rPr>
          <w:rFonts w:ascii="Arial" w:hAnsi="Arial" w:cs="Arial"/>
          <w:bCs/>
        </w:rPr>
        <w:t>Executive staff state that t</w:t>
      </w:r>
      <w:r w:rsidRPr="001B0269">
        <w:rPr>
          <w:rFonts w:ascii="Arial" w:hAnsi="Arial" w:cs="Arial"/>
          <w:bCs/>
        </w:rPr>
        <w:t xml:space="preserve">he </w:t>
      </w:r>
      <w:r>
        <w:rPr>
          <w:rFonts w:ascii="Arial" w:hAnsi="Arial" w:cs="Arial"/>
          <w:bCs/>
        </w:rPr>
        <w:t xml:space="preserve">proposed appropriation might </w:t>
      </w:r>
      <w:r w:rsidRPr="001B0269">
        <w:rPr>
          <w:rFonts w:ascii="Arial" w:hAnsi="Arial" w:cs="Arial"/>
          <w:bCs/>
        </w:rPr>
        <w:t xml:space="preserve">also </w:t>
      </w:r>
      <w:r>
        <w:rPr>
          <w:rFonts w:ascii="Arial" w:hAnsi="Arial" w:cs="Arial"/>
          <w:bCs/>
        </w:rPr>
        <w:t>support a</w:t>
      </w:r>
      <w:r w:rsidRPr="001B0269">
        <w:rPr>
          <w:rFonts w:ascii="Arial" w:hAnsi="Arial" w:cs="Arial"/>
          <w:bCs/>
        </w:rPr>
        <w:t xml:space="preserve"> </w:t>
      </w:r>
      <w:r>
        <w:rPr>
          <w:rFonts w:ascii="Arial" w:hAnsi="Arial" w:cs="Arial"/>
          <w:bCs/>
        </w:rPr>
        <w:t>p</w:t>
      </w:r>
      <w:r w:rsidRPr="001B0269">
        <w:rPr>
          <w:rFonts w:ascii="Arial" w:hAnsi="Arial" w:cs="Arial"/>
          <w:bCs/>
        </w:rPr>
        <w:t xml:space="preserve">ermit </w:t>
      </w:r>
      <w:r>
        <w:rPr>
          <w:rFonts w:ascii="Arial" w:hAnsi="Arial" w:cs="Arial"/>
          <w:bCs/>
        </w:rPr>
        <w:t>s</w:t>
      </w:r>
      <w:r w:rsidRPr="001B0269">
        <w:rPr>
          <w:rFonts w:ascii="Arial" w:hAnsi="Arial" w:cs="Arial"/>
          <w:bCs/>
        </w:rPr>
        <w:t xml:space="preserve">pecialist </w:t>
      </w:r>
      <w:r>
        <w:rPr>
          <w:rFonts w:ascii="Arial" w:hAnsi="Arial" w:cs="Arial"/>
          <w:bCs/>
        </w:rPr>
        <w:t>position to support the county’s creative economy efforts.</w:t>
      </w:r>
    </w:p>
    <w:p w14:paraId="6A34A8D3" w14:textId="013D878A" w:rsidR="004F141D" w:rsidRDefault="004F141D" w:rsidP="00D527D1">
      <w:pPr>
        <w:spacing w:line="264" w:lineRule="auto"/>
        <w:jc w:val="both"/>
        <w:rPr>
          <w:rFonts w:ascii="Arial" w:hAnsi="Arial" w:cs="Arial"/>
          <w:b/>
          <w:highlight w:val="yellow"/>
        </w:rPr>
      </w:pPr>
    </w:p>
    <w:p w14:paraId="3085674A" w14:textId="77777777" w:rsidR="004F141D" w:rsidRDefault="004F141D" w:rsidP="00D527D1">
      <w:pPr>
        <w:spacing w:line="264" w:lineRule="auto"/>
        <w:jc w:val="both"/>
        <w:rPr>
          <w:rFonts w:ascii="Arial" w:hAnsi="Arial" w:cs="Arial"/>
          <w:b/>
          <w:highlight w:val="yellow"/>
        </w:rPr>
      </w:pPr>
    </w:p>
    <w:p w14:paraId="2C81B1DA" w14:textId="77777777" w:rsidR="00D527D1" w:rsidRPr="000E7446" w:rsidRDefault="00D527D1" w:rsidP="00D527D1">
      <w:pPr>
        <w:tabs>
          <w:tab w:val="left" w:pos="720"/>
          <w:tab w:val="right" w:pos="9360"/>
        </w:tabs>
        <w:spacing w:line="264" w:lineRule="auto"/>
        <w:contextualSpacing/>
        <w:jc w:val="both"/>
        <w:rPr>
          <w:rFonts w:ascii="Arial" w:hAnsi="Arial" w:cs="Arial"/>
          <w:b/>
          <w:u w:val="single"/>
        </w:rPr>
      </w:pPr>
      <w:r>
        <w:rPr>
          <w:rFonts w:ascii="Arial" w:hAnsi="Arial" w:cs="Arial"/>
          <w:b/>
          <w:u w:val="single"/>
        </w:rPr>
        <w:t>Jail Health Services</w:t>
      </w:r>
      <w:r w:rsidRPr="000E7446">
        <w:rPr>
          <w:rFonts w:ascii="Arial" w:hAnsi="Arial" w:cs="Arial"/>
          <w:b/>
          <w:u w:val="single"/>
        </w:rPr>
        <w:tab/>
      </w:r>
      <w:r w:rsidRPr="00AE39B5">
        <w:rPr>
          <w:rFonts w:ascii="Arial" w:hAnsi="Arial" w:cs="Arial"/>
          <w:b/>
          <w:u w:val="single"/>
        </w:rPr>
        <w:t xml:space="preserve">$5,294,000, </w:t>
      </w:r>
      <w:r>
        <w:rPr>
          <w:rFonts w:ascii="Arial" w:hAnsi="Arial" w:cs="Arial"/>
          <w:b/>
          <w:u w:val="single"/>
        </w:rPr>
        <w:t>16.8 FTEs</w:t>
      </w:r>
    </w:p>
    <w:p w14:paraId="0690CD05" w14:textId="77777777" w:rsidR="00D527D1" w:rsidRDefault="00D527D1" w:rsidP="00D527D1">
      <w:pPr>
        <w:spacing w:line="264" w:lineRule="auto"/>
        <w:contextualSpacing/>
        <w:jc w:val="both"/>
        <w:rPr>
          <w:b/>
        </w:rPr>
      </w:pPr>
    </w:p>
    <w:p w14:paraId="6DE36443" w14:textId="77777777" w:rsidR="00D527D1" w:rsidRDefault="00D527D1" w:rsidP="00D527D1">
      <w:pPr>
        <w:spacing w:line="264" w:lineRule="auto"/>
        <w:jc w:val="both"/>
        <w:rPr>
          <w:rFonts w:ascii="Arial" w:hAnsi="Arial" w:cs="Arial"/>
          <w:szCs w:val="24"/>
        </w:rPr>
      </w:pPr>
      <w:r>
        <w:rPr>
          <w:rFonts w:ascii="Arial" w:hAnsi="Arial" w:cs="Arial"/>
          <w:b/>
          <w:bCs/>
          <w:i/>
          <w:iCs/>
          <w:szCs w:val="24"/>
        </w:rPr>
        <w:t>Community Diversion Program [$3.2 million, 7.0 FTEs, ongoing].</w:t>
      </w:r>
      <w:r>
        <w:rPr>
          <w:rFonts w:ascii="Arial" w:hAnsi="Arial" w:cs="Arial"/>
          <w:szCs w:val="24"/>
        </w:rPr>
        <w:t xml:space="preserve">  The proposed ordinance would add appropriation and FTE authority in the Jail Health Services budget for a Community Diversion Program.  The discussion of this program is included in the Prosecuting Attorney's Office section in this staff report.</w:t>
      </w:r>
    </w:p>
    <w:p w14:paraId="478A6057" w14:textId="77777777" w:rsidR="00D527D1" w:rsidRDefault="00D527D1" w:rsidP="00D527D1">
      <w:pPr>
        <w:spacing w:line="264" w:lineRule="auto"/>
        <w:jc w:val="both"/>
        <w:rPr>
          <w:rFonts w:ascii="Arial" w:hAnsi="Arial" w:cs="Arial"/>
          <w:szCs w:val="24"/>
        </w:rPr>
      </w:pPr>
    </w:p>
    <w:p w14:paraId="229EC924" w14:textId="77777777" w:rsidR="00D527D1" w:rsidRDefault="00D527D1" w:rsidP="00D527D1">
      <w:pPr>
        <w:spacing w:line="264" w:lineRule="auto"/>
        <w:jc w:val="both"/>
        <w:rPr>
          <w:rFonts w:ascii="Arial" w:hAnsi="Arial" w:cs="Arial"/>
          <w:szCs w:val="24"/>
        </w:rPr>
      </w:pPr>
      <w:r>
        <w:rPr>
          <w:rFonts w:ascii="Arial" w:hAnsi="Arial" w:cs="Arial"/>
          <w:b/>
          <w:bCs/>
          <w:i/>
          <w:iCs/>
          <w:szCs w:val="24"/>
        </w:rPr>
        <w:t>Additional Staff to Address Growing Court Caseload [$298,000, 2.0 FTEs, ongoing].</w:t>
      </w:r>
      <w:r>
        <w:rPr>
          <w:rFonts w:ascii="Arial" w:hAnsi="Arial" w:cs="Arial"/>
          <w:szCs w:val="24"/>
        </w:rPr>
        <w:t xml:space="preserve">  The Jail Health Services budget is proposed to increase by $298,000 and two FTEs to support an additional program supervisor and court clinician to address growing caseload in the King County Regional Mental Health Court and Veterans Court and City of Seattle Mental Health Court and Veterans Court.  This proposal will be supported by MIDD revenue and revenue from the City of Seattle.  Staff has requested information on the amount of MIDD revenue and the amount of revenue from the City of Seattle.</w:t>
      </w:r>
    </w:p>
    <w:p w14:paraId="40973442" w14:textId="77777777" w:rsidR="00D527D1" w:rsidRDefault="00D527D1" w:rsidP="00D527D1">
      <w:pPr>
        <w:spacing w:line="264" w:lineRule="auto"/>
        <w:jc w:val="both"/>
        <w:rPr>
          <w:rFonts w:ascii="Arial" w:hAnsi="Arial" w:cs="Arial"/>
          <w:szCs w:val="24"/>
        </w:rPr>
      </w:pPr>
    </w:p>
    <w:p w14:paraId="03BC9B13" w14:textId="77777777" w:rsidR="00D527D1" w:rsidRDefault="00D527D1" w:rsidP="00D527D1">
      <w:pPr>
        <w:spacing w:line="264" w:lineRule="auto"/>
        <w:jc w:val="both"/>
        <w:rPr>
          <w:rFonts w:ascii="Arial" w:hAnsi="Arial" w:cs="Arial"/>
          <w:szCs w:val="24"/>
        </w:rPr>
      </w:pPr>
      <w:r>
        <w:rPr>
          <w:rFonts w:ascii="Arial" w:hAnsi="Arial" w:cs="Arial"/>
          <w:b/>
          <w:bCs/>
          <w:i/>
          <w:iCs/>
          <w:szCs w:val="24"/>
        </w:rPr>
        <w:t>Extend State Grant Funding for Medication-Assisted Treatment [$223,000, 2.3 TLTs].</w:t>
      </w:r>
      <w:r>
        <w:rPr>
          <w:rFonts w:ascii="Arial" w:hAnsi="Arial" w:cs="Arial"/>
          <w:i/>
          <w:iCs/>
          <w:szCs w:val="24"/>
        </w:rPr>
        <w:t xml:space="preserve">  </w:t>
      </w:r>
      <w:r>
        <w:rPr>
          <w:rFonts w:ascii="Arial" w:hAnsi="Arial" w:cs="Arial"/>
          <w:szCs w:val="24"/>
        </w:rPr>
        <w:t>This request would be entirely backed by a Washington Health Care Authority grant for one year to facilitate access to medication-assisted treatment for opioid use disorder for individuals released from the jail.</w:t>
      </w:r>
    </w:p>
    <w:p w14:paraId="7595EC3C" w14:textId="77777777" w:rsidR="00D527D1" w:rsidRDefault="00D527D1" w:rsidP="00D527D1">
      <w:pPr>
        <w:spacing w:line="264" w:lineRule="auto"/>
        <w:jc w:val="both"/>
        <w:rPr>
          <w:rFonts w:ascii="Arial" w:hAnsi="Arial" w:cs="Arial"/>
          <w:szCs w:val="24"/>
        </w:rPr>
      </w:pPr>
    </w:p>
    <w:p w14:paraId="1394ACD1" w14:textId="391571ED" w:rsidR="00D527D1" w:rsidRDefault="00D527D1" w:rsidP="00D527D1">
      <w:pPr>
        <w:spacing w:line="264" w:lineRule="auto"/>
        <w:jc w:val="both"/>
        <w:rPr>
          <w:rFonts w:ascii="Arial" w:hAnsi="Arial" w:cs="Arial"/>
          <w:szCs w:val="24"/>
        </w:rPr>
      </w:pPr>
      <w:r>
        <w:rPr>
          <w:rFonts w:ascii="Arial" w:hAnsi="Arial" w:cs="Arial"/>
          <w:b/>
          <w:bCs/>
          <w:i/>
          <w:iCs/>
          <w:szCs w:val="24"/>
        </w:rPr>
        <w:t>Continue Treatment Connections Program and Add Buprenorphine Staffing [$903,000, 4.8 FTEs, ongoing].</w:t>
      </w:r>
      <w:r>
        <w:rPr>
          <w:rFonts w:ascii="Arial" w:hAnsi="Arial" w:cs="Arial"/>
          <w:szCs w:val="24"/>
        </w:rPr>
        <w:t xml:space="preserve">  The proposed ordinance would appropriate $275,000 (backed by MIDD funds) to support a Treatment Connections Program that has received federal grant funding through September 2022; the requested MIDD funds would allow the program to continue beyond the end of the grant award.  The request would also add $627,000 to support increased buprenorphine staffing (4.8 FTEs) and </w:t>
      </w:r>
      <w:r>
        <w:rPr>
          <w:rFonts w:ascii="Arial" w:hAnsi="Arial" w:cs="Arial"/>
          <w:szCs w:val="24"/>
        </w:rPr>
        <w:lastRenderedPageBreak/>
        <w:t xml:space="preserve">pharmacy capacity to keep up with demand for the Buprenorphine Continuation and Initiation Program. </w:t>
      </w:r>
      <w:r w:rsidR="004B64F6" w:rsidRPr="004B64F6">
        <w:rPr>
          <w:rFonts w:ascii="Arial" w:hAnsi="Arial" w:cs="Arial"/>
          <w:color w:val="4F81BD" w:themeColor="accent1"/>
          <w:szCs w:val="24"/>
        </w:rPr>
        <w:t xml:space="preserve"> The 4.8 FTEs would include 2.0 FTE Pharmacists, 1.0 FTE Pharmacist Tech, and 1.8 FTE Registered Nurses.  </w:t>
      </w:r>
      <w:r>
        <w:rPr>
          <w:rFonts w:ascii="Arial" w:hAnsi="Arial" w:cs="Arial"/>
          <w:szCs w:val="24"/>
        </w:rPr>
        <w:t xml:space="preserve">Of the $627,000 proposed, $378,000 would be backed by MIDD and $249,000 would be backed by the General Fund; MIDD funds were unable to be utilized for the full amount because the additional pharmacist positions would not be entirely dedicated to the buprenorphine program.  </w:t>
      </w:r>
    </w:p>
    <w:p w14:paraId="49B67A82" w14:textId="77777777" w:rsidR="00D527D1" w:rsidRDefault="00D527D1" w:rsidP="00D527D1">
      <w:pPr>
        <w:spacing w:line="264" w:lineRule="auto"/>
        <w:jc w:val="both"/>
        <w:rPr>
          <w:rFonts w:ascii="Arial" w:hAnsi="Arial" w:cs="Arial"/>
          <w:szCs w:val="24"/>
        </w:rPr>
      </w:pPr>
    </w:p>
    <w:p w14:paraId="7886A9FC" w14:textId="77777777" w:rsidR="00D527D1" w:rsidRPr="005A6405" w:rsidRDefault="00D527D1" w:rsidP="00D527D1">
      <w:pPr>
        <w:spacing w:line="264" w:lineRule="auto"/>
        <w:jc w:val="both"/>
        <w:rPr>
          <w:rFonts w:ascii="Arial" w:hAnsi="Arial" w:cs="Arial"/>
          <w:szCs w:val="24"/>
        </w:rPr>
      </w:pPr>
      <w:r>
        <w:rPr>
          <w:rFonts w:ascii="Arial" w:hAnsi="Arial" w:cs="Arial"/>
          <w:b/>
          <w:bCs/>
          <w:i/>
          <w:iCs/>
          <w:szCs w:val="24"/>
        </w:rPr>
        <w:t>Add Administrative Support Due to Growth in Clinical Hiring [$549,000, 3.0 FTEs, ongoing]</w:t>
      </w:r>
      <w:r>
        <w:rPr>
          <w:rFonts w:ascii="Arial" w:hAnsi="Arial" w:cs="Arial"/>
          <w:b/>
          <w:bCs/>
          <w:szCs w:val="24"/>
        </w:rPr>
        <w:t>.</w:t>
      </w:r>
      <w:r>
        <w:rPr>
          <w:rFonts w:ascii="Arial" w:hAnsi="Arial" w:cs="Arial"/>
          <w:szCs w:val="24"/>
        </w:rPr>
        <w:t xml:space="preserve">  This request would add appropriation authority of $549,000 and 3.0 FTEs to increase capacity in hiring, onboarding, and scheduling of clinical staff.  Since 2013, clinical staff have increased from 127 FTEs and 35 short-term temporary and agency clinical staff to 174 FTEs and 63 short-term temporary and agency staff.  One of the new positions would be an Administrator II focused on nursing employees' hiring, onboarding, and offboarding, and allowing the existing Administrator II to focus on non-nursing staff.  The two other requested positions would be Administrator I positions that will manage nurse scheduling and staffing, including securing staff to cover when nurses are unable to work their scheduled shifts.</w:t>
      </w:r>
    </w:p>
    <w:p w14:paraId="613423CD" w14:textId="08D85788" w:rsidR="00D527D1" w:rsidRDefault="00D527D1" w:rsidP="00D527D1">
      <w:pPr>
        <w:spacing w:line="264" w:lineRule="auto"/>
        <w:jc w:val="both"/>
        <w:rPr>
          <w:rFonts w:ascii="Arial" w:hAnsi="Arial" w:cs="Arial"/>
          <w:szCs w:val="24"/>
        </w:rPr>
      </w:pPr>
    </w:p>
    <w:p w14:paraId="284E6809" w14:textId="77777777" w:rsidR="00D527D1" w:rsidRDefault="00D527D1" w:rsidP="00D527D1">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62F9DEB5" w14:textId="1D1D2C48" w:rsidR="00D527D1" w:rsidRDefault="00D527D1" w:rsidP="00D527D1">
      <w:pPr>
        <w:spacing w:line="264" w:lineRule="auto"/>
        <w:jc w:val="both"/>
        <w:rPr>
          <w:rFonts w:ascii="Arial" w:hAnsi="Arial" w:cs="Arial"/>
          <w:szCs w:val="24"/>
        </w:rPr>
      </w:pPr>
      <w:r w:rsidRPr="00C00506">
        <w:rPr>
          <w:rFonts w:ascii="Arial" w:hAnsi="Arial" w:cs="Arial"/>
          <w:b/>
          <w:bCs/>
          <w:i/>
          <w:iCs/>
          <w:szCs w:val="24"/>
        </w:rPr>
        <w:t>Jail Health</w:t>
      </w:r>
      <w:r>
        <w:rPr>
          <w:rFonts w:ascii="Arial" w:hAnsi="Arial" w:cs="Arial"/>
          <w:b/>
          <w:bCs/>
          <w:i/>
          <w:iCs/>
          <w:szCs w:val="24"/>
        </w:rPr>
        <w:t xml:space="preserve"> Services Staff Parking [$113,000].</w:t>
      </w:r>
      <w:r>
        <w:rPr>
          <w:rFonts w:ascii="Arial" w:hAnsi="Arial" w:cs="Arial"/>
          <w:szCs w:val="24"/>
        </w:rPr>
        <w:t xml:space="preserve">  The proposed ordinance would add funding for parking for staff who need to be on-site at the King County Correctional Facility while telecommuting is in effect and transit service remains limited.  Jail Health Services continues to support telecommuting where it </w:t>
      </w:r>
      <w:r w:rsidR="004F3FBC">
        <w:rPr>
          <w:rFonts w:ascii="Arial" w:hAnsi="Arial" w:cs="Arial"/>
          <w:szCs w:val="24"/>
        </w:rPr>
        <w:t>meets</w:t>
      </w:r>
      <w:r>
        <w:rPr>
          <w:rFonts w:ascii="Arial" w:hAnsi="Arial" w:cs="Arial"/>
          <w:szCs w:val="24"/>
        </w:rPr>
        <w:t xml:space="preserve"> business and safety needs, including to reduce the number of people entering and leaving the jail to reduce the potential for COVID-19 transmission.</w:t>
      </w:r>
    </w:p>
    <w:p w14:paraId="6C5FA1DF" w14:textId="77777777" w:rsidR="00D527D1" w:rsidRDefault="00D527D1" w:rsidP="00AB45DE">
      <w:pPr>
        <w:tabs>
          <w:tab w:val="left" w:pos="720"/>
          <w:tab w:val="right" w:pos="9360"/>
        </w:tabs>
        <w:spacing w:line="264" w:lineRule="auto"/>
        <w:contextualSpacing/>
        <w:jc w:val="both"/>
        <w:rPr>
          <w:rFonts w:ascii="Arial" w:hAnsi="Arial" w:cs="Arial"/>
          <w:b/>
          <w:u w:val="single"/>
        </w:rPr>
      </w:pPr>
    </w:p>
    <w:p w14:paraId="7E95A9AF" w14:textId="4E9BA824" w:rsidR="00686199" w:rsidRDefault="00686199" w:rsidP="00AB45DE">
      <w:pPr>
        <w:tabs>
          <w:tab w:val="left" w:pos="720"/>
          <w:tab w:val="right" w:pos="9360"/>
        </w:tabs>
        <w:spacing w:line="264" w:lineRule="auto"/>
        <w:contextualSpacing/>
        <w:jc w:val="both"/>
        <w:rPr>
          <w:rFonts w:ascii="Arial" w:hAnsi="Arial" w:cs="Arial"/>
          <w:b/>
          <w:u w:val="single"/>
        </w:rPr>
      </w:pPr>
    </w:p>
    <w:p w14:paraId="6C1CDCCB" w14:textId="77777777" w:rsidR="006E1F5A" w:rsidRPr="000E7446" w:rsidRDefault="006E1F5A" w:rsidP="006E1F5A">
      <w:pPr>
        <w:tabs>
          <w:tab w:val="left" w:pos="720"/>
          <w:tab w:val="left" w:pos="4620"/>
          <w:tab w:val="right" w:pos="9360"/>
        </w:tabs>
        <w:spacing w:line="264" w:lineRule="auto"/>
        <w:contextualSpacing/>
        <w:jc w:val="both"/>
        <w:rPr>
          <w:rFonts w:ascii="Arial" w:hAnsi="Arial" w:cs="Arial"/>
          <w:b/>
          <w:u w:val="single"/>
        </w:rPr>
      </w:pPr>
      <w:r>
        <w:rPr>
          <w:rFonts w:ascii="Arial" w:hAnsi="Arial" w:cs="Arial"/>
          <w:b/>
          <w:u w:val="single"/>
        </w:rPr>
        <w:t>Medical Examiner</w:t>
      </w:r>
      <w:r w:rsidRPr="000E7446">
        <w:rPr>
          <w:rFonts w:ascii="Arial" w:hAnsi="Arial" w:cs="Arial"/>
          <w:b/>
          <w:u w:val="single"/>
        </w:rPr>
        <w:tab/>
      </w:r>
      <w:r>
        <w:rPr>
          <w:rFonts w:ascii="Arial" w:hAnsi="Arial" w:cs="Arial"/>
          <w:b/>
          <w:u w:val="single"/>
        </w:rPr>
        <w:tab/>
      </w:r>
      <w:r w:rsidRPr="000E7446">
        <w:rPr>
          <w:rFonts w:ascii="Arial" w:hAnsi="Arial" w:cs="Arial"/>
          <w:b/>
          <w:u w:val="single"/>
        </w:rPr>
        <w:t>$</w:t>
      </w:r>
      <w:r>
        <w:rPr>
          <w:rFonts w:ascii="Arial" w:hAnsi="Arial" w:cs="Arial"/>
          <w:b/>
          <w:u w:val="single"/>
        </w:rPr>
        <w:t>1,244,</w:t>
      </w:r>
      <w:r w:rsidRPr="00FE52A7">
        <w:rPr>
          <w:rFonts w:ascii="Arial" w:hAnsi="Arial" w:cs="Arial"/>
          <w:b/>
          <w:u w:val="single"/>
        </w:rPr>
        <w:t>000, 5.0 FT</w:t>
      </w:r>
      <w:r>
        <w:rPr>
          <w:rFonts w:ascii="Arial" w:hAnsi="Arial" w:cs="Arial"/>
          <w:b/>
          <w:u w:val="single"/>
        </w:rPr>
        <w:t>Es</w:t>
      </w:r>
    </w:p>
    <w:p w14:paraId="2A4F4F1C" w14:textId="77777777" w:rsidR="006E1F5A" w:rsidRDefault="006E1F5A" w:rsidP="006E1F5A">
      <w:pPr>
        <w:spacing w:line="264" w:lineRule="auto"/>
        <w:contextualSpacing/>
        <w:jc w:val="both"/>
        <w:rPr>
          <w:b/>
        </w:rPr>
      </w:pPr>
    </w:p>
    <w:p w14:paraId="2AEA1271" w14:textId="77777777" w:rsidR="006E1F5A" w:rsidRDefault="006E1F5A" w:rsidP="006E1F5A">
      <w:pPr>
        <w:spacing w:line="264" w:lineRule="auto"/>
        <w:contextualSpacing/>
        <w:jc w:val="both"/>
        <w:rPr>
          <w:rFonts w:ascii="Arial" w:hAnsi="Arial" w:cs="Arial"/>
          <w:iCs/>
        </w:rPr>
      </w:pPr>
      <w:r w:rsidRPr="00F5613B">
        <w:rPr>
          <w:rFonts w:ascii="Arial" w:hAnsi="Arial" w:cs="Arial"/>
          <w:b/>
          <w:i/>
        </w:rPr>
        <w:t xml:space="preserve">Medical Examiner Capacity Expansion to Meet Workload </w:t>
      </w:r>
      <w:r>
        <w:rPr>
          <w:rFonts w:ascii="Arial" w:hAnsi="Arial" w:cs="Arial"/>
          <w:b/>
          <w:i/>
        </w:rPr>
        <w:t>[$</w:t>
      </w:r>
      <w:r w:rsidRPr="00B4705C">
        <w:rPr>
          <w:rFonts w:ascii="Arial" w:hAnsi="Arial" w:cs="Arial"/>
          <w:b/>
          <w:i/>
        </w:rPr>
        <w:t>1,01</w:t>
      </w:r>
      <w:r>
        <w:rPr>
          <w:rFonts w:ascii="Arial" w:hAnsi="Arial" w:cs="Arial"/>
          <w:b/>
          <w:i/>
        </w:rPr>
        <w:t>5</w:t>
      </w:r>
      <w:r w:rsidRPr="00B4705C">
        <w:rPr>
          <w:rFonts w:ascii="Arial" w:hAnsi="Arial" w:cs="Arial"/>
          <w:b/>
          <w:i/>
        </w:rPr>
        <w:t>,</w:t>
      </w:r>
      <w:r>
        <w:rPr>
          <w:rFonts w:ascii="Arial" w:hAnsi="Arial" w:cs="Arial"/>
          <w:b/>
          <w:i/>
        </w:rPr>
        <w:t>000, 5.0 FTEs, ongoing]</w:t>
      </w:r>
      <w:r>
        <w:rPr>
          <w:rFonts w:ascii="Arial" w:hAnsi="Arial" w:cs="Arial"/>
          <w:b/>
          <w:iCs/>
        </w:rPr>
        <w:t xml:space="preserve">. </w:t>
      </w:r>
      <w:r>
        <w:rPr>
          <w:rFonts w:ascii="Arial" w:hAnsi="Arial" w:cs="Arial"/>
          <w:b/>
          <w:i/>
        </w:rPr>
        <w:t xml:space="preserve"> </w:t>
      </w:r>
      <w:r w:rsidRPr="001E063E">
        <w:rPr>
          <w:rFonts w:ascii="Arial" w:hAnsi="Arial" w:cs="Arial"/>
          <w:iCs/>
        </w:rPr>
        <w:t>The proposed ordinance would</w:t>
      </w:r>
      <w:r>
        <w:rPr>
          <w:rFonts w:ascii="Arial" w:hAnsi="Arial" w:cs="Arial"/>
          <w:iCs/>
        </w:rPr>
        <w:t xml:space="preserve"> appropriate approximately $920,000 of General Fund and $95,000 of state grants to support 5.0 FTEs.  This appropriation is intended to a</w:t>
      </w:r>
      <w:r w:rsidRPr="00E452B1">
        <w:rPr>
          <w:rFonts w:ascii="Arial" w:hAnsi="Arial" w:cs="Arial"/>
          <w:iCs/>
        </w:rPr>
        <w:t>ddress</w:t>
      </w:r>
      <w:r>
        <w:rPr>
          <w:rFonts w:ascii="Arial" w:hAnsi="Arial" w:cs="Arial"/>
          <w:iCs/>
        </w:rPr>
        <w:t xml:space="preserve"> the persistent </w:t>
      </w:r>
      <w:r w:rsidRPr="00E452B1">
        <w:rPr>
          <w:rFonts w:ascii="Arial" w:hAnsi="Arial" w:cs="Arial"/>
          <w:iCs/>
        </w:rPr>
        <w:t xml:space="preserve">and growing gap between capacity and workload </w:t>
      </w:r>
      <w:r>
        <w:rPr>
          <w:rFonts w:ascii="Arial" w:hAnsi="Arial" w:cs="Arial"/>
          <w:iCs/>
        </w:rPr>
        <w:t>in</w:t>
      </w:r>
      <w:r w:rsidRPr="00E452B1">
        <w:rPr>
          <w:rFonts w:ascii="Arial" w:hAnsi="Arial" w:cs="Arial"/>
          <w:iCs/>
        </w:rPr>
        <w:t xml:space="preserve"> the King County Medical Examiner's Office</w:t>
      </w:r>
      <w:r>
        <w:rPr>
          <w:rFonts w:ascii="Arial" w:hAnsi="Arial" w:cs="Arial"/>
          <w:iCs/>
        </w:rPr>
        <w:t xml:space="preserve"> (MEO)</w:t>
      </w:r>
      <w:r w:rsidRPr="00E452B1">
        <w:rPr>
          <w:rFonts w:ascii="Arial" w:hAnsi="Arial" w:cs="Arial"/>
          <w:iCs/>
        </w:rPr>
        <w:t xml:space="preserve">. </w:t>
      </w:r>
      <w:r>
        <w:rPr>
          <w:rFonts w:ascii="Arial" w:hAnsi="Arial" w:cs="Arial"/>
          <w:iCs/>
        </w:rPr>
        <w:t xml:space="preserve"> The five additional staff </w:t>
      </w:r>
      <w:r w:rsidRPr="00E452B1">
        <w:rPr>
          <w:rFonts w:ascii="Arial" w:hAnsi="Arial" w:cs="Arial"/>
          <w:iCs/>
        </w:rPr>
        <w:t xml:space="preserve">positions </w:t>
      </w:r>
      <w:r>
        <w:rPr>
          <w:rFonts w:ascii="Arial" w:hAnsi="Arial" w:cs="Arial"/>
          <w:iCs/>
        </w:rPr>
        <w:t>would</w:t>
      </w:r>
      <w:r w:rsidRPr="00E452B1">
        <w:rPr>
          <w:rFonts w:ascii="Arial" w:hAnsi="Arial" w:cs="Arial"/>
          <w:iCs/>
        </w:rPr>
        <w:t xml:space="preserve"> </w:t>
      </w:r>
      <w:r>
        <w:rPr>
          <w:rFonts w:ascii="Arial" w:hAnsi="Arial" w:cs="Arial"/>
          <w:iCs/>
        </w:rPr>
        <w:t>help the MEO reach appropriate caseload targets, address safety risks when going on calls, and ensure that the MEO's Nati</w:t>
      </w:r>
      <w:r w:rsidRPr="00E452B1">
        <w:rPr>
          <w:rFonts w:ascii="Arial" w:hAnsi="Arial" w:cs="Arial"/>
          <w:iCs/>
        </w:rPr>
        <w:t>onal Association of Medical Examiners accreditation is maintained.</w:t>
      </w:r>
      <w:r>
        <w:rPr>
          <w:rFonts w:ascii="Arial" w:hAnsi="Arial" w:cs="Arial"/>
          <w:iCs/>
        </w:rPr>
        <w:t xml:space="preserve">  These positions include </w:t>
      </w:r>
      <w:r w:rsidRPr="00E452B1">
        <w:rPr>
          <w:rFonts w:ascii="Arial" w:hAnsi="Arial" w:cs="Arial"/>
          <w:iCs/>
        </w:rPr>
        <w:t>one pathologist</w:t>
      </w:r>
      <w:r>
        <w:rPr>
          <w:rFonts w:ascii="Arial" w:hAnsi="Arial" w:cs="Arial"/>
          <w:iCs/>
        </w:rPr>
        <w:t xml:space="preserve"> (30% of the salary would be provided by the State)</w:t>
      </w:r>
      <w:r w:rsidRPr="00E452B1">
        <w:rPr>
          <w:rFonts w:ascii="Arial" w:hAnsi="Arial" w:cs="Arial"/>
          <w:iCs/>
        </w:rPr>
        <w:t>, two autopsy technicians, and two death investigators.</w:t>
      </w:r>
      <w:r>
        <w:rPr>
          <w:rFonts w:ascii="Arial" w:hAnsi="Arial" w:cs="Arial"/>
          <w:iCs/>
        </w:rPr>
        <w:t xml:space="preserve">  According to Executive Staff, the </w:t>
      </w:r>
      <w:r w:rsidRPr="00433602">
        <w:rPr>
          <w:rFonts w:ascii="Arial" w:hAnsi="Arial" w:cs="Arial"/>
          <w:iCs/>
        </w:rPr>
        <w:t xml:space="preserve">State will continue </w:t>
      </w:r>
      <w:r>
        <w:rPr>
          <w:rFonts w:ascii="Arial" w:hAnsi="Arial" w:cs="Arial"/>
          <w:iCs/>
        </w:rPr>
        <w:t>contributing</w:t>
      </w:r>
      <w:r w:rsidRPr="00433602">
        <w:rPr>
          <w:rFonts w:ascii="Arial" w:hAnsi="Arial" w:cs="Arial"/>
          <w:iCs/>
        </w:rPr>
        <w:t xml:space="preserve"> 3</w:t>
      </w:r>
      <w:r>
        <w:rPr>
          <w:rFonts w:ascii="Arial" w:hAnsi="Arial" w:cs="Arial"/>
          <w:iCs/>
        </w:rPr>
        <w:t xml:space="preserve">0% </w:t>
      </w:r>
      <w:r w:rsidRPr="00433602">
        <w:rPr>
          <w:rFonts w:ascii="Arial" w:hAnsi="Arial" w:cs="Arial"/>
          <w:iCs/>
        </w:rPr>
        <w:t>of</w:t>
      </w:r>
      <w:r>
        <w:rPr>
          <w:rFonts w:ascii="Arial" w:hAnsi="Arial" w:cs="Arial"/>
          <w:iCs/>
        </w:rPr>
        <w:t xml:space="preserve"> the cost for the</w:t>
      </w:r>
      <w:r w:rsidRPr="00433602">
        <w:rPr>
          <w:rFonts w:ascii="Arial" w:hAnsi="Arial" w:cs="Arial"/>
          <w:iCs/>
        </w:rPr>
        <w:t xml:space="preserve"> pathologist</w:t>
      </w:r>
      <w:r>
        <w:rPr>
          <w:rFonts w:ascii="Arial" w:hAnsi="Arial" w:cs="Arial"/>
          <w:iCs/>
        </w:rPr>
        <w:t xml:space="preserve"> beyond the current biennium</w:t>
      </w:r>
      <w:r w:rsidRPr="00433602">
        <w:rPr>
          <w:rFonts w:ascii="Arial" w:hAnsi="Arial" w:cs="Arial"/>
          <w:iCs/>
        </w:rPr>
        <w:t xml:space="preserve">.  The </w:t>
      </w:r>
      <w:r>
        <w:rPr>
          <w:rFonts w:ascii="Arial" w:hAnsi="Arial" w:cs="Arial"/>
          <w:iCs/>
        </w:rPr>
        <w:t>ongoing balance would be covered by the General Fund as the MEO is a General Fund supported agency.</w:t>
      </w:r>
    </w:p>
    <w:p w14:paraId="70D23D4F" w14:textId="77777777" w:rsidR="006E1F5A" w:rsidRPr="006D3FF8" w:rsidRDefault="006E1F5A" w:rsidP="006E1F5A">
      <w:pPr>
        <w:spacing w:line="264" w:lineRule="auto"/>
        <w:contextualSpacing/>
        <w:jc w:val="both"/>
        <w:rPr>
          <w:rFonts w:ascii="Arial" w:hAnsi="Arial" w:cs="Arial"/>
          <w:b/>
          <w:iCs/>
        </w:rPr>
      </w:pPr>
    </w:p>
    <w:p w14:paraId="4C86EBBF" w14:textId="77777777" w:rsidR="006E1F5A" w:rsidRDefault="006E1F5A" w:rsidP="006E1F5A">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6F0ED587" w14:textId="17242D16" w:rsidR="006E1F5A" w:rsidRDefault="006E1F5A" w:rsidP="006E1F5A">
      <w:pPr>
        <w:spacing w:line="264" w:lineRule="auto"/>
        <w:contextualSpacing/>
        <w:jc w:val="both"/>
      </w:pPr>
      <w:r w:rsidRPr="00F5613B">
        <w:rPr>
          <w:rFonts w:ascii="Arial" w:hAnsi="Arial" w:cs="Arial"/>
          <w:b/>
          <w:i/>
        </w:rPr>
        <w:t>Overdose Data to Action Surveillance Grant</w:t>
      </w:r>
      <w:r>
        <w:rPr>
          <w:rFonts w:ascii="Arial" w:hAnsi="Arial" w:cs="Arial"/>
          <w:b/>
          <w:i/>
        </w:rPr>
        <w:t xml:space="preserve"> [$</w:t>
      </w:r>
      <w:r w:rsidRPr="000F7085">
        <w:rPr>
          <w:rFonts w:ascii="Arial" w:hAnsi="Arial" w:cs="Arial"/>
          <w:b/>
          <w:i/>
        </w:rPr>
        <w:t>229,0</w:t>
      </w:r>
      <w:r>
        <w:rPr>
          <w:rFonts w:ascii="Arial" w:hAnsi="Arial" w:cs="Arial"/>
          <w:b/>
          <w:i/>
        </w:rPr>
        <w:t>0</w:t>
      </w:r>
      <w:r w:rsidRPr="000F7085">
        <w:rPr>
          <w:rFonts w:ascii="Arial" w:hAnsi="Arial" w:cs="Arial"/>
          <w:b/>
          <w:i/>
        </w:rPr>
        <w:t>0</w:t>
      </w:r>
      <w:r w:rsidR="00840E72">
        <w:rPr>
          <w:rFonts w:ascii="Arial" w:hAnsi="Arial" w:cs="Arial"/>
          <w:b/>
          <w:i/>
        </w:rPr>
        <w:t>, 2.0 TLTs</w:t>
      </w:r>
      <w:r>
        <w:rPr>
          <w:rFonts w:ascii="Arial" w:hAnsi="Arial" w:cs="Arial"/>
          <w:b/>
          <w:i/>
        </w:rPr>
        <w:t>]</w:t>
      </w:r>
      <w:r>
        <w:rPr>
          <w:rFonts w:ascii="Arial" w:hAnsi="Arial" w:cs="Arial"/>
          <w:b/>
          <w:iCs/>
        </w:rPr>
        <w:t>.</w:t>
      </w:r>
      <w:r>
        <w:rPr>
          <w:rFonts w:ascii="Arial" w:hAnsi="Arial" w:cs="Arial"/>
          <w:b/>
          <w:i/>
        </w:rPr>
        <w:t xml:space="preserve">  </w:t>
      </w:r>
      <w:r w:rsidRPr="001E063E">
        <w:rPr>
          <w:rFonts w:ascii="Arial" w:hAnsi="Arial" w:cs="Arial"/>
          <w:iCs/>
        </w:rPr>
        <w:t>The proposed ordinance would</w:t>
      </w:r>
      <w:r>
        <w:rPr>
          <w:rFonts w:ascii="Arial" w:hAnsi="Arial" w:cs="Arial"/>
          <w:iCs/>
        </w:rPr>
        <w:t xml:space="preserve"> appropriate $229,000, funded by the Washington State Department of </w:t>
      </w:r>
      <w:r>
        <w:rPr>
          <w:rFonts w:ascii="Arial" w:hAnsi="Arial" w:cs="Arial"/>
          <w:iCs/>
        </w:rPr>
        <w:lastRenderedPageBreak/>
        <w:t xml:space="preserve">Health grant funding from the </w:t>
      </w:r>
      <w:r w:rsidRPr="008A4D11">
        <w:rPr>
          <w:rFonts w:ascii="Arial" w:hAnsi="Arial" w:cs="Arial"/>
          <w:iCs/>
        </w:rPr>
        <w:t>Centers for Disease Control and Prevention</w:t>
      </w:r>
      <w:r>
        <w:rPr>
          <w:rFonts w:ascii="Arial" w:hAnsi="Arial" w:cs="Arial"/>
          <w:iCs/>
        </w:rPr>
        <w:t>, to continue a r</w:t>
      </w:r>
      <w:r w:rsidRPr="008A4D11">
        <w:rPr>
          <w:rFonts w:ascii="Arial" w:hAnsi="Arial" w:cs="Arial"/>
          <w:iCs/>
        </w:rPr>
        <w:t xml:space="preserve">eal-time fatal drug overdose </w:t>
      </w:r>
      <w:r>
        <w:rPr>
          <w:rFonts w:ascii="Arial" w:hAnsi="Arial" w:cs="Arial"/>
          <w:iCs/>
        </w:rPr>
        <w:t xml:space="preserve">surveillance </w:t>
      </w:r>
      <w:r w:rsidRPr="008A4D11">
        <w:rPr>
          <w:rFonts w:ascii="Arial" w:hAnsi="Arial" w:cs="Arial"/>
          <w:iCs/>
        </w:rPr>
        <w:t xml:space="preserve">project. </w:t>
      </w:r>
      <w:r>
        <w:rPr>
          <w:rFonts w:ascii="Arial" w:hAnsi="Arial" w:cs="Arial"/>
          <w:iCs/>
        </w:rPr>
        <w:t xml:space="preserve"> This allocation would pay for 2.0 TLTs to collect and track data on fatal overdoses in King County.  Executive staff stated that the data collected by these staff is intended to inform future policy decisions. </w:t>
      </w:r>
    </w:p>
    <w:p w14:paraId="448E59CD" w14:textId="77777777" w:rsidR="00686199" w:rsidRDefault="00686199" w:rsidP="00AB45DE">
      <w:pPr>
        <w:tabs>
          <w:tab w:val="left" w:pos="720"/>
          <w:tab w:val="right" w:pos="9360"/>
        </w:tabs>
        <w:spacing w:line="264" w:lineRule="auto"/>
        <w:contextualSpacing/>
        <w:jc w:val="both"/>
        <w:rPr>
          <w:rFonts w:ascii="Arial" w:hAnsi="Arial" w:cs="Arial"/>
          <w:b/>
          <w:u w:val="single"/>
        </w:rPr>
      </w:pPr>
    </w:p>
    <w:p w14:paraId="5A40EFB1" w14:textId="77777777" w:rsidR="00D527D1" w:rsidRDefault="00D527D1" w:rsidP="00D527D1">
      <w:pPr>
        <w:spacing w:line="264" w:lineRule="auto"/>
        <w:jc w:val="both"/>
        <w:rPr>
          <w:rFonts w:ascii="Arial" w:hAnsi="Arial" w:cs="Arial"/>
          <w:szCs w:val="24"/>
        </w:rPr>
      </w:pPr>
    </w:p>
    <w:p w14:paraId="08384C2B" w14:textId="77777777" w:rsidR="00D527D1" w:rsidRPr="000E7446" w:rsidRDefault="00D527D1" w:rsidP="00D527D1">
      <w:pPr>
        <w:tabs>
          <w:tab w:val="left" w:pos="720"/>
          <w:tab w:val="right" w:pos="9360"/>
        </w:tabs>
        <w:spacing w:line="264" w:lineRule="auto"/>
        <w:contextualSpacing/>
        <w:jc w:val="both"/>
        <w:rPr>
          <w:rFonts w:ascii="Arial" w:hAnsi="Arial" w:cs="Arial"/>
          <w:b/>
          <w:u w:val="single"/>
        </w:rPr>
      </w:pPr>
      <w:r>
        <w:rPr>
          <w:rFonts w:ascii="Arial" w:hAnsi="Arial" w:cs="Arial"/>
          <w:b/>
          <w:u w:val="single"/>
        </w:rPr>
        <w:t>Department of Adult and Juvenile Detention (DAJD)</w:t>
      </w:r>
      <w:r w:rsidRPr="000E7446">
        <w:rPr>
          <w:rFonts w:ascii="Arial" w:hAnsi="Arial" w:cs="Arial"/>
          <w:b/>
          <w:u w:val="single"/>
        </w:rPr>
        <w:tab/>
      </w:r>
      <w:r w:rsidRPr="00AE39B5">
        <w:rPr>
          <w:rFonts w:ascii="Arial" w:hAnsi="Arial" w:cs="Arial"/>
          <w:b/>
          <w:u w:val="single"/>
        </w:rPr>
        <w:t>$</w:t>
      </w:r>
      <w:r>
        <w:rPr>
          <w:rFonts w:ascii="Arial" w:hAnsi="Arial" w:cs="Arial"/>
          <w:b/>
          <w:u w:val="single"/>
        </w:rPr>
        <w:t>942</w:t>
      </w:r>
      <w:r w:rsidRPr="00AE39B5">
        <w:rPr>
          <w:rFonts w:ascii="Arial" w:hAnsi="Arial" w:cs="Arial"/>
          <w:b/>
          <w:u w:val="single"/>
        </w:rPr>
        <w:t>,000</w:t>
      </w:r>
    </w:p>
    <w:p w14:paraId="72CED28D" w14:textId="77777777" w:rsidR="00D527D1" w:rsidRDefault="00D527D1" w:rsidP="00D527D1">
      <w:pPr>
        <w:spacing w:line="264" w:lineRule="auto"/>
        <w:jc w:val="both"/>
        <w:rPr>
          <w:rFonts w:ascii="Arial" w:hAnsi="Arial" w:cs="Arial"/>
          <w:szCs w:val="24"/>
        </w:rPr>
      </w:pPr>
    </w:p>
    <w:p w14:paraId="0B76FF1B" w14:textId="77777777" w:rsidR="00D527D1" w:rsidRDefault="00D527D1" w:rsidP="00D527D1">
      <w:pPr>
        <w:spacing w:line="264" w:lineRule="auto"/>
        <w:jc w:val="both"/>
        <w:rPr>
          <w:rFonts w:ascii="Arial" w:hAnsi="Arial" w:cs="Arial"/>
          <w:szCs w:val="24"/>
        </w:rPr>
      </w:pPr>
      <w:r>
        <w:rPr>
          <w:rFonts w:ascii="Arial" w:hAnsi="Arial" w:cs="Arial"/>
          <w:b/>
          <w:bCs/>
          <w:i/>
          <w:iCs/>
          <w:szCs w:val="24"/>
        </w:rPr>
        <w:t xml:space="preserve">Add Support for Corrections Officer Recruitment and Hiring [$774,000, 2.0 </w:t>
      </w:r>
      <w:r w:rsidRPr="002458BF">
        <w:rPr>
          <w:rFonts w:ascii="Arial" w:hAnsi="Arial" w:cs="Arial"/>
          <w:b/>
          <w:bCs/>
          <w:i/>
          <w:iCs/>
          <w:szCs w:val="24"/>
        </w:rPr>
        <w:t>TLTs</w:t>
      </w:r>
      <w:r>
        <w:rPr>
          <w:rFonts w:ascii="Arial" w:hAnsi="Arial" w:cs="Arial"/>
          <w:b/>
          <w:bCs/>
          <w:i/>
          <w:iCs/>
          <w:szCs w:val="24"/>
        </w:rPr>
        <w:t>, potentially ongoing].</w:t>
      </w:r>
      <w:r w:rsidRPr="004349C8">
        <w:rPr>
          <w:rFonts w:ascii="Arial" w:hAnsi="Arial" w:cs="Arial"/>
          <w:szCs w:val="24"/>
        </w:rPr>
        <w:t xml:space="preserve">  This request</w:t>
      </w:r>
      <w:r>
        <w:rPr>
          <w:rFonts w:ascii="Arial" w:hAnsi="Arial" w:cs="Arial"/>
          <w:szCs w:val="24"/>
        </w:rPr>
        <w:t xml:space="preserve"> would provide $274,000 for two human resources TLTs dedicated to the recruitment of corrections officers and $500,000 for hiring incentives.  In the 2019-2020 biennial budget, the Department of Human Resources (DHR) added two FTEs focused on recruitments for corrections and juvenile detention officers, which ultimately helped reduce 49 vacancies to fewer than 10.  The two DHR positions have since been reassigned.  As of October 2021, the number of corrections officer vacancies reached 50, so DAJD is seeking to replicate the recruitment efforts that occurred during 2019-2020.  DAJD indicates that its hiring needs are likely to continue for the foreseeable future as there may be terminations of officers who refuse to be vaccinated and many employees are or soon will be eligible to retire.  DAJD indicated that although these positions are proposed as TLTs, it is likely they would need to be continued in the 2023-2024 budget.</w:t>
      </w:r>
    </w:p>
    <w:p w14:paraId="6F256833" w14:textId="77777777" w:rsidR="00D527D1" w:rsidRDefault="00D527D1" w:rsidP="00D527D1">
      <w:pPr>
        <w:spacing w:line="264" w:lineRule="auto"/>
        <w:jc w:val="both"/>
        <w:rPr>
          <w:rFonts w:ascii="Arial" w:hAnsi="Arial" w:cs="Arial"/>
          <w:szCs w:val="24"/>
        </w:rPr>
      </w:pPr>
    </w:p>
    <w:p w14:paraId="091B71FA" w14:textId="77777777" w:rsidR="00D527D1" w:rsidRDefault="00D527D1" w:rsidP="00D527D1">
      <w:pPr>
        <w:spacing w:line="264" w:lineRule="auto"/>
        <w:jc w:val="both"/>
        <w:rPr>
          <w:rFonts w:ascii="Arial" w:hAnsi="Arial" w:cs="Arial"/>
          <w:szCs w:val="24"/>
        </w:rPr>
      </w:pPr>
      <w:r w:rsidRPr="00186AA3">
        <w:rPr>
          <w:rFonts w:ascii="Arial" w:hAnsi="Arial" w:cs="Arial"/>
          <w:b/>
          <w:bCs/>
          <w:i/>
          <w:iCs/>
          <w:szCs w:val="24"/>
        </w:rPr>
        <w:t>Add</w:t>
      </w:r>
      <w:r>
        <w:rPr>
          <w:rFonts w:ascii="Arial" w:hAnsi="Arial" w:cs="Arial"/>
          <w:b/>
          <w:bCs/>
          <w:i/>
          <w:iCs/>
          <w:szCs w:val="24"/>
        </w:rPr>
        <w:t xml:space="preserve"> Position to Analyze Mandatory Overtime [$168,000, 1.0 </w:t>
      </w:r>
      <w:r w:rsidRPr="002458BF">
        <w:rPr>
          <w:rFonts w:ascii="Arial" w:hAnsi="Arial" w:cs="Arial"/>
          <w:b/>
          <w:bCs/>
          <w:i/>
          <w:iCs/>
          <w:szCs w:val="24"/>
        </w:rPr>
        <w:t>TLT</w:t>
      </w:r>
      <w:r>
        <w:rPr>
          <w:rFonts w:ascii="Arial" w:hAnsi="Arial" w:cs="Arial"/>
          <w:b/>
          <w:bCs/>
          <w:i/>
          <w:iCs/>
          <w:szCs w:val="24"/>
        </w:rPr>
        <w:t>].</w:t>
      </w:r>
      <w:r>
        <w:rPr>
          <w:rFonts w:ascii="Arial" w:hAnsi="Arial" w:cs="Arial"/>
          <w:szCs w:val="24"/>
        </w:rPr>
        <w:t xml:space="preserve">  This request would add a TLT position to analyze mandatory overtime and offer operational recommendations to minimize its use.  DAJD indicated that this position may make recommendations on policy or procedural changes that could be implemented under management rights.  There may also be recommendations that would require bargaining.  The proposed TLT analyst would analyze current daily overtime and mandatory overtime. Data and analysis produced by the analyst may be used to support the broader staffing study being proposed in the PSB proposed appropriation.</w:t>
      </w:r>
    </w:p>
    <w:p w14:paraId="2FE4092E" w14:textId="7CF04AA0" w:rsidR="00D527D1" w:rsidRDefault="00D527D1" w:rsidP="00CB6003">
      <w:pPr>
        <w:tabs>
          <w:tab w:val="left" w:pos="720"/>
          <w:tab w:val="right" w:pos="9360"/>
        </w:tabs>
        <w:spacing w:line="264" w:lineRule="auto"/>
        <w:contextualSpacing/>
        <w:jc w:val="both"/>
        <w:rPr>
          <w:rFonts w:ascii="Arial" w:hAnsi="Arial" w:cs="Arial"/>
          <w:b/>
          <w:u w:val="single"/>
        </w:rPr>
      </w:pPr>
    </w:p>
    <w:p w14:paraId="296BCEEB" w14:textId="77777777" w:rsidR="00D527D1" w:rsidRDefault="00D527D1" w:rsidP="00CB6003">
      <w:pPr>
        <w:tabs>
          <w:tab w:val="left" w:pos="720"/>
          <w:tab w:val="right" w:pos="9360"/>
        </w:tabs>
        <w:spacing w:line="264" w:lineRule="auto"/>
        <w:contextualSpacing/>
        <w:jc w:val="both"/>
        <w:rPr>
          <w:rFonts w:ascii="Arial" w:hAnsi="Arial" w:cs="Arial"/>
          <w:b/>
          <w:u w:val="single"/>
        </w:rPr>
      </w:pPr>
    </w:p>
    <w:p w14:paraId="373BF51A" w14:textId="77777777" w:rsidR="00002968" w:rsidRPr="000E7446" w:rsidRDefault="00002968" w:rsidP="00002968">
      <w:pPr>
        <w:tabs>
          <w:tab w:val="left" w:pos="720"/>
          <w:tab w:val="right" w:pos="9360"/>
        </w:tabs>
        <w:spacing w:line="264" w:lineRule="auto"/>
        <w:contextualSpacing/>
        <w:jc w:val="both"/>
        <w:rPr>
          <w:rFonts w:ascii="Arial" w:hAnsi="Arial" w:cs="Arial"/>
          <w:b/>
          <w:u w:val="single"/>
        </w:rPr>
      </w:pPr>
      <w:bookmarkStart w:id="3" w:name="_Hlk85010719"/>
      <w:r>
        <w:rPr>
          <w:rFonts w:ascii="Arial" w:hAnsi="Arial" w:cs="Arial"/>
          <w:b/>
          <w:u w:val="single"/>
        </w:rPr>
        <w:t>Department of Public Defense (DPD)</w:t>
      </w:r>
      <w:r w:rsidRPr="000E7446">
        <w:rPr>
          <w:rFonts w:ascii="Arial" w:hAnsi="Arial" w:cs="Arial"/>
          <w:b/>
          <w:u w:val="single"/>
        </w:rPr>
        <w:tab/>
        <w:t>$</w:t>
      </w:r>
      <w:r>
        <w:rPr>
          <w:rFonts w:ascii="Arial" w:hAnsi="Arial" w:cs="Arial"/>
          <w:b/>
          <w:u w:val="single"/>
        </w:rPr>
        <w:t>260,000, 2.0 FTEs</w:t>
      </w:r>
    </w:p>
    <w:p w14:paraId="1236B57F" w14:textId="77777777" w:rsidR="00002968" w:rsidRDefault="00002968" w:rsidP="00002968">
      <w:pPr>
        <w:spacing w:line="264" w:lineRule="auto"/>
        <w:contextualSpacing/>
        <w:jc w:val="both"/>
        <w:rPr>
          <w:b/>
        </w:rPr>
      </w:pPr>
    </w:p>
    <w:p w14:paraId="6AA2DAEF" w14:textId="77777777" w:rsidR="00002968" w:rsidRPr="006D3FF8" w:rsidRDefault="00002968" w:rsidP="00002968">
      <w:pPr>
        <w:spacing w:line="264" w:lineRule="auto"/>
        <w:contextualSpacing/>
        <w:jc w:val="both"/>
        <w:rPr>
          <w:rFonts w:ascii="Arial" w:hAnsi="Arial" w:cs="Arial"/>
          <w:b/>
          <w:i/>
        </w:rPr>
      </w:pPr>
      <w:r>
        <w:rPr>
          <w:rFonts w:ascii="Arial" w:hAnsi="Arial" w:cs="Arial"/>
          <w:b/>
          <w:i/>
          <w:iCs/>
        </w:rPr>
        <w:t>Human Resource Analyst [</w:t>
      </w:r>
      <w:r w:rsidRPr="0054665B">
        <w:rPr>
          <w:rFonts w:ascii="Arial" w:hAnsi="Arial" w:cs="Arial"/>
          <w:b/>
          <w:i/>
          <w:iCs/>
        </w:rPr>
        <w:t>$1</w:t>
      </w:r>
      <w:r>
        <w:rPr>
          <w:rFonts w:ascii="Arial" w:hAnsi="Arial" w:cs="Arial"/>
          <w:b/>
          <w:i/>
          <w:iCs/>
        </w:rPr>
        <w:t>26,533, 1.0 FTE</w:t>
      </w:r>
      <w:r>
        <w:rPr>
          <w:rFonts w:ascii="Arial" w:hAnsi="Arial" w:cs="Arial"/>
          <w:b/>
          <w:i/>
        </w:rPr>
        <w:t>].</w:t>
      </w:r>
      <w:r>
        <w:rPr>
          <w:rFonts w:ascii="Arial" w:hAnsi="Arial" w:cs="Arial"/>
          <w:b/>
          <w:iCs/>
        </w:rPr>
        <w:t xml:space="preserve">  </w:t>
      </w:r>
      <w:r w:rsidRPr="003D194D">
        <w:rPr>
          <w:rFonts w:ascii="Arial" w:hAnsi="Arial" w:cs="Arial"/>
        </w:rPr>
        <w:t>The proposed ordinance would</w:t>
      </w:r>
      <w:r>
        <w:rPr>
          <w:rFonts w:ascii="Arial" w:hAnsi="Arial" w:cs="Arial"/>
        </w:rPr>
        <w:t xml:space="preserve"> add one Human Resource Analyst FTE position to support the ongoing recruiting, hiring, and processing of human resources administration.</w:t>
      </w:r>
    </w:p>
    <w:p w14:paraId="04B5E7D5" w14:textId="77777777" w:rsidR="00002968" w:rsidRDefault="00002968" w:rsidP="00002968">
      <w:pPr>
        <w:spacing w:line="264" w:lineRule="auto"/>
        <w:contextualSpacing/>
        <w:jc w:val="both"/>
        <w:rPr>
          <w:rFonts w:ascii="Arial" w:hAnsi="Arial" w:cs="Arial"/>
          <w:b/>
          <w:i/>
          <w:iCs/>
        </w:rPr>
      </w:pPr>
    </w:p>
    <w:p w14:paraId="518B8429" w14:textId="77777777" w:rsidR="00002968" w:rsidRPr="006D3FF8" w:rsidRDefault="00002968" w:rsidP="00002968">
      <w:pPr>
        <w:spacing w:line="264" w:lineRule="auto"/>
        <w:contextualSpacing/>
        <w:jc w:val="both"/>
        <w:rPr>
          <w:rFonts w:ascii="Arial" w:hAnsi="Arial" w:cs="Arial"/>
          <w:b/>
          <w:i/>
        </w:rPr>
      </w:pPr>
      <w:r>
        <w:rPr>
          <w:rFonts w:ascii="Arial" w:hAnsi="Arial" w:cs="Arial"/>
          <w:b/>
          <w:i/>
          <w:iCs/>
        </w:rPr>
        <w:t>Parking Reimbursement During COVID-19 Pandemic [</w:t>
      </w:r>
      <w:r w:rsidRPr="0054665B">
        <w:rPr>
          <w:rFonts w:ascii="Arial" w:hAnsi="Arial" w:cs="Arial"/>
          <w:b/>
          <w:i/>
          <w:iCs/>
        </w:rPr>
        <w:t>$100,000</w:t>
      </w:r>
      <w:r>
        <w:rPr>
          <w:rFonts w:ascii="Arial" w:hAnsi="Arial" w:cs="Arial"/>
          <w:b/>
          <w:i/>
        </w:rPr>
        <w:t>].</w:t>
      </w:r>
      <w:r>
        <w:rPr>
          <w:rFonts w:ascii="Arial" w:hAnsi="Arial" w:cs="Arial"/>
          <w:b/>
          <w:iCs/>
        </w:rPr>
        <w:t xml:space="preserve">  </w:t>
      </w:r>
      <w:r w:rsidRPr="003D194D">
        <w:rPr>
          <w:rFonts w:ascii="Arial" w:hAnsi="Arial" w:cs="Arial"/>
        </w:rPr>
        <w:t>The proposed ordinance would appropriate $</w:t>
      </w:r>
      <w:r>
        <w:rPr>
          <w:rFonts w:ascii="Arial" w:hAnsi="Arial" w:cs="Arial"/>
        </w:rPr>
        <w:t xml:space="preserve">100,000 to reimburse DPD staff who used King County parking facilities during the COVID-19 pandemic. </w:t>
      </w:r>
    </w:p>
    <w:p w14:paraId="7059F20E" w14:textId="77777777" w:rsidR="00002968" w:rsidRDefault="00002968" w:rsidP="00002968">
      <w:pPr>
        <w:spacing w:line="264" w:lineRule="auto"/>
        <w:contextualSpacing/>
        <w:jc w:val="both"/>
        <w:rPr>
          <w:rFonts w:ascii="Arial" w:hAnsi="Arial" w:cs="Arial"/>
        </w:rPr>
      </w:pPr>
    </w:p>
    <w:p w14:paraId="45A80922" w14:textId="7FE95066" w:rsidR="00002968" w:rsidRPr="006D3FF8" w:rsidRDefault="00002968" w:rsidP="00002968">
      <w:pPr>
        <w:spacing w:line="264" w:lineRule="auto"/>
        <w:contextualSpacing/>
        <w:jc w:val="both"/>
        <w:rPr>
          <w:rFonts w:ascii="Arial" w:hAnsi="Arial" w:cs="Arial"/>
          <w:b/>
          <w:i/>
        </w:rPr>
      </w:pPr>
      <w:r>
        <w:rPr>
          <w:rFonts w:ascii="Arial" w:hAnsi="Arial" w:cs="Arial"/>
          <w:b/>
          <w:i/>
          <w:iCs/>
        </w:rPr>
        <w:t>Involuntary Treatment Act (ITA) Court Recovery Pilot Project [</w:t>
      </w:r>
      <w:r w:rsidRPr="0054665B">
        <w:rPr>
          <w:rFonts w:ascii="Arial" w:hAnsi="Arial" w:cs="Arial"/>
          <w:b/>
          <w:i/>
          <w:iCs/>
        </w:rPr>
        <w:t>$</w:t>
      </w:r>
      <w:r>
        <w:rPr>
          <w:rFonts w:ascii="Arial" w:hAnsi="Arial" w:cs="Arial"/>
          <w:b/>
          <w:i/>
          <w:iCs/>
        </w:rPr>
        <w:t>228</w:t>
      </w:r>
      <w:r w:rsidRPr="0054665B">
        <w:rPr>
          <w:rFonts w:ascii="Arial" w:hAnsi="Arial" w:cs="Arial"/>
          <w:b/>
          <w:i/>
          <w:iCs/>
        </w:rPr>
        <w:t>,</w:t>
      </w:r>
      <w:r>
        <w:rPr>
          <w:rFonts w:ascii="Arial" w:hAnsi="Arial" w:cs="Arial"/>
          <w:b/>
          <w:i/>
          <w:iCs/>
        </w:rPr>
        <w:t>485, 1.0 FTE</w:t>
      </w:r>
      <w:r>
        <w:rPr>
          <w:rFonts w:ascii="Arial" w:hAnsi="Arial" w:cs="Arial"/>
          <w:b/>
          <w:i/>
        </w:rPr>
        <w:t>].</w:t>
      </w:r>
      <w:r>
        <w:rPr>
          <w:rFonts w:ascii="Arial" w:hAnsi="Arial" w:cs="Arial"/>
          <w:b/>
          <w:iCs/>
        </w:rPr>
        <w:t xml:space="preserve">  </w:t>
      </w:r>
      <w:r w:rsidRPr="002458BF">
        <w:rPr>
          <w:rFonts w:ascii="Arial" w:hAnsi="Arial" w:cs="Arial"/>
          <w:bCs/>
          <w:iCs/>
        </w:rPr>
        <w:t>Add one FTE to support the ITA Court Recovery Pilot Project for the period of July 2021 through December 2022.</w:t>
      </w:r>
    </w:p>
    <w:p w14:paraId="5A73358A" w14:textId="77777777" w:rsidR="00002968" w:rsidRDefault="00002968" w:rsidP="00002968">
      <w:pPr>
        <w:spacing w:line="264" w:lineRule="auto"/>
        <w:contextualSpacing/>
        <w:jc w:val="both"/>
        <w:rPr>
          <w:rFonts w:ascii="Arial" w:hAnsi="Arial" w:cs="Arial"/>
          <w:b/>
        </w:rPr>
      </w:pPr>
    </w:p>
    <w:p w14:paraId="10D9E752" w14:textId="77777777" w:rsidR="00002968" w:rsidRDefault="00002968" w:rsidP="00002968">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44307DDA" w14:textId="5D6FBAD2" w:rsidR="00A03F60" w:rsidRPr="00002968" w:rsidRDefault="00002968" w:rsidP="00002968">
      <w:pPr>
        <w:spacing w:line="264" w:lineRule="auto"/>
        <w:contextualSpacing/>
        <w:jc w:val="both"/>
        <w:rPr>
          <w:rFonts w:ascii="Arial" w:hAnsi="Arial" w:cs="Arial"/>
          <w:b/>
          <w:iCs/>
        </w:rPr>
      </w:pPr>
      <w:r>
        <w:rPr>
          <w:rFonts w:ascii="Arial" w:hAnsi="Arial" w:cs="Arial"/>
          <w:b/>
          <w:i/>
        </w:rPr>
        <w:t>DPD Community Passageways Contract Transfer to DCHS</w:t>
      </w:r>
      <w:r w:rsidRPr="0054665B">
        <w:rPr>
          <w:rFonts w:ascii="Arial" w:hAnsi="Arial" w:cs="Arial"/>
          <w:b/>
          <w:i/>
        </w:rPr>
        <w:t xml:space="preserve"> </w:t>
      </w:r>
      <w:r>
        <w:rPr>
          <w:rFonts w:ascii="Arial" w:hAnsi="Arial" w:cs="Arial"/>
          <w:b/>
          <w:i/>
          <w:iCs/>
        </w:rPr>
        <w:t>[</w:t>
      </w:r>
      <w:r w:rsidRPr="007916ED">
        <w:rPr>
          <w:rFonts w:ascii="Arial" w:hAnsi="Arial" w:cs="Arial"/>
          <w:b/>
          <w:i/>
          <w:iCs/>
          <w:color w:val="C0504D" w:themeColor="accent2"/>
        </w:rPr>
        <w:t>-$</w:t>
      </w:r>
      <w:r>
        <w:rPr>
          <w:rFonts w:ascii="Arial" w:hAnsi="Arial" w:cs="Arial"/>
          <w:b/>
          <w:i/>
          <w:iCs/>
          <w:color w:val="C0504D" w:themeColor="accent2"/>
        </w:rPr>
        <w:t>215</w:t>
      </w:r>
      <w:r w:rsidRPr="007916ED">
        <w:rPr>
          <w:rFonts w:ascii="Arial" w:hAnsi="Arial" w:cs="Arial"/>
          <w:b/>
          <w:i/>
          <w:iCs/>
          <w:color w:val="C0504D" w:themeColor="accent2"/>
        </w:rPr>
        <w:t>,</w:t>
      </w:r>
      <w:r>
        <w:rPr>
          <w:rFonts w:ascii="Arial" w:hAnsi="Arial" w:cs="Arial"/>
          <w:b/>
          <w:i/>
          <w:iCs/>
          <w:color w:val="C0504D" w:themeColor="accent2"/>
        </w:rPr>
        <w:t>363</w:t>
      </w:r>
      <w:r>
        <w:rPr>
          <w:rFonts w:ascii="Arial" w:hAnsi="Arial" w:cs="Arial"/>
          <w:b/>
          <w:i/>
        </w:rPr>
        <w:t>]</w:t>
      </w:r>
      <w:r w:rsidRPr="0054665B">
        <w:rPr>
          <w:rFonts w:ascii="Arial" w:hAnsi="Arial" w:cs="Arial"/>
          <w:b/>
          <w:i/>
        </w:rPr>
        <w:t>.</w:t>
      </w:r>
      <w:r>
        <w:rPr>
          <w:rFonts w:ascii="Arial" w:hAnsi="Arial" w:cs="Arial"/>
          <w:b/>
          <w:iCs/>
        </w:rPr>
        <w:t xml:space="preserve">  </w:t>
      </w:r>
      <w:r w:rsidRPr="006D3FF8">
        <w:rPr>
          <w:rFonts w:ascii="Arial" w:hAnsi="Arial" w:cs="Arial"/>
          <w:iCs/>
        </w:rPr>
        <w:t xml:space="preserve">The proposed ordinance would </w:t>
      </w:r>
      <w:r>
        <w:rPr>
          <w:rFonts w:ascii="Arial" w:hAnsi="Arial" w:cs="Arial"/>
          <w:iCs/>
        </w:rPr>
        <w:t xml:space="preserve">move expenditure authority for the DPD Community Passageways contract to the Department of Community and Human Services (DCHS) Employment and Education Resources Fund because this contract is administered by DCHS. </w:t>
      </w:r>
      <w:bookmarkEnd w:id="3"/>
    </w:p>
    <w:p w14:paraId="0F43EB39" w14:textId="74105A4F" w:rsidR="001271E6" w:rsidRDefault="001271E6" w:rsidP="00AB45DE">
      <w:pPr>
        <w:tabs>
          <w:tab w:val="left" w:pos="720"/>
          <w:tab w:val="right" w:pos="9360"/>
        </w:tabs>
        <w:spacing w:line="264" w:lineRule="auto"/>
        <w:contextualSpacing/>
        <w:jc w:val="both"/>
        <w:rPr>
          <w:rFonts w:ascii="Arial" w:hAnsi="Arial" w:cs="Arial"/>
          <w:b/>
          <w:u w:val="single"/>
        </w:rPr>
      </w:pPr>
    </w:p>
    <w:p w14:paraId="3AB0A8F4" w14:textId="77777777" w:rsidR="007853B2" w:rsidRDefault="007853B2" w:rsidP="007853B2">
      <w:pPr>
        <w:spacing w:line="264" w:lineRule="auto"/>
        <w:contextualSpacing/>
        <w:jc w:val="both"/>
        <w:rPr>
          <w:rFonts w:ascii="Arial" w:hAnsi="Arial" w:cs="Arial"/>
          <w:szCs w:val="24"/>
        </w:rPr>
      </w:pPr>
    </w:p>
    <w:p w14:paraId="264E6166" w14:textId="77777777" w:rsidR="007853B2" w:rsidRPr="009A6AEA" w:rsidRDefault="007853B2" w:rsidP="007853B2">
      <w:pPr>
        <w:tabs>
          <w:tab w:val="left" w:pos="720"/>
          <w:tab w:val="right" w:pos="9360"/>
        </w:tabs>
        <w:spacing w:line="264" w:lineRule="auto"/>
        <w:contextualSpacing/>
        <w:jc w:val="both"/>
        <w:rPr>
          <w:rFonts w:ascii="Arial" w:hAnsi="Arial" w:cs="Arial"/>
          <w:b/>
          <w:u w:val="single"/>
        </w:rPr>
      </w:pPr>
      <w:r>
        <w:rPr>
          <w:rFonts w:ascii="Arial" w:hAnsi="Arial" w:cs="Arial"/>
          <w:b/>
          <w:u w:val="single"/>
        </w:rPr>
        <w:t xml:space="preserve">Roads Operating </w:t>
      </w:r>
      <w:r w:rsidRPr="000E7446">
        <w:rPr>
          <w:rFonts w:ascii="Arial" w:hAnsi="Arial" w:cs="Arial"/>
          <w:b/>
          <w:u w:val="single"/>
        </w:rPr>
        <w:tab/>
        <w:t>$</w:t>
      </w:r>
      <w:r>
        <w:rPr>
          <w:rFonts w:ascii="Arial" w:hAnsi="Arial" w:cs="Arial"/>
          <w:b/>
          <w:u w:val="single"/>
        </w:rPr>
        <w:t>2,015,000</w:t>
      </w:r>
    </w:p>
    <w:p w14:paraId="27FB47D8" w14:textId="77777777" w:rsidR="007853B2" w:rsidRDefault="007853B2" w:rsidP="007853B2">
      <w:pPr>
        <w:spacing w:line="264" w:lineRule="auto"/>
        <w:contextualSpacing/>
        <w:jc w:val="both"/>
        <w:rPr>
          <w:rFonts w:ascii="Arial" w:hAnsi="Arial" w:cs="Arial"/>
          <w:b/>
          <w:highlight w:val="yellow"/>
        </w:rPr>
      </w:pPr>
    </w:p>
    <w:p w14:paraId="6DFFEF60" w14:textId="71140ECA" w:rsidR="007853B2" w:rsidRDefault="007853B2" w:rsidP="007853B2">
      <w:pPr>
        <w:spacing w:line="264" w:lineRule="auto"/>
        <w:contextualSpacing/>
        <w:jc w:val="both"/>
        <w:rPr>
          <w:rFonts w:ascii="Arial" w:hAnsi="Arial" w:cs="Arial"/>
        </w:rPr>
      </w:pPr>
      <w:r>
        <w:rPr>
          <w:rFonts w:ascii="Arial" w:hAnsi="Arial" w:cs="Arial"/>
          <w:b/>
          <w:i/>
          <w:iCs/>
        </w:rPr>
        <w:t xml:space="preserve">Capital Staff to Support Americans with Disabilities Act Improvement Project </w:t>
      </w:r>
      <w:r w:rsidRPr="0054665B">
        <w:rPr>
          <w:rFonts w:ascii="Arial" w:hAnsi="Arial" w:cs="Arial"/>
          <w:b/>
          <w:i/>
          <w:iCs/>
        </w:rPr>
        <w:t>[</w:t>
      </w:r>
      <w:r w:rsidRPr="00781EE3">
        <w:rPr>
          <w:rFonts w:ascii="Arial" w:hAnsi="Arial" w:cs="Arial"/>
          <w:b/>
          <w:i/>
          <w:iCs/>
        </w:rPr>
        <w:t>$0</w:t>
      </w:r>
      <w:r>
        <w:rPr>
          <w:rFonts w:ascii="Arial" w:hAnsi="Arial" w:cs="Arial"/>
          <w:b/>
          <w:i/>
          <w:iCs/>
        </w:rPr>
        <w:t>, 2.0 TLTs]</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add 2.0 TLT Engineer positions to support </w:t>
      </w:r>
      <w:r w:rsidRPr="00431B52">
        <w:rPr>
          <w:rFonts w:ascii="Arial" w:hAnsi="Arial" w:cs="Arial"/>
        </w:rPr>
        <w:t>the</w:t>
      </w:r>
      <w:r>
        <w:rPr>
          <w:rFonts w:ascii="Arial" w:hAnsi="Arial" w:cs="Arial"/>
        </w:rPr>
        <w:t xml:space="preserve"> </w:t>
      </w:r>
      <w:r w:rsidRPr="00431B52">
        <w:rPr>
          <w:rFonts w:ascii="Arial" w:hAnsi="Arial" w:cs="Arial"/>
        </w:rPr>
        <w:t>Roads Economy and Climate Equity Unincorporated King Count</w:t>
      </w:r>
      <w:r>
        <w:rPr>
          <w:rFonts w:ascii="Arial" w:hAnsi="Arial" w:cs="Arial"/>
        </w:rPr>
        <w:t>y</w:t>
      </w:r>
      <w:r w:rsidRPr="00431B52">
        <w:rPr>
          <w:rFonts w:ascii="Arial" w:hAnsi="Arial" w:cs="Arial"/>
        </w:rPr>
        <w:t xml:space="preserve"> Americans with Disabilities Act</w:t>
      </w:r>
      <w:r>
        <w:rPr>
          <w:rFonts w:ascii="Arial" w:hAnsi="Arial" w:cs="Arial"/>
        </w:rPr>
        <w:t xml:space="preserve"> (ADA)</w:t>
      </w:r>
      <w:r w:rsidRPr="00431B52">
        <w:rPr>
          <w:rFonts w:ascii="Arial" w:hAnsi="Arial" w:cs="Arial"/>
        </w:rPr>
        <w:t xml:space="preserve"> </w:t>
      </w:r>
      <w:r>
        <w:rPr>
          <w:rFonts w:ascii="Arial" w:hAnsi="Arial" w:cs="Arial"/>
        </w:rPr>
        <w:t>Ramp Improvement project.</w:t>
      </w:r>
      <w:r>
        <w:rPr>
          <w:rStyle w:val="FootnoteReference"/>
          <w:rFonts w:ascii="Arial" w:hAnsi="Arial" w:cs="Arial"/>
        </w:rPr>
        <w:footnoteReference w:id="22"/>
      </w:r>
      <w:r>
        <w:rPr>
          <w:rFonts w:ascii="Arial" w:hAnsi="Arial" w:cs="Arial"/>
        </w:rPr>
        <w:t xml:space="preserve"> The TLTs are contingent on approval of the ADA ramp improvement project, which is discussed further in the Climate Equity Climate Pool section of this staff report.  If approved, the TLTs would be loaned out to the capital program and charge their expenses to the capital project, which is why there are no operating costs associated with the request.  Executive staff estimate the</w:t>
      </w:r>
      <w:r w:rsidRPr="00431B52">
        <w:rPr>
          <w:rFonts w:ascii="Arial" w:hAnsi="Arial" w:cs="Arial"/>
        </w:rPr>
        <w:t xml:space="preserve"> TLT</w:t>
      </w:r>
      <w:r>
        <w:rPr>
          <w:rFonts w:ascii="Arial" w:hAnsi="Arial" w:cs="Arial"/>
        </w:rPr>
        <w:t xml:space="preserve"> positions will be needed for </w:t>
      </w:r>
      <w:r w:rsidRPr="00431B52">
        <w:rPr>
          <w:rFonts w:ascii="Arial" w:hAnsi="Arial" w:cs="Arial"/>
        </w:rPr>
        <w:t xml:space="preserve">two years </w:t>
      </w:r>
      <w:r>
        <w:rPr>
          <w:rFonts w:ascii="Arial" w:hAnsi="Arial" w:cs="Arial"/>
        </w:rPr>
        <w:t>(</w:t>
      </w:r>
      <w:r w:rsidRPr="00431B52">
        <w:rPr>
          <w:rFonts w:ascii="Arial" w:hAnsi="Arial" w:cs="Arial"/>
        </w:rPr>
        <w:t>2022 and 2023</w:t>
      </w:r>
      <w:r>
        <w:rPr>
          <w:rFonts w:ascii="Arial" w:hAnsi="Arial" w:cs="Arial"/>
        </w:rPr>
        <w:t>)</w:t>
      </w:r>
      <w:r w:rsidRPr="00431B52">
        <w:rPr>
          <w:rFonts w:ascii="Arial" w:hAnsi="Arial" w:cs="Arial"/>
        </w:rPr>
        <w:t>.</w:t>
      </w:r>
      <w:r>
        <w:rPr>
          <w:rFonts w:ascii="Arial" w:hAnsi="Arial" w:cs="Arial"/>
        </w:rPr>
        <w:t xml:space="preserve"> </w:t>
      </w:r>
    </w:p>
    <w:p w14:paraId="0E8F21C6" w14:textId="77777777" w:rsidR="007853B2" w:rsidRDefault="007853B2" w:rsidP="007853B2">
      <w:pPr>
        <w:spacing w:line="264" w:lineRule="auto"/>
        <w:ind w:left="720"/>
        <w:contextualSpacing/>
        <w:jc w:val="both"/>
        <w:rPr>
          <w:rFonts w:ascii="Arial" w:hAnsi="Arial" w:cs="Arial"/>
        </w:rPr>
      </w:pPr>
    </w:p>
    <w:p w14:paraId="240F71FD" w14:textId="29885465" w:rsidR="007853B2" w:rsidRDefault="007853B2" w:rsidP="007853B2">
      <w:pPr>
        <w:spacing w:line="264" w:lineRule="auto"/>
        <w:contextualSpacing/>
        <w:jc w:val="both"/>
        <w:rPr>
          <w:rFonts w:ascii="Arial" w:hAnsi="Arial" w:cs="Arial"/>
        </w:rPr>
      </w:pPr>
      <w:bookmarkStart w:id="4" w:name="_Hlk85030472"/>
      <w:r>
        <w:rPr>
          <w:rFonts w:ascii="Arial" w:hAnsi="Arial" w:cs="Arial"/>
          <w:b/>
          <w:i/>
          <w:iCs/>
        </w:rPr>
        <w:t>Increase Capital Transfer</w:t>
      </w:r>
      <w:r w:rsidRPr="0054665B">
        <w:rPr>
          <w:rFonts w:ascii="Arial" w:hAnsi="Arial" w:cs="Arial"/>
          <w:b/>
          <w:i/>
          <w:iCs/>
        </w:rPr>
        <w:t xml:space="preserve"> </w:t>
      </w:r>
      <w:r>
        <w:rPr>
          <w:rFonts w:ascii="Arial" w:hAnsi="Arial" w:cs="Arial"/>
          <w:b/>
          <w:i/>
          <w:iCs/>
        </w:rPr>
        <w:t>[</w:t>
      </w:r>
      <w:r w:rsidRPr="0054665B">
        <w:rPr>
          <w:rFonts w:ascii="Arial" w:hAnsi="Arial" w:cs="Arial"/>
          <w:b/>
          <w:i/>
          <w:iCs/>
        </w:rPr>
        <w:t>$</w:t>
      </w:r>
      <w:r>
        <w:rPr>
          <w:rFonts w:ascii="Arial" w:hAnsi="Arial" w:cs="Arial"/>
          <w:b/>
          <w:i/>
          <w:iCs/>
        </w:rPr>
        <w:t>2,015,000]</w:t>
      </w:r>
      <w:r w:rsidRPr="0054665B">
        <w:rPr>
          <w:rFonts w:ascii="Arial" w:hAnsi="Arial" w:cs="Arial"/>
          <w:b/>
          <w:i/>
          <w:iCs/>
        </w:rPr>
        <w:t>.</w:t>
      </w:r>
      <w:r>
        <w:rPr>
          <w:rFonts w:ascii="Arial" w:hAnsi="Arial" w:cs="Arial"/>
          <w:b/>
          <w:iCs/>
        </w:rPr>
        <w:t xml:space="preserve">  </w:t>
      </w:r>
      <w:r w:rsidRPr="003D194D">
        <w:rPr>
          <w:rFonts w:ascii="Arial" w:hAnsi="Arial" w:cs="Arial"/>
        </w:rPr>
        <w:t>The proposed ordinance would appropriate $</w:t>
      </w:r>
      <w:r>
        <w:rPr>
          <w:rFonts w:ascii="Arial" w:hAnsi="Arial" w:cs="Arial"/>
        </w:rPr>
        <w:t>2,015,000 to be transferred to Roads Capital funds.  The majority of this transfer (</w:t>
      </w:r>
      <w:r w:rsidRPr="00E8016C">
        <w:rPr>
          <w:rFonts w:ascii="Arial" w:hAnsi="Arial" w:cs="Arial"/>
        </w:rPr>
        <w:t xml:space="preserve">$1,615,100) </w:t>
      </w:r>
      <w:r>
        <w:rPr>
          <w:rFonts w:ascii="Arial" w:hAnsi="Arial" w:cs="Arial"/>
        </w:rPr>
        <w:t>would provide funding</w:t>
      </w:r>
      <w:r w:rsidRPr="005B75DE">
        <w:rPr>
          <w:rFonts w:ascii="Arial" w:hAnsi="Arial" w:cs="Arial"/>
        </w:rPr>
        <w:t xml:space="preserve"> for the construction of</w:t>
      </w:r>
      <w:r>
        <w:rPr>
          <w:rFonts w:ascii="Arial" w:hAnsi="Arial" w:cs="Arial"/>
        </w:rPr>
        <w:t xml:space="preserve"> the</w:t>
      </w:r>
      <w:r w:rsidRPr="005B75DE">
        <w:rPr>
          <w:rFonts w:ascii="Arial" w:hAnsi="Arial" w:cs="Arial"/>
        </w:rPr>
        <w:t xml:space="preserve"> 15 Mile Creek Bridge</w:t>
      </w:r>
      <w:r>
        <w:rPr>
          <w:rFonts w:ascii="Arial" w:hAnsi="Arial" w:cs="Arial"/>
        </w:rPr>
        <w:t>,</w:t>
      </w:r>
      <w:r>
        <w:rPr>
          <w:rStyle w:val="FootnoteReference"/>
          <w:rFonts w:ascii="Arial" w:hAnsi="Arial" w:cs="Arial"/>
        </w:rPr>
        <w:footnoteReference w:id="23"/>
      </w:r>
      <w:r w:rsidRPr="005B75DE">
        <w:rPr>
          <w:rFonts w:ascii="Arial" w:hAnsi="Arial" w:cs="Arial"/>
        </w:rPr>
        <w:t xml:space="preserve"> which has been moved up from 2023 to 2022</w:t>
      </w:r>
      <w:r>
        <w:rPr>
          <w:rFonts w:ascii="Arial" w:hAnsi="Arial" w:cs="Arial"/>
        </w:rPr>
        <w:t xml:space="preserve"> (see corresponding appropriation in the County Roads Maintenance Fund)</w:t>
      </w:r>
      <w:r w:rsidRPr="005B75DE">
        <w:rPr>
          <w:rFonts w:ascii="Arial" w:hAnsi="Arial" w:cs="Arial"/>
        </w:rPr>
        <w:t>.</w:t>
      </w:r>
    </w:p>
    <w:p w14:paraId="7F94AE34" w14:textId="77777777" w:rsidR="007853B2" w:rsidRPr="001351CF" w:rsidRDefault="007853B2" w:rsidP="007853B2">
      <w:pPr>
        <w:spacing w:line="264" w:lineRule="auto"/>
        <w:contextualSpacing/>
        <w:jc w:val="both"/>
        <w:rPr>
          <w:rFonts w:ascii="Arial" w:hAnsi="Arial" w:cs="Arial"/>
          <w:b/>
          <w:i/>
        </w:rPr>
      </w:pPr>
    </w:p>
    <w:p w14:paraId="05EC030C" w14:textId="77777777" w:rsidR="007853B2" w:rsidRDefault="007853B2" w:rsidP="007853B2">
      <w:pPr>
        <w:spacing w:line="264" w:lineRule="auto"/>
        <w:contextualSpacing/>
        <w:jc w:val="both"/>
        <w:rPr>
          <w:rFonts w:ascii="Arial" w:hAnsi="Arial" w:cs="Arial"/>
        </w:rPr>
      </w:pPr>
      <w:r>
        <w:rPr>
          <w:rFonts w:ascii="Arial" w:hAnsi="Arial" w:cs="Arial"/>
        </w:rPr>
        <w:t>According to the Executive, this transfer would also cover</w:t>
      </w:r>
      <w:r w:rsidRPr="005B75DE">
        <w:rPr>
          <w:rFonts w:ascii="Arial" w:hAnsi="Arial" w:cs="Arial"/>
        </w:rPr>
        <w:t xml:space="preserve"> indirect costs that were not reimbursable using WSDOT grant funding and that were required to be paid back</w:t>
      </w:r>
      <w:r>
        <w:rPr>
          <w:rFonts w:ascii="Arial" w:hAnsi="Arial" w:cs="Arial"/>
        </w:rPr>
        <w:t xml:space="preserve">.  The </w:t>
      </w:r>
      <w:proofErr w:type="spellStart"/>
      <w:r>
        <w:rPr>
          <w:rFonts w:ascii="Arial" w:hAnsi="Arial" w:cs="Arial"/>
        </w:rPr>
        <w:t>nonreimbursable</w:t>
      </w:r>
      <w:proofErr w:type="spellEnd"/>
      <w:r>
        <w:rPr>
          <w:rFonts w:ascii="Arial" w:hAnsi="Arial" w:cs="Arial"/>
        </w:rPr>
        <w:t xml:space="preserve"> expenses were not associated with individual project costs, but rather charges generated by the overhead burden rate including </w:t>
      </w:r>
      <w:r w:rsidRPr="00122441">
        <w:rPr>
          <w:rFonts w:ascii="Arial" w:hAnsi="Arial" w:cs="Arial"/>
        </w:rPr>
        <w:t>Roads’ administrative costs (management, supplies, technical support), central agency allocations (finance, HR, IT, etc.), Roads HR staff, and other indirect overhead costs.</w:t>
      </w:r>
      <w:r>
        <w:rPr>
          <w:rFonts w:ascii="Arial" w:hAnsi="Arial" w:cs="Arial"/>
        </w:rPr>
        <w:t xml:space="preserve">  </w:t>
      </w:r>
      <w:r w:rsidRPr="009A6AEA">
        <w:rPr>
          <w:rFonts w:ascii="Arial" w:hAnsi="Arial" w:cs="Arial"/>
        </w:rPr>
        <w:t>WSDOT denied</w:t>
      </w:r>
      <w:r>
        <w:rPr>
          <w:rFonts w:ascii="Arial" w:hAnsi="Arial" w:cs="Arial"/>
        </w:rPr>
        <w:t xml:space="preserve"> the</w:t>
      </w:r>
      <w:r w:rsidRPr="009A6AEA">
        <w:rPr>
          <w:rFonts w:ascii="Arial" w:hAnsi="Arial" w:cs="Arial"/>
        </w:rPr>
        <w:t xml:space="preserve"> reimbursements because the current approved rate had expired. </w:t>
      </w:r>
      <w:r>
        <w:rPr>
          <w:rFonts w:ascii="Arial" w:hAnsi="Arial" w:cs="Arial"/>
        </w:rPr>
        <w:t xml:space="preserve"> </w:t>
      </w:r>
      <w:r w:rsidRPr="009A6AEA">
        <w:rPr>
          <w:rFonts w:ascii="Arial" w:hAnsi="Arial" w:cs="Arial"/>
        </w:rPr>
        <w:t xml:space="preserve">A new certified rate is pending approval of new King County certified rates, which are currently under development by </w:t>
      </w:r>
      <w:r>
        <w:rPr>
          <w:rFonts w:ascii="Arial" w:hAnsi="Arial" w:cs="Arial"/>
        </w:rPr>
        <w:t xml:space="preserve">the </w:t>
      </w:r>
      <w:r w:rsidRPr="009A6AEA">
        <w:rPr>
          <w:rFonts w:ascii="Arial" w:hAnsi="Arial" w:cs="Arial"/>
        </w:rPr>
        <w:t>F</w:t>
      </w:r>
      <w:r>
        <w:rPr>
          <w:rFonts w:ascii="Arial" w:hAnsi="Arial" w:cs="Arial"/>
        </w:rPr>
        <w:t xml:space="preserve">inance and </w:t>
      </w:r>
      <w:r w:rsidRPr="009A6AEA">
        <w:rPr>
          <w:rFonts w:ascii="Arial" w:hAnsi="Arial" w:cs="Arial"/>
        </w:rPr>
        <w:t>B</w:t>
      </w:r>
      <w:r>
        <w:rPr>
          <w:rFonts w:ascii="Arial" w:hAnsi="Arial" w:cs="Arial"/>
        </w:rPr>
        <w:t xml:space="preserve">usiness </w:t>
      </w:r>
      <w:r w:rsidRPr="009A6AEA">
        <w:rPr>
          <w:rFonts w:ascii="Arial" w:hAnsi="Arial" w:cs="Arial"/>
        </w:rPr>
        <w:t>O</w:t>
      </w:r>
      <w:r>
        <w:rPr>
          <w:rFonts w:ascii="Arial" w:hAnsi="Arial" w:cs="Arial"/>
        </w:rPr>
        <w:t xml:space="preserve">perations </w:t>
      </w:r>
      <w:r w:rsidRPr="009A6AEA">
        <w:rPr>
          <w:rFonts w:ascii="Arial" w:hAnsi="Arial" w:cs="Arial"/>
        </w:rPr>
        <w:t>D</w:t>
      </w:r>
      <w:r>
        <w:rPr>
          <w:rFonts w:ascii="Arial" w:hAnsi="Arial" w:cs="Arial"/>
        </w:rPr>
        <w:t xml:space="preserve">ivision (FBOD). </w:t>
      </w:r>
    </w:p>
    <w:bookmarkEnd w:id="4"/>
    <w:p w14:paraId="4A3D841A" w14:textId="77777777" w:rsidR="007853B2" w:rsidRDefault="007853B2" w:rsidP="007853B2">
      <w:pPr>
        <w:spacing w:line="264" w:lineRule="auto"/>
        <w:contextualSpacing/>
        <w:jc w:val="both"/>
        <w:rPr>
          <w:b/>
        </w:rPr>
      </w:pPr>
    </w:p>
    <w:p w14:paraId="3501C1BF" w14:textId="36670507" w:rsidR="007853B2" w:rsidRDefault="007853B2" w:rsidP="007853B2">
      <w:pPr>
        <w:spacing w:line="264" w:lineRule="auto"/>
        <w:contextualSpacing/>
        <w:jc w:val="both"/>
        <w:rPr>
          <w:b/>
        </w:rPr>
      </w:pPr>
    </w:p>
    <w:p w14:paraId="29389B96" w14:textId="7BB58C40" w:rsidR="00F50CD7" w:rsidRDefault="00F50CD7" w:rsidP="007853B2">
      <w:pPr>
        <w:spacing w:line="264" w:lineRule="auto"/>
        <w:contextualSpacing/>
        <w:jc w:val="both"/>
        <w:rPr>
          <w:b/>
        </w:rPr>
      </w:pPr>
    </w:p>
    <w:p w14:paraId="7ED26D61" w14:textId="69BB256F" w:rsidR="00F50CD7" w:rsidRDefault="00F50CD7" w:rsidP="007853B2">
      <w:pPr>
        <w:spacing w:line="264" w:lineRule="auto"/>
        <w:contextualSpacing/>
        <w:jc w:val="both"/>
        <w:rPr>
          <w:b/>
        </w:rPr>
      </w:pPr>
    </w:p>
    <w:p w14:paraId="4B9815A0" w14:textId="24827018" w:rsidR="00F50CD7" w:rsidRDefault="00F50CD7" w:rsidP="007853B2">
      <w:pPr>
        <w:spacing w:line="264" w:lineRule="auto"/>
        <w:contextualSpacing/>
        <w:jc w:val="both"/>
        <w:rPr>
          <w:b/>
        </w:rPr>
      </w:pPr>
    </w:p>
    <w:p w14:paraId="3B1321CF" w14:textId="77777777" w:rsidR="00F50CD7" w:rsidRDefault="00F50CD7" w:rsidP="007853B2">
      <w:pPr>
        <w:spacing w:line="264" w:lineRule="auto"/>
        <w:contextualSpacing/>
        <w:jc w:val="both"/>
        <w:rPr>
          <w:b/>
        </w:rPr>
      </w:pPr>
    </w:p>
    <w:p w14:paraId="1F72903C" w14:textId="77777777" w:rsidR="007853B2" w:rsidRPr="009A6AEA" w:rsidRDefault="007853B2" w:rsidP="007853B2">
      <w:pPr>
        <w:tabs>
          <w:tab w:val="left" w:pos="720"/>
          <w:tab w:val="right" w:pos="9360"/>
        </w:tabs>
        <w:spacing w:line="264" w:lineRule="auto"/>
        <w:contextualSpacing/>
        <w:jc w:val="both"/>
        <w:rPr>
          <w:rFonts w:ascii="Arial" w:hAnsi="Arial" w:cs="Arial"/>
          <w:b/>
          <w:u w:val="single"/>
        </w:rPr>
      </w:pPr>
      <w:r w:rsidRPr="007A0A75">
        <w:rPr>
          <w:rFonts w:ascii="Arial" w:hAnsi="Arial" w:cs="Arial"/>
          <w:b/>
          <w:u w:val="single"/>
        </w:rPr>
        <w:lastRenderedPageBreak/>
        <w:t xml:space="preserve">County Road Maintenance Fund </w:t>
      </w:r>
      <w:r>
        <w:rPr>
          <w:rFonts w:ascii="Arial" w:hAnsi="Arial" w:cs="Arial"/>
          <w:b/>
          <w:u w:val="single"/>
        </w:rPr>
        <w:t>(</w:t>
      </w:r>
      <w:r w:rsidRPr="007A0A75">
        <w:rPr>
          <w:rFonts w:ascii="Arial" w:hAnsi="Arial" w:cs="Arial"/>
          <w:b/>
          <w:u w:val="single"/>
        </w:rPr>
        <w:t>3855</w:t>
      </w:r>
      <w:r>
        <w:rPr>
          <w:rFonts w:ascii="Arial" w:hAnsi="Arial" w:cs="Arial"/>
          <w:b/>
          <w:u w:val="single"/>
        </w:rPr>
        <w:t>)</w:t>
      </w:r>
      <w:r w:rsidRPr="000E7446">
        <w:rPr>
          <w:rFonts w:ascii="Arial" w:hAnsi="Arial" w:cs="Arial"/>
          <w:b/>
          <w:u w:val="single"/>
        </w:rPr>
        <w:tab/>
      </w:r>
      <w:r>
        <w:rPr>
          <w:rFonts w:ascii="Arial" w:hAnsi="Arial" w:cs="Arial"/>
          <w:b/>
          <w:u w:val="single"/>
        </w:rPr>
        <w:t>$14,201,091</w:t>
      </w:r>
    </w:p>
    <w:p w14:paraId="09140B18" w14:textId="77777777" w:rsidR="007853B2" w:rsidRDefault="007853B2" w:rsidP="007853B2">
      <w:pPr>
        <w:spacing w:line="264" w:lineRule="auto"/>
        <w:contextualSpacing/>
        <w:jc w:val="both"/>
        <w:rPr>
          <w:rFonts w:ascii="Arial" w:hAnsi="Arial" w:cs="Arial"/>
          <w:b/>
          <w:highlight w:val="yellow"/>
        </w:rPr>
      </w:pPr>
    </w:p>
    <w:p w14:paraId="60FA3B28" w14:textId="42C6725F" w:rsidR="007853B2" w:rsidRPr="00373A14" w:rsidRDefault="007853B2" w:rsidP="007853B2">
      <w:pPr>
        <w:spacing w:line="264" w:lineRule="auto"/>
        <w:contextualSpacing/>
        <w:jc w:val="both"/>
        <w:rPr>
          <w:rFonts w:ascii="Arial" w:hAnsi="Arial" w:cs="Arial"/>
        </w:rPr>
      </w:pPr>
      <w:r>
        <w:rPr>
          <w:rFonts w:ascii="Arial" w:hAnsi="Arial" w:cs="Arial"/>
          <w:b/>
          <w:i/>
          <w:iCs/>
        </w:rPr>
        <w:t>County Road Maintenance Programmatic Changes</w:t>
      </w:r>
      <w:r w:rsidRPr="0054665B">
        <w:rPr>
          <w:rFonts w:ascii="Arial" w:hAnsi="Arial" w:cs="Arial"/>
          <w:b/>
          <w:i/>
          <w:iCs/>
        </w:rPr>
        <w:t xml:space="preserve"> </w:t>
      </w:r>
      <w:r>
        <w:rPr>
          <w:rFonts w:ascii="Arial" w:hAnsi="Arial" w:cs="Arial"/>
          <w:b/>
          <w:i/>
          <w:iCs/>
        </w:rPr>
        <w:t>[$1,635,191]</w:t>
      </w:r>
      <w:r w:rsidRPr="0054665B">
        <w:rPr>
          <w:rFonts w:ascii="Arial" w:hAnsi="Arial" w:cs="Arial"/>
          <w:b/>
          <w:i/>
          <w:iCs/>
        </w:rPr>
        <w:t>.</w:t>
      </w:r>
      <w:r>
        <w:rPr>
          <w:rFonts w:ascii="Arial" w:hAnsi="Arial" w:cs="Arial"/>
          <w:b/>
        </w:rPr>
        <w:t xml:space="preserve">  </w:t>
      </w:r>
      <w:r w:rsidRPr="00390214">
        <w:rPr>
          <w:rFonts w:ascii="Arial" w:hAnsi="Arial" w:cs="Arial"/>
        </w:rPr>
        <w:t xml:space="preserve">The proposed </w:t>
      </w:r>
      <w:r>
        <w:rPr>
          <w:rFonts w:ascii="Arial" w:hAnsi="Arial" w:cs="Arial"/>
        </w:rPr>
        <w:t>ordinance</w:t>
      </w:r>
      <w:r w:rsidRPr="00390214">
        <w:rPr>
          <w:rFonts w:ascii="Arial" w:hAnsi="Arial" w:cs="Arial"/>
        </w:rPr>
        <w:t xml:space="preserve"> would provide $</w:t>
      </w:r>
      <w:r>
        <w:rPr>
          <w:rFonts w:ascii="Arial" w:hAnsi="Arial" w:cs="Arial"/>
        </w:rPr>
        <w:t>1,635,191</w:t>
      </w:r>
      <w:r w:rsidRPr="00390214">
        <w:rPr>
          <w:rFonts w:ascii="Arial" w:hAnsi="Arial" w:cs="Arial"/>
        </w:rPr>
        <w:t xml:space="preserve"> in additional funding for </w:t>
      </w:r>
      <w:r>
        <w:rPr>
          <w:rFonts w:ascii="Arial" w:hAnsi="Arial" w:cs="Arial"/>
        </w:rPr>
        <w:t>three</w:t>
      </w:r>
      <w:r w:rsidRPr="00390214">
        <w:rPr>
          <w:rFonts w:ascii="Arial" w:hAnsi="Arial" w:cs="Arial"/>
        </w:rPr>
        <w:t xml:space="preserve"> existing </w:t>
      </w:r>
      <w:r>
        <w:rPr>
          <w:rFonts w:ascii="Arial" w:hAnsi="Arial" w:cs="Arial"/>
        </w:rPr>
        <w:t>C</w:t>
      </w:r>
      <w:r w:rsidRPr="00390214">
        <w:rPr>
          <w:rFonts w:ascii="Arial" w:hAnsi="Arial" w:cs="Arial"/>
        </w:rPr>
        <w:t xml:space="preserve">ounty </w:t>
      </w:r>
      <w:r>
        <w:rPr>
          <w:rFonts w:ascii="Arial" w:hAnsi="Arial" w:cs="Arial"/>
        </w:rPr>
        <w:t>R</w:t>
      </w:r>
      <w:r w:rsidRPr="00390214">
        <w:rPr>
          <w:rFonts w:ascii="Arial" w:hAnsi="Arial" w:cs="Arial"/>
        </w:rPr>
        <w:t>oad</w:t>
      </w:r>
      <w:r>
        <w:rPr>
          <w:rFonts w:ascii="Arial" w:hAnsi="Arial" w:cs="Arial"/>
        </w:rPr>
        <w:t xml:space="preserve"> Maintenance programs including $805,525 for Countywide Quick Response, </w:t>
      </w:r>
      <w:r w:rsidRPr="00373A14">
        <w:rPr>
          <w:rFonts w:ascii="Arial" w:hAnsi="Arial" w:cs="Arial"/>
        </w:rPr>
        <w:t xml:space="preserve">$516,000 for Countywide Roadway Preservation and $313,666 for </w:t>
      </w:r>
      <w:r>
        <w:rPr>
          <w:rFonts w:ascii="Arial" w:hAnsi="Arial" w:cs="Arial"/>
        </w:rPr>
        <w:t xml:space="preserve">the </w:t>
      </w:r>
      <w:r w:rsidRPr="00373A14">
        <w:rPr>
          <w:rFonts w:ascii="Arial" w:hAnsi="Arial" w:cs="Arial"/>
        </w:rPr>
        <w:t>Major Maintenance</w:t>
      </w:r>
      <w:r>
        <w:rPr>
          <w:rFonts w:ascii="Arial" w:hAnsi="Arial" w:cs="Arial"/>
        </w:rPr>
        <w:t xml:space="preserve"> Program</w:t>
      </w:r>
      <w:r w:rsidRPr="00373A14">
        <w:rPr>
          <w:rFonts w:ascii="Arial" w:hAnsi="Arial" w:cs="Arial"/>
        </w:rPr>
        <w:t xml:space="preserve">. </w:t>
      </w:r>
      <w:r>
        <w:rPr>
          <w:rFonts w:ascii="Arial" w:hAnsi="Arial" w:cs="Arial"/>
        </w:rPr>
        <w:t xml:space="preserve"> </w:t>
      </w:r>
      <w:r w:rsidRPr="00373A14">
        <w:rPr>
          <w:rFonts w:ascii="Arial" w:hAnsi="Arial" w:cs="Arial"/>
        </w:rPr>
        <w:t xml:space="preserve">Revenues supporting the requested increases to the Quick Response and Roadway Preservation </w:t>
      </w:r>
      <w:r w:rsidRPr="00D84C52">
        <w:rPr>
          <w:rFonts w:ascii="Arial" w:hAnsi="Arial" w:cs="Arial"/>
        </w:rPr>
        <w:t xml:space="preserve">programs are transferred from several disappropriations proposed in this omnibus (see </w:t>
      </w:r>
      <w:r>
        <w:rPr>
          <w:rFonts w:ascii="Arial" w:hAnsi="Arial" w:cs="Arial"/>
        </w:rPr>
        <w:t xml:space="preserve">County Road Construction </w:t>
      </w:r>
      <w:r w:rsidRPr="00D84C52">
        <w:rPr>
          <w:rFonts w:ascii="Arial" w:hAnsi="Arial" w:cs="Arial"/>
        </w:rPr>
        <w:t xml:space="preserve">Fund 3860 and </w:t>
      </w:r>
      <w:r>
        <w:rPr>
          <w:rFonts w:ascii="Arial" w:hAnsi="Arial" w:cs="Arial"/>
        </w:rPr>
        <w:t>King County Road Construction Fund 3865</w:t>
      </w:r>
      <w:r w:rsidRPr="00D84C52">
        <w:rPr>
          <w:rFonts w:ascii="Arial" w:hAnsi="Arial" w:cs="Arial"/>
        </w:rPr>
        <w:t>).</w:t>
      </w:r>
      <w:r w:rsidRPr="00373A14">
        <w:rPr>
          <w:rFonts w:ascii="Arial" w:hAnsi="Arial" w:cs="Arial"/>
        </w:rPr>
        <w:t xml:space="preserve">  </w:t>
      </w:r>
      <w:r>
        <w:rPr>
          <w:rFonts w:ascii="Arial" w:hAnsi="Arial" w:cs="Arial"/>
        </w:rPr>
        <w:t>R</w:t>
      </w:r>
      <w:r w:rsidRPr="00373A14">
        <w:rPr>
          <w:rFonts w:ascii="Arial" w:hAnsi="Arial" w:cs="Arial"/>
        </w:rPr>
        <w:t xml:space="preserve">evenues supporting the requested increase to the Major Maintenance program are included in the proposed transfer from the Roads Operating Fund. </w:t>
      </w:r>
    </w:p>
    <w:p w14:paraId="7ABC6A82" w14:textId="77777777" w:rsidR="007853B2" w:rsidRPr="00373A14" w:rsidRDefault="007853B2" w:rsidP="007853B2">
      <w:pPr>
        <w:spacing w:line="264" w:lineRule="auto"/>
        <w:contextualSpacing/>
        <w:jc w:val="both"/>
        <w:rPr>
          <w:rFonts w:ascii="Arial" w:hAnsi="Arial" w:cs="Arial"/>
        </w:rPr>
      </w:pPr>
    </w:p>
    <w:p w14:paraId="25BBA76D" w14:textId="3EF1C9B4" w:rsidR="007853B2" w:rsidRDefault="007853B2" w:rsidP="004B64F6">
      <w:pPr>
        <w:spacing w:line="264" w:lineRule="auto"/>
        <w:contextualSpacing/>
        <w:jc w:val="both"/>
        <w:rPr>
          <w:rFonts w:ascii="Arial" w:hAnsi="Arial" w:cs="Arial"/>
          <w:bCs/>
        </w:rPr>
      </w:pPr>
      <w:r w:rsidRPr="00373A14">
        <w:rPr>
          <w:rFonts w:ascii="Arial" w:hAnsi="Arial" w:cs="Arial"/>
          <w:b/>
          <w:i/>
          <w:iCs/>
        </w:rPr>
        <w:t xml:space="preserve">County Road Maintenance Projects [$14,045,900].  </w:t>
      </w:r>
      <w:r w:rsidRPr="00373A14">
        <w:rPr>
          <w:rFonts w:ascii="Arial" w:hAnsi="Arial" w:cs="Arial"/>
          <w:bCs/>
        </w:rPr>
        <w:t>The proposed ordinance would provide $14,04</w:t>
      </w:r>
      <w:r>
        <w:rPr>
          <w:rFonts w:ascii="Arial" w:hAnsi="Arial" w:cs="Arial"/>
          <w:bCs/>
        </w:rPr>
        <w:t>5</w:t>
      </w:r>
      <w:r w:rsidRPr="00373A14">
        <w:rPr>
          <w:rFonts w:ascii="Arial" w:hAnsi="Arial" w:cs="Arial"/>
          <w:bCs/>
        </w:rPr>
        <w:t>,</w:t>
      </w:r>
      <w:r>
        <w:rPr>
          <w:rFonts w:ascii="Arial" w:hAnsi="Arial" w:cs="Arial"/>
          <w:bCs/>
        </w:rPr>
        <w:t>9</w:t>
      </w:r>
      <w:r w:rsidRPr="00373A14">
        <w:rPr>
          <w:rFonts w:ascii="Arial" w:hAnsi="Arial" w:cs="Arial"/>
          <w:bCs/>
        </w:rPr>
        <w:t xml:space="preserve">00 for five existing projects and one new project.  The table below shows the proposed appropriation requests and funding sources for each of the six projects. </w:t>
      </w:r>
    </w:p>
    <w:p w14:paraId="5CD3D4C8" w14:textId="77777777" w:rsidR="006C798F" w:rsidRPr="004F141D" w:rsidRDefault="006C798F" w:rsidP="004B64F6">
      <w:pPr>
        <w:spacing w:line="264" w:lineRule="auto"/>
        <w:contextualSpacing/>
        <w:jc w:val="both"/>
        <w:rPr>
          <w:rFonts w:ascii="Arial" w:hAnsi="Arial" w:cs="Arial"/>
          <w:bCs/>
        </w:rPr>
      </w:pPr>
    </w:p>
    <w:tbl>
      <w:tblPr>
        <w:tblStyle w:val="TableGrid"/>
        <w:tblW w:w="9468" w:type="dxa"/>
        <w:tblLook w:val="04A0" w:firstRow="1" w:lastRow="0" w:firstColumn="1" w:lastColumn="0" w:noHBand="0" w:noVBand="1"/>
      </w:tblPr>
      <w:tblGrid>
        <w:gridCol w:w="1008"/>
        <w:gridCol w:w="2430"/>
        <w:gridCol w:w="1710"/>
        <w:gridCol w:w="419"/>
        <w:gridCol w:w="3901"/>
      </w:tblGrid>
      <w:tr w:rsidR="007853B2" w:rsidRPr="00D9446A" w14:paraId="7AFF8742" w14:textId="77777777" w:rsidTr="00E34BBA">
        <w:trPr>
          <w:cantSplit/>
          <w:tblHeader/>
        </w:trPr>
        <w:tc>
          <w:tcPr>
            <w:tcW w:w="1008" w:type="dxa"/>
            <w:tcBorders>
              <w:top w:val="single" w:sz="12" w:space="0" w:color="auto"/>
              <w:left w:val="nil"/>
              <w:bottom w:val="single" w:sz="4" w:space="0" w:color="auto"/>
              <w:right w:val="nil"/>
            </w:tcBorders>
          </w:tcPr>
          <w:p w14:paraId="2B12C635" w14:textId="77777777" w:rsidR="007853B2" w:rsidRPr="00D9446A" w:rsidRDefault="007853B2" w:rsidP="004B64F6">
            <w:pPr>
              <w:spacing w:line="264" w:lineRule="auto"/>
              <w:contextualSpacing/>
              <w:rPr>
                <w:rFonts w:ascii="Arial" w:hAnsi="Arial" w:cs="Arial"/>
                <w:b/>
                <w:sz w:val="22"/>
                <w:szCs w:val="22"/>
              </w:rPr>
            </w:pPr>
            <w:r>
              <w:rPr>
                <w:rFonts w:ascii="Arial" w:hAnsi="Arial" w:cs="Arial"/>
                <w:b/>
                <w:sz w:val="22"/>
                <w:szCs w:val="22"/>
              </w:rPr>
              <w:t>Status</w:t>
            </w:r>
          </w:p>
        </w:tc>
        <w:tc>
          <w:tcPr>
            <w:tcW w:w="2430" w:type="dxa"/>
            <w:tcBorders>
              <w:top w:val="single" w:sz="12" w:space="0" w:color="auto"/>
              <w:left w:val="nil"/>
              <w:bottom w:val="single" w:sz="4" w:space="0" w:color="auto"/>
              <w:right w:val="nil"/>
            </w:tcBorders>
            <w:shd w:val="clear" w:color="auto" w:fill="auto"/>
          </w:tcPr>
          <w:p w14:paraId="0A4AAF48" w14:textId="27AA93E3" w:rsidR="007853B2" w:rsidRPr="00D9446A" w:rsidRDefault="007853B2" w:rsidP="004B64F6">
            <w:pPr>
              <w:spacing w:line="264" w:lineRule="auto"/>
              <w:contextualSpacing/>
              <w:rPr>
                <w:rFonts w:ascii="Arial" w:hAnsi="Arial" w:cs="Arial"/>
                <w:b/>
                <w:sz w:val="22"/>
                <w:szCs w:val="22"/>
              </w:rPr>
            </w:pPr>
            <w:r w:rsidRPr="00D9446A">
              <w:rPr>
                <w:rFonts w:ascii="Arial" w:hAnsi="Arial" w:cs="Arial"/>
                <w:b/>
                <w:sz w:val="22"/>
                <w:szCs w:val="22"/>
              </w:rPr>
              <w:t>Project</w:t>
            </w:r>
          </w:p>
        </w:tc>
        <w:tc>
          <w:tcPr>
            <w:tcW w:w="1710" w:type="dxa"/>
            <w:tcBorders>
              <w:top w:val="single" w:sz="12" w:space="0" w:color="auto"/>
              <w:left w:val="nil"/>
              <w:bottom w:val="single" w:sz="4" w:space="0" w:color="auto"/>
              <w:right w:val="nil"/>
            </w:tcBorders>
            <w:shd w:val="clear" w:color="auto" w:fill="auto"/>
            <w:vAlign w:val="bottom"/>
          </w:tcPr>
          <w:p w14:paraId="6E331054" w14:textId="77777777" w:rsidR="007853B2" w:rsidRDefault="007853B2" w:rsidP="004B64F6">
            <w:pPr>
              <w:spacing w:line="264" w:lineRule="auto"/>
              <w:contextualSpacing/>
              <w:jc w:val="center"/>
              <w:rPr>
                <w:rFonts w:ascii="Arial" w:hAnsi="Arial" w:cs="Arial"/>
                <w:b/>
                <w:sz w:val="22"/>
                <w:szCs w:val="22"/>
              </w:rPr>
            </w:pPr>
            <w:r>
              <w:rPr>
                <w:rFonts w:ascii="Arial" w:hAnsi="Arial" w:cs="Arial"/>
                <w:b/>
                <w:sz w:val="22"/>
                <w:szCs w:val="22"/>
              </w:rPr>
              <w:t>Proposed</w:t>
            </w:r>
          </w:p>
          <w:p w14:paraId="3806690B" w14:textId="77777777" w:rsidR="007853B2" w:rsidRPr="00D9446A" w:rsidRDefault="007853B2" w:rsidP="004B64F6">
            <w:pPr>
              <w:spacing w:line="264" w:lineRule="auto"/>
              <w:contextualSpacing/>
              <w:jc w:val="center"/>
              <w:rPr>
                <w:rFonts w:ascii="Arial" w:hAnsi="Arial" w:cs="Arial"/>
                <w:b/>
                <w:sz w:val="22"/>
                <w:szCs w:val="22"/>
              </w:rPr>
            </w:pPr>
            <w:r w:rsidRPr="00D9446A">
              <w:rPr>
                <w:rFonts w:ascii="Arial" w:hAnsi="Arial" w:cs="Arial"/>
                <w:b/>
                <w:sz w:val="22"/>
                <w:szCs w:val="22"/>
              </w:rPr>
              <w:t>Appropriation</w:t>
            </w:r>
          </w:p>
        </w:tc>
        <w:tc>
          <w:tcPr>
            <w:tcW w:w="419" w:type="dxa"/>
            <w:tcBorders>
              <w:top w:val="single" w:sz="12" w:space="0" w:color="auto"/>
              <w:left w:val="nil"/>
              <w:bottom w:val="single" w:sz="4" w:space="0" w:color="auto"/>
              <w:right w:val="nil"/>
            </w:tcBorders>
          </w:tcPr>
          <w:p w14:paraId="68F88EA7" w14:textId="77777777" w:rsidR="007853B2" w:rsidRPr="00D9446A" w:rsidRDefault="007853B2" w:rsidP="004B64F6">
            <w:pPr>
              <w:spacing w:line="264" w:lineRule="auto"/>
              <w:contextualSpacing/>
              <w:jc w:val="center"/>
              <w:rPr>
                <w:rFonts w:ascii="Arial" w:hAnsi="Arial" w:cs="Arial"/>
                <w:b/>
                <w:sz w:val="22"/>
                <w:szCs w:val="22"/>
              </w:rPr>
            </w:pPr>
          </w:p>
        </w:tc>
        <w:tc>
          <w:tcPr>
            <w:tcW w:w="3901" w:type="dxa"/>
            <w:tcBorders>
              <w:top w:val="single" w:sz="12" w:space="0" w:color="auto"/>
              <w:left w:val="nil"/>
              <w:bottom w:val="single" w:sz="4" w:space="0" w:color="auto"/>
              <w:right w:val="nil"/>
            </w:tcBorders>
            <w:shd w:val="clear" w:color="auto" w:fill="auto"/>
          </w:tcPr>
          <w:p w14:paraId="22859DB2" w14:textId="77777777" w:rsidR="007853B2" w:rsidRPr="00D9446A" w:rsidRDefault="007853B2" w:rsidP="004B64F6">
            <w:pPr>
              <w:spacing w:line="264" w:lineRule="auto"/>
              <w:contextualSpacing/>
              <w:rPr>
                <w:rFonts w:ascii="Arial" w:hAnsi="Arial" w:cs="Arial"/>
                <w:b/>
                <w:sz w:val="22"/>
                <w:szCs w:val="22"/>
              </w:rPr>
            </w:pPr>
            <w:r w:rsidRPr="00D9446A">
              <w:rPr>
                <w:rFonts w:ascii="Arial" w:hAnsi="Arial" w:cs="Arial"/>
                <w:b/>
                <w:sz w:val="22"/>
                <w:szCs w:val="22"/>
              </w:rPr>
              <w:t>Funding Sources</w:t>
            </w:r>
          </w:p>
        </w:tc>
      </w:tr>
      <w:tr w:rsidR="007853B2" w:rsidRPr="00D9446A" w14:paraId="76F37472" w14:textId="77777777" w:rsidTr="00E34BBA">
        <w:trPr>
          <w:cantSplit/>
        </w:trPr>
        <w:tc>
          <w:tcPr>
            <w:tcW w:w="1008" w:type="dxa"/>
            <w:tcBorders>
              <w:top w:val="single" w:sz="4" w:space="0" w:color="auto"/>
              <w:left w:val="nil"/>
              <w:bottom w:val="dotted" w:sz="4" w:space="0" w:color="auto"/>
              <w:right w:val="nil"/>
            </w:tcBorders>
          </w:tcPr>
          <w:p w14:paraId="37F4E7C3" w14:textId="77777777" w:rsidR="007853B2" w:rsidRPr="00D9446A" w:rsidRDefault="007853B2" w:rsidP="004B64F6">
            <w:pPr>
              <w:spacing w:line="264" w:lineRule="auto"/>
              <w:contextualSpacing/>
              <w:rPr>
                <w:rFonts w:ascii="Arial" w:hAnsi="Arial" w:cs="Arial"/>
                <w:sz w:val="22"/>
                <w:szCs w:val="22"/>
              </w:rPr>
            </w:pPr>
            <w:r>
              <w:rPr>
                <w:rFonts w:ascii="Arial" w:hAnsi="Arial" w:cs="Arial"/>
                <w:sz w:val="22"/>
                <w:szCs w:val="22"/>
              </w:rPr>
              <w:t>Existing</w:t>
            </w:r>
          </w:p>
        </w:tc>
        <w:tc>
          <w:tcPr>
            <w:tcW w:w="2430" w:type="dxa"/>
            <w:tcBorders>
              <w:top w:val="single" w:sz="4" w:space="0" w:color="auto"/>
              <w:left w:val="nil"/>
              <w:bottom w:val="dotted" w:sz="4" w:space="0" w:color="auto"/>
              <w:right w:val="nil"/>
            </w:tcBorders>
            <w:shd w:val="clear" w:color="auto" w:fill="auto"/>
            <w:tcMar>
              <w:top w:w="43" w:type="dxa"/>
              <w:left w:w="115" w:type="dxa"/>
              <w:bottom w:w="43" w:type="dxa"/>
              <w:right w:w="115" w:type="dxa"/>
            </w:tcMar>
          </w:tcPr>
          <w:p w14:paraId="496BF630"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 xml:space="preserve">Baring Bridge 509A </w:t>
            </w:r>
          </w:p>
        </w:tc>
        <w:tc>
          <w:tcPr>
            <w:tcW w:w="1710" w:type="dxa"/>
            <w:tcBorders>
              <w:top w:val="single" w:sz="4" w:space="0" w:color="auto"/>
              <w:left w:val="nil"/>
              <w:bottom w:val="dotted" w:sz="4" w:space="0" w:color="auto"/>
              <w:right w:val="nil"/>
            </w:tcBorders>
            <w:shd w:val="clear" w:color="auto" w:fill="auto"/>
            <w:tcMar>
              <w:top w:w="43" w:type="dxa"/>
              <w:left w:w="115" w:type="dxa"/>
              <w:bottom w:w="43" w:type="dxa"/>
              <w:right w:w="115" w:type="dxa"/>
            </w:tcMar>
          </w:tcPr>
          <w:p w14:paraId="4DD05AD1"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$1,595,800</w:t>
            </w:r>
          </w:p>
        </w:tc>
        <w:tc>
          <w:tcPr>
            <w:tcW w:w="419" w:type="dxa"/>
            <w:tcBorders>
              <w:top w:val="single" w:sz="4" w:space="0" w:color="auto"/>
              <w:left w:val="nil"/>
              <w:bottom w:val="dotted" w:sz="4" w:space="0" w:color="auto"/>
              <w:right w:val="nil"/>
            </w:tcBorders>
          </w:tcPr>
          <w:p w14:paraId="4D38D36D" w14:textId="77777777" w:rsidR="007853B2" w:rsidRPr="00D9446A" w:rsidRDefault="007853B2" w:rsidP="004B64F6">
            <w:pPr>
              <w:spacing w:line="264" w:lineRule="auto"/>
              <w:contextualSpacing/>
              <w:jc w:val="right"/>
              <w:rPr>
                <w:rFonts w:ascii="Arial" w:hAnsi="Arial" w:cs="Arial"/>
                <w:bCs/>
                <w:sz w:val="22"/>
                <w:szCs w:val="22"/>
              </w:rPr>
            </w:pPr>
          </w:p>
        </w:tc>
        <w:tc>
          <w:tcPr>
            <w:tcW w:w="3901" w:type="dxa"/>
            <w:tcBorders>
              <w:top w:val="single" w:sz="4" w:space="0" w:color="auto"/>
              <w:left w:val="nil"/>
              <w:bottom w:val="dotted" w:sz="4" w:space="0" w:color="auto"/>
              <w:right w:val="nil"/>
            </w:tcBorders>
            <w:shd w:val="clear" w:color="auto" w:fill="auto"/>
            <w:vAlign w:val="center"/>
          </w:tcPr>
          <w:p w14:paraId="1813CBBA" w14:textId="77777777" w:rsidR="007853B2" w:rsidRDefault="007853B2" w:rsidP="004B64F6">
            <w:pPr>
              <w:pStyle w:val="ListParagraph0"/>
              <w:numPr>
                <w:ilvl w:val="0"/>
                <w:numId w:val="29"/>
              </w:numPr>
              <w:spacing w:line="264" w:lineRule="auto"/>
              <w:ind w:left="345" w:hanging="345"/>
              <w:contextualSpacing/>
              <w:rPr>
                <w:rFonts w:ascii="Arial" w:hAnsi="Arial" w:cs="Arial"/>
                <w:bCs/>
                <w:sz w:val="22"/>
                <w:szCs w:val="22"/>
              </w:rPr>
            </w:pPr>
            <w:r w:rsidRPr="00D9446A">
              <w:rPr>
                <w:rFonts w:ascii="Arial" w:hAnsi="Arial" w:cs="Arial"/>
                <w:bCs/>
                <w:sz w:val="22"/>
                <w:szCs w:val="22"/>
              </w:rPr>
              <w:t xml:space="preserve">REET 1 Reallocation from Project </w:t>
            </w:r>
            <w:r w:rsidRPr="00D84C52">
              <w:rPr>
                <w:rFonts w:ascii="Arial" w:hAnsi="Arial" w:cs="Arial"/>
                <w:bCs/>
                <w:sz w:val="22"/>
                <w:szCs w:val="22"/>
              </w:rPr>
              <w:t>1131235 (see Fund 3865)</w:t>
            </w:r>
          </w:p>
          <w:p w14:paraId="4A7B4ADA" w14:textId="77777777" w:rsidR="007853B2" w:rsidRPr="00D9446A" w:rsidRDefault="007853B2" w:rsidP="004B64F6">
            <w:pPr>
              <w:pStyle w:val="ListParagraph0"/>
              <w:spacing w:line="264" w:lineRule="auto"/>
              <w:ind w:left="345"/>
              <w:contextualSpacing/>
              <w:rPr>
                <w:rFonts w:ascii="Arial" w:hAnsi="Arial" w:cs="Arial"/>
                <w:bCs/>
                <w:sz w:val="22"/>
                <w:szCs w:val="22"/>
              </w:rPr>
            </w:pPr>
          </w:p>
        </w:tc>
      </w:tr>
      <w:tr w:rsidR="007853B2" w:rsidRPr="00D9446A" w14:paraId="3FE543D9" w14:textId="77777777" w:rsidTr="00E34BBA">
        <w:trPr>
          <w:cantSplit/>
        </w:trPr>
        <w:tc>
          <w:tcPr>
            <w:tcW w:w="1008" w:type="dxa"/>
            <w:tcBorders>
              <w:top w:val="dotted" w:sz="4" w:space="0" w:color="auto"/>
              <w:left w:val="nil"/>
              <w:bottom w:val="dotted" w:sz="4" w:space="0" w:color="auto"/>
              <w:right w:val="nil"/>
            </w:tcBorders>
          </w:tcPr>
          <w:p w14:paraId="74C71ECA" w14:textId="77777777" w:rsidR="007853B2" w:rsidRPr="00D9446A" w:rsidRDefault="007853B2" w:rsidP="004B64F6">
            <w:pPr>
              <w:spacing w:line="264" w:lineRule="auto"/>
              <w:contextualSpacing/>
              <w:rPr>
                <w:rFonts w:ascii="Arial" w:hAnsi="Arial" w:cs="Arial"/>
                <w:sz w:val="22"/>
                <w:szCs w:val="22"/>
              </w:rPr>
            </w:pPr>
            <w:r>
              <w:rPr>
                <w:rFonts w:ascii="Arial" w:hAnsi="Arial" w:cs="Arial"/>
                <w:sz w:val="22"/>
                <w:szCs w:val="22"/>
              </w:rPr>
              <w:t>Existing</w:t>
            </w:r>
          </w:p>
        </w:tc>
        <w:tc>
          <w:tcPr>
            <w:tcW w:w="243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5F52272"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Duvall at 172</w:t>
            </w:r>
            <w:r w:rsidRPr="00D9446A">
              <w:rPr>
                <w:rFonts w:ascii="Arial" w:hAnsi="Arial" w:cs="Arial"/>
                <w:sz w:val="22"/>
                <w:szCs w:val="22"/>
                <w:vertAlign w:val="superscript"/>
              </w:rPr>
              <w:t>nd</w:t>
            </w:r>
            <w:r w:rsidRPr="00D9446A">
              <w:rPr>
                <w:rFonts w:ascii="Arial" w:hAnsi="Arial" w:cs="Arial"/>
                <w:sz w:val="22"/>
                <w:szCs w:val="22"/>
              </w:rPr>
              <w:t xml:space="preserve"> Culvert </w:t>
            </w: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78373B03"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$4,912,000</w:t>
            </w:r>
          </w:p>
        </w:tc>
        <w:tc>
          <w:tcPr>
            <w:tcW w:w="419" w:type="dxa"/>
            <w:tcBorders>
              <w:top w:val="dotted" w:sz="4" w:space="0" w:color="auto"/>
              <w:left w:val="nil"/>
              <w:bottom w:val="dotted" w:sz="4" w:space="0" w:color="auto"/>
              <w:right w:val="nil"/>
            </w:tcBorders>
          </w:tcPr>
          <w:p w14:paraId="79DFECDB" w14:textId="77777777" w:rsidR="007853B2" w:rsidRPr="00D9446A" w:rsidRDefault="007853B2" w:rsidP="004B64F6">
            <w:pPr>
              <w:spacing w:line="264" w:lineRule="auto"/>
              <w:contextualSpacing/>
              <w:jc w:val="right"/>
              <w:rPr>
                <w:rFonts w:ascii="Arial" w:hAnsi="Arial" w:cs="Arial"/>
                <w:bCs/>
                <w:sz w:val="22"/>
                <w:szCs w:val="22"/>
              </w:rPr>
            </w:pPr>
          </w:p>
        </w:tc>
        <w:tc>
          <w:tcPr>
            <w:tcW w:w="3901" w:type="dxa"/>
            <w:tcBorders>
              <w:top w:val="dotted" w:sz="4" w:space="0" w:color="auto"/>
              <w:left w:val="nil"/>
              <w:bottom w:val="dotted" w:sz="4" w:space="0" w:color="auto"/>
              <w:right w:val="nil"/>
            </w:tcBorders>
            <w:shd w:val="clear" w:color="auto" w:fill="auto"/>
            <w:vAlign w:val="center"/>
          </w:tcPr>
          <w:p w14:paraId="1E8E76AF" w14:textId="77777777" w:rsidR="007853B2" w:rsidRPr="00D9446A" w:rsidRDefault="007853B2" w:rsidP="004B64F6">
            <w:pPr>
              <w:pStyle w:val="ListParagraph0"/>
              <w:numPr>
                <w:ilvl w:val="0"/>
                <w:numId w:val="30"/>
              </w:numPr>
              <w:spacing w:line="264" w:lineRule="auto"/>
              <w:ind w:left="345" w:hanging="345"/>
              <w:contextualSpacing/>
              <w:rPr>
                <w:rFonts w:ascii="Arial" w:hAnsi="Arial" w:cs="Arial"/>
                <w:bCs/>
                <w:sz w:val="22"/>
                <w:szCs w:val="22"/>
              </w:rPr>
            </w:pPr>
            <w:r w:rsidRPr="00D9446A">
              <w:rPr>
                <w:rFonts w:ascii="Arial" w:hAnsi="Arial" w:cs="Arial"/>
                <w:bCs/>
                <w:sz w:val="22"/>
                <w:szCs w:val="22"/>
              </w:rPr>
              <w:t>REET 1 New Request $4,390,000</w:t>
            </w:r>
          </w:p>
          <w:p w14:paraId="5A6BEB6B" w14:textId="77777777" w:rsidR="007853B2" w:rsidRDefault="007853B2" w:rsidP="004B64F6">
            <w:pPr>
              <w:pStyle w:val="ListParagraph0"/>
              <w:numPr>
                <w:ilvl w:val="0"/>
                <w:numId w:val="30"/>
              </w:numPr>
              <w:spacing w:line="264" w:lineRule="auto"/>
              <w:ind w:left="345" w:hanging="345"/>
              <w:contextualSpacing/>
              <w:rPr>
                <w:rFonts w:ascii="Arial" w:hAnsi="Arial" w:cs="Arial"/>
                <w:bCs/>
                <w:sz w:val="22"/>
                <w:szCs w:val="22"/>
              </w:rPr>
            </w:pPr>
            <w:r w:rsidRPr="00D9446A">
              <w:rPr>
                <w:rFonts w:ascii="Arial" w:hAnsi="Arial" w:cs="Arial"/>
                <w:bCs/>
                <w:sz w:val="22"/>
                <w:szCs w:val="22"/>
              </w:rPr>
              <w:t>Surf Water Mgmt. Transfer $522,000</w:t>
            </w:r>
          </w:p>
          <w:p w14:paraId="79334B86" w14:textId="77777777" w:rsidR="007853B2" w:rsidRPr="00D9446A" w:rsidRDefault="007853B2" w:rsidP="004B64F6">
            <w:pPr>
              <w:pStyle w:val="ListParagraph0"/>
              <w:spacing w:line="264" w:lineRule="auto"/>
              <w:ind w:left="345"/>
              <w:contextualSpacing/>
              <w:rPr>
                <w:rFonts w:ascii="Arial" w:hAnsi="Arial" w:cs="Arial"/>
                <w:bCs/>
                <w:sz w:val="22"/>
                <w:szCs w:val="22"/>
              </w:rPr>
            </w:pPr>
          </w:p>
        </w:tc>
      </w:tr>
      <w:tr w:rsidR="007853B2" w:rsidRPr="00D84C52" w14:paraId="1104C9C0" w14:textId="77777777" w:rsidTr="00E34BBA">
        <w:trPr>
          <w:cantSplit/>
        </w:trPr>
        <w:tc>
          <w:tcPr>
            <w:tcW w:w="1008" w:type="dxa"/>
            <w:tcBorders>
              <w:top w:val="dotted" w:sz="4" w:space="0" w:color="auto"/>
              <w:left w:val="nil"/>
              <w:bottom w:val="dotted" w:sz="4" w:space="0" w:color="auto"/>
              <w:right w:val="nil"/>
            </w:tcBorders>
          </w:tcPr>
          <w:p w14:paraId="5968B286" w14:textId="77777777" w:rsidR="007853B2" w:rsidRPr="00D9446A" w:rsidDel="006A0AAF" w:rsidRDefault="007853B2" w:rsidP="00E34BBA">
            <w:pPr>
              <w:keepNext/>
              <w:spacing w:line="264" w:lineRule="auto"/>
              <w:contextualSpacing/>
              <w:rPr>
                <w:rFonts w:ascii="Arial" w:hAnsi="Arial" w:cs="Arial"/>
                <w:sz w:val="22"/>
                <w:szCs w:val="22"/>
              </w:rPr>
            </w:pPr>
            <w:r>
              <w:rPr>
                <w:rFonts w:ascii="Arial" w:hAnsi="Arial" w:cs="Arial"/>
                <w:sz w:val="22"/>
                <w:szCs w:val="22"/>
              </w:rPr>
              <w:t>Existing</w:t>
            </w:r>
          </w:p>
        </w:tc>
        <w:tc>
          <w:tcPr>
            <w:tcW w:w="243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0959E97" w14:textId="2CF85C01" w:rsidR="007853B2" w:rsidRPr="00D9446A" w:rsidRDefault="007853B2" w:rsidP="00E34BBA">
            <w:pPr>
              <w:keepNext/>
              <w:spacing w:line="264" w:lineRule="auto"/>
              <w:contextualSpacing/>
              <w:rPr>
                <w:rFonts w:ascii="Arial" w:hAnsi="Arial" w:cs="Arial"/>
                <w:sz w:val="22"/>
                <w:szCs w:val="22"/>
              </w:rPr>
            </w:pPr>
            <w:r>
              <w:rPr>
                <w:rFonts w:ascii="Arial" w:hAnsi="Arial" w:cs="Arial"/>
                <w:sz w:val="22"/>
                <w:szCs w:val="22"/>
              </w:rPr>
              <w:t>15</w:t>
            </w:r>
            <w:r w:rsidRPr="00D9446A">
              <w:rPr>
                <w:rFonts w:ascii="Arial" w:hAnsi="Arial" w:cs="Arial"/>
                <w:sz w:val="22"/>
                <w:szCs w:val="22"/>
              </w:rPr>
              <w:t xml:space="preserve"> Mile Creek Bridge </w:t>
            </w: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6F1CD84" w14:textId="77777777" w:rsidR="007853B2" w:rsidRPr="00D9446A" w:rsidRDefault="007853B2" w:rsidP="00E34BBA">
            <w:pPr>
              <w:keepNext/>
              <w:spacing w:line="264" w:lineRule="auto"/>
              <w:contextualSpacing/>
              <w:jc w:val="right"/>
              <w:rPr>
                <w:rFonts w:ascii="Arial" w:hAnsi="Arial" w:cs="Arial"/>
                <w:sz w:val="22"/>
                <w:szCs w:val="22"/>
              </w:rPr>
            </w:pPr>
            <w:r w:rsidRPr="00D9446A">
              <w:rPr>
                <w:rFonts w:ascii="Arial" w:hAnsi="Arial" w:cs="Arial"/>
                <w:sz w:val="22"/>
                <w:szCs w:val="22"/>
              </w:rPr>
              <w:t>$4,423,100</w:t>
            </w:r>
          </w:p>
        </w:tc>
        <w:tc>
          <w:tcPr>
            <w:tcW w:w="419" w:type="dxa"/>
            <w:tcBorders>
              <w:top w:val="dotted" w:sz="4" w:space="0" w:color="auto"/>
              <w:left w:val="nil"/>
              <w:bottom w:val="dotted" w:sz="4" w:space="0" w:color="auto"/>
              <w:right w:val="nil"/>
            </w:tcBorders>
          </w:tcPr>
          <w:p w14:paraId="2565FF72" w14:textId="77777777" w:rsidR="007853B2" w:rsidRPr="00D9446A" w:rsidRDefault="007853B2" w:rsidP="00E34BBA">
            <w:pPr>
              <w:keepNext/>
              <w:spacing w:line="264" w:lineRule="auto"/>
              <w:contextualSpacing/>
              <w:jc w:val="right"/>
              <w:rPr>
                <w:rFonts w:ascii="Arial" w:hAnsi="Arial" w:cs="Arial"/>
                <w:bCs/>
                <w:sz w:val="22"/>
                <w:szCs w:val="22"/>
              </w:rPr>
            </w:pPr>
          </w:p>
        </w:tc>
        <w:tc>
          <w:tcPr>
            <w:tcW w:w="3901" w:type="dxa"/>
            <w:tcBorders>
              <w:top w:val="dotted" w:sz="4" w:space="0" w:color="auto"/>
              <w:left w:val="nil"/>
              <w:bottom w:val="dotted" w:sz="4" w:space="0" w:color="auto"/>
              <w:right w:val="nil"/>
            </w:tcBorders>
            <w:shd w:val="clear" w:color="auto" w:fill="auto"/>
            <w:vAlign w:val="center"/>
          </w:tcPr>
          <w:p w14:paraId="55057E9F" w14:textId="77777777" w:rsidR="007853B2" w:rsidRPr="00D84C52" w:rsidRDefault="007853B2" w:rsidP="00977D30">
            <w:pPr>
              <w:pStyle w:val="ListParagraph0"/>
              <w:keepNext/>
              <w:numPr>
                <w:ilvl w:val="0"/>
                <w:numId w:val="26"/>
              </w:numPr>
              <w:spacing w:line="264" w:lineRule="auto"/>
              <w:ind w:left="345" w:hanging="345"/>
              <w:contextualSpacing/>
              <w:rPr>
                <w:rFonts w:ascii="Arial" w:hAnsi="Arial" w:cs="Arial"/>
                <w:bCs/>
                <w:sz w:val="22"/>
                <w:szCs w:val="22"/>
              </w:rPr>
            </w:pPr>
            <w:r w:rsidRPr="00D84C52">
              <w:rPr>
                <w:rFonts w:ascii="Arial" w:hAnsi="Arial" w:cs="Arial"/>
                <w:bCs/>
                <w:sz w:val="22"/>
                <w:szCs w:val="22"/>
              </w:rPr>
              <w:t>Federal Grant $2,808,000</w:t>
            </w:r>
          </w:p>
          <w:p w14:paraId="4ED77B2B" w14:textId="77777777" w:rsidR="007853B2" w:rsidRDefault="007853B2" w:rsidP="007853B2">
            <w:pPr>
              <w:pStyle w:val="ListParagraph0"/>
              <w:keepNext/>
              <w:numPr>
                <w:ilvl w:val="0"/>
                <w:numId w:val="26"/>
              </w:numPr>
              <w:spacing w:line="264" w:lineRule="auto"/>
              <w:ind w:left="345" w:hanging="345"/>
              <w:contextualSpacing/>
              <w:rPr>
                <w:rFonts w:ascii="Arial" w:hAnsi="Arial" w:cs="Arial"/>
                <w:bCs/>
                <w:sz w:val="22"/>
                <w:szCs w:val="22"/>
              </w:rPr>
            </w:pPr>
            <w:r w:rsidRPr="00D84C52">
              <w:rPr>
                <w:rFonts w:ascii="Arial" w:hAnsi="Arial" w:cs="Arial"/>
                <w:bCs/>
                <w:sz w:val="22"/>
                <w:szCs w:val="22"/>
              </w:rPr>
              <w:t>Roads Op</w:t>
            </w:r>
            <w:r>
              <w:rPr>
                <w:rFonts w:ascii="Arial" w:hAnsi="Arial" w:cs="Arial"/>
                <w:bCs/>
                <w:sz w:val="22"/>
                <w:szCs w:val="22"/>
              </w:rPr>
              <w:t>erating</w:t>
            </w:r>
            <w:r w:rsidRPr="00D84C52">
              <w:rPr>
                <w:rFonts w:ascii="Arial" w:hAnsi="Arial" w:cs="Arial"/>
                <w:bCs/>
                <w:sz w:val="22"/>
                <w:szCs w:val="22"/>
              </w:rPr>
              <w:t xml:space="preserve"> Fund Transfer </w:t>
            </w:r>
            <w:bookmarkStart w:id="5" w:name="_Hlk85030427"/>
            <w:r w:rsidRPr="00D84C52">
              <w:rPr>
                <w:rFonts w:ascii="Arial" w:hAnsi="Arial" w:cs="Arial"/>
                <w:bCs/>
                <w:sz w:val="22"/>
                <w:szCs w:val="22"/>
              </w:rPr>
              <w:t>$1,615,100</w:t>
            </w:r>
            <w:bookmarkEnd w:id="5"/>
          </w:p>
          <w:p w14:paraId="3B9CFF8E" w14:textId="77777777" w:rsidR="007853B2" w:rsidRPr="00D84C52" w:rsidRDefault="007853B2" w:rsidP="00E34BBA">
            <w:pPr>
              <w:pStyle w:val="ListParagraph0"/>
              <w:keepNext/>
              <w:spacing w:line="264" w:lineRule="auto"/>
              <w:ind w:left="345"/>
              <w:contextualSpacing/>
              <w:rPr>
                <w:rFonts w:ascii="Arial" w:hAnsi="Arial" w:cs="Arial"/>
                <w:bCs/>
                <w:sz w:val="22"/>
                <w:szCs w:val="22"/>
              </w:rPr>
            </w:pPr>
          </w:p>
        </w:tc>
      </w:tr>
      <w:tr w:rsidR="007853B2" w:rsidRPr="00D9446A" w14:paraId="6D0FD7FD" w14:textId="77777777" w:rsidTr="00E34BBA">
        <w:trPr>
          <w:cantSplit/>
        </w:trPr>
        <w:tc>
          <w:tcPr>
            <w:tcW w:w="1008" w:type="dxa"/>
            <w:tcBorders>
              <w:top w:val="dotted" w:sz="4" w:space="0" w:color="auto"/>
              <w:left w:val="nil"/>
              <w:bottom w:val="dotted" w:sz="4" w:space="0" w:color="auto"/>
              <w:right w:val="nil"/>
            </w:tcBorders>
          </w:tcPr>
          <w:p w14:paraId="7FBC7215" w14:textId="77777777" w:rsidR="007853B2" w:rsidRPr="00D9446A" w:rsidRDefault="007853B2" w:rsidP="00E34BBA">
            <w:pPr>
              <w:keepNext/>
              <w:spacing w:line="264" w:lineRule="auto"/>
              <w:contextualSpacing/>
              <w:rPr>
                <w:rFonts w:ascii="Arial" w:hAnsi="Arial" w:cs="Arial"/>
                <w:sz w:val="22"/>
                <w:szCs w:val="22"/>
              </w:rPr>
            </w:pPr>
            <w:r>
              <w:rPr>
                <w:rFonts w:ascii="Arial" w:hAnsi="Arial" w:cs="Arial"/>
                <w:sz w:val="22"/>
                <w:szCs w:val="22"/>
              </w:rPr>
              <w:t>Existing</w:t>
            </w:r>
          </w:p>
        </w:tc>
        <w:tc>
          <w:tcPr>
            <w:tcW w:w="243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7B719DB1" w14:textId="77777777" w:rsidR="007853B2" w:rsidRPr="00D9446A" w:rsidRDefault="007853B2" w:rsidP="00E34BBA">
            <w:pPr>
              <w:keepNext/>
              <w:spacing w:line="264" w:lineRule="auto"/>
              <w:contextualSpacing/>
              <w:rPr>
                <w:rFonts w:ascii="Arial" w:hAnsi="Arial" w:cs="Arial"/>
                <w:sz w:val="22"/>
                <w:szCs w:val="22"/>
              </w:rPr>
            </w:pPr>
            <w:r w:rsidRPr="00D9446A">
              <w:rPr>
                <w:rFonts w:ascii="Arial" w:hAnsi="Arial" w:cs="Arial"/>
                <w:sz w:val="22"/>
                <w:szCs w:val="22"/>
              </w:rPr>
              <w:t>16</w:t>
            </w:r>
            <w:r w:rsidRPr="00D9446A">
              <w:rPr>
                <w:rFonts w:ascii="Arial" w:hAnsi="Arial" w:cs="Arial"/>
                <w:sz w:val="22"/>
                <w:szCs w:val="22"/>
                <w:vertAlign w:val="superscript"/>
              </w:rPr>
              <w:t>th</w:t>
            </w:r>
            <w:r w:rsidRPr="00D9446A">
              <w:rPr>
                <w:rFonts w:ascii="Arial" w:hAnsi="Arial" w:cs="Arial"/>
                <w:sz w:val="22"/>
                <w:szCs w:val="22"/>
              </w:rPr>
              <w:t xml:space="preserve"> Ave SW Ped Improv. </w:t>
            </w: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50BB7820" w14:textId="77777777" w:rsidR="007853B2" w:rsidRPr="00D9446A" w:rsidRDefault="007853B2" w:rsidP="00E34BBA">
            <w:pPr>
              <w:keepNext/>
              <w:spacing w:line="264" w:lineRule="auto"/>
              <w:contextualSpacing/>
              <w:jc w:val="right"/>
              <w:rPr>
                <w:rFonts w:ascii="Arial" w:hAnsi="Arial" w:cs="Arial"/>
                <w:sz w:val="22"/>
                <w:szCs w:val="22"/>
              </w:rPr>
            </w:pPr>
            <w:r w:rsidRPr="00D9446A">
              <w:rPr>
                <w:rFonts w:ascii="Arial" w:hAnsi="Arial" w:cs="Arial"/>
                <w:sz w:val="22"/>
                <w:szCs w:val="22"/>
              </w:rPr>
              <w:t>$1,458,000</w:t>
            </w:r>
          </w:p>
        </w:tc>
        <w:tc>
          <w:tcPr>
            <w:tcW w:w="419" w:type="dxa"/>
            <w:tcBorders>
              <w:top w:val="dotted" w:sz="4" w:space="0" w:color="auto"/>
              <w:left w:val="nil"/>
              <w:bottom w:val="dotted" w:sz="4" w:space="0" w:color="auto"/>
              <w:right w:val="nil"/>
            </w:tcBorders>
          </w:tcPr>
          <w:p w14:paraId="42FC41F6" w14:textId="77777777" w:rsidR="007853B2" w:rsidRPr="00D9446A" w:rsidRDefault="007853B2" w:rsidP="00E34BBA">
            <w:pPr>
              <w:keepNext/>
              <w:spacing w:line="264" w:lineRule="auto"/>
              <w:contextualSpacing/>
              <w:jc w:val="right"/>
              <w:rPr>
                <w:rFonts w:ascii="Arial" w:hAnsi="Arial" w:cs="Arial"/>
                <w:bCs/>
                <w:sz w:val="22"/>
                <w:szCs w:val="22"/>
              </w:rPr>
            </w:pPr>
          </w:p>
        </w:tc>
        <w:tc>
          <w:tcPr>
            <w:tcW w:w="3901" w:type="dxa"/>
            <w:tcBorders>
              <w:top w:val="dotted" w:sz="4" w:space="0" w:color="auto"/>
              <w:left w:val="nil"/>
              <w:bottom w:val="dotted" w:sz="4" w:space="0" w:color="auto"/>
              <w:right w:val="nil"/>
            </w:tcBorders>
            <w:shd w:val="clear" w:color="auto" w:fill="auto"/>
            <w:vAlign w:val="center"/>
          </w:tcPr>
          <w:p w14:paraId="627B4824" w14:textId="77777777" w:rsidR="007853B2" w:rsidRPr="00D9446A" w:rsidRDefault="007853B2" w:rsidP="00977D30">
            <w:pPr>
              <w:pStyle w:val="ListParagraph0"/>
              <w:keepNext/>
              <w:numPr>
                <w:ilvl w:val="0"/>
                <w:numId w:val="27"/>
              </w:numPr>
              <w:spacing w:line="264" w:lineRule="auto"/>
              <w:ind w:left="345" w:hanging="345"/>
              <w:contextualSpacing/>
              <w:rPr>
                <w:rFonts w:ascii="Arial" w:hAnsi="Arial" w:cs="Arial"/>
                <w:bCs/>
                <w:sz w:val="22"/>
                <w:szCs w:val="22"/>
              </w:rPr>
            </w:pPr>
            <w:r w:rsidRPr="00D9446A">
              <w:rPr>
                <w:rFonts w:ascii="Arial" w:hAnsi="Arial" w:cs="Arial"/>
                <w:bCs/>
                <w:sz w:val="22"/>
                <w:szCs w:val="22"/>
              </w:rPr>
              <w:t>High Collision Safety Program Transfer $958,000</w:t>
            </w:r>
          </w:p>
          <w:p w14:paraId="2E8B7BC0" w14:textId="77777777" w:rsidR="007853B2" w:rsidRDefault="007853B2" w:rsidP="007853B2">
            <w:pPr>
              <w:pStyle w:val="ListParagraph0"/>
              <w:keepNext/>
              <w:numPr>
                <w:ilvl w:val="0"/>
                <w:numId w:val="27"/>
              </w:numPr>
              <w:spacing w:line="264" w:lineRule="auto"/>
              <w:ind w:left="345" w:hanging="345"/>
              <w:contextualSpacing/>
              <w:rPr>
                <w:rFonts w:ascii="Arial" w:hAnsi="Arial" w:cs="Arial"/>
                <w:bCs/>
                <w:sz w:val="22"/>
                <w:szCs w:val="22"/>
              </w:rPr>
            </w:pPr>
            <w:r w:rsidRPr="00D9446A">
              <w:rPr>
                <w:rFonts w:ascii="Arial" w:hAnsi="Arial" w:cs="Arial"/>
                <w:bCs/>
                <w:sz w:val="22"/>
                <w:szCs w:val="22"/>
              </w:rPr>
              <w:t>REET 1 New Request $500,000</w:t>
            </w:r>
          </w:p>
          <w:p w14:paraId="38173317" w14:textId="77777777" w:rsidR="007853B2" w:rsidRPr="00D9446A" w:rsidRDefault="007853B2" w:rsidP="00E34BBA">
            <w:pPr>
              <w:pStyle w:val="ListParagraph0"/>
              <w:keepNext/>
              <w:spacing w:line="264" w:lineRule="auto"/>
              <w:ind w:left="345"/>
              <w:contextualSpacing/>
              <w:rPr>
                <w:rFonts w:ascii="Arial" w:hAnsi="Arial" w:cs="Arial"/>
                <w:bCs/>
                <w:sz w:val="22"/>
                <w:szCs w:val="22"/>
              </w:rPr>
            </w:pPr>
          </w:p>
        </w:tc>
      </w:tr>
      <w:tr w:rsidR="007853B2" w:rsidRPr="00D9446A" w14:paraId="66F5BA3D" w14:textId="77777777" w:rsidTr="00E34BBA">
        <w:trPr>
          <w:cantSplit/>
        </w:trPr>
        <w:tc>
          <w:tcPr>
            <w:tcW w:w="1008" w:type="dxa"/>
            <w:tcBorders>
              <w:top w:val="dotted" w:sz="4" w:space="0" w:color="auto"/>
              <w:left w:val="nil"/>
              <w:bottom w:val="dotted" w:sz="4" w:space="0" w:color="auto"/>
              <w:right w:val="nil"/>
            </w:tcBorders>
          </w:tcPr>
          <w:p w14:paraId="13DDEE90" w14:textId="77777777" w:rsidR="007853B2" w:rsidRPr="00D9446A" w:rsidRDefault="007853B2" w:rsidP="00E34BBA">
            <w:pPr>
              <w:keepNext/>
              <w:spacing w:line="264" w:lineRule="auto"/>
              <w:contextualSpacing/>
              <w:rPr>
                <w:rFonts w:ascii="Arial" w:hAnsi="Arial" w:cs="Arial"/>
                <w:sz w:val="22"/>
                <w:szCs w:val="22"/>
              </w:rPr>
            </w:pPr>
            <w:r>
              <w:rPr>
                <w:rFonts w:ascii="Arial" w:hAnsi="Arial" w:cs="Arial"/>
                <w:sz w:val="22"/>
                <w:szCs w:val="22"/>
              </w:rPr>
              <w:t>Existing</w:t>
            </w:r>
          </w:p>
        </w:tc>
        <w:tc>
          <w:tcPr>
            <w:tcW w:w="243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415C249" w14:textId="77777777" w:rsidR="007853B2" w:rsidRPr="00D9446A" w:rsidRDefault="007853B2" w:rsidP="00E34BBA">
            <w:pPr>
              <w:keepNext/>
              <w:spacing w:line="264" w:lineRule="auto"/>
              <w:contextualSpacing/>
              <w:rPr>
                <w:rFonts w:ascii="Arial" w:hAnsi="Arial" w:cs="Arial"/>
                <w:sz w:val="22"/>
                <w:szCs w:val="22"/>
              </w:rPr>
            </w:pPr>
            <w:r w:rsidRPr="00D9446A">
              <w:rPr>
                <w:rFonts w:ascii="Arial" w:hAnsi="Arial" w:cs="Arial"/>
                <w:sz w:val="22"/>
                <w:szCs w:val="22"/>
              </w:rPr>
              <w:t>SE 384</w:t>
            </w:r>
            <w:r w:rsidRPr="00D9446A">
              <w:rPr>
                <w:rFonts w:ascii="Arial" w:hAnsi="Arial" w:cs="Arial"/>
                <w:sz w:val="22"/>
                <w:szCs w:val="22"/>
                <w:vertAlign w:val="superscript"/>
              </w:rPr>
              <w:t>th</w:t>
            </w:r>
            <w:r w:rsidRPr="00D9446A">
              <w:rPr>
                <w:rFonts w:ascii="Arial" w:hAnsi="Arial" w:cs="Arial"/>
                <w:sz w:val="22"/>
                <w:szCs w:val="22"/>
              </w:rPr>
              <w:t xml:space="preserve"> Drainage Improv. </w:t>
            </w: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1CB384C" w14:textId="77777777" w:rsidR="007853B2" w:rsidRPr="00D9446A" w:rsidRDefault="007853B2" w:rsidP="00E34BBA">
            <w:pPr>
              <w:keepNext/>
              <w:spacing w:line="264" w:lineRule="auto"/>
              <w:contextualSpacing/>
              <w:jc w:val="right"/>
              <w:rPr>
                <w:rFonts w:ascii="Arial" w:hAnsi="Arial" w:cs="Arial"/>
                <w:sz w:val="22"/>
                <w:szCs w:val="22"/>
              </w:rPr>
            </w:pPr>
            <w:r w:rsidRPr="00D9446A">
              <w:rPr>
                <w:rFonts w:ascii="Arial" w:hAnsi="Arial" w:cs="Arial"/>
                <w:sz w:val="22"/>
                <w:szCs w:val="22"/>
              </w:rPr>
              <w:t>$157,000</w:t>
            </w:r>
          </w:p>
        </w:tc>
        <w:tc>
          <w:tcPr>
            <w:tcW w:w="419" w:type="dxa"/>
            <w:tcBorders>
              <w:top w:val="dotted" w:sz="4" w:space="0" w:color="auto"/>
              <w:left w:val="nil"/>
              <w:bottom w:val="dotted" w:sz="4" w:space="0" w:color="auto"/>
              <w:right w:val="nil"/>
            </w:tcBorders>
          </w:tcPr>
          <w:p w14:paraId="3C3B83EA" w14:textId="77777777" w:rsidR="007853B2" w:rsidRPr="00D9446A" w:rsidRDefault="007853B2" w:rsidP="00E34BBA">
            <w:pPr>
              <w:keepNext/>
              <w:spacing w:line="264" w:lineRule="auto"/>
              <w:contextualSpacing/>
              <w:jc w:val="right"/>
              <w:rPr>
                <w:rFonts w:ascii="Arial" w:hAnsi="Arial" w:cs="Arial"/>
                <w:bCs/>
                <w:sz w:val="22"/>
                <w:szCs w:val="22"/>
              </w:rPr>
            </w:pPr>
          </w:p>
        </w:tc>
        <w:tc>
          <w:tcPr>
            <w:tcW w:w="3901" w:type="dxa"/>
            <w:tcBorders>
              <w:top w:val="dotted" w:sz="4" w:space="0" w:color="auto"/>
              <w:left w:val="nil"/>
              <w:bottom w:val="dotted" w:sz="4" w:space="0" w:color="auto"/>
              <w:right w:val="nil"/>
            </w:tcBorders>
            <w:shd w:val="clear" w:color="auto" w:fill="auto"/>
            <w:vAlign w:val="center"/>
          </w:tcPr>
          <w:p w14:paraId="52408CB6" w14:textId="77777777" w:rsidR="007853B2" w:rsidRPr="00D9446A" w:rsidRDefault="007853B2" w:rsidP="00977D30">
            <w:pPr>
              <w:pStyle w:val="ListParagraph0"/>
              <w:keepNext/>
              <w:numPr>
                <w:ilvl w:val="0"/>
                <w:numId w:val="28"/>
              </w:numPr>
              <w:spacing w:line="264" w:lineRule="auto"/>
              <w:ind w:left="345" w:hanging="345"/>
              <w:contextualSpacing/>
              <w:rPr>
                <w:rFonts w:ascii="Arial" w:hAnsi="Arial" w:cs="Arial"/>
                <w:bCs/>
                <w:sz w:val="22"/>
                <w:szCs w:val="22"/>
              </w:rPr>
            </w:pPr>
            <w:r w:rsidRPr="00D9446A">
              <w:rPr>
                <w:rFonts w:ascii="Arial" w:hAnsi="Arial" w:cs="Arial"/>
                <w:bCs/>
                <w:sz w:val="22"/>
                <w:szCs w:val="22"/>
              </w:rPr>
              <w:t>CRAB Grant ($243,000)</w:t>
            </w:r>
          </w:p>
          <w:p w14:paraId="116300C1" w14:textId="77777777" w:rsidR="007853B2" w:rsidRDefault="007853B2" w:rsidP="007853B2">
            <w:pPr>
              <w:pStyle w:val="ListParagraph0"/>
              <w:keepNext/>
              <w:numPr>
                <w:ilvl w:val="0"/>
                <w:numId w:val="28"/>
              </w:numPr>
              <w:spacing w:line="264" w:lineRule="auto"/>
              <w:ind w:left="345" w:hanging="345"/>
              <w:contextualSpacing/>
              <w:rPr>
                <w:rFonts w:ascii="Arial" w:hAnsi="Arial" w:cs="Arial"/>
                <w:bCs/>
                <w:sz w:val="22"/>
                <w:szCs w:val="22"/>
              </w:rPr>
            </w:pPr>
            <w:r w:rsidRPr="00D9446A">
              <w:rPr>
                <w:rFonts w:ascii="Arial" w:hAnsi="Arial" w:cs="Arial"/>
                <w:bCs/>
                <w:sz w:val="22"/>
                <w:szCs w:val="22"/>
              </w:rPr>
              <w:t>REET 1 New Request $400,000</w:t>
            </w:r>
          </w:p>
          <w:p w14:paraId="1E20AF67" w14:textId="77777777" w:rsidR="007853B2" w:rsidRPr="00D9446A" w:rsidRDefault="007853B2" w:rsidP="00E34BBA">
            <w:pPr>
              <w:pStyle w:val="ListParagraph0"/>
              <w:keepNext/>
              <w:spacing w:line="264" w:lineRule="auto"/>
              <w:ind w:left="345"/>
              <w:contextualSpacing/>
              <w:rPr>
                <w:rFonts w:ascii="Arial" w:hAnsi="Arial" w:cs="Arial"/>
                <w:bCs/>
                <w:sz w:val="22"/>
                <w:szCs w:val="22"/>
              </w:rPr>
            </w:pPr>
          </w:p>
        </w:tc>
      </w:tr>
      <w:tr w:rsidR="007853B2" w:rsidRPr="00D9446A" w14:paraId="46E7C91A" w14:textId="77777777" w:rsidTr="00E34BBA">
        <w:trPr>
          <w:cantSplit/>
        </w:trPr>
        <w:tc>
          <w:tcPr>
            <w:tcW w:w="1008" w:type="dxa"/>
            <w:tcBorders>
              <w:top w:val="dotted" w:sz="4" w:space="0" w:color="auto"/>
              <w:left w:val="nil"/>
              <w:bottom w:val="single" w:sz="4" w:space="0" w:color="auto"/>
              <w:right w:val="nil"/>
            </w:tcBorders>
          </w:tcPr>
          <w:p w14:paraId="7BF69C5C" w14:textId="77777777" w:rsidR="007853B2" w:rsidRPr="00D9446A" w:rsidDel="00A414F2" w:rsidRDefault="007853B2" w:rsidP="00E34BBA">
            <w:pPr>
              <w:keepNext/>
              <w:spacing w:line="264" w:lineRule="auto"/>
              <w:contextualSpacing/>
              <w:rPr>
                <w:rFonts w:ascii="Arial" w:hAnsi="Arial" w:cs="Arial"/>
                <w:sz w:val="22"/>
                <w:szCs w:val="22"/>
              </w:rPr>
            </w:pPr>
            <w:r>
              <w:rPr>
                <w:rFonts w:ascii="Arial" w:hAnsi="Arial" w:cs="Arial"/>
                <w:sz w:val="22"/>
                <w:szCs w:val="22"/>
              </w:rPr>
              <w:t>New</w:t>
            </w:r>
          </w:p>
        </w:tc>
        <w:tc>
          <w:tcPr>
            <w:tcW w:w="2430" w:type="dxa"/>
            <w:tcBorders>
              <w:top w:val="dotted" w:sz="4" w:space="0" w:color="auto"/>
              <w:left w:val="nil"/>
              <w:bottom w:val="single" w:sz="4" w:space="0" w:color="auto"/>
              <w:right w:val="nil"/>
            </w:tcBorders>
            <w:shd w:val="clear" w:color="auto" w:fill="auto"/>
            <w:tcMar>
              <w:top w:w="43" w:type="dxa"/>
              <w:left w:w="115" w:type="dxa"/>
              <w:bottom w:w="43" w:type="dxa"/>
              <w:right w:w="115" w:type="dxa"/>
            </w:tcMar>
          </w:tcPr>
          <w:p w14:paraId="3ED96C55" w14:textId="4EEE6DC6" w:rsidR="007853B2" w:rsidRDefault="007853B2" w:rsidP="00E34BBA">
            <w:pPr>
              <w:keepNext/>
              <w:spacing w:line="264" w:lineRule="auto"/>
              <w:contextualSpacing/>
              <w:rPr>
                <w:rFonts w:ascii="Arial" w:hAnsi="Arial" w:cs="Arial"/>
                <w:sz w:val="22"/>
                <w:szCs w:val="22"/>
              </w:rPr>
            </w:pPr>
            <w:r>
              <w:rPr>
                <w:rFonts w:ascii="Arial" w:hAnsi="Arial" w:cs="Arial"/>
                <w:sz w:val="22"/>
                <w:szCs w:val="22"/>
              </w:rPr>
              <w:t>Economic and Climate Equity UKC</w:t>
            </w:r>
            <w:r w:rsidRPr="00D9446A">
              <w:rPr>
                <w:rFonts w:ascii="Arial" w:hAnsi="Arial" w:cs="Arial"/>
                <w:sz w:val="22"/>
                <w:szCs w:val="22"/>
              </w:rPr>
              <w:t xml:space="preserve"> ADA Ramps</w:t>
            </w:r>
          </w:p>
          <w:p w14:paraId="361DDCE9" w14:textId="77777777" w:rsidR="007853B2" w:rsidRPr="00D9446A" w:rsidRDefault="007853B2" w:rsidP="00E34BBA">
            <w:pPr>
              <w:keepNext/>
              <w:spacing w:line="264" w:lineRule="auto"/>
              <w:contextualSpacing/>
              <w:rPr>
                <w:rFonts w:ascii="Arial" w:hAnsi="Arial" w:cs="Arial"/>
                <w:sz w:val="22"/>
                <w:szCs w:val="22"/>
              </w:rPr>
            </w:pPr>
          </w:p>
        </w:tc>
        <w:tc>
          <w:tcPr>
            <w:tcW w:w="1710" w:type="dxa"/>
            <w:tcBorders>
              <w:top w:val="dotted" w:sz="4" w:space="0" w:color="auto"/>
              <w:left w:val="nil"/>
              <w:bottom w:val="single" w:sz="4" w:space="0" w:color="auto"/>
              <w:right w:val="nil"/>
            </w:tcBorders>
            <w:shd w:val="clear" w:color="auto" w:fill="auto"/>
            <w:tcMar>
              <w:top w:w="43" w:type="dxa"/>
              <w:left w:w="115" w:type="dxa"/>
              <w:bottom w:w="43" w:type="dxa"/>
              <w:right w:w="115" w:type="dxa"/>
            </w:tcMar>
          </w:tcPr>
          <w:p w14:paraId="32B09CEE" w14:textId="77777777" w:rsidR="007853B2" w:rsidRPr="00D9446A" w:rsidRDefault="007853B2" w:rsidP="00E34BBA">
            <w:pPr>
              <w:keepNext/>
              <w:spacing w:line="264" w:lineRule="auto"/>
              <w:contextualSpacing/>
              <w:jc w:val="right"/>
              <w:rPr>
                <w:rFonts w:ascii="Arial" w:hAnsi="Arial" w:cs="Arial"/>
                <w:sz w:val="22"/>
                <w:szCs w:val="22"/>
              </w:rPr>
            </w:pPr>
            <w:r w:rsidRPr="00D9446A">
              <w:rPr>
                <w:rFonts w:ascii="Arial" w:hAnsi="Arial" w:cs="Arial"/>
                <w:sz w:val="22"/>
                <w:szCs w:val="22"/>
              </w:rPr>
              <w:t>$1,500,000</w:t>
            </w:r>
          </w:p>
        </w:tc>
        <w:tc>
          <w:tcPr>
            <w:tcW w:w="419" w:type="dxa"/>
            <w:tcBorders>
              <w:top w:val="dotted" w:sz="4" w:space="0" w:color="auto"/>
              <w:left w:val="nil"/>
              <w:bottom w:val="single" w:sz="4" w:space="0" w:color="auto"/>
              <w:right w:val="nil"/>
            </w:tcBorders>
          </w:tcPr>
          <w:p w14:paraId="3C811879" w14:textId="77777777" w:rsidR="007853B2" w:rsidRPr="00D9446A" w:rsidRDefault="007853B2" w:rsidP="00E34BBA">
            <w:pPr>
              <w:keepNext/>
              <w:spacing w:line="264" w:lineRule="auto"/>
              <w:contextualSpacing/>
              <w:jc w:val="right"/>
              <w:rPr>
                <w:rFonts w:ascii="Arial" w:hAnsi="Arial" w:cs="Arial"/>
                <w:bCs/>
                <w:sz w:val="22"/>
                <w:szCs w:val="22"/>
              </w:rPr>
            </w:pPr>
          </w:p>
        </w:tc>
        <w:tc>
          <w:tcPr>
            <w:tcW w:w="3901" w:type="dxa"/>
            <w:tcBorders>
              <w:top w:val="dotted" w:sz="4" w:space="0" w:color="auto"/>
              <w:left w:val="nil"/>
              <w:bottom w:val="single" w:sz="4" w:space="0" w:color="auto"/>
              <w:right w:val="nil"/>
            </w:tcBorders>
            <w:shd w:val="clear" w:color="auto" w:fill="auto"/>
          </w:tcPr>
          <w:p w14:paraId="3F94B4C5" w14:textId="77777777" w:rsidR="007853B2" w:rsidRPr="00D9446A" w:rsidRDefault="007853B2" w:rsidP="00977D30">
            <w:pPr>
              <w:pStyle w:val="ListParagraph0"/>
              <w:keepNext/>
              <w:numPr>
                <w:ilvl w:val="0"/>
                <w:numId w:val="31"/>
              </w:numPr>
              <w:spacing w:line="264" w:lineRule="auto"/>
              <w:ind w:left="345" w:hanging="345"/>
              <w:contextualSpacing/>
              <w:rPr>
                <w:rFonts w:ascii="Arial" w:hAnsi="Arial" w:cs="Arial"/>
                <w:bCs/>
                <w:sz w:val="22"/>
                <w:szCs w:val="22"/>
              </w:rPr>
            </w:pPr>
            <w:r w:rsidRPr="00D9446A">
              <w:rPr>
                <w:rFonts w:ascii="Arial" w:hAnsi="Arial" w:cs="Arial"/>
                <w:bCs/>
                <w:sz w:val="22"/>
                <w:szCs w:val="22"/>
              </w:rPr>
              <w:t>Metro Transit Revenues</w:t>
            </w:r>
          </w:p>
        </w:tc>
      </w:tr>
      <w:tr w:rsidR="007853B2" w:rsidRPr="00D9446A" w14:paraId="566AA924" w14:textId="77777777" w:rsidTr="00E34BBA">
        <w:trPr>
          <w:cantSplit/>
        </w:trPr>
        <w:tc>
          <w:tcPr>
            <w:tcW w:w="1008" w:type="dxa"/>
            <w:tcBorders>
              <w:top w:val="single" w:sz="4" w:space="0" w:color="auto"/>
              <w:left w:val="nil"/>
              <w:bottom w:val="single" w:sz="12" w:space="0" w:color="auto"/>
              <w:right w:val="nil"/>
            </w:tcBorders>
          </w:tcPr>
          <w:p w14:paraId="451AB4A0" w14:textId="77777777" w:rsidR="007853B2" w:rsidRPr="00D9446A" w:rsidRDefault="007853B2" w:rsidP="00E34BBA">
            <w:pPr>
              <w:keepNext/>
              <w:spacing w:line="264" w:lineRule="auto"/>
              <w:contextualSpacing/>
              <w:jc w:val="right"/>
              <w:rPr>
                <w:rFonts w:ascii="Arial" w:hAnsi="Arial" w:cs="Arial"/>
                <w:b/>
                <w:bCs/>
                <w:szCs w:val="24"/>
              </w:rPr>
            </w:pPr>
          </w:p>
        </w:tc>
        <w:tc>
          <w:tcPr>
            <w:tcW w:w="243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2C903139" w14:textId="77777777" w:rsidR="007853B2" w:rsidRPr="00D9446A" w:rsidRDefault="007853B2" w:rsidP="00E34BBA">
            <w:pPr>
              <w:keepNext/>
              <w:spacing w:line="264" w:lineRule="auto"/>
              <w:contextualSpacing/>
              <w:jc w:val="right"/>
              <w:rPr>
                <w:rFonts w:ascii="Arial" w:hAnsi="Arial" w:cs="Arial"/>
                <w:b/>
                <w:bCs/>
                <w:szCs w:val="24"/>
              </w:rPr>
            </w:pPr>
            <w:r w:rsidRPr="00D9446A">
              <w:rPr>
                <w:rFonts w:ascii="Arial" w:hAnsi="Arial" w:cs="Arial"/>
                <w:b/>
                <w:bCs/>
                <w:szCs w:val="24"/>
              </w:rPr>
              <w:t>TOTAL</w:t>
            </w:r>
          </w:p>
        </w:tc>
        <w:tc>
          <w:tcPr>
            <w:tcW w:w="171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32BD1C0B" w14:textId="77777777" w:rsidR="007853B2" w:rsidRPr="00D9446A" w:rsidRDefault="007853B2" w:rsidP="00E34BBA">
            <w:pPr>
              <w:keepNext/>
              <w:spacing w:line="264" w:lineRule="auto"/>
              <w:contextualSpacing/>
              <w:jc w:val="right"/>
              <w:rPr>
                <w:rFonts w:ascii="Arial" w:hAnsi="Arial" w:cs="Arial"/>
                <w:b/>
                <w:bCs/>
                <w:szCs w:val="24"/>
              </w:rPr>
            </w:pPr>
            <w:r w:rsidRPr="00D9446A">
              <w:rPr>
                <w:rFonts w:ascii="Arial" w:hAnsi="Arial" w:cs="Arial"/>
                <w:b/>
                <w:bCs/>
                <w:szCs w:val="24"/>
              </w:rPr>
              <w:t>$14,045,900</w:t>
            </w:r>
          </w:p>
        </w:tc>
        <w:tc>
          <w:tcPr>
            <w:tcW w:w="419" w:type="dxa"/>
            <w:tcBorders>
              <w:top w:val="single" w:sz="4" w:space="0" w:color="auto"/>
              <w:left w:val="nil"/>
              <w:bottom w:val="single" w:sz="12" w:space="0" w:color="auto"/>
              <w:right w:val="nil"/>
            </w:tcBorders>
          </w:tcPr>
          <w:p w14:paraId="1BE99EA6" w14:textId="77777777" w:rsidR="007853B2" w:rsidRPr="00D9446A" w:rsidRDefault="007853B2" w:rsidP="00E34BBA">
            <w:pPr>
              <w:keepNext/>
              <w:spacing w:line="264" w:lineRule="auto"/>
              <w:contextualSpacing/>
              <w:jc w:val="right"/>
              <w:rPr>
                <w:rFonts w:ascii="Arial" w:hAnsi="Arial" w:cs="Arial"/>
                <w:b/>
                <w:szCs w:val="24"/>
              </w:rPr>
            </w:pPr>
          </w:p>
        </w:tc>
        <w:tc>
          <w:tcPr>
            <w:tcW w:w="3901" w:type="dxa"/>
            <w:tcBorders>
              <w:top w:val="single" w:sz="4" w:space="0" w:color="auto"/>
              <w:left w:val="nil"/>
              <w:bottom w:val="single" w:sz="12" w:space="0" w:color="auto"/>
              <w:right w:val="nil"/>
            </w:tcBorders>
            <w:shd w:val="clear" w:color="auto" w:fill="auto"/>
          </w:tcPr>
          <w:p w14:paraId="6C78192C" w14:textId="77777777" w:rsidR="007853B2" w:rsidRPr="00D9446A" w:rsidRDefault="007853B2" w:rsidP="00E34BBA">
            <w:pPr>
              <w:keepNext/>
              <w:spacing w:line="264" w:lineRule="auto"/>
              <w:contextualSpacing/>
              <w:jc w:val="right"/>
              <w:rPr>
                <w:rFonts w:ascii="Arial" w:hAnsi="Arial" w:cs="Arial"/>
                <w:b/>
                <w:szCs w:val="24"/>
              </w:rPr>
            </w:pPr>
          </w:p>
        </w:tc>
      </w:tr>
    </w:tbl>
    <w:p w14:paraId="54E7A32B" w14:textId="77777777" w:rsidR="007853B2" w:rsidRPr="00373A14" w:rsidRDefault="007853B2" w:rsidP="007853B2">
      <w:pPr>
        <w:spacing w:line="264" w:lineRule="auto"/>
        <w:ind w:left="720"/>
        <w:contextualSpacing/>
        <w:jc w:val="both"/>
        <w:rPr>
          <w:rFonts w:ascii="Arial" w:hAnsi="Arial" w:cs="Arial"/>
        </w:rPr>
      </w:pPr>
    </w:p>
    <w:p w14:paraId="7478E529" w14:textId="58BD9C91" w:rsidR="007853B2" w:rsidRPr="00373A14" w:rsidRDefault="007853B2" w:rsidP="007853B2">
      <w:pPr>
        <w:spacing w:line="264" w:lineRule="auto"/>
        <w:contextualSpacing/>
        <w:jc w:val="both"/>
        <w:rPr>
          <w:rFonts w:ascii="Arial" w:hAnsi="Arial" w:cs="Arial"/>
        </w:rPr>
      </w:pPr>
      <w:r w:rsidRPr="00373A14">
        <w:rPr>
          <w:rFonts w:ascii="Arial" w:hAnsi="Arial" w:cs="Arial"/>
        </w:rPr>
        <w:lastRenderedPageBreak/>
        <w:t xml:space="preserve">As shown in </w:t>
      </w:r>
      <w:r>
        <w:rPr>
          <w:rFonts w:ascii="Arial" w:hAnsi="Arial" w:cs="Arial"/>
        </w:rPr>
        <w:t xml:space="preserve">the </w:t>
      </w:r>
      <w:r w:rsidRPr="00373A14">
        <w:rPr>
          <w:rFonts w:ascii="Arial" w:hAnsi="Arial" w:cs="Arial"/>
        </w:rPr>
        <w:t xml:space="preserve">table above, the Executive would appropriate a total of $5,290,000 in new Real Estate Excise Tax 1 (REET 1) funding.  According to the Executive, improved REET revenue forecasts by the Office of Economic and Financial Analysis (OEFA) allowed additional REET 1 funding to be allocated to </w:t>
      </w:r>
      <w:proofErr w:type="gramStart"/>
      <w:r w:rsidRPr="00373A14">
        <w:rPr>
          <w:rFonts w:ascii="Arial" w:hAnsi="Arial" w:cs="Arial"/>
        </w:rPr>
        <w:t>Roads</w:t>
      </w:r>
      <w:proofErr w:type="gramEnd"/>
      <w:r w:rsidRPr="00373A14">
        <w:rPr>
          <w:rFonts w:ascii="Arial" w:hAnsi="Arial" w:cs="Arial"/>
        </w:rPr>
        <w:t xml:space="preserve"> capital projects. </w:t>
      </w:r>
      <w:r>
        <w:rPr>
          <w:rFonts w:ascii="Arial" w:hAnsi="Arial" w:cs="Arial"/>
        </w:rPr>
        <w:t xml:space="preserve"> </w:t>
      </w:r>
      <w:r w:rsidRPr="00373A14">
        <w:rPr>
          <w:rFonts w:ascii="Arial" w:hAnsi="Arial" w:cs="Arial"/>
        </w:rPr>
        <w:t xml:space="preserve">The allocation of REET 1 funds is a policy decision for the Council. </w:t>
      </w:r>
    </w:p>
    <w:p w14:paraId="0C770FA0" w14:textId="77777777" w:rsidR="002A0956" w:rsidRDefault="002A0956" w:rsidP="00C83662">
      <w:pPr>
        <w:spacing w:line="264" w:lineRule="auto"/>
        <w:contextualSpacing/>
        <w:jc w:val="both"/>
        <w:rPr>
          <w:rFonts w:ascii="Arial" w:hAnsi="Arial" w:cs="Arial"/>
        </w:rPr>
      </w:pPr>
    </w:p>
    <w:p w14:paraId="0AD5EC80" w14:textId="79354A79" w:rsidR="004F141D" w:rsidRDefault="007853B2" w:rsidP="00C83662">
      <w:pPr>
        <w:spacing w:line="264" w:lineRule="auto"/>
        <w:contextualSpacing/>
        <w:jc w:val="both"/>
        <w:rPr>
          <w:rFonts w:ascii="Arial" w:hAnsi="Arial" w:cs="Arial"/>
        </w:rPr>
      </w:pPr>
      <w:r w:rsidRPr="00373A14">
        <w:rPr>
          <w:rFonts w:ascii="Arial" w:hAnsi="Arial" w:cs="Arial"/>
        </w:rPr>
        <w:t xml:space="preserve">According to the Executive, the Economy and Climate Equity Unincorporated ADA Ramp Improvements project will bring up to 60 existing ADA ramps along Metro Transit's new RapidRide H Line corridor up to contemporary standards.  The project is part of Climate Equity </w:t>
      </w:r>
      <w:r>
        <w:rPr>
          <w:rFonts w:ascii="Arial" w:hAnsi="Arial" w:cs="Arial"/>
        </w:rPr>
        <w:t xml:space="preserve">Capital </w:t>
      </w:r>
      <w:r w:rsidRPr="00373A14">
        <w:rPr>
          <w:rFonts w:ascii="Arial" w:hAnsi="Arial" w:cs="Arial"/>
        </w:rPr>
        <w:t>Pool</w:t>
      </w:r>
      <w:r>
        <w:rPr>
          <w:rFonts w:ascii="Arial" w:hAnsi="Arial" w:cs="Arial"/>
        </w:rPr>
        <w:t xml:space="preserve"> </w:t>
      </w:r>
      <w:r w:rsidR="00977D30">
        <w:rPr>
          <w:rFonts w:ascii="Arial" w:hAnsi="Arial" w:cs="Arial"/>
        </w:rPr>
        <w:t>program</w:t>
      </w:r>
      <w:r w:rsidRPr="00373A14">
        <w:rPr>
          <w:rFonts w:ascii="Arial" w:hAnsi="Arial" w:cs="Arial"/>
        </w:rPr>
        <w:t>, which is discussed further in this staff report, and is being funded by a transfer of Metro Transit revenues.</w:t>
      </w:r>
    </w:p>
    <w:p w14:paraId="34B5E4A2" w14:textId="77777777" w:rsidR="004F141D" w:rsidRDefault="004F141D" w:rsidP="00C83662">
      <w:pPr>
        <w:spacing w:line="264" w:lineRule="auto"/>
        <w:contextualSpacing/>
        <w:jc w:val="both"/>
        <w:rPr>
          <w:rFonts w:ascii="Arial" w:hAnsi="Arial" w:cs="Arial"/>
        </w:rPr>
      </w:pPr>
    </w:p>
    <w:p w14:paraId="64AFCD57" w14:textId="51BC4E6A" w:rsidR="007853B2" w:rsidRDefault="007853B2" w:rsidP="00C83662">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47657971" w14:textId="77777777" w:rsidR="007853B2" w:rsidRPr="006D3FF8" w:rsidRDefault="007853B2" w:rsidP="00C83662">
      <w:pPr>
        <w:spacing w:line="264" w:lineRule="auto"/>
        <w:contextualSpacing/>
        <w:jc w:val="both"/>
        <w:rPr>
          <w:rFonts w:ascii="Arial" w:hAnsi="Arial" w:cs="Arial"/>
          <w:b/>
          <w:i/>
        </w:rPr>
      </w:pPr>
      <w:r>
        <w:rPr>
          <w:rFonts w:ascii="Arial" w:hAnsi="Arial" w:cs="Arial"/>
          <w:b/>
          <w:i/>
        </w:rPr>
        <w:t>Converting Active Sub-Projects to Standalone Projects</w:t>
      </w:r>
      <w:r w:rsidRPr="0054665B">
        <w:rPr>
          <w:rFonts w:ascii="Arial" w:hAnsi="Arial" w:cs="Arial"/>
          <w:b/>
          <w:i/>
        </w:rPr>
        <w:t xml:space="preserve"> </w:t>
      </w:r>
      <w:r w:rsidRPr="00EB4885">
        <w:rPr>
          <w:rFonts w:ascii="Arial" w:hAnsi="Arial" w:cs="Arial"/>
          <w:b/>
          <w:i/>
          <w:iCs/>
        </w:rPr>
        <w:t>[</w:t>
      </w:r>
      <w:r w:rsidRPr="000C523E">
        <w:rPr>
          <w:rFonts w:ascii="Arial" w:hAnsi="Arial" w:cs="Arial"/>
          <w:b/>
          <w:i/>
          <w:iCs/>
          <w:color w:val="C0504D" w:themeColor="accent2"/>
        </w:rPr>
        <w:t>-</w:t>
      </w:r>
      <w:bookmarkStart w:id="6" w:name="_Hlk84873934"/>
      <w:r w:rsidRPr="000C523E">
        <w:rPr>
          <w:rFonts w:ascii="Arial" w:hAnsi="Arial" w:cs="Arial"/>
          <w:b/>
          <w:i/>
          <w:iCs/>
          <w:color w:val="C0504D" w:themeColor="accent2"/>
        </w:rPr>
        <w:t>$1,480,000</w:t>
      </w:r>
      <w:bookmarkEnd w:id="6"/>
      <w:r w:rsidRPr="00EB4885">
        <w:rPr>
          <w:rFonts w:ascii="Arial" w:hAnsi="Arial" w:cs="Arial"/>
          <w:b/>
          <w:i/>
          <w:iCs/>
        </w:rPr>
        <w:t>]</w:t>
      </w:r>
      <w:r w:rsidRPr="000C523E">
        <w:rPr>
          <w:rFonts w:ascii="Arial" w:hAnsi="Arial" w:cs="Arial"/>
          <w:b/>
          <w:i/>
          <w:iCs/>
        </w:rPr>
        <w:t>.</w:t>
      </w:r>
      <w:r>
        <w:rPr>
          <w:rFonts w:ascii="Arial" w:hAnsi="Arial" w:cs="Arial"/>
          <w:b/>
          <w:iCs/>
        </w:rPr>
        <w:t xml:space="preserve">  </w:t>
      </w:r>
      <w:r w:rsidRPr="003D194D">
        <w:rPr>
          <w:rFonts w:ascii="Arial" w:hAnsi="Arial" w:cs="Arial"/>
        </w:rPr>
        <w:t xml:space="preserve">The proposed ordinance would </w:t>
      </w:r>
      <w:r>
        <w:rPr>
          <w:rFonts w:ascii="Arial" w:hAnsi="Arial" w:cs="Arial"/>
        </w:rPr>
        <w:t>disappropriate a total of $1,480,000 from two County Road Maintenance programs which each had an active subproject converted to a standalone project.  Of the total, $522,000 would be disappropriated from the Countywide Culvert Replacement Fish Passage Program and moved to the</w:t>
      </w:r>
      <w:r w:rsidRPr="008E2516">
        <w:rPr>
          <w:rFonts w:ascii="Arial" w:hAnsi="Arial" w:cs="Arial"/>
          <w:sz w:val="22"/>
          <w:szCs w:val="22"/>
        </w:rPr>
        <w:t xml:space="preserve"> </w:t>
      </w:r>
      <w:r w:rsidRPr="008E2516">
        <w:rPr>
          <w:rFonts w:ascii="Arial" w:hAnsi="Arial" w:cs="Arial"/>
        </w:rPr>
        <w:t>Duvall at 172</w:t>
      </w:r>
      <w:r w:rsidRPr="008E2516">
        <w:rPr>
          <w:rFonts w:ascii="Arial" w:hAnsi="Arial" w:cs="Arial"/>
          <w:vertAlign w:val="superscript"/>
        </w:rPr>
        <w:t>nd</w:t>
      </w:r>
      <w:r w:rsidRPr="008E2516">
        <w:rPr>
          <w:rFonts w:ascii="Arial" w:hAnsi="Arial" w:cs="Arial"/>
        </w:rPr>
        <w:t xml:space="preserve"> Culvert</w:t>
      </w:r>
      <w:r>
        <w:rPr>
          <w:rFonts w:ascii="Arial" w:hAnsi="Arial" w:cs="Arial"/>
        </w:rPr>
        <w:t xml:space="preserve"> converted standalone project and $958,000 would be disappropriated from the High Collision Safety Program and moved to the </w:t>
      </w:r>
      <w:r w:rsidRPr="000A781D">
        <w:rPr>
          <w:rFonts w:ascii="Arial" w:hAnsi="Arial" w:cs="Arial"/>
        </w:rPr>
        <w:t>16</w:t>
      </w:r>
      <w:r w:rsidRPr="000A781D">
        <w:rPr>
          <w:rFonts w:ascii="Arial" w:hAnsi="Arial" w:cs="Arial"/>
          <w:vertAlign w:val="superscript"/>
        </w:rPr>
        <w:t>th</w:t>
      </w:r>
      <w:r w:rsidRPr="000A781D">
        <w:rPr>
          <w:rFonts w:ascii="Arial" w:hAnsi="Arial" w:cs="Arial"/>
        </w:rPr>
        <w:t xml:space="preserve"> Ave </w:t>
      </w:r>
      <w:r>
        <w:rPr>
          <w:rFonts w:ascii="Arial" w:hAnsi="Arial" w:cs="Arial"/>
        </w:rPr>
        <w:t xml:space="preserve">SW </w:t>
      </w:r>
      <w:r w:rsidRPr="000A781D">
        <w:rPr>
          <w:rFonts w:ascii="Arial" w:hAnsi="Arial" w:cs="Arial"/>
        </w:rPr>
        <w:t>Ped</w:t>
      </w:r>
      <w:r>
        <w:rPr>
          <w:rFonts w:ascii="Arial" w:hAnsi="Arial" w:cs="Arial"/>
        </w:rPr>
        <w:t>estrian</w:t>
      </w:r>
      <w:r w:rsidRPr="000A781D">
        <w:rPr>
          <w:rFonts w:ascii="Arial" w:hAnsi="Arial" w:cs="Arial"/>
        </w:rPr>
        <w:t xml:space="preserve"> Improvement</w:t>
      </w:r>
      <w:r>
        <w:rPr>
          <w:rFonts w:ascii="Arial" w:hAnsi="Arial" w:cs="Arial"/>
        </w:rPr>
        <w:t xml:space="preserve">s converted standalone project. </w:t>
      </w:r>
      <w:r w:rsidRPr="000A781D">
        <w:rPr>
          <w:rFonts w:ascii="Arial" w:hAnsi="Arial" w:cs="Arial"/>
        </w:rPr>
        <w:t xml:space="preserve">  </w:t>
      </w:r>
      <w:r>
        <w:rPr>
          <w:rFonts w:ascii="Arial" w:hAnsi="Arial" w:cs="Arial"/>
        </w:rPr>
        <w:t xml:space="preserve">   </w:t>
      </w:r>
    </w:p>
    <w:p w14:paraId="07FAE7D9" w14:textId="3F9D1658" w:rsidR="004B64F6" w:rsidRDefault="004B64F6" w:rsidP="007853B2">
      <w:pPr>
        <w:spacing w:line="264" w:lineRule="auto"/>
        <w:contextualSpacing/>
        <w:jc w:val="both"/>
        <w:rPr>
          <w:rFonts w:ascii="Arial" w:hAnsi="Arial" w:cs="Arial"/>
        </w:rPr>
      </w:pPr>
    </w:p>
    <w:p w14:paraId="086F15C0" w14:textId="77777777" w:rsidR="004B64F6" w:rsidRDefault="004B64F6" w:rsidP="007853B2">
      <w:pPr>
        <w:spacing w:line="264" w:lineRule="auto"/>
        <w:contextualSpacing/>
        <w:jc w:val="both"/>
        <w:rPr>
          <w:rFonts w:ascii="Arial" w:hAnsi="Arial" w:cs="Arial"/>
        </w:rPr>
      </w:pPr>
    </w:p>
    <w:p w14:paraId="71B4584B" w14:textId="77777777" w:rsidR="007853B2" w:rsidRPr="009A6AEA" w:rsidRDefault="007853B2" w:rsidP="007853B2">
      <w:pPr>
        <w:tabs>
          <w:tab w:val="left" w:pos="720"/>
          <w:tab w:val="right" w:pos="9360"/>
        </w:tabs>
        <w:spacing w:line="264" w:lineRule="auto"/>
        <w:contextualSpacing/>
        <w:jc w:val="both"/>
        <w:rPr>
          <w:rFonts w:ascii="Arial" w:hAnsi="Arial" w:cs="Arial"/>
          <w:b/>
          <w:u w:val="single"/>
        </w:rPr>
      </w:pPr>
      <w:r>
        <w:rPr>
          <w:rFonts w:ascii="Arial" w:hAnsi="Arial" w:cs="Arial"/>
          <w:b/>
          <w:u w:val="single"/>
        </w:rPr>
        <w:t xml:space="preserve">County Road Construction </w:t>
      </w:r>
      <w:r w:rsidRPr="007A0A75">
        <w:rPr>
          <w:rFonts w:ascii="Arial" w:hAnsi="Arial" w:cs="Arial"/>
          <w:b/>
          <w:u w:val="single"/>
        </w:rPr>
        <w:t>Fund</w:t>
      </w:r>
      <w:r>
        <w:rPr>
          <w:rFonts w:ascii="Arial" w:hAnsi="Arial" w:cs="Arial"/>
          <w:b/>
          <w:u w:val="single"/>
        </w:rPr>
        <w:t xml:space="preserve"> (</w:t>
      </w:r>
      <w:r w:rsidRPr="007A0A75">
        <w:rPr>
          <w:rFonts w:ascii="Arial" w:hAnsi="Arial" w:cs="Arial"/>
          <w:b/>
          <w:u w:val="single"/>
        </w:rPr>
        <w:t>38</w:t>
      </w:r>
      <w:r>
        <w:rPr>
          <w:rFonts w:ascii="Arial" w:hAnsi="Arial" w:cs="Arial"/>
          <w:b/>
          <w:u w:val="single"/>
        </w:rPr>
        <w:t>60)</w:t>
      </w:r>
      <w:r w:rsidRPr="000E7446">
        <w:rPr>
          <w:rFonts w:ascii="Arial" w:hAnsi="Arial" w:cs="Arial"/>
          <w:b/>
          <w:u w:val="single"/>
        </w:rPr>
        <w:tab/>
      </w:r>
      <w:r w:rsidRPr="006A3642">
        <w:rPr>
          <w:rFonts w:ascii="Arial" w:hAnsi="Arial" w:cs="Arial"/>
          <w:b/>
          <w:color w:val="C00000"/>
          <w:u w:val="single"/>
        </w:rPr>
        <w:t>-$192,819</w:t>
      </w:r>
    </w:p>
    <w:p w14:paraId="2EAC3992" w14:textId="77777777" w:rsidR="007853B2" w:rsidRDefault="007853B2" w:rsidP="007853B2">
      <w:pPr>
        <w:spacing w:line="264" w:lineRule="auto"/>
        <w:contextualSpacing/>
        <w:jc w:val="both"/>
        <w:rPr>
          <w:rFonts w:ascii="Arial" w:hAnsi="Arial" w:cs="Arial"/>
          <w:b/>
          <w:highlight w:val="yellow"/>
        </w:rPr>
      </w:pPr>
    </w:p>
    <w:p w14:paraId="2029677D" w14:textId="40910C65" w:rsidR="007853B2" w:rsidRDefault="007853B2" w:rsidP="007853B2">
      <w:pPr>
        <w:spacing w:line="264" w:lineRule="auto"/>
        <w:contextualSpacing/>
        <w:jc w:val="both"/>
        <w:rPr>
          <w:rFonts w:ascii="Arial" w:hAnsi="Arial" w:cs="Arial"/>
          <w:bCs/>
        </w:rPr>
      </w:pPr>
      <w:r>
        <w:rPr>
          <w:rFonts w:ascii="Arial" w:hAnsi="Arial" w:cs="Arial"/>
          <w:b/>
          <w:i/>
          <w:iCs/>
        </w:rPr>
        <w:t>Legacy Fund</w:t>
      </w:r>
      <w:r w:rsidRPr="009816A7">
        <w:rPr>
          <w:rFonts w:ascii="Arial" w:hAnsi="Arial" w:cs="Arial"/>
          <w:b/>
          <w:i/>
          <w:iCs/>
        </w:rPr>
        <w:t xml:space="preserve"> </w:t>
      </w:r>
      <w:r>
        <w:rPr>
          <w:rFonts w:ascii="Arial" w:hAnsi="Arial" w:cs="Arial"/>
          <w:b/>
          <w:i/>
          <w:iCs/>
        </w:rPr>
        <w:t>Disappropriation and Reallocation</w:t>
      </w:r>
      <w:r w:rsidRPr="009816A7">
        <w:rPr>
          <w:rFonts w:ascii="Arial" w:hAnsi="Arial" w:cs="Arial"/>
          <w:b/>
          <w:i/>
          <w:iCs/>
        </w:rPr>
        <w:t xml:space="preserve"> </w:t>
      </w:r>
      <w:r>
        <w:rPr>
          <w:rFonts w:ascii="Arial" w:hAnsi="Arial" w:cs="Arial"/>
          <w:b/>
          <w:i/>
          <w:iCs/>
        </w:rPr>
        <w:t>[</w:t>
      </w:r>
      <w:r w:rsidRPr="00890FE1">
        <w:rPr>
          <w:rFonts w:ascii="Arial" w:hAnsi="Arial" w:cs="Arial"/>
          <w:b/>
          <w:i/>
          <w:iCs/>
          <w:color w:val="C0504D" w:themeColor="accent2"/>
        </w:rPr>
        <w:t>-</w:t>
      </w:r>
      <w:r w:rsidRPr="00F74156">
        <w:rPr>
          <w:rFonts w:ascii="Arial" w:hAnsi="Arial" w:cs="Arial"/>
          <w:b/>
          <w:i/>
          <w:iCs/>
          <w:color w:val="C0504D" w:themeColor="accent2"/>
        </w:rPr>
        <w:t>$192,819</w:t>
      </w:r>
      <w:r w:rsidRPr="00C8282A">
        <w:rPr>
          <w:rFonts w:ascii="Arial" w:hAnsi="Arial" w:cs="Arial"/>
          <w:b/>
          <w:i/>
          <w:iCs/>
        </w:rPr>
        <w:t>]</w:t>
      </w:r>
      <w:r>
        <w:rPr>
          <w:rFonts w:ascii="Arial" w:hAnsi="Arial" w:cs="Arial"/>
          <w:b/>
          <w:i/>
          <w:iCs/>
        </w:rPr>
        <w:t xml:space="preserve">.  </w:t>
      </w:r>
      <w:r>
        <w:rPr>
          <w:rFonts w:ascii="Arial" w:hAnsi="Arial" w:cs="Arial"/>
          <w:bCs/>
        </w:rPr>
        <w:t>The proposed ordinance disappropriates funding from the County Road Construction legacy fund master projects listed in the table below.  The proposed disappropriations are consistent with the strategy to spend down and close out this legacy fund.</w:t>
      </w:r>
      <w:r>
        <w:rPr>
          <w:rStyle w:val="FootnoteReference"/>
          <w:rFonts w:ascii="Arial" w:hAnsi="Arial" w:cs="Arial"/>
          <w:bCs/>
        </w:rPr>
        <w:footnoteReference w:id="24"/>
      </w:r>
    </w:p>
    <w:p w14:paraId="4D072DC7" w14:textId="17954354" w:rsidR="007853B2" w:rsidRPr="00783E86" w:rsidRDefault="007853B2" w:rsidP="00E21034">
      <w:pPr>
        <w:keepNext/>
        <w:spacing w:line="264" w:lineRule="auto"/>
        <w:contextualSpacing/>
        <w:rPr>
          <w:rFonts w:ascii="Arial" w:hAnsi="Arial" w:cs="Arial"/>
          <w:b/>
          <w:szCs w:val="24"/>
        </w:rPr>
      </w:pPr>
    </w:p>
    <w:tbl>
      <w:tblPr>
        <w:tblStyle w:val="TableGrid"/>
        <w:tblW w:w="9468" w:type="dxa"/>
        <w:tblLayout w:type="fixed"/>
        <w:tblLook w:val="04A0" w:firstRow="1" w:lastRow="0" w:firstColumn="1" w:lastColumn="0" w:noHBand="0" w:noVBand="1"/>
      </w:tblPr>
      <w:tblGrid>
        <w:gridCol w:w="3978"/>
        <w:gridCol w:w="270"/>
        <w:gridCol w:w="2430"/>
        <w:gridCol w:w="270"/>
        <w:gridCol w:w="2520"/>
      </w:tblGrid>
      <w:tr w:rsidR="007853B2" w:rsidRPr="00783E86" w14:paraId="62807238" w14:textId="77777777" w:rsidTr="00E34BBA">
        <w:trPr>
          <w:cantSplit/>
          <w:tblHeader/>
        </w:trPr>
        <w:tc>
          <w:tcPr>
            <w:tcW w:w="3978" w:type="dxa"/>
            <w:tcBorders>
              <w:top w:val="single" w:sz="12" w:space="0" w:color="auto"/>
              <w:left w:val="nil"/>
              <w:bottom w:val="single" w:sz="4" w:space="0" w:color="auto"/>
              <w:right w:val="nil"/>
            </w:tcBorders>
            <w:shd w:val="clear" w:color="auto" w:fill="auto"/>
            <w:vAlign w:val="bottom"/>
          </w:tcPr>
          <w:p w14:paraId="27741C5D" w14:textId="3912384E" w:rsidR="007853B2" w:rsidRPr="00597CD8" w:rsidRDefault="007853B2" w:rsidP="00E34BBA">
            <w:pPr>
              <w:keepNext/>
              <w:spacing w:line="264" w:lineRule="auto"/>
              <w:contextualSpacing/>
              <w:jc w:val="both"/>
              <w:rPr>
                <w:rFonts w:ascii="Arial" w:hAnsi="Arial" w:cs="Arial"/>
                <w:b/>
                <w:sz w:val="22"/>
                <w:szCs w:val="22"/>
              </w:rPr>
            </w:pPr>
            <w:r w:rsidRPr="00597CD8">
              <w:rPr>
                <w:rFonts w:ascii="Arial" w:hAnsi="Arial" w:cs="Arial"/>
                <w:b/>
                <w:sz w:val="22"/>
                <w:szCs w:val="22"/>
              </w:rPr>
              <w:t>Project</w:t>
            </w:r>
          </w:p>
        </w:tc>
        <w:tc>
          <w:tcPr>
            <w:tcW w:w="270" w:type="dxa"/>
            <w:tcBorders>
              <w:top w:val="single" w:sz="12" w:space="0" w:color="auto"/>
              <w:left w:val="nil"/>
              <w:bottom w:val="nil"/>
              <w:right w:val="nil"/>
            </w:tcBorders>
          </w:tcPr>
          <w:p w14:paraId="2C70D2EF" w14:textId="77777777" w:rsidR="007853B2" w:rsidRPr="00597CD8" w:rsidRDefault="007853B2" w:rsidP="00E34BBA">
            <w:pPr>
              <w:keepNext/>
              <w:spacing w:line="264" w:lineRule="auto"/>
              <w:contextualSpacing/>
              <w:jc w:val="center"/>
              <w:rPr>
                <w:rFonts w:ascii="Arial" w:hAnsi="Arial" w:cs="Arial"/>
                <w:b/>
                <w:sz w:val="22"/>
                <w:szCs w:val="22"/>
              </w:rPr>
            </w:pPr>
          </w:p>
        </w:tc>
        <w:tc>
          <w:tcPr>
            <w:tcW w:w="2430" w:type="dxa"/>
            <w:tcBorders>
              <w:top w:val="single" w:sz="12" w:space="0" w:color="auto"/>
              <w:left w:val="nil"/>
              <w:bottom w:val="single" w:sz="4" w:space="0" w:color="auto"/>
              <w:right w:val="nil"/>
            </w:tcBorders>
            <w:shd w:val="clear" w:color="auto" w:fill="auto"/>
            <w:vAlign w:val="bottom"/>
          </w:tcPr>
          <w:p w14:paraId="7F58E8AC" w14:textId="77777777" w:rsidR="007853B2" w:rsidRPr="00597CD8" w:rsidRDefault="007853B2" w:rsidP="00E34BBA">
            <w:pPr>
              <w:keepNext/>
              <w:spacing w:line="264" w:lineRule="auto"/>
              <w:contextualSpacing/>
              <w:jc w:val="center"/>
              <w:rPr>
                <w:rFonts w:ascii="Arial" w:hAnsi="Arial" w:cs="Arial"/>
                <w:b/>
                <w:sz w:val="22"/>
                <w:szCs w:val="22"/>
              </w:rPr>
            </w:pPr>
            <w:r>
              <w:rPr>
                <w:rFonts w:ascii="Arial" w:hAnsi="Arial" w:cs="Arial"/>
                <w:b/>
                <w:sz w:val="22"/>
                <w:szCs w:val="22"/>
              </w:rPr>
              <w:t>Disa</w:t>
            </w:r>
            <w:r w:rsidRPr="00597CD8">
              <w:rPr>
                <w:rFonts w:ascii="Arial" w:hAnsi="Arial" w:cs="Arial"/>
                <w:b/>
                <w:sz w:val="22"/>
                <w:szCs w:val="22"/>
              </w:rPr>
              <w:t>ppropriation</w:t>
            </w:r>
          </w:p>
        </w:tc>
        <w:tc>
          <w:tcPr>
            <w:tcW w:w="270" w:type="dxa"/>
            <w:tcBorders>
              <w:top w:val="single" w:sz="12" w:space="0" w:color="auto"/>
              <w:left w:val="nil"/>
              <w:bottom w:val="nil"/>
              <w:right w:val="nil"/>
            </w:tcBorders>
          </w:tcPr>
          <w:p w14:paraId="10E30420" w14:textId="77777777" w:rsidR="007853B2" w:rsidRPr="00597CD8" w:rsidRDefault="007853B2" w:rsidP="00E34BBA">
            <w:pPr>
              <w:keepNext/>
              <w:spacing w:line="264" w:lineRule="auto"/>
              <w:contextualSpacing/>
              <w:jc w:val="center"/>
              <w:rPr>
                <w:rFonts w:ascii="Arial" w:hAnsi="Arial" w:cs="Arial"/>
                <w:b/>
                <w:sz w:val="22"/>
                <w:szCs w:val="22"/>
              </w:rPr>
            </w:pPr>
          </w:p>
        </w:tc>
        <w:tc>
          <w:tcPr>
            <w:tcW w:w="2520" w:type="dxa"/>
            <w:tcBorders>
              <w:top w:val="single" w:sz="12" w:space="0" w:color="auto"/>
              <w:left w:val="nil"/>
              <w:bottom w:val="single" w:sz="4" w:space="0" w:color="auto"/>
              <w:right w:val="nil"/>
            </w:tcBorders>
            <w:shd w:val="clear" w:color="auto" w:fill="auto"/>
          </w:tcPr>
          <w:p w14:paraId="7021F9FE" w14:textId="77777777" w:rsidR="007853B2" w:rsidRPr="00597CD8" w:rsidRDefault="007853B2" w:rsidP="00E34BBA">
            <w:pPr>
              <w:keepNext/>
              <w:spacing w:line="264" w:lineRule="auto"/>
              <w:contextualSpacing/>
              <w:jc w:val="center"/>
              <w:rPr>
                <w:rFonts w:ascii="Arial" w:hAnsi="Arial" w:cs="Arial"/>
                <w:b/>
                <w:sz w:val="22"/>
                <w:szCs w:val="22"/>
              </w:rPr>
            </w:pPr>
            <w:r>
              <w:rPr>
                <w:rFonts w:ascii="Arial" w:hAnsi="Arial" w:cs="Arial"/>
                <w:b/>
                <w:sz w:val="22"/>
                <w:szCs w:val="22"/>
              </w:rPr>
              <w:t>Remaining Balance</w:t>
            </w:r>
          </w:p>
        </w:tc>
      </w:tr>
      <w:tr w:rsidR="007853B2" w:rsidRPr="00783E86" w14:paraId="4ECB2F80" w14:textId="77777777" w:rsidTr="00E34BBA">
        <w:trPr>
          <w:cantSplit/>
        </w:trPr>
        <w:tc>
          <w:tcPr>
            <w:tcW w:w="3978" w:type="dxa"/>
            <w:tcBorders>
              <w:top w:val="nil"/>
              <w:left w:val="nil"/>
              <w:bottom w:val="nil"/>
              <w:right w:val="nil"/>
            </w:tcBorders>
            <w:shd w:val="clear" w:color="auto" w:fill="auto"/>
            <w:tcMar>
              <w:top w:w="43" w:type="dxa"/>
              <w:left w:w="115" w:type="dxa"/>
              <w:bottom w:w="43" w:type="dxa"/>
              <w:right w:w="115" w:type="dxa"/>
            </w:tcMar>
          </w:tcPr>
          <w:p w14:paraId="74AAAC60" w14:textId="77777777" w:rsidR="007853B2" w:rsidRPr="00CD733A" w:rsidRDefault="007853B2" w:rsidP="00E34BBA">
            <w:pPr>
              <w:keepNext/>
              <w:spacing w:line="264" w:lineRule="auto"/>
              <w:contextualSpacing/>
              <w:rPr>
                <w:rFonts w:ascii="Arial" w:hAnsi="Arial" w:cs="Arial"/>
                <w:sz w:val="22"/>
                <w:szCs w:val="22"/>
              </w:rPr>
            </w:pPr>
            <w:r>
              <w:rPr>
                <w:rFonts w:ascii="Arial" w:hAnsi="Arial" w:cs="Arial"/>
                <w:sz w:val="22"/>
                <w:szCs w:val="22"/>
              </w:rPr>
              <w:t>Countywide Quick Response</w:t>
            </w:r>
            <w:r w:rsidRPr="00CD733A">
              <w:rPr>
                <w:rFonts w:ascii="Arial" w:hAnsi="Arial" w:cs="Arial"/>
                <w:sz w:val="22"/>
                <w:szCs w:val="22"/>
              </w:rPr>
              <w:t xml:space="preserve"> </w:t>
            </w:r>
          </w:p>
        </w:tc>
        <w:tc>
          <w:tcPr>
            <w:tcW w:w="270" w:type="dxa"/>
            <w:tcBorders>
              <w:top w:val="nil"/>
              <w:left w:val="nil"/>
              <w:bottom w:val="nil"/>
              <w:right w:val="nil"/>
            </w:tcBorders>
          </w:tcPr>
          <w:p w14:paraId="52A3DD81" w14:textId="77777777" w:rsidR="007853B2" w:rsidRPr="00CD733A" w:rsidRDefault="007853B2" w:rsidP="00E34BBA">
            <w:pPr>
              <w:keepNext/>
              <w:spacing w:line="264" w:lineRule="auto"/>
              <w:contextualSpacing/>
              <w:jc w:val="right"/>
              <w:rPr>
                <w:rFonts w:ascii="Arial" w:hAnsi="Arial" w:cs="Arial"/>
                <w:sz w:val="22"/>
                <w:szCs w:val="22"/>
              </w:rPr>
            </w:pPr>
          </w:p>
        </w:tc>
        <w:tc>
          <w:tcPr>
            <w:tcW w:w="2430" w:type="dxa"/>
            <w:tcBorders>
              <w:top w:val="nil"/>
              <w:left w:val="nil"/>
              <w:bottom w:val="nil"/>
              <w:right w:val="nil"/>
            </w:tcBorders>
            <w:shd w:val="clear" w:color="auto" w:fill="auto"/>
            <w:tcMar>
              <w:top w:w="43" w:type="dxa"/>
              <w:left w:w="115" w:type="dxa"/>
              <w:bottom w:w="43" w:type="dxa"/>
              <w:right w:w="115" w:type="dxa"/>
            </w:tcMar>
            <w:vAlign w:val="center"/>
          </w:tcPr>
          <w:p w14:paraId="737576CD" w14:textId="77777777" w:rsidR="007853B2" w:rsidRPr="00CD733A" w:rsidRDefault="007853B2" w:rsidP="00E34BBA">
            <w:pPr>
              <w:keepNext/>
              <w:spacing w:line="264" w:lineRule="auto"/>
              <w:contextualSpacing/>
              <w:jc w:val="right"/>
              <w:rPr>
                <w:rFonts w:ascii="Arial" w:hAnsi="Arial" w:cs="Arial"/>
                <w:sz w:val="22"/>
                <w:szCs w:val="22"/>
              </w:rPr>
            </w:pPr>
            <w:r>
              <w:rPr>
                <w:rFonts w:ascii="Arial" w:hAnsi="Arial" w:cs="Arial"/>
                <w:sz w:val="22"/>
                <w:szCs w:val="22"/>
              </w:rPr>
              <w:t>(</w:t>
            </w:r>
            <w:r w:rsidRPr="00890FE1">
              <w:rPr>
                <w:rFonts w:ascii="Arial" w:hAnsi="Arial" w:cs="Arial"/>
                <w:sz w:val="22"/>
                <w:szCs w:val="22"/>
              </w:rPr>
              <w:t>$70</w:t>
            </w:r>
            <w:r>
              <w:rPr>
                <w:rFonts w:ascii="Arial" w:hAnsi="Arial" w:cs="Arial"/>
                <w:sz w:val="22"/>
                <w:szCs w:val="22"/>
              </w:rPr>
              <w:t>8</w:t>
            </w:r>
            <w:r w:rsidRPr="00890FE1">
              <w:rPr>
                <w:rFonts w:ascii="Arial" w:hAnsi="Arial" w:cs="Arial"/>
                <w:sz w:val="22"/>
                <w:szCs w:val="22"/>
              </w:rPr>
              <w:t>,</w:t>
            </w:r>
            <w:r>
              <w:rPr>
                <w:rFonts w:ascii="Arial" w:hAnsi="Arial" w:cs="Arial"/>
                <w:sz w:val="22"/>
                <w:szCs w:val="22"/>
              </w:rPr>
              <w:t>959)</w:t>
            </w:r>
          </w:p>
        </w:tc>
        <w:tc>
          <w:tcPr>
            <w:tcW w:w="270" w:type="dxa"/>
            <w:tcBorders>
              <w:top w:val="nil"/>
              <w:left w:val="nil"/>
              <w:bottom w:val="nil"/>
              <w:right w:val="nil"/>
            </w:tcBorders>
            <w:vAlign w:val="center"/>
          </w:tcPr>
          <w:p w14:paraId="7C5B879C" w14:textId="77777777" w:rsidR="007853B2" w:rsidRPr="00CD733A" w:rsidRDefault="007853B2" w:rsidP="00E34BBA">
            <w:pPr>
              <w:keepNext/>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5E6E76AA" w14:textId="77777777" w:rsidR="007853B2" w:rsidRPr="00B12D8E" w:rsidRDefault="007853B2" w:rsidP="00E34BBA">
            <w:pPr>
              <w:pStyle w:val="ListParagraph0"/>
              <w:keepNext/>
              <w:spacing w:line="264" w:lineRule="auto"/>
              <w:contextualSpacing/>
              <w:jc w:val="right"/>
              <w:rPr>
                <w:rFonts w:ascii="Arial" w:hAnsi="Arial" w:cs="Arial"/>
                <w:bCs/>
                <w:sz w:val="22"/>
                <w:szCs w:val="22"/>
              </w:rPr>
            </w:pPr>
            <w:r>
              <w:rPr>
                <w:rFonts w:ascii="Arial" w:hAnsi="Arial" w:cs="Arial"/>
                <w:bCs/>
                <w:sz w:val="22"/>
                <w:szCs w:val="22"/>
              </w:rPr>
              <w:t>$0</w:t>
            </w:r>
          </w:p>
        </w:tc>
      </w:tr>
      <w:tr w:rsidR="007853B2" w:rsidRPr="00783E86" w14:paraId="302F2BDD" w14:textId="77777777" w:rsidTr="00E34BBA">
        <w:trPr>
          <w:cantSplit/>
        </w:trPr>
        <w:tc>
          <w:tcPr>
            <w:tcW w:w="3978" w:type="dxa"/>
            <w:tcBorders>
              <w:top w:val="nil"/>
              <w:left w:val="nil"/>
              <w:bottom w:val="nil"/>
              <w:right w:val="nil"/>
            </w:tcBorders>
            <w:shd w:val="clear" w:color="auto" w:fill="auto"/>
            <w:tcMar>
              <w:top w:w="43" w:type="dxa"/>
              <w:left w:w="115" w:type="dxa"/>
              <w:bottom w:w="43" w:type="dxa"/>
              <w:right w:w="115" w:type="dxa"/>
            </w:tcMar>
          </w:tcPr>
          <w:p w14:paraId="63EA0FE0" w14:textId="77777777" w:rsidR="007853B2" w:rsidRPr="00CD733A" w:rsidRDefault="007853B2" w:rsidP="00E34BBA">
            <w:pPr>
              <w:keepNext/>
              <w:spacing w:line="264" w:lineRule="auto"/>
              <w:contextualSpacing/>
              <w:rPr>
                <w:rFonts w:ascii="Arial" w:hAnsi="Arial" w:cs="Arial"/>
                <w:sz w:val="22"/>
                <w:szCs w:val="22"/>
              </w:rPr>
            </w:pPr>
            <w:r>
              <w:rPr>
                <w:rFonts w:ascii="Arial" w:hAnsi="Arial" w:cs="Arial"/>
                <w:sz w:val="22"/>
                <w:szCs w:val="22"/>
              </w:rPr>
              <w:t>Countywide Drainage Preservation</w:t>
            </w:r>
            <w:r w:rsidRPr="00CD733A">
              <w:rPr>
                <w:rFonts w:ascii="Arial" w:hAnsi="Arial" w:cs="Arial"/>
                <w:sz w:val="22"/>
                <w:szCs w:val="22"/>
              </w:rPr>
              <w:t xml:space="preserve"> </w:t>
            </w:r>
          </w:p>
        </w:tc>
        <w:tc>
          <w:tcPr>
            <w:tcW w:w="270" w:type="dxa"/>
            <w:tcBorders>
              <w:top w:val="nil"/>
              <w:left w:val="nil"/>
              <w:bottom w:val="nil"/>
              <w:right w:val="nil"/>
            </w:tcBorders>
          </w:tcPr>
          <w:p w14:paraId="256FDE11" w14:textId="77777777" w:rsidR="007853B2" w:rsidRPr="00CD733A" w:rsidRDefault="007853B2" w:rsidP="00E34BBA">
            <w:pPr>
              <w:keepNext/>
              <w:spacing w:line="264" w:lineRule="auto"/>
              <w:contextualSpacing/>
              <w:jc w:val="right"/>
              <w:rPr>
                <w:rFonts w:ascii="Arial" w:hAnsi="Arial" w:cs="Arial"/>
                <w:sz w:val="22"/>
                <w:szCs w:val="22"/>
              </w:rPr>
            </w:pPr>
          </w:p>
        </w:tc>
        <w:tc>
          <w:tcPr>
            <w:tcW w:w="2430" w:type="dxa"/>
            <w:tcBorders>
              <w:top w:val="nil"/>
              <w:left w:val="nil"/>
              <w:bottom w:val="nil"/>
              <w:right w:val="nil"/>
            </w:tcBorders>
            <w:shd w:val="clear" w:color="auto" w:fill="auto"/>
            <w:tcMar>
              <w:top w:w="43" w:type="dxa"/>
              <w:left w:w="115" w:type="dxa"/>
              <w:bottom w:w="43" w:type="dxa"/>
              <w:right w:w="115" w:type="dxa"/>
            </w:tcMar>
            <w:vAlign w:val="center"/>
          </w:tcPr>
          <w:p w14:paraId="4FA6F5E9" w14:textId="77777777" w:rsidR="007853B2" w:rsidRPr="00CD733A" w:rsidRDefault="007853B2" w:rsidP="00E34BBA">
            <w:pPr>
              <w:keepNext/>
              <w:spacing w:line="264" w:lineRule="auto"/>
              <w:contextualSpacing/>
              <w:jc w:val="right"/>
              <w:rPr>
                <w:rFonts w:ascii="Arial" w:hAnsi="Arial" w:cs="Arial"/>
                <w:sz w:val="22"/>
                <w:szCs w:val="22"/>
              </w:rPr>
            </w:pPr>
            <w:r w:rsidRPr="00117C2D">
              <w:rPr>
                <w:rFonts w:ascii="Arial" w:hAnsi="Arial" w:cs="Arial"/>
                <w:sz w:val="22"/>
                <w:szCs w:val="22"/>
              </w:rPr>
              <w:t>(</w:t>
            </w:r>
            <w:r w:rsidRPr="00890FE1">
              <w:rPr>
                <w:rFonts w:ascii="Arial" w:hAnsi="Arial" w:cs="Arial"/>
                <w:sz w:val="22"/>
                <w:szCs w:val="22"/>
              </w:rPr>
              <w:t>$534,0</w:t>
            </w:r>
            <w:r>
              <w:rPr>
                <w:rFonts w:ascii="Arial" w:hAnsi="Arial" w:cs="Arial"/>
                <w:sz w:val="22"/>
                <w:szCs w:val="22"/>
              </w:rPr>
              <w:t>96)</w:t>
            </w:r>
          </w:p>
        </w:tc>
        <w:tc>
          <w:tcPr>
            <w:tcW w:w="270" w:type="dxa"/>
            <w:tcBorders>
              <w:top w:val="nil"/>
              <w:left w:val="nil"/>
              <w:bottom w:val="nil"/>
              <w:right w:val="nil"/>
            </w:tcBorders>
            <w:vAlign w:val="center"/>
          </w:tcPr>
          <w:p w14:paraId="5334CD46" w14:textId="77777777" w:rsidR="007853B2" w:rsidRPr="00CD733A" w:rsidRDefault="007853B2" w:rsidP="00E34BBA">
            <w:pPr>
              <w:keepNext/>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2BB3EA45" w14:textId="77777777" w:rsidR="007853B2" w:rsidRPr="00B12D8E" w:rsidRDefault="007853B2" w:rsidP="00E34BBA">
            <w:pPr>
              <w:pStyle w:val="ListParagraph0"/>
              <w:keepNext/>
              <w:spacing w:line="264" w:lineRule="auto"/>
              <w:contextualSpacing/>
              <w:jc w:val="right"/>
              <w:rPr>
                <w:rFonts w:ascii="Arial" w:hAnsi="Arial" w:cs="Arial"/>
                <w:bCs/>
                <w:sz w:val="22"/>
                <w:szCs w:val="22"/>
              </w:rPr>
            </w:pPr>
            <w:r>
              <w:rPr>
                <w:rFonts w:ascii="Arial" w:hAnsi="Arial" w:cs="Arial"/>
                <w:bCs/>
                <w:sz w:val="22"/>
                <w:szCs w:val="22"/>
              </w:rPr>
              <w:t>$812,000</w:t>
            </w:r>
          </w:p>
        </w:tc>
      </w:tr>
      <w:tr w:rsidR="007853B2" w:rsidRPr="00783E86" w14:paraId="5AB4F262" w14:textId="77777777" w:rsidTr="00E34BBA">
        <w:trPr>
          <w:cantSplit/>
        </w:trPr>
        <w:tc>
          <w:tcPr>
            <w:tcW w:w="3978"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1CB28C1D" w14:textId="0B06D464" w:rsidR="007853B2" w:rsidRPr="00783E86" w:rsidRDefault="007853B2" w:rsidP="00E34BBA">
            <w:pPr>
              <w:keepNext/>
              <w:spacing w:line="264" w:lineRule="auto"/>
              <w:contextualSpacing/>
              <w:jc w:val="right"/>
              <w:rPr>
                <w:rFonts w:ascii="Arial" w:hAnsi="Arial" w:cs="Arial"/>
                <w:b/>
                <w:bCs/>
                <w:szCs w:val="24"/>
              </w:rPr>
            </w:pPr>
            <w:r>
              <w:rPr>
                <w:rFonts w:ascii="Arial" w:hAnsi="Arial" w:cs="Arial"/>
                <w:b/>
                <w:bCs/>
                <w:szCs w:val="24"/>
              </w:rPr>
              <w:t>TOTAL</w:t>
            </w:r>
          </w:p>
        </w:tc>
        <w:tc>
          <w:tcPr>
            <w:tcW w:w="270" w:type="dxa"/>
            <w:tcBorders>
              <w:top w:val="nil"/>
              <w:left w:val="nil"/>
              <w:bottom w:val="single" w:sz="12" w:space="0" w:color="auto"/>
              <w:right w:val="nil"/>
            </w:tcBorders>
          </w:tcPr>
          <w:p w14:paraId="08B5EB50" w14:textId="77777777" w:rsidR="007853B2" w:rsidRPr="00F874A4" w:rsidRDefault="007853B2" w:rsidP="00E34BBA">
            <w:pPr>
              <w:keepNext/>
              <w:spacing w:line="264" w:lineRule="auto"/>
              <w:contextualSpacing/>
              <w:jc w:val="right"/>
              <w:rPr>
                <w:rFonts w:ascii="Arial" w:hAnsi="Arial" w:cs="Arial"/>
                <w:b/>
                <w:bCs/>
                <w:szCs w:val="24"/>
              </w:rPr>
            </w:pPr>
          </w:p>
        </w:tc>
        <w:tc>
          <w:tcPr>
            <w:tcW w:w="243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vAlign w:val="center"/>
          </w:tcPr>
          <w:p w14:paraId="46110712" w14:textId="77777777" w:rsidR="007853B2" w:rsidRPr="00F874A4" w:rsidRDefault="007853B2" w:rsidP="00E34BBA">
            <w:pPr>
              <w:keepNext/>
              <w:spacing w:line="264" w:lineRule="auto"/>
              <w:contextualSpacing/>
              <w:jc w:val="right"/>
              <w:rPr>
                <w:rFonts w:ascii="Arial" w:hAnsi="Arial" w:cs="Arial"/>
                <w:b/>
                <w:bCs/>
                <w:szCs w:val="24"/>
              </w:rPr>
            </w:pPr>
            <w:r>
              <w:rPr>
                <w:rFonts w:ascii="Arial" w:hAnsi="Arial" w:cs="Arial"/>
                <w:b/>
                <w:bCs/>
                <w:szCs w:val="24"/>
              </w:rPr>
              <w:t>(</w:t>
            </w:r>
            <w:r w:rsidRPr="00890FE1">
              <w:rPr>
                <w:rFonts w:ascii="Arial" w:hAnsi="Arial" w:cs="Arial"/>
                <w:b/>
                <w:bCs/>
                <w:szCs w:val="24"/>
              </w:rPr>
              <w:t>$1,243,0</w:t>
            </w:r>
            <w:r>
              <w:rPr>
                <w:rFonts w:ascii="Arial" w:hAnsi="Arial" w:cs="Arial"/>
                <w:b/>
                <w:bCs/>
                <w:szCs w:val="24"/>
              </w:rPr>
              <w:t>55)</w:t>
            </w:r>
          </w:p>
        </w:tc>
        <w:tc>
          <w:tcPr>
            <w:tcW w:w="270" w:type="dxa"/>
            <w:tcBorders>
              <w:top w:val="nil"/>
              <w:left w:val="nil"/>
              <w:bottom w:val="single" w:sz="12" w:space="0" w:color="auto"/>
              <w:right w:val="nil"/>
            </w:tcBorders>
          </w:tcPr>
          <w:p w14:paraId="1649216C" w14:textId="77777777" w:rsidR="007853B2" w:rsidRPr="00F874A4" w:rsidRDefault="007853B2" w:rsidP="00E34BBA">
            <w:pPr>
              <w:keepNext/>
              <w:spacing w:line="264" w:lineRule="auto"/>
              <w:contextualSpacing/>
              <w:jc w:val="right"/>
              <w:rPr>
                <w:rFonts w:ascii="Arial" w:hAnsi="Arial" w:cs="Arial"/>
                <w:b/>
                <w:szCs w:val="24"/>
              </w:rPr>
            </w:pPr>
          </w:p>
        </w:tc>
        <w:tc>
          <w:tcPr>
            <w:tcW w:w="2520" w:type="dxa"/>
            <w:tcBorders>
              <w:top w:val="single" w:sz="4" w:space="0" w:color="auto"/>
              <w:left w:val="nil"/>
              <w:bottom w:val="single" w:sz="12" w:space="0" w:color="auto"/>
              <w:right w:val="nil"/>
            </w:tcBorders>
            <w:shd w:val="clear" w:color="auto" w:fill="auto"/>
          </w:tcPr>
          <w:p w14:paraId="0E93E495" w14:textId="77777777" w:rsidR="007853B2" w:rsidRPr="00F874A4" w:rsidRDefault="007853B2" w:rsidP="00E34BBA">
            <w:pPr>
              <w:keepNext/>
              <w:spacing w:line="264" w:lineRule="auto"/>
              <w:contextualSpacing/>
              <w:jc w:val="right"/>
              <w:rPr>
                <w:rFonts w:ascii="Arial" w:hAnsi="Arial" w:cs="Arial"/>
                <w:b/>
                <w:szCs w:val="24"/>
              </w:rPr>
            </w:pPr>
          </w:p>
        </w:tc>
      </w:tr>
    </w:tbl>
    <w:p w14:paraId="6AC373AA" w14:textId="77777777" w:rsidR="007853B2" w:rsidRDefault="007853B2" w:rsidP="007853B2">
      <w:pPr>
        <w:spacing w:line="264" w:lineRule="auto"/>
        <w:contextualSpacing/>
        <w:jc w:val="both"/>
        <w:rPr>
          <w:rFonts w:ascii="Arial" w:hAnsi="Arial" w:cs="Arial"/>
          <w:iCs/>
        </w:rPr>
      </w:pPr>
    </w:p>
    <w:p w14:paraId="67392755" w14:textId="1640292C" w:rsidR="007853B2" w:rsidRPr="00D9446A" w:rsidRDefault="007853B2" w:rsidP="007853B2">
      <w:pPr>
        <w:spacing w:line="264" w:lineRule="auto"/>
        <w:contextualSpacing/>
        <w:jc w:val="both"/>
        <w:rPr>
          <w:rFonts w:ascii="Arial" w:hAnsi="Arial" w:cs="Arial"/>
          <w:iCs/>
        </w:rPr>
      </w:pPr>
      <w:r w:rsidRPr="00D9446A">
        <w:rPr>
          <w:rFonts w:ascii="Arial" w:hAnsi="Arial" w:cs="Arial"/>
          <w:iCs/>
          <w:szCs w:val="24"/>
        </w:rPr>
        <w:t xml:space="preserve">Of the </w:t>
      </w:r>
      <w:r>
        <w:rPr>
          <w:rFonts w:ascii="Arial" w:hAnsi="Arial" w:cs="Arial"/>
          <w:iCs/>
          <w:szCs w:val="24"/>
        </w:rPr>
        <w:t>total</w:t>
      </w:r>
      <w:r w:rsidRPr="00D9446A">
        <w:rPr>
          <w:rFonts w:ascii="Arial" w:hAnsi="Arial" w:cs="Arial"/>
          <w:iCs/>
          <w:szCs w:val="24"/>
        </w:rPr>
        <w:t xml:space="preserve">, $1,050,236 are proposed to be programed as revenue to support Roads Capital projects and programs (see </w:t>
      </w:r>
      <w:r w:rsidRPr="00F74156">
        <w:rPr>
          <w:rFonts w:ascii="Arial" w:hAnsi="Arial" w:cs="Arial"/>
          <w:bCs/>
        </w:rPr>
        <w:t>County Road Maintenance Fund</w:t>
      </w:r>
      <w:r w:rsidRPr="00F27AD8" w:rsidDel="006A3642">
        <w:rPr>
          <w:rFonts w:ascii="Arial" w:hAnsi="Arial" w:cs="Arial"/>
          <w:iCs/>
          <w:szCs w:val="24"/>
        </w:rPr>
        <w:t xml:space="preserve"> </w:t>
      </w:r>
      <w:r w:rsidRPr="00D9446A">
        <w:rPr>
          <w:rFonts w:ascii="Arial" w:hAnsi="Arial" w:cs="Arial"/>
          <w:iCs/>
          <w:szCs w:val="24"/>
        </w:rPr>
        <w:t xml:space="preserve">3855 &amp; </w:t>
      </w:r>
      <w:r w:rsidRPr="00F27AD8">
        <w:rPr>
          <w:rFonts w:ascii="Arial" w:hAnsi="Arial" w:cs="Arial"/>
          <w:iCs/>
          <w:szCs w:val="24"/>
        </w:rPr>
        <w:t xml:space="preserve">King County Road Construction Fund </w:t>
      </w:r>
      <w:r w:rsidRPr="00D9446A">
        <w:rPr>
          <w:rFonts w:ascii="Arial" w:hAnsi="Arial" w:cs="Arial"/>
          <w:iCs/>
          <w:szCs w:val="24"/>
        </w:rPr>
        <w:t xml:space="preserve">3865).  According to the Executive, the remaining $192,819 represent $73,378 in grant work which was completed without needing the full appropriation and $119,441 in fund balance which was inadvertently left </w:t>
      </w:r>
      <w:r w:rsidRPr="00D9446A">
        <w:rPr>
          <w:rFonts w:ascii="Arial" w:hAnsi="Arial" w:cs="Arial"/>
          <w:iCs/>
          <w:szCs w:val="24"/>
        </w:rPr>
        <w:lastRenderedPageBreak/>
        <w:t xml:space="preserve">unprogrammed.  The intent was to transfer the fund balance to the Countywide Quick Response program in </w:t>
      </w:r>
      <w:r>
        <w:rPr>
          <w:rFonts w:ascii="Arial" w:hAnsi="Arial" w:cs="Arial"/>
          <w:iCs/>
          <w:szCs w:val="24"/>
        </w:rPr>
        <w:t xml:space="preserve">County Road Maintenance </w:t>
      </w:r>
      <w:r w:rsidRPr="00D9446A">
        <w:rPr>
          <w:rFonts w:ascii="Arial" w:hAnsi="Arial" w:cs="Arial"/>
          <w:iCs/>
          <w:szCs w:val="24"/>
        </w:rPr>
        <w:t>Fund 3855</w:t>
      </w:r>
      <w:r w:rsidRPr="00D9446A">
        <w:rPr>
          <w:rFonts w:ascii="Arial" w:hAnsi="Arial" w:cs="Arial"/>
          <w:iCs/>
        </w:rPr>
        <w:t>.</w:t>
      </w:r>
      <w:r w:rsidRPr="00D9446A">
        <w:rPr>
          <w:rStyle w:val="FootnoteReference"/>
          <w:rFonts w:ascii="Arial" w:hAnsi="Arial" w:cs="Arial"/>
          <w:iCs/>
        </w:rPr>
        <w:footnoteReference w:id="25"/>
      </w:r>
      <w:r w:rsidRPr="00D9446A">
        <w:rPr>
          <w:rFonts w:ascii="Arial" w:hAnsi="Arial" w:cs="Arial"/>
          <w:iCs/>
        </w:rPr>
        <w:t xml:space="preserve"> </w:t>
      </w:r>
    </w:p>
    <w:p w14:paraId="16A6DB45" w14:textId="77777777" w:rsidR="007853B2" w:rsidRDefault="007853B2" w:rsidP="007853B2">
      <w:pPr>
        <w:spacing w:line="264" w:lineRule="auto"/>
        <w:contextualSpacing/>
        <w:jc w:val="both"/>
        <w:rPr>
          <w:rFonts w:ascii="Arial" w:hAnsi="Arial" w:cs="Arial"/>
          <w:iCs/>
        </w:rPr>
      </w:pPr>
    </w:p>
    <w:p w14:paraId="1A36B56B" w14:textId="77777777" w:rsidR="007853B2" w:rsidRPr="00D9446A" w:rsidRDefault="007853B2" w:rsidP="007853B2">
      <w:pPr>
        <w:spacing w:line="264" w:lineRule="auto"/>
        <w:contextualSpacing/>
        <w:jc w:val="both"/>
        <w:rPr>
          <w:rFonts w:ascii="Arial" w:hAnsi="Arial" w:cs="Arial"/>
          <w:iCs/>
        </w:rPr>
      </w:pPr>
    </w:p>
    <w:p w14:paraId="3FDA8B0F" w14:textId="77777777" w:rsidR="007853B2" w:rsidRPr="009A6AEA" w:rsidRDefault="007853B2" w:rsidP="007853B2">
      <w:pPr>
        <w:tabs>
          <w:tab w:val="left" w:pos="720"/>
          <w:tab w:val="right" w:pos="9360"/>
        </w:tabs>
        <w:spacing w:line="264" w:lineRule="auto"/>
        <w:contextualSpacing/>
        <w:jc w:val="both"/>
        <w:rPr>
          <w:rFonts w:ascii="Arial" w:hAnsi="Arial" w:cs="Arial"/>
          <w:b/>
          <w:u w:val="single"/>
        </w:rPr>
      </w:pPr>
      <w:r w:rsidRPr="00D9446A">
        <w:rPr>
          <w:rFonts w:ascii="Arial" w:hAnsi="Arial" w:cs="Arial"/>
          <w:b/>
          <w:u w:val="single"/>
        </w:rPr>
        <w:t xml:space="preserve">King County Road Construction Fund </w:t>
      </w:r>
      <w:r>
        <w:rPr>
          <w:rFonts w:ascii="Arial" w:hAnsi="Arial" w:cs="Arial"/>
          <w:b/>
          <w:u w:val="single"/>
        </w:rPr>
        <w:t>(</w:t>
      </w:r>
      <w:r w:rsidRPr="00D9446A">
        <w:rPr>
          <w:rFonts w:ascii="Arial" w:hAnsi="Arial" w:cs="Arial"/>
          <w:b/>
          <w:u w:val="single"/>
        </w:rPr>
        <w:t>3865</w:t>
      </w:r>
      <w:r>
        <w:rPr>
          <w:rFonts w:ascii="Arial" w:hAnsi="Arial" w:cs="Arial"/>
          <w:b/>
          <w:u w:val="single"/>
        </w:rPr>
        <w:t>)</w:t>
      </w:r>
      <w:r w:rsidRPr="000E7446">
        <w:rPr>
          <w:rFonts w:ascii="Arial" w:hAnsi="Arial" w:cs="Arial"/>
          <w:b/>
          <w:u w:val="single"/>
        </w:rPr>
        <w:tab/>
      </w:r>
      <w:r w:rsidRPr="006A3642">
        <w:rPr>
          <w:rFonts w:ascii="Arial" w:hAnsi="Arial" w:cs="Arial"/>
          <w:b/>
          <w:color w:val="C00000"/>
          <w:u w:val="single"/>
        </w:rPr>
        <w:t>-$</w:t>
      </w:r>
      <w:r w:rsidRPr="00D9446A">
        <w:rPr>
          <w:rFonts w:ascii="Arial" w:hAnsi="Arial" w:cs="Arial"/>
          <w:b/>
          <w:i/>
          <w:iCs/>
          <w:color w:val="C0504D" w:themeColor="accent2"/>
          <w:u w:val="single"/>
        </w:rPr>
        <w:t>2,202,411</w:t>
      </w:r>
    </w:p>
    <w:p w14:paraId="3E159956" w14:textId="77777777" w:rsidR="007853B2" w:rsidRPr="00D9446A" w:rsidRDefault="007853B2" w:rsidP="007853B2">
      <w:pPr>
        <w:spacing w:line="264" w:lineRule="auto"/>
        <w:contextualSpacing/>
        <w:jc w:val="both"/>
        <w:rPr>
          <w:rFonts w:ascii="Arial" w:hAnsi="Arial" w:cs="Arial"/>
          <w:b/>
          <w:highlight w:val="yellow"/>
        </w:rPr>
      </w:pPr>
    </w:p>
    <w:p w14:paraId="5DA85EBE" w14:textId="77777777" w:rsidR="007853B2" w:rsidRPr="00D9446A" w:rsidRDefault="007853B2" w:rsidP="004B64F6">
      <w:pPr>
        <w:spacing w:line="264" w:lineRule="auto"/>
        <w:contextualSpacing/>
        <w:jc w:val="both"/>
        <w:rPr>
          <w:rFonts w:ascii="Arial" w:hAnsi="Arial" w:cs="Arial"/>
          <w:bCs/>
        </w:rPr>
      </w:pPr>
      <w:r w:rsidRPr="00D9446A">
        <w:rPr>
          <w:rFonts w:ascii="Arial" w:hAnsi="Arial" w:cs="Arial"/>
          <w:b/>
          <w:i/>
          <w:iCs/>
        </w:rPr>
        <w:t>King County Road Construction Projects [</w:t>
      </w:r>
      <w:r w:rsidRPr="00D9446A">
        <w:rPr>
          <w:rFonts w:ascii="Arial" w:hAnsi="Arial" w:cs="Arial"/>
          <w:b/>
          <w:i/>
          <w:iCs/>
          <w:color w:val="C0504D" w:themeColor="accent2"/>
        </w:rPr>
        <w:t>-$2,202,411</w:t>
      </w:r>
      <w:r w:rsidRPr="00D9446A">
        <w:rPr>
          <w:rFonts w:ascii="Arial" w:hAnsi="Arial" w:cs="Arial"/>
          <w:b/>
          <w:i/>
          <w:iCs/>
        </w:rPr>
        <w:t xml:space="preserve">]. </w:t>
      </w:r>
      <w:r w:rsidRPr="00D9446A">
        <w:rPr>
          <w:rFonts w:ascii="Arial" w:hAnsi="Arial" w:cs="Arial"/>
          <w:bCs/>
        </w:rPr>
        <w:t xml:space="preserve"> The proposed ordinance would appropriate $3,047,589 in additional funding to existing King County Road Construction projects and disappropriate $5,250,000 from another existing project which was contingent upon a grant that was not awarded.  The table below shows the proposed requests and funding sources. </w:t>
      </w:r>
    </w:p>
    <w:p w14:paraId="16BD67E3" w14:textId="3678448B" w:rsidR="007853B2" w:rsidRPr="00373A14" w:rsidRDefault="007853B2" w:rsidP="004B64F6">
      <w:pPr>
        <w:spacing w:line="264" w:lineRule="auto"/>
        <w:contextualSpacing/>
        <w:rPr>
          <w:rFonts w:ascii="Arial" w:hAnsi="Arial" w:cs="Arial"/>
          <w:b/>
          <w:szCs w:val="24"/>
        </w:rPr>
      </w:pPr>
      <w:bookmarkStart w:id="7" w:name="_Hlk84850985"/>
    </w:p>
    <w:tbl>
      <w:tblPr>
        <w:tblStyle w:val="TableGrid"/>
        <w:tblW w:w="9360" w:type="dxa"/>
        <w:tblInd w:w="108" w:type="dxa"/>
        <w:tblLayout w:type="fixed"/>
        <w:tblLook w:val="04A0" w:firstRow="1" w:lastRow="0" w:firstColumn="1" w:lastColumn="0" w:noHBand="0" w:noVBand="1"/>
      </w:tblPr>
      <w:tblGrid>
        <w:gridCol w:w="2070"/>
        <w:gridCol w:w="270"/>
        <w:gridCol w:w="1710"/>
        <w:gridCol w:w="270"/>
        <w:gridCol w:w="5040"/>
      </w:tblGrid>
      <w:tr w:rsidR="007853B2" w:rsidRPr="00373A14" w14:paraId="720F395A" w14:textId="77777777" w:rsidTr="00E21034">
        <w:trPr>
          <w:cantSplit/>
          <w:tblHeader/>
        </w:trPr>
        <w:tc>
          <w:tcPr>
            <w:tcW w:w="2070" w:type="dxa"/>
            <w:tcBorders>
              <w:top w:val="single" w:sz="12" w:space="0" w:color="auto"/>
              <w:left w:val="nil"/>
              <w:bottom w:val="single" w:sz="4" w:space="0" w:color="auto"/>
              <w:right w:val="nil"/>
            </w:tcBorders>
            <w:shd w:val="clear" w:color="auto" w:fill="auto"/>
          </w:tcPr>
          <w:p w14:paraId="7B473046" w14:textId="3EEA4DE1" w:rsidR="007853B2" w:rsidRPr="00373A14" w:rsidRDefault="007853B2" w:rsidP="004B64F6">
            <w:pPr>
              <w:spacing w:line="264" w:lineRule="auto"/>
              <w:contextualSpacing/>
              <w:jc w:val="both"/>
              <w:rPr>
                <w:rFonts w:ascii="Arial" w:hAnsi="Arial" w:cs="Arial"/>
                <w:b/>
                <w:sz w:val="22"/>
                <w:szCs w:val="22"/>
              </w:rPr>
            </w:pPr>
            <w:r w:rsidRPr="00373A14">
              <w:rPr>
                <w:rFonts w:ascii="Arial" w:hAnsi="Arial" w:cs="Arial"/>
                <w:b/>
                <w:sz w:val="22"/>
                <w:szCs w:val="22"/>
              </w:rPr>
              <w:t>Project</w:t>
            </w:r>
          </w:p>
        </w:tc>
        <w:tc>
          <w:tcPr>
            <w:tcW w:w="270" w:type="dxa"/>
            <w:tcBorders>
              <w:top w:val="single" w:sz="12" w:space="0" w:color="auto"/>
              <w:left w:val="nil"/>
              <w:bottom w:val="nil"/>
              <w:right w:val="nil"/>
            </w:tcBorders>
          </w:tcPr>
          <w:p w14:paraId="7513F233" w14:textId="77777777" w:rsidR="007853B2" w:rsidRPr="00373A14" w:rsidRDefault="007853B2" w:rsidP="004B64F6">
            <w:pPr>
              <w:spacing w:line="264" w:lineRule="auto"/>
              <w:contextualSpacing/>
              <w:jc w:val="center"/>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tcPr>
          <w:p w14:paraId="193F89A3" w14:textId="77777777" w:rsidR="007853B2" w:rsidRPr="00373A14" w:rsidRDefault="007853B2" w:rsidP="004B64F6">
            <w:pPr>
              <w:spacing w:line="264" w:lineRule="auto"/>
              <w:contextualSpacing/>
              <w:jc w:val="center"/>
              <w:rPr>
                <w:rFonts w:ascii="Arial" w:hAnsi="Arial" w:cs="Arial"/>
                <w:b/>
                <w:sz w:val="22"/>
                <w:szCs w:val="22"/>
              </w:rPr>
            </w:pPr>
            <w:r>
              <w:rPr>
                <w:rFonts w:ascii="Arial" w:hAnsi="Arial" w:cs="Arial"/>
                <w:b/>
                <w:sz w:val="22"/>
                <w:szCs w:val="22"/>
              </w:rPr>
              <w:t>Proposed Appropriation</w:t>
            </w:r>
          </w:p>
        </w:tc>
        <w:tc>
          <w:tcPr>
            <w:tcW w:w="270" w:type="dxa"/>
            <w:tcBorders>
              <w:top w:val="single" w:sz="12" w:space="0" w:color="auto"/>
              <w:left w:val="nil"/>
              <w:bottom w:val="nil"/>
              <w:right w:val="nil"/>
            </w:tcBorders>
          </w:tcPr>
          <w:p w14:paraId="358FF67A" w14:textId="77777777" w:rsidR="007853B2" w:rsidRPr="00373A14" w:rsidRDefault="007853B2" w:rsidP="004B64F6">
            <w:pPr>
              <w:spacing w:line="264" w:lineRule="auto"/>
              <w:contextualSpacing/>
              <w:jc w:val="center"/>
              <w:rPr>
                <w:rFonts w:ascii="Arial" w:hAnsi="Arial" w:cs="Arial"/>
                <w:b/>
                <w:sz w:val="22"/>
                <w:szCs w:val="22"/>
              </w:rPr>
            </w:pPr>
          </w:p>
        </w:tc>
        <w:tc>
          <w:tcPr>
            <w:tcW w:w="5040" w:type="dxa"/>
            <w:tcBorders>
              <w:top w:val="single" w:sz="12" w:space="0" w:color="auto"/>
              <w:left w:val="nil"/>
              <w:bottom w:val="single" w:sz="4" w:space="0" w:color="auto"/>
              <w:right w:val="nil"/>
            </w:tcBorders>
            <w:shd w:val="clear" w:color="auto" w:fill="auto"/>
          </w:tcPr>
          <w:p w14:paraId="6EEF6C00" w14:textId="77777777" w:rsidR="007853B2" w:rsidRPr="00373A14" w:rsidRDefault="007853B2" w:rsidP="004B64F6">
            <w:pPr>
              <w:spacing w:line="264" w:lineRule="auto"/>
              <w:contextualSpacing/>
              <w:rPr>
                <w:rFonts w:ascii="Arial" w:hAnsi="Arial" w:cs="Arial"/>
                <w:b/>
                <w:sz w:val="22"/>
                <w:szCs w:val="22"/>
              </w:rPr>
            </w:pPr>
            <w:r w:rsidRPr="00373A14">
              <w:rPr>
                <w:rFonts w:ascii="Arial" w:hAnsi="Arial" w:cs="Arial"/>
                <w:b/>
                <w:sz w:val="22"/>
                <w:szCs w:val="22"/>
              </w:rPr>
              <w:t>Funding Sources</w:t>
            </w:r>
          </w:p>
        </w:tc>
      </w:tr>
      <w:tr w:rsidR="007853B2" w:rsidRPr="00373A14" w14:paraId="6431EB8B" w14:textId="77777777" w:rsidTr="00E21034">
        <w:trPr>
          <w:cantSplit/>
        </w:trPr>
        <w:tc>
          <w:tcPr>
            <w:tcW w:w="2070" w:type="dxa"/>
            <w:tcBorders>
              <w:top w:val="single" w:sz="4" w:space="0" w:color="auto"/>
              <w:left w:val="nil"/>
              <w:bottom w:val="dotted" w:sz="4" w:space="0" w:color="auto"/>
              <w:right w:val="nil"/>
            </w:tcBorders>
            <w:shd w:val="clear" w:color="auto" w:fill="auto"/>
            <w:tcMar>
              <w:top w:w="43" w:type="dxa"/>
              <w:left w:w="115" w:type="dxa"/>
              <w:bottom w:w="43" w:type="dxa"/>
              <w:right w:w="115" w:type="dxa"/>
            </w:tcMar>
          </w:tcPr>
          <w:p w14:paraId="4D182D8D"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 xml:space="preserve">Renton Ave PH III Sidewalk  </w:t>
            </w:r>
          </w:p>
        </w:tc>
        <w:tc>
          <w:tcPr>
            <w:tcW w:w="270" w:type="dxa"/>
            <w:tcBorders>
              <w:top w:val="nil"/>
              <w:left w:val="nil"/>
              <w:bottom w:val="nil"/>
              <w:right w:val="nil"/>
            </w:tcBorders>
          </w:tcPr>
          <w:p w14:paraId="33985DCE" w14:textId="77777777" w:rsidR="007853B2" w:rsidRPr="00D9446A" w:rsidRDefault="007853B2" w:rsidP="004B64F6">
            <w:pPr>
              <w:spacing w:line="264" w:lineRule="auto"/>
              <w:contextualSpacing/>
              <w:jc w:val="right"/>
              <w:rPr>
                <w:rFonts w:ascii="Arial" w:hAnsi="Arial" w:cs="Arial"/>
                <w:sz w:val="22"/>
                <w:szCs w:val="22"/>
              </w:rPr>
            </w:pPr>
          </w:p>
        </w:tc>
        <w:tc>
          <w:tcPr>
            <w:tcW w:w="1710" w:type="dxa"/>
            <w:tcBorders>
              <w:top w:val="single" w:sz="4" w:space="0" w:color="auto"/>
              <w:left w:val="nil"/>
              <w:bottom w:val="dotted" w:sz="4" w:space="0" w:color="auto"/>
              <w:right w:val="nil"/>
            </w:tcBorders>
            <w:shd w:val="clear" w:color="auto" w:fill="auto"/>
            <w:tcMar>
              <w:top w:w="43" w:type="dxa"/>
              <w:left w:w="115" w:type="dxa"/>
              <w:bottom w:w="43" w:type="dxa"/>
              <w:right w:w="115" w:type="dxa"/>
            </w:tcMar>
          </w:tcPr>
          <w:p w14:paraId="77536AAB"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$300,000</w:t>
            </w:r>
          </w:p>
        </w:tc>
        <w:tc>
          <w:tcPr>
            <w:tcW w:w="270" w:type="dxa"/>
            <w:tcBorders>
              <w:top w:val="nil"/>
              <w:left w:val="nil"/>
              <w:bottom w:val="nil"/>
              <w:right w:val="nil"/>
            </w:tcBorders>
          </w:tcPr>
          <w:p w14:paraId="56302339" w14:textId="77777777" w:rsidR="007853B2" w:rsidRPr="00D9446A" w:rsidRDefault="007853B2" w:rsidP="004B64F6">
            <w:pPr>
              <w:spacing w:line="264" w:lineRule="auto"/>
              <w:contextualSpacing/>
              <w:jc w:val="right"/>
              <w:rPr>
                <w:rFonts w:ascii="Arial" w:hAnsi="Arial" w:cs="Arial"/>
                <w:bCs/>
                <w:sz w:val="22"/>
                <w:szCs w:val="22"/>
              </w:rPr>
            </w:pPr>
          </w:p>
        </w:tc>
        <w:tc>
          <w:tcPr>
            <w:tcW w:w="5040" w:type="dxa"/>
            <w:tcBorders>
              <w:top w:val="single" w:sz="4" w:space="0" w:color="auto"/>
              <w:left w:val="nil"/>
              <w:bottom w:val="dotted" w:sz="4" w:space="0" w:color="auto"/>
              <w:right w:val="nil"/>
            </w:tcBorders>
            <w:shd w:val="clear" w:color="auto" w:fill="auto"/>
          </w:tcPr>
          <w:p w14:paraId="0FC41A5A" w14:textId="77777777" w:rsidR="007853B2" w:rsidRDefault="007853B2" w:rsidP="004B64F6">
            <w:pPr>
              <w:spacing w:line="264" w:lineRule="auto"/>
              <w:contextualSpacing/>
              <w:rPr>
                <w:rFonts w:ascii="Arial" w:hAnsi="Arial" w:cs="Arial"/>
                <w:sz w:val="22"/>
                <w:szCs w:val="22"/>
              </w:rPr>
            </w:pPr>
            <w:r w:rsidRPr="00D9446A">
              <w:rPr>
                <w:rFonts w:ascii="Arial" w:hAnsi="Arial" w:cs="Arial"/>
                <w:sz w:val="22"/>
                <w:szCs w:val="22"/>
              </w:rPr>
              <w:t>REET 1 New Request</w:t>
            </w:r>
          </w:p>
          <w:p w14:paraId="71339D99" w14:textId="77777777" w:rsidR="007853B2" w:rsidRPr="00D9446A" w:rsidRDefault="007853B2" w:rsidP="004B64F6">
            <w:pPr>
              <w:spacing w:line="264" w:lineRule="auto"/>
              <w:contextualSpacing/>
              <w:rPr>
                <w:rFonts w:ascii="Arial" w:hAnsi="Arial" w:cs="Arial"/>
                <w:sz w:val="22"/>
                <w:szCs w:val="22"/>
              </w:rPr>
            </w:pPr>
          </w:p>
        </w:tc>
      </w:tr>
      <w:tr w:rsidR="007853B2" w:rsidRPr="00373A14" w14:paraId="1296E096" w14:textId="77777777" w:rsidTr="00E21034">
        <w:trPr>
          <w:cantSplit/>
        </w:trPr>
        <w:tc>
          <w:tcPr>
            <w:tcW w:w="207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6A26222A"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 xml:space="preserve">Highline School District </w:t>
            </w:r>
          </w:p>
        </w:tc>
        <w:tc>
          <w:tcPr>
            <w:tcW w:w="270" w:type="dxa"/>
            <w:tcBorders>
              <w:top w:val="nil"/>
              <w:left w:val="nil"/>
              <w:bottom w:val="nil"/>
              <w:right w:val="nil"/>
            </w:tcBorders>
          </w:tcPr>
          <w:p w14:paraId="53F989F6" w14:textId="77777777" w:rsidR="007853B2" w:rsidRPr="00D9446A" w:rsidRDefault="007853B2" w:rsidP="004B64F6">
            <w:pPr>
              <w:spacing w:line="264" w:lineRule="auto"/>
              <w:contextualSpacing/>
              <w:jc w:val="right"/>
              <w:rPr>
                <w:rFonts w:ascii="Arial" w:hAnsi="Arial" w:cs="Arial"/>
                <w:sz w:val="22"/>
                <w:szCs w:val="22"/>
              </w:rPr>
            </w:pP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72E8101"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w:t>
            </w:r>
            <w:r w:rsidRPr="00D9446A">
              <w:rPr>
                <w:rFonts w:ascii="Arial" w:hAnsi="Arial" w:cs="Arial"/>
                <w:bCs/>
                <w:sz w:val="22"/>
                <w:szCs w:val="22"/>
              </w:rPr>
              <w:t>$5,250,000</w:t>
            </w:r>
            <w:r w:rsidRPr="00D9446A">
              <w:rPr>
                <w:rFonts w:ascii="Arial" w:hAnsi="Arial" w:cs="Arial"/>
                <w:sz w:val="22"/>
                <w:szCs w:val="22"/>
              </w:rPr>
              <w:t>)</w:t>
            </w:r>
          </w:p>
        </w:tc>
        <w:tc>
          <w:tcPr>
            <w:tcW w:w="270" w:type="dxa"/>
            <w:tcBorders>
              <w:top w:val="nil"/>
              <w:left w:val="nil"/>
              <w:bottom w:val="nil"/>
              <w:right w:val="nil"/>
            </w:tcBorders>
          </w:tcPr>
          <w:p w14:paraId="3E17C6A6" w14:textId="77777777" w:rsidR="007853B2" w:rsidRPr="00D9446A" w:rsidRDefault="007853B2" w:rsidP="004B64F6">
            <w:pPr>
              <w:spacing w:line="264" w:lineRule="auto"/>
              <w:contextualSpacing/>
              <w:jc w:val="right"/>
              <w:rPr>
                <w:rFonts w:ascii="Arial" w:hAnsi="Arial" w:cs="Arial"/>
                <w:bCs/>
                <w:sz w:val="22"/>
                <w:szCs w:val="22"/>
              </w:rPr>
            </w:pPr>
          </w:p>
        </w:tc>
        <w:tc>
          <w:tcPr>
            <w:tcW w:w="5040" w:type="dxa"/>
            <w:tcBorders>
              <w:top w:val="dotted" w:sz="4" w:space="0" w:color="auto"/>
              <w:left w:val="nil"/>
              <w:bottom w:val="dotted" w:sz="4" w:space="0" w:color="auto"/>
              <w:right w:val="nil"/>
            </w:tcBorders>
            <w:shd w:val="clear" w:color="auto" w:fill="auto"/>
          </w:tcPr>
          <w:p w14:paraId="312CAC7E" w14:textId="77777777" w:rsidR="007853B2" w:rsidRDefault="007853B2" w:rsidP="004B64F6">
            <w:pPr>
              <w:spacing w:line="264" w:lineRule="auto"/>
              <w:contextualSpacing/>
              <w:rPr>
                <w:rFonts w:ascii="Arial" w:hAnsi="Arial" w:cs="Arial"/>
                <w:sz w:val="22"/>
                <w:szCs w:val="22"/>
              </w:rPr>
            </w:pPr>
            <w:r w:rsidRPr="00D9446A">
              <w:rPr>
                <w:rFonts w:ascii="Arial" w:hAnsi="Arial" w:cs="Arial"/>
                <w:sz w:val="22"/>
                <w:szCs w:val="22"/>
              </w:rPr>
              <w:t>Project was contingent on a grant which was not awarded.</w:t>
            </w:r>
          </w:p>
          <w:p w14:paraId="19E21D9D" w14:textId="77777777" w:rsidR="007853B2" w:rsidRPr="00D9446A" w:rsidRDefault="007853B2" w:rsidP="004B64F6">
            <w:pPr>
              <w:spacing w:line="264" w:lineRule="auto"/>
              <w:contextualSpacing/>
              <w:rPr>
                <w:rFonts w:ascii="Arial" w:hAnsi="Arial" w:cs="Arial"/>
                <w:sz w:val="22"/>
                <w:szCs w:val="22"/>
              </w:rPr>
            </w:pPr>
          </w:p>
        </w:tc>
      </w:tr>
      <w:tr w:rsidR="007853B2" w:rsidRPr="00373A14" w14:paraId="5972DC3F" w14:textId="77777777" w:rsidTr="00E21034">
        <w:trPr>
          <w:cantSplit/>
        </w:trPr>
        <w:tc>
          <w:tcPr>
            <w:tcW w:w="207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1329815"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 xml:space="preserve">S 360ST &amp; Military RD Roundabout  </w:t>
            </w:r>
          </w:p>
        </w:tc>
        <w:tc>
          <w:tcPr>
            <w:tcW w:w="270" w:type="dxa"/>
            <w:tcBorders>
              <w:top w:val="nil"/>
              <w:left w:val="nil"/>
              <w:bottom w:val="nil"/>
              <w:right w:val="nil"/>
            </w:tcBorders>
          </w:tcPr>
          <w:p w14:paraId="4D01434E" w14:textId="77777777" w:rsidR="007853B2" w:rsidRPr="00D9446A" w:rsidRDefault="007853B2" w:rsidP="004B64F6">
            <w:pPr>
              <w:spacing w:line="264" w:lineRule="auto"/>
              <w:contextualSpacing/>
              <w:jc w:val="right"/>
              <w:rPr>
                <w:rFonts w:ascii="Arial" w:hAnsi="Arial" w:cs="Arial"/>
                <w:sz w:val="22"/>
                <w:szCs w:val="22"/>
              </w:rPr>
            </w:pP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47FF3D5"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$459,000</w:t>
            </w:r>
          </w:p>
        </w:tc>
        <w:tc>
          <w:tcPr>
            <w:tcW w:w="270" w:type="dxa"/>
            <w:tcBorders>
              <w:top w:val="nil"/>
              <w:left w:val="nil"/>
              <w:bottom w:val="nil"/>
              <w:right w:val="nil"/>
            </w:tcBorders>
          </w:tcPr>
          <w:p w14:paraId="7BBA0CD0" w14:textId="77777777" w:rsidR="007853B2" w:rsidRPr="00D9446A" w:rsidRDefault="007853B2" w:rsidP="004B64F6">
            <w:pPr>
              <w:spacing w:line="264" w:lineRule="auto"/>
              <w:contextualSpacing/>
              <w:jc w:val="right"/>
              <w:rPr>
                <w:rFonts w:ascii="Arial" w:hAnsi="Arial" w:cs="Arial"/>
                <w:bCs/>
                <w:sz w:val="22"/>
                <w:szCs w:val="22"/>
              </w:rPr>
            </w:pPr>
          </w:p>
        </w:tc>
        <w:tc>
          <w:tcPr>
            <w:tcW w:w="5040" w:type="dxa"/>
            <w:tcBorders>
              <w:top w:val="dotted" w:sz="4" w:space="0" w:color="auto"/>
              <w:left w:val="nil"/>
              <w:bottom w:val="dotted" w:sz="4" w:space="0" w:color="auto"/>
              <w:right w:val="nil"/>
            </w:tcBorders>
            <w:shd w:val="clear" w:color="auto" w:fill="auto"/>
          </w:tcPr>
          <w:p w14:paraId="2B8A90FC" w14:textId="77777777" w:rsidR="007853B2" w:rsidRPr="00D9446A" w:rsidRDefault="007853B2" w:rsidP="004B64F6">
            <w:pPr>
              <w:pStyle w:val="ListParagraph0"/>
              <w:numPr>
                <w:ilvl w:val="0"/>
                <w:numId w:val="32"/>
              </w:numPr>
              <w:spacing w:line="264" w:lineRule="auto"/>
              <w:contextualSpacing/>
              <w:rPr>
                <w:rFonts w:ascii="Arial" w:hAnsi="Arial" w:cs="Arial"/>
                <w:sz w:val="22"/>
                <w:szCs w:val="22"/>
              </w:rPr>
            </w:pPr>
            <w:r w:rsidRPr="00D9446A">
              <w:rPr>
                <w:rFonts w:ascii="Arial" w:hAnsi="Arial" w:cs="Arial"/>
                <w:sz w:val="22"/>
                <w:szCs w:val="22"/>
              </w:rPr>
              <w:t xml:space="preserve">Disappropriate $1,903,125 </w:t>
            </w:r>
            <w:r>
              <w:rPr>
                <w:rFonts w:ascii="Arial" w:hAnsi="Arial" w:cs="Arial"/>
                <w:sz w:val="22"/>
                <w:szCs w:val="22"/>
              </w:rPr>
              <w:t xml:space="preserve">of </w:t>
            </w:r>
            <w:r w:rsidRPr="00D9446A">
              <w:rPr>
                <w:rFonts w:ascii="Arial" w:hAnsi="Arial" w:cs="Arial"/>
                <w:sz w:val="22"/>
                <w:szCs w:val="22"/>
              </w:rPr>
              <w:t>REET 1</w:t>
            </w:r>
          </w:p>
          <w:p w14:paraId="7DE8CC1D" w14:textId="3DBA9238" w:rsidR="007853B2" w:rsidRPr="00D9446A" w:rsidRDefault="007853B2" w:rsidP="004B64F6">
            <w:pPr>
              <w:pStyle w:val="ListParagraph0"/>
              <w:numPr>
                <w:ilvl w:val="0"/>
                <w:numId w:val="32"/>
              </w:numPr>
              <w:spacing w:line="264" w:lineRule="auto"/>
              <w:contextualSpacing/>
              <w:rPr>
                <w:rFonts w:ascii="Arial" w:hAnsi="Arial" w:cs="Arial"/>
                <w:sz w:val="22"/>
                <w:szCs w:val="22"/>
              </w:rPr>
            </w:pPr>
            <w:r w:rsidRPr="00D9446A">
              <w:rPr>
                <w:rFonts w:ascii="Arial" w:hAnsi="Arial" w:cs="Arial"/>
                <w:sz w:val="22"/>
                <w:szCs w:val="22"/>
              </w:rPr>
              <w:t>Disappropriate $34</w:t>
            </w:r>
            <w:r>
              <w:rPr>
                <w:rFonts w:ascii="Arial" w:hAnsi="Arial" w:cs="Arial"/>
                <w:sz w:val="22"/>
                <w:szCs w:val="22"/>
              </w:rPr>
              <w:t>0</w:t>
            </w:r>
            <w:r w:rsidRPr="00D9446A">
              <w:rPr>
                <w:rFonts w:ascii="Arial" w:hAnsi="Arial" w:cs="Arial"/>
                <w:sz w:val="22"/>
                <w:szCs w:val="22"/>
              </w:rPr>
              <w:t xml:space="preserve">,000 Road </w:t>
            </w:r>
            <w:r>
              <w:rPr>
                <w:rFonts w:ascii="Arial" w:hAnsi="Arial" w:cs="Arial"/>
                <w:sz w:val="22"/>
                <w:szCs w:val="22"/>
              </w:rPr>
              <w:t xml:space="preserve">Op </w:t>
            </w:r>
            <w:r w:rsidRPr="00D9446A">
              <w:rPr>
                <w:rFonts w:ascii="Arial" w:hAnsi="Arial" w:cs="Arial"/>
                <w:sz w:val="22"/>
                <w:szCs w:val="22"/>
              </w:rPr>
              <w:t xml:space="preserve">Funds </w:t>
            </w:r>
          </w:p>
          <w:p w14:paraId="66EB7A0E" w14:textId="77777777" w:rsidR="007853B2" w:rsidRDefault="007853B2" w:rsidP="004B64F6">
            <w:pPr>
              <w:pStyle w:val="ListParagraph0"/>
              <w:numPr>
                <w:ilvl w:val="0"/>
                <w:numId w:val="32"/>
              </w:numPr>
              <w:spacing w:line="264" w:lineRule="auto"/>
              <w:contextualSpacing/>
              <w:rPr>
                <w:rFonts w:ascii="Arial" w:hAnsi="Arial" w:cs="Arial"/>
                <w:sz w:val="22"/>
                <w:szCs w:val="22"/>
              </w:rPr>
            </w:pPr>
            <w:r w:rsidRPr="00D9446A">
              <w:rPr>
                <w:rFonts w:ascii="Arial" w:hAnsi="Arial" w:cs="Arial"/>
                <w:sz w:val="22"/>
                <w:szCs w:val="22"/>
              </w:rPr>
              <w:t>Appropriate $2,703,125 STPU Grant</w:t>
            </w:r>
          </w:p>
          <w:p w14:paraId="72B65F4C" w14:textId="77777777" w:rsidR="007853B2" w:rsidRPr="00D9446A" w:rsidRDefault="007853B2" w:rsidP="004B64F6">
            <w:pPr>
              <w:pStyle w:val="ListParagraph0"/>
              <w:spacing w:line="264" w:lineRule="auto"/>
              <w:ind w:left="360"/>
              <w:contextualSpacing/>
              <w:rPr>
                <w:rFonts w:ascii="Arial" w:hAnsi="Arial" w:cs="Arial"/>
                <w:sz w:val="22"/>
                <w:szCs w:val="22"/>
              </w:rPr>
            </w:pPr>
          </w:p>
        </w:tc>
      </w:tr>
      <w:tr w:rsidR="007853B2" w:rsidRPr="00373A14" w14:paraId="7F6ADEE5" w14:textId="77777777" w:rsidTr="00E21034">
        <w:trPr>
          <w:cantSplit/>
        </w:trPr>
        <w:tc>
          <w:tcPr>
            <w:tcW w:w="207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6783D9F" w14:textId="77777777" w:rsidR="007853B2" w:rsidRPr="00D9446A" w:rsidRDefault="007853B2" w:rsidP="004B64F6">
            <w:pPr>
              <w:spacing w:line="264" w:lineRule="auto"/>
              <w:contextualSpacing/>
              <w:rPr>
                <w:rFonts w:ascii="Arial" w:hAnsi="Arial" w:cs="Arial"/>
                <w:sz w:val="22"/>
                <w:szCs w:val="22"/>
              </w:rPr>
            </w:pPr>
            <w:r w:rsidRPr="00D9446A">
              <w:rPr>
                <w:rFonts w:ascii="Arial" w:hAnsi="Arial" w:cs="Arial"/>
                <w:sz w:val="22"/>
                <w:szCs w:val="22"/>
              </w:rPr>
              <w:t xml:space="preserve">Redmond Ridge DR NE Roundabout </w:t>
            </w:r>
          </w:p>
        </w:tc>
        <w:tc>
          <w:tcPr>
            <w:tcW w:w="270" w:type="dxa"/>
            <w:tcBorders>
              <w:top w:val="nil"/>
              <w:left w:val="nil"/>
              <w:bottom w:val="nil"/>
              <w:right w:val="nil"/>
            </w:tcBorders>
          </w:tcPr>
          <w:p w14:paraId="6DE0C357" w14:textId="77777777" w:rsidR="007853B2" w:rsidRPr="00D9446A" w:rsidRDefault="007853B2" w:rsidP="004B64F6">
            <w:pPr>
              <w:spacing w:line="264" w:lineRule="auto"/>
              <w:contextualSpacing/>
              <w:jc w:val="right"/>
              <w:rPr>
                <w:rFonts w:ascii="Arial" w:hAnsi="Arial" w:cs="Arial"/>
                <w:sz w:val="22"/>
                <w:szCs w:val="22"/>
              </w:rPr>
            </w:pPr>
          </w:p>
        </w:tc>
        <w:tc>
          <w:tcPr>
            <w:tcW w:w="1710"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62B2E4DA" w14:textId="77777777" w:rsidR="007853B2" w:rsidRPr="00D9446A" w:rsidRDefault="007853B2" w:rsidP="004B64F6">
            <w:pPr>
              <w:spacing w:line="264" w:lineRule="auto"/>
              <w:contextualSpacing/>
              <w:jc w:val="right"/>
              <w:rPr>
                <w:rFonts w:ascii="Arial" w:hAnsi="Arial" w:cs="Arial"/>
                <w:sz w:val="22"/>
                <w:szCs w:val="22"/>
              </w:rPr>
            </w:pPr>
            <w:r w:rsidRPr="00D9446A">
              <w:rPr>
                <w:rFonts w:ascii="Arial" w:hAnsi="Arial" w:cs="Arial"/>
                <w:sz w:val="22"/>
                <w:szCs w:val="22"/>
              </w:rPr>
              <w:t>$340,000</w:t>
            </w:r>
          </w:p>
        </w:tc>
        <w:tc>
          <w:tcPr>
            <w:tcW w:w="270" w:type="dxa"/>
            <w:tcBorders>
              <w:top w:val="nil"/>
              <w:left w:val="nil"/>
              <w:bottom w:val="nil"/>
              <w:right w:val="nil"/>
            </w:tcBorders>
          </w:tcPr>
          <w:p w14:paraId="04026FF7" w14:textId="77777777" w:rsidR="007853B2" w:rsidRPr="00D9446A" w:rsidRDefault="007853B2" w:rsidP="004B64F6">
            <w:pPr>
              <w:spacing w:line="264" w:lineRule="auto"/>
              <w:contextualSpacing/>
              <w:jc w:val="right"/>
              <w:rPr>
                <w:rFonts w:ascii="Arial" w:hAnsi="Arial" w:cs="Arial"/>
                <w:bCs/>
                <w:sz w:val="22"/>
                <w:szCs w:val="22"/>
              </w:rPr>
            </w:pPr>
          </w:p>
        </w:tc>
        <w:tc>
          <w:tcPr>
            <w:tcW w:w="5040" w:type="dxa"/>
            <w:tcBorders>
              <w:top w:val="dotted" w:sz="4" w:space="0" w:color="auto"/>
              <w:left w:val="nil"/>
              <w:bottom w:val="dotted" w:sz="4" w:space="0" w:color="auto"/>
              <w:right w:val="nil"/>
            </w:tcBorders>
            <w:shd w:val="clear" w:color="auto" w:fill="auto"/>
          </w:tcPr>
          <w:p w14:paraId="6C8E185E" w14:textId="3988543F" w:rsidR="007853B2" w:rsidRDefault="007853B2" w:rsidP="004B64F6">
            <w:pPr>
              <w:spacing w:line="264" w:lineRule="auto"/>
              <w:ind w:left="90"/>
              <w:contextualSpacing/>
              <w:rPr>
                <w:rFonts w:ascii="Arial" w:hAnsi="Arial" w:cs="Arial"/>
                <w:sz w:val="22"/>
                <w:szCs w:val="22"/>
              </w:rPr>
            </w:pPr>
            <w:r w:rsidRPr="00D9446A">
              <w:rPr>
                <w:rFonts w:ascii="Arial" w:hAnsi="Arial" w:cs="Arial"/>
                <w:sz w:val="22"/>
                <w:szCs w:val="22"/>
              </w:rPr>
              <w:t xml:space="preserve">Road </w:t>
            </w:r>
            <w:r>
              <w:rPr>
                <w:rFonts w:ascii="Arial" w:hAnsi="Arial" w:cs="Arial"/>
                <w:sz w:val="22"/>
                <w:szCs w:val="22"/>
              </w:rPr>
              <w:t xml:space="preserve">Op </w:t>
            </w:r>
            <w:r w:rsidRPr="00D9446A">
              <w:rPr>
                <w:rFonts w:ascii="Arial" w:hAnsi="Arial" w:cs="Arial"/>
                <w:sz w:val="22"/>
                <w:szCs w:val="22"/>
              </w:rPr>
              <w:t xml:space="preserve">Fund Transfer </w:t>
            </w:r>
            <w:r>
              <w:rPr>
                <w:rFonts w:ascii="Arial" w:hAnsi="Arial" w:cs="Arial"/>
                <w:sz w:val="22"/>
                <w:szCs w:val="22"/>
              </w:rPr>
              <w:t>(</w:t>
            </w:r>
            <w:r w:rsidRPr="00D9446A">
              <w:rPr>
                <w:rFonts w:ascii="Arial" w:hAnsi="Arial" w:cs="Arial"/>
                <w:sz w:val="22"/>
                <w:szCs w:val="22"/>
              </w:rPr>
              <w:t>from S 360</w:t>
            </w:r>
            <w:r>
              <w:rPr>
                <w:rFonts w:ascii="Arial" w:hAnsi="Arial" w:cs="Arial"/>
                <w:sz w:val="22"/>
                <w:szCs w:val="22"/>
              </w:rPr>
              <w:t>ST</w:t>
            </w:r>
            <w:r w:rsidRPr="00D9446A">
              <w:rPr>
                <w:rFonts w:ascii="Arial" w:hAnsi="Arial" w:cs="Arial"/>
                <w:sz w:val="22"/>
                <w:szCs w:val="22"/>
              </w:rPr>
              <w:t xml:space="preserve"> &amp; Military RD Roundabout project disappropriation</w:t>
            </w:r>
            <w:r>
              <w:rPr>
                <w:rFonts w:ascii="Arial" w:hAnsi="Arial" w:cs="Arial"/>
                <w:sz w:val="22"/>
                <w:szCs w:val="22"/>
              </w:rPr>
              <w:t>)</w:t>
            </w:r>
          </w:p>
          <w:p w14:paraId="2249AC7C" w14:textId="77777777" w:rsidR="007853B2" w:rsidRPr="00D9446A" w:rsidRDefault="007853B2" w:rsidP="004B64F6">
            <w:pPr>
              <w:spacing w:line="264" w:lineRule="auto"/>
              <w:contextualSpacing/>
              <w:rPr>
                <w:rFonts w:ascii="Arial" w:hAnsi="Arial" w:cs="Arial"/>
                <w:sz w:val="22"/>
                <w:szCs w:val="22"/>
              </w:rPr>
            </w:pPr>
          </w:p>
        </w:tc>
      </w:tr>
      <w:tr w:rsidR="007853B2" w:rsidRPr="00373A14" w14:paraId="5A8A5B4B" w14:textId="77777777" w:rsidTr="00C25A8B">
        <w:trPr>
          <w:cantSplit/>
        </w:trPr>
        <w:tc>
          <w:tcPr>
            <w:tcW w:w="2070" w:type="dxa"/>
            <w:tcBorders>
              <w:top w:val="dotted" w:sz="4" w:space="0" w:color="auto"/>
              <w:left w:val="nil"/>
              <w:bottom w:val="nil"/>
              <w:right w:val="nil"/>
            </w:tcBorders>
            <w:shd w:val="clear" w:color="auto" w:fill="auto"/>
            <w:tcMar>
              <w:top w:w="43" w:type="dxa"/>
              <w:left w:w="115" w:type="dxa"/>
              <w:bottom w:w="43" w:type="dxa"/>
              <w:right w:w="115" w:type="dxa"/>
            </w:tcMar>
          </w:tcPr>
          <w:p w14:paraId="41F5ECD4" w14:textId="77777777" w:rsidR="007853B2" w:rsidRPr="00D9446A" w:rsidRDefault="007853B2" w:rsidP="00E34BBA">
            <w:pPr>
              <w:keepNext/>
              <w:spacing w:line="264" w:lineRule="auto"/>
              <w:contextualSpacing/>
              <w:rPr>
                <w:rFonts w:ascii="Arial" w:hAnsi="Arial" w:cs="Arial"/>
                <w:sz w:val="22"/>
                <w:szCs w:val="22"/>
              </w:rPr>
            </w:pPr>
            <w:r w:rsidRPr="00D9446A">
              <w:rPr>
                <w:rFonts w:ascii="Arial" w:hAnsi="Arial" w:cs="Arial"/>
                <w:sz w:val="22"/>
                <w:szCs w:val="22"/>
              </w:rPr>
              <w:t xml:space="preserve">Road Construction Admin </w:t>
            </w:r>
          </w:p>
        </w:tc>
        <w:tc>
          <w:tcPr>
            <w:tcW w:w="270" w:type="dxa"/>
            <w:tcBorders>
              <w:top w:val="nil"/>
              <w:left w:val="nil"/>
              <w:bottom w:val="nil"/>
              <w:right w:val="nil"/>
            </w:tcBorders>
          </w:tcPr>
          <w:p w14:paraId="128B61C0" w14:textId="77777777" w:rsidR="007853B2" w:rsidRPr="00D9446A" w:rsidRDefault="007853B2" w:rsidP="00E34BBA">
            <w:pPr>
              <w:keepNext/>
              <w:spacing w:line="264" w:lineRule="auto"/>
              <w:contextualSpacing/>
              <w:jc w:val="right"/>
              <w:rPr>
                <w:rFonts w:ascii="Arial" w:hAnsi="Arial" w:cs="Arial"/>
                <w:sz w:val="22"/>
                <w:szCs w:val="22"/>
              </w:rPr>
            </w:pPr>
          </w:p>
        </w:tc>
        <w:tc>
          <w:tcPr>
            <w:tcW w:w="1710" w:type="dxa"/>
            <w:tcBorders>
              <w:top w:val="dotted" w:sz="4" w:space="0" w:color="auto"/>
              <w:left w:val="nil"/>
              <w:bottom w:val="single" w:sz="4" w:space="0" w:color="auto"/>
              <w:right w:val="nil"/>
            </w:tcBorders>
            <w:shd w:val="clear" w:color="auto" w:fill="auto"/>
            <w:tcMar>
              <w:top w:w="43" w:type="dxa"/>
              <w:left w:w="115" w:type="dxa"/>
              <w:bottom w:w="43" w:type="dxa"/>
              <w:right w:w="115" w:type="dxa"/>
            </w:tcMar>
          </w:tcPr>
          <w:p w14:paraId="0831C956" w14:textId="77777777" w:rsidR="007853B2" w:rsidRPr="00D9446A" w:rsidRDefault="007853B2" w:rsidP="00E34BBA">
            <w:pPr>
              <w:keepNext/>
              <w:spacing w:line="264" w:lineRule="auto"/>
              <w:contextualSpacing/>
              <w:jc w:val="right"/>
              <w:rPr>
                <w:rFonts w:ascii="Arial" w:hAnsi="Arial" w:cs="Arial"/>
                <w:sz w:val="22"/>
                <w:szCs w:val="22"/>
              </w:rPr>
            </w:pPr>
            <w:r w:rsidRPr="00D9446A">
              <w:rPr>
                <w:rFonts w:ascii="Arial" w:hAnsi="Arial" w:cs="Arial"/>
                <w:sz w:val="22"/>
                <w:szCs w:val="22"/>
              </w:rPr>
              <w:t>$1,948,589</w:t>
            </w:r>
          </w:p>
        </w:tc>
        <w:tc>
          <w:tcPr>
            <w:tcW w:w="270" w:type="dxa"/>
            <w:tcBorders>
              <w:top w:val="nil"/>
              <w:left w:val="nil"/>
              <w:bottom w:val="nil"/>
              <w:right w:val="nil"/>
            </w:tcBorders>
          </w:tcPr>
          <w:p w14:paraId="79059FC3" w14:textId="77777777" w:rsidR="007853B2" w:rsidRPr="00D9446A" w:rsidRDefault="007853B2" w:rsidP="00E34BBA">
            <w:pPr>
              <w:keepNext/>
              <w:spacing w:line="264" w:lineRule="auto"/>
              <w:contextualSpacing/>
              <w:jc w:val="right"/>
              <w:rPr>
                <w:rFonts w:ascii="Arial" w:hAnsi="Arial" w:cs="Arial"/>
                <w:bCs/>
                <w:sz w:val="22"/>
                <w:szCs w:val="22"/>
              </w:rPr>
            </w:pPr>
          </w:p>
        </w:tc>
        <w:tc>
          <w:tcPr>
            <w:tcW w:w="5040" w:type="dxa"/>
            <w:tcBorders>
              <w:top w:val="dotted" w:sz="4" w:space="0" w:color="auto"/>
              <w:left w:val="nil"/>
              <w:bottom w:val="nil"/>
              <w:right w:val="nil"/>
            </w:tcBorders>
            <w:shd w:val="clear" w:color="auto" w:fill="auto"/>
          </w:tcPr>
          <w:p w14:paraId="67CEEC88" w14:textId="3E14CFED" w:rsidR="007853B2" w:rsidRPr="00D9446A" w:rsidRDefault="007853B2" w:rsidP="00E34BBA">
            <w:pPr>
              <w:pStyle w:val="ListParagraph0"/>
              <w:keepNext/>
              <w:spacing w:line="264" w:lineRule="auto"/>
              <w:ind w:left="0"/>
              <w:contextualSpacing/>
              <w:rPr>
                <w:rFonts w:ascii="Arial" w:hAnsi="Arial" w:cs="Arial"/>
                <w:sz w:val="22"/>
                <w:szCs w:val="22"/>
              </w:rPr>
            </w:pPr>
            <w:r w:rsidRPr="00D9446A">
              <w:rPr>
                <w:rFonts w:ascii="Arial" w:hAnsi="Arial" w:cs="Arial"/>
                <w:sz w:val="22"/>
                <w:szCs w:val="22"/>
              </w:rPr>
              <w:t xml:space="preserve">Appropriation to transfer fund balance, including: </w:t>
            </w:r>
          </w:p>
          <w:p w14:paraId="0854FE71" w14:textId="77777777" w:rsidR="007853B2" w:rsidRPr="00D9446A" w:rsidRDefault="007853B2" w:rsidP="007853B2">
            <w:pPr>
              <w:pStyle w:val="ListParagraph0"/>
              <w:keepNext/>
              <w:numPr>
                <w:ilvl w:val="0"/>
                <w:numId w:val="33"/>
              </w:numPr>
              <w:spacing w:line="264" w:lineRule="auto"/>
              <w:contextualSpacing/>
              <w:rPr>
                <w:rFonts w:ascii="Arial" w:hAnsi="Arial" w:cs="Arial"/>
                <w:sz w:val="22"/>
                <w:szCs w:val="22"/>
              </w:rPr>
            </w:pPr>
            <w:r w:rsidRPr="00D9446A">
              <w:rPr>
                <w:rFonts w:ascii="Arial" w:hAnsi="Arial" w:cs="Arial"/>
                <w:sz w:val="22"/>
                <w:szCs w:val="22"/>
              </w:rPr>
              <w:t xml:space="preserve">$1,903,125 in REET 1 from S 360 &amp; Military RD Roundabout to the Baring Bridge project and the CW Roadway Preservation program (see </w:t>
            </w:r>
            <w:r>
              <w:rPr>
                <w:rFonts w:ascii="Arial" w:hAnsi="Arial" w:cs="Arial"/>
                <w:sz w:val="22"/>
                <w:szCs w:val="22"/>
              </w:rPr>
              <w:t xml:space="preserve">County Road Maintenance </w:t>
            </w:r>
            <w:r w:rsidRPr="00D9446A">
              <w:rPr>
                <w:rFonts w:ascii="Arial" w:hAnsi="Arial" w:cs="Arial"/>
                <w:sz w:val="22"/>
                <w:szCs w:val="22"/>
              </w:rPr>
              <w:t>Fund 3855)</w:t>
            </w:r>
          </w:p>
          <w:p w14:paraId="3FB1F125" w14:textId="77777777" w:rsidR="007853B2" w:rsidRDefault="007853B2" w:rsidP="007853B2">
            <w:pPr>
              <w:pStyle w:val="ListParagraph0"/>
              <w:keepNext/>
              <w:numPr>
                <w:ilvl w:val="0"/>
                <w:numId w:val="33"/>
              </w:numPr>
              <w:spacing w:line="264" w:lineRule="auto"/>
              <w:contextualSpacing/>
              <w:rPr>
                <w:rFonts w:ascii="Arial" w:hAnsi="Arial" w:cs="Arial"/>
                <w:sz w:val="22"/>
                <w:szCs w:val="22"/>
              </w:rPr>
            </w:pPr>
            <w:r w:rsidRPr="00D9446A">
              <w:rPr>
                <w:rFonts w:ascii="Arial" w:hAnsi="Arial" w:cs="Arial"/>
                <w:sz w:val="22"/>
                <w:szCs w:val="22"/>
              </w:rPr>
              <w:t>$45,000 in ending fund balance for WSDOT indirect cost repayment.</w:t>
            </w:r>
          </w:p>
          <w:p w14:paraId="287CE5D8" w14:textId="77777777" w:rsidR="007853B2" w:rsidRPr="00D9446A" w:rsidRDefault="007853B2" w:rsidP="00977D30">
            <w:pPr>
              <w:pStyle w:val="ListParagraph0"/>
              <w:keepNext/>
              <w:spacing w:line="264" w:lineRule="auto"/>
              <w:ind w:left="360"/>
              <w:contextualSpacing/>
              <w:rPr>
                <w:rFonts w:ascii="Arial" w:hAnsi="Arial" w:cs="Arial"/>
                <w:sz w:val="22"/>
                <w:szCs w:val="22"/>
              </w:rPr>
            </w:pPr>
          </w:p>
        </w:tc>
      </w:tr>
      <w:tr w:rsidR="007853B2" w:rsidRPr="00373A14" w14:paraId="3ACA2414" w14:textId="77777777" w:rsidTr="00C25A8B">
        <w:trPr>
          <w:cantSplit/>
        </w:trPr>
        <w:tc>
          <w:tcPr>
            <w:tcW w:w="2070" w:type="dxa"/>
            <w:tcBorders>
              <w:top w:val="nil"/>
              <w:left w:val="nil"/>
              <w:bottom w:val="single" w:sz="12" w:space="0" w:color="auto"/>
              <w:right w:val="nil"/>
            </w:tcBorders>
            <w:shd w:val="clear" w:color="auto" w:fill="auto"/>
            <w:tcMar>
              <w:top w:w="43" w:type="dxa"/>
              <w:left w:w="115" w:type="dxa"/>
              <w:bottom w:w="43" w:type="dxa"/>
              <w:right w:w="115" w:type="dxa"/>
            </w:tcMar>
          </w:tcPr>
          <w:p w14:paraId="08DD458F" w14:textId="77777777" w:rsidR="007853B2" w:rsidRPr="00373A14" w:rsidRDefault="007853B2" w:rsidP="00E34BBA">
            <w:pPr>
              <w:keepNext/>
              <w:spacing w:line="264" w:lineRule="auto"/>
              <w:contextualSpacing/>
              <w:jc w:val="right"/>
              <w:rPr>
                <w:rFonts w:ascii="Arial" w:hAnsi="Arial" w:cs="Arial"/>
                <w:b/>
                <w:bCs/>
                <w:szCs w:val="24"/>
              </w:rPr>
            </w:pPr>
            <w:r w:rsidRPr="00373A14">
              <w:rPr>
                <w:rFonts w:ascii="Arial" w:hAnsi="Arial" w:cs="Arial"/>
                <w:b/>
                <w:bCs/>
                <w:szCs w:val="24"/>
              </w:rPr>
              <w:t>TOTAL</w:t>
            </w:r>
          </w:p>
        </w:tc>
        <w:tc>
          <w:tcPr>
            <w:tcW w:w="270" w:type="dxa"/>
            <w:tcBorders>
              <w:top w:val="nil"/>
              <w:left w:val="nil"/>
              <w:bottom w:val="single" w:sz="12" w:space="0" w:color="auto"/>
              <w:right w:val="nil"/>
            </w:tcBorders>
          </w:tcPr>
          <w:p w14:paraId="2BC23559" w14:textId="77777777" w:rsidR="007853B2" w:rsidRPr="00373A14" w:rsidRDefault="007853B2" w:rsidP="00E34BBA">
            <w:pPr>
              <w:keepNext/>
              <w:spacing w:line="264" w:lineRule="auto"/>
              <w:contextualSpacing/>
              <w:jc w:val="right"/>
              <w:rPr>
                <w:rFonts w:ascii="Arial" w:hAnsi="Arial" w:cs="Arial"/>
                <w:b/>
                <w:bCs/>
                <w:szCs w:val="24"/>
              </w:rPr>
            </w:pPr>
          </w:p>
        </w:tc>
        <w:tc>
          <w:tcPr>
            <w:tcW w:w="171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54856C3A" w14:textId="77777777" w:rsidR="007853B2" w:rsidRPr="00373A14" w:rsidRDefault="007853B2" w:rsidP="00E34BBA">
            <w:pPr>
              <w:keepNext/>
              <w:spacing w:line="264" w:lineRule="auto"/>
              <w:contextualSpacing/>
              <w:jc w:val="right"/>
              <w:rPr>
                <w:rFonts w:ascii="Arial" w:hAnsi="Arial" w:cs="Arial"/>
                <w:b/>
                <w:bCs/>
                <w:szCs w:val="24"/>
              </w:rPr>
            </w:pPr>
            <w:r w:rsidRPr="00373A14">
              <w:rPr>
                <w:rFonts w:ascii="Arial" w:hAnsi="Arial" w:cs="Arial"/>
                <w:b/>
                <w:bCs/>
                <w:szCs w:val="24"/>
              </w:rPr>
              <w:t>(</w:t>
            </w:r>
            <w:r w:rsidRPr="00373A14">
              <w:rPr>
                <w:rFonts w:ascii="Arial" w:hAnsi="Arial" w:cs="Arial"/>
                <w:b/>
              </w:rPr>
              <w:t>$2,202,411</w:t>
            </w:r>
            <w:r w:rsidRPr="00373A14">
              <w:rPr>
                <w:rFonts w:ascii="Arial" w:hAnsi="Arial" w:cs="Arial"/>
                <w:b/>
                <w:bCs/>
                <w:szCs w:val="24"/>
              </w:rPr>
              <w:t>)</w:t>
            </w:r>
          </w:p>
        </w:tc>
        <w:tc>
          <w:tcPr>
            <w:tcW w:w="270" w:type="dxa"/>
            <w:tcBorders>
              <w:top w:val="nil"/>
              <w:left w:val="nil"/>
              <w:bottom w:val="single" w:sz="12" w:space="0" w:color="auto"/>
              <w:right w:val="nil"/>
            </w:tcBorders>
          </w:tcPr>
          <w:p w14:paraId="1D95BF32" w14:textId="77777777" w:rsidR="007853B2" w:rsidRPr="00373A14" w:rsidRDefault="007853B2" w:rsidP="00E34BBA">
            <w:pPr>
              <w:keepNext/>
              <w:spacing w:line="264" w:lineRule="auto"/>
              <w:contextualSpacing/>
              <w:jc w:val="right"/>
              <w:rPr>
                <w:rFonts w:ascii="Arial" w:hAnsi="Arial" w:cs="Arial"/>
                <w:b/>
                <w:szCs w:val="24"/>
              </w:rPr>
            </w:pPr>
          </w:p>
        </w:tc>
        <w:tc>
          <w:tcPr>
            <w:tcW w:w="5040" w:type="dxa"/>
            <w:tcBorders>
              <w:top w:val="nil"/>
              <w:left w:val="nil"/>
              <w:bottom w:val="single" w:sz="12" w:space="0" w:color="auto"/>
              <w:right w:val="nil"/>
            </w:tcBorders>
            <w:shd w:val="clear" w:color="auto" w:fill="auto"/>
          </w:tcPr>
          <w:p w14:paraId="14D497A4" w14:textId="77777777" w:rsidR="007853B2" w:rsidRPr="00373A14" w:rsidRDefault="007853B2" w:rsidP="00E34BBA">
            <w:pPr>
              <w:keepNext/>
              <w:spacing w:line="264" w:lineRule="auto"/>
              <w:contextualSpacing/>
              <w:jc w:val="right"/>
              <w:rPr>
                <w:rFonts w:ascii="Arial" w:hAnsi="Arial" w:cs="Arial"/>
                <w:b/>
                <w:szCs w:val="24"/>
              </w:rPr>
            </w:pPr>
          </w:p>
        </w:tc>
      </w:tr>
    </w:tbl>
    <w:p w14:paraId="77D6E143" w14:textId="77777777" w:rsidR="007853B2" w:rsidRPr="00373A14" w:rsidRDefault="007853B2" w:rsidP="007853B2">
      <w:pPr>
        <w:jc w:val="center"/>
        <w:rPr>
          <w:rFonts w:ascii="Arial" w:hAnsi="Arial" w:cs="Arial"/>
          <w:b/>
          <w:szCs w:val="24"/>
        </w:rPr>
      </w:pPr>
    </w:p>
    <w:bookmarkEnd w:id="7"/>
    <w:p w14:paraId="6B761149" w14:textId="6C1FD47C" w:rsidR="00C83662" w:rsidRPr="00C83662" w:rsidRDefault="007853B2" w:rsidP="00C83662">
      <w:pPr>
        <w:spacing w:line="264" w:lineRule="auto"/>
        <w:jc w:val="both"/>
        <w:rPr>
          <w:rFonts w:ascii="Arial" w:hAnsi="Arial" w:cs="Arial"/>
          <w:bCs/>
          <w:szCs w:val="24"/>
        </w:rPr>
      </w:pPr>
      <w:r w:rsidRPr="00373A14">
        <w:rPr>
          <w:rFonts w:ascii="Arial" w:hAnsi="Arial" w:cs="Arial"/>
          <w:bCs/>
          <w:szCs w:val="24"/>
        </w:rPr>
        <w:t xml:space="preserve">As shown in the table, the Executive has proposed reallocating $1,903,125 in REET 1 funds disappropriated from the S 360ST &amp; Military RD Roundabout project to the Baring Bridge 509A Replacement project ($1,595,800) and the County Roadway Preservation program </w:t>
      </w:r>
      <w:r w:rsidRPr="0011627C">
        <w:rPr>
          <w:rFonts w:ascii="Arial" w:hAnsi="Arial" w:cs="Arial"/>
          <w:bCs/>
          <w:szCs w:val="24"/>
        </w:rPr>
        <w:t>($307,325</w:t>
      </w:r>
      <w:r w:rsidRPr="00373A14">
        <w:rPr>
          <w:rFonts w:ascii="Arial" w:hAnsi="Arial" w:cs="Arial"/>
          <w:bCs/>
          <w:szCs w:val="24"/>
        </w:rPr>
        <w:t xml:space="preserve">).  The Executive has also proposed $300,000 in new REET 1 </w:t>
      </w:r>
      <w:r w:rsidRPr="00373A14">
        <w:rPr>
          <w:rFonts w:ascii="Arial" w:hAnsi="Arial" w:cs="Arial"/>
          <w:bCs/>
          <w:szCs w:val="24"/>
        </w:rPr>
        <w:lastRenderedPageBreak/>
        <w:t>funding intended to cover right-of-way acquisition costs for the Renton Ave Phase III Sidewalk Improvement project.  According to the Executive, Roads has received a Washington State Department of Transportation (WSDOT) grant to construct the project, and funding for right-of-way acquisition is needed to complete the project.</w:t>
      </w:r>
      <w:r w:rsidRPr="00373A14">
        <w:rPr>
          <w:rFonts w:ascii="Arial" w:hAnsi="Arial" w:cs="Arial"/>
        </w:rPr>
        <w:t xml:space="preserve"> </w:t>
      </w:r>
      <w:r>
        <w:rPr>
          <w:rFonts w:ascii="Arial" w:hAnsi="Arial" w:cs="Arial"/>
          <w:bCs/>
          <w:szCs w:val="24"/>
        </w:rPr>
        <w:t xml:space="preserve"> </w:t>
      </w:r>
      <w:r w:rsidRPr="00373A14">
        <w:rPr>
          <w:rFonts w:ascii="Arial" w:hAnsi="Arial" w:cs="Arial"/>
          <w:bCs/>
          <w:szCs w:val="24"/>
        </w:rPr>
        <w:t xml:space="preserve">The allocation of REET 1 funds is a policy decision for the Council. </w:t>
      </w:r>
    </w:p>
    <w:p w14:paraId="3374996D" w14:textId="5E3C653D" w:rsidR="00AB3072" w:rsidRDefault="00AB3072" w:rsidP="00C83662">
      <w:pPr>
        <w:tabs>
          <w:tab w:val="left" w:pos="720"/>
          <w:tab w:val="right" w:pos="9360"/>
        </w:tabs>
        <w:spacing w:line="264" w:lineRule="auto"/>
        <w:contextualSpacing/>
        <w:jc w:val="both"/>
        <w:rPr>
          <w:rFonts w:ascii="Arial" w:hAnsi="Arial" w:cs="Arial"/>
          <w:b/>
          <w:u w:val="single"/>
        </w:rPr>
      </w:pPr>
    </w:p>
    <w:p w14:paraId="182F78EF" w14:textId="77777777" w:rsidR="000D1172" w:rsidRDefault="000D1172" w:rsidP="00C83662">
      <w:pPr>
        <w:tabs>
          <w:tab w:val="left" w:pos="720"/>
          <w:tab w:val="right" w:pos="9360"/>
        </w:tabs>
        <w:spacing w:line="264" w:lineRule="auto"/>
        <w:contextualSpacing/>
        <w:jc w:val="both"/>
        <w:rPr>
          <w:rFonts w:ascii="Arial" w:hAnsi="Arial" w:cs="Arial"/>
          <w:b/>
          <w:u w:val="single"/>
        </w:rPr>
      </w:pPr>
    </w:p>
    <w:p w14:paraId="49257202" w14:textId="0451068A" w:rsidR="006660E2" w:rsidRPr="001B38C0" w:rsidRDefault="006660E2" w:rsidP="00C83662">
      <w:pPr>
        <w:tabs>
          <w:tab w:val="left" w:pos="720"/>
          <w:tab w:val="right" w:pos="9360"/>
        </w:tabs>
        <w:spacing w:line="264" w:lineRule="auto"/>
        <w:contextualSpacing/>
        <w:jc w:val="both"/>
        <w:rPr>
          <w:rFonts w:ascii="Arial" w:hAnsi="Arial" w:cs="Arial"/>
          <w:b/>
          <w:u w:val="single"/>
        </w:rPr>
      </w:pPr>
      <w:r w:rsidRPr="001B38C0">
        <w:rPr>
          <w:rFonts w:ascii="Arial" w:hAnsi="Arial" w:cs="Arial"/>
          <w:b/>
          <w:u w:val="single"/>
        </w:rPr>
        <w:t>Developmental Disabilities</w:t>
      </w:r>
      <w:r w:rsidRPr="001B38C0">
        <w:rPr>
          <w:rFonts w:ascii="Arial" w:hAnsi="Arial" w:cs="Arial"/>
          <w:b/>
          <w:u w:val="single"/>
        </w:rPr>
        <w:tab/>
        <w:t>$1.0 Million</w:t>
      </w:r>
    </w:p>
    <w:p w14:paraId="3C938C85" w14:textId="77777777" w:rsidR="006660E2" w:rsidRPr="001B38C0" w:rsidRDefault="006660E2" w:rsidP="00C83662">
      <w:pPr>
        <w:spacing w:line="264" w:lineRule="auto"/>
        <w:contextualSpacing/>
        <w:jc w:val="both"/>
        <w:rPr>
          <w:rFonts w:ascii="Arial" w:hAnsi="Arial" w:cs="Arial"/>
          <w:iCs/>
        </w:rPr>
      </w:pPr>
    </w:p>
    <w:p w14:paraId="0382A356" w14:textId="77777777" w:rsidR="006660E2" w:rsidRPr="001B38C0" w:rsidRDefault="006660E2" w:rsidP="00C83662">
      <w:pPr>
        <w:spacing w:line="264" w:lineRule="auto"/>
        <w:contextualSpacing/>
        <w:jc w:val="both"/>
        <w:rPr>
          <w:rFonts w:ascii="Arial" w:hAnsi="Arial" w:cs="Arial"/>
          <w:b/>
          <w:iCs/>
        </w:rPr>
      </w:pPr>
      <w:r w:rsidRPr="001B38C0">
        <w:rPr>
          <w:rFonts w:ascii="Arial" w:hAnsi="Arial" w:cs="Arial"/>
          <w:b/>
          <w:iCs/>
        </w:rPr>
        <w:t>TECHNICAL</w:t>
      </w:r>
    </w:p>
    <w:p w14:paraId="45C0C5A0" w14:textId="73F42DC8" w:rsidR="006660E2" w:rsidRPr="001B38C0" w:rsidRDefault="006660E2" w:rsidP="00C83662">
      <w:pPr>
        <w:spacing w:line="264" w:lineRule="auto"/>
        <w:contextualSpacing/>
        <w:jc w:val="both"/>
        <w:rPr>
          <w:rFonts w:ascii="Arial" w:hAnsi="Arial" w:cs="Arial"/>
          <w:b/>
          <w:iCs/>
        </w:rPr>
      </w:pPr>
      <w:r w:rsidRPr="001B38C0">
        <w:rPr>
          <w:rFonts w:ascii="Arial" w:hAnsi="Arial" w:cs="Arial"/>
          <w:b/>
          <w:i/>
        </w:rPr>
        <w:t>BSK Renewal – Developmental and Early Childhood Supports [$1</w:t>
      </w:r>
      <w:r w:rsidR="00502FEE">
        <w:rPr>
          <w:rFonts w:ascii="Arial" w:hAnsi="Arial" w:cs="Arial"/>
          <w:b/>
          <w:i/>
        </w:rPr>
        <w:t>.0</w:t>
      </w:r>
      <w:r w:rsidRPr="001B38C0">
        <w:rPr>
          <w:rFonts w:ascii="Arial" w:hAnsi="Arial" w:cs="Arial"/>
          <w:b/>
          <w:i/>
        </w:rPr>
        <w:t xml:space="preserve"> Million].</w:t>
      </w:r>
      <w:r w:rsidRPr="001B38C0">
        <w:rPr>
          <w:rFonts w:ascii="Arial" w:hAnsi="Arial" w:cs="Arial"/>
          <w:b/>
          <w:iCs/>
        </w:rPr>
        <w:t xml:space="preserve">  </w:t>
      </w:r>
      <w:r w:rsidRPr="001B38C0">
        <w:rPr>
          <w:rFonts w:ascii="Arial" w:hAnsi="Arial" w:cs="Arial"/>
          <w:iCs/>
        </w:rPr>
        <w:t>The proposed ordinance would appropriate $1 million (revenue backed) to implement BSK levy renewal</w:t>
      </w:r>
      <w:r w:rsidRPr="001B38C0">
        <w:rPr>
          <w:rStyle w:val="FootnoteReference"/>
          <w:rFonts w:ascii="Arial" w:hAnsi="Arial" w:cs="Arial"/>
          <w:iCs/>
        </w:rPr>
        <w:footnoteReference w:id="26"/>
      </w:r>
      <w:r w:rsidRPr="001B38C0">
        <w:rPr>
          <w:rFonts w:ascii="Arial" w:hAnsi="Arial" w:cs="Arial"/>
          <w:iCs/>
        </w:rPr>
        <w:t xml:space="preserve"> and support levy-funded programs and services.</w:t>
      </w:r>
    </w:p>
    <w:p w14:paraId="77337A2C" w14:textId="77777777" w:rsidR="008A142A" w:rsidRDefault="008A142A" w:rsidP="008A142A">
      <w:pPr>
        <w:spacing w:line="264" w:lineRule="auto"/>
        <w:jc w:val="both"/>
        <w:rPr>
          <w:rFonts w:ascii="Arial" w:hAnsi="Arial" w:cs="Arial"/>
          <w:szCs w:val="24"/>
        </w:rPr>
      </w:pPr>
    </w:p>
    <w:p w14:paraId="1F1BCEC1" w14:textId="77777777" w:rsidR="004B64F6" w:rsidRDefault="004B64F6" w:rsidP="008A142A">
      <w:pPr>
        <w:spacing w:line="264" w:lineRule="auto"/>
        <w:jc w:val="both"/>
        <w:rPr>
          <w:rFonts w:ascii="Arial" w:hAnsi="Arial" w:cs="Arial"/>
          <w:szCs w:val="24"/>
        </w:rPr>
      </w:pPr>
    </w:p>
    <w:p w14:paraId="772271E9" w14:textId="77777777" w:rsidR="008A142A" w:rsidRDefault="008A142A" w:rsidP="008A142A">
      <w:pPr>
        <w:tabs>
          <w:tab w:val="left" w:pos="720"/>
          <w:tab w:val="right" w:pos="9360"/>
        </w:tabs>
        <w:spacing w:line="264" w:lineRule="auto"/>
        <w:contextualSpacing/>
        <w:jc w:val="both"/>
        <w:rPr>
          <w:rFonts w:ascii="Arial" w:hAnsi="Arial" w:cs="Arial"/>
          <w:szCs w:val="24"/>
        </w:rPr>
      </w:pPr>
      <w:r>
        <w:rPr>
          <w:rFonts w:ascii="Arial" w:hAnsi="Arial" w:cs="Arial"/>
          <w:b/>
          <w:u w:val="single"/>
        </w:rPr>
        <w:t>Department of Community and Human Services (DCHS) Administration</w:t>
      </w:r>
      <w:r w:rsidRPr="000E7446">
        <w:rPr>
          <w:rFonts w:ascii="Arial" w:hAnsi="Arial" w:cs="Arial"/>
          <w:b/>
          <w:u w:val="single"/>
        </w:rPr>
        <w:tab/>
      </w:r>
      <w:r w:rsidRPr="00AE39B5">
        <w:rPr>
          <w:rFonts w:ascii="Arial" w:hAnsi="Arial" w:cs="Arial"/>
          <w:b/>
          <w:u w:val="single"/>
        </w:rPr>
        <w:t>$</w:t>
      </w:r>
      <w:r>
        <w:rPr>
          <w:rFonts w:ascii="Arial" w:hAnsi="Arial" w:cs="Arial"/>
          <w:b/>
          <w:u w:val="single"/>
        </w:rPr>
        <w:t>0</w:t>
      </w:r>
    </w:p>
    <w:p w14:paraId="7F78E962" w14:textId="77777777" w:rsidR="008A142A" w:rsidRDefault="008A142A" w:rsidP="008A142A">
      <w:pPr>
        <w:spacing w:line="264" w:lineRule="auto"/>
        <w:jc w:val="both"/>
        <w:rPr>
          <w:rFonts w:ascii="Arial" w:hAnsi="Arial" w:cs="Arial"/>
          <w:szCs w:val="24"/>
        </w:rPr>
      </w:pPr>
    </w:p>
    <w:p w14:paraId="5C9E4A9D" w14:textId="62302AD1" w:rsidR="008A142A" w:rsidRPr="0004185E" w:rsidRDefault="008A142A" w:rsidP="008A142A">
      <w:pPr>
        <w:tabs>
          <w:tab w:val="left" w:pos="1739"/>
        </w:tabs>
        <w:spacing w:line="264" w:lineRule="auto"/>
        <w:jc w:val="both"/>
        <w:rPr>
          <w:rFonts w:ascii="Arial" w:hAnsi="Arial" w:cs="Arial"/>
          <w:szCs w:val="24"/>
        </w:rPr>
      </w:pPr>
      <w:r w:rsidRPr="006216C3">
        <w:rPr>
          <w:rFonts w:ascii="Arial" w:hAnsi="Arial" w:cs="Arial"/>
          <w:b/>
          <w:bCs/>
          <w:i/>
          <w:iCs/>
          <w:szCs w:val="24"/>
        </w:rPr>
        <w:t>Change</w:t>
      </w:r>
      <w:r>
        <w:rPr>
          <w:rFonts w:ascii="Arial" w:hAnsi="Arial" w:cs="Arial"/>
          <w:b/>
          <w:bCs/>
          <w:i/>
          <w:iCs/>
          <w:szCs w:val="24"/>
        </w:rPr>
        <w:t xml:space="preserve"> Due Date for Proviso on Procurement Process for Community Services to Support Secure Detention Diversion.</w:t>
      </w:r>
      <w:r>
        <w:rPr>
          <w:rFonts w:ascii="Arial" w:hAnsi="Arial" w:cs="Arial"/>
          <w:szCs w:val="24"/>
        </w:rPr>
        <w:t xml:space="preserve">  In the 2021 1</w:t>
      </w:r>
      <w:r w:rsidRPr="002458BF">
        <w:rPr>
          <w:rFonts w:ascii="Arial" w:hAnsi="Arial" w:cs="Arial"/>
          <w:szCs w:val="24"/>
          <w:vertAlign w:val="superscript"/>
        </w:rPr>
        <w:t>st</w:t>
      </w:r>
      <w:r>
        <w:rPr>
          <w:rFonts w:ascii="Arial" w:hAnsi="Arial" w:cs="Arial"/>
          <w:szCs w:val="24"/>
        </w:rPr>
        <w:t xml:space="preserve"> Omnibus (Ordinance 19307), the Council added a proviso related to efforts to decrease the City of Seattle's detention population and shift funds to community services to support diversion efforts.  The proviso required a report to be transmitted within 90 days of DCHS's contract award for community services, but no later than the end of 2021.  The proposed ordinance would remove the requirement that the report be transmitted by the end of this year to allow the department "adequate time to work with community partners on an inclusive procurement process."  Staff requested an updated timeline for the procurement.</w:t>
      </w:r>
      <w:r w:rsidR="0079468F">
        <w:rPr>
          <w:rFonts w:ascii="Arial" w:hAnsi="Arial" w:cs="Arial"/>
          <w:szCs w:val="24"/>
        </w:rPr>
        <w:t xml:space="preserve">  </w:t>
      </w:r>
      <w:r w:rsidR="00984733" w:rsidRPr="00984733">
        <w:rPr>
          <w:rFonts w:ascii="Arial" w:hAnsi="Arial" w:cs="Arial"/>
          <w:bCs/>
          <w:color w:val="4F81BD" w:themeColor="accent1"/>
        </w:rPr>
        <w:t xml:space="preserve">DCHS indicates that procurement is likely to occur in </w:t>
      </w:r>
      <w:r w:rsidR="0035519D">
        <w:rPr>
          <w:rFonts w:ascii="Arial" w:hAnsi="Arial" w:cs="Arial"/>
          <w:bCs/>
          <w:color w:val="4F81BD" w:themeColor="accent1"/>
        </w:rPr>
        <w:t>the 1</w:t>
      </w:r>
      <w:r w:rsidR="0035519D" w:rsidRPr="0035519D">
        <w:rPr>
          <w:rFonts w:ascii="Arial" w:hAnsi="Arial" w:cs="Arial"/>
          <w:bCs/>
          <w:color w:val="4F81BD" w:themeColor="accent1"/>
          <w:vertAlign w:val="superscript"/>
        </w:rPr>
        <w:t>st</w:t>
      </w:r>
      <w:r w:rsidR="0035519D">
        <w:rPr>
          <w:rFonts w:ascii="Arial" w:hAnsi="Arial" w:cs="Arial"/>
          <w:bCs/>
          <w:color w:val="4F81BD" w:themeColor="accent1"/>
        </w:rPr>
        <w:t xml:space="preserve"> Quarter of</w:t>
      </w:r>
      <w:r w:rsidR="00984733" w:rsidRPr="00984733">
        <w:rPr>
          <w:rFonts w:ascii="Arial" w:hAnsi="Arial" w:cs="Arial"/>
          <w:bCs/>
          <w:color w:val="4F81BD" w:themeColor="accent1"/>
        </w:rPr>
        <w:t xml:space="preserve"> 2022 in two separate </w:t>
      </w:r>
      <w:r w:rsidR="00D94816">
        <w:rPr>
          <w:rFonts w:ascii="Arial" w:hAnsi="Arial" w:cs="Arial"/>
          <w:bCs/>
          <w:color w:val="4F81BD" w:themeColor="accent1"/>
        </w:rPr>
        <w:t>cycles</w:t>
      </w:r>
      <w:r w:rsidR="00984733" w:rsidRPr="00984733">
        <w:rPr>
          <w:rFonts w:ascii="Arial" w:hAnsi="Arial" w:cs="Arial"/>
          <w:bCs/>
          <w:color w:val="4F81BD" w:themeColor="accent1"/>
        </w:rPr>
        <w:t xml:space="preserve"> based on current progress in the community engagement process</w:t>
      </w:r>
      <w:r w:rsidR="00984733">
        <w:rPr>
          <w:rFonts w:ascii="Arial" w:hAnsi="Arial" w:cs="Arial"/>
          <w:bCs/>
          <w:color w:val="4F81BD" w:themeColor="accent1"/>
        </w:rPr>
        <w:t>.</w:t>
      </w:r>
    </w:p>
    <w:p w14:paraId="369B19A4" w14:textId="70EBAE76" w:rsidR="008A142A" w:rsidRDefault="008A142A" w:rsidP="00AB45DE">
      <w:pPr>
        <w:tabs>
          <w:tab w:val="left" w:pos="720"/>
          <w:tab w:val="right" w:pos="9360"/>
        </w:tabs>
        <w:spacing w:line="264" w:lineRule="auto"/>
        <w:contextualSpacing/>
        <w:jc w:val="both"/>
        <w:rPr>
          <w:rFonts w:ascii="Arial" w:hAnsi="Arial" w:cs="Arial"/>
          <w:b/>
          <w:u w:val="single"/>
        </w:rPr>
      </w:pPr>
    </w:p>
    <w:p w14:paraId="1C90C8E6" w14:textId="7977E5E9" w:rsidR="008740C6" w:rsidRDefault="008740C6" w:rsidP="00AB45DE">
      <w:pPr>
        <w:tabs>
          <w:tab w:val="left" w:pos="720"/>
          <w:tab w:val="right" w:pos="9360"/>
        </w:tabs>
        <w:spacing w:line="264" w:lineRule="auto"/>
        <w:contextualSpacing/>
        <w:jc w:val="both"/>
        <w:rPr>
          <w:rFonts w:ascii="Arial" w:hAnsi="Arial" w:cs="Arial"/>
          <w:b/>
          <w:u w:val="single"/>
        </w:rPr>
      </w:pPr>
    </w:p>
    <w:p w14:paraId="53FE62C0" w14:textId="70AC67B5" w:rsidR="008740C6" w:rsidRPr="000E7446" w:rsidRDefault="008740C6" w:rsidP="008740C6">
      <w:pPr>
        <w:tabs>
          <w:tab w:val="left" w:pos="720"/>
          <w:tab w:val="right" w:pos="9360"/>
        </w:tabs>
        <w:spacing w:line="264" w:lineRule="auto"/>
        <w:contextualSpacing/>
        <w:jc w:val="both"/>
        <w:rPr>
          <w:rFonts w:ascii="Arial" w:hAnsi="Arial" w:cs="Arial"/>
          <w:b/>
          <w:u w:val="single"/>
        </w:rPr>
      </w:pPr>
      <w:r>
        <w:rPr>
          <w:rFonts w:ascii="Arial" w:hAnsi="Arial" w:cs="Arial"/>
          <w:b/>
          <w:u w:val="single"/>
        </w:rPr>
        <w:t>Behavioral Health and Recovery Division</w:t>
      </w:r>
      <w:r w:rsidRPr="000E7446">
        <w:rPr>
          <w:rFonts w:ascii="Arial" w:hAnsi="Arial" w:cs="Arial"/>
          <w:b/>
          <w:u w:val="single"/>
        </w:rPr>
        <w:tab/>
        <w:t>$</w:t>
      </w:r>
      <w:r>
        <w:rPr>
          <w:rFonts w:ascii="Arial" w:hAnsi="Arial" w:cs="Arial"/>
          <w:b/>
          <w:u w:val="single"/>
        </w:rPr>
        <w:t>14,964,000</w:t>
      </w:r>
    </w:p>
    <w:p w14:paraId="611F4D98" w14:textId="77777777" w:rsidR="008740C6" w:rsidRDefault="008740C6" w:rsidP="008740C6">
      <w:pPr>
        <w:spacing w:line="264" w:lineRule="auto"/>
        <w:contextualSpacing/>
        <w:jc w:val="both"/>
        <w:rPr>
          <w:rFonts w:ascii="Arial" w:hAnsi="Arial" w:cs="Arial"/>
          <w:b/>
          <w:i/>
          <w:iCs/>
        </w:rPr>
      </w:pPr>
    </w:p>
    <w:p w14:paraId="08F0A500" w14:textId="77777777" w:rsidR="008740C6" w:rsidRPr="00B54505" w:rsidRDefault="008740C6" w:rsidP="008740C6">
      <w:pPr>
        <w:spacing w:line="264" w:lineRule="auto"/>
        <w:contextualSpacing/>
        <w:jc w:val="both"/>
        <w:rPr>
          <w:rFonts w:ascii="Arial" w:hAnsi="Arial" w:cs="Arial"/>
          <w:bCs/>
        </w:rPr>
      </w:pPr>
      <w:r w:rsidRPr="00905242">
        <w:rPr>
          <w:rFonts w:ascii="Arial" w:hAnsi="Arial" w:cs="Arial"/>
          <w:b/>
          <w:i/>
          <w:iCs/>
        </w:rPr>
        <w:t>Behavioral Health COVID-19 Relief Funding</w:t>
      </w:r>
      <w:r>
        <w:rPr>
          <w:rFonts w:ascii="Arial" w:hAnsi="Arial" w:cs="Arial"/>
          <w:b/>
          <w:i/>
          <w:iCs/>
        </w:rPr>
        <w:t xml:space="preserve"> [$</w:t>
      </w:r>
      <w:r w:rsidRPr="00501CB3">
        <w:rPr>
          <w:rFonts w:ascii="Arial" w:hAnsi="Arial" w:cs="Arial"/>
          <w:b/>
          <w:i/>
          <w:iCs/>
        </w:rPr>
        <w:t>6,18</w:t>
      </w:r>
      <w:r>
        <w:rPr>
          <w:rFonts w:ascii="Arial" w:hAnsi="Arial" w:cs="Arial"/>
          <w:b/>
          <w:i/>
          <w:iCs/>
        </w:rPr>
        <w:t>2</w:t>
      </w:r>
      <w:r w:rsidRPr="00501CB3">
        <w:rPr>
          <w:rFonts w:ascii="Arial" w:hAnsi="Arial" w:cs="Arial"/>
          <w:b/>
          <w:i/>
          <w:iCs/>
        </w:rPr>
        <w:t>,</w:t>
      </w:r>
      <w:r>
        <w:rPr>
          <w:rFonts w:ascii="Arial" w:hAnsi="Arial" w:cs="Arial"/>
          <w:b/>
          <w:i/>
          <w:iCs/>
        </w:rPr>
        <w:t>000]</w:t>
      </w:r>
      <w:r>
        <w:rPr>
          <w:rFonts w:ascii="Arial" w:hAnsi="Arial" w:cs="Arial"/>
          <w:b/>
        </w:rPr>
        <w:t xml:space="preserve">.  </w:t>
      </w:r>
      <w:r>
        <w:rPr>
          <w:rFonts w:ascii="Arial" w:hAnsi="Arial" w:cs="Arial"/>
          <w:bCs/>
        </w:rPr>
        <w:t xml:space="preserve">The proposed ordinance would appropriate $6.2 million of </w:t>
      </w:r>
      <w:r w:rsidRPr="00501CB3">
        <w:rPr>
          <w:rFonts w:ascii="Arial" w:hAnsi="Arial" w:cs="Arial"/>
          <w:bCs/>
        </w:rPr>
        <w:t>supplemental federal Mental Health Block Grant and Substance Abuse Block Grant funding</w:t>
      </w:r>
      <w:r>
        <w:rPr>
          <w:rFonts w:ascii="Arial" w:hAnsi="Arial" w:cs="Arial"/>
          <w:bCs/>
        </w:rPr>
        <w:t xml:space="preserve"> through a contract with the Washington State Health Care Authority.  According to Executive Staff, this allocation</w:t>
      </w:r>
      <w:r w:rsidRPr="00B54505">
        <w:rPr>
          <w:rFonts w:ascii="Arial" w:hAnsi="Arial" w:cs="Arial"/>
          <w:bCs/>
        </w:rPr>
        <w:t xml:space="preserve"> supports a mix of new </w:t>
      </w:r>
      <w:r>
        <w:rPr>
          <w:rFonts w:ascii="Arial" w:hAnsi="Arial" w:cs="Arial"/>
          <w:bCs/>
        </w:rPr>
        <w:t>and</w:t>
      </w:r>
      <w:r w:rsidRPr="00B54505">
        <w:rPr>
          <w:rFonts w:ascii="Arial" w:hAnsi="Arial" w:cs="Arial"/>
          <w:bCs/>
        </w:rPr>
        <w:t xml:space="preserve"> expanded behavioral health supports for healthcare workers and members of the community who experienced behavioral health concerns due to the pandemic. </w:t>
      </w:r>
      <w:r>
        <w:rPr>
          <w:rFonts w:ascii="Arial" w:hAnsi="Arial" w:cs="Arial"/>
          <w:bCs/>
        </w:rPr>
        <w:t xml:space="preserve">This includes: </w:t>
      </w:r>
    </w:p>
    <w:p w14:paraId="12F6B03E" w14:textId="77777777" w:rsidR="008740C6" w:rsidRPr="00B54505" w:rsidRDefault="008740C6" w:rsidP="008740C6">
      <w:pPr>
        <w:pStyle w:val="ListParagraph0"/>
        <w:numPr>
          <w:ilvl w:val="0"/>
          <w:numId w:val="25"/>
        </w:numPr>
        <w:spacing w:line="264" w:lineRule="auto"/>
        <w:contextualSpacing/>
        <w:jc w:val="both"/>
        <w:rPr>
          <w:rFonts w:ascii="Arial" w:hAnsi="Arial" w:cs="Arial"/>
          <w:bCs/>
        </w:rPr>
      </w:pPr>
      <w:r w:rsidRPr="00B54505">
        <w:rPr>
          <w:rFonts w:ascii="Arial" w:hAnsi="Arial" w:cs="Arial"/>
          <w:bCs/>
        </w:rPr>
        <w:t>A program focused on impacted nursing home staff (with an emphasis on low</w:t>
      </w:r>
      <w:r>
        <w:rPr>
          <w:rFonts w:ascii="Arial" w:hAnsi="Arial" w:cs="Arial"/>
          <w:bCs/>
        </w:rPr>
        <w:t>-</w:t>
      </w:r>
      <w:r w:rsidRPr="00B54505">
        <w:rPr>
          <w:rFonts w:ascii="Arial" w:hAnsi="Arial" w:cs="Arial"/>
          <w:bCs/>
        </w:rPr>
        <w:t>income</w:t>
      </w:r>
      <w:r>
        <w:rPr>
          <w:rFonts w:ascii="Arial" w:hAnsi="Arial" w:cs="Arial"/>
          <w:bCs/>
        </w:rPr>
        <w:t xml:space="preserve"> staff</w:t>
      </w:r>
      <w:proofErr w:type="gramStart"/>
      <w:r w:rsidRPr="00B54505">
        <w:rPr>
          <w:rFonts w:ascii="Arial" w:hAnsi="Arial" w:cs="Arial"/>
          <w:bCs/>
        </w:rPr>
        <w:t>)</w:t>
      </w:r>
      <w:r>
        <w:rPr>
          <w:rFonts w:ascii="Arial" w:hAnsi="Arial" w:cs="Arial"/>
          <w:bCs/>
        </w:rPr>
        <w:t>;</w:t>
      </w:r>
      <w:proofErr w:type="gramEnd"/>
    </w:p>
    <w:p w14:paraId="1CD3F9B1" w14:textId="77777777" w:rsidR="008740C6" w:rsidRPr="00B54505" w:rsidRDefault="008740C6" w:rsidP="008740C6">
      <w:pPr>
        <w:pStyle w:val="ListParagraph0"/>
        <w:numPr>
          <w:ilvl w:val="0"/>
          <w:numId w:val="25"/>
        </w:numPr>
        <w:spacing w:line="264" w:lineRule="auto"/>
        <w:contextualSpacing/>
        <w:jc w:val="both"/>
        <w:rPr>
          <w:rFonts w:ascii="Arial" w:hAnsi="Arial" w:cs="Arial"/>
          <w:bCs/>
        </w:rPr>
      </w:pPr>
      <w:r w:rsidRPr="00B54505">
        <w:rPr>
          <w:rFonts w:ascii="Arial" w:hAnsi="Arial" w:cs="Arial"/>
          <w:bCs/>
        </w:rPr>
        <w:lastRenderedPageBreak/>
        <w:t xml:space="preserve">Additional peer supports available through Recovery </w:t>
      </w:r>
      <w:r>
        <w:rPr>
          <w:rFonts w:ascii="Arial" w:hAnsi="Arial" w:cs="Arial"/>
          <w:bCs/>
        </w:rPr>
        <w:t>Café; and</w:t>
      </w:r>
    </w:p>
    <w:p w14:paraId="0B1EB380" w14:textId="77777777" w:rsidR="008740C6" w:rsidRPr="00B54505" w:rsidRDefault="008740C6" w:rsidP="008740C6">
      <w:pPr>
        <w:pStyle w:val="ListParagraph0"/>
        <w:numPr>
          <w:ilvl w:val="0"/>
          <w:numId w:val="25"/>
        </w:numPr>
        <w:spacing w:line="264" w:lineRule="auto"/>
        <w:contextualSpacing/>
        <w:jc w:val="both"/>
        <w:rPr>
          <w:rFonts w:ascii="Arial" w:hAnsi="Arial" w:cs="Arial"/>
          <w:bCs/>
        </w:rPr>
      </w:pPr>
      <w:r>
        <w:rPr>
          <w:rFonts w:ascii="Arial" w:hAnsi="Arial" w:cs="Arial"/>
          <w:bCs/>
        </w:rPr>
        <w:t xml:space="preserve">A </w:t>
      </w:r>
      <w:r w:rsidRPr="00B54505">
        <w:rPr>
          <w:rFonts w:ascii="Arial" w:hAnsi="Arial" w:cs="Arial"/>
          <w:bCs/>
        </w:rPr>
        <w:t>program partnering with opioid medication-assisted treatment (MAT) providers to increase access to MAT services for non-Medicaid individuals.</w:t>
      </w:r>
    </w:p>
    <w:p w14:paraId="33D8F1D1" w14:textId="77777777" w:rsidR="008740C6" w:rsidRDefault="008740C6" w:rsidP="008740C6">
      <w:pPr>
        <w:spacing w:line="264" w:lineRule="auto"/>
        <w:contextualSpacing/>
        <w:jc w:val="both"/>
        <w:rPr>
          <w:rFonts w:ascii="Arial" w:hAnsi="Arial" w:cs="Arial"/>
          <w:b/>
          <w:i/>
          <w:iCs/>
        </w:rPr>
      </w:pPr>
    </w:p>
    <w:p w14:paraId="24C1C13C" w14:textId="6C29C579" w:rsidR="008740C6" w:rsidRDefault="008740C6" w:rsidP="008740C6">
      <w:pPr>
        <w:spacing w:line="264" w:lineRule="auto"/>
        <w:contextualSpacing/>
        <w:jc w:val="both"/>
        <w:rPr>
          <w:rFonts w:ascii="Arial" w:hAnsi="Arial" w:cs="Arial"/>
          <w:bCs/>
          <w:i/>
          <w:iCs/>
        </w:rPr>
      </w:pPr>
      <w:r w:rsidRPr="00905242">
        <w:rPr>
          <w:rFonts w:ascii="Arial" w:hAnsi="Arial" w:cs="Arial"/>
          <w:b/>
          <w:i/>
          <w:iCs/>
        </w:rPr>
        <w:t>City of Seattle Contribution</w:t>
      </w:r>
      <w:r>
        <w:rPr>
          <w:rFonts w:ascii="Arial" w:hAnsi="Arial" w:cs="Arial"/>
          <w:b/>
          <w:i/>
          <w:iCs/>
        </w:rPr>
        <w:t xml:space="preserve"> for </w:t>
      </w:r>
      <w:r w:rsidRPr="00905242">
        <w:rPr>
          <w:rFonts w:ascii="Arial" w:hAnsi="Arial" w:cs="Arial"/>
          <w:b/>
          <w:i/>
          <w:iCs/>
        </w:rPr>
        <w:t xml:space="preserve">JustCARE </w:t>
      </w:r>
      <w:r>
        <w:rPr>
          <w:rFonts w:ascii="Arial" w:hAnsi="Arial" w:cs="Arial"/>
          <w:b/>
          <w:i/>
          <w:iCs/>
        </w:rPr>
        <w:t>Program [$5</w:t>
      </w:r>
      <w:r w:rsidRPr="004419BF">
        <w:rPr>
          <w:rFonts w:ascii="Arial" w:hAnsi="Arial" w:cs="Arial"/>
          <w:b/>
          <w:i/>
          <w:iCs/>
        </w:rPr>
        <w:t>,</w:t>
      </w:r>
      <w:r>
        <w:rPr>
          <w:rFonts w:ascii="Arial" w:hAnsi="Arial" w:cs="Arial"/>
          <w:b/>
          <w:i/>
          <w:iCs/>
        </w:rPr>
        <w:t>500</w:t>
      </w:r>
      <w:r w:rsidRPr="004419BF">
        <w:rPr>
          <w:rFonts w:ascii="Arial" w:hAnsi="Arial" w:cs="Arial"/>
          <w:b/>
          <w:i/>
          <w:iCs/>
        </w:rPr>
        <w:t>,000</w:t>
      </w:r>
      <w:r>
        <w:rPr>
          <w:rFonts w:ascii="Arial" w:hAnsi="Arial" w:cs="Arial"/>
          <w:b/>
          <w:i/>
          <w:iCs/>
        </w:rPr>
        <w:t>]</w:t>
      </w:r>
      <w:r>
        <w:rPr>
          <w:rFonts w:ascii="Arial" w:hAnsi="Arial" w:cs="Arial"/>
          <w:b/>
        </w:rPr>
        <w:t xml:space="preserve">.  </w:t>
      </w:r>
      <w:r>
        <w:rPr>
          <w:rFonts w:ascii="Arial" w:hAnsi="Arial" w:cs="Arial"/>
          <w:bCs/>
        </w:rPr>
        <w:t xml:space="preserve">The proposed ordinance would appropriate $5.5 million of revenue from the City of Seattle designated for the JustCARE contract.  According to Executive Staff, the County's current funding commitment ($7.5 million appropriated through the COVID 7 supplemental appropriations ordinance) provides for a minimum of 150 individuals in JustCARE funded hotel rooms through December 31, 2021.  This $5.5 million allocation would pay for 89 additional beds through June 30, 2022.  Executive Staff stated that in October, the City of Seattle also </w:t>
      </w:r>
      <w:r w:rsidRPr="000A2F84">
        <w:rPr>
          <w:rFonts w:ascii="Arial" w:hAnsi="Arial" w:cs="Arial"/>
          <w:bCs/>
        </w:rPr>
        <w:t>committed an additional $7.5 million</w:t>
      </w:r>
      <w:r>
        <w:rPr>
          <w:rFonts w:ascii="Arial" w:hAnsi="Arial" w:cs="Arial"/>
          <w:bCs/>
        </w:rPr>
        <w:t xml:space="preserve"> (not included in the 2021 2</w:t>
      </w:r>
      <w:r w:rsidRPr="002458BF">
        <w:rPr>
          <w:rFonts w:ascii="Arial" w:hAnsi="Arial" w:cs="Arial"/>
          <w:bCs/>
          <w:vertAlign w:val="superscript"/>
        </w:rPr>
        <w:t>nd</w:t>
      </w:r>
      <w:r>
        <w:rPr>
          <w:rFonts w:ascii="Arial" w:hAnsi="Arial" w:cs="Arial"/>
          <w:bCs/>
        </w:rPr>
        <w:t xml:space="preserve"> Omnibus due to timing)</w:t>
      </w:r>
      <w:r w:rsidRPr="000A2F84">
        <w:rPr>
          <w:rFonts w:ascii="Arial" w:hAnsi="Arial" w:cs="Arial"/>
          <w:bCs/>
        </w:rPr>
        <w:t xml:space="preserve"> to support JustCARE in continuing to serve the original minimum of 150 individuals through June 30, 2022, which would bring their total commitment to 239 individuals</w:t>
      </w:r>
      <w:r w:rsidRPr="00793C01">
        <w:rPr>
          <w:rFonts w:ascii="Arial" w:hAnsi="Arial" w:cs="Arial"/>
          <w:bCs/>
          <w:i/>
          <w:iCs/>
        </w:rPr>
        <w:t>.</w:t>
      </w:r>
      <w:r>
        <w:rPr>
          <w:rFonts w:ascii="Arial" w:hAnsi="Arial" w:cs="Arial"/>
          <w:bCs/>
        </w:rPr>
        <w:t xml:space="preserve">  It is uncertain whether the Executive intends to request appropriation authority for this additional commitment from the City of Seattle in the 2021 2</w:t>
      </w:r>
      <w:r w:rsidRPr="002458BF">
        <w:rPr>
          <w:rFonts w:ascii="Arial" w:hAnsi="Arial" w:cs="Arial"/>
          <w:bCs/>
          <w:vertAlign w:val="superscript"/>
        </w:rPr>
        <w:t>nd</w:t>
      </w:r>
      <w:r>
        <w:rPr>
          <w:rFonts w:ascii="Arial" w:hAnsi="Arial" w:cs="Arial"/>
          <w:bCs/>
        </w:rPr>
        <w:t xml:space="preserve"> Omnibus or through a future supplemental appropriations ordinance.</w:t>
      </w:r>
      <w:r>
        <w:rPr>
          <w:rFonts w:ascii="Arial" w:hAnsi="Arial" w:cs="Arial"/>
          <w:bCs/>
          <w:i/>
          <w:iCs/>
        </w:rPr>
        <w:t xml:space="preserve"> </w:t>
      </w:r>
    </w:p>
    <w:p w14:paraId="1989B1AA" w14:textId="5271803A" w:rsidR="00D17E9C" w:rsidRDefault="00D17E9C" w:rsidP="008740C6">
      <w:pPr>
        <w:spacing w:line="264" w:lineRule="auto"/>
        <w:contextualSpacing/>
        <w:jc w:val="both"/>
        <w:rPr>
          <w:rFonts w:ascii="Arial" w:hAnsi="Arial" w:cs="Arial"/>
          <w:bCs/>
          <w:i/>
          <w:iCs/>
        </w:rPr>
      </w:pPr>
    </w:p>
    <w:p w14:paraId="2C364770" w14:textId="50E4C0DC" w:rsidR="007847C6" w:rsidRDefault="007847C6" w:rsidP="007847C6">
      <w:pPr>
        <w:tabs>
          <w:tab w:val="left" w:pos="720"/>
          <w:tab w:val="right" w:pos="9360"/>
        </w:tabs>
        <w:spacing w:line="264" w:lineRule="auto"/>
        <w:jc w:val="both"/>
        <w:rPr>
          <w:rFonts w:ascii="Arial" w:eastAsia="Arial" w:hAnsi="Arial" w:cs="Arial"/>
          <w:b/>
          <w:bCs/>
          <w:color w:val="4472C4"/>
          <w:szCs w:val="24"/>
        </w:rPr>
      </w:pPr>
      <w:r w:rsidRPr="0F1D8D17">
        <w:rPr>
          <w:rFonts w:ascii="Arial" w:eastAsia="Arial" w:hAnsi="Arial" w:cs="Arial"/>
          <w:b/>
          <w:bCs/>
          <w:color w:val="4472C4"/>
          <w:szCs w:val="24"/>
          <w:u w:val="single"/>
        </w:rPr>
        <w:t>QUESTION FROM OCT. 19 BFM:</w:t>
      </w:r>
      <w:r w:rsidRPr="0F1D8D17">
        <w:rPr>
          <w:rFonts w:ascii="Arial" w:eastAsia="Arial" w:hAnsi="Arial" w:cs="Arial"/>
          <w:b/>
          <w:bCs/>
          <w:color w:val="4472C4"/>
          <w:szCs w:val="24"/>
        </w:rPr>
        <w:t xml:space="preserve"> </w:t>
      </w:r>
      <w:r w:rsidR="003800BE">
        <w:rPr>
          <w:rFonts w:ascii="Arial" w:eastAsia="Arial" w:hAnsi="Arial" w:cs="Arial"/>
          <w:b/>
          <w:bCs/>
          <w:color w:val="4472C4"/>
          <w:szCs w:val="24"/>
        </w:rPr>
        <w:t>Are there any data on evaluating the efficacy of the JustCARE program?</w:t>
      </w:r>
    </w:p>
    <w:p w14:paraId="395F52A1" w14:textId="77777777" w:rsidR="007847C6" w:rsidRDefault="007847C6" w:rsidP="007847C6">
      <w:pPr>
        <w:tabs>
          <w:tab w:val="left" w:pos="720"/>
          <w:tab w:val="right" w:pos="9360"/>
        </w:tabs>
        <w:spacing w:line="264" w:lineRule="auto"/>
        <w:jc w:val="both"/>
        <w:rPr>
          <w:rFonts w:ascii="Arial" w:eastAsia="Arial" w:hAnsi="Arial" w:cs="Arial"/>
          <w:b/>
          <w:bCs/>
          <w:color w:val="4472C4"/>
          <w:szCs w:val="24"/>
        </w:rPr>
      </w:pPr>
    </w:p>
    <w:p w14:paraId="15372723" w14:textId="77777777" w:rsidR="00A64281" w:rsidRDefault="007847C6" w:rsidP="00353FEF">
      <w:pPr>
        <w:spacing w:line="264" w:lineRule="auto"/>
        <w:contextualSpacing/>
        <w:jc w:val="both"/>
        <w:rPr>
          <w:rFonts w:ascii="Arial" w:hAnsi="Arial" w:cs="Arial"/>
          <w:bCs/>
          <w:color w:val="4F81BD" w:themeColor="accent1"/>
        </w:rPr>
      </w:pPr>
      <w:r w:rsidRPr="0F1D8D17">
        <w:rPr>
          <w:rFonts w:ascii="Arial" w:eastAsia="Arial" w:hAnsi="Arial" w:cs="Arial"/>
          <w:b/>
          <w:bCs/>
          <w:color w:val="4472C4"/>
          <w:szCs w:val="24"/>
          <w:u w:val="single"/>
        </w:rPr>
        <w:t>ANSWER:</w:t>
      </w:r>
      <w:r w:rsidRPr="0F1D8D17">
        <w:rPr>
          <w:rFonts w:ascii="Arial" w:eastAsia="Arial" w:hAnsi="Arial" w:cs="Arial"/>
          <w:b/>
          <w:bCs/>
          <w:color w:val="4472C4"/>
          <w:szCs w:val="24"/>
        </w:rPr>
        <w:t xml:space="preserve"> </w:t>
      </w:r>
      <w:r w:rsidR="003800BE">
        <w:rPr>
          <w:rFonts w:ascii="Arial" w:hAnsi="Arial" w:cs="Arial"/>
          <w:bCs/>
          <w:color w:val="4F81BD" w:themeColor="accent1"/>
        </w:rPr>
        <w:t xml:space="preserve">Executive staff stated that </w:t>
      </w:r>
      <w:r w:rsidR="00F34963" w:rsidRPr="00F34963">
        <w:rPr>
          <w:rFonts w:ascii="Arial" w:hAnsi="Arial" w:cs="Arial"/>
          <w:bCs/>
          <w:color w:val="4F81BD" w:themeColor="accent1"/>
        </w:rPr>
        <w:t xml:space="preserve">evaluation of </w:t>
      </w:r>
      <w:r w:rsidR="00A64281">
        <w:rPr>
          <w:rFonts w:ascii="Arial" w:hAnsi="Arial" w:cs="Arial"/>
          <w:bCs/>
          <w:color w:val="4F81BD" w:themeColor="accent1"/>
        </w:rPr>
        <w:t xml:space="preserve">the </w:t>
      </w:r>
      <w:r w:rsidR="00F34963" w:rsidRPr="00F34963">
        <w:rPr>
          <w:rFonts w:ascii="Arial" w:hAnsi="Arial" w:cs="Arial"/>
          <w:bCs/>
          <w:color w:val="4F81BD" w:themeColor="accent1"/>
        </w:rPr>
        <w:t xml:space="preserve">JustCARE </w:t>
      </w:r>
      <w:r w:rsidR="00A64281">
        <w:rPr>
          <w:rFonts w:ascii="Arial" w:hAnsi="Arial" w:cs="Arial"/>
          <w:bCs/>
          <w:color w:val="4F81BD" w:themeColor="accent1"/>
        </w:rPr>
        <w:t xml:space="preserve">program has not been conducted </w:t>
      </w:r>
      <w:r w:rsidR="00F34963" w:rsidRPr="00F34963">
        <w:rPr>
          <w:rFonts w:ascii="Arial" w:hAnsi="Arial" w:cs="Arial"/>
          <w:bCs/>
          <w:color w:val="4F81BD" w:themeColor="accent1"/>
        </w:rPr>
        <w:t>at this time</w:t>
      </w:r>
      <w:r w:rsidR="00A64281">
        <w:rPr>
          <w:rFonts w:ascii="Arial" w:hAnsi="Arial" w:cs="Arial"/>
          <w:bCs/>
          <w:color w:val="4F81BD" w:themeColor="accent1"/>
        </w:rPr>
        <w:t>. However, they have provided the following information:</w:t>
      </w:r>
    </w:p>
    <w:p w14:paraId="32DFE4CA" w14:textId="5258E4AF" w:rsidR="00A64281" w:rsidRDefault="00353FEF" w:rsidP="00353FEF">
      <w:pPr>
        <w:pStyle w:val="ListParagraph0"/>
        <w:numPr>
          <w:ilvl w:val="0"/>
          <w:numId w:val="45"/>
        </w:numPr>
        <w:spacing w:line="264" w:lineRule="auto"/>
        <w:contextualSpacing/>
        <w:jc w:val="both"/>
        <w:rPr>
          <w:rFonts w:ascii="Arial" w:hAnsi="Arial" w:cs="Arial"/>
          <w:bCs/>
          <w:color w:val="4F81BD" w:themeColor="accent1"/>
        </w:rPr>
      </w:pPr>
      <w:r w:rsidRPr="00A64281">
        <w:rPr>
          <w:rFonts w:ascii="Arial" w:hAnsi="Arial" w:cs="Arial"/>
          <w:bCs/>
          <w:color w:val="4F81BD" w:themeColor="accent1"/>
        </w:rPr>
        <w:t>In the first year of implementation, October 2020 through September 2021, 203 individuals enrolled in the JustCARE program.</w:t>
      </w:r>
    </w:p>
    <w:p w14:paraId="3749FC78" w14:textId="77777777" w:rsidR="00A64281" w:rsidRDefault="00A64281" w:rsidP="00A64281">
      <w:pPr>
        <w:pStyle w:val="ListParagraph0"/>
        <w:spacing w:line="264" w:lineRule="auto"/>
        <w:contextualSpacing/>
        <w:jc w:val="both"/>
        <w:rPr>
          <w:rFonts w:ascii="Arial" w:hAnsi="Arial" w:cs="Arial"/>
          <w:bCs/>
          <w:color w:val="4F81BD" w:themeColor="accent1"/>
        </w:rPr>
      </w:pPr>
    </w:p>
    <w:p w14:paraId="7DA3B855" w14:textId="77777777" w:rsidR="00D2064D" w:rsidRDefault="00353FEF" w:rsidP="00353FEF">
      <w:pPr>
        <w:pStyle w:val="ListParagraph0"/>
        <w:numPr>
          <w:ilvl w:val="0"/>
          <w:numId w:val="45"/>
        </w:numPr>
        <w:spacing w:line="264" w:lineRule="auto"/>
        <w:contextualSpacing/>
        <w:jc w:val="both"/>
        <w:rPr>
          <w:rFonts w:ascii="Arial" w:hAnsi="Arial" w:cs="Arial"/>
          <w:bCs/>
          <w:color w:val="4F81BD" w:themeColor="accent1"/>
        </w:rPr>
      </w:pPr>
      <w:r w:rsidRPr="00A64281">
        <w:rPr>
          <w:rFonts w:ascii="Arial" w:hAnsi="Arial" w:cs="Arial"/>
          <w:bCs/>
          <w:color w:val="4F81BD" w:themeColor="accent1"/>
        </w:rPr>
        <w:t>Participants are experiencing homelessness when enrolled in JustCARE, and as such, housing is identified as the primary need for most participants at enrollment; however, many participants also have an identified need for services related to substance use, physical health, employment, and legal support.</w:t>
      </w:r>
    </w:p>
    <w:p w14:paraId="0CE38294" w14:textId="77777777" w:rsidR="00D2064D" w:rsidRPr="00D2064D" w:rsidRDefault="00D2064D" w:rsidP="00D2064D">
      <w:pPr>
        <w:pStyle w:val="ListParagraph0"/>
        <w:rPr>
          <w:rFonts w:ascii="Arial" w:hAnsi="Arial" w:cs="Arial"/>
          <w:bCs/>
          <w:color w:val="4F81BD" w:themeColor="accent1"/>
        </w:rPr>
      </w:pPr>
    </w:p>
    <w:p w14:paraId="2553D417" w14:textId="77777777" w:rsidR="00D2064D" w:rsidRDefault="00353FEF" w:rsidP="00353FEF">
      <w:pPr>
        <w:pStyle w:val="ListParagraph0"/>
        <w:numPr>
          <w:ilvl w:val="0"/>
          <w:numId w:val="45"/>
        </w:numPr>
        <w:spacing w:line="264" w:lineRule="auto"/>
        <w:contextualSpacing/>
        <w:jc w:val="both"/>
        <w:rPr>
          <w:rFonts w:ascii="Arial" w:hAnsi="Arial" w:cs="Arial"/>
          <w:bCs/>
          <w:color w:val="4F81BD" w:themeColor="accent1"/>
        </w:rPr>
      </w:pPr>
      <w:r w:rsidRPr="00D2064D">
        <w:rPr>
          <w:rFonts w:ascii="Arial" w:hAnsi="Arial" w:cs="Arial"/>
          <w:bCs/>
          <w:color w:val="4F81BD" w:themeColor="accent1"/>
        </w:rPr>
        <w:t>Approximately 70% of program participants have co-occurring substance use disorders and mental health conditions.</w:t>
      </w:r>
    </w:p>
    <w:p w14:paraId="1BFC3705" w14:textId="77777777" w:rsidR="00D2064D" w:rsidRPr="00D2064D" w:rsidRDefault="00D2064D" w:rsidP="00D2064D">
      <w:pPr>
        <w:pStyle w:val="ListParagraph0"/>
        <w:rPr>
          <w:rFonts w:ascii="Arial" w:hAnsi="Arial" w:cs="Arial"/>
          <w:bCs/>
          <w:color w:val="4F81BD" w:themeColor="accent1"/>
        </w:rPr>
      </w:pPr>
    </w:p>
    <w:p w14:paraId="44EE40CD" w14:textId="77777777" w:rsidR="00D2064D" w:rsidRDefault="00353FEF" w:rsidP="00353FEF">
      <w:pPr>
        <w:pStyle w:val="ListParagraph0"/>
        <w:numPr>
          <w:ilvl w:val="0"/>
          <w:numId w:val="45"/>
        </w:numPr>
        <w:spacing w:line="264" w:lineRule="auto"/>
        <w:contextualSpacing/>
        <w:jc w:val="both"/>
        <w:rPr>
          <w:rFonts w:ascii="Arial" w:hAnsi="Arial" w:cs="Arial"/>
          <w:bCs/>
          <w:color w:val="4F81BD" w:themeColor="accent1"/>
        </w:rPr>
      </w:pPr>
      <w:r w:rsidRPr="00D2064D">
        <w:rPr>
          <w:rFonts w:ascii="Arial" w:hAnsi="Arial" w:cs="Arial"/>
          <w:bCs/>
          <w:color w:val="4F81BD" w:themeColor="accent1"/>
        </w:rPr>
        <w:t>Participants in JustCARE receive, on average, approximately 10 hours of case management per month.</w:t>
      </w:r>
    </w:p>
    <w:p w14:paraId="0338C37B" w14:textId="77777777" w:rsidR="00D2064D" w:rsidRPr="00D2064D" w:rsidRDefault="00D2064D" w:rsidP="00D2064D">
      <w:pPr>
        <w:pStyle w:val="ListParagraph0"/>
        <w:rPr>
          <w:rFonts w:ascii="Arial" w:hAnsi="Arial" w:cs="Arial"/>
          <w:bCs/>
          <w:color w:val="4F81BD" w:themeColor="accent1"/>
        </w:rPr>
      </w:pPr>
    </w:p>
    <w:p w14:paraId="225C8317" w14:textId="313B2459" w:rsidR="00353FEF" w:rsidRPr="00D2064D" w:rsidRDefault="00353FEF" w:rsidP="00353FEF">
      <w:pPr>
        <w:pStyle w:val="ListParagraph0"/>
        <w:numPr>
          <w:ilvl w:val="0"/>
          <w:numId w:val="45"/>
        </w:numPr>
        <w:spacing w:line="264" w:lineRule="auto"/>
        <w:contextualSpacing/>
        <w:jc w:val="both"/>
        <w:rPr>
          <w:rFonts w:ascii="Arial" w:hAnsi="Arial" w:cs="Arial"/>
          <w:bCs/>
          <w:color w:val="4F81BD" w:themeColor="accent1"/>
        </w:rPr>
      </w:pPr>
      <w:r w:rsidRPr="00D2064D">
        <w:rPr>
          <w:rFonts w:ascii="Arial" w:hAnsi="Arial" w:cs="Arial"/>
          <w:bCs/>
          <w:color w:val="4F81BD" w:themeColor="accent1"/>
        </w:rPr>
        <w:t>Over 60% of JustCARE participants identify as male; over 65% of participants, for whom race or ethnicity was reported, identify as BIPOC.</w:t>
      </w:r>
    </w:p>
    <w:p w14:paraId="381EDA43" w14:textId="77777777" w:rsidR="008740C6" w:rsidRDefault="008740C6" w:rsidP="008740C6">
      <w:pPr>
        <w:spacing w:line="264" w:lineRule="auto"/>
        <w:jc w:val="both"/>
        <w:rPr>
          <w:rFonts w:ascii="Arial" w:hAnsi="Arial" w:cs="Arial"/>
          <w:b/>
          <w:i/>
          <w:iCs/>
        </w:rPr>
      </w:pPr>
    </w:p>
    <w:p w14:paraId="12A8106A" w14:textId="77777777" w:rsidR="008740C6" w:rsidRDefault="008740C6" w:rsidP="008740C6">
      <w:pPr>
        <w:keepNext/>
        <w:spacing w:line="264" w:lineRule="auto"/>
        <w:jc w:val="both"/>
        <w:rPr>
          <w:rFonts w:ascii="Arial" w:hAnsi="Arial" w:cs="Arial"/>
          <w:b/>
          <w:i/>
          <w:iCs/>
        </w:rPr>
      </w:pPr>
      <w:r>
        <w:rPr>
          <w:rFonts w:ascii="Arial" w:hAnsi="Arial" w:cs="Arial"/>
          <w:b/>
          <w:i/>
          <w:iCs/>
        </w:rPr>
        <w:t>TECHNICAL</w:t>
      </w:r>
    </w:p>
    <w:p w14:paraId="548A5E57" w14:textId="77777777" w:rsidR="008740C6" w:rsidRPr="004A794A" w:rsidRDefault="008740C6" w:rsidP="008740C6">
      <w:pPr>
        <w:keepNext/>
        <w:spacing w:line="264" w:lineRule="auto"/>
        <w:jc w:val="both"/>
        <w:rPr>
          <w:rFonts w:ascii="Arial" w:hAnsi="Arial" w:cs="Arial"/>
          <w:b/>
          <w:i/>
          <w:iCs/>
        </w:rPr>
      </w:pPr>
      <w:r w:rsidRPr="004419BF">
        <w:rPr>
          <w:rFonts w:ascii="Arial" w:hAnsi="Arial" w:cs="Arial"/>
          <w:b/>
          <w:i/>
          <w:iCs/>
        </w:rPr>
        <w:t>Integrated Managed Care IT Project</w:t>
      </w:r>
      <w:r>
        <w:rPr>
          <w:rFonts w:ascii="Arial" w:hAnsi="Arial" w:cs="Arial"/>
          <w:b/>
          <w:i/>
          <w:iCs/>
        </w:rPr>
        <w:t xml:space="preserve"> [$</w:t>
      </w:r>
      <w:r w:rsidRPr="004419BF">
        <w:rPr>
          <w:rFonts w:ascii="Arial" w:hAnsi="Arial" w:cs="Arial"/>
          <w:b/>
          <w:i/>
          <w:iCs/>
        </w:rPr>
        <w:t>3,283,000</w:t>
      </w:r>
      <w:r>
        <w:rPr>
          <w:rFonts w:ascii="Arial" w:hAnsi="Arial" w:cs="Arial"/>
          <w:b/>
          <w:i/>
          <w:iCs/>
        </w:rPr>
        <w:t>]</w:t>
      </w:r>
      <w:r>
        <w:rPr>
          <w:rFonts w:ascii="Arial" w:hAnsi="Arial" w:cs="Arial"/>
          <w:b/>
        </w:rPr>
        <w:t xml:space="preserve">.  </w:t>
      </w:r>
      <w:r>
        <w:rPr>
          <w:rFonts w:ascii="Arial" w:hAnsi="Arial" w:cs="Arial"/>
          <w:bCs/>
        </w:rPr>
        <w:t xml:space="preserve">The Proposed Ordinance would appropriate $3.29 million from the Behavioral Health Fund to the DCHS Capital IT Fund for an unforeseen implementation extension of the Integrated Managed Care IT project.  To date, $6.96 million has been allocated to the project with an original final completion </w:t>
      </w:r>
      <w:r>
        <w:rPr>
          <w:rFonts w:ascii="Arial" w:hAnsi="Arial" w:cs="Arial"/>
          <w:bCs/>
        </w:rPr>
        <w:lastRenderedPageBreak/>
        <w:t xml:space="preserve">date of December 2020.  </w:t>
      </w:r>
      <w:r w:rsidRPr="00E77B1C">
        <w:rPr>
          <w:rFonts w:ascii="Arial" w:hAnsi="Arial" w:cs="Arial"/>
          <w:bCs/>
        </w:rPr>
        <w:t xml:space="preserve">This project </w:t>
      </w:r>
      <w:r>
        <w:rPr>
          <w:rFonts w:ascii="Arial" w:hAnsi="Arial" w:cs="Arial"/>
          <w:bCs/>
        </w:rPr>
        <w:t>is part of</w:t>
      </w:r>
      <w:r w:rsidRPr="00E77B1C">
        <w:rPr>
          <w:rFonts w:ascii="Arial" w:hAnsi="Arial" w:cs="Arial"/>
          <w:bCs/>
        </w:rPr>
        <w:t xml:space="preserve"> DCHS's transition from </w:t>
      </w:r>
      <w:r>
        <w:rPr>
          <w:rFonts w:ascii="Arial" w:hAnsi="Arial" w:cs="Arial"/>
          <w:bCs/>
        </w:rPr>
        <w:t xml:space="preserve">being </w:t>
      </w:r>
      <w:r w:rsidRPr="00E77B1C">
        <w:rPr>
          <w:rFonts w:ascii="Arial" w:hAnsi="Arial" w:cs="Arial"/>
          <w:bCs/>
        </w:rPr>
        <w:t xml:space="preserve">a Behavioral Health Organization (BHO) </w:t>
      </w:r>
      <w:r>
        <w:rPr>
          <w:rFonts w:ascii="Arial" w:hAnsi="Arial" w:cs="Arial"/>
          <w:bCs/>
        </w:rPr>
        <w:t>t</w:t>
      </w:r>
      <w:r w:rsidRPr="00E77B1C">
        <w:rPr>
          <w:rFonts w:ascii="Arial" w:hAnsi="Arial" w:cs="Arial"/>
          <w:bCs/>
        </w:rPr>
        <w:t xml:space="preserve">o a </w:t>
      </w:r>
      <w:r>
        <w:rPr>
          <w:rFonts w:ascii="Arial" w:hAnsi="Arial" w:cs="Arial"/>
          <w:bCs/>
        </w:rPr>
        <w:t>Behavioral Health</w:t>
      </w:r>
      <w:r w:rsidRPr="00E77B1C">
        <w:rPr>
          <w:rFonts w:ascii="Arial" w:hAnsi="Arial" w:cs="Arial"/>
          <w:bCs/>
        </w:rPr>
        <w:t xml:space="preserve"> Administrative Services Organization (BH-ASO)</w:t>
      </w:r>
      <w:r>
        <w:rPr>
          <w:rFonts w:ascii="Arial" w:hAnsi="Arial" w:cs="Arial"/>
          <w:bCs/>
        </w:rPr>
        <w:t xml:space="preserve"> as part of the state mandated fully integrated managed care of behavioral health and physical health.  The KC BH-ASO contracts </w:t>
      </w:r>
      <w:r w:rsidRPr="00E77B1C">
        <w:rPr>
          <w:rFonts w:ascii="Arial" w:hAnsi="Arial" w:cs="Arial"/>
          <w:bCs/>
        </w:rPr>
        <w:t xml:space="preserve">with </w:t>
      </w:r>
      <w:r>
        <w:rPr>
          <w:rFonts w:ascii="Arial" w:hAnsi="Arial" w:cs="Arial"/>
          <w:bCs/>
        </w:rPr>
        <w:t>m</w:t>
      </w:r>
      <w:r w:rsidRPr="00E77B1C">
        <w:rPr>
          <w:rFonts w:ascii="Arial" w:hAnsi="Arial" w:cs="Arial"/>
          <w:bCs/>
        </w:rPr>
        <w:t>anaged care organizations and behavioral health providers to</w:t>
      </w:r>
      <w:r>
        <w:rPr>
          <w:rFonts w:ascii="Arial" w:hAnsi="Arial" w:cs="Arial"/>
          <w:bCs/>
        </w:rPr>
        <w:t xml:space="preserve"> administer the public behavioral health system in King County.  This t</w:t>
      </w:r>
      <w:r w:rsidRPr="00E77B1C">
        <w:rPr>
          <w:rFonts w:ascii="Arial" w:hAnsi="Arial" w:cs="Arial"/>
          <w:bCs/>
        </w:rPr>
        <w:t xml:space="preserve">echnology </w:t>
      </w:r>
      <w:r>
        <w:rPr>
          <w:rFonts w:ascii="Arial" w:hAnsi="Arial" w:cs="Arial"/>
          <w:bCs/>
        </w:rPr>
        <w:t xml:space="preserve">solution is intended to </w:t>
      </w:r>
      <w:r w:rsidRPr="00E77B1C">
        <w:rPr>
          <w:rFonts w:ascii="Arial" w:hAnsi="Arial" w:cs="Arial"/>
          <w:bCs/>
        </w:rPr>
        <w:t>track and process services, billing, eligibility, and other pertinent health information</w:t>
      </w:r>
      <w:r>
        <w:rPr>
          <w:rFonts w:ascii="Arial" w:hAnsi="Arial" w:cs="Arial"/>
          <w:bCs/>
        </w:rPr>
        <w:t>.  Phase 1 of three project phases went live in July 2021.</w:t>
      </w:r>
      <w:r w:rsidRPr="00E43013">
        <w:rPr>
          <w:rFonts w:ascii="Arial" w:hAnsi="Arial" w:cs="Arial"/>
          <w:bCs/>
        </w:rPr>
        <w:t xml:space="preserve"> </w:t>
      </w:r>
      <w:r>
        <w:rPr>
          <w:rFonts w:ascii="Arial" w:hAnsi="Arial" w:cs="Arial"/>
          <w:bCs/>
        </w:rPr>
        <w:t xml:space="preserve"> Phase 1A of this project is anticipated to go live in January 2022, and Phase 2 in July 2022. </w:t>
      </w:r>
    </w:p>
    <w:p w14:paraId="5B521369" w14:textId="77777777" w:rsidR="008740C6" w:rsidRDefault="008740C6" w:rsidP="008740C6">
      <w:pPr>
        <w:spacing w:line="264" w:lineRule="auto"/>
        <w:jc w:val="both"/>
        <w:rPr>
          <w:rFonts w:ascii="Arial" w:hAnsi="Arial" w:cs="Arial"/>
          <w:bCs/>
        </w:rPr>
      </w:pPr>
    </w:p>
    <w:p w14:paraId="76BF7AE2" w14:textId="77777777" w:rsidR="008740C6" w:rsidRPr="00B66DE0" w:rsidRDefault="008740C6" w:rsidP="008740C6">
      <w:pPr>
        <w:spacing w:line="264" w:lineRule="auto"/>
        <w:jc w:val="both"/>
        <w:rPr>
          <w:rFonts w:ascii="Arial" w:hAnsi="Arial" w:cs="Arial"/>
          <w:bCs/>
        </w:rPr>
      </w:pPr>
      <w:r>
        <w:rPr>
          <w:rFonts w:ascii="Arial" w:hAnsi="Arial" w:cs="Arial"/>
          <w:bCs/>
        </w:rPr>
        <w:t xml:space="preserve">According to the capital project document, "by August 2020, the project team realized that there was more scope and complexity to the project than originally thought."  In February 2021 the County renegotiated with Netsmart, the company providing the technology solution, to extend the project by 19 months, resulting in an anticipated end date of July 2022.  Approximately 10 percent of the $3.3 million budget request ($350,000) would be allocated to Netsmart for the extension.  Approximately </w:t>
      </w:r>
      <w:r w:rsidRPr="00BA5CF6">
        <w:rPr>
          <w:rFonts w:ascii="Arial" w:hAnsi="Arial" w:cs="Arial"/>
          <w:bCs/>
        </w:rPr>
        <w:t>$1</w:t>
      </w:r>
      <w:r>
        <w:rPr>
          <w:rFonts w:ascii="Arial" w:hAnsi="Arial" w:cs="Arial"/>
          <w:bCs/>
        </w:rPr>
        <w:t xml:space="preserve">.8 million would be allocated for King County resource costs to support the extension, $787,000 for consulting during the extension, and </w:t>
      </w:r>
      <w:r w:rsidRPr="00A24FA8">
        <w:rPr>
          <w:rFonts w:ascii="Arial" w:hAnsi="Arial" w:cs="Arial"/>
          <w:bCs/>
        </w:rPr>
        <w:t>$351,673</w:t>
      </w:r>
      <w:r>
        <w:rPr>
          <w:rFonts w:ascii="Arial" w:hAnsi="Arial" w:cs="Arial"/>
          <w:bCs/>
        </w:rPr>
        <w:t xml:space="preserve"> for an additional 12 percent contingency.  In the supporting documents for this project, Executive staff stated that the process of defining the support model once this product goes live is under development and there is, "not a clear picture of operating costs."</w:t>
      </w:r>
    </w:p>
    <w:p w14:paraId="07BC0AFE" w14:textId="576C34B1" w:rsidR="008740C6" w:rsidRDefault="008740C6" w:rsidP="00AB45DE">
      <w:pPr>
        <w:tabs>
          <w:tab w:val="left" w:pos="720"/>
          <w:tab w:val="right" w:pos="9360"/>
        </w:tabs>
        <w:spacing w:line="264" w:lineRule="auto"/>
        <w:contextualSpacing/>
        <w:jc w:val="both"/>
        <w:rPr>
          <w:rFonts w:ascii="Arial" w:hAnsi="Arial" w:cs="Arial"/>
          <w:b/>
          <w:u w:val="single"/>
        </w:rPr>
      </w:pPr>
    </w:p>
    <w:p w14:paraId="6D2E6136" w14:textId="27543893" w:rsidR="000A79D6" w:rsidRDefault="000A79D6" w:rsidP="00AB45DE">
      <w:pPr>
        <w:tabs>
          <w:tab w:val="left" w:pos="720"/>
          <w:tab w:val="right" w:pos="9360"/>
        </w:tabs>
        <w:spacing w:line="264" w:lineRule="auto"/>
        <w:contextualSpacing/>
        <w:jc w:val="both"/>
        <w:rPr>
          <w:rFonts w:ascii="Arial" w:hAnsi="Arial" w:cs="Arial"/>
          <w:b/>
          <w:u w:val="single"/>
        </w:rPr>
      </w:pPr>
    </w:p>
    <w:p w14:paraId="76ABFEB7" w14:textId="77777777" w:rsidR="000A79D6" w:rsidRPr="00350546" w:rsidRDefault="000A79D6" w:rsidP="000A79D6">
      <w:pPr>
        <w:tabs>
          <w:tab w:val="left" w:pos="720"/>
          <w:tab w:val="right" w:pos="9360"/>
        </w:tabs>
        <w:spacing w:line="264" w:lineRule="auto"/>
        <w:contextualSpacing/>
        <w:jc w:val="both"/>
        <w:rPr>
          <w:rFonts w:ascii="Arial" w:hAnsi="Arial" w:cs="Arial"/>
          <w:b/>
          <w:szCs w:val="24"/>
          <w:u w:val="single"/>
        </w:rPr>
      </w:pPr>
      <w:r w:rsidRPr="00350546">
        <w:rPr>
          <w:rFonts w:ascii="Arial" w:hAnsi="Arial" w:cs="Arial"/>
          <w:b/>
          <w:szCs w:val="24"/>
          <w:u w:val="single"/>
        </w:rPr>
        <w:t>Mental Illness and Drug Dependency</w:t>
      </w:r>
      <w:r>
        <w:rPr>
          <w:rFonts w:ascii="Arial" w:hAnsi="Arial" w:cs="Arial"/>
          <w:b/>
          <w:szCs w:val="24"/>
          <w:u w:val="single"/>
        </w:rPr>
        <w:t xml:space="preserve"> (MIDD)</w:t>
      </w:r>
      <w:r w:rsidRPr="00350546">
        <w:rPr>
          <w:rFonts w:ascii="Arial" w:hAnsi="Arial" w:cs="Arial"/>
          <w:b/>
          <w:szCs w:val="24"/>
          <w:u w:val="single"/>
        </w:rPr>
        <w:tab/>
        <w:t>$15,992,000</w:t>
      </w:r>
    </w:p>
    <w:p w14:paraId="3F57AB0A" w14:textId="77777777" w:rsidR="000A79D6" w:rsidRPr="00350546" w:rsidRDefault="000A79D6" w:rsidP="000A79D6">
      <w:pPr>
        <w:spacing w:line="264" w:lineRule="auto"/>
        <w:contextualSpacing/>
        <w:jc w:val="both"/>
        <w:rPr>
          <w:rFonts w:ascii="Arial" w:hAnsi="Arial" w:cs="Arial"/>
          <w:b/>
          <w:szCs w:val="24"/>
        </w:rPr>
      </w:pPr>
    </w:p>
    <w:p w14:paraId="21498284" w14:textId="755F5D6C" w:rsidR="000A79D6" w:rsidRDefault="000A79D6" w:rsidP="000A79D6">
      <w:pPr>
        <w:spacing w:line="264" w:lineRule="auto"/>
        <w:jc w:val="both"/>
        <w:rPr>
          <w:rFonts w:ascii="Arial" w:hAnsi="Arial" w:cs="Arial"/>
          <w:szCs w:val="24"/>
        </w:rPr>
      </w:pPr>
      <w:r w:rsidRPr="00350546">
        <w:rPr>
          <w:rFonts w:ascii="Arial" w:hAnsi="Arial" w:cs="Arial"/>
          <w:szCs w:val="24"/>
        </w:rPr>
        <w:t>The 2021-2022 Biennial Budget included nearly $19 million of reductions to various MIDD strategies, resulting in a 13.5 percent cut to th</w:t>
      </w:r>
      <w:r>
        <w:rPr>
          <w:rFonts w:ascii="Arial" w:hAnsi="Arial" w:cs="Arial"/>
          <w:szCs w:val="24"/>
        </w:rPr>
        <w:t>e</w:t>
      </w:r>
      <w:r w:rsidRPr="00350546">
        <w:rPr>
          <w:rFonts w:ascii="Arial" w:hAnsi="Arial" w:cs="Arial"/>
          <w:szCs w:val="24"/>
        </w:rPr>
        <w:t xml:space="preserve"> </w:t>
      </w:r>
      <w:r>
        <w:rPr>
          <w:rFonts w:ascii="Arial" w:hAnsi="Arial" w:cs="Arial"/>
          <w:szCs w:val="24"/>
        </w:rPr>
        <w:t xml:space="preserve">MIDD </w:t>
      </w:r>
      <w:r w:rsidRPr="00350546">
        <w:rPr>
          <w:rFonts w:ascii="Arial" w:hAnsi="Arial" w:cs="Arial"/>
          <w:szCs w:val="24"/>
        </w:rPr>
        <w:t xml:space="preserve">Fund. </w:t>
      </w:r>
      <w:r>
        <w:rPr>
          <w:rFonts w:ascii="Arial" w:hAnsi="Arial" w:cs="Arial"/>
          <w:szCs w:val="24"/>
        </w:rPr>
        <w:t xml:space="preserve"> </w:t>
      </w:r>
      <w:r w:rsidRPr="00350546">
        <w:rPr>
          <w:rFonts w:ascii="Arial" w:hAnsi="Arial" w:cs="Arial"/>
          <w:szCs w:val="24"/>
        </w:rPr>
        <w:t xml:space="preserve">The March 2021 OEFA forecast improved revenue projections for the MIDD Fund by about $12 million from the August 2020 forecast. </w:t>
      </w:r>
      <w:r>
        <w:rPr>
          <w:rFonts w:ascii="Arial" w:hAnsi="Arial" w:cs="Arial"/>
          <w:szCs w:val="24"/>
        </w:rPr>
        <w:t xml:space="preserve"> As a result, the proposed appropriation details below </w:t>
      </w:r>
      <w:r w:rsidR="00E91472">
        <w:rPr>
          <w:rFonts w:ascii="Arial" w:hAnsi="Arial" w:cs="Arial"/>
          <w:szCs w:val="24"/>
        </w:rPr>
        <w:t>include</w:t>
      </w:r>
      <w:r>
        <w:rPr>
          <w:rFonts w:ascii="Arial" w:hAnsi="Arial" w:cs="Arial"/>
          <w:szCs w:val="24"/>
        </w:rPr>
        <w:t xml:space="preserve"> proposals to spend the additional revenue, including restoration of some programs that were reduced during the adoption of the 2021-2022 Biennial Budget.  </w:t>
      </w:r>
      <w:r w:rsidRPr="00350546">
        <w:rPr>
          <w:rFonts w:ascii="Arial" w:hAnsi="Arial" w:cs="Arial"/>
          <w:szCs w:val="24"/>
        </w:rPr>
        <w:t>D</w:t>
      </w:r>
      <w:r>
        <w:rPr>
          <w:rFonts w:ascii="Arial" w:hAnsi="Arial" w:cs="Arial"/>
          <w:szCs w:val="24"/>
        </w:rPr>
        <w:t xml:space="preserve">epartment of </w:t>
      </w:r>
      <w:r w:rsidRPr="00350546">
        <w:rPr>
          <w:rFonts w:ascii="Arial" w:hAnsi="Arial" w:cs="Arial"/>
          <w:szCs w:val="24"/>
        </w:rPr>
        <w:t>C</w:t>
      </w:r>
      <w:r>
        <w:rPr>
          <w:rFonts w:ascii="Arial" w:hAnsi="Arial" w:cs="Arial"/>
          <w:szCs w:val="24"/>
        </w:rPr>
        <w:t xml:space="preserve">ommunity and </w:t>
      </w:r>
      <w:r w:rsidRPr="00350546">
        <w:rPr>
          <w:rFonts w:ascii="Arial" w:hAnsi="Arial" w:cs="Arial"/>
          <w:szCs w:val="24"/>
        </w:rPr>
        <w:t>H</w:t>
      </w:r>
      <w:r>
        <w:rPr>
          <w:rFonts w:ascii="Arial" w:hAnsi="Arial" w:cs="Arial"/>
          <w:szCs w:val="24"/>
        </w:rPr>
        <w:t xml:space="preserve">uman </w:t>
      </w:r>
      <w:r w:rsidRPr="00350546">
        <w:rPr>
          <w:rFonts w:ascii="Arial" w:hAnsi="Arial" w:cs="Arial"/>
          <w:szCs w:val="24"/>
        </w:rPr>
        <w:t>S</w:t>
      </w:r>
      <w:r>
        <w:rPr>
          <w:rFonts w:ascii="Arial" w:hAnsi="Arial" w:cs="Arial"/>
          <w:szCs w:val="24"/>
        </w:rPr>
        <w:t>ervice</w:t>
      </w:r>
      <w:r w:rsidRPr="00350546">
        <w:rPr>
          <w:rFonts w:ascii="Arial" w:hAnsi="Arial" w:cs="Arial"/>
          <w:szCs w:val="24"/>
        </w:rPr>
        <w:t xml:space="preserve">s </w:t>
      </w:r>
      <w:r>
        <w:rPr>
          <w:rFonts w:ascii="Arial" w:hAnsi="Arial" w:cs="Arial"/>
          <w:szCs w:val="24"/>
        </w:rPr>
        <w:t>(DCHS)</w:t>
      </w:r>
      <w:r w:rsidR="00E91472">
        <w:rPr>
          <w:rFonts w:ascii="Arial" w:hAnsi="Arial" w:cs="Arial"/>
          <w:szCs w:val="24"/>
        </w:rPr>
        <w:t>’s</w:t>
      </w:r>
      <w:r>
        <w:rPr>
          <w:rFonts w:ascii="Arial" w:hAnsi="Arial" w:cs="Arial"/>
          <w:szCs w:val="24"/>
        </w:rPr>
        <w:t xml:space="preserve"> </w:t>
      </w:r>
      <w:r w:rsidRPr="00350546">
        <w:rPr>
          <w:rFonts w:ascii="Arial" w:hAnsi="Arial" w:cs="Arial"/>
          <w:szCs w:val="24"/>
        </w:rPr>
        <w:t xml:space="preserve">process to determine how </w:t>
      </w:r>
      <w:r>
        <w:rPr>
          <w:rFonts w:ascii="Arial" w:hAnsi="Arial" w:cs="Arial"/>
          <w:szCs w:val="24"/>
        </w:rPr>
        <w:t>additional MIDD levy revenues</w:t>
      </w:r>
      <w:r w:rsidRPr="00350546">
        <w:rPr>
          <w:rFonts w:ascii="Arial" w:hAnsi="Arial" w:cs="Arial"/>
          <w:szCs w:val="24"/>
        </w:rPr>
        <w:t xml:space="preserve"> could be </w:t>
      </w:r>
      <w:r>
        <w:rPr>
          <w:rFonts w:ascii="Arial" w:hAnsi="Arial" w:cs="Arial"/>
          <w:szCs w:val="24"/>
        </w:rPr>
        <w:t>allocated</w:t>
      </w:r>
      <w:r w:rsidRPr="00350546">
        <w:rPr>
          <w:rFonts w:ascii="Arial" w:hAnsi="Arial" w:cs="Arial"/>
          <w:szCs w:val="24"/>
        </w:rPr>
        <w:t xml:space="preserve"> involved a survey and priorities set forth by the MIDD Advisory Committee.</w:t>
      </w:r>
    </w:p>
    <w:p w14:paraId="7DF37D6C" w14:textId="3A24EED3" w:rsidR="00E52FB4" w:rsidRPr="00350546" w:rsidRDefault="00E52FB4" w:rsidP="00E52FB4">
      <w:pPr>
        <w:spacing w:line="264" w:lineRule="auto"/>
        <w:jc w:val="both"/>
        <w:rPr>
          <w:rFonts w:ascii="Arial" w:hAnsi="Arial" w:cs="Arial"/>
          <w:i/>
        </w:rPr>
      </w:pPr>
    </w:p>
    <w:p w14:paraId="1C20BA4D" w14:textId="190627E7" w:rsidR="000A79D6" w:rsidRPr="00350546" w:rsidRDefault="000A79D6" w:rsidP="000A79D6">
      <w:pPr>
        <w:spacing w:line="264" w:lineRule="auto"/>
        <w:jc w:val="both"/>
        <w:rPr>
          <w:rFonts w:ascii="Arial" w:hAnsi="Arial" w:cs="Arial"/>
        </w:rPr>
      </w:pPr>
      <w:r w:rsidRPr="11E6EB6F">
        <w:rPr>
          <w:rFonts w:ascii="Arial" w:hAnsi="Arial" w:cs="Arial"/>
          <w:b/>
          <w:i/>
        </w:rPr>
        <w:t>Restore 2022 MIDD Reductions [$2,317,000]</w:t>
      </w:r>
      <w:r w:rsidRPr="11E6EB6F">
        <w:rPr>
          <w:rFonts w:ascii="Arial" w:hAnsi="Arial" w:cs="Arial"/>
          <w:b/>
        </w:rPr>
        <w:t>.</w:t>
      </w:r>
      <w:r w:rsidRPr="11E6EB6F">
        <w:rPr>
          <w:rFonts w:ascii="Arial" w:hAnsi="Arial" w:cs="Arial"/>
          <w:b/>
          <w:i/>
        </w:rPr>
        <w:t xml:space="preserve">  </w:t>
      </w:r>
      <w:r w:rsidRPr="11E6EB6F">
        <w:rPr>
          <w:rFonts w:ascii="Arial" w:hAnsi="Arial" w:cs="Arial"/>
        </w:rPr>
        <w:t xml:space="preserve">The proposed ordinance would allocate $2,317,000 to restore reductions previously made to the MIDD Fund.  According to Executive Staff, this includes full restoration of MIDD's Rainy Day reserve, restoration of 2022 funding of MIDD strategies identified as well positioned to receive funding, meaning they were fully operational and ready to resume normal operations consistent with the priorities set by the MIDD Advisory Committee.  Executive staff indicated that some strategies not recommended for restoration included those that were not fully operational or ready to resume normal operations, programs that did not need additional funding due to pandemic-related operational changes, such as staffing </w:t>
      </w:r>
      <w:r w:rsidRPr="11E6EB6F">
        <w:rPr>
          <w:rFonts w:ascii="Arial" w:hAnsi="Arial" w:cs="Arial"/>
        </w:rPr>
        <w:lastRenderedPageBreak/>
        <w:t xml:space="preserve">shortages or COVID funding already temporarily filling those gaps.  Lastly, service restorations were prioritized over capital investments. </w:t>
      </w:r>
    </w:p>
    <w:p w14:paraId="26203F7C" w14:textId="190627E7" w:rsidR="00E91472" w:rsidRDefault="00E91472" w:rsidP="000A79D6">
      <w:pPr>
        <w:spacing w:line="264" w:lineRule="auto"/>
        <w:jc w:val="both"/>
        <w:rPr>
          <w:rFonts w:ascii="Arial" w:hAnsi="Arial" w:cs="Arial"/>
          <w:szCs w:val="24"/>
        </w:rPr>
      </w:pPr>
    </w:p>
    <w:p w14:paraId="12456FD3" w14:textId="53EC117A" w:rsidR="362E3562" w:rsidRDefault="362E3562" w:rsidP="00FE2EE3">
      <w:pPr>
        <w:spacing w:line="264" w:lineRule="auto"/>
        <w:jc w:val="both"/>
        <w:rPr>
          <w:rFonts w:ascii="Arial" w:eastAsia="Arial" w:hAnsi="Arial" w:cs="Arial"/>
          <w:color w:val="4F81BD" w:themeColor="accent1"/>
          <w:szCs w:val="24"/>
        </w:rPr>
      </w:pPr>
      <w:r w:rsidRPr="11E6EB6F">
        <w:rPr>
          <w:rFonts w:ascii="Arial" w:eastAsia="Arial" w:hAnsi="Arial" w:cs="Arial"/>
          <w:color w:val="4F81BD" w:themeColor="accent1"/>
          <w:szCs w:val="24"/>
        </w:rPr>
        <w:t xml:space="preserve">Executive </w:t>
      </w:r>
      <w:r w:rsidR="00FE2EE3">
        <w:rPr>
          <w:rFonts w:ascii="Arial" w:eastAsia="Arial" w:hAnsi="Arial" w:cs="Arial"/>
          <w:color w:val="4F81BD" w:themeColor="accent1"/>
          <w:szCs w:val="24"/>
        </w:rPr>
        <w:t>s</w:t>
      </w:r>
      <w:r w:rsidRPr="11E6EB6F">
        <w:rPr>
          <w:rFonts w:ascii="Arial" w:eastAsia="Arial" w:hAnsi="Arial" w:cs="Arial"/>
          <w:color w:val="4F81BD" w:themeColor="accent1"/>
          <w:szCs w:val="24"/>
        </w:rPr>
        <w:t xml:space="preserve">taff provided additional detail about initiatives proposed for restoration as seen in the table below. </w:t>
      </w:r>
      <w:r w:rsidR="00FE2EE3">
        <w:rPr>
          <w:rFonts w:ascii="Arial" w:eastAsia="Arial" w:hAnsi="Arial" w:cs="Arial"/>
          <w:color w:val="4F81BD" w:themeColor="accent1"/>
          <w:szCs w:val="24"/>
        </w:rPr>
        <w:t xml:space="preserve"> </w:t>
      </w:r>
      <w:r w:rsidRPr="11E6EB6F">
        <w:rPr>
          <w:rFonts w:ascii="Arial" w:eastAsia="Arial" w:hAnsi="Arial" w:cs="Arial"/>
          <w:color w:val="4F81BD" w:themeColor="accent1"/>
          <w:szCs w:val="24"/>
        </w:rPr>
        <w:t xml:space="preserve">Executive </w:t>
      </w:r>
      <w:r w:rsidR="00B421B2">
        <w:rPr>
          <w:rFonts w:ascii="Arial" w:eastAsia="Arial" w:hAnsi="Arial" w:cs="Arial"/>
          <w:color w:val="4F81BD" w:themeColor="accent1"/>
          <w:szCs w:val="24"/>
        </w:rPr>
        <w:t>s</w:t>
      </w:r>
      <w:r w:rsidRPr="11E6EB6F">
        <w:rPr>
          <w:rFonts w:ascii="Arial" w:eastAsia="Arial" w:hAnsi="Arial" w:cs="Arial"/>
          <w:color w:val="4F81BD" w:themeColor="accent1"/>
          <w:szCs w:val="24"/>
        </w:rPr>
        <w:t xml:space="preserve">taff stated that, "although reductions were made for the full biennium, only 2022 reduction amounts </w:t>
      </w:r>
      <w:r w:rsidR="001112D2">
        <w:rPr>
          <w:rFonts w:ascii="Arial" w:eastAsia="Arial" w:hAnsi="Arial" w:cs="Arial"/>
          <w:color w:val="4F81BD" w:themeColor="accent1"/>
          <w:szCs w:val="24"/>
        </w:rPr>
        <w:t>are proposed to be fully</w:t>
      </w:r>
      <w:r w:rsidR="00B421B2">
        <w:rPr>
          <w:rFonts w:ascii="Arial" w:eastAsia="Arial" w:hAnsi="Arial" w:cs="Arial"/>
          <w:color w:val="4F81BD" w:themeColor="accent1"/>
          <w:szCs w:val="24"/>
        </w:rPr>
        <w:t xml:space="preserve"> </w:t>
      </w:r>
      <w:r w:rsidRPr="11E6EB6F">
        <w:rPr>
          <w:rFonts w:ascii="Arial" w:eastAsia="Arial" w:hAnsi="Arial" w:cs="Arial"/>
          <w:color w:val="4F81BD" w:themeColor="accent1"/>
          <w:szCs w:val="24"/>
        </w:rPr>
        <w:t>restored."</w:t>
      </w:r>
    </w:p>
    <w:p w14:paraId="1D18D9A8" w14:textId="5D62C6AA" w:rsidR="00DF3899" w:rsidRDefault="00DF3899" w:rsidP="00FE2EE3">
      <w:pPr>
        <w:spacing w:line="264" w:lineRule="auto"/>
        <w:jc w:val="both"/>
        <w:rPr>
          <w:rFonts w:ascii="Arial" w:eastAsia="Arial" w:hAnsi="Arial" w:cs="Arial"/>
          <w:color w:val="4F81BD" w:themeColor="accent1"/>
          <w:szCs w:val="24"/>
        </w:rPr>
      </w:pPr>
    </w:p>
    <w:tbl>
      <w:tblPr>
        <w:tblStyle w:val="TableGrid"/>
        <w:tblW w:w="0" w:type="auto"/>
        <w:tblInd w:w="108" w:type="dxa"/>
        <w:tblLook w:val="04A0" w:firstRow="1" w:lastRow="0" w:firstColumn="1" w:lastColumn="0" w:noHBand="0" w:noVBand="1"/>
      </w:tblPr>
      <w:tblGrid>
        <w:gridCol w:w="540"/>
        <w:gridCol w:w="222"/>
        <w:gridCol w:w="3738"/>
        <w:gridCol w:w="270"/>
        <w:gridCol w:w="1350"/>
        <w:gridCol w:w="270"/>
        <w:gridCol w:w="1260"/>
        <w:gridCol w:w="270"/>
        <w:gridCol w:w="1440"/>
      </w:tblGrid>
      <w:tr w:rsidR="00D32B3C" w:rsidRPr="00D32B3C" w14:paraId="3A7B207C" w14:textId="77777777" w:rsidTr="00D32B3C">
        <w:trPr>
          <w:cantSplit/>
          <w:trHeight w:val="411"/>
          <w:tblHeader/>
        </w:trPr>
        <w:tc>
          <w:tcPr>
            <w:tcW w:w="540" w:type="dxa"/>
            <w:tcBorders>
              <w:top w:val="single" w:sz="12" w:space="0" w:color="auto"/>
              <w:left w:val="nil"/>
              <w:bottom w:val="single" w:sz="4" w:space="0" w:color="auto"/>
              <w:right w:val="nil"/>
            </w:tcBorders>
            <w:vAlign w:val="center"/>
          </w:tcPr>
          <w:p w14:paraId="2807139D" w14:textId="77777777" w:rsidR="00D94003" w:rsidRPr="00D32B3C" w:rsidRDefault="00D94003" w:rsidP="00492827">
            <w:pPr>
              <w:keepNext/>
              <w:jc w:val="center"/>
              <w:rPr>
                <w:rFonts w:ascii="Arial" w:hAnsi="Arial" w:cs="Arial"/>
                <w:b/>
                <w:color w:val="4F81BD" w:themeColor="accent1"/>
                <w:sz w:val="20"/>
              </w:rPr>
            </w:pPr>
            <w:r w:rsidRPr="00D32B3C">
              <w:rPr>
                <w:rFonts w:ascii="Arial" w:hAnsi="Arial" w:cs="Arial"/>
                <w:b/>
                <w:color w:val="4F81BD" w:themeColor="accent1"/>
                <w:sz w:val="20"/>
              </w:rPr>
              <w:t>No.</w:t>
            </w:r>
          </w:p>
        </w:tc>
        <w:tc>
          <w:tcPr>
            <w:tcW w:w="0" w:type="auto"/>
            <w:tcBorders>
              <w:top w:val="single" w:sz="12" w:space="0" w:color="auto"/>
              <w:left w:val="nil"/>
              <w:bottom w:val="nil"/>
              <w:right w:val="nil"/>
            </w:tcBorders>
          </w:tcPr>
          <w:p w14:paraId="32883239" w14:textId="77777777" w:rsidR="00D94003" w:rsidRPr="00D32B3C" w:rsidRDefault="00D94003" w:rsidP="00492827">
            <w:pPr>
              <w:keepNext/>
              <w:rPr>
                <w:rFonts w:ascii="Arial" w:hAnsi="Arial" w:cs="Arial"/>
                <w:b/>
                <w:color w:val="4F81BD" w:themeColor="accent1"/>
                <w:sz w:val="20"/>
              </w:rPr>
            </w:pPr>
          </w:p>
        </w:tc>
        <w:tc>
          <w:tcPr>
            <w:tcW w:w="3738" w:type="dxa"/>
            <w:tcBorders>
              <w:top w:val="single" w:sz="12" w:space="0" w:color="auto"/>
              <w:left w:val="nil"/>
              <w:bottom w:val="single" w:sz="4" w:space="0" w:color="auto"/>
              <w:right w:val="nil"/>
            </w:tcBorders>
            <w:vAlign w:val="center"/>
          </w:tcPr>
          <w:p w14:paraId="2DFB736C" w14:textId="04C4EAE4" w:rsidR="00D94003" w:rsidRPr="00D32B3C" w:rsidRDefault="00D94003" w:rsidP="00492827">
            <w:pPr>
              <w:keepNext/>
              <w:rPr>
                <w:rFonts w:ascii="Arial" w:hAnsi="Arial" w:cs="Arial"/>
                <w:b/>
                <w:color w:val="4F81BD" w:themeColor="accent1"/>
                <w:sz w:val="20"/>
              </w:rPr>
            </w:pPr>
            <w:r w:rsidRPr="00D32B3C">
              <w:rPr>
                <w:rFonts w:ascii="Arial" w:hAnsi="Arial" w:cs="Arial"/>
                <w:b/>
                <w:color w:val="4F81BD" w:themeColor="accent1"/>
                <w:sz w:val="20"/>
              </w:rPr>
              <w:t>MIDD 2 Initiative</w:t>
            </w:r>
          </w:p>
        </w:tc>
        <w:tc>
          <w:tcPr>
            <w:tcW w:w="270" w:type="dxa"/>
            <w:tcBorders>
              <w:top w:val="single" w:sz="12" w:space="0" w:color="auto"/>
              <w:left w:val="nil"/>
              <w:bottom w:val="nil"/>
              <w:right w:val="nil"/>
            </w:tcBorders>
            <w:vAlign w:val="center"/>
          </w:tcPr>
          <w:p w14:paraId="2287D159" w14:textId="77777777" w:rsidR="00D94003" w:rsidRPr="00D32B3C" w:rsidRDefault="00D94003" w:rsidP="00492827">
            <w:pPr>
              <w:keepNext/>
              <w:jc w:val="right"/>
              <w:rPr>
                <w:rFonts w:ascii="Arial" w:hAnsi="Arial" w:cs="Arial"/>
                <w:b/>
                <w:color w:val="4F81BD" w:themeColor="accent1"/>
                <w:sz w:val="20"/>
              </w:rPr>
            </w:pPr>
          </w:p>
        </w:tc>
        <w:tc>
          <w:tcPr>
            <w:tcW w:w="1350" w:type="dxa"/>
            <w:tcBorders>
              <w:top w:val="single" w:sz="12" w:space="0" w:color="auto"/>
              <w:left w:val="nil"/>
              <w:bottom w:val="single" w:sz="4" w:space="0" w:color="auto"/>
              <w:right w:val="nil"/>
            </w:tcBorders>
            <w:shd w:val="clear" w:color="auto" w:fill="auto"/>
            <w:vAlign w:val="center"/>
          </w:tcPr>
          <w:p w14:paraId="4F771860" w14:textId="6BD53548" w:rsidR="00D94003" w:rsidRPr="00D32B3C" w:rsidRDefault="00D94003" w:rsidP="00365868">
            <w:pPr>
              <w:keepNext/>
              <w:jc w:val="center"/>
              <w:rPr>
                <w:rFonts w:ascii="Arial" w:hAnsi="Arial" w:cs="Arial"/>
                <w:b/>
                <w:color w:val="4F81BD" w:themeColor="accent1"/>
                <w:sz w:val="20"/>
              </w:rPr>
            </w:pPr>
            <w:r w:rsidRPr="00D32B3C">
              <w:rPr>
                <w:rFonts w:ascii="Arial" w:hAnsi="Arial" w:cs="Arial"/>
                <w:b/>
                <w:color w:val="4F81BD" w:themeColor="accent1"/>
                <w:sz w:val="20"/>
              </w:rPr>
              <w:t>2022 Baseline Budget</w:t>
            </w:r>
          </w:p>
        </w:tc>
        <w:tc>
          <w:tcPr>
            <w:tcW w:w="270" w:type="dxa"/>
            <w:tcBorders>
              <w:top w:val="single" w:sz="12" w:space="0" w:color="auto"/>
              <w:left w:val="nil"/>
              <w:bottom w:val="nil"/>
              <w:right w:val="nil"/>
            </w:tcBorders>
            <w:vAlign w:val="center"/>
          </w:tcPr>
          <w:p w14:paraId="26EEFAEF" w14:textId="77777777" w:rsidR="00D94003" w:rsidRPr="00D32B3C" w:rsidRDefault="00D94003" w:rsidP="00492827">
            <w:pPr>
              <w:keepNext/>
              <w:jc w:val="right"/>
              <w:rPr>
                <w:rFonts w:ascii="Arial" w:hAnsi="Arial" w:cs="Arial"/>
                <w:b/>
                <w:color w:val="4F81BD" w:themeColor="accent1"/>
                <w:sz w:val="20"/>
              </w:rPr>
            </w:pPr>
          </w:p>
        </w:tc>
        <w:tc>
          <w:tcPr>
            <w:tcW w:w="1260" w:type="dxa"/>
            <w:tcBorders>
              <w:top w:val="single" w:sz="12" w:space="0" w:color="auto"/>
              <w:left w:val="nil"/>
              <w:bottom w:val="single" w:sz="4" w:space="0" w:color="auto"/>
              <w:right w:val="nil"/>
            </w:tcBorders>
          </w:tcPr>
          <w:p w14:paraId="14F6DA6A" w14:textId="0EC751F7" w:rsidR="00D94003" w:rsidRPr="00D32B3C" w:rsidRDefault="00D94003" w:rsidP="00492827">
            <w:pPr>
              <w:keepNext/>
              <w:jc w:val="center"/>
              <w:rPr>
                <w:rFonts w:ascii="Arial" w:hAnsi="Arial" w:cs="Arial"/>
                <w:b/>
                <w:color w:val="4F81BD" w:themeColor="accent1"/>
                <w:sz w:val="20"/>
              </w:rPr>
            </w:pPr>
            <w:r w:rsidRPr="00D32B3C">
              <w:rPr>
                <w:rFonts w:ascii="Arial" w:hAnsi="Arial" w:cs="Arial"/>
                <w:b/>
                <w:color w:val="4F81BD" w:themeColor="accent1"/>
                <w:sz w:val="20"/>
              </w:rPr>
              <w:t>2</w:t>
            </w:r>
            <w:r w:rsidRPr="00D32B3C">
              <w:rPr>
                <w:rFonts w:ascii="Arial" w:hAnsi="Arial" w:cs="Arial"/>
                <w:b/>
                <w:color w:val="4F81BD" w:themeColor="accent1"/>
                <w:sz w:val="20"/>
                <w:vertAlign w:val="superscript"/>
              </w:rPr>
              <w:t>nd</w:t>
            </w:r>
            <w:r w:rsidRPr="00D32B3C">
              <w:rPr>
                <w:rFonts w:ascii="Arial" w:hAnsi="Arial" w:cs="Arial"/>
                <w:b/>
                <w:color w:val="4F81BD" w:themeColor="accent1"/>
                <w:sz w:val="20"/>
              </w:rPr>
              <w:t xml:space="preserve"> Omnibus Proposed</w:t>
            </w:r>
          </w:p>
        </w:tc>
        <w:tc>
          <w:tcPr>
            <w:tcW w:w="270" w:type="dxa"/>
            <w:tcBorders>
              <w:top w:val="single" w:sz="12" w:space="0" w:color="auto"/>
              <w:left w:val="nil"/>
              <w:bottom w:val="nil"/>
              <w:right w:val="nil"/>
            </w:tcBorders>
          </w:tcPr>
          <w:p w14:paraId="428912AA" w14:textId="55F0E10F" w:rsidR="00D94003" w:rsidRPr="00D32B3C" w:rsidRDefault="00D94003" w:rsidP="00492827">
            <w:pPr>
              <w:keepNext/>
              <w:jc w:val="center"/>
              <w:rPr>
                <w:rFonts w:ascii="Arial" w:hAnsi="Arial" w:cs="Arial"/>
                <w:b/>
                <w:color w:val="4F81BD" w:themeColor="accent1"/>
                <w:sz w:val="20"/>
              </w:rPr>
            </w:pPr>
          </w:p>
        </w:tc>
        <w:tc>
          <w:tcPr>
            <w:tcW w:w="1440" w:type="dxa"/>
            <w:tcBorders>
              <w:top w:val="single" w:sz="12" w:space="0" w:color="auto"/>
              <w:left w:val="nil"/>
              <w:bottom w:val="single" w:sz="4" w:space="0" w:color="auto"/>
              <w:right w:val="single" w:sz="2" w:space="0" w:color="FFFFFF" w:themeColor="background1"/>
            </w:tcBorders>
            <w:vAlign w:val="center"/>
          </w:tcPr>
          <w:p w14:paraId="03F362B8" w14:textId="77777777" w:rsidR="00D94003" w:rsidRPr="00D32B3C" w:rsidRDefault="00D94003" w:rsidP="00492827">
            <w:pPr>
              <w:keepNext/>
              <w:jc w:val="center"/>
              <w:rPr>
                <w:rFonts w:ascii="Arial" w:hAnsi="Arial" w:cs="Arial"/>
                <w:b/>
                <w:color w:val="4F81BD" w:themeColor="accent1"/>
                <w:sz w:val="20"/>
              </w:rPr>
            </w:pPr>
            <w:r w:rsidRPr="00D32B3C">
              <w:rPr>
                <w:rFonts w:ascii="Arial" w:hAnsi="Arial" w:cs="Arial"/>
                <w:b/>
                <w:color w:val="4F81BD" w:themeColor="accent1"/>
                <w:sz w:val="20"/>
              </w:rPr>
              <w:t>2022 Proposed</w:t>
            </w:r>
          </w:p>
          <w:p w14:paraId="391D776B" w14:textId="38918A27" w:rsidR="00A408EE" w:rsidRPr="00D32B3C" w:rsidRDefault="00A408EE" w:rsidP="00492827">
            <w:pPr>
              <w:keepNext/>
              <w:jc w:val="center"/>
              <w:rPr>
                <w:rFonts w:ascii="Arial" w:hAnsi="Arial" w:cs="Arial"/>
                <w:b/>
                <w:color w:val="4F81BD" w:themeColor="accent1"/>
                <w:sz w:val="20"/>
              </w:rPr>
            </w:pPr>
            <w:r w:rsidRPr="00D32B3C">
              <w:rPr>
                <w:rFonts w:ascii="Arial" w:hAnsi="Arial" w:cs="Arial"/>
                <w:b/>
                <w:color w:val="4F81BD" w:themeColor="accent1"/>
                <w:sz w:val="20"/>
              </w:rPr>
              <w:t>Budget</w:t>
            </w:r>
          </w:p>
        </w:tc>
      </w:tr>
      <w:tr w:rsidR="00D32B3C" w:rsidRPr="00D32B3C" w14:paraId="6883A44B" w14:textId="77777777" w:rsidTr="00D32B3C">
        <w:trPr>
          <w:cantSplit/>
        </w:trPr>
        <w:tc>
          <w:tcPr>
            <w:tcW w:w="540" w:type="dxa"/>
            <w:tcBorders>
              <w:top w:val="single" w:sz="4" w:space="0" w:color="auto"/>
              <w:left w:val="nil"/>
              <w:bottom w:val="nil"/>
              <w:right w:val="nil"/>
            </w:tcBorders>
          </w:tcPr>
          <w:p w14:paraId="2099FC02"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1</w:t>
            </w:r>
          </w:p>
        </w:tc>
        <w:tc>
          <w:tcPr>
            <w:tcW w:w="0" w:type="auto"/>
            <w:tcBorders>
              <w:top w:val="nil"/>
              <w:left w:val="nil"/>
              <w:bottom w:val="nil"/>
              <w:right w:val="nil"/>
            </w:tcBorders>
          </w:tcPr>
          <w:p w14:paraId="4E658CBA" w14:textId="77777777" w:rsidR="005051DA" w:rsidRPr="00D32B3C" w:rsidRDefault="005051DA" w:rsidP="005051DA">
            <w:pPr>
              <w:keepNext/>
              <w:rPr>
                <w:rFonts w:ascii="Arial" w:hAnsi="Arial" w:cs="Arial"/>
                <w:color w:val="4F81BD" w:themeColor="accent1"/>
                <w:sz w:val="20"/>
              </w:rPr>
            </w:pPr>
          </w:p>
        </w:tc>
        <w:tc>
          <w:tcPr>
            <w:tcW w:w="3738" w:type="dxa"/>
            <w:tcBorders>
              <w:top w:val="single" w:sz="4" w:space="0" w:color="auto"/>
              <w:left w:val="nil"/>
              <w:bottom w:val="nil"/>
              <w:right w:val="nil"/>
            </w:tcBorders>
          </w:tcPr>
          <w:p w14:paraId="28D497A9" w14:textId="134B04CF"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Admin &amp; Evaluation</w:t>
            </w:r>
          </w:p>
        </w:tc>
        <w:tc>
          <w:tcPr>
            <w:tcW w:w="270" w:type="dxa"/>
            <w:tcBorders>
              <w:top w:val="nil"/>
              <w:left w:val="nil"/>
              <w:bottom w:val="nil"/>
              <w:right w:val="nil"/>
            </w:tcBorders>
            <w:vAlign w:val="center"/>
          </w:tcPr>
          <w:p w14:paraId="7ECAEAEF" w14:textId="77777777" w:rsidR="005051DA" w:rsidRPr="00D32B3C" w:rsidRDefault="005051DA" w:rsidP="005051DA">
            <w:pPr>
              <w:keepNext/>
              <w:jc w:val="right"/>
              <w:rPr>
                <w:rFonts w:ascii="Arial" w:hAnsi="Arial" w:cs="Arial"/>
                <w:color w:val="4F81BD" w:themeColor="accent1"/>
                <w:sz w:val="20"/>
              </w:rPr>
            </w:pPr>
          </w:p>
        </w:tc>
        <w:tc>
          <w:tcPr>
            <w:tcW w:w="1350" w:type="dxa"/>
            <w:tcBorders>
              <w:top w:val="single" w:sz="4" w:space="0" w:color="auto"/>
              <w:left w:val="nil"/>
              <w:bottom w:val="nil"/>
              <w:right w:val="nil"/>
            </w:tcBorders>
            <w:tcMar>
              <w:top w:w="72" w:type="dxa"/>
              <w:left w:w="115" w:type="dxa"/>
              <w:bottom w:w="72" w:type="dxa"/>
              <w:right w:w="115" w:type="dxa"/>
            </w:tcMar>
          </w:tcPr>
          <w:p w14:paraId="49A3CA09" w14:textId="24DE0C31"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$4,200,000</w:t>
            </w:r>
          </w:p>
        </w:tc>
        <w:tc>
          <w:tcPr>
            <w:tcW w:w="270" w:type="dxa"/>
            <w:tcBorders>
              <w:top w:val="nil"/>
              <w:left w:val="nil"/>
              <w:bottom w:val="nil"/>
              <w:right w:val="nil"/>
            </w:tcBorders>
          </w:tcPr>
          <w:p w14:paraId="2B8A94CF" w14:textId="77777777" w:rsidR="005051DA" w:rsidRPr="00D32B3C" w:rsidRDefault="005051DA" w:rsidP="005051DA">
            <w:pPr>
              <w:keepNext/>
              <w:jc w:val="right"/>
              <w:rPr>
                <w:rFonts w:ascii="Arial" w:hAnsi="Arial" w:cs="Arial"/>
                <w:color w:val="4F81BD" w:themeColor="accent1"/>
                <w:sz w:val="20"/>
              </w:rPr>
            </w:pPr>
          </w:p>
        </w:tc>
        <w:tc>
          <w:tcPr>
            <w:tcW w:w="1260" w:type="dxa"/>
            <w:tcBorders>
              <w:top w:val="single" w:sz="4" w:space="0" w:color="auto"/>
              <w:left w:val="nil"/>
              <w:bottom w:val="nil"/>
              <w:right w:val="nil"/>
            </w:tcBorders>
          </w:tcPr>
          <w:p w14:paraId="58DF4C68" w14:textId="1132E617"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$265,000</w:t>
            </w:r>
          </w:p>
        </w:tc>
        <w:tc>
          <w:tcPr>
            <w:tcW w:w="270" w:type="dxa"/>
            <w:tcBorders>
              <w:top w:val="nil"/>
              <w:left w:val="nil"/>
              <w:bottom w:val="nil"/>
              <w:right w:val="nil"/>
            </w:tcBorders>
          </w:tcPr>
          <w:p w14:paraId="44E82AFB" w14:textId="62CC7632" w:rsidR="005051DA" w:rsidRPr="00D32B3C" w:rsidRDefault="005051DA" w:rsidP="005051DA">
            <w:pPr>
              <w:keepNext/>
              <w:jc w:val="right"/>
              <w:rPr>
                <w:rFonts w:ascii="Arial" w:hAnsi="Arial" w:cs="Arial"/>
                <w:color w:val="4F81BD" w:themeColor="accent1"/>
                <w:sz w:val="20"/>
              </w:rPr>
            </w:pPr>
          </w:p>
        </w:tc>
        <w:tc>
          <w:tcPr>
            <w:tcW w:w="144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7E7BA55C" w14:textId="6C974D83"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$4,465,000 </w:t>
            </w:r>
          </w:p>
        </w:tc>
      </w:tr>
      <w:tr w:rsidR="00D32B3C" w:rsidRPr="00D32B3C" w14:paraId="7EE65037" w14:textId="77777777" w:rsidTr="00D32B3C">
        <w:trPr>
          <w:cantSplit/>
        </w:trPr>
        <w:tc>
          <w:tcPr>
            <w:tcW w:w="540" w:type="dxa"/>
            <w:tcBorders>
              <w:top w:val="nil"/>
              <w:left w:val="nil"/>
              <w:bottom w:val="nil"/>
              <w:right w:val="nil"/>
            </w:tcBorders>
          </w:tcPr>
          <w:p w14:paraId="1D42C46A"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2</w:t>
            </w:r>
          </w:p>
        </w:tc>
        <w:tc>
          <w:tcPr>
            <w:tcW w:w="0" w:type="auto"/>
            <w:tcBorders>
              <w:top w:val="nil"/>
              <w:left w:val="nil"/>
              <w:bottom w:val="nil"/>
              <w:right w:val="nil"/>
            </w:tcBorders>
          </w:tcPr>
          <w:p w14:paraId="2575D0F4"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33DDEE31" w14:textId="7DB69D8C"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High Utilizer Care Teams</w:t>
            </w:r>
          </w:p>
        </w:tc>
        <w:tc>
          <w:tcPr>
            <w:tcW w:w="270" w:type="dxa"/>
            <w:tcBorders>
              <w:top w:val="nil"/>
              <w:left w:val="nil"/>
              <w:bottom w:val="nil"/>
              <w:right w:val="nil"/>
            </w:tcBorders>
            <w:vAlign w:val="center"/>
          </w:tcPr>
          <w:p w14:paraId="6407A790"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14B43062" w14:textId="675697BA"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$239,000</w:t>
            </w:r>
          </w:p>
        </w:tc>
        <w:tc>
          <w:tcPr>
            <w:tcW w:w="270" w:type="dxa"/>
            <w:tcBorders>
              <w:top w:val="nil"/>
              <w:left w:val="nil"/>
              <w:bottom w:val="nil"/>
              <w:right w:val="nil"/>
            </w:tcBorders>
          </w:tcPr>
          <w:p w14:paraId="5FB0D6BF"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13C557D9" w14:textId="7F047959"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$38,000</w:t>
            </w:r>
          </w:p>
        </w:tc>
        <w:tc>
          <w:tcPr>
            <w:tcW w:w="270" w:type="dxa"/>
            <w:tcBorders>
              <w:top w:val="nil"/>
              <w:left w:val="nil"/>
              <w:bottom w:val="nil"/>
              <w:right w:val="nil"/>
            </w:tcBorders>
          </w:tcPr>
          <w:p w14:paraId="754CF6DF" w14:textId="5DAEBE3F"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1E2B519A" w14:textId="3617A05C"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$277,000 </w:t>
            </w:r>
          </w:p>
        </w:tc>
      </w:tr>
      <w:tr w:rsidR="00D32B3C" w:rsidRPr="00D32B3C" w14:paraId="104EA380" w14:textId="77777777" w:rsidTr="00D32B3C">
        <w:trPr>
          <w:cantSplit/>
        </w:trPr>
        <w:tc>
          <w:tcPr>
            <w:tcW w:w="540" w:type="dxa"/>
            <w:tcBorders>
              <w:top w:val="nil"/>
              <w:left w:val="nil"/>
              <w:bottom w:val="nil"/>
              <w:right w:val="nil"/>
            </w:tcBorders>
          </w:tcPr>
          <w:p w14:paraId="64A054ED"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3</w:t>
            </w:r>
          </w:p>
        </w:tc>
        <w:tc>
          <w:tcPr>
            <w:tcW w:w="0" w:type="auto"/>
            <w:tcBorders>
              <w:top w:val="nil"/>
              <w:left w:val="nil"/>
              <w:bottom w:val="nil"/>
              <w:right w:val="nil"/>
            </w:tcBorders>
          </w:tcPr>
          <w:p w14:paraId="75E6E72E"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363FBCCF" w14:textId="2A86707A"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Next Day Crisis Appointments</w:t>
            </w:r>
          </w:p>
        </w:tc>
        <w:tc>
          <w:tcPr>
            <w:tcW w:w="270" w:type="dxa"/>
            <w:tcBorders>
              <w:top w:val="nil"/>
              <w:left w:val="nil"/>
              <w:bottom w:val="nil"/>
              <w:right w:val="nil"/>
            </w:tcBorders>
            <w:vAlign w:val="center"/>
          </w:tcPr>
          <w:p w14:paraId="463B16A8"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63E1137B" w14:textId="540B73C2"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$298,000</w:t>
            </w:r>
          </w:p>
        </w:tc>
        <w:tc>
          <w:tcPr>
            <w:tcW w:w="270" w:type="dxa"/>
            <w:tcBorders>
              <w:top w:val="nil"/>
              <w:left w:val="nil"/>
              <w:bottom w:val="nil"/>
              <w:right w:val="nil"/>
            </w:tcBorders>
          </w:tcPr>
          <w:p w14:paraId="4CB53777"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01D5F89C" w14:textId="7AD5B657"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$34,000</w:t>
            </w:r>
          </w:p>
        </w:tc>
        <w:tc>
          <w:tcPr>
            <w:tcW w:w="270" w:type="dxa"/>
            <w:tcBorders>
              <w:top w:val="nil"/>
              <w:left w:val="nil"/>
              <w:bottom w:val="nil"/>
              <w:right w:val="nil"/>
            </w:tcBorders>
          </w:tcPr>
          <w:p w14:paraId="15242D8F" w14:textId="5AB8E27F"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5F1DABA4" w14:textId="31FBCF01"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$332,000 </w:t>
            </w:r>
          </w:p>
        </w:tc>
      </w:tr>
      <w:tr w:rsidR="00D32B3C" w:rsidRPr="00D32B3C" w14:paraId="0BE2D574" w14:textId="77777777" w:rsidTr="00D32B3C">
        <w:trPr>
          <w:cantSplit/>
        </w:trPr>
        <w:tc>
          <w:tcPr>
            <w:tcW w:w="540" w:type="dxa"/>
            <w:tcBorders>
              <w:top w:val="nil"/>
              <w:left w:val="nil"/>
              <w:bottom w:val="nil"/>
              <w:right w:val="nil"/>
            </w:tcBorders>
          </w:tcPr>
          <w:p w14:paraId="33E30EB6"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4</w:t>
            </w:r>
          </w:p>
        </w:tc>
        <w:tc>
          <w:tcPr>
            <w:tcW w:w="0" w:type="auto"/>
            <w:tcBorders>
              <w:top w:val="nil"/>
              <w:left w:val="nil"/>
              <w:bottom w:val="nil"/>
              <w:right w:val="nil"/>
            </w:tcBorders>
          </w:tcPr>
          <w:p w14:paraId="28B83236"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3D6B1024" w14:textId="445F5219"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Prevention and Early Intervention Behavioral Health for Adults Over 50</w:t>
            </w:r>
          </w:p>
        </w:tc>
        <w:tc>
          <w:tcPr>
            <w:tcW w:w="270" w:type="dxa"/>
            <w:tcBorders>
              <w:top w:val="nil"/>
              <w:left w:val="nil"/>
              <w:bottom w:val="nil"/>
              <w:right w:val="nil"/>
            </w:tcBorders>
            <w:vAlign w:val="center"/>
          </w:tcPr>
          <w:p w14:paraId="4F571CB4"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5BF5073F" w14:textId="1B12670E"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$495,000</w:t>
            </w:r>
          </w:p>
        </w:tc>
        <w:tc>
          <w:tcPr>
            <w:tcW w:w="270" w:type="dxa"/>
            <w:tcBorders>
              <w:top w:val="nil"/>
              <w:left w:val="nil"/>
              <w:bottom w:val="nil"/>
              <w:right w:val="nil"/>
            </w:tcBorders>
          </w:tcPr>
          <w:p w14:paraId="6223DE44"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7DD4DC7A" w14:textId="60690732"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$26,000</w:t>
            </w:r>
          </w:p>
        </w:tc>
        <w:tc>
          <w:tcPr>
            <w:tcW w:w="270" w:type="dxa"/>
            <w:tcBorders>
              <w:top w:val="nil"/>
              <w:left w:val="nil"/>
              <w:bottom w:val="nil"/>
              <w:right w:val="nil"/>
            </w:tcBorders>
          </w:tcPr>
          <w:p w14:paraId="269CBFA8" w14:textId="5EDA755A"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1512C380" w14:textId="725F1A31"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$521,000 </w:t>
            </w:r>
          </w:p>
        </w:tc>
      </w:tr>
      <w:tr w:rsidR="00D32B3C" w:rsidRPr="00D32B3C" w14:paraId="4F0FF89B" w14:textId="77777777" w:rsidTr="00D32B3C">
        <w:trPr>
          <w:cantSplit/>
        </w:trPr>
        <w:tc>
          <w:tcPr>
            <w:tcW w:w="540" w:type="dxa"/>
            <w:tcBorders>
              <w:top w:val="nil"/>
              <w:left w:val="nil"/>
              <w:bottom w:val="nil"/>
              <w:right w:val="nil"/>
            </w:tcBorders>
          </w:tcPr>
          <w:p w14:paraId="18236F5A"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5</w:t>
            </w:r>
          </w:p>
        </w:tc>
        <w:tc>
          <w:tcPr>
            <w:tcW w:w="0" w:type="auto"/>
            <w:tcBorders>
              <w:top w:val="nil"/>
              <w:left w:val="nil"/>
              <w:bottom w:val="nil"/>
              <w:right w:val="nil"/>
            </w:tcBorders>
          </w:tcPr>
          <w:p w14:paraId="2273899E"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45733589" w14:textId="23E977BF"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Older Adult Crisis Intervention/Geriatric Regional Assessment Team (GRAT)</w:t>
            </w:r>
          </w:p>
        </w:tc>
        <w:tc>
          <w:tcPr>
            <w:tcW w:w="270" w:type="dxa"/>
            <w:tcBorders>
              <w:top w:val="nil"/>
              <w:left w:val="nil"/>
              <w:bottom w:val="nil"/>
              <w:right w:val="nil"/>
            </w:tcBorders>
            <w:vAlign w:val="center"/>
          </w:tcPr>
          <w:p w14:paraId="6FD99904"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09D01CE7" w14:textId="486D4A07"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$306,000</w:t>
            </w:r>
          </w:p>
        </w:tc>
        <w:tc>
          <w:tcPr>
            <w:tcW w:w="270" w:type="dxa"/>
            <w:tcBorders>
              <w:top w:val="nil"/>
              <w:left w:val="nil"/>
              <w:bottom w:val="nil"/>
              <w:right w:val="nil"/>
            </w:tcBorders>
          </w:tcPr>
          <w:p w14:paraId="0FF17382"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40E7EAE6" w14:textId="224ED270"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$48,000</w:t>
            </w:r>
          </w:p>
        </w:tc>
        <w:tc>
          <w:tcPr>
            <w:tcW w:w="270" w:type="dxa"/>
            <w:tcBorders>
              <w:top w:val="nil"/>
              <w:left w:val="nil"/>
              <w:bottom w:val="nil"/>
              <w:right w:val="nil"/>
            </w:tcBorders>
          </w:tcPr>
          <w:p w14:paraId="5E1830AD" w14:textId="7F5026A8"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3CE8EE6F" w14:textId="5E250848"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$354,000 </w:t>
            </w:r>
          </w:p>
        </w:tc>
      </w:tr>
      <w:tr w:rsidR="00D32B3C" w:rsidRPr="00D32B3C" w14:paraId="4FA5AFF6" w14:textId="77777777" w:rsidTr="00D32B3C">
        <w:trPr>
          <w:cantSplit/>
        </w:trPr>
        <w:tc>
          <w:tcPr>
            <w:tcW w:w="540" w:type="dxa"/>
            <w:tcBorders>
              <w:top w:val="nil"/>
              <w:left w:val="nil"/>
              <w:bottom w:val="nil"/>
              <w:right w:val="nil"/>
            </w:tcBorders>
          </w:tcPr>
          <w:p w14:paraId="32C13BCF"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6</w:t>
            </w:r>
          </w:p>
        </w:tc>
        <w:tc>
          <w:tcPr>
            <w:tcW w:w="0" w:type="auto"/>
            <w:tcBorders>
              <w:top w:val="nil"/>
              <w:left w:val="nil"/>
              <w:bottom w:val="nil"/>
              <w:right w:val="nil"/>
            </w:tcBorders>
          </w:tcPr>
          <w:p w14:paraId="3A204473"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02EEB7DD" w14:textId="76B6843A"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Housing Support Services</w:t>
            </w:r>
          </w:p>
        </w:tc>
        <w:tc>
          <w:tcPr>
            <w:tcW w:w="270" w:type="dxa"/>
            <w:tcBorders>
              <w:top w:val="nil"/>
              <w:left w:val="nil"/>
              <w:bottom w:val="nil"/>
              <w:right w:val="nil"/>
            </w:tcBorders>
            <w:vAlign w:val="center"/>
          </w:tcPr>
          <w:p w14:paraId="1B1042B9"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59DC77D8" w14:textId="23647187"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$2,009,000</w:t>
            </w:r>
          </w:p>
        </w:tc>
        <w:tc>
          <w:tcPr>
            <w:tcW w:w="270" w:type="dxa"/>
            <w:tcBorders>
              <w:top w:val="nil"/>
              <w:left w:val="nil"/>
              <w:bottom w:val="nil"/>
              <w:right w:val="nil"/>
            </w:tcBorders>
          </w:tcPr>
          <w:p w14:paraId="79EE72A1"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77A27871" w14:textId="2124DA52"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$110,000</w:t>
            </w:r>
          </w:p>
        </w:tc>
        <w:tc>
          <w:tcPr>
            <w:tcW w:w="270" w:type="dxa"/>
            <w:tcBorders>
              <w:top w:val="nil"/>
              <w:left w:val="nil"/>
              <w:bottom w:val="nil"/>
              <w:right w:val="nil"/>
            </w:tcBorders>
          </w:tcPr>
          <w:p w14:paraId="7269702B" w14:textId="58BA2175"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4BB09089" w14:textId="2F4FA34D"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$2,119,000 </w:t>
            </w:r>
          </w:p>
        </w:tc>
      </w:tr>
      <w:tr w:rsidR="00D32B3C" w:rsidRPr="00D32B3C" w14:paraId="5E5B57FB" w14:textId="77777777" w:rsidTr="00D32B3C">
        <w:trPr>
          <w:cantSplit/>
        </w:trPr>
        <w:tc>
          <w:tcPr>
            <w:tcW w:w="540" w:type="dxa"/>
            <w:tcBorders>
              <w:top w:val="nil"/>
              <w:left w:val="nil"/>
              <w:bottom w:val="nil"/>
              <w:right w:val="nil"/>
            </w:tcBorders>
          </w:tcPr>
          <w:p w14:paraId="225C4231"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7</w:t>
            </w:r>
          </w:p>
        </w:tc>
        <w:tc>
          <w:tcPr>
            <w:tcW w:w="0" w:type="auto"/>
            <w:tcBorders>
              <w:top w:val="nil"/>
              <w:left w:val="nil"/>
              <w:bottom w:val="nil"/>
              <w:right w:val="nil"/>
            </w:tcBorders>
          </w:tcPr>
          <w:p w14:paraId="486412C3"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4230AF30" w14:textId="1803A294"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Rapid Rehousing-Oxford House Model</w:t>
            </w:r>
          </w:p>
        </w:tc>
        <w:tc>
          <w:tcPr>
            <w:tcW w:w="270" w:type="dxa"/>
            <w:tcBorders>
              <w:top w:val="nil"/>
              <w:left w:val="nil"/>
              <w:bottom w:val="nil"/>
              <w:right w:val="nil"/>
            </w:tcBorders>
            <w:vAlign w:val="center"/>
          </w:tcPr>
          <w:p w14:paraId="60BD90F0"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636E327C" w14:textId="1ED43F73"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$465,000</w:t>
            </w:r>
          </w:p>
        </w:tc>
        <w:tc>
          <w:tcPr>
            <w:tcW w:w="270" w:type="dxa"/>
            <w:tcBorders>
              <w:top w:val="nil"/>
              <w:left w:val="nil"/>
              <w:bottom w:val="nil"/>
              <w:right w:val="nil"/>
            </w:tcBorders>
          </w:tcPr>
          <w:p w14:paraId="15939D16"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1200CC0D" w14:textId="6A1C0D9A"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$73,000</w:t>
            </w:r>
          </w:p>
        </w:tc>
        <w:tc>
          <w:tcPr>
            <w:tcW w:w="270" w:type="dxa"/>
            <w:tcBorders>
              <w:top w:val="nil"/>
              <w:left w:val="nil"/>
              <w:bottom w:val="nil"/>
              <w:right w:val="nil"/>
            </w:tcBorders>
          </w:tcPr>
          <w:p w14:paraId="7DF1ABAB" w14:textId="0D3DAC1F"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5AFE06E5" w14:textId="1DA0E5DE"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$538,000 </w:t>
            </w:r>
          </w:p>
        </w:tc>
      </w:tr>
      <w:tr w:rsidR="00D32B3C" w:rsidRPr="00D32B3C" w14:paraId="215AB21A" w14:textId="77777777" w:rsidTr="00D32B3C">
        <w:trPr>
          <w:cantSplit/>
        </w:trPr>
        <w:tc>
          <w:tcPr>
            <w:tcW w:w="540" w:type="dxa"/>
            <w:tcBorders>
              <w:top w:val="nil"/>
              <w:left w:val="nil"/>
              <w:bottom w:val="nil"/>
              <w:right w:val="nil"/>
            </w:tcBorders>
          </w:tcPr>
          <w:p w14:paraId="67496F5B"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8</w:t>
            </w:r>
          </w:p>
        </w:tc>
        <w:tc>
          <w:tcPr>
            <w:tcW w:w="0" w:type="auto"/>
            <w:tcBorders>
              <w:top w:val="nil"/>
              <w:left w:val="nil"/>
              <w:bottom w:val="nil"/>
              <w:right w:val="nil"/>
            </w:tcBorders>
          </w:tcPr>
          <w:p w14:paraId="0741ED33"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073569AA" w14:textId="60C10FD5"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Jail Reentry System of Care</w:t>
            </w:r>
          </w:p>
        </w:tc>
        <w:tc>
          <w:tcPr>
            <w:tcW w:w="270" w:type="dxa"/>
            <w:tcBorders>
              <w:top w:val="nil"/>
              <w:left w:val="nil"/>
              <w:bottom w:val="nil"/>
              <w:right w:val="nil"/>
            </w:tcBorders>
            <w:vAlign w:val="center"/>
          </w:tcPr>
          <w:p w14:paraId="272351B6"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11027A61" w14:textId="529FF461"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$841,000</w:t>
            </w:r>
          </w:p>
        </w:tc>
        <w:tc>
          <w:tcPr>
            <w:tcW w:w="270" w:type="dxa"/>
            <w:tcBorders>
              <w:top w:val="nil"/>
              <w:left w:val="nil"/>
              <w:bottom w:val="nil"/>
              <w:right w:val="nil"/>
            </w:tcBorders>
          </w:tcPr>
          <w:p w14:paraId="271D84C0"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55D87132" w14:textId="2B35CA74"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$94,000</w:t>
            </w:r>
          </w:p>
        </w:tc>
        <w:tc>
          <w:tcPr>
            <w:tcW w:w="270" w:type="dxa"/>
            <w:tcBorders>
              <w:top w:val="nil"/>
              <w:left w:val="nil"/>
              <w:bottom w:val="nil"/>
              <w:right w:val="nil"/>
            </w:tcBorders>
          </w:tcPr>
          <w:p w14:paraId="56FCF63F" w14:textId="0B97B3C6"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327A855B" w14:textId="397FEE2E"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$935,000 </w:t>
            </w:r>
          </w:p>
        </w:tc>
      </w:tr>
      <w:tr w:rsidR="00D32B3C" w:rsidRPr="00D32B3C" w14:paraId="26354B15" w14:textId="77777777" w:rsidTr="00D32B3C">
        <w:trPr>
          <w:cantSplit/>
        </w:trPr>
        <w:tc>
          <w:tcPr>
            <w:tcW w:w="540" w:type="dxa"/>
            <w:tcBorders>
              <w:top w:val="nil"/>
              <w:left w:val="nil"/>
              <w:bottom w:val="nil"/>
              <w:right w:val="nil"/>
            </w:tcBorders>
          </w:tcPr>
          <w:p w14:paraId="2F6F5235"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9</w:t>
            </w:r>
          </w:p>
        </w:tc>
        <w:tc>
          <w:tcPr>
            <w:tcW w:w="0" w:type="auto"/>
            <w:tcBorders>
              <w:top w:val="nil"/>
              <w:left w:val="nil"/>
              <w:bottom w:val="nil"/>
              <w:right w:val="nil"/>
            </w:tcBorders>
          </w:tcPr>
          <w:p w14:paraId="5CB18F06"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22C8B5DE" w14:textId="6835AD2E"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Behavioral Health Employment Services and Supported Employment</w:t>
            </w:r>
          </w:p>
        </w:tc>
        <w:tc>
          <w:tcPr>
            <w:tcW w:w="270" w:type="dxa"/>
            <w:tcBorders>
              <w:top w:val="nil"/>
              <w:left w:val="nil"/>
              <w:bottom w:val="nil"/>
              <w:right w:val="nil"/>
            </w:tcBorders>
            <w:vAlign w:val="center"/>
          </w:tcPr>
          <w:p w14:paraId="08F5D394"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59C284A5" w14:textId="7F588B90"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$1,030,000</w:t>
            </w:r>
          </w:p>
        </w:tc>
        <w:tc>
          <w:tcPr>
            <w:tcW w:w="270" w:type="dxa"/>
            <w:tcBorders>
              <w:top w:val="nil"/>
              <w:left w:val="nil"/>
              <w:bottom w:val="nil"/>
              <w:right w:val="nil"/>
            </w:tcBorders>
          </w:tcPr>
          <w:p w14:paraId="16678A68"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42AFC6AF" w14:textId="51670750"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$238,000</w:t>
            </w:r>
          </w:p>
        </w:tc>
        <w:tc>
          <w:tcPr>
            <w:tcW w:w="270" w:type="dxa"/>
            <w:tcBorders>
              <w:top w:val="nil"/>
              <w:left w:val="nil"/>
              <w:bottom w:val="nil"/>
              <w:right w:val="nil"/>
            </w:tcBorders>
          </w:tcPr>
          <w:p w14:paraId="55F8F955" w14:textId="360D98E8"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1D3570CE" w14:textId="07EC4AF2"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$1,268,000 </w:t>
            </w:r>
          </w:p>
        </w:tc>
      </w:tr>
      <w:tr w:rsidR="00D32B3C" w:rsidRPr="00D32B3C" w14:paraId="45C1FF15" w14:textId="77777777" w:rsidTr="00D32B3C">
        <w:trPr>
          <w:cantSplit/>
        </w:trPr>
        <w:tc>
          <w:tcPr>
            <w:tcW w:w="540" w:type="dxa"/>
            <w:tcBorders>
              <w:top w:val="nil"/>
              <w:left w:val="nil"/>
              <w:bottom w:val="nil"/>
              <w:right w:val="nil"/>
            </w:tcBorders>
          </w:tcPr>
          <w:p w14:paraId="658E199A"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10</w:t>
            </w:r>
          </w:p>
        </w:tc>
        <w:tc>
          <w:tcPr>
            <w:tcW w:w="0" w:type="auto"/>
            <w:tcBorders>
              <w:top w:val="nil"/>
              <w:left w:val="nil"/>
              <w:bottom w:val="nil"/>
              <w:right w:val="nil"/>
            </w:tcBorders>
          </w:tcPr>
          <w:p w14:paraId="177912E6"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1AD6AEE4" w14:textId="6E41BB3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Jail-Based SUD Treatment</w:t>
            </w:r>
          </w:p>
        </w:tc>
        <w:tc>
          <w:tcPr>
            <w:tcW w:w="270" w:type="dxa"/>
            <w:tcBorders>
              <w:top w:val="nil"/>
              <w:left w:val="nil"/>
              <w:bottom w:val="nil"/>
              <w:right w:val="nil"/>
            </w:tcBorders>
            <w:vAlign w:val="center"/>
          </w:tcPr>
          <w:p w14:paraId="3900102F"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5279AD1F" w14:textId="2D497FEF"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$413,000</w:t>
            </w:r>
          </w:p>
        </w:tc>
        <w:tc>
          <w:tcPr>
            <w:tcW w:w="270" w:type="dxa"/>
            <w:tcBorders>
              <w:top w:val="nil"/>
              <w:left w:val="nil"/>
              <w:bottom w:val="nil"/>
              <w:right w:val="nil"/>
            </w:tcBorders>
          </w:tcPr>
          <w:p w14:paraId="20F35422"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36FE28DD" w14:textId="3E8A5742"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$65,000</w:t>
            </w:r>
          </w:p>
        </w:tc>
        <w:tc>
          <w:tcPr>
            <w:tcW w:w="270" w:type="dxa"/>
            <w:tcBorders>
              <w:top w:val="nil"/>
              <w:left w:val="nil"/>
              <w:bottom w:val="nil"/>
              <w:right w:val="nil"/>
            </w:tcBorders>
          </w:tcPr>
          <w:p w14:paraId="62094000" w14:textId="4B091883"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31EF55F9" w14:textId="1FA6BACC"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$478,000 </w:t>
            </w:r>
          </w:p>
        </w:tc>
      </w:tr>
      <w:tr w:rsidR="00D32B3C" w:rsidRPr="00D32B3C" w14:paraId="24E1AE2D" w14:textId="77777777" w:rsidTr="00D32B3C">
        <w:trPr>
          <w:cantSplit/>
        </w:trPr>
        <w:tc>
          <w:tcPr>
            <w:tcW w:w="540" w:type="dxa"/>
            <w:tcBorders>
              <w:top w:val="nil"/>
              <w:left w:val="nil"/>
              <w:bottom w:val="nil"/>
              <w:right w:val="nil"/>
            </w:tcBorders>
          </w:tcPr>
          <w:p w14:paraId="3E63A95D"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11</w:t>
            </w:r>
          </w:p>
        </w:tc>
        <w:tc>
          <w:tcPr>
            <w:tcW w:w="0" w:type="auto"/>
            <w:tcBorders>
              <w:top w:val="nil"/>
              <w:left w:val="nil"/>
              <w:bottom w:val="nil"/>
              <w:right w:val="nil"/>
            </w:tcBorders>
          </w:tcPr>
          <w:p w14:paraId="10651B5F"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11D7C309" w14:textId="6AB81055"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Quality Coordinated Outpatient Care</w:t>
            </w:r>
          </w:p>
        </w:tc>
        <w:tc>
          <w:tcPr>
            <w:tcW w:w="270" w:type="dxa"/>
            <w:tcBorders>
              <w:top w:val="nil"/>
              <w:left w:val="nil"/>
              <w:bottom w:val="nil"/>
              <w:right w:val="nil"/>
            </w:tcBorders>
            <w:vAlign w:val="center"/>
          </w:tcPr>
          <w:p w14:paraId="1D61FA9A"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nil"/>
              <w:right w:val="nil"/>
            </w:tcBorders>
            <w:tcMar>
              <w:top w:w="72" w:type="dxa"/>
              <w:left w:w="115" w:type="dxa"/>
              <w:bottom w:w="72" w:type="dxa"/>
              <w:right w:w="115" w:type="dxa"/>
            </w:tcMar>
          </w:tcPr>
          <w:p w14:paraId="52D7A09D" w14:textId="2C48317D"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$4,200,000</w:t>
            </w:r>
          </w:p>
        </w:tc>
        <w:tc>
          <w:tcPr>
            <w:tcW w:w="270" w:type="dxa"/>
            <w:tcBorders>
              <w:top w:val="nil"/>
              <w:left w:val="nil"/>
              <w:bottom w:val="nil"/>
              <w:right w:val="nil"/>
            </w:tcBorders>
          </w:tcPr>
          <w:p w14:paraId="3539897E"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nil"/>
              <w:right w:val="nil"/>
            </w:tcBorders>
          </w:tcPr>
          <w:p w14:paraId="1AB6EE8D" w14:textId="5FC72DB5"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$1,210,000</w:t>
            </w:r>
          </w:p>
        </w:tc>
        <w:tc>
          <w:tcPr>
            <w:tcW w:w="270" w:type="dxa"/>
            <w:tcBorders>
              <w:top w:val="nil"/>
              <w:left w:val="nil"/>
              <w:bottom w:val="nil"/>
              <w:right w:val="nil"/>
            </w:tcBorders>
          </w:tcPr>
          <w:p w14:paraId="3B82CB83" w14:textId="3BF40029"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nil"/>
              <w:right w:val="single" w:sz="2" w:space="0" w:color="FFFFFF" w:themeColor="background1"/>
            </w:tcBorders>
            <w:tcMar>
              <w:top w:w="72" w:type="dxa"/>
              <w:left w:w="115" w:type="dxa"/>
              <w:bottom w:w="72" w:type="dxa"/>
              <w:right w:w="115" w:type="dxa"/>
            </w:tcMar>
          </w:tcPr>
          <w:p w14:paraId="7B5C742C" w14:textId="21A8F53F"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$5,410,000 </w:t>
            </w:r>
          </w:p>
        </w:tc>
      </w:tr>
      <w:tr w:rsidR="00D32B3C" w:rsidRPr="00D32B3C" w14:paraId="7DBF8842" w14:textId="77777777" w:rsidTr="00D32B3C">
        <w:trPr>
          <w:cantSplit/>
        </w:trPr>
        <w:tc>
          <w:tcPr>
            <w:tcW w:w="540" w:type="dxa"/>
            <w:tcBorders>
              <w:top w:val="nil"/>
              <w:left w:val="nil"/>
              <w:bottom w:val="nil"/>
              <w:right w:val="nil"/>
            </w:tcBorders>
          </w:tcPr>
          <w:p w14:paraId="00E3C74C" w14:textId="77777777"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12</w:t>
            </w:r>
          </w:p>
        </w:tc>
        <w:tc>
          <w:tcPr>
            <w:tcW w:w="0" w:type="auto"/>
            <w:tcBorders>
              <w:top w:val="nil"/>
              <w:left w:val="nil"/>
              <w:bottom w:val="nil"/>
              <w:right w:val="nil"/>
            </w:tcBorders>
          </w:tcPr>
          <w:p w14:paraId="3D616502" w14:textId="77777777" w:rsidR="005051DA" w:rsidRPr="00D32B3C" w:rsidRDefault="005051DA" w:rsidP="005051DA">
            <w:pPr>
              <w:keepNext/>
              <w:rPr>
                <w:rFonts w:ascii="Arial" w:hAnsi="Arial" w:cs="Arial"/>
                <w:color w:val="4F81BD" w:themeColor="accent1"/>
                <w:sz w:val="20"/>
              </w:rPr>
            </w:pPr>
          </w:p>
        </w:tc>
        <w:tc>
          <w:tcPr>
            <w:tcW w:w="3738" w:type="dxa"/>
            <w:tcBorders>
              <w:top w:val="nil"/>
              <w:left w:val="nil"/>
              <w:bottom w:val="nil"/>
              <w:right w:val="nil"/>
            </w:tcBorders>
          </w:tcPr>
          <w:p w14:paraId="5C6CD29F" w14:textId="325787B0" w:rsidR="005051DA" w:rsidRPr="00D32B3C" w:rsidRDefault="005051DA" w:rsidP="005051DA">
            <w:pPr>
              <w:keepNext/>
              <w:rPr>
                <w:rFonts w:ascii="Arial" w:hAnsi="Arial" w:cs="Arial"/>
                <w:color w:val="4F81BD" w:themeColor="accent1"/>
                <w:sz w:val="20"/>
              </w:rPr>
            </w:pPr>
            <w:r w:rsidRPr="00D32B3C">
              <w:rPr>
                <w:rFonts w:ascii="Arial" w:hAnsi="Arial" w:cs="Arial"/>
                <w:color w:val="4F81BD" w:themeColor="accent1"/>
                <w:sz w:val="20"/>
              </w:rPr>
              <w:t>BHRD Cost Center</w:t>
            </w:r>
          </w:p>
        </w:tc>
        <w:tc>
          <w:tcPr>
            <w:tcW w:w="270" w:type="dxa"/>
            <w:tcBorders>
              <w:top w:val="nil"/>
              <w:left w:val="nil"/>
              <w:bottom w:val="nil"/>
              <w:right w:val="nil"/>
            </w:tcBorders>
            <w:vAlign w:val="center"/>
          </w:tcPr>
          <w:p w14:paraId="55D8FB59" w14:textId="77777777" w:rsidR="005051DA" w:rsidRPr="00D32B3C" w:rsidRDefault="005051DA" w:rsidP="005051DA">
            <w:pPr>
              <w:keepNext/>
              <w:jc w:val="right"/>
              <w:rPr>
                <w:rFonts w:ascii="Arial" w:hAnsi="Arial" w:cs="Arial"/>
                <w:color w:val="4F81BD" w:themeColor="accent1"/>
                <w:sz w:val="20"/>
              </w:rPr>
            </w:pPr>
          </w:p>
        </w:tc>
        <w:tc>
          <w:tcPr>
            <w:tcW w:w="1350" w:type="dxa"/>
            <w:tcBorders>
              <w:top w:val="nil"/>
              <w:left w:val="nil"/>
              <w:bottom w:val="single" w:sz="4" w:space="0" w:color="auto"/>
              <w:right w:val="nil"/>
            </w:tcBorders>
            <w:tcMar>
              <w:top w:w="72" w:type="dxa"/>
              <w:left w:w="115" w:type="dxa"/>
              <w:bottom w:w="72" w:type="dxa"/>
              <w:right w:w="115" w:type="dxa"/>
            </w:tcMar>
          </w:tcPr>
          <w:p w14:paraId="002F5A28" w14:textId="1009AA3C"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$239,000</w:t>
            </w:r>
          </w:p>
        </w:tc>
        <w:tc>
          <w:tcPr>
            <w:tcW w:w="270" w:type="dxa"/>
            <w:tcBorders>
              <w:top w:val="nil"/>
              <w:left w:val="nil"/>
              <w:bottom w:val="nil"/>
              <w:right w:val="nil"/>
            </w:tcBorders>
          </w:tcPr>
          <w:p w14:paraId="33A25552" w14:textId="77777777" w:rsidR="005051DA" w:rsidRPr="00D32B3C" w:rsidRDefault="005051DA" w:rsidP="005051DA">
            <w:pPr>
              <w:keepNext/>
              <w:jc w:val="right"/>
              <w:rPr>
                <w:rFonts w:ascii="Arial" w:hAnsi="Arial" w:cs="Arial"/>
                <w:color w:val="4F81BD" w:themeColor="accent1"/>
                <w:sz w:val="20"/>
              </w:rPr>
            </w:pPr>
          </w:p>
        </w:tc>
        <w:tc>
          <w:tcPr>
            <w:tcW w:w="1260" w:type="dxa"/>
            <w:tcBorders>
              <w:top w:val="nil"/>
              <w:left w:val="nil"/>
              <w:bottom w:val="single" w:sz="4" w:space="0" w:color="auto"/>
              <w:right w:val="nil"/>
            </w:tcBorders>
          </w:tcPr>
          <w:p w14:paraId="4E051259" w14:textId="7B2BB1A0"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$122,000</w:t>
            </w:r>
          </w:p>
        </w:tc>
        <w:tc>
          <w:tcPr>
            <w:tcW w:w="270" w:type="dxa"/>
            <w:tcBorders>
              <w:top w:val="nil"/>
              <w:left w:val="nil"/>
              <w:bottom w:val="nil"/>
              <w:right w:val="nil"/>
            </w:tcBorders>
          </w:tcPr>
          <w:p w14:paraId="70644C6E" w14:textId="4F53698C" w:rsidR="005051DA" w:rsidRPr="00D32B3C" w:rsidRDefault="005051DA" w:rsidP="005051DA">
            <w:pPr>
              <w:keepNext/>
              <w:jc w:val="right"/>
              <w:rPr>
                <w:rFonts w:ascii="Arial" w:hAnsi="Arial" w:cs="Arial"/>
                <w:color w:val="4F81BD" w:themeColor="accent1"/>
                <w:sz w:val="20"/>
              </w:rPr>
            </w:pPr>
          </w:p>
        </w:tc>
        <w:tc>
          <w:tcPr>
            <w:tcW w:w="144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75B00BBF" w14:textId="34098FCC" w:rsidR="005051DA" w:rsidRPr="00D32B3C" w:rsidRDefault="005051DA" w:rsidP="005051DA">
            <w:pPr>
              <w:keepNext/>
              <w:jc w:val="right"/>
              <w:rPr>
                <w:rFonts w:ascii="Arial" w:hAnsi="Arial" w:cs="Arial"/>
                <w:color w:val="4F81BD" w:themeColor="accent1"/>
                <w:sz w:val="20"/>
              </w:rPr>
            </w:pPr>
            <w:r w:rsidRPr="00D32B3C">
              <w:rPr>
                <w:rFonts w:ascii="Arial" w:hAnsi="Arial" w:cs="Arial"/>
                <w:color w:val="4F81BD" w:themeColor="accent1"/>
                <w:sz w:val="20"/>
              </w:rPr>
              <w:t xml:space="preserve">$361,000 </w:t>
            </w:r>
          </w:p>
        </w:tc>
      </w:tr>
      <w:tr w:rsidR="00D32B3C" w:rsidRPr="00D32B3C" w14:paraId="20BD5C52" w14:textId="77777777" w:rsidTr="00D32B3C">
        <w:trPr>
          <w:cantSplit/>
          <w:trHeight w:val="13"/>
        </w:trPr>
        <w:tc>
          <w:tcPr>
            <w:tcW w:w="540" w:type="dxa"/>
            <w:tcBorders>
              <w:top w:val="nil"/>
              <w:left w:val="nil"/>
              <w:bottom w:val="single" w:sz="12" w:space="0" w:color="auto"/>
              <w:right w:val="nil"/>
            </w:tcBorders>
          </w:tcPr>
          <w:p w14:paraId="5739D38E" w14:textId="77777777" w:rsidR="00D94003" w:rsidRPr="00D32B3C" w:rsidRDefault="00D94003" w:rsidP="00D94003">
            <w:pPr>
              <w:keepNext/>
              <w:jc w:val="right"/>
              <w:rPr>
                <w:rFonts w:ascii="Arial" w:hAnsi="Arial" w:cs="Arial"/>
                <w:b/>
                <w:color w:val="4F81BD" w:themeColor="accent1"/>
                <w:sz w:val="20"/>
              </w:rPr>
            </w:pPr>
          </w:p>
        </w:tc>
        <w:tc>
          <w:tcPr>
            <w:tcW w:w="0" w:type="auto"/>
            <w:tcBorders>
              <w:top w:val="nil"/>
              <w:left w:val="nil"/>
              <w:bottom w:val="single" w:sz="12" w:space="0" w:color="auto"/>
              <w:right w:val="nil"/>
            </w:tcBorders>
          </w:tcPr>
          <w:p w14:paraId="6075E066" w14:textId="77777777" w:rsidR="00D94003" w:rsidRPr="00D32B3C" w:rsidRDefault="00D94003" w:rsidP="00D94003">
            <w:pPr>
              <w:keepNext/>
              <w:jc w:val="right"/>
              <w:rPr>
                <w:rFonts w:ascii="Arial" w:hAnsi="Arial" w:cs="Arial"/>
                <w:b/>
                <w:color w:val="4F81BD" w:themeColor="accent1"/>
                <w:sz w:val="20"/>
              </w:rPr>
            </w:pPr>
          </w:p>
        </w:tc>
        <w:tc>
          <w:tcPr>
            <w:tcW w:w="3738" w:type="dxa"/>
            <w:tcBorders>
              <w:top w:val="nil"/>
              <w:left w:val="nil"/>
              <w:bottom w:val="single" w:sz="12" w:space="0" w:color="auto"/>
              <w:right w:val="nil"/>
            </w:tcBorders>
            <w:vAlign w:val="center"/>
          </w:tcPr>
          <w:p w14:paraId="252EA5E3" w14:textId="77777777" w:rsidR="00D94003" w:rsidRPr="00D32B3C" w:rsidRDefault="00D94003" w:rsidP="00D94003">
            <w:pPr>
              <w:keepNext/>
              <w:jc w:val="right"/>
              <w:rPr>
                <w:rFonts w:ascii="Arial" w:hAnsi="Arial" w:cs="Arial"/>
                <w:b/>
                <w:color w:val="4F81BD" w:themeColor="accent1"/>
                <w:sz w:val="20"/>
              </w:rPr>
            </w:pPr>
          </w:p>
        </w:tc>
        <w:tc>
          <w:tcPr>
            <w:tcW w:w="270" w:type="dxa"/>
            <w:tcBorders>
              <w:top w:val="nil"/>
              <w:left w:val="nil"/>
              <w:bottom w:val="single" w:sz="12" w:space="0" w:color="auto"/>
              <w:right w:val="nil"/>
            </w:tcBorders>
            <w:vAlign w:val="center"/>
          </w:tcPr>
          <w:p w14:paraId="099EC079" w14:textId="77777777" w:rsidR="00D94003" w:rsidRPr="00D32B3C" w:rsidRDefault="00D94003" w:rsidP="00D94003">
            <w:pPr>
              <w:keepNext/>
              <w:jc w:val="right"/>
              <w:rPr>
                <w:rFonts w:ascii="Arial" w:hAnsi="Arial" w:cs="Arial"/>
                <w:b/>
                <w:color w:val="4F81BD" w:themeColor="accent1"/>
                <w:sz w:val="20"/>
              </w:rPr>
            </w:pPr>
          </w:p>
        </w:tc>
        <w:tc>
          <w:tcPr>
            <w:tcW w:w="1350" w:type="dxa"/>
            <w:tcBorders>
              <w:top w:val="single" w:sz="4" w:space="0" w:color="auto"/>
              <w:left w:val="nil"/>
              <w:bottom w:val="single" w:sz="12" w:space="0" w:color="auto"/>
              <w:right w:val="nil"/>
            </w:tcBorders>
            <w:tcMar>
              <w:top w:w="72" w:type="dxa"/>
              <w:left w:w="115" w:type="dxa"/>
              <w:bottom w:w="72" w:type="dxa"/>
              <w:right w:w="115" w:type="dxa"/>
            </w:tcMar>
            <w:vAlign w:val="center"/>
          </w:tcPr>
          <w:p w14:paraId="2A4A8E9E" w14:textId="11CC31F7" w:rsidR="00D94003" w:rsidRPr="00D32B3C" w:rsidRDefault="00D32B3C" w:rsidP="00D94003">
            <w:pPr>
              <w:keepNext/>
              <w:jc w:val="right"/>
              <w:rPr>
                <w:rFonts w:ascii="Arial" w:hAnsi="Arial" w:cs="Arial"/>
                <w:b/>
                <w:color w:val="4F81BD" w:themeColor="accent1"/>
                <w:sz w:val="20"/>
              </w:rPr>
            </w:pPr>
            <w:r w:rsidRPr="00D32B3C">
              <w:rPr>
                <w:rFonts w:ascii="Arial" w:hAnsi="Arial" w:cs="Arial"/>
                <w:b/>
                <w:color w:val="4F81BD" w:themeColor="accent1"/>
                <w:sz w:val="20"/>
              </w:rPr>
              <w:t>$14,735,000</w:t>
            </w:r>
          </w:p>
        </w:tc>
        <w:tc>
          <w:tcPr>
            <w:tcW w:w="270" w:type="dxa"/>
            <w:tcBorders>
              <w:top w:val="nil"/>
              <w:left w:val="single" w:sz="2" w:space="0" w:color="FFFFFF" w:themeColor="background1"/>
              <w:bottom w:val="single" w:sz="12" w:space="0" w:color="auto"/>
              <w:right w:val="single" w:sz="2" w:space="0" w:color="FFFFFF" w:themeColor="background1"/>
            </w:tcBorders>
            <w:vAlign w:val="center"/>
          </w:tcPr>
          <w:p w14:paraId="094E00C5" w14:textId="77777777" w:rsidR="00D94003" w:rsidRPr="00D32B3C" w:rsidRDefault="00D94003" w:rsidP="00D94003">
            <w:pPr>
              <w:keepNext/>
              <w:jc w:val="right"/>
              <w:rPr>
                <w:rFonts w:ascii="Arial" w:hAnsi="Arial" w:cs="Arial"/>
                <w:b/>
                <w:color w:val="4F81BD" w:themeColor="accent1"/>
                <w:sz w:val="20"/>
              </w:rPr>
            </w:pPr>
          </w:p>
        </w:tc>
        <w:tc>
          <w:tcPr>
            <w:tcW w:w="1260" w:type="dxa"/>
            <w:tcBorders>
              <w:top w:val="single" w:sz="4" w:space="0" w:color="auto"/>
              <w:left w:val="single" w:sz="2" w:space="0" w:color="FFFFFF" w:themeColor="background1"/>
              <w:bottom w:val="single" w:sz="12" w:space="0" w:color="auto"/>
              <w:right w:val="single" w:sz="2" w:space="0" w:color="FFFFFF" w:themeColor="background1"/>
            </w:tcBorders>
          </w:tcPr>
          <w:p w14:paraId="2F6FF73C" w14:textId="695B2964" w:rsidR="00D94003" w:rsidRPr="00D32B3C" w:rsidRDefault="00D32B3C" w:rsidP="00D94003">
            <w:pPr>
              <w:keepNext/>
              <w:jc w:val="right"/>
              <w:rPr>
                <w:rFonts w:ascii="Arial" w:hAnsi="Arial" w:cs="Arial"/>
                <w:b/>
                <w:color w:val="4F81BD" w:themeColor="accent1"/>
                <w:sz w:val="20"/>
              </w:rPr>
            </w:pPr>
            <w:r w:rsidRPr="00D32B3C">
              <w:rPr>
                <w:rFonts w:ascii="Arial" w:hAnsi="Arial" w:cs="Arial"/>
                <w:b/>
                <w:color w:val="4F81BD" w:themeColor="accent1"/>
                <w:sz w:val="20"/>
              </w:rPr>
              <w:t>$2,323,000</w:t>
            </w:r>
          </w:p>
        </w:tc>
        <w:tc>
          <w:tcPr>
            <w:tcW w:w="270" w:type="dxa"/>
            <w:tcBorders>
              <w:top w:val="nil"/>
              <w:left w:val="single" w:sz="2" w:space="0" w:color="FFFFFF" w:themeColor="background1"/>
              <w:bottom w:val="single" w:sz="12" w:space="0" w:color="auto"/>
              <w:right w:val="single" w:sz="2" w:space="0" w:color="FFFFFF" w:themeColor="background1"/>
            </w:tcBorders>
          </w:tcPr>
          <w:p w14:paraId="4E2DB5CE" w14:textId="2EF606CF" w:rsidR="00D94003" w:rsidRPr="00D32B3C" w:rsidRDefault="00D94003" w:rsidP="00D94003">
            <w:pPr>
              <w:keepNext/>
              <w:jc w:val="right"/>
              <w:rPr>
                <w:rFonts w:ascii="Arial" w:hAnsi="Arial" w:cs="Arial"/>
                <w:b/>
                <w:color w:val="4F81BD" w:themeColor="accent1"/>
                <w:sz w:val="20"/>
              </w:rPr>
            </w:pPr>
          </w:p>
        </w:tc>
        <w:tc>
          <w:tcPr>
            <w:tcW w:w="144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0802FFB" w14:textId="47236EB3" w:rsidR="00D94003" w:rsidRPr="00D32B3C" w:rsidRDefault="00D94003" w:rsidP="00D94003">
            <w:pPr>
              <w:keepNext/>
              <w:jc w:val="right"/>
              <w:rPr>
                <w:rFonts w:ascii="Arial" w:hAnsi="Arial" w:cs="Arial"/>
                <w:b/>
                <w:color w:val="4F81BD" w:themeColor="accent1"/>
                <w:sz w:val="20"/>
              </w:rPr>
            </w:pPr>
            <w:r w:rsidRPr="00D32B3C">
              <w:rPr>
                <w:rFonts w:ascii="Arial" w:hAnsi="Arial" w:cs="Arial"/>
                <w:b/>
                <w:color w:val="4F81BD" w:themeColor="accent1"/>
                <w:sz w:val="20"/>
              </w:rPr>
              <w:t>$</w:t>
            </w:r>
            <w:r w:rsidR="00D32B3C" w:rsidRPr="00D32B3C">
              <w:rPr>
                <w:rFonts w:ascii="Arial" w:hAnsi="Arial" w:cs="Arial"/>
                <w:b/>
                <w:color w:val="4F81BD" w:themeColor="accent1"/>
                <w:sz w:val="20"/>
              </w:rPr>
              <w:t>17,058</w:t>
            </w:r>
            <w:r w:rsidRPr="00D32B3C">
              <w:rPr>
                <w:rFonts w:ascii="Arial" w:hAnsi="Arial" w:cs="Arial"/>
                <w:b/>
                <w:color w:val="4F81BD" w:themeColor="accent1"/>
                <w:sz w:val="20"/>
              </w:rPr>
              <w:t>,000</w:t>
            </w:r>
          </w:p>
        </w:tc>
      </w:tr>
    </w:tbl>
    <w:p w14:paraId="72392126" w14:textId="1A88E2C8" w:rsidR="00BE0ADE" w:rsidRPr="00D32B3C" w:rsidRDefault="00BE0ADE" w:rsidP="000A79D6">
      <w:pPr>
        <w:spacing w:line="264" w:lineRule="auto"/>
        <w:jc w:val="both"/>
        <w:rPr>
          <w:rFonts w:ascii="Arial" w:hAnsi="Arial" w:cs="Arial"/>
          <w:b/>
          <w:bCs/>
          <w:i/>
          <w:iCs/>
          <w:sz w:val="20"/>
        </w:rPr>
      </w:pPr>
    </w:p>
    <w:p w14:paraId="1070C815" w14:textId="77777777" w:rsidR="00D94003" w:rsidRDefault="00D94003" w:rsidP="000A79D6">
      <w:pPr>
        <w:spacing w:line="264" w:lineRule="auto"/>
        <w:jc w:val="both"/>
        <w:rPr>
          <w:rFonts w:ascii="Arial" w:hAnsi="Arial" w:cs="Arial"/>
          <w:b/>
          <w:bCs/>
          <w:i/>
          <w:iCs/>
          <w:szCs w:val="24"/>
        </w:rPr>
      </w:pPr>
    </w:p>
    <w:p w14:paraId="2E97E63A" w14:textId="3BEF9BCF" w:rsidR="000A79D6" w:rsidRDefault="000A79D6" w:rsidP="000A79D6">
      <w:pPr>
        <w:spacing w:line="264" w:lineRule="auto"/>
        <w:jc w:val="both"/>
        <w:rPr>
          <w:rFonts w:ascii="Arial" w:hAnsi="Arial" w:cs="Arial"/>
          <w:szCs w:val="24"/>
        </w:rPr>
      </w:pPr>
      <w:r w:rsidRPr="00350546">
        <w:rPr>
          <w:rFonts w:ascii="Arial" w:hAnsi="Arial" w:cs="Arial"/>
          <w:b/>
          <w:bCs/>
          <w:i/>
          <w:iCs/>
          <w:szCs w:val="24"/>
        </w:rPr>
        <w:t>Mini-MIDD Restoration of 2022 MIDD Reductions [$1,336,000]</w:t>
      </w:r>
      <w:r>
        <w:rPr>
          <w:rFonts w:ascii="Arial" w:hAnsi="Arial" w:cs="Arial"/>
          <w:b/>
          <w:bCs/>
          <w:szCs w:val="24"/>
        </w:rPr>
        <w:t>.</w:t>
      </w:r>
      <w:r w:rsidRPr="00350546">
        <w:rPr>
          <w:rFonts w:ascii="Arial" w:hAnsi="Arial" w:cs="Arial"/>
          <w:b/>
          <w:bCs/>
          <w:i/>
          <w:iCs/>
          <w:szCs w:val="24"/>
        </w:rPr>
        <w:t xml:space="preserve"> </w:t>
      </w:r>
      <w:r>
        <w:rPr>
          <w:rFonts w:ascii="Arial" w:hAnsi="Arial" w:cs="Arial"/>
          <w:b/>
          <w:bCs/>
          <w:i/>
          <w:iCs/>
          <w:szCs w:val="24"/>
        </w:rPr>
        <w:t xml:space="preserve"> </w:t>
      </w:r>
      <w:r w:rsidRPr="00350546">
        <w:rPr>
          <w:rFonts w:ascii="Arial" w:hAnsi="Arial" w:cs="Arial"/>
          <w:szCs w:val="24"/>
        </w:rPr>
        <w:t xml:space="preserve">The Proposed Ordinance would allocate $1,336,000 to restore 2022 reductions to Mini-MIDD allocations. </w:t>
      </w:r>
      <w:r>
        <w:rPr>
          <w:rFonts w:ascii="Arial" w:hAnsi="Arial" w:cs="Arial"/>
          <w:szCs w:val="24"/>
        </w:rPr>
        <w:t xml:space="preserve"> Mini-MIDDs are funds that account for MIDD allocations to legal system agencies in the General Fund.  The t</w:t>
      </w:r>
      <w:r w:rsidRPr="00350546">
        <w:rPr>
          <w:rFonts w:ascii="Arial" w:hAnsi="Arial" w:cs="Arial"/>
          <w:szCs w:val="24"/>
        </w:rPr>
        <w:t>able below provides a breakdown of allocation restorations and FTE authority</w:t>
      </w:r>
      <w:r>
        <w:rPr>
          <w:rFonts w:ascii="Arial" w:hAnsi="Arial" w:cs="Arial"/>
          <w:szCs w:val="24"/>
        </w:rPr>
        <w:t xml:space="preserve"> for each mini-MIDD fund</w:t>
      </w:r>
      <w:r w:rsidRPr="00350546">
        <w:rPr>
          <w:rFonts w:ascii="Arial" w:hAnsi="Arial" w:cs="Arial"/>
          <w:szCs w:val="24"/>
        </w:rPr>
        <w:t xml:space="preserve">. </w:t>
      </w:r>
    </w:p>
    <w:p w14:paraId="40B407AB" w14:textId="77777777" w:rsidR="00E91472" w:rsidRPr="00350546" w:rsidRDefault="00E91472" w:rsidP="000A79D6">
      <w:pPr>
        <w:spacing w:line="264" w:lineRule="auto"/>
        <w:jc w:val="both"/>
        <w:rPr>
          <w:rFonts w:ascii="Arial" w:hAnsi="Arial" w:cs="Arial"/>
          <w:szCs w:val="24"/>
        </w:rPr>
      </w:pPr>
    </w:p>
    <w:p w14:paraId="789913ED" w14:textId="2A915DB6" w:rsidR="000A79D6" w:rsidRPr="00E91472" w:rsidRDefault="000A79D6" w:rsidP="000A79D6">
      <w:pPr>
        <w:spacing w:line="264" w:lineRule="auto"/>
        <w:jc w:val="both"/>
        <w:rPr>
          <w:rFonts w:ascii="Arial" w:hAnsi="Arial" w:cs="Arial"/>
          <w:szCs w:val="24"/>
        </w:rPr>
      </w:pPr>
      <w:r>
        <w:rPr>
          <w:rFonts w:ascii="Arial" w:hAnsi="Arial" w:cs="Arial"/>
          <w:szCs w:val="24"/>
        </w:rPr>
        <w:t>Of note, t</w:t>
      </w:r>
      <w:r w:rsidRPr="00350546">
        <w:rPr>
          <w:rFonts w:ascii="Arial" w:hAnsi="Arial" w:cs="Arial"/>
          <w:szCs w:val="24"/>
        </w:rPr>
        <w:t>he allocation proposed for District Court MIDD includes $229,343 of appropriation and 2.0 FTEs to restore 2022 Community Court MIDD reductions, and $96,500 to restore 2022 Regional Mental Health Court MIDD reductions.</w:t>
      </w:r>
      <w:r w:rsidR="00E91472">
        <w:rPr>
          <w:rFonts w:ascii="Arial" w:hAnsi="Arial" w:cs="Arial"/>
          <w:szCs w:val="24"/>
        </w:rPr>
        <w:t xml:space="preserve">  </w:t>
      </w:r>
      <w:r>
        <w:rPr>
          <w:rFonts w:ascii="Arial" w:hAnsi="Arial" w:cs="Arial"/>
          <w:szCs w:val="24"/>
        </w:rPr>
        <w:t>In addition, a</w:t>
      </w:r>
      <w:r w:rsidRPr="00350546">
        <w:rPr>
          <w:rFonts w:ascii="Arial" w:hAnsi="Arial" w:cs="Arial"/>
          <w:szCs w:val="24"/>
        </w:rPr>
        <w:t xml:space="preserve">ccording to Executive Staff, </w:t>
      </w:r>
      <w:r>
        <w:rPr>
          <w:rFonts w:ascii="Arial" w:hAnsi="Arial" w:cs="Arial"/>
          <w:szCs w:val="24"/>
        </w:rPr>
        <w:t>t</w:t>
      </w:r>
      <w:r w:rsidRPr="00350546">
        <w:rPr>
          <w:rFonts w:ascii="Arial" w:hAnsi="Arial" w:cs="Arial"/>
          <w:szCs w:val="24"/>
        </w:rPr>
        <w:t xml:space="preserve">herapeutic </w:t>
      </w:r>
      <w:r>
        <w:rPr>
          <w:rFonts w:ascii="Arial" w:hAnsi="Arial" w:cs="Arial"/>
          <w:szCs w:val="24"/>
        </w:rPr>
        <w:t>c</w:t>
      </w:r>
      <w:r w:rsidRPr="00350546">
        <w:rPr>
          <w:rFonts w:ascii="Arial" w:hAnsi="Arial" w:cs="Arial"/>
          <w:szCs w:val="24"/>
        </w:rPr>
        <w:t xml:space="preserve">ourt budgets were generally restored to 2020 base budget levels. </w:t>
      </w:r>
      <w:r>
        <w:rPr>
          <w:rFonts w:ascii="Arial" w:hAnsi="Arial" w:cs="Arial"/>
          <w:szCs w:val="24"/>
        </w:rPr>
        <w:t xml:space="preserve"> </w:t>
      </w:r>
      <w:r w:rsidRPr="00350546">
        <w:rPr>
          <w:rFonts w:ascii="Arial" w:hAnsi="Arial" w:cs="Arial"/>
          <w:szCs w:val="24"/>
        </w:rPr>
        <w:t xml:space="preserve">In the 2021-2022 Biennial Budget some MIDD therapeutic court costs were shifted to </w:t>
      </w:r>
      <w:r w:rsidRPr="00350546">
        <w:rPr>
          <w:rFonts w:ascii="Arial" w:hAnsi="Arial" w:cs="Arial"/>
          <w:bCs/>
          <w:szCs w:val="24"/>
        </w:rPr>
        <w:t xml:space="preserve">the General Fund to avoid service reductions, resulting in some decision packages being sprinkled throughout </w:t>
      </w:r>
      <w:r>
        <w:rPr>
          <w:rFonts w:ascii="Arial" w:hAnsi="Arial" w:cs="Arial"/>
          <w:bCs/>
          <w:szCs w:val="24"/>
        </w:rPr>
        <w:t>mini</w:t>
      </w:r>
      <w:r w:rsidRPr="00350546">
        <w:rPr>
          <w:rFonts w:ascii="Arial" w:hAnsi="Arial" w:cs="Arial"/>
          <w:bCs/>
          <w:szCs w:val="24"/>
        </w:rPr>
        <w:t xml:space="preserve">-MIDD and General Fund appropriation units. </w:t>
      </w:r>
    </w:p>
    <w:p w14:paraId="0D9BB0C3" w14:textId="77777777" w:rsidR="000A79D6" w:rsidRPr="00350546" w:rsidRDefault="000A79D6" w:rsidP="000A79D6">
      <w:pPr>
        <w:keepNext/>
        <w:spacing w:line="264" w:lineRule="auto"/>
        <w:contextualSpacing/>
        <w:jc w:val="center"/>
        <w:rPr>
          <w:rFonts w:ascii="Arial" w:hAnsi="Arial" w:cs="Arial"/>
          <w:b/>
          <w:szCs w:val="24"/>
        </w:rPr>
      </w:pPr>
    </w:p>
    <w:tbl>
      <w:tblPr>
        <w:tblStyle w:val="TableGrid"/>
        <w:tblW w:w="8040" w:type="dxa"/>
        <w:jc w:val="center"/>
        <w:tblLook w:val="04A0" w:firstRow="1" w:lastRow="0" w:firstColumn="1" w:lastColumn="0" w:noHBand="0" w:noVBand="1"/>
      </w:tblPr>
      <w:tblGrid>
        <w:gridCol w:w="4140"/>
        <w:gridCol w:w="267"/>
        <w:gridCol w:w="1803"/>
        <w:gridCol w:w="267"/>
        <w:gridCol w:w="1327"/>
        <w:gridCol w:w="236"/>
      </w:tblGrid>
      <w:tr w:rsidR="000A79D6" w:rsidRPr="00350546" w14:paraId="59ECB86C" w14:textId="77777777" w:rsidTr="00E34BBA">
        <w:trPr>
          <w:cantSplit/>
          <w:tblHeader/>
          <w:jc w:val="center"/>
        </w:trPr>
        <w:tc>
          <w:tcPr>
            <w:tcW w:w="4140" w:type="dxa"/>
            <w:tcBorders>
              <w:top w:val="single" w:sz="12" w:space="0" w:color="auto"/>
              <w:left w:val="nil"/>
              <w:bottom w:val="single" w:sz="4" w:space="0" w:color="auto"/>
              <w:right w:val="nil"/>
            </w:tcBorders>
            <w:shd w:val="clear" w:color="auto" w:fill="auto"/>
            <w:vAlign w:val="bottom"/>
          </w:tcPr>
          <w:p w14:paraId="28D8EA07" w14:textId="77777777" w:rsidR="000A79D6" w:rsidRPr="00350546" w:rsidRDefault="000A79D6" w:rsidP="00E34BBA">
            <w:pPr>
              <w:keepNext/>
              <w:spacing w:line="264" w:lineRule="auto"/>
              <w:contextualSpacing/>
              <w:jc w:val="both"/>
              <w:rPr>
                <w:rFonts w:ascii="Arial" w:hAnsi="Arial" w:cs="Arial"/>
                <w:b/>
                <w:szCs w:val="24"/>
              </w:rPr>
            </w:pPr>
            <w:r>
              <w:rPr>
                <w:rFonts w:ascii="Arial" w:hAnsi="Arial" w:cs="Arial"/>
                <w:b/>
                <w:szCs w:val="24"/>
              </w:rPr>
              <w:t>Mini-MIDD Fund</w:t>
            </w:r>
          </w:p>
        </w:tc>
        <w:tc>
          <w:tcPr>
            <w:tcW w:w="267" w:type="dxa"/>
            <w:tcBorders>
              <w:top w:val="single" w:sz="12" w:space="0" w:color="auto"/>
              <w:left w:val="nil"/>
              <w:bottom w:val="nil"/>
              <w:right w:val="nil"/>
            </w:tcBorders>
          </w:tcPr>
          <w:p w14:paraId="2496E96F" w14:textId="77777777" w:rsidR="000A79D6" w:rsidRPr="00350546" w:rsidRDefault="000A79D6" w:rsidP="00E34BBA">
            <w:pPr>
              <w:keepNext/>
              <w:spacing w:line="264" w:lineRule="auto"/>
              <w:contextualSpacing/>
              <w:jc w:val="center"/>
              <w:rPr>
                <w:rFonts w:ascii="Arial" w:hAnsi="Arial" w:cs="Arial"/>
                <w:b/>
                <w:szCs w:val="24"/>
              </w:rPr>
            </w:pPr>
          </w:p>
        </w:tc>
        <w:tc>
          <w:tcPr>
            <w:tcW w:w="1803" w:type="dxa"/>
            <w:tcBorders>
              <w:top w:val="single" w:sz="12" w:space="0" w:color="auto"/>
              <w:left w:val="nil"/>
              <w:bottom w:val="single" w:sz="4" w:space="0" w:color="auto"/>
              <w:right w:val="nil"/>
            </w:tcBorders>
            <w:shd w:val="clear" w:color="auto" w:fill="auto"/>
            <w:vAlign w:val="bottom"/>
          </w:tcPr>
          <w:p w14:paraId="4C860776" w14:textId="77777777" w:rsidR="000A79D6" w:rsidRPr="00350546" w:rsidRDefault="000A79D6" w:rsidP="00E34BBA">
            <w:pPr>
              <w:keepNext/>
              <w:spacing w:line="264" w:lineRule="auto"/>
              <w:contextualSpacing/>
              <w:jc w:val="center"/>
              <w:rPr>
                <w:rFonts w:ascii="Arial" w:hAnsi="Arial" w:cs="Arial"/>
                <w:b/>
                <w:szCs w:val="24"/>
              </w:rPr>
            </w:pPr>
            <w:r w:rsidRPr="00350546">
              <w:rPr>
                <w:rFonts w:ascii="Arial" w:hAnsi="Arial" w:cs="Arial"/>
                <w:b/>
                <w:szCs w:val="24"/>
              </w:rPr>
              <w:t>Proposed Appropriation</w:t>
            </w:r>
          </w:p>
        </w:tc>
        <w:tc>
          <w:tcPr>
            <w:tcW w:w="267" w:type="dxa"/>
            <w:tcBorders>
              <w:top w:val="single" w:sz="12" w:space="0" w:color="auto"/>
              <w:left w:val="nil"/>
              <w:bottom w:val="nil"/>
              <w:right w:val="nil"/>
            </w:tcBorders>
          </w:tcPr>
          <w:p w14:paraId="4CD9264A" w14:textId="77777777" w:rsidR="000A79D6" w:rsidRPr="00350546" w:rsidRDefault="000A79D6" w:rsidP="00E34BBA">
            <w:pPr>
              <w:keepNext/>
              <w:spacing w:line="264" w:lineRule="auto"/>
              <w:contextualSpacing/>
              <w:jc w:val="center"/>
              <w:rPr>
                <w:rFonts w:ascii="Arial" w:hAnsi="Arial" w:cs="Arial"/>
                <w:b/>
                <w:szCs w:val="24"/>
              </w:rPr>
            </w:pPr>
          </w:p>
        </w:tc>
        <w:tc>
          <w:tcPr>
            <w:tcW w:w="1327" w:type="dxa"/>
            <w:tcBorders>
              <w:top w:val="single" w:sz="12" w:space="0" w:color="auto"/>
              <w:left w:val="nil"/>
              <w:bottom w:val="single" w:sz="4" w:space="0" w:color="auto"/>
              <w:right w:val="nil"/>
            </w:tcBorders>
            <w:shd w:val="clear" w:color="auto" w:fill="auto"/>
          </w:tcPr>
          <w:p w14:paraId="419EB85A" w14:textId="77777777" w:rsidR="000A79D6" w:rsidRPr="00350546" w:rsidRDefault="000A79D6" w:rsidP="00E34BBA">
            <w:pPr>
              <w:keepNext/>
              <w:spacing w:line="264" w:lineRule="auto"/>
              <w:contextualSpacing/>
              <w:jc w:val="center"/>
              <w:rPr>
                <w:rFonts w:ascii="Arial" w:hAnsi="Arial" w:cs="Arial"/>
                <w:b/>
                <w:szCs w:val="24"/>
              </w:rPr>
            </w:pPr>
            <w:r w:rsidRPr="00350546">
              <w:rPr>
                <w:rFonts w:ascii="Arial" w:hAnsi="Arial" w:cs="Arial"/>
                <w:b/>
                <w:szCs w:val="24"/>
              </w:rPr>
              <w:t>Proposed FTEs</w:t>
            </w:r>
          </w:p>
        </w:tc>
        <w:tc>
          <w:tcPr>
            <w:tcW w:w="236" w:type="dxa"/>
            <w:tcBorders>
              <w:top w:val="single" w:sz="12" w:space="0" w:color="auto"/>
              <w:left w:val="nil"/>
              <w:bottom w:val="nil"/>
              <w:right w:val="nil"/>
            </w:tcBorders>
          </w:tcPr>
          <w:p w14:paraId="01133BE0" w14:textId="77777777" w:rsidR="000A79D6" w:rsidRPr="00350546" w:rsidRDefault="000A79D6" w:rsidP="00E34BBA">
            <w:pPr>
              <w:keepNext/>
              <w:spacing w:line="264" w:lineRule="auto"/>
              <w:contextualSpacing/>
              <w:jc w:val="center"/>
              <w:rPr>
                <w:rFonts w:ascii="Arial" w:hAnsi="Arial" w:cs="Arial"/>
                <w:b/>
                <w:szCs w:val="24"/>
              </w:rPr>
            </w:pPr>
          </w:p>
        </w:tc>
      </w:tr>
      <w:tr w:rsidR="000A79D6" w:rsidRPr="00350546" w14:paraId="44B56549" w14:textId="77777777" w:rsidTr="00E34BBA">
        <w:trPr>
          <w:cantSplit/>
          <w:jc w:val="center"/>
        </w:trPr>
        <w:tc>
          <w:tcPr>
            <w:tcW w:w="4140" w:type="dxa"/>
            <w:tcBorders>
              <w:top w:val="nil"/>
              <w:left w:val="nil"/>
              <w:bottom w:val="nil"/>
              <w:right w:val="nil"/>
            </w:tcBorders>
            <w:shd w:val="clear" w:color="auto" w:fill="auto"/>
            <w:tcMar>
              <w:top w:w="43" w:type="dxa"/>
              <w:left w:w="115" w:type="dxa"/>
              <w:bottom w:w="43" w:type="dxa"/>
              <w:right w:w="115" w:type="dxa"/>
            </w:tcMar>
          </w:tcPr>
          <w:p w14:paraId="696BDBFA" w14:textId="77777777" w:rsidR="000A79D6" w:rsidRPr="00C26791" w:rsidRDefault="000A79D6" w:rsidP="00E34BBA">
            <w:pPr>
              <w:keepNext/>
              <w:spacing w:line="264" w:lineRule="auto"/>
              <w:contextualSpacing/>
              <w:rPr>
                <w:rFonts w:ascii="Arial" w:hAnsi="Arial" w:cs="Arial"/>
                <w:szCs w:val="24"/>
              </w:rPr>
            </w:pPr>
            <w:r w:rsidRPr="00C26791">
              <w:rPr>
                <w:rFonts w:ascii="Arial" w:hAnsi="Arial" w:cs="Arial"/>
                <w:szCs w:val="24"/>
              </w:rPr>
              <w:t>Department of Judicial Admin. MIDD</w:t>
            </w:r>
          </w:p>
        </w:tc>
        <w:tc>
          <w:tcPr>
            <w:tcW w:w="267" w:type="dxa"/>
            <w:tcBorders>
              <w:top w:val="nil"/>
              <w:left w:val="nil"/>
              <w:bottom w:val="nil"/>
              <w:right w:val="nil"/>
            </w:tcBorders>
          </w:tcPr>
          <w:p w14:paraId="69E2FBD5" w14:textId="77777777" w:rsidR="000A79D6" w:rsidRPr="00350546" w:rsidRDefault="000A79D6" w:rsidP="00E34BBA">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43E3F771" w14:textId="77777777" w:rsidR="000A79D6" w:rsidRPr="00350546" w:rsidRDefault="000A79D6" w:rsidP="00E34BBA">
            <w:pPr>
              <w:keepNext/>
              <w:spacing w:line="264" w:lineRule="auto"/>
              <w:contextualSpacing/>
              <w:jc w:val="right"/>
              <w:rPr>
                <w:rFonts w:ascii="Arial" w:hAnsi="Arial" w:cs="Arial"/>
                <w:szCs w:val="24"/>
              </w:rPr>
            </w:pPr>
            <w:r w:rsidRPr="00350546">
              <w:rPr>
                <w:rFonts w:ascii="Arial" w:hAnsi="Arial" w:cs="Arial"/>
                <w:szCs w:val="24"/>
              </w:rPr>
              <w:t>$333,000</w:t>
            </w:r>
          </w:p>
        </w:tc>
        <w:tc>
          <w:tcPr>
            <w:tcW w:w="267" w:type="dxa"/>
            <w:tcBorders>
              <w:top w:val="nil"/>
              <w:left w:val="nil"/>
              <w:bottom w:val="nil"/>
              <w:right w:val="nil"/>
            </w:tcBorders>
          </w:tcPr>
          <w:p w14:paraId="1B987475" w14:textId="77777777" w:rsidR="000A79D6" w:rsidRPr="00350546" w:rsidRDefault="000A79D6" w:rsidP="00E34BBA">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42B86E24" w14:textId="77777777" w:rsidR="000A79D6" w:rsidRPr="00350546" w:rsidRDefault="000A79D6" w:rsidP="00E34BBA">
            <w:pPr>
              <w:keepNext/>
              <w:spacing w:line="264" w:lineRule="auto"/>
              <w:contextualSpacing/>
              <w:jc w:val="right"/>
              <w:rPr>
                <w:rFonts w:ascii="Arial" w:hAnsi="Arial" w:cs="Arial"/>
                <w:bCs/>
                <w:szCs w:val="24"/>
              </w:rPr>
            </w:pPr>
            <w:r w:rsidRPr="00350546">
              <w:rPr>
                <w:rFonts w:ascii="Arial" w:hAnsi="Arial" w:cs="Arial"/>
                <w:bCs/>
                <w:szCs w:val="24"/>
              </w:rPr>
              <w:t>2.0</w:t>
            </w:r>
          </w:p>
        </w:tc>
        <w:tc>
          <w:tcPr>
            <w:tcW w:w="236" w:type="dxa"/>
            <w:tcBorders>
              <w:top w:val="nil"/>
              <w:left w:val="nil"/>
              <w:bottom w:val="nil"/>
              <w:right w:val="nil"/>
            </w:tcBorders>
          </w:tcPr>
          <w:p w14:paraId="3866396A" w14:textId="77777777" w:rsidR="000A79D6" w:rsidRPr="00350546" w:rsidRDefault="000A79D6" w:rsidP="00E34BBA">
            <w:pPr>
              <w:keepNext/>
              <w:spacing w:line="264" w:lineRule="auto"/>
              <w:contextualSpacing/>
              <w:jc w:val="right"/>
              <w:rPr>
                <w:rFonts w:ascii="Arial" w:hAnsi="Arial" w:cs="Arial"/>
                <w:bCs/>
                <w:szCs w:val="24"/>
              </w:rPr>
            </w:pPr>
          </w:p>
        </w:tc>
      </w:tr>
      <w:tr w:rsidR="000A79D6" w:rsidRPr="00350546" w14:paraId="0FFE03DF" w14:textId="77777777" w:rsidTr="00E34BBA">
        <w:trPr>
          <w:cantSplit/>
          <w:jc w:val="center"/>
        </w:trPr>
        <w:tc>
          <w:tcPr>
            <w:tcW w:w="4140" w:type="dxa"/>
            <w:tcBorders>
              <w:top w:val="nil"/>
              <w:left w:val="nil"/>
              <w:bottom w:val="nil"/>
              <w:right w:val="nil"/>
            </w:tcBorders>
            <w:shd w:val="clear" w:color="auto" w:fill="auto"/>
            <w:tcMar>
              <w:top w:w="43" w:type="dxa"/>
              <w:left w:w="115" w:type="dxa"/>
              <w:bottom w:w="43" w:type="dxa"/>
              <w:right w:w="115" w:type="dxa"/>
            </w:tcMar>
          </w:tcPr>
          <w:p w14:paraId="7DFB69D2" w14:textId="77777777" w:rsidR="000A79D6" w:rsidRPr="00C26791" w:rsidRDefault="000A79D6" w:rsidP="00E34BBA">
            <w:pPr>
              <w:keepNext/>
              <w:spacing w:line="264" w:lineRule="auto"/>
              <w:contextualSpacing/>
              <w:rPr>
                <w:rFonts w:ascii="Arial" w:hAnsi="Arial" w:cs="Arial"/>
                <w:szCs w:val="24"/>
              </w:rPr>
            </w:pPr>
            <w:r w:rsidRPr="00C26791">
              <w:rPr>
                <w:rFonts w:ascii="Arial" w:hAnsi="Arial" w:cs="Arial"/>
                <w:szCs w:val="24"/>
              </w:rPr>
              <w:t>Department of Public Defense MIDD</w:t>
            </w:r>
          </w:p>
        </w:tc>
        <w:tc>
          <w:tcPr>
            <w:tcW w:w="267" w:type="dxa"/>
            <w:tcBorders>
              <w:top w:val="nil"/>
              <w:left w:val="nil"/>
              <w:bottom w:val="nil"/>
              <w:right w:val="nil"/>
            </w:tcBorders>
          </w:tcPr>
          <w:p w14:paraId="3117A85B" w14:textId="77777777" w:rsidR="000A79D6" w:rsidRPr="00350546" w:rsidRDefault="000A79D6" w:rsidP="00E34BBA">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73A289B1" w14:textId="77777777" w:rsidR="000A79D6" w:rsidRPr="00350546" w:rsidRDefault="000A79D6" w:rsidP="00E34BBA">
            <w:pPr>
              <w:keepNext/>
              <w:spacing w:line="264" w:lineRule="auto"/>
              <w:contextualSpacing/>
              <w:jc w:val="right"/>
              <w:rPr>
                <w:rFonts w:ascii="Arial" w:hAnsi="Arial" w:cs="Arial"/>
                <w:szCs w:val="24"/>
              </w:rPr>
            </w:pPr>
            <w:r w:rsidRPr="00350546">
              <w:rPr>
                <w:rFonts w:ascii="Arial" w:hAnsi="Arial" w:cs="Arial"/>
                <w:szCs w:val="24"/>
              </w:rPr>
              <w:t>$343,000</w:t>
            </w:r>
          </w:p>
        </w:tc>
        <w:tc>
          <w:tcPr>
            <w:tcW w:w="267" w:type="dxa"/>
            <w:tcBorders>
              <w:top w:val="nil"/>
              <w:left w:val="nil"/>
              <w:bottom w:val="nil"/>
              <w:right w:val="nil"/>
            </w:tcBorders>
          </w:tcPr>
          <w:p w14:paraId="3D8934F3" w14:textId="77777777" w:rsidR="000A79D6" w:rsidRPr="00350546" w:rsidRDefault="000A79D6" w:rsidP="00E34BBA">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53C12C9C" w14:textId="77777777" w:rsidR="000A79D6" w:rsidRPr="00350546" w:rsidRDefault="000A79D6" w:rsidP="00E34BBA">
            <w:pPr>
              <w:keepNext/>
              <w:spacing w:line="264" w:lineRule="auto"/>
              <w:contextualSpacing/>
              <w:jc w:val="right"/>
              <w:rPr>
                <w:rFonts w:ascii="Arial" w:hAnsi="Arial" w:cs="Arial"/>
                <w:bCs/>
                <w:szCs w:val="24"/>
              </w:rPr>
            </w:pPr>
            <w:r w:rsidRPr="00350546">
              <w:rPr>
                <w:rFonts w:ascii="Arial" w:hAnsi="Arial" w:cs="Arial"/>
                <w:bCs/>
                <w:szCs w:val="24"/>
              </w:rPr>
              <w:t>0.0</w:t>
            </w:r>
          </w:p>
        </w:tc>
        <w:tc>
          <w:tcPr>
            <w:tcW w:w="236" w:type="dxa"/>
            <w:tcBorders>
              <w:top w:val="nil"/>
              <w:left w:val="nil"/>
              <w:bottom w:val="nil"/>
              <w:right w:val="nil"/>
            </w:tcBorders>
          </w:tcPr>
          <w:p w14:paraId="34D950D0" w14:textId="77777777" w:rsidR="000A79D6" w:rsidRPr="00350546" w:rsidRDefault="000A79D6" w:rsidP="00E34BBA">
            <w:pPr>
              <w:keepNext/>
              <w:spacing w:line="264" w:lineRule="auto"/>
              <w:contextualSpacing/>
              <w:jc w:val="right"/>
              <w:rPr>
                <w:rFonts w:ascii="Arial" w:hAnsi="Arial" w:cs="Arial"/>
                <w:bCs/>
                <w:szCs w:val="24"/>
              </w:rPr>
            </w:pPr>
          </w:p>
        </w:tc>
      </w:tr>
      <w:tr w:rsidR="000A79D6" w:rsidRPr="00350546" w14:paraId="288EA7DA" w14:textId="77777777" w:rsidTr="00E34BBA">
        <w:trPr>
          <w:cantSplit/>
          <w:jc w:val="center"/>
        </w:trPr>
        <w:tc>
          <w:tcPr>
            <w:tcW w:w="4140" w:type="dxa"/>
            <w:tcBorders>
              <w:top w:val="nil"/>
              <w:left w:val="nil"/>
              <w:bottom w:val="nil"/>
              <w:right w:val="nil"/>
            </w:tcBorders>
            <w:shd w:val="clear" w:color="auto" w:fill="auto"/>
            <w:tcMar>
              <w:top w:w="43" w:type="dxa"/>
              <w:left w:w="115" w:type="dxa"/>
              <w:bottom w:w="43" w:type="dxa"/>
              <w:right w:w="115" w:type="dxa"/>
            </w:tcMar>
          </w:tcPr>
          <w:p w14:paraId="1EE7405B" w14:textId="77777777" w:rsidR="000A79D6" w:rsidRPr="00C26791" w:rsidRDefault="000A79D6" w:rsidP="00E34BBA">
            <w:pPr>
              <w:keepNext/>
              <w:spacing w:line="264" w:lineRule="auto"/>
              <w:contextualSpacing/>
              <w:rPr>
                <w:rFonts w:ascii="Arial" w:hAnsi="Arial" w:cs="Arial"/>
                <w:szCs w:val="24"/>
              </w:rPr>
            </w:pPr>
            <w:r w:rsidRPr="00C26791">
              <w:rPr>
                <w:rFonts w:ascii="Arial" w:hAnsi="Arial" w:cs="Arial"/>
                <w:szCs w:val="24"/>
              </w:rPr>
              <w:t>District Court MIDD</w:t>
            </w:r>
          </w:p>
        </w:tc>
        <w:tc>
          <w:tcPr>
            <w:tcW w:w="267" w:type="dxa"/>
            <w:tcBorders>
              <w:top w:val="nil"/>
              <w:left w:val="nil"/>
              <w:bottom w:val="nil"/>
              <w:right w:val="nil"/>
            </w:tcBorders>
          </w:tcPr>
          <w:p w14:paraId="289C9B55" w14:textId="77777777" w:rsidR="000A79D6" w:rsidRPr="00350546" w:rsidRDefault="000A79D6" w:rsidP="00E34BBA">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1AFFCF2B" w14:textId="77777777" w:rsidR="000A79D6" w:rsidRPr="00350546" w:rsidRDefault="000A79D6" w:rsidP="00E34BBA">
            <w:pPr>
              <w:keepNext/>
              <w:spacing w:line="264" w:lineRule="auto"/>
              <w:contextualSpacing/>
              <w:jc w:val="right"/>
              <w:rPr>
                <w:rFonts w:ascii="Arial" w:hAnsi="Arial" w:cs="Arial"/>
                <w:szCs w:val="24"/>
              </w:rPr>
            </w:pPr>
            <w:r w:rsidRPr="00350546">
              <w:rPr>
                <w:rFonts w:ascii="Arial" w:hAnsi="Arial" w:cs="Arial"/>
                <w:szCs w:val="24"/>
              </w:rPr>
              <w:t>$326,000</w:t>
            </w:r>
          </w:p>
        </w:tc>
        <w:tc>
          <w:tcPr>
            <w:tcW w:w="267" w:type="dxa"/>
            <w:tcBorders>
              <w:top w:val="nil"/>
              <w:left w:val="nil"/>
              <w:bottom w:val="nil"/>
              <w:right w:val="nil"/>
            </w:tcBorders>
          </w:tcPr>
          <w:p w14:paraId="62BB5C71" w14:textId="77777777" w:rsidR="000A79D6" w:rsidRPr="00350546" w:rsidRDefault="000A79D6" w:rsidP="00E34BBA">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48D64141" w14:textId="77777777" w:rsidR="000A79D6" w:rsidRPr="00350546" w:rsidRDefault="000A79D6" w:rsidP="00E34BBA">
            <w:pPr>
              <w:keepNext/>
              <w:spacing w:line="264" w:lineRule="auto"/>
              <w:contextualSpacing/>
              <w:jc w:val="right"/>
              <w:rPr>
                <w:rFonts w:ascii="Arial" w:hAnsi="Arial" w:cs="Arial"/>
                <w:bCs/>
                <w:szCs w:val="24"/>
              </w:rPr>
            </w:pPr>
            <w:r w:rsidRPr="00350546">
              <w:rPr>
                <w:rFonts w:ascii="Arial" w:hAnsi="Arial" w:cs="Arial"/>
                <w:bCs/>
                <w:szCs w:val="24"/>
              </w:rPr>
              <w:t>2.0</w:t>
            </w:r>
          </w:p>
        </w:tc>
        <w:tc>
          <w:tcPr>
            <w:tcW w:w="236" w:type="dxa"/>
            <w:tcBorders>
              <w:top w:val="nil"/>
              <w:left w:val="nil"/>
              <w:bottom w:val="nil"/>
              <w:right w:val="nil"/>
            </w:tcBorders>
          </w:tcPr>
          <w:p w14:paraId="5E922B29" w14:textId="77777777" w:rsidR="000A79D6" w:rsidRPr="00350546" w:rsidRDefault="000A79D6" w:rsidP="00E34BBA">
            <w:pPr>
              <w:keepNext/>
              <w:spacing w:line="264" w:lineRule="auto"/>
              <w:contextualSpacing/>
              <w:jc w:val="right"/>
              <w:rPr>
                <w:rFonts w:ascii="Arial" w:hAnsi="Arial" w:cs="Arial"/>
                <w:bCs/>
                <w:szCs w:val="24"/>
              </w:rPr>
            </w:pPr>
          </w:p>
        </w:tc>
      </w:tr>
      <w:tr w:rsidR="000A79D6" w:rsidRPr="00350546" w14:paraId="42E0A2A6" w14:textId="77777777" w:rsidTr="00E34BBA">
        <w:trPr>
          <w:cantSplit/>
          <w:jc w:val="center"/>
        </w:trPr>
        <w:tc>
          <w:tcPr>
            <w:tcW w:w="4140" w:type="dxa"/>
            <w:tcBorders>
              <w:top w:val="nil"/>
              <w:left w:val="nil"/>
              <w:bottom w:val="nil"/>
              <w:right w:val="nil"/>
            </w:tcBorders>
            <w:shd w:val="clear" w:color="auto" w:fill="auto"/>
            <w:tcMar>
              <w:top w:w="43" w:type="dxa"/>
              <w:left w:w="115" w:type="dxa"/>
              <w:bottom w:w="43" w:type="dxa"/>
              <w:right w:w="115" w:type="dxa"/>
            </w:tcMar>
          </w:tcPr>
          <w:p w14:paraId="03CA1584" w14:textId="77777777" w:rsidR="000A79D6" w:rsidRPr="00C26791" w:rsidRDefault="000A79D6" w:rsidP="00E34BBA">
            <w:pPr>
              <w:keepNext/>
              <w:spacing w:line="264" w:lineRule="auto"/>
              <w:contextualSpacing/>
              <w:rPr>
                <w:rFonts w:ascii="Arial" w:hAnsi="Arial" w:cs="Arial"/>
                <w:szCs w:val="24"/>
              </w:rPr>
            </w:pPr>
            <w:r w:rsidRPr="00C26791">
              <w:rPr>
                <w:rFonts w:ascii="Arial" w:hAnsi="Arial" w:cs="Arial"/>
                <w:szCs w:val="24"/>
              </w:rPr>
              <w:t xml:space="preserve">Prosecuting Attorney MIDD </w:t>
            </w:r>
          </w:p>
        </w:tc>
        <w:tc>
          <w:tcPr>
            <w:tcW w:w="267" w:type="dxa"/>
            <w:tcBorders>
              <w:top w:val="nil"/>
              <w:left w:val="nil"/>
              <w:bottom w:val="nil"/>
              <w:right w:val="nil"/>
            </w:tcBorders>
          </w:tcPr>
          <w:p w14:paraId="7AA808B8" w14:textId="77777777" w:rsidR="000A79D6" w:rsidRPr="00350546" w:rsidRDefault="000A79D6" w:rsidP="00E34BBA">
            <w:pPr>
              <w:keepNext/>
              <w:spacing w:line="264" w:lineRule="auto"/>
              <w:contextualSpacing/>
              <w:jc w:val="right"/>
              <w:rPr>
                <w:rFonts w:ascii="Arial" w:hAnsi="Arial" w:cs="Arial"/>
                <w:szCs w:val="24"/>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1B637BA6" w14:textId="77777777" w:rsidR="000A79D6" w:rsidRPr="00350546" w:rsidRDefault="000A79D6" w:rsidP="00E34BBA">
            <w:pPr>
              <w:keepNext/>
              <w:spacing w:line="264" w:lineRule="auto"/>
              <w:contextualSpacing/>
              <w:jc w:val="right"/>
              <w:rPr>
                <w:rFonts w:ascii="Arial" w:hAnsi="Arial" w:cs="Arial"/>
                <w:szCs w:val="24"/>
              </w:rPr>
            </w:pPr>
            <w:r w:rsidRPr="00350546">
              <w:rPr>
                <w:rFonts w:ascii="Arial" w:hAnsi="Arial" w:cs="Arial"/>
                <w:szCs w:val="24"/>
              </w:rPr>
              <w:t>$100,000</w:t>
            </w:r>
          </w:p>
        </w:tc>
        <w:tc>
          <w:tcPr>
            <w:tcW w:w="267" w:type="dxa"/>
            <w:tcBorders>
              <w:top w:val="nil"/>
              <w:left w:val="nil"/>
              <w:bottom w:val="nil"/>
              <w:right w:val="nil"/>
            </w:tcBorders>
          </w:tcPr>
          <w:p w14:paraId="528B4C12" w14:textId="77777777" w:rsidR="000A79D6" w:rsidRPr="00350546" w:rsidRDefault="000A79D6" w:rsidP="00E34BBA">
            <w:pPr>
              <w:keepNext/>
              <w:spacing w:line="264" w:lineRule="auto"/>
              <w:contextualSpacing/>
              <w:jc w:val="right"/>
              <w:rPr>
                <w:rFonts w:ascii="Arial" w:hAnsi="Arial" w:cs="Arial"/>
                <w:bCs/>
                <w:szCs w:val="24"/>
              </w:rPr>
            </w:pPr>
          </w:p>
        </w:tc>
        <w:tc>
          <w:tcPr>
            <w:tcW w:w="1327" w:type="dxa"/>
            <w:tcBorders>
              <w:top w:val="nil"/>
              <w:left w:val="nil"/>
              <w:bottom w:val="nil"/>
              <w:right w:val="nil"/>
            </w:tcBorders>
            <w:shd w:val="clear" w:color="auto" w:fill="auto"/>
          </w:tcPr>
          <w:p w14:paraId="44F2344B" w14:textId="77777777" w:rsidR="000A79D6" w:rsidRPr="00350546" w:rsidRDefault="000A79D6" w:rsidP="00E34BBA">
            <w:pPr>
              <w:keepNext/>
              <w:spacing w:line="264" w:lineRule="auto"/>
              <w:contextualSpacing/>
              <w:jc w:val="right"/>
              <w:rPr>
                <w:rFonts w:ascii="Arial" w:hAnsi="Arial" w:cs="Arial"/>
                <w:bCs/>
                <w:szCs w:val="24"/>
              </w:rPr>
            </w:pPr>
            <w:r w:rsidRPr="00350546">
              <w:rPr>
                <w:rFonts w:ascii="Arial" w:hAnsi="Arial" w:cs="Arial"/>
                <w:bCs/>
                <w:szCs w:val="24"/>
              </w:rPr>
              <w:t>0.0</w:t>
            </w:r>
          </w:p>
        </w:tc>
        <w:tc>
          <w:tcPr>
            <w:tcW w:w="236" w:type="dxa"/>
            <w:tcBorders>
              <w:top w:val="nil"/>
              <w:left w:val="nil"/>
              <w:bottom w:val="nil"/>
              <w:right w:val="nil"/>
            </w:tcBorders>
          </w:tcPr>
          <w:p w14:paraId="1ACCEE5A" w14:textId="77777777" w:rsidR="000A79D6" w:rsidRPr="00350546" w:rsidRDefault="000A79D6" w:rsidP="00E34BBA">
            <w:pPr>
              <w:keepNext/>
              <w:spacing w:line="264" w:lineRule="auto"/>
              <w:contextualSpacing/>
              <w:jc w:val="right"/>
              <w:rPr>
                <w:rFonts w:ascii="Arial" w:hAnsi="Arial" w:cs="Arial"/>
                <w:bCs/>
                <w:szCs w:val="24"/>
              </w:rPr>
            </w:pPr>
          </w:p>
        </w:tc>
      </w:tr>
      <w:tr w:rsidR="000A79D6" w:rsidRPr="00350546" w14:paraId="03C4A3A2" w14:textId="77777777" w:rsidTr="00E34BBA">
        <w:trPr>
          <w:cantSplit/>
          <w:jc w:val="center"/>
        </w:trPr>
        <w:tc>
          <w:tcPr>
            <w:tcW w:w="4140" w:type="dxa"/>
            <w:tcBorders>
              <w:top w:val="nil"/>
              <w:left w:val="nil"/>
              <w:bottom w:val="single" w:sz="4" w:space="0" w:color="auto"/>
              <w:right w:val="nil"/>
            </w:tcBorders>
            <w:shd w:val="clear" w:color="auto" w:fill="auto"/>
            <w:tcMar>
              <w:top w:w="43" w:type="dxa"/>
              <w:left w:w="115" w:type="dxa"/>
              <w:bottom w:w="43" w:type="dxa"/>
              <w:right w:w="115" w:type="dxa"/>
            </w:tcMar>
          </w:tcPr>
          <w:p w14:paraId="3ECC9DBC" w14:textId="77777777" w:rsidR="000A79D6" w:rsidRPr="00C26791" w:rsidRDefault="000A79D6" w:rsidP="00E34BBA">
            <w:pPr>
              <w:keepNext/>
              <w:spacing w:line="264" w:lineRule="auto"/>
              <w:contextualSpacing/>
              <w:rPr>
                <w:rFonts w:ascii="Arial" w:hAnsi="Arial" w:cs="Arial"/>
                <w:szCs w:val="24"/>
              </w:rPr>
            </w:pPr>
            <w:r w:rsidRPr="00C26791">
              <w:rPr>
                <w:rFonts w:ascii="Arial" w:hAnsi="Arial" w:cs="Arial"/>
                <w:szCs w:val="24"/>
              </w:rPr>
              <w:t>Superior Court MIDD</w:t>
            </w:r>
          </w:p>
        </w:tc>
        <w:tc>
          <w:tcPr>
            <w:tcW w:w="267" w:type="dxa"/>
            <w:tcBorders>
              <w:top w:val="nil"/>
              <w:left w:val="nil"/>
              <w:bottom w:val="nil"/>
              <w:right w:val="nil"/>
            </w:tcBorders>
          </w:tcPr>
          <w:p w14:paraId="4ACC108F" w14:textId="77777777" w:rsidR="000A79D6" w:rsidRPr="00350546" w:rsidRDefault="000A79D6" w:rsidP="00E34BBA">
            <w:pPr>
              <w:keepNext/>
              <w:spacing w:line="264" w:lineRule="auto"/>
              <w:contextualSpacing/>
              <w:jc w:val="right"/>
              <w:rPr>
                <w:rFonts w:ascii="Arial" w:hAnsi="Arial" w:cs="Arial"/>
                <w:szCs w:val="24"/>
              </w:rPr>
            </w:pPr>
          </w:p>
        </w:tc>
        <w:tc>
          <w:tcPr>
            <w:tcW w:w="1803" w:type="dxa"/>
            <w:tcBorders>
              <w:top w:val="nil"/>
              <w:left w:val="nil"/>
              <w:bottom w:val="single" w:sz="4" w:space="0" w:color="auto"/>
              <w:right w:val="nil"/>
            </w:tcBorders>
            <w:shd w:val="clear" w:color="auto" w:fill="auto"/>
            <w:tcMar>
              <w:top w:w="43" w:type="dxa"/>
              <w:left w:w="115" w:type="dxa"/>
              <w:bottom w:w="43" w:type="dxa"/>
              <w:right w:w="115" w:type="dxa"/>
            </w:tcMar>
          </w:tcPr>
          <w:p w14:paraId="11A420EF" w14:textId="77777777" w:rsidR="000A79D6" w:rsidRPr="00350546" w:rsidRDefault="000A79D6" w:rsidP="00E34BBA">
            <w:pPr>
              <w:keepNext/>
              <w:spacing w:line="264" w:lineRule="auto"/>
              <w:contextualSpacing/>
              <w:jc w:val="right"/>
              <w:rPr>
                <w:rFonts w:ascii="Arial" w:hAnsi="Arial" w:cs="Arial"/>
                <w:szCs w:val="24"/>
              </w:rPr>
            </w:pPr>
            <w:r w:rsidRPr="00350546">
              <w:rPr>
                <w:rFonts w:ascii="Arial" w:hAnsi="Arial" w:cs="Arial"/>
                <w:szCs w:val="24"/>
              </w:rPr>
              <w:t>$235,000</w:t>
            </w:r>
          </w:p>
        </w:tc>
        <w:tc>
          <w:tcPr>
            <w:tcW w:w="267" w:type="dxa"/>
            <w:tcBorders>
              <w:top w:val="nil"/>
              <w:left w:val="nil"/>
              <w:bottom w:val="nil"/>
              <w:right w:val="nil"/>
            </w:tcBorders>
          </w:tcPr>
          <w:p w14:paraId="60902246" w14:textId="77777777" w:rsidR="000A79D6" w:rsidRPr="00350546" w:rsidRDefault="000A79D6" w:rsidP="00E34BBA">
            <w:pPr>
              <w:keepNext/>
              <w:spacing w:line="264" w:lineRule="auto"/>
              <w:contextualSpacing/>
              <w:jc w:val="right"/>
              <w:rPr>
                <w:rFonts w:ascii="Arial" w:hAnsi="Arial" w:cs="Arial"/>
                <w:bCs/>
                <w:szCs w:val="24"/>
              </w:rPr>
            </w:pPr>
          </w:p>
        </w:tc>
        <w:tc>
          <w:tcPr>
            <w:tcW w:w="1327" w:type="dxa"/>
            <w:tcBorders>
              <w:top w:val="nil"/>
              <w:left w:val="nil"/>
              <w:bottom w:val="single" w:sz="4" w:space="0" w:color="auto"/>
              <w:right w:val="nil"/>
            </w:tcBorders>
            <w:shd w:val="clear" w:color="auto" w:fill="auto"/>
          </w:tcPr>
          <w:p w14:paraId="147FD324" w14:textId="77777777" w:rsidR="000A79D6" w:rsidRPr="00350546" w:rsidRDefault="000A79D6" w:rsidP="00E34BBA">
            <w:pPr>
              <w:keepNext/>
              <w:spacing w:line="264" w:lineRule="auto"/>
              <w:contextualSpacing/>
              <w:jc w:val="right"/>
              <w:rPr>
                <w:rFonts w:ascii="Arial" w:hAnsi="Arial" w:cs="Arial"/>
                <w:bCs/>
                <w:szCs w:val="24"/>
              </w:rPr>
            </w:pPr>
            <w:r w:rsidRPr="00350546">
              <w:rPr>
                <w:rFonts w:ascii="Arial" w:hAnsi="Arial" w:cs="Arial"/>
                <w:bCs/>
                <w:szCs w:val="24"/>
              </w:rPr>
              <w:t>0.0</w:t>
            </w:r>
          </w:p>
        </w:tc>
        <w:tc>
          <w:tcPr>
            <w:tcW w:w="236" w:type="dxa"/>
            <w:tcBorders>
              <w:top w:val="nil"/>
              <w:left w:val="nil"/>
              <w:bottom w:val="nil"/>
              <w:right w:val="nil"/>
            </w:tcBorders>
          </w:tcPr>
          <w:p w14:paraId="06D3BB49" w14:textId="77777777" w:rsidR="000A79D6" w:rsidRPr="00350546" w:rsidRDefault="000A79D6" w:rsidP="00E34BBA">
            <w:pPr>
              <w:keepNext/>
              <w:spacing w:line="264" w:lineRule="auto"/>
              <w:contextualSpacing/>
              <w:jc w:val="right"/>
              <w:rPr>
                <w:rFonts w:ascii="Arial" w:hAnsi="Arial" w:cs="Arial"/>
                <w:bCs/>
                <w:szCs w:val="24"/>
              </w:rPr>
            </w:pPr>
          </w:p>
        </w:tc>
      </w:tr>
      <w:tr w:rsidR="000A79D6" w:rsidRPr="00350546" w14:paraId="2ECB4C25" w14:textId="77777777" w:rsidTr="00E34BBA">
        <w:trPr>
          <w:cantSplit/>
          <w:jc w:val="center"/>
        </w:trPr>
        <w:tc>
          <w:tcPr>
            <w:tcW w:w="414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29C6359A" w14:textId="77777777" w:rsidR="000A79D6" w:rsidRPr="00350546" w:rsidRDefault="000A79D6" w:rsidP="00E34BBA">
            <w:pPr>
              <w:keepNext/>
              <w:spacing w:line="264" w:lineRule="auto"/>
              <w:contextualSpacing/>
              <w:jc w:val="right"/>
              <w:rPr>
                <w:rFonts w:ascii="Arial" w:hAnsi="Arial" w:cs="Arial"/>
                <w:b/>
                <w:bCs/>
                <w:szCs w:val="24"/>
              </w:rPr>
            </w:pPr>
            <w:r w:rsidRPr="00350546">
              <w:rPr>
                <w:rFonts w:ascii="Arial" w:hAnsi="Arial" w:cs="Arial"/>
                <w:b/>
                <w:bCs/>
                <w:szCs w:val="24"/>
              </w:rPr>
              <w:t>TOTAL</w:t>
            </w:r>
          </w:p>
        </w:tc>
        <w:tc>
          <w:tcPr>
            <w:tcW w:w="267" w:type="dxa"/>
            <w:tcBorders>
              <w:top w:val="nil"/>
              <w:left w:val="nil"/>
              <w:bottom w:val="single" w:sz="12" w:space="0" w:color="auto"/>
              <w:right w:val="nil"/>
            </w:tcBorders>
          </w:tcPr>
          <w:p w14:paraId="34030DD1" w14:textId="77777777" w:rsidR="000A79D6" w:rsidRPr="00350546" w:rsidRDefault="000A79D6" w:rsidP="00E34BBA">
            <w:pPr>
              <w:keepNext/>
              <w:spacing w:line="264" w:lineRule="auto"/>
              <w:contextualSpacing/>
              <w:jc w:val="right"/>
              <w:rPr>
                <w:rFonts w:ascii="Arial" w:hAnsi="Arial" w:cs="Arial"/>
                <w:b/>
                <w:bCs/>
                <w:szCs w:val="24"/>
              </w:rPr>
            </w:pPr>
          </w:p>
        </w:tc>
        <w:tc>
          <w:tcPr>
            <w:tcW w:w="1803"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7435DF98" w14:textId="77777777" w:rsidR="000A79D6" w:rsidRPr="00350546" w:rsidRDefault="000A79D6" w:rsidP="00E34BBA">
            <w:pPr>
              <w:keepNext/>
              <w:spacing w:line="264" w:lineRule="auto"/>
              <w:contextualSpacing/>
              <w:jc w:val="right"/>
              <w:rPr>
                <w:rFonts w:ascii="Arial" w:hAnsi="Arial" w:cs="Arial"/>
                <w:b/>
                <w:bCs/>
                <w:szCs w:val="24"/>
              </w:rPr>
            </w:pPr>
            <w:r w:rsidRPr="00350546">
              <w:rPr>
                <w:rFonts w:ascii="Arial" w:hAnsi="Arial" w:cs="Arial"/>
                <w:b/>
                <w:bCs/>
                <w:szCs w:val="24"/>
              </w:rPr>
              <w:t>$1,336,000</w:t>
            </w:r>
          </w:p>
        </w:tc>
        <w:tc>
          <w:tcPr>
            <w:tcW w:w="267" w:type="dxa"/>
            <w:tcBorders>
              <w:top w:val="nil"/>
              <w:left w:val="nil"/>
              <w:bottom w:val="single" w:sz="12" w:space="0" w:color="auto"/>
              <w:right w:val="nil"/>
            </w:tcBorders>
          </w:tcPr>
          <w:p w14:paraId="51CFADCC" w14:textId="77777777" w:rsidR="000A79D6" w:rsidRPr="00350546" w:rsidRDefault="000A79D6" w:rsidP="00E34BBA">
            <w:pPr>
              <w:keepNext/>
              <w:spacing w:line="264" w:lineRule="auto"/>
              <w:contextualSpacing/>
              <w:jc w:val="right"/>
              <w:rPr>
                <w:rFonts w:ascii="Arial" w:hAnsi="Arial" w:cs="Arial"/>
                <w:b/>
                <w:szCs w:val="24"/>
              </w:rPr>
            </w:pPr>
          </w:p>
        </w:tc>
        <w:tc>
          <w:tcPr>
            <w:tcW w:w="1327" w:type="dxa"/>
            <w:tcBorders>
              <w:top w:val="single" w:sz="4" w:space="0" w:color="auto"/>
              <w:left w:val="nil"/>
              <w:bottom w:val="single" w:sz="12" w:space="0" w:color="auto"/>
              <w:right w:val="nil"/>
            </w:tcBorders>
            <w:shd w:val="clear" w:color="auto" w:fill="auto"/>
          </w:tcPr>
          <w:p w14:paraId="274B5463" w14:textId="77777777" w:rsidR="000A79D6" w:rsidRPr="00350546" w:rsidRDefault="000A79D6" w:rsidP="00E34BBA">
            <w:pPr>
              <w:keepNext/>
              <w:spacing w:line="264" w:lineRule="auto"/>
              <w:contextualSpacing/>
              <w:jc w:val="right"/>
              <w:rPr>
                <w:rFonts w:ascii="Arial" w:hAnsi="Arial" w:cs="Arial"/>
                <w:b/>
                <w:szCs w:val="24"/>
              </w:rPr>
            </w:pPr>
            <w:r w:rsidRPr="00350546">
              <w:rPr>
                <w:rFonts w:ascii="Arial" w:hAnsi="Arial" w:cs="Arial"/>
                <w:b/>
                <w:szCs w:val="24"/>
              </w:rPr>
              <w:t>4.0</w:t>
            </w:r>
          </w:p>
        </w:tc>
        <w:tc>
          <w:tcPr>
            <w:tcW w:w="236" w:type="dxa"/>
            <w:tcBorders>
              <w:top w:val="nil"/>
              <w:left w:val="nil"/>
              <w:bottom w:val="single" w:sz="12" w:space="0" w:color="auto"/>
              <w:right w:val="nil"/>
            </w:tcBorders>
          </w:tcPr>
          <w:p w14:paraId="0FF11550" w14:textId="77777777" w:rsidR="000A79D6" w:rsidRPr="00350546" w:rsidRDefault="000A79D6" w:rsidP="00E34BBA">
            <w:pPr>
              <w:keepNext/>
              <w:spacing w:line="264" w:lineRule="auto"/>
              <w:contextualSpacing/>
              <w:jc w:val="right"/>
              <w:rPr>
                <w:rFonts w:ascii="Arial" w:hAnsi="Arial" w:cs="Arial"/>
                <w:b/>
                <w:szCs w:val="24"/>
              </w:rPr>
            </w:pPr>
          </w:p>
        </w:tc>
      </w:tr>
    </w:tbl>
    <w:p w14:paraId="4834F61E" w14:textId="77777777" w:rsidR="000A79D6" w:rsidRPr="00350546" w:rsidRDefault="000A79D6" w:rsidP="000A79D6">
      <w:pPr>
        <w:spacing w:line="264" w:lineRule="auto"/>
        <w:jc w:val="both"/>
        <w:rPr>
          <w:rFonts w:ascii="Arial" w:hAnsi="Arial" w:cs="Arial"/>
          <w:b/>
        </w:rPr>
      </w:pPr>
    </w:p>
    <w:p w14:paraId="42C52C31" w14:textId="77777777" w:rsidR="00285D99" w:rsidRDefault="00285D99" w:rsidP="00BE0ADE">
      <w:pPr>
        <w:spacing w:line="264" w:lineRule="auto"/>
        <w:jc w:val="both"/>
        <w:rPr>
          <w:rFonts w:ascii="Arial" w:eastAsia="Arial" w:hAnsi="Arial" w:cs="Arial"/>
          <w:color w:val="4F81BD" w:themeColor="accent1"/>
        </w:rPr>
      </w:pPr>
    </w:p>
    <w:p w14:paraId="49A31E89" w14:textId="7A73AD1D" w:rsidR="6ABE4242" w:rsidRDefault="6ABE4242" w:rsidP="00BE0ADE">
      <w:pPr>
        <w:spacing w:line="264" w:lineRule="auto"/>
        <w:jc w:val="both"/>
        <w:rPr>
          <w:rFonts w:ascii="Arial" w:eastAsia="Arial" w:hAnsi="Arial" w:cs="Arial"/>
          <w:color w:val="4F81BD" w:themeColor="accent1"/>
          <w:szCs w:val="24"/>
        </w:rPr>
      </w:pPr>
      <w:r w:rsidRPr="11E6EB6F">
        <w:rPr>
          <w:rFonts w:ascii="Arial" w:eastAsia="Arial" w:hAnsi="Arial" w:cs="Arial"/>
          <w:color w:val="4F81BD" w:themeColor="accent1"/>
        </w:rPr>
        <w:t xml:space="preserve">Executive </w:t>
      </w:r>
      <w:r w:rsidR="00BE0ADE">
        <w:rPr>
          <w:rFonts w:ascii="Arial" w:eastAsia="Arial" w:hAnsi="Arial" w:cs="Arial"/>
          <w:color w:val="4F81BD" w:themeColor="accent1"/>
        </w:rPr>
        <w:t>s</w:t>
      </w:r>
      <w:r w:rsidRPr="11E6EB6F">
        <w:rPr>
          <w:rFonts w:ascii="Arial" w:eastAsia="Arial" w:hAnsi="Arial" w:cs="Arial"/>
          <w:color w:val="4F81BD" w:themeColor="accent1"/>
        </w:rPr>
        <w:t xml:space="preserve">taff provided additional detail about </w:t>
      </w:r>
      <w:r w:rsidR="185B7E96" w:rsidRPr="11E6EB6F">
        <w:rPr>
          <w:rFonts w:ascii="Arial" w:eastAsia="Arial" w:hAnsi="Arial" w:cs="Arial"/>
          <w:color w:val="4F81BD" w:themeColor="accent1"/>
          <w:szCs w:val="24"/>
        </w:rPr>
        <w:t>initiative</w:t>
      </w:r>
      <w:r w:rsidRPr="11E6EB6F">
        <w:rPr>
          <w:rFonts w:ascii="Arial" w:eastAsia="Arial" w:hAnsi="Arial" w:cs="Arial"/>
          <w:color w:val="4F81BD" w:themeColor="accent1"/>
        </w:rPr>
        <w:t xml:space="preserve">s proposed for restoration as seen in the table below. </w:t>
      </w:r>
      <w:r w:rsidR="00BE0ADE">
        <w:rPr>
          <w:rFonts w:ascii="Arial" w:eastAsia="Arial" w:hAnsi="Arial" w:cs="Arial"/>
          <w:color w:val="4F81BD" w:themeColor="accent1"/>
        </w:rPr>
        <w:t xml:space="preserve"> </w:t>
      </w:r>
      <w:r w:rsidRPr="11E6EB6F">
        <w:rPr>
          <w:rFonts w:ascii="Arial" w:eastAsia="Arial" w:hAnsi="Arial" w:cs="Arial"/>
          <w:color w:val="4F81BD" w:themeColor="accent1"/>
        </w:rPr>
        <w:t xml:space="preserve">Executive </w:t>
      </w:r>
      <w:r w:rsidR="00BE0ADE">
        <w:rPr>
          <w:rFonts w:ascii="Arial" w:eastAsia="Arial" w:hAnsi="Arial" w:cs="Arial"/>
          <w:color w:val="4F81BD" w:themeColor="accent1"/>
        </w:rPr>
        <w:t>s</w:t>
      </w:r>
      <w:r w:rsidRPr="11E6EB6F">
        <w:rPr>
          <w:rFonts w:ascii="Arial" w:eastAsia="Arial" w:hAnsi="Arial" w:cs="Arial"/>
          <w:color w:val="4F81BD" w:themeColor="accent1"/>
        </w:rPr>
        <w:t xml:space="preserve">taff stated that, "although reductions were made for the full biennium, only 2022 reduction amounts </w:t>
      </w:r>
      <w:r w:rsidR="001112D2">
        <w:rPr>
          <w:rFonts w:ascii="Arial" w:eastAsia="Arial" w:hAnsi="Arial" w:cs="Arial"/>
          <w:color w:val="4F81BD" w:themeColor="accent1"/>
        </w:rPr>
        <w:t>are proposed to be fully restored</w:t>
      </w:r>
      <w:r w:rsidRPr="11E6EB6F">
        <w:rPr>
          <w:rFonts w:ascii="Arial" w:eastAsia="Arial" w:hAnsi="Arial" w:cs="Arial"/>
          <w:color w:val="4F81BD" w:themeColor="accent1"/>
        </w:rPr>
        <w:t xml:space="preserve">." </w:t>
      </w:r>
    </w:p>
    <w:p w14:paraId="49C56236" w14:textId="67AAB219" w:rsidR="00526C58" w:rsidRDefault="6ABE4242" w:rsidP="00BE0ADE">
      <w:pPr>
        <w:spacing w:line="264" w:lineRule="auto"/>
        <w:jc w:val="both"/>
        <w:rPr>
          <w:szCs w:val="24"/>
        </w:rPr>
      </w:pPr>
      <w:r w:rsidRPr="22DAD1F8">
        <w:rPr>
          <w:szCs w:val="24"/>
        </w:rPr>
        <w:t xml:space="preserve"> </w:t>
      </w:r>
    </w:p>
    <w:tbl>
      <w:tblPr>
        <w:tblStyle w:val="TableGrid"/>
        <w:tblW w:w="8447" w:type="dxa"/>
        <w:jc w:val="center"/>
        <w:tblLook w:val="04A0" w:firstRow="1" w:lastRow="0" w:firstColumn="1" w:lastColumn="0" w:noHBand="0" w:noVBand="1"/>
      </w:tblPr>
      <w:tblGrid>
        <w:gridCol w:w="4605"/>
        <w:gridCol w:w="270"/>
        <w:gridCol w:w="1620"/>
        <w:gridCol w:w="360"/>
        <w:gridCol w:w="1592"/>
      </w:tblGrid>
      <w:tr w:rsidR="006A6CB3" w:rsidRPr="006A6CB3" w14:paraId="6356A98E" w14:textId="77777777" w:rsidTr="00530A34">
        <w:trPr>
          <w:cantSplit/>
          <w:tblHeader/>
          <w:jc w:val="center"/>
        </w:trPr>
        <w:tc>
          <w:tcPr>
            <w:tcW w:w="4605" w:type="dxa"/>
            <w:tcBorders>
              <w:top w:val="single" w:sz="12" w:space="0" w:color="auto"/>
              <w:left w:val="nil"/>
              <w:bottom w:val="single" w:sz="4" w:space="0" w:color="auto"/>
              <w:right w:val="nil"/>
            </w:tcBorders>
            <w:shd w:val="clear" w:color="auto" w:fill="auto"/>
            <w:vAlign w:val="center"/>
          </w:tcPr>
          <w:p w14:paraId="2BA140B4" w14:textId="35CF45B3" w:rsidR="00530A34" w:rsidRPr="006A6CB3" w:rsidRDefault="00530A34" w:rsidP="00530A34">
            <w:pPr>
              <w:keepNext/>
              <w:spacing w:line="264" w:lineRule="auto"/>
              <w:contextualSpacing/>
              <w:rPr>
                <w:rFonts w:ascii="Arial" w:hAnsi="Arial" w:cs="Arial"/>
                <w:b/>
                <w:color w:val="4F81BD" w:themeColor="accent1"/>
                <w:sz w:val="22"/>
                <w:szCs w:val="22"/>
              </w:rPr>
            </w:pPr>
            <w:r w:rsidRPr="006A6CB3">
              <w:rPr>
                <w:rFonts w:ascii="Arial" w:hAnsi="Arial" w:cs="Arial"/>
                <w:b/>
                <w:color w:val="4F81BD" w:themeColor="accent1"/>
                <w:sz w:val="22"/>
                <w:szCs w:val="22"/>
              </w:rPr>
              <w:t>MIDD 2 Initiative</w:t>
            </w:r>
          </w:p>
        </w:tc>
        <w:tc>
          <w:tcPr>
            <w:tcW w:w="270" w:type="dxa"/>
            <w:tcBorders>
              <w:top w:val="single" w:sz="12" w:space="0" w:color="auto"/>
              <w:left w:val="nil"/>
              <w:bottom w:val="nil"/>
              <w:right w:val="nil"/>
            </w:tcBorders>
          </w:tcPr>
          <w:p w14:paraId="643C0A63" w14:textId="77777777" w:rsidR="00530A34" w:rsidRPr="006A6CB3" w:rsidRDefault="00530A34" w:rsidP="00492827">
            <w:pPr>
              <w:keepNext/>
              <w:spacing w:line="264" w:lineRule="auto"/>
              <w:contextualSpacing/>
              <w:jc w:val="center"/>
              <w:rPr>
                <w:rFonts w:ascii="Arial" w:hAnsi="Arial" w:cs="Arial"/>
                <w:b/>
                <w:color w:val="4F81BD" w:themeColor="accent1"/>
                <w:sz w:val="22"/>
                <w:szCs w:val="22"/>
              </w:rPr>
            </w:pPr>
          </w:p>
        </w:tc>
        <w:tc>
          <w:tcPr>
            <w:tcW w:w="1620" w:type="dxa"/>
            <w:tcBorders>
              <w:top w:val="single" w:sz="12" w:space="0" w:color="auto"/>
              <w:left w:val="nil"/>
              <w:bottom w:val="single" w:sz="4" w:space="0" w:color="auto"/>
              <w:right w:val="nil"/>
            </w:tcBorders>
            <w:shd w:val="clear" w:color="auto" w:fill="auto"/>
            <w:vAlign w:val="center"/>
          </w:tcPr>
          <w:p w14:paraId="6E675F5D" w14:textId="1A64D48E" w:rsidR="00530A34" w:rsidRPr="006A6CB3" w:rsidRDefault="00530A34" w:rsidP="00530A34">
            <w:pPr>
              <w:keepNext/>
              <w:spacing w:line="264" w:lineRule="auto"/>
              <w:contextualSpacing/>
              <w:jc w:val="center"/>
              <w:rPr>
                <w:rFonts w:ascii="Arial" w:hAnsi="Arial" w:cs="Arial"/>
                <w:b/>
                <w:color w:val="4F81BD" w:themeColor="accent1"/>
                <w:sz w:val="22"/>
                <w:szCs w:val="22"/>
              </w:rPr>
            </w:pPr>
            <w:r w:rsidRPr="006A6CB3">
              <w:rPr>
                <w:rFonts w:ascii="Arial" w:hAnsi="Arial" w:cs="Arial"/>
                <w:b/>
                <w:color w:val="4F81BD" w:themeColor="accent1"/>
                <w:sz w:val="22"/>
                <w:szCs w:val="22"/>
              </w:rPr>
              <w:t>2022 Baseline Budget</w:t>
            </w:r>
          </w:p>
        </w:tc>
        <w:tc>
          <w:tcPr>
            <w:tcW w:w="360" w:type="dxa"/>
            <w:tcBorders>
              <w:top w:val="single" w:sz="12" w:space="0" w:color="auto"/>
              <w:left w:val="nil"/>
              <w:bottom w:val="nil"/>
              <w:right w:val="nil"/>
            </w:tcBorders>
            <w:vAlign w:val="center"/>
          </w:tcPr>
          <w:p w14:paraId="0EC2661A" w14:textId="77777777" w:rsidR="00530A34" w:rsidRPr="006A6CB3" w:rsidRDefault="00530A34" w:rsidP="00530A34">
            <w:pPr>
              <w:keepNext/>
              <w:spacing w:line="264" w:lineRule="auto"/>
              <w:contextualSpacing/>
              <w:jc w:val="center"/>
              <w:rPr>
                <w:rFonts w:ascii="Arial" w:hAnsi="Arial" w:cs="Arial"/>
                <w:b/>
                <w:color w:val="4F81BD" w:themeColor="accent1"/>
                <w:sz w:val="22"/>
                <w:szCs w:val="22"/>
              </w:rPr>
            </w:pPr>
          </w:p>
        </w:tc>
        <w:tc>
          <w:tcPr>
            <w:tcW w:w="1592" w:type="dxa"/>
            <w:tcBorders>
              <w:top w:val="single" w:sz="12" w:space="0" w:color="auto"/>
              <w:left w:val="nil"/>
              <w:bottom w:val="single" w:sz="4" w:space="0" w:color="auto"/>
              <w:right w:val="nil"/>
            </w:tcBorders>
            <w:shd w:val="clear" w:color="auto" w:fill="auto"/>
            <w:vAlign w:val="center"/>
          </w:tcPr>
          <w:p w14:paraId="52D3BBE6" w14:textId="795B4040" w:rsidR="00530A34" w:rsidRPr="006A6CB3" w:rsidRDefault="00530A34" w:rsidP="00530A34">
            <w:pPr>
              <w:keepNext/>
              <w:spacing w:line="264" w:lineRule="auto"/>
              <w:contextualSpacing/>
              <w:jc w:val="center"/>
              <w:rPr>
                <w:rFonts w:ascii="Arial" w:hAnsi="Arial" w:cs="Arial"/>
                <w:b/>
                <w:color w:val="4F81BD" w:themeColor="accent1"/>
                <w:sz w:val="22"/>
                <w:szCs w:val="22"/>
              </w:rPr>
            </w:pPr>
            <w:r w:rsidRPr="006A6CB3">
              <w:rPr>
                <w:rFonts w:ascii="Arial" w:hAnsi="Arial" w:cs="Arial"/>
                <w:b/>
                <w:color w:val="4F81BD" w:themeColor="accent1"/>
                <w:sz w:val="22"/>
                <w:szCs w:val="22"/>
              </w:rPr>
              <w:t>2</w:t>
            </w:r>
            <w:r w:rsidRPr="006A6CB3">
              <w:rPr>
                <w:rFonts w:ascii="Arial" w:hAnsi="Arial" w:cs="Arial"/>
                <w:b/>
                <w:color w:val="4F81BD" w:themeColor="accent1"/>
                <w:sz w:val="22"/>
                <w:szCs w:val="22"/>
                <w:vertAlign w:val="superscript"/>
              </w:rPr>
              <w:t>nd</w:t>
            </w:r>
            <w:r w:rsidRPr="006A6CB3">
              <w:rPr>
                <w:rFonts w:ascii="Arial" w:hAnsi="Arial" w:cs="Arial"/>
                <w:b/>
                <w:color w:val="4F81BD" w:themeColor="accent1"/>
                <w:sz w:val="22"/>
                <w:szCs w:val="22"/>
              </w:rPr>
              <w:t xml:space="preserve"> Omnibus Proposed</w:t>
            </w:r>
          </w:p>
        </w:tc>
      </w:tr>
      <w:tr w:rsidR="006A6CB3" w:rsidRPr="006A6CB3" w14:paraId="6C1E9B06" w14:textId="77777777" w:rsidTr="00530A34">
        <w:trPr>
          <w:cantSplit/>
          <w:jc w:val="center"/>
        </w:trPr>
        <w:tc>
          <w:tcPr>
            <w:tcW w:w="4605" w:type="dxa"/>
            <w:tcBorders>
              <w:top w:val="nil"/>
              <w:left w:val="nil"/>
              <w:bottom w:val="nil"/>
              <w:right w:val="nil"/>
            </w:tcBorders>
            <w:shd w:val="clear" w:color="auto" w:fill="auto"/>
            <w:tcMar>
              <w:top w:w="43" w:type="dxa"/>
              <w:left w:w="115" w:type="dxa"/>
              <w:bottom w:w="43" w:type="dxa"/>
              <w:right w:w="115" w:type="dxa"/>
            </w:tcMar>
          </w:tcPr>
          <w:p w14:paraId="0EB396FD" w14:textId="16D0ABBF" w:rsidR="00530A34" w:rsidRPr="006A6CB3" w:rsidRDefault="00530A34" w:rsidP="00034EC9">
            <w:pPr>
              <w:keepNext/>
              <w:spacing w:line="264" w:lineRule="auto"/>
              <w:contextualSpacing/>
              <w:rPr>
                <w:rFonts w:ascii="Arial" w:hAnsi="Arial" w:cs="Arial"/>
                <w:color w:val="4F81BD" w:themeColor="accent1"/>
                <w:sz w:val="22"/>
                <w:szCs w:val="22"/>
              </w:rPr>
            </w:pPr>
            <w:r w:rsidRPr="006A6CB3">
              <w:rPr>
                <w:rFonts w:ascii="Arial" w:hAnsi="Arial" w:cs="Arial"/>
                <w:color w:val="4F81BD" w:themeColor="accent1"/>
                <w:sz w:val="22"/>
                <w:szCs w:val="22"/>
              </w:rPr>
              <w:t>Adult Drug Court</w:t>
            </w:r>
          </w:p>
        </w:tc>
        <w:tc>
          <w:tcPr>
            <w:tcW w:w="270" w:type="dxa"/>
            <w:tcBorders>
              <w:top w:val="nil"/>
              <w:left w:val="nil"/>
              <w:bottom w:val="nil"/>
              <w:right w:val="nil"/>
            </w:tcBorders>
          </w:tcPr>
          <w:p w14:paraId="1AB418B1" w14:textId="77777777" w:rsidR="00530A34" w:rsidRPr="006A6CB3" w:rsidRDefault="00530A34" w:rsidP="00034EC9">
            <w:pPr>
              <w:keepNext/>
              <w:spacing w:line="264" w:lineRule="auto"/>
              <w:contextualSpacing/>
              <w:jc w:val="right"/>
              <w:rPr>
                <w:rFonts w:ascii="Arial" w:hAnsi="Arial" w:cs="Arial"/>
                <w:color w:val="4F81BD" w:themeColor="accent1"/>
                <w:sz w:val="22"/>
                <w:szCs w:val="22"/>
              </w:rPr>
            </w:pPr>
          </w:p>
        </w:tc>
        <w:tc>
          <w:tcPr>
            <w:tcW w:w="1620" w:type="dxa"/>
            <w:tcBorders>
              <w:top w:val="nil"/>
              <w:left w:val="nil"/>
              <w:bottom w:val="nil"/>
              <w:right w:val="nil"/>
            </w:tcBorders>
            <w:shd w:val="clear" w:color="auto" w:fill="auto"/>
            <w:tcMar>
              <w:top w:w="43" w:type="dxa"/>
              <w:left w:w="115" w:type="dxa"/>
              <w:bottom w:w="43" w:type="dxa"/>
              <w:right w:w="115" w:type="dxa"/>
            </w:tcMar>
          </w:tcPr>
          <w:p w14:paraId="0A23FB4C" w14:textId="49BE5028" w:rsidR="00530A34" w:rsidRPr="006A6CB3" w:rsidRDefault="00530A34" w:rsidP="00034EC9">
            <w:pPr>
              <w:keepNext/>
              <w:spacing w:line="264" w:lineRule="auto"/>
              <w:contextualSpacing/>
              <w:jc w:val="right"/>
              <w:rPr>
                <w:rFonts w:ascii="Arial" w:hAnsi="Arial" w:cs="Arial"/>
                <w:color w:val="4F81BD" w:themeColor="accent1"/>
                <w:sz w:val="22"/>
                <w:szCs w:val="22"/>
              </w:rPr>
            </w:pPr>
            <w:r w:rsidRPr="006A6CB3">
              <w:rPr>
                <w:rFonts w:ascii="Arial" w:hAnsi="Arial" w:cs="Arial"/>
                <w:color w:val="4F81BD" w:themeColor="accent1"/>
                <w:sz w:val="22"/>
                <w:szCs w:val="22"/>
              </w:rPr>
              <w:t>$3,560,000</w:t>
            </w:r>
          </w:p>
        </w:tc>
        <w:tc>
          <w:tcPr>
            <w:tcW w:w="360" w:type="dxa"/>
            <w:tcBorders>
              <w:top w:val="nil"/>
              <w:left w:val="nil"/>
              <w:bottom w:val="nil"/>
              <w:right w:val="nil"/>
            </w:tcBorders>
          </w:tcPr>
          <w:p w14:paraId="216C408B" w14:textId="77777777" w:rsidR="00530A34" w:rsidRPr="006A6CB3" w:rsidRDefault="00530A34" w:rsidP="00034EC9">
            <w:pPr>
              <w:keepNext/>
              <w:spacing w:line="264" w:lineRule="auto"/>
              <w:contextualSpacing/>
              <w:jc w:val="right"/>
              <w:rPr>
                <w:rFonts w:ascii="Arial" w:hAnsi="Arial" w:cs="Arial"/>
                <w:bCs/>
                <w:color w:val="4F81BD" w:themeColor="accent1"/>
                <w:sz w:val="22"/>
                <w:szCs w:val="22"/>
              </w:rPr>
            </w:pPr>
          </w:p>
        </w:tc>
        <w:tc>
          <w:tcPr>
            <w:tcW w:w="1592" w:type="dxa"/>
            <w:tcBorders>
              <w:top w:val="nil"/>
              <w:left w:val="nil"/>
              <w:bottom w:val="nil"/>
              <w:right w:val="nil"/>
            </w:tcBorders>
            <w:shd w:val="clear" w:color="auto" w:fill="auto"/>
          </w:tcPr>
          <w:p w14:paraId="50F4D53C" w14:textId="6054247A" w:rsidR="00530A34" w:rsidRPr="006A6CB3" w:rsidRDefault="00530A34" w:rsidP="00034EC9">
            <w:pPr>
              <w:keepNext/>
              <w:spacing w:line="264" w:lineRule="auto"/>
              <w:contextualSpacing/>
              <w:jc w:val="right"/>
              <w:rPr>
                <w:rFonts w:ascii="Arial" w:hAnsi="Arial" w:cs="Arial"/>
                <w:bCs/>
                <w:color w:val="4F81BD" w:themeColor="accent1"/>
                <w:sz w:val="22"/>
                <w:szCs w:val="22"/>
              </w:rPr>
            </w:pPr>
            <w:r w:rsidRPr="006A6CB3">
              <w:rPr>
                <w:rFonts w:ascii="Arial" w:hAnsi="Arial" w:cs="Arial"/>
                <w:color w:val="4F81BD" w:themeColor="accent1"/>
                <w:sz w:val="22"/>
                <w:szCs w:val="22"/>
              </w:rPr>
              <w:t>$553,000</w:t>
            </w:r>
          </w:p>
        </w:tc>
      </w:tr>
      <w:tr w:rsidR="006A6CB3" w:rsidRPr="006A6CB3" w14:paraId="29D24BAF" w14:textId="77777777" w:rsidTr="00530A34">
        <w:trPr>
          <w:cantSplit/>
          <w:jc w:val="center"/>
        </w:trPr>
        <w:tc>
          <w:tcPr>
            <w:tcW w:w="4605" w:type="dxa"/>
            <w:tcBorders>
              <w:top w:val="nil"/>
              <w:left w:val="nil"/>
              <w:bottom w:val="nil"/>
              <w:right w:val="nil"/>
            </w:tcBorders>
            <w:shd w:val="clear" w:color="auto" w:fill="auto"/>
            <w:tcMar>
              <w:top w:w="43" w:type="dxa"/>
              <w:left w:w="115" w:type="dxa"/>
              <w:bottom w:w="43" w:type="dxa"/>
              <w:right w:w="115" w:type="dxa"/>
            </w:tcMar>
          </w:tcPr>
          <w:p w14:paraId="6D2E1F5A" w14:textId="2B745A4D" w:rsidR="00530A34" w:rsidRPr="006A6CB3" w:rsidRDefault="00530A34" w:rsidP="00034EC9">
            <w:pPr>
              <w:keepNext/>
              <w:spacing w:line="264" w:lineRule="auto"/>
              <w:contextualSpacing/>
              <w:rPr>
                <w:rFonts w:ascii="Arial" w:hAnsi="Arial" w:cs="Arial"/>
                <w:color w:val="4F81BD" w:themeColor="accent1"/>
                <w:sz w:val="22"/>
                <w:szCs w:val="22"/>
              </w:rPr>
            </w:pPr>
            <w:r w:rsidRPr="006A6CB3">
              <w:rPr>
                <w:rFonts w:ascii="Arial" w:hAnsi="Arial" w:cs="Arial"/>
                <w:color w:val="4F81BD" w:themeColor="accent1"/>
                <w:sz w:val="22"/>
                <w:szCs w:val="22"/>
              </w:rPr>
              <w:t>Family Treatment Court</w:t>
            </w:r>
          </w:p>
        </w:tc>
        <w:tc>
          <w:tcPr>
            <w:tcW w:w="270" w:type="dxa"/>
            <w:tcBorders>
              <w:top w:val="nil"/>
              <w:left w:val="nil"/>
              <w:bottom w:val="nil"/>
              <w:right w:val="nil"/>
            </w:tcBorders>
          </w:tcPr>
          <w:p w14:paraId="1D75A85F" w14:textId="77777777" w:rsidR="00530A34" w:rsidRPr="006A6CB3" w:rsidRDefault="00530A34" w:rsidP="00034EC9">
            <w:pPr>
              <w:keepNext/>
              <w:spacing w:line="264" w:lineRule="auto"/>
              <w:contextualSpacing/>
              <w:jc w:val="right"/>
              <w:rPr>
                <w:rFonts w:ascii="Arial" w:hAnsi="Arial" w:cs="Arial"/>
                <w:color w:val="4F81BD" w:themeColor="accent1"/>
                <w:sz w:val="22"/>
                <w:szCs w:val="22"/>
              </w:rPr>
            </w:pPr>
          </w:p>
        </w:tc>
        <w:tc>
          <w:tcPr>
            <w:tcW w:w="1620" w:type="dxa"/>
            <w:tcBorders>
              <w:top w:val="nil"/>
              <w:left w:val="nil"/>
              <w:bottom w:val="nil"/>
              <w:right w:val="nil"/>
            </w:tcBorders>
            <w:shd w:val="clear" w:color="auto" w:fill="auto"/>
            <w:tcMar>
              <w:top w:w="43" w:type="dxa"/>
              <w:left w:w="115" w:type="dxa"/>
              <w:bottom w:w="43" w:type="dxa"/>
              <w:right w:w="115" w:type="dxa"/>
            </w:tcMar>
          </w:tcPr>
          <w:p w14:paraId="45C914E9" w14:textId="7AD80870" w:rsidR="00530A34" w:rsidRPr="006A6CB3" w:rsidRDefault="00530A34" w:rsidP="00034EC9">
            <w:pPr>
              <w:keepNext/>
              <w:spacing w:line="264" w:lineRule="auto"/>
              <w:contextualSpacing/>
              <w:jc w:val="right"/>
              <w:rPr>
                <w:rFonts w:ascii="Arial" w:hAnsi="Arial" w:cs="Arial"/>
                <w:color w:val="4F81BD" w:themeColor="accent1"/>
                <w:sz w:val="22"/>
                <w:szCs w:val="22"/>
              </w:rPr>
            </w:pPr>
            <w:r w:rsidRPr="006A6CB3">
              <w:rPr>
                <w:rFonts w:ascii="Arial" w:hAnsi="Arial" w:cs="Arial"/>
                <w:color w:val="4F81BD" w:themeColor="accent1"/>
                <w:sz w:val="22"/>
                <w:szCs w:val="22"/>
              </w:rPr>
              <w:t>$1,820,000</w:t>
            </w:r>
          </w:p>
        </w:tc>
        <w:tc>
          <w:tcPr>
            <w:tcW w:w="360" w:type="dxa"/>
            <w:tcBorders>
              <w:top w:val="nil"/>
              <w:left w:val="nil"/>
              <w:bottom w:val="nil"/>
              <w:right w:val="nil"/>
            </w:tcBorders>
          </w:tcPr>
          <w:p w14:paraId="4E3404A9" w14:textId="77777777" w:rsidR="00530A34" w:rsidRPr="006A6CB3" w:rsidRDefault="00530A34" w:rsidP="00034EC9">
            <w:pPr>
              <w:keepNext/>
              <w:spacing w:line="264" w:lineRule="auto"/>
              <w:contextualSpacing/>
              <w:jc w:val="right"/>
              <w:rPr>
                <w:rFonts w:ascii="Arial" w:hAnsi="Arial" w:cs="Arial"/>
                <w:bCs/>
                <w:color w:val="4F81BD" w:themeColor="accent1"/>
                <w:sz w:val="22"/>
                <w:szCs w:val="22"/>
              </w:rPr>
            </w:pPr>
          </w:p>
        </w:tc>
        <w:tc>
          <w:tcPr>
            <w:tcW w:w="1592" w:type="dxa"/>
            <w:tcBorders>
              <w:top w:val="nil"/>
              <w:left w:val="nil"/>
              <w:bottom w:val="nil"/>
              <w:right w:val="nil"/>
            </w:tcBorders>
            <w:shd w:val="clear" w:color="auto" w:fill="auto"/>
          </w:tcPr>
          <w:p w14:paraId="3CA3B551" w14:textId="5AE2E144" w:rsidR="00530A34" w:rsidRPr="006A6CB3" w:rsidRDefault="00530A34" w:rsidP="00034EC9">
            <w:pPr>
              <w:keepNext/>
              <w:spacing w:line="264" w:lineRule="auto"/>
              <w:contextualSpacing/>
              <w:jc w:val="right"/>
              <w:rPr>
                <w:rFonts w:ascii="Arial" w:hAnsi="Arial" w:cs="Arial"/>
                <w:bCs/>
                <w:color w:val="4F81BD" w:themeColor="accent1"/>
                <w:sz w:val="22"/>
                <w:szCs w:val="22"/>
              </w:rPr>
            </w:pPr>
            <w:r w:rsidRPr="006A6CB3">
              <w:rPr>
                <w:rFonts w:ascii="Arial" w:hAnsi="Arial" w:cs="Arial"/>
                <w:color w:val="4F81BD" w:themeColor="accent1"/>
                <w:sz w:val="22"/>
                <w:szCs w:val="22"/>
              </w:rPr>
              <w:t>$243,000</w:t>
            </w:r>
          </w:p>
        </w:tc>
      </w:tr>
      <w:tr w:rsidR="006A6CB3" w:rsidRPr="006A6CB3" w14:paraId="2D855E69" w14:textId="77777777" w:rsidTr="00530A34">
        <w:trPr>
          <w:cantSplit/>
          <w:jc w:val="center"/>
        </w:trPr>
        <w:tc>
          <w:tcPr>
            <w:tcW w:w="4605" w:type="dxa"/>
            <w:tcBorders>
              <w:top w:val="nil"/>
              <w:left w:val="nil"/>
              <w:bottom w:val="nil"/>
              <w:right w:val="nil"/>
            </w:tcBorders>
            <w:shd w:val="clear" w:color="auto" w:fill="auto"/>
            <w:tcMar>
              <w:top w:w="43" w:type="dxa"/>
              <w:left w:w="115" w:type="dxa"/>
              <w:bottom w:w="43" w:type="dxa"/>
              <w:right w:w="115" w:type="dxa"/>
            </w:tcMar>
          </w:tcPr>
          <w:p w14:paraId="03AE3831" w14:textId="50A565D9" w:rsidR="00530A34" w:rsidRPr="006A6CB3" w:rsidRDefault="00530A34" w:rsidP="00034EC9">
            <w:pPr>
              <w:keepNext/>
              <w:spacing w:line="264" w:lineRule="auto"/>
              <w:contextualSpacing/>
              <w:rPr>
                <w:rFonts w:ascii="Arial" w:hAnsi="Arial" w:cs="Arial"/>
                <w:color w:val="4F81BD" w:themeColor="accent1"/>
                <w:sz w:val="22"/>
                <w:szCs w:val="22"/>
              </w:rPr>
            </w:pPr>
            <w:r w:rsidRPr="006A6CB3">
              <w:rPr>
                <w:rFonts w:ascii="Arial" w:hAnsi="Arial" w:cs="Arial"/>
                <w:color w:val="4F81BD" w:themeColor="accent1"/>
                <w:sz w:val="22"/>
                <w:szCs w:val="22"/>
              </w:rPr>
              <w:t>Regional Mental Health and Veterans Court</w:t>
            </w:r>
          </w:p>
        </w:tc>
        <w:tc>
          <w:tcPr>
            <w:tcW w:w="270" w:type="dxa"/>
            <w:tcBorders>
              <w:top w:val="nil"/>
              <w:left w:val="nil"/>
              <w:bottom w:val="nil"/>
              <w:right w:val="nil"/>
            </w:tcBorders>
          </w:tcPr>
          <w:p w14:paraId="4DAE6B71" w14:textId="77777777" w:rsidR="00530A34" w:rsidRPr="006A6CB3" w:rsidRDefault="00530A34" w:rsidP="00034EC9">
            <w:pPr>
              <w:keepNext/>
              <w:spacing w:line="264" w:lineRule="auto"/>
              <w:contextualSpacing/>
              <w:jc w:val="right"/>
              <w:rPr>
                <w:rFonts w:ascii="Arial" w:hAnsi="Arial" w:cs="Arial"/>
                <w:color w:val="4F81BD" w:themeColor="accent1"/>
                <w:sz w:val="22"/>
                <w:szCs w:val="22"/>
              </w:rPr>
            </w:pPr>
          </w:p>
        </w:tc>
        <w:tc>
          <w:tcPr>
            <w:tcW w:w="1620" w:type="dxa"/>
            <w:tcBorders>
              <w:top w:val="nil"/>
              <w:left w:val="nil"/>
              <w:bottom w:val="nil"/>
              <w:right w:val="nil"/>
            </w:tcBorders>
            <w:shd w:val="clear" w:color="auto" w:fill="auto"/>
            <w:tcMar>
              <w:top w:w="43" w:type="dxa"/>
              <w:left w:w="115" w:type="dxa"/>
              <w:bottom w:w="43" w:type="dxa"/>
              <w:right w:w="115" w:type="dxa"/>
            </w:tcMar>
          </w:tcPr>
          <w:p w14:paraId="375CBE5F" w14:textId="36829FA0" w:rsidR="00530A34" w:rsidRPr="006A6CB3" w:rsidRDefault="00530A34" w:rsidP="00034EC9">
            <w:pPr>
              <w:keepNext/>
              <w:spacing w:line="264" w:lineRule="auto"/>
              <w:contextualSpacing/>
              <w:jc w:val="right"/>
              <w:rPr>
                <w:rFonts w:ascii="Arial" w:hAnsi="Arial" w:cs="Arial"/>
                <w:color w:val="4F81BD" w:themeColor="accent1"/>
                <w:sz w:val="22"/>
                <w:szCs w:val="22"/>
              </w:rPr>
            </w:pPr>
            <w:r w:rsidRPr="006A6CB3">
              <w:rPr>
                <w:rFonts w:ascii="Arial" w:hAnsi="Arial" w:cs="Arial"/>
                <w:color w:val="4F81BD" w:themeColor="accent1"/>
                <w:sz w:val="22"/>
                <w:szCs w:val="22"/>
              </w:rPr>
              <w:t>$3,900,000</w:t>
            </w:r>
          </w:p>
        </w:tc>
        <w:tc>
          <w:tcPr>
            <w:tcW w:w="360" w:type="dxa"/>
            <w:tcBorders>
              <w:top w:val="nil"/>
              <w:left w:val="nil"/>
              <w:bottom w:val="nil"/>
              <w:right w:val="nil"/>
            </w:tcBorders>
          </w:tcPr>
          <w:p w14:paraId="7C0000B3" w14:textId="77777777" w:rsidR="00530A34" w:rsidRPr="006A6CB3" w:rsidRDefault="00530A34" w:rsidP="00034EC9">
            <w:pPr>
              <w:keepNext/>
              <w:spacing w:line="264" w:lineRule="auto"/>
              <w:contextualSpacing/>
              <w:jc w:val="right"/>
              <w:rPr>
                <w:rFonts w:ascii="Arial" w:hAnsi="Arial" w:cs="Arial"/>
                <w:bCs/>
                <w:color w:val="4F81BD" w:themeColor="accent1"/>
                <w:sz w:val="22"/>
                <w:szCs w:val="22"/>
              </w:rPr>
            </w:pPr>
          </w:p>
        </w:tc>
        <w:tc>
          <w:tcPr>
            <w:tcW w:w="1592" w:type="dxa"/>
            <w:tcBorders>
              <w:top w:val="nil"/>
              <w:left w:val="nil"/>
              <w:bottom w:val="nil"/>
              <w:right w:val="nil"/>
            </w:tcBorders>
            <w:shd w:val="clear" w:color="auto" w:fill="auto"/>
          </w:tcPr>
          <w:p w14:paraId="2727CA17" w14:textId="61DF62BA" w:rsidR="00530A34" w:rsidRPr="006A6CB3" w:rsidRDefault="00530A34" w:rsidP="00034EC9">
            <w:pPr>
              <w:keepNext/>
              <w:spacing w:line="264" w:lineRule="auto"/>
              <w:contextualSpacing/>
              <w:jc w:val="right"/>
              <w:rPr>
                <w:rFonts w:ascii="Arial" w:hAnsi="Arial" w:cs="Arial"/>
                <w:bCs/>
                <w:color w:val="4F81BD" w:themeColor="accent1"/>
                <w:sz w:val="22"/>
                <w:szCs w:val="22"/>
              </w:rPr>
            </w:pPr>
            <w:r w:rsidRPr="006A6CB3">
              <w:rPr>
                <w:rFonts w:ascii="Arial" w:hAnsi="Arial" w:cs="Arial"/>
                <w:color w:val="4F81BD" w:themeColor="accent1"/>
                <w:sz w:val="22"/>
                <w:szCs w:val="22"/>
              </w:rPr>
              <w:t>$312,000</w:t>
            </w:r>
          </w:p>
        </w:tc>
      </w:tr>
      <w:tr w:rsidR="006A6CB3" w:rsidRPr="006A6CB3" w14:paraId="49F56EA7" w14:textId="77777777" w:rsidTr="00530A34">
        <w:trPr>
          <w:cantSplit/>
          <w:jc w:val="center"/>
        </w:trPr>
        <w:tc>
          <w:tcPr>
            <w:tcW w:w="4605" w:type="dxa"/>
            <w:tcBorders>
              <w:top w:val="nil"/>
              <w:left w:val="nil"/>
              <w:bottom w:val="single" w:sz="4" w:space="0" w:color="auto"/>
              <w:right w:val="nil"/>
            </w:tcBorders>
            <w:shd w:val="clear" w:color="auto" w:fill="auto"/>
            <w:tcMar>
              <w:top w:w="43" w:type="dxa"/>
              <w:left w:w="115" w:type="dxa"/>
              <w:bottom w:w="43" w:type="dxa"/>
              <w:right w:w="115" w:type="dxa"/>
            </w:tcMar>
          </w:tcPr>
          <w:p w14:paraId="5E5036CC" w14:textId="726778E4" w:rsidR="00530A34" w:rsidRPr="006A6CB3" w:rsidRDefault="00530A34" w:rsidP="00034EC9">
            <w:pPr>
              <w:keepNext/>
              <w:spacing w:line="264" w:lineRule="auto"/>
              <w:contextualSpacing/>
              <w:rPr>
                <w:rFonts w:ascii="Arial" w:hAnsi="Arial" w:cs="Arial"/>
                <w:color w:val="4F81BD" w:themeColor="accent1"/>
                <w:sz w:val="22"/>
                <w:szCs w:val="22"/>
              </w:rPr>
            </w:pPr>
            <w:r w:rsidRPr="006A6CB3">
              <w:rPr>
                <w:rFonts w:ascii="Arial" w:hAnsi="Arial" w:cs="Arial"/>
                <w:color w:val="4F81BD" w:themeColor="accent1"/>
                <w:sz w:val="22"/>
                <w:szCs w:val="22"/>
              </w:rPr>
              <w:t>Community Court Planning and Pilot</w:t>
            </w:r>
          </w:p>
        </w:tc>
        <w:tc>
          <w:tcPr>
            <w:tcW w:w="270" w:type="dxa"/>
            <w:tcBorders>
              <w:top w:val="nil"/>
              <w:left w:val="nil"/>
              <w:bottom w:val="nil"/>
              <w:right w:val="nil"/>
            </w:tcBorders>
          </w:tcPr>
          <w:p w14:paraId="465306E1" w14:textId="77777777" w:rsidR="00530A34" w:rsidRPr="006A6CB3" w:rsidRDefault="00530A34" w:rsidP="00034EC9">
            <w:pPr>
              <w:keepNext/>
              <w:spacing w:line="264" w:lineRule="auto"/>
              <w:contextualSpacing/>
              <w:jc w:val="right"/>
              <w:rPr>
                <w:rFonts w:ascii="Arial" w:hAnsi="Arial" w:cs="Arial"/>
                <w:color w:val="4F81BD" w:themeColor="accent1"/>
                <w:sz w:val="22"/>
                <w:szCs w:val="22"/>
              </w:rPr>
            </w:pPr>
          </w:p>
        </w:tc>
        <w:tc>
          <w:tcPr>
            <w:tcW w:w="1620" w:type="dxa"/>
            <w:tcBorders>
              <w:top w:val="nil"/>
              <w:left w:val="nil"/>
              <w:bottom w:val="single" w:sz="4" w:space="0" w:color="auto"/>
              <w:right w:val="nil"/>
            </w:tcBorders>
            <w:shd w:val="clear" w:color="auto" w:fill="auto"/>
            <w:tcMar>
              <w:top w:w="43" w:type="dxa"/>
              <w:left w:w="115" w:type="dxa"/>
              <w:bottom w:w="43" w:type="dxa"/>
              <w:right w:w="115" w:type="dxa"/>
            </w:tcMar>
          </w:tcPr>
          <w:p w14:paraId="7A3BB4A2" w14:textId="40BE3FDF" w:rsidR="00530A34" w:rsidRPr="006A6CB3" w:rsidRDefault="00530A34" w:rsidP="00034EC9">
            <w:pPr>
              <w:keepNext/>
              <w:spacing w:line="264" w:lineRule="auto"/>
              <w:contextualSpacing/>
              <w:jc w:val="right"/>
              <w:rPr>
                <w:rFonts w:ascii="Arial" w:hAnsi="Arial" w:cs="Arial"/>
                <w:color w:val="4F81BD" w:themeColor="accent1"/>
                <w:sz w:val="22"/>
                <w:szCs w:val="22"/>
              </w:rPr>
            </w:pPr>
            <w:r w:rsidRPr="006A6CB3">
              <w:rPr>
                <w:rFonts w:ascii="Arial" w:hAnsi="Arial" w:cs="Arial"/>
                <w:color w:val="4F81BD" w:themeColor="accent1"/>
                <w:sz w:val="22"/>
                <w:szCs w:val="22"/>
              </w:rPr>
              <w:t>$460,000</w:t>
            </w:r>
          </w:p>
        </w:tc>
        <w:tc>
          <w:tcPr>
            <w:tcW w:w="360" w:type="dxa"/>
            <w:tcBorders>
              <w:top w:val="nil"/>
              <w:left w:val="nil"/>
              <w:bottom w:val="nil"/>
              <w:right w:val="nil"/>
            </w:tcBorders>
          </w:tcPr>
          <w:p w14:paraId="5F8DB551" w14:textId="77777777" w:rsidR="00530A34" w:rsidRPr="006A6CB3" w:rsidRDefault="00530A34" w:rsidP="00034EC9">
            <w:pPr>
              <w:keepNext/>
              <w:spacing w:line="264" w:lineRule="auto"/>
              <w:contextualSpacing/>
              <w:jc w:val="right"/>
              <w:rPr>
                <w:rFonts w:ascii="Arial" w:hAnsi="Arial" w:cs="Arial"/>
                <w:bCs/>
                <w:color w:val="4F81BD" w:themeColor="accent1"/>
                <w:sz w:val="22"/>
                <w:szCs w:val="22"/>
              </w:rPr>
            </w:pPr>
          </w:p>
        </w:tc>
        <w:tc>
          <w:tcPr>
            <w:tcW w:w="1592" w:type="dxa"/>
            <w:tcBorders>
              <w:top w:val="nil"/>
              <w:left w:val="nil"/>
              <w:bottom w:val="single" w:sz="4" w:space="0" w:color="auto"/>
              <w:right w:val="nil"/>
            </w:tcBorders>
            <w:shd w:val="clear" w:color="auto" w:fill="auto"/>
          </w:tcPr>
          <w:p w14:paraId="5A71D80A" w14:textId="4D6A04E2" w:rsidR="00530A34" w:rsidRPr="006A6CB3" w:rsidRDefault="00530A34" w:rsidP="00034EC9">
            <w:pPr>
              <w:keepNext/>
              <w:spacing w:line="264" w:lineRule="auto"/>
              <w:contextualSpacing/>
              <w:jc w:val="right"/>
              <w:rPr>
                <w:rFonts w:ascii="Arial" w:hAnsi="Arial" w:cs="Arial"/>
                <w:bCs/>
                <w:color w:val="4F81BD" w:themeColor="accent1"/>
                <w:sz w:val="22"/>
                <w:szCs w:val="22"/>
              </w:rPr>
            </w:pPr>
            <w:r w:rsidRPr="006A6CB3">
              <w:rPr>
                <w:rFonts w:ascii="Arial" w:hAnsi="Arial" w:cs="Arial"/>
                <w:color w:val="4F81BD" w:themeColor="accent1"/>
                <w:sz w:val="22"/>
                <w:szCs w:val="22"/>
              </w:rPr>
              <w:t>$230,000</w:t>
            </w:r>
          </w:p>
        </w:tc>
      </w:tr>
      <w:tr w:rsidR="006A6CB3" w:rsidRPr="006A6CB3" w14:paraId="1C93C7E7" w14:textId="77777777" w:rsidTr="00530A34">
        <w:trPr>
          <w:cantSplit/>
          <w:jc w:val="center"/>
        </w:trPr>
        <w:tc>
          <w:tcPr>
            <w:tcW w:w="4605"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67A2D8AE" w14:textId="77777777" w:rsidR="00530A34" w:rsidRPr="006A6CB3" w:rsidRDefault="00530A34" w:rsidP="00034EC9">
            <w:pPr>
              <w:keepNext/>
              <w:spacing w:line="264" w:lineRule="auto"/>
              <w:contextualSpacing/>
              <w:jc w:val="right"/>
              <w:rPr>
                <w:rFonts w:ascii="Arial" w:hAnsi="Arial" w:cs="Arial"/>
                <w:b/>
                <w:bCs/>
                <w:color w:val="4F81BD" w:themeColor="accent1"/>
                <w:sz w:val="22"/>
                <w:szCs w:val="22"/>
              </w:rPr>
            </w:pPr>
            <w:r w:rsidRPr="006A6CB3">
              <w:rPr>
                <w:rFonts w:ascii="Arial" w:hAnsi="Arial" w:cs="Arial"/>
                <w:b/>
                <w:bCs/>
                <w:color w:val="4F81BD" w:themeColor="accent1"/>
                <w:sz w:val="22"/>
                <w:szCs w:val="22"/>
              </w:rPr>
              <w:t>TOTAL</w:t>
            </w:r>
          </w:p>
        </w:tc>
        <w:tc>
          <w:tcPr>
            <w:tcW w:w="270" w:type="dxa"/>
            <w:tcBorders>
              <w:top w:val="nil"/>
              <w:left w:val="nil"/>
              <w:bottom w:val="single" w:sz="12" w:space="0" w:color="auto"/>
              <w:right w:val="nil"/>
            </w:tcBorders>
          </w:tcPr>
          <w:p w14:paraId="6D5F6725" w14:textId="77777777" w:rsidR="00530A34" w:rsidRPr="006A6CB3" w:rsidRDefault="00530A34" w:rsidP="00034EC9">
            <w:pPr>
              <w:keepNext/>
              <w:spacing w:line="264" w:lineRule="auto"/>
              <w:contextualSpacing/>
              <w:jc w:val="right"/>
              <w:rPr>
                <w:rFonts w:ascii="Arial" w:hAnsi="Arial" w:cs="Arial"/>
                <w:b/>
                <w:bCs/>
                <w:color w:val="4F81BD" w:themeColor="accent1"/>
                <w:sz w:val="22"/>
                <w:szCs w:val="22"/>
              </w:rPr>
            </w:pPr>
          </w:p>
        </w:tc>
        <w:tc>
          <w:tcPr>
            <w:tcW w:w="162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0004F1C7" w14:textId="2031F5FB" w:rsidR="00530A34" w:rsidRPr="006A6CB3" w:rsidRDefault="00530A34" w:rsidP="00034EC9">
            <w:pPr>
              <w:keepNext/>
              <w:spacing w:line="264" w:lineRule="auto"/>
              <w:contextualSpacing/>
              <w:jc w:val="right"/>
              <w:rPr>
                <w:rFonts w:ascii="Arial" w:hAnsi="Arial" w:cs="Arial"/>
                <w:b/>
                <w:bCs/>
                <w:color w:val="4F81BD" w:themeColor="accent1"/>
                <w:sz w:val="22"/>
                <w:szCs w:val="22"/>
              </w:rPr>
            </w:pPr>
            <w:r w:rsidRPr="006A6CB3">
              <w:rPr>
                <w:rFonts w:ascii="Arial" w:hAnsi="Arial" w:cs="Arial"/>
                <w:b/>
                <w:bCs/>
                <w:color w:val="4F81BD" w:themeColor="accent1"/>
                <w:sz w:val="22"/>
                <w:szCs w:val="22"/>
              </w:rPr>
              <w:t>$</w:t>
            </w:r>
            <w:r w:rsidR="00650954" w:rsidRPr="006A6CB3">
              <w:rPr>
                <w:rFonts w:ascii="Arial" w:hAnsi="Arial" w:cs="Arial"/>
                <w:b/>
                <w:bCs/>
                <w:color w:val="4F81BD" w:themeColor="accent1"/>
                <w:sz w:val="22"/>
                <w:szCs w:val="22"/>
              </w:rPr>
              <w:t>9,740,000</w:t>
            </w:r>
          </w:p>
        </w:tc>
        <w:tc>
          <w:tcPr>
            <w:tcW w:w="360" w:type="dxa"/>
            <w:tcBorders>
              <w:top w:val="nil"/>
              <w:left w:val="nil"/>
              <w:bottom w:val="single" w:sz="12" w:space="0" w:color="auto"/>
              <w:right w:val="nil"/>
            </w:tcBorders>
          </w:tcPr>
          <w:p w14:paraId="58BC122B" w14:textId="77777777" w:rsidR="00530A34" w:rsidRPr="006A6CB3" w:rsidRDefault="00530A34" w:rsidP="00034EC9">
            <w:pPr>
              <w:keepNext/>
              <w:spacing w:line="264" w:lineRule="auto"/>
              <w:contextualSpacing/>
              <w:jc w:val="right"/>
              <w:rPr>
                <w:rFonts w:ascii="Arial" w:hAnsi="Arial" w:cs="Arial"/>
                <w:b/>
                <w:color w:val="4F81BD" w:themeColor="accent1"/>
                <w:sz w:val="22"/>
                <w:szCs w:val="22"/>
              </w:rPr>
            </w:pPr>
          </w:p>
        </w:tc>
        <w:tc>
          <w:tcPr>
            <w:tcW w:w="1592" w:type="dxa"/>
            <w:tcBorders>
              <w:top w:val="single" w:sz="4" w:space="0" w:color="auto"/>
              <w:left w:val="nil"/>
              <w:bottom w:val="single" w:sz="12" w:space="0" w:color="auto"/>
              <w:right w:val="nil"/>
            </w:tcBorders>
            <w:shd w:val="clear" w:color="auto" w:fill="auto"/>
          </w:tcPr>
          <w:p w14:paraId="4211E246" w14:textId="00CE47A0" w:rsidR="00530A34" w:rsidRPr="006A6CB3" w:rsidRDefault="00650954" w:rsidP="00034EC9">
            <w:pPr>
              <w:keepNext/>
              <w:spacing w:line="264" w:lineRule="auto"/>
              <w:contextualSpacing/>
              <w:jc w:val="right"/>
              <w:rPr>
                <w:rFonts w:ascii="Arial" w:hAnsi="Arial" w:cs="Arial"/>
                <w:b/>
                <w:color w:val="4F81BD" w:themeColor="accent1"/>
                <w:sz w:val="22"/>
                <w:szCs w:val="22"/>
              </w:rPr>
            </w:pPr>
            <w:r w:rsidRPr="006A6CB3">
              <w:rPr>
                <w:rFonts w:ascii="Arial" w:hAnsi="Arial" w:cs="Arial"/>
                <w:b/>
                <w:color w:val="4F81BD" w:themeColor="accent1"/>
                <w:sz w:val="22"/>
                <w:szCs w:val="22"/>
              </w:rPr>
              <w:t>$1,338,000</w:t>
            </w:r>
          </w:p>
        </w:tc>
      </w:tr>
    </w:tbl>
    <w:p w14:paraId="0010CF01" w14:textId="4E364C11" w:rsidR="000A79D6" w:rsidRDefault="000A79D6" w:rsidP="00BE0ADE">
      <w:pPr>
        <w:spacing w:line="264" w:lineRule="auto"/>
        <w:jc w:val="both"/>
        <w:rPr>
          <w:szCs w:val="24"/>
        </w:rPr>
      </w:pPr>
    </w:p>
    <w:p w14:paraId="234648B0" w14:textId="3C54EA7D" w:rsidR="00C52A02" w:rsidRDefault="000A79D6" w:rsidP="00C52A02">
      <w:pPr>
        <w:spacing w:line="264" w:lineRule="auto"/>
        <w:jc w:val="both"/>
        <w:rPr>
          <w:rFonts w:ascii="Arial" w:hAnsi="Arial" w:cs="Arial"/>
          <w:color w:val="4F81BD" w:themeColor="accent1"/>
        </w:rPr>
      </w:pPr>
      <w:r w:rsidRPr="6974BE33">
        <w:rPr>
          <w:rFonts w:ascii="Arial" w:hAnsi="Arial" w:cs="Arial"/>
          <w:b/>
          <w:i/>
        </w:rPr>
        <w:t>MIDD Program Expansion [$7,284,000]</w:t>
      </w:r>
      <w:r w:rsidRPr="6974BE33">
        <w:rPr>
          <w:rFonts w:ascii="Arial" w:hAnsi="Arial" w:cs="Arial"/>
          <w:b/>
        </w:rPr>
        <w:t>.</w:t>
      </w:r>
      <w:r w:rsidRPr="6974BE33">
        <w:rPr>
          <w:rFonts w:ascii="Arial" w:hAnsi="Arial" w:cs="Arial"/>
          <w:b/>
          <w:i/>
        </w:rPr>
        <w:t xml:space="preserve">  </w:t>
      </w:r>
      <w:r w:rsidRPr="6974BE33">
        <w:rPr>
          <w:rFonts w:ascii="Arial" w:hAnsi="Arial" w:cs="Arial"/>
        </w:rPr>
        <w:t xml:space="preserve">The proposed ordinance would allocate $7.3 million for the expansion of programs that can accommodate additional spending, are in areas of greatest need for funding, and are in alignment with the priorities set forth by the MIDD Advisory Committee which reviewed the proposals in August.  </w:t>
      </w:r>
      <w:r w:rsidR="0F9B2115" w:rsidRPr="00AE0EF2">
        <w:rPr>
          <w:rFonts w:ascii="Arial" w:hAnsi="Arial" w:cs="Arial"/>
          <w:color w:val="4F81BD" w:themeColor="accent1"/>
        </w:rPr>
        <w:t xml:space="preserve">Executive Staff provided additional detail </w:t>
      </w:r>
      <w:r w:rsidR="0F9B2115" w:rsidRPr="2E1173CC">
        <w:rPr>
          <w:rFonts w:ascii="Arial" w:hAnsi="Arial" w:cs="Arial"/>
          <w:color w:val="4F81BD" w:themeColor="accent1"/>
        </w:rPr>
        <w:t xml:space="preserve">about </w:t>
      </w:r>
      <w:r w:rsidR="0F9B2115" w:rsidRPr="4BD23CE4">
        <w:rPr>
          <w:rFonts w:ascii="Arial" w:hAnsi="Arial" w:cs="Arial"/>
          <w:color w:val="4F81BD" w:themeColor="accent1"/>
        </w:rPr>
        <w:t>programs proposed for expansion</w:t>
      </w:r>
      <w:r w:rsidR="0F9B2115" w:rsidRPr="11A093BA">
        <w:rPr>
          <w:rFonts w:ascii="Arial" w:hAnsi="Arial" w:cs="Arial"/>
          <w:color w:val="4F81BD" w:themeColor="accent1"/>
        </w:rPr>
        <w:t xml:space="preserve"> that can be seen in the table below.</w:t>
      </w:r>
    </w:p>
    <w:p w14:paraId="1254A4BC" w14:textId="77777777" w:rsidR="00C52A02" w:rsidRPr="00285D99" w:rsidRDefault="00C52A02" w:rsidP="00C52A02">
      <w:pPr>
        <w:spacing w:line="264" w:lineRule="auto"/>
        <w:jc w:val="both"/>
        <w:rPr>
          <w:rFonts w:ascii="Arial" w:hAnsi="Arial" w:cs="Arial"/>
          <w:color w:val="4F81BD" w:themeColor="accent1"/>
        </w:rPr>
      </w:pPr>
    </w:p>
    <w:tbl>
      <w:tblPr>
        <w:tblStyle w:val="TableGrid"/>
        <w:tblW w:w="9473" w:type="dxa"/>
        <w:tblInd w:w="108" w:type="dxa"/>
        <w:tblLook w:val="04A0" w:firstRow="1" w:lastRow="0" w:firstColumn="1" w:lastColumn="0" w:noHBand="0" w:noVBand="1"/>
      </w:tblPr>
      <w:tblGrid>
        <w:gridCol w:w="540"/>
        <w:gridCol w:w="222"/>
        <w:gridCol w:w="1848"/>
        <w:gridCol w:w="270"/>
        <w:gridCol w:w="3420"/>
        <w:gridCol w:w="261"/>
        <w:gridCol w:w="1333"/>
        <w:gridCol w:w="236"/>
        <w:gridCol w:w="1343"/>
      </w:tblGrid>
      <w:tr w:rsidR="00213226" w:rsidRPr="00213226" w14:paraId="05EBEE99" w14:textId="77777777" w:rsidTr="00213226">
        <w:trPr>
          <w:cantSplit/>
          <w:trHeight w:val="411"/>
          <w:tblHeader/>
        </w:trPr>
        <w:tc>
          <w:tcPr>
            <w:tcW w:w="540" w:type="dxa"/>
            <w:tcBorders>
              <w:top w:val="single" w:sz="12" w:space="0" w:color="auto"/>
              <w:left w:val="nil"/>
              <w:bottom w:val="single" w:sz="4" w:space="0" w:color="auto"/>
              <w:right w:val="nil"/>
            </w:tcBorders>
            <w:vAlign w:val="center"/>
          </w:tcPr>
          <w:p w14:paraId="44F405AF" w14:textId="77777777" w:rsidR="00317259" w:rsidRPr="00213226" w:rsidRDefault="00317259" w:rsidP="00C52A02">
            <w:pPr>
              <w:jc w:val="center"/>
              <w:rPr>
                <w:rFonts w:ascii="Arial" w:hAnsi="Arial" w:cs="Arial"/>
                <w:b/>
                <w:color w:val="4F81BD" w:themeColor="accent1"/>
                <w:sz w:val="20"/>
              </w:rPr>
            </w:pPr>
            <w:r w:rsidRPr="00213226">
              <w:rPr>
                <w:rFonts w:ascii="Arial" w:hAnsi="Arial" w:cs="Arial"/>
                <w:b/>
                <w:color w:val="4F81BD" w:themeColor="accent1"/>
                <w:sz w:val="20"/>
              </w:rPr>
              <w:t>No.</w:t>
            </w:r>
          </w:p>
        </w:tc>
        <w:tc>
          <w:tcPr>
            <w:tcW w:w="0" w:type="auto"/>
            <w:tcBorders>
              <w:top w:val="single" w:sz="12" w:space="0" w:color="auto"/>
              <w:left w:val="nil"/>
              <w:bottom w:val="nil"/>
              <w:right w:val="nil"/>
            </w:tcBorders>
          </w:tcPr>
          <w:p w14:paraId="608AD799" w14:textId="77777777" w:rsidR="00317259" w:rsidRPr="00213226" w:rsidRDefault="00317259" w:rsidP="00C52A02">
            <w:pPr>
              <w:rPr>
                <w:rFonts w:ascii="Arial" w:hAnsi="Arial" w:cs="Arial"/>
                <w:b/>
                <w:color w:val="4F81BD" w:themeColor="accent1"/>
                <w:sz w:val="20"/>
              </w:rPr>
            </w:pPr>
          </w:p>
        </w:tc>
        <w:tc>
          <w:tcPr>
            <w:tcW w:w="1848" w:type="dxa"/>
            <w:tcBorders>
              <w:top w:val="single" w:sz="12" w:space="0" w:color="auto"/>
              <w:left w:val="nil"/>
              <w:bottom w:val="single" w:sz="4" w:space="0" w:color="auto"/>
              <w:right w:val="nil"/>
            </w:tcBorders>
            <w:vAlign w:val="center"/>
          </w:tcPr>
          <w:p w14:paraId="497DFE4B" w14:textId="1F5BB62E" w:rsidR="00317259" w:rsidRPr="00213226" w:rsidRDefault="00317259" w:rsidP="00C52A02">
            <w:pPr>
              <w:rPr>
                <w:rFonts w:ascii="Arial" w:hAnsi="Arial" w:cs="Arial"/>
                <w:b/>
                <w:color w:val="4F81BD" w:themeColor="accent1"/>
                <w:sz w:val="20"/>
              </w:rPr>
            </w:pPr>
            <w:r w:rsidRPr="00213226">
              <w:rPr>
                <w:rFonts w:ascii="Arial" w:hAnsi="Arial" w:cs="Arial"/>
                <w:b/>
                <w:color w:val="4F81BD" w:themeColor="accent1"/>
                <w:sz w:val="20"/>
              </w:rPr>
              <w:t>MIDD 2</w:t>
            </w:r>
            <w:r w:rsidR="00213226">
              <w:rPr>
                <w:rFonts w:ascii="Arial" w:hAnsi="Arial" w:cs="Arial"/>
                <w:b/>
                <w:color w:val="4F81BD" w:themeColor="accent1"/>
                <w:sz w:val="20"/>
              </w:rPr>
              <w:t xml:space="preserve"> </w:t>
            </w:r>
            <w:r w:rsidRPr="00213226">
              <w:rPr>
                <w:rFonts w:ascii="Arial" w:hAnsi="Arial" w:cs="Arial"/>
                <w:b/>
                <w:color w:val="4F81BD" w:themeColor="accent1"/>
                <w:sz w:val="20"/>
              </w:rPr>
              <w:t>Initiative</w:t>
            </w:r>
          </w:p>
        </w:tc>
        <w:tc>
          <w:tcPr>
            <w:tcW w:w="270" w:type="dxa"/>
            <w:tcBorders>
              <w:top w:val="single" w:sz="12" w:space="0" w:color="auto"/>
              <w:left w:val="nil"/>
              <w:bottom w:val="nil"/>
              <w:right w:val="nil"/>
            </w:tcBorders>
            <w:vAlign w:val="center"/>
          </w:tcPr>
          <w:p w14:paraId="01916ACD" w14:textId="77777777" w:rsidR="00317259" w:rsidRPr="00213226" w:rsidRDefault="00317259" w:rsidP="00C52A02">
            <w:pPr>
              <w:jc w:val="right"/>
              <w:rPr>
                <w:rFonts w:ascii="Arial" w:hAnsi="Arial" w:cs="Arial"/>
                <w:b/>
                <w:color w:val="4F81BD" w:themeColor="accent1"/>
                <w:sz w:val="20"/>
              </w:rPr>
            </w:pPr>
          </w:p>
        </w:tc>
        <w:tc>
          <w:tcPr>
            <w:tcW w:w="3420" w:type="dxa"/>
            <w:tcBorders>
              <w:top w:val="single" w:sz="12" w:space="0" w:color="auto"/>
              <w:left w:val="nil"/>
              <w:bottom w:val="single" w:sz="4" w:space="0" w:color="auto"/>
              <w:right w:val="nil"/>
            </w:tcBorders>
            <w:shd w:val="clear" w:color="auto" w:fill="auto"/>
            <w:vAlign w:val="center"/>
          </w:tcPr>
          <w:p w14:paraId="42BAEEFF" w14:textId="1AA3B48B" w:rsidR="00317259" w:rsidRPr="00213226" w:rsidRDefault="00317259" w:rsidP="00C52A02">
            <w:pPr>
              <w:rPr>
                <w:rFonts w:ascii="Arial" w:hAnsi="Arial" w:cs="Arial"/>
                <w:b/>
                <w:color w:val="4F81BD" w:themeColor="accent1"/>
                <w:sz w:val="20"/>
              </w:rPr>
            </w:pPr>
            <w:r w:rsidRPr="00213226">
              <w:rPr>
                <w:rFonts w:ascii="Arial" w:hAnsi="Arial" w:cs="Arial"/>
                <w:b/>
                <w:color w:val="4F81BD" w:themeColor="accent1"/>
                <w:sz w:val="20"/>
              </w:rPr>
              <w:t>Description</w:t>
            </w:r>
          </w:p>
        </w:tc>
        <w:tc>
          <w:tcPr>
            <w:tcW w:w="261" w:type="dxa"/>
            <w:tcBorders>
              <w:top w:val="single" w:sz="12" w:space="0" w:color="auto"/>
              <w:left w:val="nil"/>
              <w:bottom w:val="nil"/>
              <w:right w:val="nil"/>
            </w:tcBorders>
            <w:vAlign w:val="center"/>
          </w:tcPr>
          <w:p w14:paraId="186F9324" w14:textId="77777777" w:rsidR="00317259" w:rsidRPr="00213226" w:rsidRDefault="00317259" w:rsidP="00C52A02">
            <w:pPr>
              <w:jc w:val="right"/>
              <w:rPr>
                <w:rFonts w:ascii="Arial" w:hAnsi="Arial" w:cs="Arial"/>
                <w:b/>
                <w:color w:val="4F81BD" w:themeColor="accent1"/>
                <w:sz w:val="20"/>
              </w:rPr>
            </w:pPr>
          </w:p>
        </w:tc>
        <w:tc>
          <w:tcPr>
            <w:tcW w:w="1333" w:type="dxa"/>
            <w:tcBorders>
              <w:top w:val="single" w:sz="12" w:space="0" w:color="auto"/>
              <w:left w:val="nil"/>
              <w:bottom w:val="single" w:sz="4" w:space="0" w:color="auto"/>
              <w:right w:val="nil"/>
            </w:tcBorders>
          </w:tcPr>
          <w:p w14:paraId="0B6C9D9B" w14:textId="1F72D3E3" w:rsidR="00317259" w:rsidRPr="00213226" w:rsidRDefault="00317259" w:rsidP="00C52A02">
            <w:pPr>
              <w:jc w:val="center"/>
              <w:rPr>
                <w:rFonts w:ascii="Arial" w:hAnsi="Arial" w:cs="Arial"/>
                <w:b/>
                <w:color w:val="4F81BD" w:themeColor="accent1"/>
                <w:sz w:val="20"/>
              </w:rPr>
            </w:pPr>
            <w:r w:rsidRPr="00213226">
              <w:rPr>
                <w:rFonts w:ascii="Arial" w:hAnsi="Arial" w:cs="Arial"/>
                <w:b/>
                <w:color w:val="4F81BD" w:themeColor="accent1"/>
                <w:sz w:val="20"/>
              </w:rPr>
              <w:t>2021-2022 Adopted Budget</w:t>
            </w:r>
          </w:p>
        </w:tc>
        <w:tc>
          <w:tcPr>
            <w:tcW w:w="236" w:type="dxa"/>
            <w:tcBorders>
              <w:top w:val="single" w:sz="12" w:space="0" w:color="auto"/>
              <w:left w:val="nil"/>
              <w:bottom w:val="nil"/>
              <w:right w:val="nil"/>
            </w:tcBorders>
          </w:tcPr>
          <w:p w14:paraId="60E6E865" w14:textId="77777777" w:rsidR="00317259" w:rsidRPr="00213226" w:rsidRDefault="00317259" w:rsidP="00C52A02">
            <w:pPr>
              <w:jc w:val="center"/>
              <w:rPr>
                <w:rFonts w:ascii="Arial" w:hAnsi="Arial" w:cs="Arial"/>
                <w:b/>
                <w:color w:val="4F81BD" w:themeColor="accent1"/>
                <w:sz w:val="20"/>
              </w:rPr>
            </w:pPr>
          </w:p>
        </w:tc>
        <w:tc>
          <w:tcPr>
            <w:tcW w:w="1343" w:type="dxa"/>
            <w:tcBorders>
              <w:top w:val="single" w:sz="12" w:space="0" w:color="auto"/>
              <w:left w:val="nil"/>
              <w:bottom w:val="single" w:sz="4" w:space="0" w:color="auto"/>
              <w:right w:val="single" w:sz="2" w:space="0" w:color="FFFFFF" w:themeColor="background1"/>
            </w:tcBorders>
            <w:vAlign w:val="center"/>
          </w:tcPr>
          <w:p w14:paraId="47864AAF" w14:textId="273748DD" w:rsidR="00317259" w:rsidRPr="00213226" w:rsidRDefault="00317259" w:rsidP="00C52A02">
            <w:pPr>
              <w:jc w:val="center"/>
              <w:rPr>
                <w:rFonts w:ascii="Arial" w:hAnsi="Arial" w:cs="Arial"/>
                <w:b/>
                <w:color w:val="4F81BD" w:themeColor="accent1"/>
                <w:sz w:val="20"/>
              </w:rPr>
            </w:pPr>
            <w:r w:rsidRPr="00213226">
              <w:rPr>
                <w:rFonts w:ascii="Arial" w:hAnsi="Arial" w:cs="Arial"/>
                <w:b/>
                <w:color w:val="4F81BD" w:themeColor="accent1"/>
                <w:sz w:val="20"/>
              </w:rPr>
              <w:t>2</w:t>
            </w:r>
            <w:r w:rsidRPr="00213226">
              <w:rPr>
                <w:rFonts w:ascii="Arial" w:hAnsi="Arial" w:cs="Arial"/>
                <w:b/>
                <w:color w:val="4F81BD" w:themeColor="accent1"/>
                <w:sz w:val="20"/>
                <w:vertAlign w:val="superscript"/>
              </w:rPr>
              <w:t>nd</w:t>
            </w:r>
            <w:r w:rsidRPr="00213226">
              <w:rPr>
                <w:rFonts w:ascii="Arial" w:hAnsi="Arial" w:cs="Arial"/>
                <w:b/>
                <w:color w:val="4F81BD" w:themeColor="accent1"/>
                <w:sz w:val="20"/>
              </w:rPr>
              <w:t xml:space="preserve"> Omnibus Proposed</w:t>
            </w:r>
          </w:p>
        </w:tc>
      </w:tr>
      <w:tr w:rsidR="00213226" w:rsidRPr="00213226" w14:paraId="520DEDC1" w14:textId="77777777" w:rsidTr="00213226">
        <w:trPr>
          <w:cantSplit/>
        </w:trPr>
        <w:tc>
          <w:tcPr>
            <w:tcW w:w="540" w:type="dxa"/>
            <w:tcBorders>
              <w:top w:val="single" w:sz="4" w:space="0" w:color="auto"/>
              <w:left w:val="nil"/>
              <w:bottom w:val="nil"/>
              <w:right w:val="nil"/>
            </w:tcBorders>
          </w:tcPr>
          <w:p w14:paraId="472D20F3" w14:textId="77777777" w:rsidR="00213226" w:rsidRPr="00213226" w:rsidRDefault="00213226" w:rsidP="00C52A02">
            <w:pPr>
              <w:rPr>
                <w:rFonts w:ascii="Arial" w:hAnsi="Arial" w:cs="Arial"/>
                <w:color w:val="4F81BD" w:themeColor="accent1"/>
                <w:sz w:val="20"/>
              </w:rPr>
            </w:pPr>
            <w:r w:rsidRPr="00213226">
              <w:rPr>
                <w:rFonts w:ascii="Arial" w:hAnsi="Arial" w:cs="Arial"/>
                <w:color w:val="4F81BD" w:themeColor="accent1"/>
                <w:sz w:val="20"/>
              </w:rPr>
              <w:t>1</w:t>
            </w:r>
          </w:p>
        </w:tc>
        <w:tc>
          <w:tcPr>
            <w:tcW w:w="0" w:type="auto"/>
            <w:tcBorders>
              <w:top w:val="nil"/>
              <w:left w:val="nil"/>
              <w:bottom w:val="nil"/>
              <w:right w:val="nil"/>
            </w:tcBorders>
          </w:tcPr>
          <w:p w14:paraId="2955DB0D" w14:textId="77777777" w:rsidR="00213226" w:rsidRPr="00213226" w:rsidRDefault="00213226" w:rsidP="00C52A02">
            <w:pPr>
              <w:rPr>
                <w:rFonts w:ascii="Arial" w:hAnsi="Arial" w:cs="Arial"/>
                <w:color w:val="4F81BD" w:themeColor="accent1"/>
                <w:sz w:val="20"/>
              </w:rPr>
            </w:pPr>
          </w:p>
        </w:tc>
        <w:tc>
          <w:tcPr>
            <w:tcW w:w="1848" w:type="dxa"/>
            <w:tcBorders>
              <w:top w:val="single" w:sz="4" w:space="0" w:color="auto"/>
              <w:left w:val="nil"/>
              <w:bottom w:val="nil"/>
              <w:right w:val="nil"/>
            </w:tcBorders>
          </w:tcPr>
          <w:p w14:paraId="5DC15438" w14:textId="0B0F96D6" w:rsidR="00213226" w:rsidRPr="00213226" w:rsidRDefault="00213226" w:rsidP="00C52A02">
            <w:pPr>
              <w:rPr>
                <w:rFonts w:ascii="Arial" w:hAnsi="Arial" w:cs="Arial"/>
                <w:color w:val="4F81BD" w:themeColor="accent1"/>
                <w:sz w:val="20"/>
              </w:rPr>
            </w:pPr>
            <w:r w:rsidRPr="00213226">
              <w:rPr>
                <w:rFonts w:ascii="Arial" w:eastAsia="Arial" w:hAnsi="Arial" w:cs="Arial"/>
                <w:color w:val="4F81BD" w:themeColor="accent1"/>
                <w:sz w:val="20"/>
              </w:rPr>
              <w:t>Admin &amp; Evaluation</w:t>
            </w:r>
          </w:p>
        </w:tc>
        <w:tc>
          <w:tcPr>
            <w:tcW w:w="270" w:type="dxa"/>
            <w:tcBorders>
              <w:top w:val="nil"/>
              <w:left w:val="nil"/>
              <w:bottom w:val="nil"/>
              <w:right w:val="nil"/>
            </w:tcBorders>
            <w:vAlign w:val="center"/>
          </w:tcPr>
          <w:p w14:paraId="5CC8C1A8" w14:textId="77777777" w:rsidR="00213226" w:rsidRPr="00213226" w:rsidRDefault="00213226" w:rsidP="00C52A02">
            <w:pPr>
              <w:jc w:val="right"/>
              <w:rPr>
                <w:rFonts w:ascii="Arial" w:hAnsi="Arial" w:cs="Arial"/>
                <w:color w:val="4F81BD" w:themeColor="accent1"/>
                <w:sz w:val="20"/>
              </w:rPr>
            </w:pPr>
          </w:p>
        </w:tc>
        <w:tc>
          <w:tcPr>
            <w:tcW w:w="3420" w:type="dxa"/>
            <w:tcBorders>
              <w:top w:val="single" w:sz="4" w:space="0" w:color="auto"/>
              <w:left w:val="nil"/>
              <w:bottom w:val="nil"/>
              <w:right w:val="nil"/>
            </w:tcBorders>
            <w:tcMar>
              <w:top w:w="72" w:type="dxa"/>
              <w:left w:w="115" w:type="dxa"/>
              <w:bottom w:w="72" w:type="dxa"/>
              <w:right w:w="115" w:type="dxa"/>
            </w:tcMar>
          </w:tcPr>
          <w:p w14:paraId="1CBA37A7" w14:textId="254E56D7" w:rsidR="00213226" w:rsidRPr="00213226" w:rsidRDefault="00213226" w:rsidP="00C52A02">
            <w:pPr>
              <w:rPr>
                <w:rFonts w:ascii="Arial" w:hAnsi="Arial" w:cs="Arial"/>
                <w:color w:val="4F81BD" w:themeColor="accent1"/>
                <w:sz w:val="20"/>
              </w:rPr>
            </w:pPr>
            <w:r w:rsidRPr="00213226">
              <w:rPr>
                <w:rFonts w:ascii="Arial" w:eastAsia="Arial" w:hAnsi="Arial" w:cs="Arial"/>
                <w:color w:val="4F81BD" w:themeColor="accent1"/>
                <w:sz w:val="20"/>
              </w:rPr>
              <w:t>Restores funding to support MIDD analysis</w:t>
            </w:r>
          </w:p>
        </w:tc>
        <w:tc>
          <w:tcPr>
            <w:tcW w:w="261" w:type="dxa"/>
            <w:tcBorders>
              <w:top w:val="nil"/>
              <w:left w:val="nil"/>
              <w:bottom w:val="nil"/>
              <w:right w:val="nil"/>
            </w:tcBorders>
          </w:tcPr>
          <w:p w14:paraId="2EF5D18B" w14:textId="77777777" w:rsidR="00213226" w:rsidRPr="00213226" w:rsidRDefault="00213226" w:rsidP="00C52A02">
            <w:pPr>
              <w:jc w:val="right"/>
              <w:rPr>
                <w:rFonts w:ascii="Arial" w:hAnsi="Arial" w:cs="Arial"/>
                <w:color w:val="4F81BD" w:themeColor="accent1"/>
                <w:sz w:val="20"/>
              </w:rPr>
            </w:pPr>
          </w:p>
        </w:tc>
        <w:tc>
          <w:tcPr>
            <w:tcW w:w="1333" w:type="dxa"/>
            <w:tcBorders>
              <w:top w:val="single" w:sz="4" w:space="0" w:color="auto"/>
              <w:left w:val="nil"/>
              <w:bottom w:val="nil"/>
              <w:right w:val="nil"/>
            </w:tcBorders>
          </w:tcPr>
          <w:p w14:paraId="27748D1A" w14:textId="4DA131C8" w:rsidR="00213226" w:rsidRPr="00213226" w:rsidRDefault="00213226" w:rsidP="00C52A02">
            <w:pPr>
              <w:jc w:val="right"/>
              <w:rPr>
                <w:rFonts w:ascii="Arial" w:hAnsi="Arial" w:cs="Arial"/>
                <w:color w:val="4F81BD" w:themeColor="accent1"/>
                <w:sz w:val="20"/>
              </w:rPr>
            </w:pPr>
            <w:r w:rsidRPr="00213226">
              <w:rPr>
                <w:rFonts w:ascii="Arial" w:eastAsia="Arial" w:hAnsi="Arial" w:cs="Arial"/>
                <w:color w:val="4F81BD" w:themeColor="accent1"/>
                <w:sz w:val="20"/>
              </w:rPr>
              <w:t>$8,900,000</w:t>
            </w:r>
          </w:p>
        </w:tc>
        <w:tc>
          <w:tcPr>
            <w:tcW w:w="236" w:type="dxa"/>
            <w:tcBorders>
              <w:top w:val="nil"/>
              <w:left w:val="nil"/>
              <w:bottom w:val="nil"/>
              <w:right w:val="nil"/>
            </w:tcBorders>
          </w:tcPr>
          <w:p w14:paraId="3D55DC7D" w14:textId="77777777" w:rsidR="00213226" w:rsidRPr="00213226" w:rsidRDefault="00213226" w:rsidP="00C52A02">
            <w:pPr>
              <w:jc w:val="right"/>
              <w:rPr>
                <w:rFonts w:ascii="Arial" w:hAnsi="Arial" w:cs="Arial"/>
                <w:color w:val="4F81BD" w:themeColor="accent1"/>
                <w:sz w:val="20"/>
              </w:rPr>
            </w:pPr>
          </w:p>
        </w:tc>
        <w:tc>
          <w:tcPr>
            <w:tcW w:w="1343"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21F86A2C" w14:textId="4030E96B" w:rsidR="00213226" w:rsidRPr="00213226" w:rsidRDefault="00213226" w:rsidP="00C52A02">
            <w:pPr>
              <w:jc w:val="right"/>
              <w:rPr>
                <w:rFonts w:ascii="Arial" w:hAnsi="Arial" w:cs="Arial"/>
                <w:color w:val="4F81BD" w:themeColor="accent1"/>
                <w:sz w:val="20"/>
              </w:rPr>
            </w:pPr>
            <w:r w:rsidRPr="00213226">
              <w:rPr>
                <w:rFonts w:ascii="Arial" w:hAnsi="Arial" w:cs="Arial"/>
                <w:color w:val="4F81BD" w:themeColor="accent1"/>
                <w:sz w:val="20"/>
              </w:rPr>
              <w:t>$110,000</w:t>
            </w:r>
          </w:p>
        </w:tc>
      </w:tr>
      <w:tr w:rsidR="00213226" w:rsidRPr="00213226" w14:paraId="75D66BE1" w14:textId="77777777" w:rsidTr="00213226">
        <w:trPr>
          <w:cantSplit/>
        </w:trPr>
        <w:tc>
          <w:tcPr>
            <w:tcW w:w="540" w:type="dxa"/>
            <w:tcBorders>
              <w:top w:val="nil"/>
              <w:left w:val="nil"/>
              <w:bottom w:val="nil"/>
              <w:right w:val="nil"/>
            </w:tcBorders>
          </w:tcPr>
          <w:p w14:paraId="7B66E1CC" w14:textId="77777777" w:rsidR="00213226" w:rsidRPr="00213226" w:rsidRDefault="00213226" w:rsidP="00C52A02">
            <w:pPr>
              <w:rPr>
                <w:rFonts w:ascii="Arial" w:hAnsi="Arial" w:cs="Arial"/>
                <w:color w:val="4F81BD" w:themeColor="accent1"/>
                <w:sz w:val="20"/>
              </w:rPr>
            </w:pPr>
            <w:r w:rsidRPr="00213226">
              <w:rPr>
                <w:rFonts w:ascii="Arial" w:hAnsi="Arial" w:cs="Arial"/>
                <w:color w:val="4F81BD" w:themeColor="accent1"/>
                <w:sz w:val="20"/>
              </w:rPr>
              <w:t>2</w:t>
            </w:r>
          </w:p>
        </w:tc>
        <w:tc>
          <w:tcPr>
            <w:tcW w:w="0" w:type="auto"/>
            <w:tcBorders>
              <w:top w:val="nil"/>
              <w:left w:val="nil"/>
              <w:bottom w:val="nil"/>
              <w:right w:val="nil"/>
            </w:tcBorders>
          </w:tcPr>
          <w:p w14:paraId="34F14366" w14:textId="77777777" w:rsidR="00213226" w:rsidRPr="00213226" w:rsidRDefault="00213226" w:rsidP="00C52A02">
            <w:pPr>
              <w:rPr>
                <w:rFonts w:ascii="Arial" w:hAnsi="Arial" w:cs="Arial"/>
                <w:color w:val="4F81BD" w:themeColor="accent1"/>
                <w:sz w:val="20"/>
              </w:rPr>
            </w:pPr>
          </w:p>
        </w:tc>
        <w:tc>
          <w:tcPr>
            <w:tcW w:w="1848" w:type="dxa"/>
            <w:tcBorders>
              <w:top w:val="nil"/>
              <w:left w:val="nil"/>
              <w:bottom w:val="nil"/>
              <w:right w:val="nil"/>
            </w:tcBorders>
          </w:tcPr>
          <w:p w14:paraId="26B3764D" w14:textId="3C43997D" w:rsidR="00213226" w:rsidRPr="00213226" w:rsidRDefault="00213226" w:rsidP="00C52A02">
            <w:pPr>
              <w:rPr>
                <w:rFonts w:ascii="Arial" w:hAnsi="Arial" w:cs="Arial"/>
                <w:color w:val="4F81BD" w:themeColor="accent1"/>
                <w:sz w:val="20"/>
              </w:rPr>
            </w:pPr>
            <w:r w:rsidRPr="00213226">
              <w:rPr>
                <w:rFonts w:ascii="Arial" w:eastAsia="Arial" w:hAnsi="Arial" w:cs="Arial"/>
                <w:color w:val="4F81BD" w:themeColor="accent1"/>
                <w:sz w:val="20"/>
              </w:rPr>
              <w:t>Adult Crisis Diversion Center, Respite Beds and Mobile Behavioral Health Crisis Team</w:t>
            </w:r>
          </w:p>
        </w:tc>
        <w:tc>
          <w:tcPr>
            <w:tcW w:w="270" w:type="dxa"/>
            <w:tcBorders>
              <w:top w:val="nil"/>
              <w:left w:val="nil"/>
              <w:bottom w:val="nil"/>
              <w:right w:val="nil"/>
            </w:tcBorders>
            <w:vAlign w:val="center"/>
          </w:tcPr>
          <w:p w14:paraId="4DCE1E12" w14:textId="77777777" w:rsidR="00213226" w:rsidRPr="00213226" w:rsidRDefault="00213226" w:rsidP="00C52A02">
            <w:pPr>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776477EB" w14:textId="047E4CDA" w:rsidR="00213226" w:rsidRPr="00213226" w:rsidRDefault="00213226" w:rsidP="00C52A02">
            <w:pPr>
              <w:rPr>
                <w:rFonts w:ascii="Arial" w:hAnsi="Arial" w:cs="Arial"/>
                <w:color w:val="4F81BD" w:themeColor="accent1"/>
                <w:sz w:val="20"/>
              </w:rPr>
            </w:pPr>
            <w:r w:rsidRPr="00213226">
              <w:rPr>
                <w:rFonts w:ascii="Arial" w:eastAsia="Arial" w:hAnsi="Arial" w:cs="Arial"/>
                <w:color w:val="4F81BD" w:themeColor="accent1"/>
                <w:sz w:val="20"/>
              </w:rPr>
              <w:t>Adding one-time $2M to support operational start-up costs at two new state-funded 16-bed crisis stabilization facilities that will be built in King County</w:t>
            </w:r>
          </w:p>
        </w:tc>
        <w:tc>
          <w:tcPr>
            <w:tcW w:w="261" w:type="dxa"/>
            <w:tcBorders>
              <w:top w:val="nil"/>
              <w:left w:val="nil"/>
              <w:bottom w:val="nil"/>
              <w:right w:val="nil"/>
            </w:tcBorders>
          </w:tcPr>
          <w:p w14:paraId="64597B57" w14:textId="77777777" w:rsidR="00213226" w:rsidRPr="00213226" w:rsidRDefault="00213226" w:rsidP="00C52A02">
            <w:pPr>
              <w:jc w:val="right"/>
              <w:rPr>
                <w:rFonts w:ascii="Arial" w:hAnsi="Arial" w:cs="Arial"/>
                <w:color w:val="4F81BD" w:themeColor="accent1"/>
                <w:sz w:val="20"/>
              </w:rPr>
            </w:pPr>
          </w:p>
        </w:tc>
        <w:tc>
          <w:tcPr>
            <w:tcW w:w="1333" w:type="dxa"/>
            <w:tcBorders>
              <w:top w:val="nil"/>
              <w:left w:val="nil"/>
              <w:bottom w:val="nil"/>
              <w:right w:val="nil"/>
            </w:tcBorders>
          </w:tcPr>
          <w:p w14:paraId="57DD93F1" w14:textId="5206739B" w:rsidR="00213226" w:rsidRPr="00213226" w:rsidRDefault="00213226" w:rsidP="00C52A02">
            <w:pPr>
              <w:jc w:val="right"/>
              <w:rPr>
                <w:rFonts w:ascii="Arial" w:hAnsi="Arial" w:cs="Arial"/>
                <w:color w:val="4F81BD" w:themeColor="accent1"/>
                <w:sz w:val="20"/>
              </w:rPr>
            </w:pPr>
            <w:r w:rsidRPr="00213226">
              <w:rPr>
                <w:rFonts w:ascii="Arial" w:eastAsia="Arial" w:hAnsi="Arial" w:cs="Arial"/>
                <w:color w:val="4F81BD" w:themeColor="accent1"/>
                <w:sz w:val="20"/>
              </w:rPr>
              <w:t>$12,900,000</w:t>
            </w:r>
          </w:p>
        </w:tc>
        <w:tc>
          <w:tcPr>
            <w:tcW w:w="236" w:type="dxa"/>
            <w:tcBorders>
              <w:top w:val="nil"/>
              <w:left w:val="nil"/>
              <w:bottom w:val="nil"/>
              <w:right w:val="nil"/>
            </w:tcBorders>
          </w:tcPr>
          <w:p w14:paraId="6A816E7F" w14:textId="77777777" w:rsidR="00213226" w:rsidRPr="00213226" w:rsidRDefault="00213226" w:rsidP="00C52A02">
            <w:pPr>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0278F833" w14:textId="77A8949B" w:rsidR="00213226" w:rsidRPr="00213226" w:rsidRDefault="00213226" w:rsidP="00C52A02">
            <w:pPr>
              <w:jc w:val="right"/>
              <w:rPr>
                <w:rFonts w:ascii="Arial" w:hAnsi="Arial" w:cs="Arial"/>
                <w:color w:val="4F81BD" w:themeColor="accent1"/>
                <w:sz w:val="20"/>
              </w:rPr>
            </w:pPr>
            <w:r w:rsidRPr="00213226">
              <w:rPr>
                <w:rFonts w:ascii="Arial" w:hAnsi="Arial" w:cs="Arial"/>
                <w:color w:val="4F81BD" w:themeColor="accent1"/>
                <w:sz w:val="20"/>
              </w:rPr>
              <w:t>$2,000,000</w:t>
            </w:r>
          </w:p>
        </w:tc>
      </w:tr>
      <w:tr w:rsidR="00213226" w:rsidRPr="00213226" w14:paraId="40DFA2D8" w14:textId="77777777" w:rsidTr="00213226">
        <w:trPr>
          <w:cantSplit/>
        </w:trPr>
        <w:tc>
          <w:tcPr>
            <w:tcW w:w="540" w:type="dxa"/>
            <w:tcBorders>
              <w:top w:val="nil"/>
              <w:left w:val="nil"/>
              <w:bottom w:val="nil"/>
              <w:right w:val="nil"/>
            </w:tcBorders>
          </w:tcPr>
          <w:p w14:paraId="3DF58F27" w14:textId="77777777" w:rsidR="00213226" w:rsidRPr="00213226" w:rsidRDefault="00213226" w:rsidP="00C52A02">
            <w:pPr>
              <w:rPr>
                <w:rFonts w:ascii="Arial" w:hAnsi="Arial" w:cs="Arial"/>
                <w:color w:val="4F81BD" w:themeColor="accent1"/>
                <w:sz w:val="20"/>
              </w:rPr>
            </w:pPr>
            <w:r w:rsidRPr="00213226">
              <w:rPr>
                <w:rFonts w:ascii="Arial" w:hAnsi="Arial" w:cs="Arial"/>
                <w:color w:val="4F81BD" w:themeColor="accent1"/>
                <w:sz w:val="20"/>
              </w:rPr>
              <w:lastRenderedPageBreak/>
              <w:t>3</w:t>
            </w:r>
          </w:p>
        </w:tc>
        <w:tc>
          <w:tcPr>
            <w:tcW w:w="0" w:type="auto"/>
            <w:tcBorders>
              <w:top w:val="nil"/>
              <w:left w:val="nil"/>
              <w:bottom w:val="nil"/>
              <w:right w:val="nil"/>
            </w:tcBorders>
          </w:tcPr>
          <w:p w14:paraId="108191AE" w14:textId="77777777" w:rsidR="00213226" w:rsidRPr="00213226" w:rsidRDefault="00213226" w:rsidP="00C52A02">
            <w:pPr>
              <w:rPr>
                <w:rFonts w:ascii="Arial" w:hAnsi="Arial" w:cs="Arial"/>
                <w:color w:val="4F81BD" w:themeColor="accent1"/>
                <w:sz w:val="20"/>
              </w:rPr>
            </w:pPr>
          </w:p>
        </w:tc>
        <w:tc>
          <w:tcPr>
            <w:tcW w:w="1848" w:type="dxa"/>
            <w:tcBorders>
              <w:top w:val="nil"/>
              <w:left w:val="nil"/>
              <w:bottom w:val="nil"/>
              <w:right w:val="nil"/>
            </w:tcBorders>
          </w:tcPr>
          <w:p w14:paraId="55BE70C3" w14:textId="04627A30" w:rsidR="00213226" w:rsidRPr="00213226" w:rsidRDefault="00213226" w:rsidP="00C52A02">
            <w:pPr>
              <w:rPr>
                <w:rFonts w:ascii="Arial" w:hAnsi="Arial" w:cs="Arial"/>
                <w:color w:val="4F81BD" w:themeColor="accent1"/>
                <w:sz w:val="20"/>
              </w:rPr>
            </w:pPr>
            <w:r w:rsidRPr="00213226">
              <w:rPr>
                <w:rFonts w:ascii="Arial" w:eastAsia="Arial" w:hAnsi="Arial" w:cs="Arial"/>
                <w:color w:val="4F81BD" w:themeColor="accent1"/>
                <w:sz w:val="20"/>
              </w:rPr>
              <w:t>Multipronged Opioid Strategies</w:t>
            </w:r>
          </w:p>
        </w:tc>
        <w:tc>
          <w:tcPr>
            <w:tcW w:w="270" w:type="dxa"/>
            <w:tcBorders>
              <w:top w:val="nil"/>
              <w:left w:val="nil"/>
              <w:bottom w:val="nil"/>
              <w:right w:val="nil"/>
            </w:tcBorders>
            <w:vAlign w:val="center"/>
          </w:tcPr>
          <w:p w14:paraId="05F8DDA8" w14:textId="77777777" w:rsidR="00213226" w:rsidRPr="00213226" w:rsidRDefault="00213226" w:rsidP="00C52A02">
            <w:pPr>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375C3054" w14:textId="4A586F27" w:rsidR="00213226" w:rsidRPr="00213226" w:rsidRDefault="00522F69" w:rsidP="00C52A02">
            <w:pPr>
              <w:rPr>
                <w:rFonts w:ascii="Arial" w:hAnsi="Arial" w:cs="Arial"/>
                <w:color w:val="4F81BD" w:themeColor="accent1"/>
                <w:sz w:val="20"/>
              </w:rPr>
            </w:pPr>
            <w:r>
              <w:rPr>
                <w:rFonts w:ascii="Arial" w:eastAsia="Arial" w:hAnsi="Arial" w:cs="Arial"/>
                <w:color w:val="4F81BD" w:themeColor="accent1"/>
                <w:sz w:val="20"/>
              </w:rPr>
              <w:t>A</w:t>
            </w:r>
            <w:r w:rsidR="00213226" w:rsidRPr="00213226">
              <w:rPr>
                <w:rFonts w:ascii="Arial" w:eastAsia="Arial" w:hAnsi="Arial" w:cs="Arial"/>
                <w:color w:val="4F81BD" w:themeColor="accent1"/>
                <w:sz w:val="20"/>
              </w:rPr>
              <w:t>ddress significant overdose increase and expand the Jail Buprenorphine program</w:t>
            </w:r>
          </w:p>
        </w:tc>
        <w:tc>
          <w:tcPr>
            <w:tcW w:w="261" w:type="dxa"/>
            <w:tcBorders>
              <w:top w:val="nil"/>
              <w:left w:val="nil"/>
              <w:bottom w:val="nil"/>
              <w:right w:val="nil"/>
            </w:tcBorders>
          </w:tcPr>
          <w:p w14:paraId="66B6C621" w14:textId="77777777" w:rsidR="00213226" w:rsidRPr="00213226" w:rsidRDefault="00213226" w:rsidP="00C52A02">
            <w:pPr>
              <w:jc w:val="right"/>
              <w:rPr>
                <w:rFonts w:ascii="Arial" w:hAnsi="Arial" w:cs="Arial"/>
                <w:color w:val="4F81BD" w:themeColor="accent1"/>
                <w:sz w:val="20"/>
              </w:rPr>
            </w:pPr>
          </w:p>
        </w:tc>
        <w:tc>
          <w:tcPr>
            <w:tcW w:w="1333" w:type="dxa"/>
            <w:tcBorders>
              <w:top w:val="nil"/>
              <w:left w:val="nil"/>
              <w:bottom w:val="nil"/>
              <w:right w:val="nil"/>
            </w:tcBorders>
          </w:tcPr>
          <w:p w14:paraId="0CDBC1FF" w14:textId="3F06ADDA" w:rsidR="00213226" w:rsidRPr="00213226" w:rsidRDefault="00213226" w:rsidP="00C52A02">
            <w:pPr>
              <w:jc w:val="right"/>
              <w:rPr>
                <w:rFonts w:ascii="Arial" w:hAnsi="Arial" w:cs="Arial"/>
                <w:color w:val="4F81BD" w:themeColor="accent1"/>
                <w:sz w:val="20"/>
              </w:rPr>
            </w:pPr>
            <w:r w:rsidRPr="00213226">
              <w:rPr>
                <w:rFonts w:ascii="Arial" w:eastAsia="Arial" w:hAnsi="Arial" w:cs="Arial"/>
                <w:color w:val="4F81BD" w:themeColor="accent1"/>
                <w:sz w:val="20"/>
              </w:rPr>
              <w:t>$6,630,000</w:t>
            </w:r>
          </w:p>
        </w:tc>
        <w:tc>
          <w:tcPr>
            <w:tcW w:w="236" w:type="dxa"/>
            <w:tcBorders>
              <w:top w:val="nil"/>
              <w:left w:val="nil"/>
              <w:bottom w:val="nil"/>
              <w:right w:val="nil"/>
            </w:tcBorders>
          </w:tcPr>
          <w:p w14:paraId="65AE1D97" w14:textId="77777777" w:rsidR="00213226" w:rsidRPr="00213226" w:rsidRDefault="00213226" w:rsidP="00C52A02">
            <w:pPr>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63B20E68" w14:textId="7DD6783F" w:rsidR="00213226" w:rsidRPr="00213226" w:rsidRDefault="00213226" w:rsidP="00C52A02">
            <w:pPr>
              <w:jc w:val="right"/>
              <w:rPr>
                <w:rFonts w:ascii="Arial" w:hAnsi="Arial" w:cs="Arial"/>
                <w:color w:val="4F81BD" w:themeColor="accent1"/>
                <w:sz w:val="20"/>
              </w:rPr>
            </w:pPr>
            <w:r w:rsidRPr="00213226">
              <w:rPr>
                <w:rFonts w:ascii="Arial" w:hAnsi="Arial" w:cs="Arial"/>
                <w:color w:val="4F81BD" w:themeColor="accent1"/>
                <w:sz w:val="20"/>
              </w:rPr>
              <w:t>$1,180,000</w:t>
            </w:r>
          </w:p>
        </w:tc>
      </w:tr>
      <w:tr w:rsidR="00213226" w:rsidRPr="00213226" w14:paraId="5BC89E72" w14:textId="77777777" w:rsidTr="00213226">
        <w:trPr>
          <w:cantSplit/>
        </w:trPr>
        <w:tc>
          <w:tcPr>
            <w:tcW w:w="540" w:type="dxa"/>
            <w:tcBorders>
              <w:top w:val="nil"/>
              <w:left w:val="nil"/>
              <w:bottom w:val="nil"/>
              <w:right w:val="nil"/>
            </w:tcBorders>
          </w:tcPr>
          <w:p w14:paraId="5E7703FF"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4</w:t>
            </w:r>
          </w:p>
        </w:tc>
        <w:tc>
          <w:tcPr>
            <w:tcW w:w="0" w:type="auto"/>
            <w:tcBorders>
              <w:top w:val="nil"/>
              <w:left w:val="nil"/>
              <w:bottom w:val="nil"/>
              <w:right w:val="nil"/>
            </w:tcBorders>
          </w:tcPr>
          <w:p w14:paraId="16E12B13"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573E3EC9" w14:textId="0EB716ED"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Next Day Crisis Appointments</w:t>
            </w:r>
          </w:p>
        </w:tc>
        <w:tc>
          <w:tcPr>
            <w:tcW w:w="270" w:type="dxa"/>
            <w:tcBorders>
              <w:top w:val="nil"/>
              <w:left w:val="nil"/>
              <w:bottom w:val="nil"/>
              <w:right w:val="nil"/>
            </w:tcBorders>
            <w:vAlign w:val="center"/>
          </w:tcPr>
          <w:p w14:paraId="09FB786B"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0F475AB8" w14:textId="3780D4E1"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 xml:space="preserve">To expand Next Day Appointments to include Substance Use Disorder. </w:t>
            </w:r>
          </w:p>
        </w:tc>
        <w:tc>
          <w:tcPr>
            <w:tcW w:w="261" w:type="dxa"/>
            <w:tcBorders>
              <w:top w:val="nil"/>
              <w:left w:val="nil"/>
              <w:bottom w:val="nil"/>
              <w:right w:val="nil"/>
            </w:tcBorders>
          </w:tcPr>
          <w:p w14:paraId="3F700103"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46E3A476" w14:textId="49D02CA5"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$661,000</w:t>
            </w:r>
          </w:p>
        </w:tc>
        <w:tc>
          <w:tcPr>
            <w:tcW w:w="236" w:type="dxa"/>
            <w:tcBorders>
              <w:top w:val="nil"/>
              <w:left w:val="nil"/>
              <w:bottom w:val="nil"/>
              <w:right w:val="nil"/>
            </w:tcBorders>
          </w:tcPr>
          <w:p w14:paraId="26290A93"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0F877CBA" w14:textId="6B7220EA"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$550,000</w:t>
            </w:r>
          </w:p>
        </w:tc>
      </w:tr>
      <w:tr w:rsidR="00213226" w:rsidRPr="00213226" w14:paraId="3A6A22B6" w14:textId="77777777" w:rsidTr="00213226">
        <w:trPr>
          <w:cantSplit/>
        </w:trPr>
        <w:tc>
          <w:tcPr>
            <w:tcW w:w="540" w:type="dxa"/>
            <w:tcBorders>
              <w:top w:val="nil"/>
              <w:left w:val="nil"/>
              <w:bottom w:val="nil"/>
              <w:right w:val="nil"/>
            </w:tcBorders>
          </w:tcPr>
          <w:p w14:paraId="3A736211"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5</w:t>
            </w:r>
          </w:p>
        </w:tc>
        <w:tc>
          <w:tcPr>
            <w:tcW w:w="0" w:type="auto"/>
            <w:tcBorders>
              <w:top w:val="nil"/>
              <w:left w:val="nil"/>
              <w:bottom w:val="nil"/>
              <w:right w:val="nil"/>
            </w:tcBorders>
          </w:tcPr>
          <w:p w14:paraId="7785FA2B"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69DB3536" w14:textId="497B3B4B"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ITA Triage Pilot</w:t>
            </w:r>
          </w:p>
        </w:tc>
        <w:tc>
          <w:tcPr>
            <w:tcW w:w="270" w:type="dxa"/>
            <w:tcBorders>
              <w:top w:val="nil"/>
              <w:left w:val="nil"/>
              <w:bottom w:val="nil"/>
              <w:right w:val="nil"/>
            </w:tcBorders>
            <w:vAlign w:val="center"/>
          </w:tcPr>
          <w:p w14:paraId="1995408C"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0DD9EBDE" w14:textId="3DAD0CF3"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New project added to embed 2 law enforcement officers with Designated Crisis Responders to carry out legal commitment orders</w:t>
            </w:r>
          </w:p>
        </w:tc>
        <w:tc>
          <w:tcPr>
            <w:tcW w:w="261" w:type="dxa"/>
            <w:tcBorders>
              <w:top w:val="nil"/>
              <w:left w:val="nil"/>
              <w:bottom w:val="nil"/>
              <w:right w:val="nil"/>
            </w:tcBorders>
          </w:tcPr>
          <w:p w14:paraId="7C3A4F2E"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63FC8601" w14:textId="3AC5156E"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$323,000</w:t>
            </w:r>
          </w:p>
        </w:tc>
        <w:tc>
          <w:tcPr>
            <w:tcW w:w="236" w:type="dxa"/>
            <w:tcBorders>
              <w:top w:val="nil"/>
              <w:left w:val="nil"/>
              <w:bottom w:val="nil"/>
              <w:right w:val="nil"/>
            </w:tcBorders>
          </w:tcPr>
          <w:p w14:paraId="69ADBC96"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4928B9BB" w14:textId="01B16736"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$400,000</w:t>
            </w:r>
          </w:p>
        </w:tc>
      </w:tr>
      <w:tr w:rsidR="00213226" w:rsidRPr="00213226" w14:paraId="44BD1FA5" w14:textId="77777777" w:rsidTr="00213226">
        <w:trPr>
          <w:cantSplit/>
        </w:trPr>
        <w:tc>
          <w:tcPr>
            <w:tcW w:w="540" w:type="dxa"/>
            <w:tcBorders>
              <w:top w:val="nil"/>
              <w:left w:val="nil"/>
              <w:bottom w:val="nil"/>
              <w:right w:val="nil"/>
            </w:tcBorders>
          </w:tcPr>
          <w:p w14:paraId="14C2698D"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6</w:t>
            </w:r>
          </w:p>
        </w:tc>
        <w:tc>
          <w:tcPr>
            <w:tcW w:w="0" w:type="auto"/>
            <w:tcBorders>
              <w:top w:val="nil"/>
              <w:left w:val="nil"/>
              <w:bottom w:val="nil"/>
              <w:right w:val="nil"/>
            </w:tcBorders>
          </w:tcPr>
          <w:p w14:paraId="0157FA01"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271E992F" w14:textId="39F7AFBB"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Zero Suicide Pilot</w:t>
            </w:r>
          </w:p>
        </w:tc>
        <w:tc>
          <w:tcPr>
            <w:tcW w:w="270" w:type="dxa"/>
            <w:tcBorders>
              <w:top w:val="nil"/>
              <w:left w:val="nil"/>
              <w:bottom w:val="nil"/>
              <w:right w:val="nil"/>
            </w:tcBorders>
            <w:vAlign w:val="center"/>
          </w:tcPr>
          <w:p w14:paraId="5BE768FB"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57B34068" w14:textId="69F083AE" w:rsidR="00213226" w:rsidRPr="00213226" w:rsidRDefault="00522F69" w:rsidP="00213226">
            <w:pPr>
              <w:keepNext/>
              <w:rPr>
                <w:rFonts w:ascii="Arial" w:hAnsi="Arial" w:cs="Arial"/>
                <w:color w:val="4F81BD" w:themeColor="accent1"/>
                <w:sz w:val="20"/>
              </w:rPr>
            </w:pPr>
            <w:r>
              <w:rPr>
                <w:rFonts w:ascii="Arial" w:eastAsia="Arial" w:hAnsi="Arial" w:cs="Arial"/>
                <w:color w:val="4F81BD" w:themeColor="accent1"/>
                <w:sz w:val="20"/>
              </w:rPr>
              <w:t>L</w:t>
            </w:r>
            <w:r w:rsidR="00213226" w:rsidRPr="00213226">
              <w:rPr>
                <w:rFonts w:ascii="Arial" w:eastAsia="Arial" w:hAnsi="Arial" w:cs="Arial"/>
                <w:color w:val="4F81BD" w:themeColor="accent1"/>
                <w:sz w:val="20"/>
              </w:rPr>
              <w:t>aunch the Zero Suicide initiative included in the MIDD 2 Implementation Plan</w:t>
            </w:r>
          </w:p>
        </w:tc>
        <w:tc>
          <w:tcPr>
            <w:tcW w:w="261" w:type="dxa"/>
            <w:tcBorders>
              <w:top w:val="nil"/>
              <w:left w:val="nil"/>
              <w:bottom w:val="nil"/>
              <w:right w:val="nil"/>
            </w:tcBorders>
          </w:tcPr>
          <w:p w14:paraId="12BAC86D"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22A7ADA1" w14:textId="0C3F5FEF"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w:t>
            </w:r>
          </w:p>
        </w:tc>
        <w:tc>
          <w:tcPr>
            <w:tcW w:w="236" w:type="dxa"/>
            <w:tcBorders>
              <w:top w:val="nil"/>
              <w:left w:val="nil"/>
              <w:bottom w:val="nil"/>
              <w:right w:val="nil"/>
            </w:tcBorders>
          </w:tcPr>
          <w:p w14:paraId="15BCBD87"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04BF94D3" w14:textId="7AA58130"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$167,000</w:t>
            </w:r>
          </w:p>
        </w:tc>
      </w:tr>
      <w:tr w:rsidR="00213226" w:rsidRPr="00213226" w14:paraId="374998F8" w14:textId="77777777" w:rsidTr="00213226">
        <w:trPr>
          <w:cantSplit/>
        </w:trPr>
        <w:tc>
          <w:tcPr>
            <w:tcW w:w="540" w:type="dxa"/>
            <w:tcBorders>
              <w:top w:val="nil"/>
              <w:left w:val="nil"/>
              <w:bottom w:val="nil"/>
              <w:right w:val="nil"/>
            </w:tcBorders>
          </w:tcPr>
          <w:p w14:paraId="2673D13D"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7</w:t>
            </w:r>
          </w:p>
        </w:tc>
        <w:tc>
          <w:tcPr>
            <w:tcW w:w="0" w:type="auto"/>
            <w:tcBorders>
              <w:top w:val="nil"/>
              <w:left w:val="nil"/>
              <w:bottom w:val="nil"/>
              <w:right w:val="nil"/>
            </w:tcBorders>
          </w:tcPr>
          <w:p w14:paraId="442ED1E6"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53373BFF" w14:textId="798CB5D3"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Community Behavioral Health Treatment</w:t>
            </w:r>
          </w:p>
        </w:tc>
        <w:tc>
          <w:tcPr>
            <w:tcW w:w="270" w:type="dxa"/>
            <w:tcBorders>
              <w:top w:val="nil"/>
              <w:left w:val="nil"/>
              <w:bottom w:val="nil"/>
              <w:right w:val="nil"/>
            </w:tcBorders>
            <w:vAlign w:val="center"/>
          </w:tcPr>
          <w:p w14:paraId="09057E81"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32D2DEAD" w14:textId="7CF7999D" w:rsidR="00213226" w:rsidRPr="00213226" w:rsidRDefault="00522F69" w:rsidP="00213226">
            <w:pPr>
              <w:keepNext/>
              <w:rPr>
                <w:rFonts w:ascii="Arial" w:hAnsi="Arial" w:cs="Arial"/>
                <w:color w:val="4F81BD" w:themeColor="accent1"/>
                <w:sz w:val="20"/>
              </w:rPr>
            </w:pPr>
            <w:r>
              <w:rPr>
                <w:rFonts w:ascii="Arial" w:eastAsia="Arial" w:hAnsi="Arial" w:cs="Arial"/>
                <w:color w:val="4F81BD" w:themeColor="accent1"/>
                <w:sz w:val="20"/>
              </w:rPr>
              <w:t>P</w:t>
            </w:r>
            <w:r w:rsidR="00213226" w:rsidRPr="00213226">
              <w:rPr>
                <w:rFonts w:ascii="Arial" w:eastAsia="Arial" w:hAnsi="Arial" w:cs="Arial"/>
                <w:color w:val="4F81BD" w:themeColor="accent1"/>
                <w:sz w:val="20"/>
              </w:rPr>
              <w:t>rovide funding for non-Medicaid eligible clients and increase access to services for refugees, immigrants and others who are ineligible for, or not enrolled in Medicaid.</w:t>
            </w:r>
          </w:p>
        </w:tc>
        <w:tc>
          <w:tcPr>
            <w:tcW w:w="261" w:type="dxa"/>
            <w:tcBorders>
              <w:top w:val="nil"/>
              <w:left w:val="nil"/>
              <w:bottom w:val="nil"/>
              <w:right w:val="nil"/>
            </w:tcBorders>
          </w:tcPr>
          <w:p w14:paraId="5EB55515"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6D8DF658" w14:textId="13D44A7E"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$26,100,000</w:t>
            </w:r>
          </w:p>
        </w:tc>
        <w:tc>
          <w:tcPr>
            <w:tcW w:w="236" w:type="dxa"/>
            <w:tcBorders>
              <w:top w:val="nil"/>
              <w:left w:val="nil"/>
              <w:bottom w:val="nil"/>
              <w:right w:val="nil"/>
            </w:tcBorders>
          </w:tcPr>
          <w:p w14:paraId="7A308780"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32CB2B51" w14:textId="7261455C"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$1,500,000</w:t>
            </w:r>
          </w:p>
        </w:tc>
      </w:tr>
      <w:tr w:rsidR="00213226" w:rsidRPr="00213226" w14:paraId="10B5A276" w14:textId="77777777" w:rsidTr="00213226">
        <w:trPr>
          <w:cantSplit/>
        </w:trPr>
        <w:tc>
          <w:tcPr>
            <w:tcW w:w="540" w:type="dxa"/>
            <w:tcBorders>
              <w:top w:val="nil"/>
              <w:left w:val="nil"/>
              <w:bottom w:val="nil"/>
              <w:right w:val="nil"/>
            </w:tcBorders>
          </w:tcPr>
          <w:p w14:paraId="1D7E3411"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8</w:t>
            </w:r>
          </w:p>
        </w:tc>
        <w:tc>
          <w:tcPr>
            <w:tcW w:w="0" w:type="auto"/>
            <w:tcBorders>
              <w:top w:val="nil"/>
              <w:left w:val="nil"/>
              <w:bottom w:val="nil"/>
              <w:right w:val="nil"/>
            </w:tcBorders>
          </w:tcPr>
          <w:p w14:paraId="0DA03F14"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57A0A001" w14:textId="74D2B33C"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 xml:space="preserve">Community Driven Behavioral Health Grants </w:t>
            </w:r>
          </w:p>
        </w:tc>
        <w:tc>
          <w:tcPr>
            <w:tcW w:w="270" w:type="dxa"/>
            <w:tcBorders>
              <w:top w:val="nil"/>
              <w:left w:val="nil"/>
              <w:bottom w:val="nil"/>
              <w:right w:val="nil"/>
            </w:tcBorders>
            <w:vAlign w:val="center"/>
          </w:tcPr>
          <w:p w14:paraId="482739FA"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23E81014" w14:textId="65AE6064"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Increase investment in Community Driven Behavioral Health grants to support communities that have experienced disproportionate impacts from COVID-19.</w:t>
            </w:r>
          </w:p>
        </w:tc>
        <w:tc>
          <w:tcPr>
            <w:tcW w:w="261" w:type="dxa"/>
            <w:tcBorders>
              <w:top w:val="nil"/>
              <w:left w:val="nil"/>
              <w:bottom w:val="nil"/>
              <w:right w:val="nil"/>
            </w:tcBorders>
          </w:tcPr>
          <w:p w14:paraId="18BD8418"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3981425E" w14:textId="0EA39737"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$436,000</w:t>
            </w:r>
          </w:p>
        </w:tc>
        <w:tc>
          <w:tcPr>
            <w:tcW w:w="236" w:type="dxa"/>
            <w:tcBorders>
              <w:top w:val="nil"/>
              <w:left w:val="nil"/>
              <w:bottom w:val="nil"/>
              <w:right w:val="nil"/>
            </w:tcBorders>
          </w:tcPr>
          <w:p w14:paraId="2EDBEC16"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45FCDCF6" w14:textId="2E44E974"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$377,000</w:t>
            </w:r>
          </w:p>
        </w:tc>
      </w:tr>
      <w:tr w:rsidR="00213226" w:rsidRPr="00213226" w14:paraId="2BEB536C" w14:textId="77777777" w:rsidTr="00522F69">
        <w:trPr>
          <w:cantSplit/>
        </w:trPr>
        <w:tc>
          <w:tcPr>
            <w:tcW w:w="540" w:type="dxa"/>
            <w:tcBorders>
              <w:top w:val="nil"/>
              <w:left w:val="nil"/>
              <w:bottom w:val="nil"/>
              <w:right w:val="nil"/>
            </w:tcBorders>
          </w:tcPr>
          <w:p w14:paraId="23263B39"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9</w:t>
            </w:r>
          </w:p>
        </w:tc>
        <w:tc>
          <w:tcPr>
            <w:tcW w:w="0" w:type="auto"/>
            <w:tcBorders>
              <w:top w:val="nil"/>
              <w:left w:val="nil"/>
              <w:bottom w:val="nil"/>
              <w:right w:val="nil"/>
            </w:tcBorders>
          </w:tcPr>
          <w:p w14:paraId="0CBAAF95"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70EEB19B" w14:textId="09D248A5"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Quality Coordinated Outpatient Care</w:t>
            </w:r>
          </w:p>
        </w:tc>
        <w:tc>
          <w:tcPr>
            <w:tcW w:w="270" w:type="dxa"/>
            <w:tcBorders>
              <w:top w:val="nil"/>
              <w:left w:val="nil"/>
              <w:bottom w:val="nil"/>
              <w:right w:val="nil"/>
            </w:tcBorders>
            <w:vAlign w:val="center"/>
          </w:tcPr>
          <w:p w14:paraId="10207648"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4E40C1CB" w14:textId="77777777" w:rsidR="00213226" w:rsidRPr="00213226" w:rsidRDefault="00213226" w:rsidP="00213226">
            <w:pPr>
              <w:rPr>
                <w:rFonts w:ascii="Arial" w:eastAsia="Arial" w:hAnsi="Arial" w:cs="Arial"/>
                <w:color w:val="4F81BD" w:themeColor="accent1"/>
                <w:sz w:val="20"/>
              </w:rPr>
            </w:pPr>
            <w:r w:rsidRPr="00213226">
              <w:rPr>
                <w:rFonts w:ascii="Arial" w:eastAsia="Arial" w:hAnsi="Arial" w:cs="Arial"/>
                <w:color w:val="4F81BD" w:themeColor="accent1"/>
                <w:sz w:val="20"/>
              </w:rPr>
              <w:t xml:space="preserve">Increase initiative to fully support: </w:t>
            </w:r>
          </w:p>
          <w:p w14:paraId="25576C07" w14:textId="77777777" w:rsidR="00213226" w:rsidRPr="00213226" w:rsidRDefault="00213226" w:rsidP="00213226">
            <w:pPr>
              <w:rPr>
                <w:rFonts w:ascii="Arial" w:eastAsia="Arial" w:hAnsi="Arial" w:cs="Arial"/>
                <w:color w:val="4F81BD" w:themeColor="accent1"/>
                <w:sz w:val="20"/>
              </w:rPr>
            </w:pPr>
            <w:r w:rsidRPr="00213226">
              <w:rPr>
                <w:rFonts w:ascii="Arial" w:eastAsia="Arial" w:hAnsi="Arial" w:cs="Arial"/>
                <w:color w:val="4F81BD" w:themeColor="accent1"/>
                <w:sz w:val="20"/>
              </w:rPr>
              <w:t xml:space="preserve">- KCICN Quality Incentive Program </w:t>
            </w:r>
          </w:p>
          <w:p w14:paraId="25D815DF" w14:textId="77777777" w:rsidR="00213226" w:rsidRPr="00213226" w:rsidRDefault="00213226" w:rsidP="00213226">
            <w:pPr>
              <w:rPr>
                <w:rFonts w:ascii="Arial" w:eastAsia="Arial" w:hAnsi="Arial" w:cs="Arial"/>
                <w:color w:val="4F81BD" w:themeColor="accent1"/>
                <w:sz w:val="20"/>
              </w:rPr>
            </w:pPr>
            <w:r w:rsidRPr="00213226">
              <w:rPr>
                <w:rFonts w:ascii="Arial" w:eastAsia="Arial" w:hAnsi="Arial" w:cs="Arial"/>
                <w:color w:val="4F81BD" w:themeColor="accent1"/>
                <w:sz w:val="20"/>
              </w:rPr>
              <w:t>- Outreach and Engagement</w:t>
            </w:r>
          </w:p>
          <w:p w14:paraId="6DCBD0DE" w14:textId="77777777" w:rsidR="00213226" w:rsidRPr="00213226" w:rsidRDefault="00213226" w:rsidP="00213226">
            <w:pPr>
              <w:rPr>
                <w:rFonts w:ascii="Arial" w:eastAsia="Arial" w:hAnsi="Arial" w:cs="Arial"/>
                <w:color w:val="4F81BD" w:themeColor="accent1"/>
                <w:sz w:val="20"/>
              </w:rPr>
            </w:pPr>
            <w:r w:rsidRPr="00213226">
              <w:rPr>
                <w:rFonts w:ascii="Arial" w:eastAsia="Arial" w:hAnsi="Arial" w:cs="Arial"/>
                <w:color w:val="4F81BD" w:themeColor="accent1"/>
                <w:sz w:val="20"/>
              </w:rPr>
              <w:t xml:space="preserve">- Contingency Management </w:t>
            </w:r>
          </w:p>
          <w:p w14:paraId="48665C15" w14:textId="3F18D214"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 PACT Housing &amp; Flex Funds</w:t>
            </w:r>
          </w:p>
        </w:tc>
        <w:tc>
          <w:tcPr>
            <w:tcW w:w="261" w:type="dxa"/>
            <w:tcBorders>
              <w:top w:val="nil"/>
              <w:left w:val="nil"/>
              <w:bottom w:val="nil"/>
              <w:right w:val="nil"/>
            </w:tcBorders>
          </w:tcPr>
          <w:p w14:paraId="19E766C0"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5D5D9469" w14:textId="3C5920C8"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$10,900,000</w:t>
            </w:r>
          </w:p>
        </w:tc>
        <w:tc>
          <w:tcPr>
            <w:tcW w:w="236" w:type="dxa"/>
            <w:tcBorders>
              <w:top w:val="nil"/>
              <w:left w:val="nil"/>
              <w:bottom w:val="nil"/>
              <w:right w:val="nil"/>
            </w:tcBorders>
          </w:tcPr>
          <w:p w14:paraId="6A1376FB"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07C8582C" w14:textId="32EAFC25"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$869,000</w:t>
            </w:r>
          </w:p>
        </w:tc>
      </w:tr>
      <w:tr w:rsidR="00213226" w:rsidRPr="00213226" w14:paraId="4D136064" w14:textId="77777777" w:rsidTr="00522F69">
        <w:trPr>
          <w:cantSplit/>
        </w:trPr>
        <w:tc>
          <w:tcPr>
            <w:tcW w:w="540" w:type="dxa"/>
            <w:tcBorders>
              <w:top w:val="nil"/>
              <w:left w:val="nil"/>
              <w:bottom w:val="nil"/>
              <w:right w:val="nil"/>
            </w:tcBorders>
          </w:tcPr>
          <w:p w14:paraId="7DEC1BFD" w14:textId="77777777" w:rsidR="00213226" w:rsidRPr="00213226" w:rsidRDefault="00213226" w:rsidP="00213226">
            <w:pPr>
              <w:keepNext/>
              <w:rPr>
                <w:rFonts w:ascii="Arial" w:hAnsi="Arial" w:cs="Arial"/>
                <w:color w:val="4F81BD" w:themeColor="accent1"/>
                <w:sz w:val="20"/>
              </w:rPr>
            </w:pPr>
            <w:r w:rsidRPr="00213226">
              <w:rPr>
                <w:rFonts w:ascii="Arial" w:hAnsi="Arial" w:cs="Arial"/>
                <w:color w:val="4F81BD" w:themeColor="accent1"/>
                <w:sz w:val="20"/>
              </w:rPr>
              <w:t>10</w:t>
            </w:r>
          </w:p>
        </w:tc>
        <w:tc>
          <w:tcPr>
            <w:tcW w:w="0" w:type="auto"/>
            <w:tcBorders>
              <w:top w:val="nil"/>
              <w:left w:val="nil"/>
              <w:bottom w:val="nil"/>
              <w:right w:val="nil"/>
            </w:tcBorders>
          </w:tcPr>
          <w:p w14:paraId="65FABD3B" w14:textId="77777777" w:rsidR="00213226" w:rsidRPr="00213226" w:rsidRDefault="00213226" w:rsidP="00213226">
            <w:pPr>
              <w:keepNext/>
              <w:rPr>
                <w:rFonts w:ascii="Arial" w:hAnsi="Arial" w:cs="Arial"/>
                <w:color w:val="4F81BD" w:themeColor="accent1"/>
                <w:sz w:val="20"/>
              </w:rPr>
            </w:pPr>
          </w:p>
        </w:tc>
        <w:tc>
          <w:tcPr>
            <w:tcW w:w="1848" w:type="dxa"/>
            <w:tcBorders>
              <w:top w:val="nil"/>
              <w:left w:val="nil"/>
              <w:bottom w:val="nil"/>
              <w:right w:val="nil"/>
            </w:tcBorders>
          </w:tcPr>
          <w:p w14:paraId="5F3A783E" w14:textId="1F1837AD"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Regional Mental Health and Veterans Court</w:t>
            </w:r>
          </w:p>
        </w:tc>
        <w:tc>
          <w:tcPr>
            <w:tcW w:w="270" w:type="dxa"/>
            <w:tcBorders>
              <w:top w:val="nil"/>
              <w:left w:val="nil"/>
              <w:bottom w:val="nil"/>
              <w:right w:val="nil"/>
            </w:tcBorders>
            <w:vAlign w:val="center"/>
          </w:tcPr>
          <w:p w14:paraId="6123CD5F" w14:textId="77777777" w:rsidR="00213226" w:rsidRPr="00213226" w:rsidRDefault="00213226" w:rsidP="00213226">
            <w:pPr>
              <w:keepNext/>
              <w:jc w:val="right"/>
              <w:rPr>
                <w:rFonts w:ascii="Arial" w:hAnsi="Arial" w:cs="Arial"/>
                <w:color w:val="4F81BD" w:themeColor="accent1"/>
                <w:sz w:val="20"/>
              </w:rPr>
            </w:pPr>
          </w:p>
        </w:tc>
        <w:tc>
          <w:tcPr>
            <w:tcW w:w="3420" w:type="dxa"/>
            <w:tcBorders>
              <w:top w:val="nil"/>
              <w:left w:val="nil"/>
              <w:bottom w:val="nil"/>
              <w:right w:val="nil"/>
            </w:tcBorders>
            <w:tcMar>
              <w:top w:w="72" w:type="dxa"/>
              <w:left w:w="115" w:type="dxa"/>
              <w:bottom w:w="72" w:type="dxa"/>
              <w:right w:w="115" w:type="dxa"/>
            </w:tcMar>
          </w:tcPr>
          <w:p w14:paraId="358A901A" w14:textId="08C18258" w:rsidR="00213226" w:rsidRPr="00213226" w:rsidRDefault="00213226" w:rsidP="00213226">
            <w:pPr>
              <w:keepNext/>
              <w:rPr>
                <w:rFonts w:ascii="Arial" w:hAnsi="Arial" w:cs="Arial"/>
                <w:color w:val="4F81BD" w:themeColor="accent1"/>
                <w:sz w:val="20"/>
              </w:rPr>
            </w:pPr>
            <w:r w:rsidRPr="00213226">
              <w:rPr>
                <w:rFonts w:ascii="Arial" w:eastAsia="Arial" w:hAnsi="Arial" w:cs="Arial"/>
                <w:color w:val="4F81BD" w:themeColor="accent1"/>
                <w:sz w:val="20"/>
              </w:rPr>
              <w:t xml:space="preserve">Court </w:t>
            </w:r>
            <w:r w:rsidRPr="00522F69">
              <w:rPr>
                <w:rFonts w:ascii="Arial" w:eastAsia="Arial" w:hAnsi="Arial" w:cs="Arial"/>
                <w:color w:val="4F81BD" w:themeColor="accent1"/>
                <w:sz w:val="20"/>
              </w:rPr>
              <w:t>Services Expansion to address growing caseload in King County's Regional Mental Health and Veterans Courts, and City of Seattle's Mental Health and Veterans Courts. Half of the cost is proposed to be covered by City of Seattle but is subject to the City’s budget process.</w:t>
            </w:r>
          </w:p>
        </w:tc>
        <w:tc>
          <w:tcPr>
            <w:tcW w:w="261" w:type="dxa"/>
            <w:tcBorders>
              <w:top w:val="nil"/>
              <w:left w:val="nil"/>
              <w:bottom w:val="nil"/>
              <w:right w:val="nil"/>
            </w:tcBorders>
          </w:tcPr>
          <w:p w14:paraId="1FC70014" w14:textId="77777777" w:rsidR="00213226" w:rsidRPr="00213226" w:rsidRDefault="00213226" w:rsidP="00213226">
            <w:pPr>
              <w:keepNext/>
              <w:jc w:val="right"/>
              <w:rPr>
                <w:rFonts w:ascii="Arial" w:hAnsi="Arial" w:cs="Arial"/>
                <w:color w:val="4F81BD" w:themeColor="accent1"/>
                <w:sz w:val="20"/>
              </w:rPr>
            </w:pPr>
          </w:p>
        </w:tc>
        <w:tc>
          <w:tcPr>
            <w:tcW w:w="1333" w:type="dxa"/>
            <w:tcBorders>
              <w:top w:val="nil"/>
              <w:left w:val="nil"/>
              <w:bottom w:val="nil"/>
              <w:right w:val="nil"/>
            </w:tcBorders>
          </w:tcPr>
          <w:p w14:paraId="305AAF72" w14:textId="0A9C5F9A" w:rsidR="00213226" w:rsidRPr="00213226" w:rsidRDefault="00213226" w:rsidP="00213226">
            <w:pPr>
              <w:keepNext/>
              <w:jc w:val="right"/>
              <w:rPr>
                <w:rFonts w:ascii="Arial" w:hAnsi="Arial" w:cs="Arial"/>
                <w:color w:val="4F81BD" w:themeColor="accent1"/>
                <w:sz w:val="20"/>
              </w:rPr>
            </w:pPr>
            <w:r w:rsidRPr="00213226">
              <w:rPr>
                <w:rFonts w:ascii="Arial" w:eastAsia="Arial" w:hAnsi="Arial" w:cs="Arial"/>
                <w:color w:val="4F81BD" w:themeColor="accent1"/>
                <w:sz w:val="20"/>
              </w:rPr>
              <w:t>$8,900,000</w:t>
            </w:r>
          </w:p>
        </w:tc>
        <w:tc>
          <w:tcPr>
            <w:tcW w:w="236" w:type="dxa"/>
            <w:tcBorders>
              <w:top w:val="nil"/>
              <w:left w:val="nil"/>
              <w:bottom w:val="nil"/>
              <w:right w:val="nil"/>
            </w:tcBorders>
          </w:tcPr>
          <w:p w14:paraId="22097A63" w14:textId="77777777" w:rsidR="00213226" w:rsidRPr="00213226" w:rsidRDefault="00213226" w:rsidP="00213226">
            <w:pPr>
              <w:keepNext/>
              <w:jc w:val="right"/>
              <w:rPr>
                <w:rFonts w:ascii="Arial" w:hAnsi="Arial" w:cs="Arial"/>
                <w:color w:val="4F81BD" w:themeColor="accent1"/>
                <w:sz w:val="20"/>
              </w:rPr>
            </w:pPr>
          </w:p>
        </w:tc>
        <w:tc>
          <w:tcPr>
            <w:tcW w:w="1343" w:type="dxa"/>
            <w:tcBorders>
              <w:top w:val="nil"/>
              <w:left w:val="nil"/>
              <w:bottom w:val="nil"/>
              <w:right w:val="single" w:sz="2" w:space="0" w:color="FFFFFF" w:themeColor="background1"/>
            </w:tcBorders>
            <w:tcMar>
              <w:top w:w="72" w:type="dxa"/>
              <w:left w:w="115" w:type="dxa"/>
              <w:bottom w:w="72" w:type="dxa"/>
              <w:right w:w="115" w:type="dxa"/>
            </w:tcMar>
          </w:tcPr>
          <w:p w14:paraId="60A8F6DD" w14:textId="42221025" w:rsidR="00213226" w:rsidRPr="00213226" w:rsidRDefault="00213226" w:rsidP="00213226">
            <w:pPr>
              <w:keepNext/>
              <w:jc w:val="right"/>
              <w:rPr>
                <w:rFonts w:ascii="Arial" w:hAnsi="Arial" w:cs="Arial"/>
                <w:color w:val="4F81BD" w:themeColor="accent1"/>
                <w:sz w:val="20"/>
              </w:rPr>
            </w:pPr>
            <w:r w:rsidRPr="00213226">
              <w:rPr>
                <w:rFonts w:ascii="Arial" w:hAnsi="Arial" w:cs="Arial"/>
                <w:color w:val="4F81BD" w:themeColor="accent1"/>
                <w:sz w:val="20"/>
              </w:rPr>
              <w:t>$139,000</w:t>
            </w:r>
          </w:p>
        </w:tc>
      </w:tr>
      <w:tr w:rsidR="00213226" w:rsidRPr="00213226" w14:paraId="6A8B319D" w14:textId="77777777" w:rsidTr="00522F69">
        <w:trPr>
          <w:cantSplit/>
          <w:trHeight w:val="13"/>
        </w:trPr>
        <w:tc>
          <w:tcPr>
            <w:tcW w:w="540" w:type="dxa"/>
            <w:tcBorders>
              <w:top w:val="nil"/>
              <w:left w:val="nil"/>
              <w:bottom w:val="single" w:sz="12" w:space="0" w:color="auto"/>
              <w:right w:val="nil"/>
            </w:tcBorders>
          </w:tcPr>
          <w:p w14:paraId="493FBC94" w14:textId="77777777" w:rsidR="00317259" w:rsidRPr="00213226" w:rsidRDefault="00317259" w:rsidP="00492827">
            <w:pPr>
              <w:keepNext/>
              <w:jc w:val="right"/>
              <w:rPr>
                <w:rFonts w:ascii="Arial" w:hAnsi="Arial" w:cs="Arial"/>
                <w:b/>
                <w:color w:val="4F81BD" w:themeColor="accent1"/>
                <w:sz w:val="20"/>
              </w:rPr>
            </w:pPr>
          </w:p>
        </w:tc>
        <w:tc>
          <w:tcPr>
            <w:tcW w:w="0" w:type="auto"/>
            <w:tcBorders>
              <w:top w:val="nil"/>
              <w:left w:val="nil"/>
              <w:bottom w:val="single" w:sz="12" w:space="0" w:color="auto"/>
              <w:right w:val="nil"/>
            </w:tcBorders>
          </w:tcPr>
          <w:p w14:paraId="2D324BE3" w14:textId="77777777" w:rsidR="00317259" w:rsidRPr="00213226" w:rsidRDefault="00317259" w:rsidP="00492827">
            <w:pPr>
              <w:keepNext/>
              <w:jc w:val="right"/>
              <w:rPr>
                <w:rFonts w:ascii="Arial" w:hAnsi="Arial" w:cs="Arial"/>
                <w:b/>
                <w:color w:val="4F81BD" w:themeColor="accent1"/>
                <w:sz w:val="20"/>
              </w:rPr>
            </w:pPr>
          </w:p>
        </w:tc>
        <w:tc>
          <w:tcPr>
            <w:tcW w:w="1848" w:type="dxa"/>
            <w:tcBorders>
              <w:top w:val="nil"/>
              <w:left w:val="nil"/>
              <w:bottom w:val="single" w:sz="12" w:space="0" w:color="auto"/>
              <w:right w:val="nil"/>
            </w:tcBorders>
            <w:vAlign w:val="center"/>
          </w:tcPr>
          <w:p w14:paraId="7D96204C" w14:textId="77777777" w:rsidR="00317259" w:rsidRPr="00213226" w:rsidRDefault="00317259" w:rsidP="00492827">
            <w:pPr>
              <w:keepNext/>
              <w:jc w:val="right"/>
              <w:rPr>
                <w:rFonts w:ascii="Arial" w:hAnsi="Arial" w:cs="Arial"/>
                <w:b/>
                <w:color w:val="4F81BD" w:themeColor="accent1"/>
                <w:sz w:val="20"/>
              </w:rPr>
            </w:pPr>
          </w:p>
        </w:tc>
        <w:tc>
          <w:tcPr>
            <w:tcW w:w="270" w:type="dxa"/>
            <w:tcBorders>
              <w:top w:val="nil"/>
              <w:left w:val="nil"/>
              <w:bottom w:val="single" w:sz="12" w:space="0" w:color="auto"/>
              <w:right w:val="nil"/>
            </w:tcBorders>
            <w:vAlign w:val="center"/>
          </w:tcPr>
          <w:p w14:paraId="036205D7" w14:textId="77777777" w:rsidR="00317259" w:rsidRPr="00213226" w:rsidRDefault="00317259" w:rsidP="00492827">
            <w:pPr>
              <w:keepNext/>
              <w:jc w:val="right"/>
              <w:rPr>
                <w:rFonts w:ascii="Arial" w:hAnsi="Arial" w:cs="Arial"/>
                <w:b/>
                <w:color w:val="4F81BD" w:themeColor="accent1"/>
                <w:sz w:val="20"/>
              </w:rPr>
            </w:pPr>
          </w:p>
        </w:tc>
        <w:tc>
          <w:tcPr>
            <w:tcW w:w="3420" w:type="dxa"/>
            <w:tcBorders>
              <w:top w:val="nil"/>
              <w:left w:val="nil"/>
              <w:bottom w:val="single" w:sz="12" w:space="0" w:color="auto"/>
              <w:right w:val="nil"/>
            </w:tcBorders>
            <w:tcMar>
              <w:top w:w="72" w:type="dxa"/>
              <w:left w:w="115" w:type="dxa"/>
              <w:bottom w:w="72" w:type="dxa"/>
              <w:right w:w="115" w:type="dxa"/>
            </w:tcMar>
            <w:vAlign w:val="center"/>
          </w:tcPr>
          <w:p w14:paraId="6286B0E4" w14:textId="44BAFAA7" w:rsidR="00317259" w:rsidRPr="00213226" w:rsidRDefault="00317259" w:rsidP="00492827">
            <w:pPr>
              <w:keepNext/>
              <w:jc w:val="right"/>
              <w:rPr>
                <w:rFonts w:ascii="Arial" w:hAnsi="Arial" w:cs="Arial"/>
                <w:b/>
                <w:color w:val="4F81BD" w:themeColor="accent1"/>
                <w:sz w:val="20"/>
              </w:rPr>
            </w:pPr>
          </w:p>
        </w:tc>
        <w:tc>
          <w:tcPr>
            <w:tcW w:w="261" w:type="dxa"/>
            <w:tcBorders>
              <w:top w:val="nil"/>
              <w:left w:val="single" w:sz="2" w:space="0" w:color="FFFFFF" w:themeColor="background1"/>
              <w:bottom w:val="single" w:sz="12" w:space="0" w:color="auto"/>
              <w:right w:val="single" w:sz="2" w:space="0" w:color="FFFFFF" w:themeColor="background1"/>
            </w:tcBorders>
            <w:vAlign w:val="center"/>
          </w:tcPr>
          <w:p w14:paraId="643D05F9" w14:textId="77777777" w:rsidR="00317259" w:rsidRPr="00213226" w:rsidRDefault="00317259" w:rsidP="00492827">
            <w:pPr>
              <w:keepNext/>
              <w:jc w:val="right"/>
              <w:rPr>
                <w:rFonts w:ascii="Arial" w:hAnsi="Arial" w:cs="Arial"/>
                <w:b/>
                <w:color w:val="4F81BD" w:themeColor="accent1"/>
                <w:sz w:val="20"/>
              </w:rPr>
            </w:pPr>
          </w:p>
        </w:tc>
        <w:tc>
          <w:tcPr>
            <w:tcW w:w="1333" w:type="dxa"/>
            <w:tcBorders>
              <w:top w:val="single" w:sz="4" w:space="0" w:color="auto"/>
              <w:left w:val="single" w:sz="2" w:space="0" w:color="FFFFFF" w:themeColor="background1"/>
              <w:bottom w:val="single" w:sz="12" w:space="0" w:color="auto"/>
              <w:right w:val="single" w:sz="2" w:space="0" w:color="FFFFFF" w:themeColor="background1"/>
            </w:tcBorders>
          </w:tcPr>
          <w:p w14:paraId="141B17EC" w14:textId="1305131D" w:rsidR="00317259" w:rsidRPr="00213226" w:rsidRDefault="00317259" w:rsidP="00492827">
            <w:pPr>
              <w:keepNext/>
              <w:jc w:val="right"/>
              <w:rPr>
                <w:rFonts w:ascii="Arial" w:hAnsi="Arial" w:cs="Arial"/>
                <w:b/>
                <w:color w:val="4F81BD" w:themeColor="accent1"/>
                <w:sz w:val="20"/>
              </w:rPr>
            </w:pPr>
            <w:r w:rsidRPr="00213226">
              <w:rPr>
                <w:rFonts w:ascii="Arial" w:hAnsi="Arial" w:cs="Arial"/>
                <w:b/>
                <w:color w:val="4F81BD" w:themeColor="accent1"/>
                <w:sz w:val="20"/>
              </w:rPr>
              <w:t>$</w:t>
            </w:r>
            <w:r w:rsidR="00522F69">
              <w:rPr>
                <w:rFonts w:ascii="Arial" w:hAnsi="Arial" w:cs="Arial"/>
                <w:b/>
                <w:color w:val="4F81BD" w:themeColor="accent1"/>
                <w:sz w:val="20"/>
              </w:rPr>
              <w:t>75,750,000</w:t>
            </w:r>
          </w:p>
        </w:tc>
        <w:tc>
          <w:tcPr>
            <w:tcW w:w="236" w:type="dxa"/>
            <w:tcBorders>
              <w:top w:val="nil"/>
              <w:left w:val="single" w:sz="2" w:space="0" w:color="FFFFFF" w:themeColor="background1"/>
              <w:bottom w:val="single" w:sz="12" w:space="0" w:color="auto"/>
              <w:right w:val="single" w:sz="2" w:space="0" w:color="FFFFFF" w:themeColor="background1"/>
            </w:tcBorders>
          </w:tcPr>
          <w:p w14:paraId="6E7172E0" w14:textId="77777777" w:rsidR="00317259" w:rsidRPr="00213226" w:rsidRDefault="00317259" w:rsidP="00492827">
            <w:pPr>
              <w:keepNext/>
              <w:jc w:val="right"/>
              <w:rPr>
                <w:rFonts w:ascii="Arial" w:hAnsi="Arial" w:cs="Arial"/>
                <w:b/>
                <w:color w:val="4F81BD" w:themeColor="accent1"/>
                <w:sz w:val="20"/>
              </w:rPr>
            </w:pPr>
          </w:p>
        </w:tc>
        <w:tc>
          <w:tcPr>
            <w:tcW w:w="1343"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150F9C8" w14:textId="2AF14204" w:rsidR="00317259" w:rsidRPr="00213226" w:rsidRDefault="00317259" w:rsidP="00492827">
            <w:pPr>
              <w:keepNext/>
              <w:jc w:val="right"/>
              <w:rPr>
                <w:rFonts w:ascii="Arial" w:hAnsi="Arial" w:cs="Arial"/>
                <w:b/>
                <w:color w:val="4F81BD" w:themeColor="accent1"/>
                <w:sz w:val="20"/>
              </w:rPr>
            </w:pPr>
            <w:r w:rsidRPr="00213226">
              <w:rPr>
                <w:rFonts w:ascii="Arial" w:hAnsi="Arial" w:cs="Arial"/>
                <w:b/>
                <w:color w:val="4F81BD" w:themeColor="accent1"/>
                <w:sz w:val="20"/>
              </w:rPr>
              <w:t>$</w:t>
            </w:r>
            <w:r w:rsidR="00522F69">
              <w:rPr>
                <w:rFonts w:ascii="Arial" w:hAnsi="Arial" w:cs="Arial"/>
                <w:b/>
                <w:color w:val="4F81BD" w:themeColor="accent1"/>
                <w:sz w:val="20"/>
              </w:rPr>
              <w:t>7,292</w:t>
            </w:r>
            <w:r w:rsidRPr="00213226">
              <w:rPr>
                <w:rFonts w:ascii="Arial" w:hAnsi="Arial" w:cs="Arial"/>
                <w:b/>
                <w:color w:val="4F81BD" w:themeColor="accent1"/>
                <w:sz w:val="20"/>
              </w:rPr>
              <w:t>,000</w:t>
            </w:r>
          </w:p>
        </w:tc>
      </w:tr>
    </w:tbl>
    <w:p w14:paraId="38E8364D" w14:textId="310C1673" w:rsidR="00317259" w:rsidRDefault="00317259" w:rsidP="31AA170B">
      <w:pPr>
        <w:spacing w:line="264" w:lineRule="auto"/>
        <w:jc w:val="both"/>
        <w:rPr>
          <w:rFonts w:ascii="Arial" w:hAnsi="Arial" w:cs="Arial"/>
          <w:szCs w:val="24"/>
        </w:rPr>
      </w:pPr>
    </w:p>
    <w:p w14:paraId="37C613D8" w14:textId="77777777" w:rsidR="00317259" w:rsidRDefault="00317259" w:rsidP="31AA170B">
      <w:pPr>
        <w:spacing w:line="264" w:lineRule="auto"/>
        <w:jc w:val="both"/>
        <w:rPr>
          <w:rFonts w:ascii="Arial" w:hAnsi="Arial" w:cs="Arial"/>
          <w:szCs w:val="24"/>
        </w:rPr>
      </w:pPr>
    </w:p>
    <w:p w14:paraId="005A4FD0" w14:textId="06F5229F" w:rsidR="0FF06154" w:rsidRDefault="0FF06154" w:rsidP="26E33923">
      <w:pPr>
        <w:spacing w:line="264" w:lineRule="auto"/>
        <w:jc w:val="both"/>
        <w:rPr>
          <w:rFonts w:ascii="Arial" w:hAnsi="Arial" w:cs="Arial"/>
          <w:color w:val="4F81BD" w:themeColor="accent1"/>
        </w:rPr>
      </w:pPr>
      <w:r w:rsidRPr="26E33923">
        <w:rPr>
          <w:rFonts w:ascii="Arial" w:hAnsi="Arial" w:cs="Arial"/>
          <w:b/>
          <w:bCs/>
          <w:i/>
          <w:iCs/>
        </w:rPr>
        <w:t>Economic Adjustments for MIDD Initiatives [$4,392,000]</w:t>
      </w:r>
      <w:r w:rsidRPr="26E33923">
        <w:rPr>
          <w:rFonts w:ascii="Arial" w:hAnsi="Arial" w:cs="Arial"/>
          <w:b/>
          <w:bCs/>
        </w:rPr>
        <w:t>.</w:t>
      </w:r>
      <w:r w:rsidRPr="26E33923">
        <w:rPr>
          <w:rFonts w:ascii="Arial" w:hAnsi="Arial" w:cs="Arial"/>
          <w:b/>
          <w:bCs/>
          <w:i/>
          <w:iCs/>
        </w:rPr>
        <w:t xml:space="preserve">  </w:t>
      </w:r>
      <w:r w:rsidRPr="26E33923">
        <w:rPr>
          <w:rFonts w:ascii="Arial" w:hAnsi="Arial" w:cs="Arial"/>
        </w:rPr>
        <w:t xml:space="preserve">The proposed ordinance would allocate $4.4 million to the MIDD fund to provide economic adjustments to MIDD initiatives for all MIDD strategies. </w:t>
      </w:r>
      <w:r w:rsidR="06734C44" w:rsidRPr="7E846036">
        <w:rPr>
          <w:rFonts w:ascii="Arial" w:hAnsi="Arial" w:cs="Arial"/>
          <w:color w:val="4F81BD" w:themeColor="accent1"/>
        </w:rPr>
        <w:t xml:space="preserve">In response to Council </w:t>
      </w:r>
      <w:r w:rsidR="00590452">
        <w:rPr>
          <w:rFonts w:ascii="Arial" w:hAnsi="Arial" w:cs="Arial"/>
          <w:color w:val="4F81BD" w:themeColor="accent1"/>
        </w:rPr>
        <w:t>s</w:t>
      </w:r>
      <w:r w:rsidR="06734C44" w:rsidRPr="7E846036">
        <w:rPr>
          <w:rFonts w:ascii="Arial" w:hAnsi="Arial" w:cs="Arial"/>
          <w:color w:val="4F81BD" w:themeColor="accent1"/>
        </w:rPr>
        <w:t xml:space="preserve">taff questions, Executive </w:t>
      </w:r>
      <w:r w:rsidR="00590452">
        <w:rPr>
          <w:rFonts w:ascii="Arial" w:hAnsi="Arial" w:cs="Arial"/>
          <w:color w:val="4F81BD" w:themeColor="accent1"/>
        </w:rPr>
        <w:t>s</w:t>
      </w:r>
      <w:r w:rsidR="06734C44" w:rsidRPr="7E846036">
        <w:rPr>
          <w:rFonts w:ascii="Arial" w:hAnsi="Arial" w:cs="Arial"/>
          <w:color w:val="4F81BD" w:themeColor="accent1"/>
        </w:rPr>
        <w:t xml:space="preserve">taff </w:t>
      </w:r>
      <w:r w:rsidR="06734C44" w:rsidRPr="1F304B3E">
        <w:rPr>
          <w:rFonts w:ascii="Arial" w:hAnsi="Arial" w:cs="Arial"/>
          <w:color w:val="4F81BD" w:themeColor="accent1"/>
        </w:rPr>
        <w:t xml:space="preserve">indicated that </w:t>
      </w:r>
      <w:r w:rsidR="06734C44" w:rsidRPr="4C2E6D8F">
        <w:rPr>
          <w:rFonts w:ascii="Arial" w:hAnsi="Arial" w:cs="Arial"/>
          <w:color w:val="4F81BD" w:themeColor="accent1"/>
        </w:rPr>
        <w:t xml:space="preserve">there are 64 contracted providers that receive MIDD </w:t>
      </w:r>
      <w:r w:rsidR="410BD3B1" w:rsidRPr="4D14B451">
        <w:rPr>
          <w:rFonts w:ascii="Arial" w:hAnsi="Arial" w:cs="Arial"/>
          <w:color w:val="4F81BD" w:themeColor="accent1"/>
        </w:rPr>
        <w:t xml:space="preserve">payments. </w:t>
      </w:r>
      <w:r w:rsidR="00590452">
        <w:rPr>
          <w:rFonts w:ascii="Arial" w:hAnsi="Arial" w:cs="Arial"/>
          <w:color w:val="4F81BD" w:themeColor="accent1"/>
        </w:rPr>
        <w:t xml:space="preserve"> </w:t>
      </w:r>
      <w:r w:rsidR="410BD3B1" w:rsidRPr="44534E84">
        <w:rPr>
          <w:rFonts w:ascii="Arial" w:hAnsi="Arial" w:cs="Arial"/>
          <w:color w:val="4F81BD" w:themeColor="accent1"/>
        </w:rPr>
        <w:t>DCHS indicates that it has not finalized how the economic adjustments will impact each provider</w:t>
      </w:r>
      <w:r w:rsidR="2BB14672" w:rsidRPr="5E2294BA">
        <w:rPr>
          <w:rFonts w:ascii="Arial" w:hAnsi="Arial" w:cs="Arial"/>
          <w:color w:val="4F81BD" w:themeColor="accent1"/>
        </w:rPr>
        <w:t xml:space="preserve"> and while</w:t>
      </w:r>
      <w:r w:rsidR="410BD3B1" w:rsidRPr="5E2294BA">
        <w:rPr>
          <w:rFonts w:ascii="Arial" w:hAnsi="Arial" w:cs="Arial"/>
          <w:color w:val="4F81BD" w:themeColor="accent1"/>
        </w:rPr>
        <w:t xml:space="preserve"> </w:t>
      </w:r>
      <w:r w:rsidR="2BB14672" w:rsidRPr="5E2294BA">
        <w:rPr>
          <w:rFonts w:ascii="Arial" w:hAnsi="Arial" w:cs="Arial"/>
          <w:color w:val="4F81BD" w:themeColor="accent1"/>
        </w:rPr>
        <w:t xml:space="preserve">the County does not </w:t>
      </w:r>
      <w:r w:rsidR="2BB14672" w:rsidRPr="7DA638D0">
        <w:rPr>
          <w:rFonts w:ascii="Arial" w:hAnsi="Arial" w:cs="Arial"/>
          <w:color w:val="4F81BD" w:themeColor="accent1"/>
        </w:rPr>
        <w:t xml:space="preserve">direct providers on how to spend the economic adjustment increase, </w:t>
      </w:r>
      <w:r w:rsidR="2BB14672" w:rsidRPr="5A234DE0">
        <w:rPr>
          <w:rFonts w:ascii="Arial" w:hAnsi="Arial" w:cs="Arial"/>
          <w:color w:val="4F81BD" w:themeColor="accent1"/>
        </w:rPr>
        <w:t xml:space="preserve">they do “ensure it aligns with the language already in their contracts about the scope of work of each initiative.” </w:t>
      </w:r>
      <w:r w:rsidR="00590452">
        <w:rPr>
          <w:rFonts w:ascii="Arial" w:hAnsi="Arial" w:cs="Arial"/>
          <w:color w:val="4F81BD" w:themeColor="accent1"/>
        </w:rPr>
        <w:t xml:space="preserve"> </w:t>
      </w:r>
      <w:r w:rsidR="2BB14672" w:rsidRPr="5A234DE0">
        <w:rPr>
          <w:rFonts w:ascii="Arial" w:hAnsi="Arial" w:cs="Arial"/>
          <w:color w:val="4F81BD" w:themeColor="accent1"/>
        </w:rPr>
        <w:t xml:space="preserve">Additionally, Executive </w:t>
      </w:r>
      <w:r w:rsidR="00590452">
        <w:rPr>
          <w:rFonts w:ascii="Arial" w:hAnsi="Arial" w:cs="Arial"/>
          <w:color w:val="4F81BD" w:themeColor="accent1"/>
        </w:rPr>
        <w:t>s</w:t>
      </w:r>
      <w:r w:rsidR="2BB14672" w:rsidRPr="5A234DE0">
        <w:rPr>
          <w:rFonts w:ascii="Arial" w:hAnsi="Arial" w:cs="Arial"/>
          <w:color w:val="4F81BD" w:themeColor="accent1"/>
        </w:rPr>
        <w:t xml:space="preserve">taff stated </w:t>
      </w:r>
      <w:r w:rsidR="2BB14672" w:rsidRPr="5A234DE0">
        <w:rPr>
          <w:rFonts w:ascii="Arial" w:hAnsi="Arial" w:cs="Arial"/>
          <w:color w:val="4F81BD" w:themeColor="accent1"/>
        </w:rPr>
        <w:lastRenderedPageBreak/>
        <w:t xml:space="preserve">that </w:t>
      </w:r>
      <w:r w:rsidR="59534947" w:rsidRPr="5A234DE0">
        <w:rPr>
          <w:rFonts w:ascii="Arial" w:hAnsi="Arial" w:cs="Arial"/>
          <w:color w:val="4F81BD" w:themeColor="accent1"/>
        </w:rPr>
        <w:t>“</w:t>
      </w:r>
      <w:r w:rsidR="2BB14672" w:rsidRPr="5A234DE0">
        <w:rPr>
          <w:rFonts w:ascii="Arial" w:hAnsi="Arial" w:cs="Arial"/>
          <w:color w:val="4F81BD" w:themeColor="accent1"/>
        </w:rPr>
        <w:t>there may be a few providers with set reimbursement rates or other reasons why an economic adjustment would not be needed.”</w:t>
      </w:r>
    </w:p>
    <w:p w14:paraId="1CB68187" w14:textId="77777777" w:rsidR="000A79D6" w:rsidRPr="00350546" w:rsidRDefault="000A79D6" w:rsidP="000A79D6">
      <w:pPr>
        <w:spacing w:line="264" w:lineRule="auto"/>
        <w:jc w:val="both"/>
        <w:rPr>
          <w:rFonts w:ascii="Arial" w:hAnsi="Arial" w:cs="Arial"/>
          <w:i/>
          <w:iCs/>
          <w:szCs w:val="24"/>
        </w:rPr>
      </w:pPr>
    </w:p>
    <w:p w14:paraId="4AF1DE68" w14:textId="4AF1F60C" w:rsidR="000A79D6" w:rsidRPr="00350546" w:rsidRDefault="05E53324" w:rsidP="6AD21CEF">
      <w:pPr>
        <w:spacing w:line="264" w:lineRule="auto"/>
        <w:jc w:val="both"/>
        <w:rPr>
          <w:rFonts w:ascii="Arial" w:hAnsi="Arial" w:cs="Arial"/>
        </w:rPr>
      </w:pPr>
      <w:r w:rsidRPr="6AD21CEF">
        <w:rPr>
          <w:rFonts w:ascii="Arial" w:hAnsi="Arial" w:cs="Arial"/>
          <w:b/>
          <w:bCs/>
          <w:i/>
          <w:iCs/>
        </w:rPr>
        <w:t>Transfer to Behavioral Health Fund [</w:t>
      </w:r>
      <w:r w:rsidRPr="6AD21CEF">
        <w:rPr>
          <w:rFonts w:ascii="Arial" w:hAnsi="Arial" w:cs="Arial"/>
          <w:b/>
          <w:bCs/>
          <w:i/>
          <w:iCs/>
          <w:color w:val="C00000"/>
        </w:rPr>
        <w:t>-$2,000,000</w:t>
      </w:r>
      <w:r w:rsidRPr="6AD21CEF">
        <w:rPr>
          <w:rFonts w:ascii="Arial" w:hAnsi="Arial" w:cs="Arial"/>
          <w:b/>
          <w:bCs/>
          <w:i/>
          <w:iCs/>
        </w:rPr>
        <w:t>]</w:t>
      </w:r>
      <w:r w:rsidRPr="6AD21CEF">
        <w:rPr>
          <w:rFonts w:ascii="Arial" w:hAnsi="Arial" w:cs="Arial"/>
          <w:b/>
          <w:bCs/>
        </w:rPr>
        <w:t>.</w:t>
      </w:r>
      <w:r w:rsidRPr="6AD21CEF">
        <w:rPr>
          <w:rFonts w:ascii="Arial" w:hAnsi="Arial" w:cs="Arial"/>
          <w:b/>
          <w:bCs/>
          <w:i/>
          <w:iCs/>
        </w:rPr>
        <w:t xml:space="preserve">  </w:t>
      </w:r>
      <w:r w:rsidRPr="6AD21CEF">
        <w:rPr>
          <w:rFonts w:ascii="Arial" w:hAnsi="Arial" w:cs="Arial"/>
        </w:rPr>
        <w:t xml:space="preserve">The proposed ordinance would reverse a $2 million transfer of General Fund to the Behavioral Health Fund and transfer that same amount from the MIDD Fund to the Behavioral Health Fund.  In the 2021-22 Biennial Budget the Executive's proposed budget allocated $15 million from the MIDD Fund to the Behavioral Health Fund to be used to backfill the revenue gap in the Behavioral Health Fund and support programs separate from those outlined in the MIDD Service Implementation Plan.  However, in Council’s adopted budget, this transfer from MIDD to the Behavioral Health Fund was reduced by $2 million and backfilled with the General Fund to support the Behavioral Health Fund to free up MIDD revenues for MIDD funded programs and alleviate the reduction.  This proposed transfer would reverse that decision and return $2 million back to the General Fund. </w:t>
      </w:r>
    </w:p>
    <w:p w14:paraId="7E822E96" w14:textId="33104C2E" w:rsidR="000A79D6" w:rsidRPr="00350546" w:rsidRDefault="000A79D6" w:rsidP="6AD21CEF">
      <w:pPr>
        <w:spacing w:line="264" w:lineRule="auto"/>
        <w:jc w:val="both"/>
        <w:rPr>
          <w:rFonts w:ascii="Arial" w:hAnsi="Arial" w:cs="Arial"/>
        </w:rPr>
      </w:pPr>
    </w:p>
    <w:p w14:paraId="7A1109AB" w14:textId="179AFA6B" w:rsidR="3D31D46E" w:rsidRDefault="0D1EC377" w:rsidP="41AF45A1">
      <w:pPr>
        <w:spacing w:line="264" w:lineRule="auto"/>
        <w:jc w:val="both"/>
        <w:rPr>
          <w:rFonts w:ascii="Arial" w:hAnsi="Arial" w:cs="Arial"/>
          <w:color w:val="4F81BD" w:themeColor="accent1"/>
        </w:rPr>
      </w:pPr>
      <w:r w:rsidRPr="41AF45A1">
        <w:rPr>
          <w:rFonts w:ascii="Arial" w:eastAsia="Arial" w:hAnsi="Arial" w:cs="Arial"/>
          <w:color w:val="4F81BD" w:themeColor="accent1"/>
        </w:rPr>
        <w:t xml:space="preserve">According to the 2021 </w:t>
      </w:r>
      <w:r w:rsidR="4DCDC95C" w:rsidRPr="41AF45A1">
        <w:rPr>
          <w:rFonts w:ascii="Arial" w:eastAsia="Arial" w:hAnsi="Arial" w:cs="Arial"/>
          <w:color w:val="4F81BD" w:themeColor="accent1"/>
        </w:rPr>
        <w:t>2</w:t>
      </w:r>
      <w:r w:rsidR="4DCDC95C" w:rsidRPr="41AF45A1">
        <w:rPr>
          <w:rFonts w:ascii="Arial" w:eastAsia="Arial" w:hAnsi="Arial" w:cs="Arial"/>
          <w:color w:val="4F81BD" w:themeColor="accent1"/>
          <w:vertAlign w:val="superscript"/>
        </w:rPr>
        <w:t>nd</w:t>
      </w:r>
      <w:r w:rsidR="4DCDC95C" w:rsidRPr="41AF45A1">
        <w:rPr>
          <w:rFonts w:ascii="Arial" w:eastAsia="Arial" w:hAnsi="Arial" w:cs="Arial"/>
          <w:color w:val="4F81BD" w:themeColor="accent1"/>
        </w:rPr>
        <w:t xml:space="preserve"> Quarter</w:t>
      </w:r>
      <w:r w:rsidRPr="41AF45A1">
        <w:rPr>
          <w:rFonts w:ascii="Arial" w:eastAsia="Arial" w:hAnsi="Arial" w:cs="Arial"/>
          <w:color w:val="4F81BD" w:themeColor="accent1"/>
        </w:rPr>
        <w:t xml:space="preserve"> Financial Monitoring</w:t>
      </w:r>
      <w:r w:rsidR="3FDDB181" w:rsidRPr="41AF45A1">
        <w:rPr>
          <w:rFonts w:ascii="Arial" w:eastAsia="Arial" w:hAnsi="Arial" w:cs="Arial"/>
          <w:color w:val="4F81BD" w:themeColor="accent1"/>
        </w:rPr>
        <w:t>,</w:t>
      </w:r>
      <w:r w:rsidRPr="41AF45A1">
        <w:rPr>
          <w:rFonts w:ascii="Arial" w:eastAsia="Arial" w:hAnsi="Arial" w:cs="Arial"/>
          <w:color w:val="4F81BD" w:themeColor="accent1"/>
        </w:rPr>
        <w:t xml:space="preserve"> the Behavioral Health Fund continues to be considered "at risk" although the health of the fund has improved due to increases in the number of Medicaid eligible individuals in King County, and </w:t>
      </w:r>
      <w:r w:rsidR="00460F33">
        <w:rPr>
          <w:rFonts w:ascii="Arial" w:eastAsia="Arial" w:hAnsi="Arial" w:cs="Arial"/>
          <w:color w:val="4F81BD" w:themeColor="accent1"/>
        </w:rPr>
        <w:t xml:space="preserve">support from </w:t>
      </w:r>
      <w:r w:rsidRPr="41AF45A1">
        <w:rPr>
          <w:rFonts w:ascii="Arial" w:eastAsia="Arial" w:hAnsi="Arial" w:cs="Arial"/>
          <w:color w:val="4F81BD" w:themeColor="accent1"/>
        </w:rPr>
        <w:t xml:space="preserve">both the MIDD and Health Through Housing funds. </w:t>
      </w:r>
    </w:p>
    <w:p w14:paraId="0A05DADD" w14:textId="4D451D2C" w:rsidR="3D31D46E" w:rsidRDefault="3D31D46E" w:rsidP="41AF45A1">
      <w:pPr>
        <w:spacing w:line="264" w:lineRule="auto"/>
        <w:jc w:val="both"/>
        <w:rPr>
          <w:rFonts w:ascii="Arial" w:eastAsia="Arial" w:hAnsi="Arial" w:cs="Arial"/>
          <w:color w:val="4F81BD" w:themeColor="accent1"/>
        </w:rPr>
      </w:pPr>
    </w:p>
    <w:p w14:paraId="5B26B9C2" w14:textId="6F5B99C8" w:rsidR="3D31D46E" w:rsidRDefault="3A998A46" w:rsidP="3D31D46E">
      <w:pPr>
        <w:spacing w:line="264" w:lineRule="auto"/>
        <w:jc w:val="both"/>
        <w:rPr>
          <w:rFonts w:ascii="Arial" w:eastAsia="Arial" w:hAnsi="Arial" w:cs="Arial"/>
        </w:rPr>
      </w:pPr>
      <w:r w:rsidRPr="540224F8">
        <w:rPr>
          <w:rFonts w:ascii="Arial" w:eastAsia="Arial" w:hAnsi="Arial" w:cs="Arial"/>
          <w:color w:val="4F81BD" w:themeColor="accent1"/>
        </w:rPr>
        <w:t xml:space="preserve">According to the MIDD Fund Financial Plan transmitted with the proposed supplemental budget, there is a projected reserve shortfall </w:t>
      </w:r>
      <w:r w:rsidR="15DDCEEE" w:rsidRPr="4FDE7BF8">
        <w:rPr>
          <w:rFonts w:ascii="Arial" w:eastAsia="Arial" w:hAnsi="Arial" w:cs="Arial"/>
          <w:color w:val="4F81BD" w:themeColor="accent1"/>
        </w:rPr>
        <w:t xml:space="preserve">of approximately $2.88 million </w:t>
      </w:r>
      <w:r w:rsidRPr="540224F8">
        <w:rPr>
          <w:rFonts w:ascii="Arial" w:eastAsia="Arial" w:hAnsi="Arial" w:cs="Arial"/>
          <w:color w:val="4F81BD" w:themeColor="accent1"/>
        </w:rPr>
        <w:t xml:space="preserve">in the 2023-2024 biennium. </w:t>
      </w:r>
      <w:r w:rsidR="00F8790C">
        <w:rPr>
          <w:rFonts w:ascii="Arial" w:eastAsia="Arial" w:hAnsi="Arial" w:cs="Arial"/>
          <w:color w:val="4F81BD" w:themeColor="accent1"/>
        </w:rPr>
        <w:t xml:space="preserve"> </w:t>
      </w:r>
      <w:r w:rsidRPr="540224F8">
        <w:rPr>
          <w:rFonts w:ascii="Arial" w:eastAsia="Arial" w:hAnsi="Arial" w:cs="Arial"/>
          <w:color w:val="4F81BD" w:themeColor="accent1"/>
        </w:rPr>
        <w:t>A comparison of the</w:t>
      </w:r>
      <w:r w:rsidR="163D19A0" w:rsidRPr="540224F8">
        <w:rPr>
          <w:rFonts w:ascii="Arial" w:eastAsia="Arial" w:hAnsi="Arial" w:cs="Arial"/>
          <w:color w:val="4F81BD" w:themeColor="accent1"/>
        </w:rPr>
        <w:t xml:space="preserve"> estimated and projected</w:t>
      </w:r>
      <w:r w:rsidRPr="540224F8">
        <w:rPr>
          <w:rFonts w:ascii="Arial" w:eastAsia="Arial" w:hAnsi="Arial" w:cs="Arial"/>
          <w:color w:val="4F81BD" w:themeColor="accent1"/>
        </w:rPr>
        <w:t xml:space="preserve"> ending undesignated fund balanc</w:t>
      </w:r>
      <w:r w:rsidR="4C1CED58" w:rsidRPr="540224F8">
        <w:rPr>
          <w:rFonts w:ascii="Arial" w:eastAsia="Arial" w:hAnsi="Arial" w:cs="Arial"/>
          <w:color w:val="4F81BD" w:themeColor="accent1"/>
        </w:rPr>
        <w:t xml:space="preserve">es </w:t>
      </w:r>
      <w:r w:rsidR="4042392A" w:rsidRPr="540224F8">
        <w:rPr>
          <w:rFonts w:ascii="Arial" w:eastAsia="Arial" w:hAnsi="Arial" w:cs="Arial"/>
          <w:color w:val="4F81BD" w:themeColor="accent1"/>
        </w:rPr>
        <w:t>for both the Behavioral Healt</w:t>
      </w:r>
      <w:r w:rsidR="4042392A" w:rsidRPr="14985F9A">
        <w:rPr>
          <w:rFonts w:ascii="Arial" w:eastAsia="Arial" w:hAnsi="Arial" w:cs="Arial"/>
          <w:color w:val="4472C4"/>
        </w:rPr>
        <w:t xml:space="preserve">h and MIDD Funds can be seen in the table below. </w:t>
      </w:r>
      <w:r w:rsidR="00F8790C">
        <w:rPr>
          <w:rFonts w:ascii="Arial" w:eastAsia="Arial" w:hAnsi="Arial" w:cs="Arial"/>
          <w:color w:val="4472C4"/>
        </w:rPr>
        <w:t xml:space="preserve"> </w:t>
      </w:r>
      <w:r w:rsidRPr="14985F9A">
        <w:rPr>
          <w:rFonts w:ascii="Arial" w:eastAsia="Arial" w:hAnsi="Arial" w:cs="Arial"/>
          <w:color w:val="4472C4"/>
        </w:rPr>
        <w:t>According</w:t>
      </w:r>
      <w:r w:rsidRPr="16362934">
        <w:rPr>
          <w:rFonts w:ascii="Arial" w:eastAsia="Arial" w:hAnsi="Arial" w:cs="Arial"/>
          <w:color w:val="4472C4"/>
        </w:rPr>
        <w:t xml:space="preserve"> to the MIDD Financial Plan, </w:t>
      </w:r>
      <w:r w:rsidRPr="78199EAF">
        <w:rPr>
          <w:rFonts w:ascii="Arial" w:eastAsia="Arial" w:hAnsi="Arial" w:cs="Arial"/>
          <w:color w:val="4472C4"/>
        </w:rPr>
        <w:t>the</w:t>
      </w:r>
      <w:r w:rsidRPr="337B0E30">
        <w:rPr>
          <w:rFonts w:ascii="Arial" w:eastAsia="Arial" w:hAnsi="Arial" w:cs="Arial"/>
          <w:color w:val="4472C4"/>
        </w:rPr>
        <w:t xml:space="preserve"> Executive intends to transfer </w:t>
      </w:r>
      <w:r w:rsidR="2E19ADC9" w:rsidRPr="0F00B9B7">
        <w:rPr>
          <w:rFonts w:ascii="Arial" w:eastAsia="Arial" w:hAnsi="Arial" w:cs="Arial"/>
          <w:color w:val="4472C4"/>
        </w:rPr>
        <w:t xml:space="preserve">an additional </w:t>
      </w:r>
      <w:r w:rsidRPr="337B0E30">
        <w:rPr>
          <w:rFonts w:ascii="Arial" w:eastAsia="Arial" w:hAnsi="Arial" w:cs="Arial"/>
          <w:color w:val="4472C4"/>
        </w:rPr>
        <w:t xml:space="preserve">$20 million from the MIDD Fund to the Behavioral Health Fund in 2023-2024 and $20 million in the 2025-2026 biennium. </w:t>
      </w:r>
      <w:r w:rsidR="00C908D4">
        <w:rPr>
          <w:rFonts w:ascii="Arial" w:eastAsia="Arial" w:hAnsi="Arial" w:cs="Arial"/>
          <w:color w:val="4472C4"/>
        </w:rPr>
        <w:t xml:space="preserve"> </w:t>
      </w:r>
      <w:r w:rsidR="26340DEB" w:rsidRPr="6A9AC7F3">
        <w:rPr>
          <w:rFonts w:ascii="Arial" w:eastAsia="Arial" w:hAnsi="Arial" w:cs="Arial"/>
          <w:color w:val="4472C4"/>
        </w:rPr>
        <w:t>T</w:t>
      </w:r>
      <w:r w:rsidR="04D5FB74" w:rsidRPr="6A9AC7F3">
        <w:rPr>
          <w:rFonts w:ascii="Arial" w:eastAsia="Arial" w:hAnsi="Arial" w:cs="Arial"/>
          <w:color w:val="4472C4"/>
        </w:rPr>
        <w:t>he</w:t>
      </w:r>
      <w:r w:rsidRPr="337B0E30">
        <w:rPr>
          <w:rFonts w:ascii="Arial" w:eastAsia="Arial" w:hAnsi="Arial" w:cs="Arial"/>
          <w:color w:val="4472C4"/>
        </w:rPr>
        <w:t xml:space="preserve"> transfer of money from the MIDD Fund to the Behavioral Health Fund </w:t>
      </w:r>
      <w:r w:rsidR="009C0DF3">
        <w:rPr>
          <w:rFonts w:ascii="Arial" w:eastAsia="Arial" w:hAnsi="Arial" w:cs="Arial"/>
          <w:color w:val="4472C4"/>
        </w:rPr>
        <w:t>would be</w:t>
      </w:r>
      <w:r w:rsidRPr="337B0E30">
        <w:rPr>
          <w:rFonts w:ascii="Arial" w:eastAsia="Arial" w:hAnsi="Arial" w:cs="Arial"/>
          <w:color w:val="4472C4"/>
        </w:rPr>
        <w:t xml:space="preserve"> a policy choice</w:t>
      </w:r>
      <w:r w:rsidR="009C0DF3">
        <w:rPr>
          <w:rFonts w:ascii="Arial" w:eastAsia="Arial" w:hAnsi="Arial" w:cs="Arial"/>
          <w:color w:val="4472C4"/>
        </w:rPr>
        <w:t xml:space="preserve"> for the council</w:t>
      </w:r>
      <w:r w:rsidRPr="337B0E30">
        <w:rPr>
          <w:rFonts w:ascii="Arial" w:eastAsia="Arial" w:hAnsi="Arial" w:cs="Arial"/>
          <w:color w:val="4472C4"/>
        </w:rPr>
        <w:t>.</w:t>
      </w:r>
    </w:p>
    <w:p w14:paraId="5BEA4307" w14:textId="59258F28" w:rsidR="2ECE18B1" w:rsidRDefault="2ECE18B1" w:rsidP="2ECE18B1">
      <w:pPr>
        <w:spacing w:line="264" w:lineRule="auto"/>
        <w:jc w:val="both"/>
        <w:rPr>
          <w:rFonts w:ascii="Arial" w:eastAsia="Arial" w:hAnsi="Arial" w:cs="Arial"/>
          <w:color w:val="4F81BD" w:themeColor="accent1"/>
          <w:szCs w:val="24"/>
        </w:rPr>
      </w:pPr>
    </w:p>
    <w:tbl>
      <w:tblPr>
        <w:tblStyle w:val="TableGrid"/>
        <w:tblW w:w="0" w:type="auto"/>
        <w:jc w:val="center"/>
        <w:tblLayout w:type="fixed"/>
        <w:tblLook w:val="04A0" w:firstRow="1" w:lastRow="0" w:firstColumn="1" w:lastColumn="0" w:noHBand="0" w:noVBand="1"/>
      </w:tblPr>
      <w:tblGrid>
        <w:gridCol w:w="1965"/>
        <w:gridCol w:w="285"/>
        <w:gridCol w:w="1875"/>
        <w:gridCol w:w="255"/>
        <w:gridCol w:w="2055"/>
        <w:gridCol w:w="255"/>
        <w:gridCol w:w="1875"/>
      </w:tblGrid>
      <w:tr w:rsidR="2ECE18B1" w14:paraId="3B7F40BF" w14:textId="77777777" w:rsidTr="00733974">
        <w:trPr>
          <w:trHeight w:val="1110"/>
          <w:jc w:val="center"/>
        </w:trPr>
        <w:tc>
          <w:tcPr>
            <w:tcW w:w="1965" w:type="dxa"/>
            <w:tcBorders>
              <w:top w:val="single" w:sz="12" w:space="0" w:color="auto"/>
              <w:left w:val="nil"/>
              <w:bottom w:val="single" w:sz="8" w:space="0" w:color="auto"/>
              <w:right w:val="nil"/>
            </w:tcBorders>
            <w:vAlign w:val="bottom"/>
          </w:tcPr>
          <w:p w14:paraId="55DD3334" w14:textId="0DAAFE69" w:rsidR="2ECE18B1" w:rsidRDefault="2ECE18B1" w:rsidP="2ECE18B1">
            <w:pPr>
              <w:spacing w:line="264" w:lineRule="auto"/>
            </w:pPr>
            <w:r w:rsidRPr="2ECE18B1">
              <w:rPr>
                <w:rFonts w:ascii="Arial" w:eastAsia="Arial" w:hAnsi="Arial" w:cs="Arial"/>
                <w:b/>
                <w:bCs/>
                <w:color w:val="4472C4"/>
                <w:sz w:val="22"/>
                <w:szCs w:val="22"/>
              </w:rPr>
              <w:t>Fund</w:t>
            </w:r>
          </w:p>
        </w:tc>
        <w:tc>
          <w:tcPr>
            <w:tcW w:w="285" w:type="dxa"/>
            <w:tcBorders>
              <w:top w:val="single" w:sz="12" w:space="0" w:color="auto"/>
              <w:left w:val="nil"/>
              <w:bottom w:val="nil"/>
              <w:right w:val="nil"/>
            </w:tcBorders>
          </w:tcPr>
          <w:p w14:paraId="53126E03" w14:textId="7BA6648F" w:rsidR="2ECE18B1" w:rsidRDefault="2ECE18B1" w:rsidP="2ECE18B1">
            <w:pPr>
              <w:spacing w:line="264" w:lineRule="auto"/>
              <w:jc w:val="both"/>
            </w:pPr>
            <w:r w:rsidRPr="2ECE18B1">
              <w:rPr>
                <w:rFonts w:ascii="Arial" w:eastAsia="Arial" w:hAnsi="Arial" w:cs="Arial"/>
                <w:b/>
                <w:bCs/>
                <w:color w:val="4472C4"/>
                <w:sz w:val="22"/>
                <w:szCs w:val="22"/>
              </w:rPr>
              <w:t xml:space="preserve"> </w:t>
            </w:r>
          </w:p>
        </w:tc>
        <w:tc>
          <w:tcPr>
            <w:tcW w:w="1875" w:type="dxa"/>
            <w:tcBorders>
              <w:top w:val="single" w:sz="12" w:space="0" w:color="auto"/>
              <w:left w:val="nil"/>
              <w:bottom w:val="single" w:sz="8" w:space="0" w:color="auto"/>
              <w:right w:val="nil"/>
            </w:tcBorders>
            <w:vAlign w:val="bottom"/>
          </w:tcPr>
          <w:p w14:paraId="3A8CEA6C" w14:textId="3113A501" w:rsidR="2ECE18B1" w:rsidRDefault="2ECE18B1" w:rsidP="2ECE18B1">
            <w:pPr>
              <w:spacing w:line="264" w:lineRule="auto"/>
              <w:jc w:val="center"/>
            </w:pPr>
            <w:r w:rsidRPr="2ECE18B1">
              <w:rPr>
                <w:rFonts w:ascii="Arial" w:eastAsia="Arial" w:hAnsi="Arial" w:cs="Arial"/>
                <w:b/>
                <w:bCs/>
                <w:color w:val="4472C4"/>
                <w:sz w:val="22"/>
                <w:szCs w:val="22"/>
              </w:rPr>
              <w:t>2021-2022 Estimated</w:t>
            </w:r>
          </w:p>
          <w:p w14:paraId="384BECEE" w14:textId="5608B777" w:rsidR="2ECE18B1" w:rsidRDefault="2ECE18B1" w:rsidP="2ECE18B1">
            <w:pPr>
              <w:spacing w:line="264" w:lineRule="auto"/>
              <w:jc w:val="center"/>
            </w:pPr>
            <w:r w:rsidRPr="2ECE18B1">
              <w:rPr>
                <w:rFonts w:ascii="Arial" w:eastAsia="Arial" w:hAnsi="Arial" w:cs="Arial"/>
                <w:b/>
                <w:bCs/>
                <w:color w:val="4472C4"/>
                <w:sz w:val="22"/>
                <w:szCs w:val="22"/>
              </w:rPr>
              <w:t>Ending Undesignated Fund Balance</w:t>
            </w:r>
          </w:p>
        </w:tc>
        <w:tc>
          <w:tcPr>
            <w:tcW w:w="255" w:type="dxa"/>
            <w:tcBorders>
              <w:top w:val="single" w:sz="12" w:space="0" w:color="auto"/>
              <w:left w:val="nil"/>
              <w:bottom w:val="nil"/>
              <w:right w:val="nil"/>
            </w:tcBorders>
          </w:tcPr>
          <w:p w14:paraId="48428AE7" w14:textId="363F498F" w:rsidR="2ECE18B1" w:rsidRDefault="2ECE18B1" w:rsidP="2ECE18B1">
            <w:pPr>
              <w:spacing w:line="264" w:lineRule="auto"/>
              <w:jc w:val="center"/>
            </w:pPr>
            <w:r w:rsidRPr="2ECE18B1">
              <w:rPr>
                <w:rFonts w:ascii="Arial" w:eastAsia="Arial" w:hAnsi="Arial" w:cs="Arial"/>
                <w:b/>
                <w:bCs/>
                <w:color w:val="4472C4"/>
                <w:sz w:val="22"/>
                <w:szCs w:val="22"/>
              </w:rPr>
              <w:t xml:space="preserve"> </w:t>
            </w:r>
          </w:p>
        </w:tc>
        <w:tc>
          <w:tcPr>
            <w:tcW w:w="2055" w:type="dxa"/>
            <w:tcBorders>
              <w:top w:val="single" w:sz="12" w:space="0" w:color="auto"/>
              <w:left w:val="nil"/>
              <w:bottom w:val="single" w:sz="8" w:space="0" w:color="auto"/>
              <w:right w:val="nil"/>
            </w:tcBorders>
            <w:vAlign w:val="bottom"/>
          </w:tcPr>
          <w:p w14:paraId="06145159" w14:textId="2DA65FAA" w:rsidR="2ECE18B1" w:rsidRDefault="2ECE18B1" w:rsidP="2ECE18B1">
            <w:pPr>
              <w:spacing w:line="264" w:lineRule="auto"/>
              <w:jc w:val="center"/>
            </w:pPr>
            <w:r w:rsidRPr="2ECE18B1">
              <w:rPr>
                <w:rFonts w:ascii="Arial" w:eastAsia="Arial" w:hAnsi="Arial" w:cs="Arial"/>
                <w:b/>
                <w:bCs/>
                <w:color w:val="4472C4"/>
                <w:sz w:val="22"/>
                <w:szCs w:val="22"/>
              </w:rPr>
              <w:t>2023-2024 Projected</w:t>
            </w:r>
          </w:p>
          <w:p w14:paraId="79B44B72" w14:textId="316987B3" w:rsidR="2ECE18B1" w:rsidRDefault="2ECE18B1" w:rsidP="2ECE18B1">
            <w:pPr>
              <w:spacing w:line="264" w:lineRule="auto"/>
              <w:jc w:val="center"/>
            </w:pPr>
            <w:r w:rsidRPr="2ECE18B1">
              <w:rPr>
                <w:rFonts w:ascii="Arial" w:eastAsia="Arial" w:hAnsi="Arial" w:cs="Arial"/>
                <w:b/>
                <w:bCs/>
                <w:color w:val="4472C4"/>
                <w:sz w:val="22"/>
                <w:szCs w:val="22"/>
              </w:rPr>
              <w:t>Ending Undesignated Fund Balance</w:t>
            </w:r>
          </w:p>
        </w:tc>
        <w:tc>
          <w:tcPr>
            <w:tcW w:w="255" w:type="dxa"/>
            <w:tcBorders>
              <w:top w:val="single" w:sz="12" w:space="0" w:color="auto"/>
              <w:left w:val="nil"/>
              <w:bottom w:val="nil"/>
              <w:right w:val="nil"/>
            </w:tcBorders>
            <w:vAlign w:val="bottom"/>
          </w:tcPr>
          <w:p w14:paraId="0DCE995E" w14:textId="61432AA7" w:rsidR="2ECE18B1" w:rsidRDefault="2ECE18B1" w:rsidP="2ECE18B1">
            <w:pPr>
              <w:spacing w:line="264" w:lineRule="auto"/>
              <w:jc w:val="center"/>
            </w:pPr>
            <w:r w:rsidRPr="2ECE18B1">
              <w:rPr>
                <w:rFonts w:ascii="Arial" w:eastAsia="Arial" w:hAnsi="Arial" w:cs="Arial"/>
                <w:b/>
                <w:bCs/>
                <w:color w:val="4472C4"/>
                <w:sz w:val="22"/>
                <w:szCs w:val="22"/>
              </w:rPr>
              <w:t xml:space="preserve"> </w:t>
            </w:r>
          </w:p>
        </w:tc>
        <w:tc>
          <w:tcPr>
            <w:tcW w:w="1875" w:type="dxa"/>
            <w:tcBorders>
              <w:top w:val="single" w:sz="12" w:space="0" w:color="auto"/>
              <w:left w:val="nil"/>
              <w:bottom w:val="single" w:sz="8" w:space="0" w:color="auto"/>
              <w:right w:val="nil"/>
            </w:tcBorders>
            <w:vAlign w:val="bottom"/>
          </w:tcPr>
          <w:p w14:paraId="60984EED" w14:textId="448C8E6D" w:rsidR="2ECE18B1" w:rsidRDefault="2ECE18B1" w:rsidP="2ECE18B1">
            <w:pPr>
              <w:spacing w:line="264" w:lineRule="auto"/>
              <w:jc w:val="center"/>
            </w:pPr>
            <w:r w:rsidRPr="2ECE18B1">
              <w:rPr>
                <w:rFonts w:ascii="Arial" w:eastAsia="Arial" w:hAnsi="Arial" w:cs="Arial"/>
                <w:b/>
                <w:bCs/>
                <w:color w:val="4472C4"/>
                <w:sz w:val="22"/>
                <w:szCs w:val="22"/>
              </w:rPr>
              <w:t>2025-2026 Projected</w:t>
            </w:r>
          </w:p>
          <w:p w14:paraId="52AD793A" w14:textId="7F3D8C68" w:rsidR="2ECE18B1" w:rsidRDefault="2ECE18B1" w:rsidP="2ECE18B1">
            <w:pPr>
              <w:spacing w:line="264" w:lineRule="auto"/>
              <w:jc w:val="center"/>
            </w:pPr>
            <w:r w:rsidRPr="2ECE18B1">
              <w:rPr>
                <w:rFonts w:ascii="Arial" w:eastAsia="Arial" w:hAnsi="Arial" w:cs="Arial"/>
                <w:b/>
                <w:bCs/>
                <w:color w:val="4472C4"/>
                <w:sz w:val="22"/>
                <w:szCs w:val="22"/>
              </w:rPr>
              <w:t>Ending Undesignated Fund Balance</w:t>
            </w:r>
          </w:p>
        </w:tc>
      </w:tr>
      <w:tr w:rsidR="2ECE18B1" w14:paraId="24E79092" w14:textId="77777777" w:rsidTr="00733974">
        <w:trPr>
          <w:trHeight w:val="360"/>
          <w:jc w:val="center"/>
        </w:trPr>
        <w:tc>
          <w:tcPr>
            <w:tcW w:w="1965" w:type="dxa"/>
            <w:tcBorders>
              <w:top w:val="single" w:sz="8" w:space="0" w:color="auto"/>
              <w:left w:val="nil"/>
              <w:bottom w:val="nil"/>
              <w:right w:val="nil"/>
            </w:tcBorders>
          </w:tcPr>
          <w:p w14:paraId="3E195391" w14:textId="27E7E5A7" w:rsidR="2ECE18B1" w:rsidRDefault="2ECE18B1" w:rsidP="2ECE18B1">
            <w:pPr>
              <w:spacing w:line="264" w:lineRule="auto"/>
            </w:pPr>
            <w:r w:rsidRPr="2ECE18B1">
              <w:rPr>
                <w:rFonts w:ascii="Arial" w:eastAsia="Arial" w:hAnsi="Arial" w:cs="Arial"/>
                <w:color w:val="4472C4"/>
                <w:sz w:val="22"/>
                <w:szCs w:val="22"/>
              </w:rPr>
              <w:t xml:space="preserve">Behavioral Health </w:t>
            </w:r>
          </w:p>
        </w:tc>
        <w:tc>
          <w:tcPr>
            <w:tcW w:w="285" w:type="dxa"/>
            <w:tcBorders>
              <w:top w:val="nil"/>
              <w:left w:val="nil"/>
              <w:bottom w:val="nil"/>
              <w:right w:val="nil"/>
            </w:tcBorders>
          </w:tcPr>
          <w:p w14:paraId="3EB98186" w14:textId="08A7D84E" w:rsidR="2ECE18B1" w:rsidRDefault="2ECE18B1" w:rsidP="2ECE18B1">
            <w:pPr>
              <w:spacing w:line="264" w:lineRule="auto"/>
            </w:pPr>
            <w:r w:rsidRPr="2ECE18B1">
              <w:rPr>
                <w:rFonts w:ascii="Arial" w:eastAsia="Arial" w:hAnsi="Arial" w:cs="Arial"/>
                <w:color w:val="4472C4"/>
                <w:sz w:val="22"/>
                <w:szCs w:val="22"/>
              </w:rPr>
              <w:t xml:space="preserve"> </w:t>
            </w:r>
          </w:p>
        </w:tc>
        <w:tc>
          <w:tcPr>
            <w:tcW w:w="1875" w:type="dxa"/>
            <w:tcBorders>
              <w:top w:val="single" w:sz="8" w:space="0" w:color="auto"/>
              <w:left w:val="nil"/>
              <w:bottom w:val="nil"/>
              <w:right w:val="nil"/>
            </w:tcBorders>
          </w:tcPr>
          <w:p w14:paraId="7043EAE1" w14:textId="5C63C59A" w:rsidR="2ECE18B1" w:rsidRDefault="2ECE18B1" w:rsidP="2ECE18B1">
            <w:pPr>
              <w:spacing w:line="264" w:lineRule="auto"/>
              <w:jc w:val="right"/>
            </w:pPr>
            <w:r w:rsidRPr="2ECE18B1">
              <w:rPr>
                <w:rFonts w:ascii="Arial" w:eastAsia="Arial" w:hAnsi="Arial" w:cs="Arial"/>
                <w:color w:val="4472C4"/>
                <w:sz w:val="22"/>
                <w:szCs w:val="22"/>
              </w:rPr>
              <w:t>$23.86 mil</w:t>
            </w:r>
          </w:p>
        </w:tc>
        <w:tc>
          <w:tcPr>
            <w:tcW w:w="255" w:type="dxa"/>
            <w:tcBorders>
              <w:top w:val="nil"/>
              <w:left w:val="nil"/>
              <w:bottom w:val="nil"/>
              <w:right w:val="nil"/>
            </w:tcBorders>
          </w:tcPr>
          <w:p w14:paraId="175765B3" w14:textId="0E2C951E" w:rsidR="2ECE18B1" w:rsidRDefault="2ECE18B1" w:rsidP="2ECE18B1">
            <w:pPr>
              <w:spacing w:line="264" w:lineRule="auto"/>
              <w:jc w:val="right"/>
            </w:pPr>
            <w:r w:rsidRPr="2ECE18B1">
              <w:rPr>
                <w:rFonts w:ascii="Arial" w:eastAsia="Arial" w:hAnsi="Arial" w:cs="Arial"/>
                <w:color w:val="4472C4"/>
                <w:sz w:val="22"/>
                <w:szCs w:val="22"/>
              </w:rPr>
              <w:t xml:space="preserve"> </w:t>
            </w:r>
          </w:p>
        </w:tc>
        <w:tc>
          <w:tcPr>
            <w:tcW w:w="2055" w:type="dxa"/>
            <w:tcBorders>
              <w:top w:val="single" w:sz="8" w:space="0" w:color="auto"/>
              <w:left w:val="nil"/>
              <w:bottom w:val="nil"/>
              <w:right w:val="nil"/>
            </w:tcBorders>
          </w:tcPr>
          <w:p w14:paraId="3E2615E0" w14:textId="6DB45310" w:rsidR="2ECE18B1" w:rsidRDefault="2ECE18B1" w:rsidP="2ECE18B1">
            <w:pPr>
              <w:spacing w:line="264" w:lineRule="auto"/>
              <w:jc w:val="right"/>
            </w:pPr>
            <w:r w:rsidRPr="2ECE18B1">
              <w:rPr>
                <w:rFonts w:ascii="Arial" w:eastAsia="Arial" w:hAnsi="Arial" w:cs="Arial"/>
                <w:color w:val="4472C4"/>
                <w:sz w:val="22"/>
                <w:szCs w:val="22"/>
              </w:rPr>
              <w:t>$57.73 mil</w:t>
            </w:r>
          </w:p>
        </w:tc>
        <w:tc>
          <w:tcPr>
            <w:tcW w:w="255" w:type="dxa"/>
            <w:tcBorders>
              <w:top w:val="nil"/>
              <w:left w:val="nil"/>
              <w:bottom w:val="nil"/>
              <w:right w:val="nil"/>
            </w:tcBorders>
          </w:tcPr>
          <w:p w14:paraId="6DFC9A8F" w14:textId="36EEE40F" w:rsidR="2ECE18B1" w:rsidRDefault="2ECE18B1" w:rsidP="2ECE18B1">
            <w:pPr>
              <w:spacing w:line="264" w:lineRule="auto"/>
              <w:jc w:val="right"/>
            </w:pPr>
            <w:r w:rsidRPr="2ECE18B1">
              <w:rPr>
                <w:rFonts w:ascii="Arial" w:eastAsia="Arial" w:hAnsi="Arial" w:cs="Arial"/>
                <w:color w:val="4472C4"/>
                <w:sz w:val="22"/>
                <w:szCs w:val="22"/>
              </w:rPr>
              <w:t xml:space="preserve"> </w:t>
            </w:r>
          </w:p>
        </w:tc>
        <w:tc>
          <w:tcPr>
            <w:tcW w:w="1875" w:type="dxa"/>
            <w:tcBorders>
              <w:top w:val="single" w:sz="8" w:space="0" w:color="auto"/>
              <w:left w:val="nil"/>
              <w:bottom w:val="nil"/>
              <w:right w:val="nil"/>
            </w:tcBorders>
          </w:tcPr>
          <w:p w14:paraId="0FE410B4" w14:textId="3881C638" w:rsidR="2ECE18B1" w:rsidRDefault="2ECE18B1" w:rsidP="2ECE18B1">
            <w:pPr>
              <w:spacing w:line="264" w:lineRule="auto"/>
              <w:jc w:val="right"/>
            </w:pPr>
            <w:r w:rsidRPr="2ECE18B1">
              <w:rPr>
                <w:rFonts w:ascii="Arial" w:eastAsia="Arial" w:hAnsi="Arial" w:cs="Arial"/>
                <w:color w:val="4472C4"/>
                <w:sz w:val="22"/>
                <w:szCs w:val="22"/>
              </w:rPr>
              <w:t>$68.37 mil</w:t>
            </w:r>
          </w:p>
        </w:tc>
      </w:tr>
      <w:tr w:rsidR="2ECE18B1" w14:paraId="12DAEF1B" w14:textId="77777777" w:rsidTr="00733974">
        <w:trPr>
          <w:trHeight w:val="360"/>
          <w:jc w:val="center"/>
        </w:trPr>
        <w:tc>
          <w:tcPr>
            <w:tcW w:w="1965" w:type="dxa"/>
            <w:tcBorders>
              <w:top w:val="nil"/>
              <w:left w:val="nil"/>
              <w:bottom w:val="nil"/>
              <w:right w:val="nil"/>
            </w:tcBorders>
          </w:tcPr>
          <w:p w14:paraId="41F9B367" w14:textId="5CABD9DB" w:rsidR="2ECE18B1" w:rsidRDefault="2ECE18B1" w:rsidP="2ECE18B1">
            <w:pPr>
              <w:spacing w:line="264" w:lineRule="auto"/>
            </w:pPr>
            <w:r w:rsidRPr="2ECE18B1">
              <w:rPr>
                <w:rFonts w:ascii="Arial" w:eastAsia="Arial" w:hAnsi="Arial" w:cs="Arial"/>
                <w:color w:val="4472C4"/>
                <w:sz w:val="22"/>
                <w:szCs w:val="22"/>
              </w:rPr>
              <w:t>MIDD</w:t>
            </w:r>
          </w:p>
        </w:tc>
        <w:tc>
          <w:tcPr>
            <w:tcW w:w="285" w:type="dxa"/>
            <w:tcBorders>
              <w:top w:val="nil"/>
              <w:left w:val="nil"/>
              <w:bottom w:val="nil"/>
              <w:right w:val="nil"/>
            </w:tcBorders>
          </w:tcPr>
          <w:p w14:paraId="34E21FA0" w14:textId="773664FF" w:rsidR="2ECE18B1" w:rsidRDefault="2ECE18B1" w:rsidP="2ECE18B1">
            <w:pPr>
              <w:spacing w:line="264" w:lineRule="auto"/>
            </w:pPr>
            <w:r w:rsidRPr="2ECE18B1">
              <w:rPr>
                <w:rFonts w:ascii="Arial" w:eastAsia="Arial" w:hAnsi="Arial" w:cs="Arial"/>
                <w:color w:val="4472C4"/>
                <w:sz w:val="22"/>
                <w:szCs w:val="22"/>
              </w:rPr>
              <w:t xml:space="preserve"> </w:t>
            </w:r>
          </w:p>
        </w:tc>
        <w:tc>
          <w:tcPr>
            <w:tcW w:w="1875" w:type="dxa"/>
            <w:tcBorders>
              <w:top w:val="nil"/>
              <w:left w:val="nil"/>
              <w:bottom w:val="nil"/>
              <w:right w:val="nil"/>
            </w:tcBorders>
          </w:tcPr>
          <w:p w14:paraId="6E9D0359" w14:textId="5EE43DC8" w:rsidR="2ECE18B1" w:rsidRDefault="2ECE18B1" w:rsidP="2ECE18B1">
            <w:pPr>
              <w:spacing w:line="264" w:lineRule="auto"/>
              <w:jc w:val="right"/>
            </w:pPr>
            <w:r w:rsidRPr="2ECE18B1">
              <w:rPr>
                <w:rFonts w:ascii="Arial" w:eastAsia="Arial" w:hAnsi="Arial" w:cs="Arial"/>
                <w:color w:val="4472C4"/>
                <w:sz w:val="22"/>
                <w:szCs w:val="22"/>
              </w:rPr>
              <w:t>$0</w:t>
            </w:r>
          </w:p>
        </w:tc>
        <w:tc>
          <w:tcPr>
            <w:tcW w:w="255" w:type="dxa"/>
            <w:tcBorders>
              <w:top w:val="nil"/>
              <w:left w:val="nil"/>
              <w:bottom w:val="nil"/>
              <w:right w:val="nil"/>
            </w:tcBorders>
          </w:tcPr>
          <w:p w14:paraId="3AD6FB3E" w14:textId="2119FB3C" w:rsidR="2ECE18B1" w:rsidRDefault="2ECE18B1" w:rsidP="2ECE18B1">
            <w:pPr>
              <w:spacing w:line="264" w:lineRule="auto"/>
              <w:jc w:val="right"/>
            </w:pPr>
            <w:r w:rsidRPr="2ECE18B1">
              <w:rPr>
                <w:rFonts w:ascii="Arial" w:eastAsia="Arial" w:hAnsi="Arial" w:cs="Arial"/>
                <w:color w:val="4472C4"/>
                <w:sz w:val="22"/>
                <w:szCs w:val="22"/>
              </w:rPr>
              <w:t xml:space="preserve"> </w:t>
            </w:r>
          </w:p>
        </w:tc>
        <w:tc>
          <w:tcPr>
            <w:tcW w:w="2055" w:type="dxa"/>
            <w:tcBorders>
              <w:top w:val="nil"/>
              <w:left w:val="nil"/>
              <w:bottom w:val="nil"/>
              <w:right w:val="nil"/>
            </w:tcBorders>
          </w:tcPr>
          <w:p w14:paraId="24947A56" w14:textId="0C8E5526" w:rsidR="2ECE18B1" w:rsidRDefault="2ECE18B1" w:rsidP="2ECE18B1">
            <w:pPr>
              <w:spacing w:line="264" w:lineRule="auto"/>
              <w:jc w:val="right"/>
            </w:pPr>
            <w:r w:rsidRPr="2ECE18B1">
              <w:rPr>
                <w:rFonts w:ascii="Arial" w:eastAsia="Arial" w:hAnsi="Arial" w:cs="Arial"/>
                <w:color w:val="4472C4"/>
                <w:sz w:val="22"/>
                <w:szCs w:val="22"/>
              </w:rPr>
              <w:t>($2.88 mil)</w:t>
            </w:r>
            <w:r w:rsidRPr="2ECE18B1">
              <w:rPr>
                <w:rFonts w:ascii="Arial" w:eastAsia="Arial" w:hAnsi="Arial" w:cs="Arial"/>
                <w:color w:val="4472C4"/>
                <w:sz w:val="22"/>
                <w:szCs w:val="22"/>
                <w:vertAlign w:val="superscript"/>
              </w:rPr>
              <w:t xml:space="preserve"> </w:t>
            </w:r>
          </w:p>
        </w:tc>
        <w:tc>
          <w:tcPr>
            <w:tcW w:w="255" w:type="dxa"/>
            <w:tcBorders>
              <w:top w:val="nil"/>
              <w:left w:val="nil"/>
              <w:bottom w:val="nil"/>
              <w:right w:val="nil"/>
            </w:tcBorders>
          </w:tcPr>
          <w:p w14:paraId="7E206A74" w14:textId="11D08FCD" w:rsidR="2ECE18B1" w:rsidRDefault="2ECE18B1" w:rsidP="2ECE18B1">
            <w:pPr>
              <w:spacing w:line="264" w:lineRule="auto"/>
              <w:jc w:val="right"/>
            </w:pPr>
            <w:r w:rsidRPr="2ECE18B1">
              <w:rPr>
                <w:rFonts w:ascii="Arial" w:eastAsia="Arial" w:hAnsi="Arial" w:cs="Arial"/>
                <w:color w:val="4472C4"/>
                <w:sz w:val="22"/>
                <w:szCs w:val="22"/>
              </w:rPr>
              <w:t xml:space="preserve"> </w:t>
            </w:r>
          </w:p>
        </w:tc>
        <w:tc>
          <w:tcPr>
            <w:tcW w:w="1875" w:type="dxa"/>
            <w:tcBorders>
              <w:top w:val="nil"/>
              <w:left w:val="nil"/>
              <w:bottom w:val="nil"/>
              <w:right w:val="nil"/>
            </w:tcBorders>
          </w:tcPr>
          <w:p w14:paraId="6098122F" w14:textId="7A6D67E9" w:rsidR="2ECE18B1" w:rsidRDefault="2ECE18B1" w:rsidP="2ECE18B1">
            <w:pPr>
              <w:spacing w:line="264" w:lineRule="auto"/>
              <w:jc w:val="right"/>
            </w:pPr>
            <w:r w:rsidRPr="2ECE18B1">
              <w:rPr>
                <w:rFonts w:ascii="Arial" w:eastAsia="Arial" w:hAnsi="Arial" w:cs="Arial"/>
                <w:color w:val="4472C4"/>
                <w:sz w:val="22"/>
                <w:szCs w:val="22"/>
              </w:rPr>
              <w:t>$4.15 mil</w:t>
            </w:r>
          </w:p>
        </w:tc>
      </w:tr>
      <w:tr w:rsidR="2ECE18B1" w14:paraId="2046352D" w14:textId="77777777" w:rsidTr="00733974">
        <w:trPr>
          <w:trHeight w:val="30"/>
          <w:jc w:val="center"/>
        </w:trPr>
        <w:tc>
          <w:tcPr>
            <w:tcW w:w="1965" w:type="dxa"/>
            <w:tcBorders>
              <w:top w:val="single" w:sz="8" w:space="0" w:color="auto"/>
              <w:left w:val="nil"/>
              <w:bottom w:val="single" w:sz="12" w:space="0" w:color="auto"/>
              <w:right w:val="nil"/>
            </w:tcBorders>
          </w:tcPr>
          <w:p w14:paraId="0FCE7844" w14:textId="4CB4C3A3"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285" w:type="dxa"/>
            <w:tcBorders>
              <w:top w:val="nil"/>
              <w:left w:val="nil"/>
              <w:bottom w:val="single" w:sz="12" w:space="0" w:color="auto"/>
              <w:right w:val="nil"/>
            </w:tcBorders>
          </w:tcPr>
          <w:p w14:paraId="4C0278F7" w14:textId="55C8D4F1"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1875" w:type="dxa"/>
            <w:tcBorders>
              <w:top w:val="single" w:sz="8" w:space="0" w:color="auto"/>
              <w:left w:val="nil"/>
              <w:bottom w:val="single" w:sz="12" w:space="0" w:color="auto"/>
              <w:right w:val="nil"/>
            </w:tcBorders>
          </w:tcPr>
          <w:p w14:paraId="0A159977" w14:textId="6015450C"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255" w:type="dxa"/>
            <w:tcBorders>
              <w:top w:val="nil"/>
              <w:left w:val="nil"/>
              <w:bottom w:val="single" w:sz="12" w:space="0" w:color="auto"/>
              <w:right w:val="nil"/>
            </w:tcBorders>
          </w:tcPr>
          <w:p w14:paraId="6871A12D" w14:textId="7FAC73C7"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2055" w:type="dxa"/>
            <w:tcBorders>
              <w:top w:val="single" w:sz="8" w:space="0" w:color="auto"/>
              <w:left w:val="nil"/>
              <w:bottom w:val="single" w:sz="12" w:space="0" w:color="auto"/>
              <w:right w:val="nil"/>
            </w:tcBorders>
          </w:tcPr>
          <w:p w14:paraId="20BA71EF" w14:textId="26E4D9C2"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255" w:type="dxa"/>
            <w:tcBorders>
              <w:top w:val="nil"/>
              <w:left w:val="nil"/>
              <w:bottom w:val="single" w:sz="12" w:space="0" w:color="auto"/>
              <w:right w:val="nil"/>
            </w:tcBorders>
          </w:tcPr>
          <w:p w14:paraId="0A82813A" w14:textId="667C7B3D"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c>
          <w:tcPr>
            <w:tcW w:w="1875" w:type="dxa"/>
            <w:tcBorders>
              <w:top w:val="single" w:sz="8" w:space="0" w:color="auto"/>
              <w:left w:val="nil"/>
              <w:bottom w:val="single" w:sz="12" w:space="0" w:color="auto"/>
              <w:right w:val="nil"/>
            </w:tcBorders>
          </w:tcPr>
          <w:p w14:paraId="121F3493" w14:textId="3CFA7458" w:rsidR="2ECE18B1" w:rsidRDefault="2ECE18B1" w:rsidP="2ECE18B1">
            <w:pPr>
              <w:spacing w:line="264" w:lineRule="auto"/>
              <w:jc w:val="right"/>
            </w:pPr>
            <w:r w:rsidRPr="2ECE18B1">
              <w:rPr>
                <w:rFonts w:ascii="Arial" w:eastAsia="Arial" w:hAnsi="Arial" w:cs="Arial"/>
                <w:b/>
                <w:bCs/>
                <w:color w:val="4472C4"/>
                <w:sz w:val="22"/>
                <w:szCs w:val="22"/>
              </w:rPr>
              <w:t xml:space="preserve"> </w:t>
            </w:r>
          </w:p>
        </w:tc>
      </w:tr>
    </w:tbl>
    <w:p w14:paraId="4DD9A30A" w14:textId="07A56B95" w:rsidR="299DF6DF" w:rsidRDefault="299DF6DF" w:rsidP="2ECE18B1">
      <w:pPr>
        <w:jc w:val="both"/>
      </w:pPr>
      <w:r>
        <w:t xml:space="preserve"> </w:t>
      </w:r>
    </w:p>
    <w:p w14:paraId="44AC9CF7" w14:textId="4822B87B" w:rsidR="2A6D8AB6" w:rsidRDefault="2A6D8AB6" w:rsidP="2A6D8AB6">
      <w:pPr>
        <w:jc w:val="both"/>
        <w:rPr>
          <w:rFonts w:ascii="Arial" w:eastAsia="Arial" w:hAnsi="Arial" w:cs="Arial"/>
          <w:color w:val="4472C4"/>
          <w:szCs w:val="24"/>
        </w:rPr>
      </w:pPr>
    </w:p>
    <w:p w14:paraId="770C1308" w14:textId="25431DA2" w:rsidR="00C77D78" w:rsidRDefault="00C77D78" w:rsidP="2A6D8AB6">
      <w:pPr>
        <w:jc w:val="both"/>
        <w:rPr>
          <w:rFonts w:ascii="Arial" w:eastAsia="Arial" w:hAnsi="Arial" w:cs="Arial"/>
          <w:color w:val="4472C4"/>
          <w:szCs w:val="24"/>
        </w:rPr>
      </w:pPr>
    </w:p>
    <w:p w14:paraId="1AD48FEB" w14:textId="67A1E975" w:rsidR="00C77D78" w:rsidRDefault="00C77D78" w:rsidP="2A6D8AB6">
      <w:pPr>
        <w:jc w:val="both"/>
        <w:rPr>
          <w:rFonts w:ascii="Arial" w:eastAsia="Arial" w:hAnsi="Arial" w:cs="Arial"/>
          <w:color w:val="4472C4"/>
          <w:szCs w:val="24"/>
        </w:rPr>
      </w:pPr>
    </w:p>
    <w:p w14:paraId="49862B75" w14:textId="3B3E0E4E" w:rsidR="00C77D78" w:rsidRDefault="00C77D78" w:rsidP="2A6D8AB6">
      <w:pPr>
        <w:jc w:val="both"/>
        <w:rPr>
          <w:rFonts w:ascii="Arial" w:eastAsia="Arial" w:hAnsi="Arial" w:cs="Arial"/>
          <w:color w:val="4472C4"/>
          <w:szCs w:val="24"/>
        </w:rPr>
      </w:pPr>
    </w:p>
    <w:p w14:paraId="56B7A844" w14:textId="5EBF220D" w:rsidR="00C77D78" w:rsidRDefault="00C77D78" w:rsidP="2A6D8AB6">
      <w:pPr>
        <w:jc w:val="both"/>
        <w:rPr>
          <w:rFonts w:ascii="Arial" w:eastAsia="Arial" w:hAnsi="Arial" w:cs="Arial"/>
          <w:color w:val="4472C4"/>
          <w:szCs w:val="24"/>
        </w:rPr>
      </w:pPr>
    </w:p>
    <w:p w14:paraId="658A3565" w14:textId="022F5A62" w:rsidR="00C77D78" w:rsidRDefault="00C77D78" w:rsidP="2A6D8AB6">
      <w:pPr>
        <w:jc w:val="both"/>
        <w:rPr>
          <w:rFonts w:ascii="Arial" w:eastAsia="Arial" w:hAnsi="Arial" w:cs="Arial"/>
          <w:color w:val="4472C4"/>
          <w:szCs w:val="24"/>
        </w:rPr>
      </w:pPr>
    </w:p>
    <w:p w14:paraId="6DAB0A49" w14:textId="77777777" w:rsidR="00C77D78" w:rsidRDefault="00C77D78" w:rsidP="2A6D8AB6">
      <w:pPr>
        <w:jc w:val="both"/>
        <w:rPr>
          <w:rFonts w:ascii="Arial" w:eastAsia="Arial" w:hAnsi="Arial" w:cs="Arial"/>
          <w:color w:val="4472C4"/>
          <w:szCs w:val="24"/>
        </w:rPr>
      </w:pPr>
    </w:p>
    <w:p w14:paraId="444337F5" w14:textId="77777777" w:rsidR="00F1355F" w:rsidRPr="000E7446" w:rsidRDefault="00F1355F" w:rsidP="00F1355F">
      <w:pPr>
        <w:tabs>
          <w:tab w:val="left" w:pos="720"/>
          <w:tab w:val="right" w:pos="9360"/>
        </w:tabs>
        <w:spacing w:line="264" w:lineRule="auto"/>
        <w:contextualSpacing/>
        <w:jc w:val="both"/>
        <w:rPr>
          <w:rFonts w:ascii="Arial" w:hAnsi="Arial" w:cs="Arial"/>
          <w:b/>
          <w:u w:val="single"/>
        </w:rPr>
      </w:pPr>
      <w:r w:rsidRPr="0006413D">
        <w:rPr>
          <w:rFonts w:ascii="Arial" w:hAnsi="Arial" w:cs="Arial"/>
          <w:b/>
          <w:u w:val="single"/>
        </w:rPr>
        <w:lastRenderedPageBreak/>
        <w:t>Veterans, Seniors and Human Services Levy</w:t>
      </w:r>
      <w:r w:rsidRPr="000E7446">
        <w:rPr>
          <w:rFonts w:ascii="Arial" w:hAnsi="Arial" w:cs="Arial"/>
          <w:b/>
          <w:u w:val="single"/>
        </w:rPr>
        <w:tab/>
        <w:t>$</w:t>
      </w:r>
      <w:r>
        <w:rPr>
          <w:rFonts w:ascii="Arial" w:hAnsi="Arial" w:cs="Arial"/>
          <w:b/>
          <w:u w:val="single"/>
        </w:rPr>
        <w:t>1 Million</w:t>
      </w:r>
    </w:p>
    <w:p w14:paraId="61C6985B" w14:textId="77777777" w:rsidR="00F1355F" w:rsidRPr="006D3FF8" w:rsidRDefault="00F1355F" w:rsidP="00F1355F">
      <w:pPr>
        <w:spacing w:line="264" w:lineRule="auto"/>
        <w:contextualSpacing/>
        <w:jc w:val="both"/>
        <w:rPr>
          <w:rFonts w:ascii="Arial" w:hAnsi="Arial" w:cs="Arial"/>
          <w:iCs/>
        </w:rPr>
      </w:pPr>
    </w:p>
    <w:p w14:paraId="1ACFB98C" w14:textId="77777777" w:rsidR="00F1355F" w:rsidRDefault="00F1355F" w:rsidP="00F1355F">
      <w:pPr>
        <w:spacing w:line="264" w:lineRule="auto"/>
        <w:contextualSpacing/>
        <w:jc w:val="both"/>
        <w:rPr>
          <w:rFonts w:ascii="Arial" w:hAnsi="Arial" w:cs="Arial"/>
          <w:b/>
          <w:iCs/>
        </w:rPr>
      </w:pPr>
      <w:r w:rsidRPr="0006413D">
        <w:rPr>
          <w:rFonts w:ascii="Arial" w:hAnsi="Arial" w:cs="Arial"/>
          <w:b/>
          <w:iCs/>
        </w:rPr>
        <w:t>TECHNICAL</w:t>
      </w:r>
    </w:p>
    <w:p w14:paraId="2E0DE536" w14:textId="77777777" w:rsidR="00F1355F" w:rsidRDefault="00F1355F" w:rsidP="00F1355F">
      <w:pPr>
        <w:spacing w:line="264" w:lineRule="auto"/>
        <w:contextualSpacing/>
        <w:jc w:val="both"/>
        <w:rPr>
          <w:rFonts w:ascii="Arial" w:hAnsi="Arial" w:cs="Arial"/>
          <w:iCs/>
        </w:rPr>
      </w:pPr>
      <w:r>
        <w:rPr>
          <w:rFonts w:ascii="Arial" w:hAnsi="Arial" w:cs="Arial"/>
          <w:b/>
          <w:i/>
        </w:rPr>
        <w:t>Excess Revenue Commitments</w:t>
      </w:r>
      <w:r w:rsidRPr="0054665B">
        <w:rPr>
          <w:rFonts w:ascii="Arial" w:hAnsi="Arial" w:cs="Arial"/>
          <w:b/>
          <w:i/>
        </w:rPr>
        <w:t xml:space="preserve"> </w:t>
      </w:r>
      <w:r>
        <w:rPr>
          <w:rFonts w:ascii="Arial" w:hAnsi="Arial" w:cs="Arial"/>
          <w:b/>
          <w:i/>
        </w:rPr>
        <w:t>[</w:t>
      </w:r>
      <w:r w:rsidRPr="0054665B">
        <w:rPr>
          <w:rFonts w:ascii="Arial" w:hAnsi="Arial" w:cs="Arial"/>
          <w:b/>
          <w:i/>
        </w:rPr>
        <w:t>$</w:t>
      </w:r>
      <w:r>
        <w:rPr>
          <w:rFonts w:ascii="Arial" w:hAnsi="Arial" w:cs="Arial"/>
          <w:b/>
          <w:i/>
        </w:rPr>
        <w:t>1 Million]</w:t>
      </w:r>
      <w:r w:rsidRPr="0054665B">
        <w:rPr>
          <w:rFonts w:ascii="Arial" w:hAnsi="Arial" w:cs="Arial"/>
          <w:b/>
          <w:i/>
        </w:rPr>
        <w:t>.</w:t>
      </w:r>
      <w:r>
        <w:rPr>
          <w:rFonts w:ascii="Arial" w:hAnsi="Arial" w:cs="Arial"/>
          <w:b/>
          <w:iCs/>
        </w:rPr>
        <w:t xml:space="preserve">  </w:t>
      </w:r>
      <w:r w:rsidRPr="006D3FF8">
        <w:rPr>
          <w:rFonts w:ascii="Arial" w:hAnsi="Arial" w:cs="Arial"/>
          <w:iCs/>
        </w:rPr>
        <w:t>The proposed ordinance would appropriate</w:t>
      </w:r>
      <w:r>
        <w:rPr>
          <w:rFonts w:ascii="Arial" w:hAnsi="Arial" w:cs="Arial"/>
          <w:iCs/>
        </w:rPr>
        <w:t xml:space="preserve"> $1 million of excess revenue from the 2019-2020 biennium to support multiple programs (see table below) committed to via the VSHSL Advisory Board in October of 2020.</w:t>
      </w:r>
      <w:r>
        <w:rPr>
          <w:rStyle w:val="FootnoteReference"/>
          <w:rFonts w:ascii="Arial" w:hAnsi="Arial" w:cs="Arial"/>
          <w:iCs/>
        </w:rPr>
        <w:footnoteReference w:id="27"/>
      </w:r>
    </w:p>
    <w:p w14:paraId="4F9CE0AA" w14:textId="77777777" w:rsidR="00F1355F" w:rsidRPr="00102521" w:rsidRDefault="00F1355F" w:rsidP="004E69ED">
      <w:pPr>
        <w:keepNext/>
        <w:spacing w:line="264" w:lineRule="auto"/>
        <w:rPr>
          <w:rFonts w:ascii="Arial" w:hAnsi="Arial" w:cs="Arial"/>
          <w:b/>
          <w:szCs w:val="24"/>
        </w:rPr>
      </w:pPr>
    </w:p>
    <w:tbl>
      <w:tblPr>
        <w:tblStyle w:val="TableGrid"/>
        <w:tblW w:w="9360" w:type="dxa"/>
        <w:jc w:val="center"/>
        <w:tblLook w:val="04A0" w:firstRow="1" w:lastRow="0" w:firstColumn="1" w:lastColumn="0" w:noHBand="0" w:noVBand="1"/>
      </w:tblPr>
      <w:tblGrid>
        <w:gridCol w:w="3690"/>
        <w:gridCol w:w="270"/>
        <w:gridCol w:w="1620"/>
        <w:gridCol w:w="270"/>
        <w:gridCol w:w="3510"/>
      </w:tblGrid>
      <w:tr w:rsidR="00F1355F" w:rsidRPr="008D0300" w14:paraId="708FBE74" w14:textId="77777777" w:rsidTr="00E34BBA">
        <w:trPr>
          <w:cantSplit/>
          <w:trHeight w:val="411"/>
          <w:tblHeader/>
          <w:jc w:val="center"/>
        </w:trPr>
        <w:tc>
          <w:tcPr>
            <w:tcW w:w="3690" w:type="dxa"/>
            <w:tcBorders>
              <w:top w:val="single" w:sz="12" w:space="0" w:color="auto"/>
              <w:left w:val="nil"/>
              <w:bottom w:val="single" w:sz="4" w:space="0" w:color="auto"/>
              <w:right w:val="nil"/>
            </w:tcBorders>
            <w:vAlign w:val="center"/>
          </w:tcPr>
          <w:p w14:paraId="5063B159" w14:textId="77777777" w:rsidR="00F1355F" w:rsidRPr="00AD5F74" w:rsidRDefault="00F1355F" w:rsidP="00E34BBA">
            <w:pPr>
              <w:keepNext/>
              <w:rPr>
                <w:rFonts w:ascii="Arial" w:hAnsi="Arial" w:cs="Arial"/>
                <w:b/>
                <w:sz w:val="22"/>
                <w:szCs w:val="22"/>
              </w:rPr>
            </w:pPr>
            <w:r>
              <w:rPr>
                <w:rFonts w:ascii="Arial" w:hAnsi="Arial" w:cs="Arial"/>
                <w:b/>
                <w:sz w:val="22"/>
                <w:szCs w:val="22"/>
              </w:rPr>
              <w:t>Strategy</w:t>
            </w:r>
          </w:p>
        </w:tc>
        <w:tc>
          <w:tcPr>
            <w:tcW w:w="270" w:type="dxa"/>
            <w:tcBorders>
              <w:top w:val="single" w:sz="12" w:space="0" w:color="auto"/>
              <w:left w:val="nil"/>
              <w:bottom w:val="nil"/>
              <w:right w:val="nil"/>
            </w:tcBorders>
            <w:vAlign w:val="center"/>
          </w:tcPr>
          <w:p w14:paraId="1B978A23" w14:textId="77777777" w:rsidR="00F1355F" w:rsidRPr="00AD5F74" w:rsidRDefault="00F1355F" w:rsidP="00E34BBA">
            <w:pPr>
              <w:keepNext/>
              <w:jc w:val="right"/>
              <w:rPr>
                <w:rFonts w:ascii="Arial" w:hAnsi="Arial" w:cs="Arial"/>
                <w:b/>
                <w:sz w:val="22"/>
                <w:szCs w:val="22"/>
              </w:rPr>
            </w:pPr>
          </w:p>
        </w:tc>
        <w:tc>
          <w:tcPr>
            <w:tcW w:w="1620" w:type="dxa"/>
            <w:tcBorders>
              <w:top w:val="single" w:sz="12" w:space="0" w:color="auto"/>
              <w:left w:val="nil"/>
              <w:bottom w:val="single" w:sz="4" w:space="0" w:color="auto"/>
              <w:right w:val="nil"/>
            </w:tcBorders>
            <w:shd w:val="clear" w:color="auto" w:fill="auto"/>
            <w:vAlign w:val="center"/>
          </w:tcPr>
          <w:p w14:paraId="1F9B1C49" w14:textId="77777777" w:rsidR="00F1355F" w:rsidRPr="00AD5F74" w:rsidRDefault="00F1355F" w:rsidP="00E34BBA">
            <w:pPr>
              <w:keepNext/>
              <w:jc w:val="right"/>
              <w:rPr>
                <w:rFonts w:ascii="Arial" w:hAnsi="Arial" w:cs="Arial"/>
                <w:b/>
                <w:sz w:val="22"/>
                <w:szCs w:val="22"/>
              </w:rPr>
            </w:pPr>
            <w:r>
              <w:rPr>
                <w:rFonts w:ascii="Arial" w:hAnsi="Arial" w:cs="Arial"/>
                <w:b/>
                <w:sz w:val="22"/>
                <w:szCs w:val="22"/>
              </w:rPr>
              <w:t>Sub-Strategy</w:t>
            </w:r>
          </w:p>
        </w:tc>
        <w:tc>
          <w:tcPr>
            <w:tcW w:w="270" w:type="dxa"/>
            <w:tcBorders>
              <w:top w:val="single" w:sz="12" w:space="0" w:color="auto"/>
              <w:left w:val="nil"/>
              <w:bottom w:val="nil"/>
              <w:right w:val="nil"/>
            </w:tcBorders>
            <w:vAlign w:val="center"/>
          </w:tcPr>
          <w:p w14:paraId="1C98DF82" w14:textId="77777777" w:rsidR="00F1355F" w:rsidRPr="00AD5F74" w:rsidRDefault="00F1355F" w:rsidP="00E34BBA">
            <w:pPr>
              <w:keepNext/>
              <w:jc w:val="right"/>
              <w:rPr>
                <w:rFonts w:ascii="Arial" w:hAnsi="Arial" w:cs="Arial"/>
                <w:b/>
                <w:sz w:val="22"/>
                <w:szCs w:val="22"/>
              </w:rPr>
            </w:pPr>
          </w:p>
        </w:tc>
        <w:tc>
          <w:tcPr>
            <w:tcW w:w="3510" w:type="dxa"/>
            <w:tcBorders>
              <w:top w:val="single" w:sz="12" w:space="0" w:color="auto"/>
              <w:left w:val="nil"/>
              <w:bottom w:val="single" w:sz="4" w:space="0" w:color="auto"/>
              <w:right w:val="single" w:sz="2" w:space="0" w:color="FFFFFF" w:themeColor="background1"/>
            </w:tcBorders>
            <w:vAlign w:val="center"/>
          </w:tcPr>
          <w:p w14:paraId="2FC3408A" w14:textId="77777777" w:rsidR="00F1355F" w:rsidRPr="00AD5F74" w:rsidRDefault="00F1355F" w:rsidP="00E34BBA">
            <w:pPr>
              <w:keepNext/>
              <w:jc w:val="right"/>
              <w:rPr>
                <w:rFonts w:ascii="Arial" w:hAnsi="Arial" w:cs="Arial"/>
                <w:b/>
                <w:sz w:val="22"/>
                <w:szCs w:val="22"/>
              </w:rPr>
            </w:pPr>
            <w:r>
              <w:rPr>
                <w:rFonts w:ascii="Arial" w:hAnsi="Arial" w:cs="Arial"/>
                <w:b/>
                <w:sz w:val="22"/>
                <w:szCs w:val="22"/>
              </w:rPr>
              <w:t>Vulnerable Population Funding</w:t>
            </w:r>
          </w:p>
        </w:tc>
      </w:tr>
      <w:tr w:rsidR="00F1355F" w:rsidRPr="008D0300" w14:paraId="440A6351" w14:textId="77777777" w:rsidTr="00E34BBA">
        <w:trPr>
          <w:cantSplit/>
          <w:jc w:val="center"/>
        </w:trPr>
        <w:tc>
          <w:tcPr>
            <w:tcW w:w="3690" w:type="dxa"/>
            <w:tcBorders>
              <w:top w:val="single" w:sz="4" w:space="0" w:color="auto"/>
              <w:left w:val="nil"/>
              <w:bottom w:val="nil"/>
              <w:right w:val="nil"/>
            </w:tcBorders>
            <w:vAlign w:val="center"/>
          </w:tcPr>
          <w:p w14:paraId="558A5D8D" w14:textId="77777777" w:rsidR="00F1355F" w:rsidRPr="00AD5F74" w:rsidRDefault="00F1355F" w:rsidP="00E34BBA">
            <w:pPr>
              <w:keepNext/>
              <w:rPr>
                <w:rFonts w:ascii="Arial" w:hAnsi="Arial" w:cs="Arial"/>
                <w:sz w:val="22"/>
                <w:szCs w:val="22"/>
              </w:rPr>
            </w:pPr>
            <w:r>
              <w:rPr>
                <w:rFonts w:ascii="Arial" w:hAnsi="Arial" w:cs="Arial"/>
                <w:sz w:val="22"/>
                <w:szCs w:val="22"/>
              </w:rPr>
              <w:t>Support Community Strategies to Address Gun Violence</w:t>
            </w:r>
          </w:p>
        </w:tc>
        <w:tc>
          <w:tcPr>
            <w:tcW w:w="270" w:type="dxa"/>
            <w:tcBorders>
              <w:top w:val="nil"/>
              <w:left w:val="nil"/>
              <w:bottom w:val="nil"/>
              <w:right w:val="nil"/>
            </w:tcBorders>
            <w:vAlign w:val="center"/>
          </w:tcPr>
          <w:p w14:paraId="3833DC57" w14:textId="77777777" w:rsidR="00F1355F" w:rsidRPr="00AD5F74" w:rsidRDefault="00F1355F" w:rsidP="00E34BBA">
            <w:pPr>
              <w:keepNext/>
              <w:jc w:val="right"/>
              <w:rPr>
                <w:rFonts w:ascii="Arial" w:hAnsi="Arial" w:cs="Arial"/>
                <w:sz w:val="22"/>
                <w:szCs w:val="22"/>
              </w:rPr>
            </w:pPr>
          </w:p>
        </w:tc>
        <w:tc>
          <w:tcPr>
            <w:tcW w:w="1620" w:type="dxa"/>
            <w:tcBorders>
              <w:top w:val="single" w:sz="4" w:space="0" w:color="auto"/>
              <w:left w:val="nil"/>
              <w:bottom w:val="nil"/>
              <w:right w:val="nil"/>
            </w:tcBorders>
            <w:tcMar>
              <w:top w:w="72" w:type="dxa"/>
              <w:left w:w="115" w:type="dxa"/>
              <w:bottom w:w="72" w:type="dxa"/>
              <w:right w:w="115" w:type="dxa"/>
            </w:tcMar>
          </w:tcPr>
          <w:p w14:paraId="3898C195" w14:textId="77777777" w:rsidR="00F1355F" w:rsidRPr="00AD5F74" w:rsidRDefault="00F1355F" w:rsidP="00E34BBA">
            <w:pPr>
              <w:keepNext/>
              <w:jc w:val="right"/>
              <w:rPr>
                <w:rFonts w:ascii="Arial" w:hAnsi="Arial" w:cs="Arial"/>
                <w:sz w:val="22"/>
                <w:szCs w:val="22"/>
              </w:rPr>
            </w:pPr>
            <w:r>
              <w:rPr>
                <w:rFonts w:ascii="Arial" w:hAnsi="Arial" w:cs="Arial"/>
                <w:sz w:val="22"/>
                <w:szCs w:val="22"/>
              </w:rPr>
              <w:t>HL 3.C</w:t>
            </w:r>
          </w:p>
        </w:tc>
        <w:tc>
          <w:tcPr>
            <w:tcW w:w="270" w:type="dxa"/>
            <w:tcBorders>
              <w:top w:val="nil"/>
              <w:left w:val="nil"/>
              <w:bottom w:val="nil"/>
              <w:right w:val="nil"/>
            </w:tcBorders>
          </w:tcPr>
          <w:p w14:paraId="57475203" w14:textId="77777777" w:rsidR="00F1355F" w:rsidRPr="00AD5F74" w:rsidRDefault="00F1355F" w:rsidP="00E34BBA">
            <w:pPr>
              <w:keepNext/>
              <w:jc w:val="right"/>
              <w:rPr>
                <w:rFonts w:ascii="Arial" w:hAnsi="Arial" w:cs="Arial"/>
                <w:sz w:val="22"/>
                <w:szCs w:val="22"/>
              </w:rPr>
            </w:pPr>
          </w:p>
        </w:tc>
        <w:tc>
          <w:tcPr>
            <w:tcW w:w="351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6622119B" w14:textId="77777777" w:rsidR="00F1355F" w:rsidRPr="00AD5F74" w:rsidRDefault="00F1355F" w:rsidP="00E34BBA">
            <w:pPr>
              <w:pStyle w:val="ListParagraph0"/>
              <w:keepNext/>
              <w:jc w:val="right"/>
              <w:rPr>
                <w:rFonts w:ascii="Arial" w:hAnsi="Arial" w:cs="Arial"/>
                <w:sz w:val="22"/>
                <w:szCs w:val="22"/>
              </w:rPr>
            </w:pPr>
            <w:r>
              <w:rPr>
                <w:rFonts w:ascii="Arial" w:hAnsi="Arial" w:cs="Arial"/>
                <w:sz w:val="22"/>
                <w:szCs w:val="22"/>
              </w:rPr>
              <w:t>$721,478</w:t>
            </w:r>
          </w:p>
        </w:tc>
      </w:tr>
      <w:tr w:rsidR="00F1355F" w:rsidRPr="008D0300" w14:paraId="03768B65" w14:textId="77777777" w:rsidTr="00E34BBA">
        <w:trPr>
          <w:cantSplit/>
          <w:jc w:val="center"/>
        </w:trPr>
        <w:tc>
          <w:tcPr>
            <w:tcW w:w="3690" w:type="dxa"/>
            <w:tcBorders>
              <w:top w:val="nil"/>
              <w:left w:val="nil"/>
              <w:bottom w:val="single" w:sz="4" w:space="0" w:color="auto"/>
              <w:right w:val="nil"/>
            </w:tcBorders>
            <w:vAlign w:val="center"/>
          </w:tcPr>
          <w:p w14:paraId="5D90E581" w14:textId="77777777" w:rsidR="00F1355F" w:rsidRPr="00AD5F74" w:rsidRDefault="00F1355F" w:rsidP="00E34BBA">
            <w:pPr>
              <w:keepNext/>
              <w:rPr>
                <w:rFonts w:ascii="Arial" w:hAnsi="Arial" w:cs="Arial"/>
                <w:sz w:val="22"/>
                <w:szCs w:val="22"/>
              </w:rPr>
            </w:pPr>
            <w:r>
              <w:rPr>
                <w:rFonts w:ascii="Arial" w:hAnsi="Arial" w:cs="Arial"/>
                <w:sz w:val="22"/>
                <w:szCs w:val="22"/>
              </w:rPr>
              <w:t>Reentry Spanning Supports</w:t>
            </w:r>
          </w:p>
        </w:tc>
        <w:tc>
          <w:tcPr>
            <w:tcW w:w="270" w:type="dxa"/>
            <w:tcBorders>
              <w:top w:val="nil"/>
              <w:left w:val="nil"/>
              <w:bottom w:val="nil"/>
              <w:right w:val="nil"/>
            </w:tcBorders>
            <w:vAlign w:val="center"/>
          </w:tcPr>
          <w:p w14:paraId="1AC15FDB" w14:textId="77777777" w:rsidR="00F1355F" w:rsidRPr="00AD5F74" w:rsidRDefault="00F1355F" w:rsidP="00E34BBA">
            <w:pPr>
              <w:keepNext/>
              <w:jc w:val="right"/>
              <w:rPr>
                <w:rFonts w:ascii="Arial" w:hAnsi="Arial" w:cs="Arial"/>
                <w:sz w:val="22"/>
                <w:szCs w:val="22"/>
              </w:rPr>
            </w:pPr>
          </w:p>
        </w:tc>
        <w:tc>
          <w:tcPr>
            <w:tcW w:w="1620" w:type="dxa"/>
            <w:tcBorders>
              <w:top w:val="nil"/>
              <w:left w:val="nil"/>
              <w:bottom w:val="single" w:sz="4" w:space="0" w:color="auto"/>
              <w:right w:val="nil"/>
            </w:tcBorders>
            <w:tcMar>
              <w:top w:w="72" w:type="dxa"/>
              <w:left w:w="115" w:type="dxa"/>
              <w:bottom w:w="72" w:type="dxa"/>
              <w:right w:w="115" w:type="dxa"/>
            </w:tcMar>
          </w:tcPr>
          <w:p w14:paraId="07870DCF" w14:textId="77777777" w:rsidR="00F1355F" w:rsidRPr="00AD5F74" w:rsidRDefault="00F1355F" w:rsidP="00E34BBA">
            <w:pPr>
              <w:keepNext/>
              <w:jc w:val="right"/>
              <w:rPr>
                <w:rFonts w:ascii="Arial" w:hAnsi="Arial" w:cs="Arial"/>
                <w:sz w:val="22"/>
                <w:szCs w:val="22"/>
              </w:rPr>
            </w:pPr>
            <w:r>
              <w:rPr>
                <w:rFonts w:ascii="Arial" w:hAnsi="Arial" w:cs="Arial"/>
                <w:sz w:val="22"/>
                <w:szCs w:val="22"/>
              </w:rPr>
              <w:t>SE 1.C</w:t>
            </w:r>
          </w:p>
        </w:tc>
        <w:tc>
          <w:tcPr>
            <w:tcW w:w="270" w:type="dxa"/>
            <w:tcBorders>
              <w:top w:val="nil"/>
              <w:left w:val="nil"/>
              <w:bottom w:val="nil"/>
              <w:right w:val="nil"/>
            </w:tcBorders>
          </w:tcPr>
          <w:p w14:paraId="632968FB" w14:textId="77777777" w:rsidR="00F1355F" w:rsidRPr="00AD5F74" w:rsidRDefault="00F1355F" w:rsidP="00E34BBA">
            <w:pPr>
              <w:keepNext/>
              <w:jc w:val="right"/>
              <w:rPr>
                <w:rFonts w:ascii="Arial" w:hAnsi="Arial" w:cs="Arial"/>
                <w:sz w:val="22"/>
                <w:szCs w:val="22"/>
              </w:rPr>
            </w:pPr>
          </w:p>
        </w:tc>
        <w:tc>
          <w:tcPr>
            <w:tcW w:w="3510" w:type="dxa"/>
            <w:tcBorders>
              <w:top w:val="nil"/>
              <w:left w:val="nil"/>
              <w:bottom w:val="single" w:sz="4" w:space="0" w:color="auto"/>
              <w:right w:val="single" w:sz="2" w:space="0" w:color="FFFFFF" w:themeColor="background1"/>
            </w:tcBorders>
            <w:tcMar>
              <w:top w:w="72" w:type="dxa"/>
              <w:left w:w="115" w:type="dxa"/>
              <w:bottom w:w="72" w:type="dxa"/>
              <w:right w:w="115" w:type="dxa"/>
            </w:tcMar>
          </w:tcPr>
          <w:p w14:paraId="46AD5A85" w14:textId="77777777" w:rsidR="00F1355F" w:rsidRPr="00AD5F74" w:rsidRDefault="00F1355F" w:rsidP="00E34BBA">
            <w:pPr>
              <w:pStyle w:val="ListParagraph0"/>
              <w:keepNext/>
              <w:jc w:val="right"/>
              <w:rPr>
                <w:rFonts w:ascii="Arial" w:hAnsi="Arial" w:cs="Arial"/>
                <w:sz w:val="22"/>
                <w:szCs w:val="22"/>
              </w:rPr>
            </w:pPr>
            <w:r>
              <w:rPr>
                <w:rFonts w:ascii="Arial" w:hAnsi="Arial" w:cs="Arial"/>
                <w:sz w:val="22"/>
                <w:szCs w:val="22"/>
              </w:rPr>
              <w:t>$329,226</w:t>
            </w:r>
          </w:p>
        </w:tc>
      </w:tr>
      <w:tr w:rsidR="00F1355F" w:rsidRPr="008D0300" w14:paraId="3464299F" w14:textId="77777777" w:rsidTr="00E34BBA">
        <w:trPr>
          <w:cantSplit/>
          <w:trHeight w:val="13"/>
          <w:jc w:val="center"/>
        </w:trPr>
        <w:tc>
          <w:tcPr>
            <w:tcW w:w="3690" w:type="dxa"/>
            <w:tcBorders>
              <w:top w:val="single" w:sz="4" w:space="0" w:color="auto"/>
              <w:left w:val="nil"/>
              <w:bottom w:val="single" w:sz="12" w:space="0" w:color="auto"/>
              <w:right w:val="nil"/>
            </w:tcBorders>
            <w:vAlign w:val="center"/>
          </w:tcPr>
          <w:p w14:paraId="75CE4475" w14:textId="77777777" w:rsidR="00F1355F" w:rsidRPr="00AD5F74" w:rsidRDefault="00F1355F" w:rsidP="00E34BBA">
            <w:pPr>
              <w:keepNext/>
              <w:jc w:val="right"/>
              <w:rPr>
                <w:rFonts w:ascii="Arial" w:hAnsi="Arial" w:cs="Arial"/>
                <w:b/>
                <w:sz w:val="22"/>
                <w:szCs w:val="22"/>
              </w:rPr>
            </w:pPr>
          </w:p>
        </w:tc>
        <w:tc>
          <w:tcPr>
            <w:tcW w:w="270" w:type="dxa"/>
            <w:tcBorders>
              <w:top w:val="nil"/>
              <w:left w:val="nil"/>
              <w:bottom w:val="single" w:sz="12" w:space="0" w:color="auto"/>
              <w:right w:val="nil"/>
            </w:tcBorders>
            <w:vAlign w:val="center"/>
          </w:tcPr>
          <w:p w14:paraId="05252123" w14:textId="77777777" w:rsidR="00F1355F" w:rsidRPr="00AD5F74" w:rsidRDefault="00F1355F" w:rsidP="00E34BBA">
            <w:pPr>
              <w:keepNext/>
              <w:jc w:val="right"/>
              <w:rPr>
                <w:rFonts w:ascii="Arial" w:hAnsi="Arial" w:cs="Arial"/>
                <w:b/>
                <w:sz w:val="22"/>
                <w:szCs w:val="22"/>
              </w:rPr>
            </w:pPr>
          </w:p>
        </w:tc>
        <w:tc>
          <w:tcPr>
            <w:tcW w:w="1620" w:type="dxa"/>
            <w:tcBorders>
              <w:top w:val="single" w:sz="4" w:space="0" w:color="auto"/>
              <w:left w:val="nil"/>
              <w:bottom w:val="single" w:sz="12" w:space="0" w:color="auto"/>
              <w:right w:val="nil"/>
            </w:tcBorders>
            <w:tcMar>
              <w:top w:w="72" w:type="dxa"/>
              <w:left w:w="115" w:type="dxa"/>
              <w:bottom w:w="72" w:type="dxa"/>
              <w:right w:w="115" w:type="dxa"/>
            </w:tcMar>
            <w:vAlign w:val="center"/>
          </w:tcPr>
          <w:p w14:paraId="7C74ED17" w14:textId="77777777" w:rsidR="00F1355F" w:rsidRPr="00AD5F74" w:rsidRDefault="00F1355F" w:rsidP="00E34BBA">
            <w:pPr>
              <w:keepNext/>
              <w:jc w:val="right"/>
              <w:rPr>
                <w:rFonts w:ascii="Arial" w:hAnsi="Arial" w:cs="Arial"/>
                <w:b/>
                <w:sz w:val="22"/>
                <w:szCs w:val="22"/>
              </w:rPr>
            </w:pPr>
            <w:r w:rsidRPr="00AD5F74">
              <w:rPr>
                <w:rFonts w:ascii="Arial" w:hAnsi="Arial" w:cs="Arial"/>
                <w:b/>
                <w:sz w:val="22"/>
                <w:szCs w:val="22"/>
              </w:rPr>
              <w:t>Total</w:t>
            </w:r>
          </w:p>
        </w:tc>
        <w:tc>
          <w:tcPr>
            <w:tcW w:w="270" w:type="dxa"/>
            <w:tcBorders>
              <w:top w:val="nil"/>
              <w:left w:val="single" w:sz="2" w:space="0" w:color="FFFFFF" w:themeColor="background1"/>
              <w:bottom w:val="single" w:sz="12" w:space="0" w:color="auto"/>
              <w:right w:val="single" w:sz="2" w:space="0" w:color="FFFFFF" w:themeColor="background1"/>
            </w:tcBorders>
            <w:vAlign w:val="center"/>
          </w:tcPr>
          <w:p w14:paraId="2CB88018" w14:textId="77777777" w:rsidR="00F1355F" w:rsidRPr="00AD5F74" w:rsidRDefault="00F1355F" w:rsidP="00E34BBA">
            <w:pPr>
              <w:keepNext/>
              <w:jc w:val="right"/>
              <w:rPr>
                <w:rFonts w:ascii="Arial" w:hAnsi="Arial" w:cs="Arial"/>
                <w:b/>
                <w:sz w:val="22"/>
                <w:szCs w:val="22"/>
              </w:rPr>
            </w:pPr>
          </w:p>
        </w:tc>
        <w:tc>
          <w:tcPr>
            <w:tcW w:w="3510"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vAlign w:val="center"/>
          </w:tcPr>
          <w:p w14:paraId="3D16F28F" w14:textId="77777777" w:rsidR="00F1355F" w:rsidRPr="00AD5F74" w:rsidRDefault="00F1355F" w:rsidP="00E34BBA">
            <w:pPr>
              <w:keepNext/>
              <w:jc w:val="right"/>
              <w:rPr>
                <w:rFonts w:ascii="Arial" w:hAnsi="Arial" w:cs="Arial"/>
                <w:b/>
                <w:sz w:val="22"/>
                <w:szCs w:val="22"/>
              </w:rPr>
            </w:pPr>
            <w:r w:rsidRPr="00AD5F74">
              <w:rPr>
                <w:rFonts w:ascii="Arial" w:hAnsi="Arial" w:cs="Arial"/>
                <w:b/>
                <w:sz w:val="22"/>
                <w:szCs w:val="22"/>
              </w:rPr>
              <w:t>$</w:t>
            </w:r>
            <w:r>
              <w:rPr>
                <w:rFonts w:ascii="Arial" w:hAnsi="Arial" w:cs="Arial"/>
                <w:b/>
                <w:sz w:val="22"/>
                <w:szCs w:val="22"/>
              </w:rPr>
              <w:t>1,050,704</w:t>
            </w:r>
          </w:p>
        </w:tc>
      </w:tr>
    </w:tbl>
    <w:p w14:paraId="019D9228" w14:textId="77777777" w:rsidR="00F1355F" w:rsidRDefault="00F1355F" w:rsidP="00F1355F">
      <w:pPr>
        <w:jc w:val="center"/>
        <w:rPr>
          <w:rFonts w:ascii="Arial" w:hAnsi="Arial" w:cs="Arial"/>
          <w:b/>
          <w:szCs w:val="24"/>
        </w:rPr>
      </w:pPr>
    </w:p>
    <w:p w14:paraId="14FCB065" w14:textId="4E3F4B4C" w:rsidR="00F1355F" w:rsidRDefault="00F1355F" w:rsidP="006E3B5E">
      <w:pPr>
        <w:spacing w:line="264" w:lineRule="auto"/>
        <w:contextualSpacing/>
        <w:jc w:val="both"/>
        <w:rPr>
          <w:rFonts w:ascii="Arial" w:hAnsi="Arial" w:cs="Arial"/>
          <w:iCs/>
        </w:rPr>
      </w:pPr>
    </w:p>
    <w:p w14:paraId="2DA31B94" w14:textId="04616F82" w:rsidR="006E3B5E" w:rsidRPr="009A577B" w:rsidRDefault="006E3B5E" w:rsidP="006E3B5E">
      <w:pPr>
        <w:tabs>
          <w:tab w:val="left" w:pos="720"/>
          <w:tab w:val="right" w:pos="9360"/>
        </w:tabs>
        <w:spacing w:line="264" w:lineRule="auto"/>
        <w:contextualSpacing/>
        <w:jc w:val="both"/>
        <w:rPr>
          <w:rFonts w:ascii="Arial" w:hAnsi="Arial" w:cs="Arial"/>
          <w:b/>
          <w:u w:val="single"/>
        </w:rPr>
      </w:pPr>
      <w:r w:rsidRPr="009A577B">
        <w:rPr>
          <w:rFonts w:ascii="Arial" w:hAnsi="Arial" w:cs="Arial"/>
          <w:b/>
          <w:u w:val="single"/>
        </w:rPr>
        <w:t>Surface Water Management</w:t>
      </w:r>
      <w:r w:rsidRPr="000E7446">
        <w:rPr>
          <w:rFonts w:ascii="Arial" w:hAnsi="Arial" w:cs="Arial"/>
          <w:b/>
          <w:u w:val="single"/>
        </w:rPr>
        <w:tab/>
      </w:r>
      <w:r>
        <w:rPr>
          <w:rFonts w:ascii="Arial" w:hAnsi="Arial" w:cs="Arial"/>
          <w:b/>
          <w:u w:val="single"/>
        </w:rPr>
        <w:t>Operating:</w:t>
      </w:r>
      <w:r w:rsidR="00034583">
        <w:rPr>
          <w:rFonts w:ascii="Arial" w:hAnsi="Arial" w:cs="Arial"/>
          <w:b/>
          <w:u w:val="single"/>
        </w:rPr>
        <w:t xml:space="preserve"> </w:t>
      </w:r>
      <w:r>
        <w:rPr>
          <w:rFonts w:ascii="Arial" w:hAnsi="Arial" w:cs="Arial"/>
          <w:b/>
          <w:u w:val="single"/>
        </w:rPr>
        <w:t xml:space="preserve">$178,000, 1.0 FTE; Capital: </w:t>
      </w:r>
      <w:r w:rsidRPr="009A577B">
        <w:rPr>
          <w:rFonts w:ascii="Arial" w:hAnsi="Arial" w:cs="Arial"/>
          <w:b/>
          <w:color w:val="C00000"/>
          <w:u w:val="single"/>
        </w:rPr>
        <w:t>-$1,768,263</w:t>
      </w:r>
    </w:p>
    <w:p w14:paraId="6565B6FC" w14:textId="77777777" w:rsidR="006E3B5E" w:rsidRDefault="006E3B5E" w:rsidP="006E3B5E">
      <w:pPr>
        <w:spacing w:line="264" w:lineRule="auto"/>
        <w:contextualSpacing/>
        <w:jc w:val="both"/>
        <w:rPr>
          <w:rFonts w:ascii="Arial" w:hAnsi="Arial" w:cs="Arial"/>
          <w:b/>
          <w:i/>
          <w:iCs/>
        </w:rPr>
      </w:pPr>
    </w:p>
    <w:p w14:paraId="0D93D093" w14:textId="77777777" w:rsidR="00C52A02" w:rsidRDefault="006E3B5E" w:rsidP="00C52A02">
      <w:pPr>
        <w:spacing w:line="264" w:lineRule="auto"/>
        <w:contextualSpacing/>
        <w:jc w:val="both"/>
        <w:rPr>
          <w:rFonts w:ascii="Arial" w:hAnsi="Arial" w:cs="Arial"/>
        </w:rPr>
      </w:pPr>
      <w:r w:rsidRPr="00373A14">
        <w:rPr>
          <w:rFonts w:ascii="Arial" w:hAnsi="Arial" w:cs="Arial"/>
          <w:b/>
          <w:i/>
          <w:iCs/>
        </w:rPr>
        <w:t>Operating: Duwamish Basin Steward [$178,000, 1.0 FTE].</w:t>
      </w:r>
      <w:r w:rsidRPr="00373A14">
        <w:rPr>
          <w:rFonts w:ascii="Arial" w:hAnsi="Arial" w:cs="Arial"/>
          <w:b/>
        </w:rPr>
        <w:t xml:space="preserve">  </w:t>
      </w:r>
      <w:r w:rsidRPr="00373A14">
        <w:rPr>
          <w:rFonts w:ascii="Arial" w:hAnsi="Arial" w:cs="Arial"/>
        </w:rPr>
        <w:t>The proposed ordinance would appropriate $178,000 to fund a Duwamish Basin Steward position.</w:t>
      </w:r>
      <w:r>
        <w:rPr>
          <w:rFonts w:ascii="Arial" w:hAnsi="Arial" w:cs="Arial"/>
        </w:rPr>
        <w:t xml:space="preserve"> </w:t>
      </w:r>
      <w:r w:rsidRPr="00373A14">
        <w:rPr>
          <w:rFonts w:ascii="Arial" w:hAnsi="Arial" w:cs="Arial"/>
        </w:rPr>
        <w:t xml:space="preserve"> According to executive staff, this position would address a gap in watershed stewardship services and allow the County to leverage opportunities for collaboration.</w:t>
      </w:r>
      <w:r>
        <w:rPr>
          <w:rFonts w:ascii="Arial" w:hAnsi="Arial" w:cs="Arial"/>
        </w:rPr>
        <w:t xml:space="preserve"> </w:t>
      </w:r>
      <w:r w:rsidRPr="00373A14">
        <w:rPr>
          <w:rFonts w:ascii="Arial" w:hAnsi="Arial" w:cs="Arial"/>
        </w:rPr>
        <w:t xml:space="preserve"> This position would be supported through a partnership with the City of Tukwila, City of Seattle, and Port of Seattle. $25,000 of this appropriation would go towards consulting services. </w:t>
      </w:r>
    </w:p>
    <w:p w14:paraId="1AE36A6F" w14:textId="77777777" w:rsidR="00C52A02" w:rsidRDefault="00C52A02" w:rsidP="00C52A02">
      <w:pPr>
        <w:spacing w:line="264" w:lineRule="auto"/>
        <w:contextualSpacing/>
        <w:jc w:val="both"/>
        <w:rPr>
          <w:rFonts w:ascii="Arial" w:hAnsi="Arial" w:cs="Arial"/>
        </w:rPr>
      </w:pPr>
    </w:p>
    <w:p w14:paraId="16C84F10" w14:textId="7AB55DFB" w:rsidR="006E3B5E" w:rsidRPr="00C52A02" w:rsidRDefault="006E3B5E" w:rsidP="00C52A02">
      <w:pPr>
        <w:spacing w:line="264" w:lineRule="auto"/>
        <w:contextualSpacing/>
        <w:jc w:val="both"/>
        <w:rPr>
          <w:rFonts w:ascii="Arial" w:hAnsi="Arial" w:cs="Arial"/>
        </w:rPr>
      </w:pPr>
      <w:r w:rsidRPr="00373A14">
        <w:rPr>
          <w:rFonts w:ascii="Arial" w:hAnsi="Arial" w:cs="Arial"/>
          <w:b/>
          <w:iCs/>
        </w:rPr>
        <w:t>TECHNICAL</w:t>
      </w:r>
    </w:p>
    <w:p w14:paraId="1D8DDAAD" w14:textId="77777777" w:rsidR="006E3B5E" w:rsidRPr="00373A14" w:rsidRDefault="006E3B5E" w:rsidP="00C52A02">
      <w:pPr>
        <w:keepLines/>
        <w:spacing w:line="264" w:lineRule="auto"/>
        <w:contextualSpacing/>
        <w:jc w:val="both"/>
        <w:rPr>
          <w:rFonts w:ascii="Arial" w:hAnsi="Arial" w:cs="Arial"/>
        </w:rPr>
      </w:pPr>
      <w:r w:rsidRPr="00373A14">
        <w:rPr>
          <w:rFonts w:ascii="Arial" w:hAnsi="Arial" w:cs="Arial"/>
          <w:b/>
          <w:i/>
        </w:rPr>
        <w:t xml:space="preserve">Capital: Project Closeout Disappropriation and Reallocation </w:t>
      </w:r>
      <w:r w:rsidRPr="00373A14">
        <w:rPr>
          <w:rFonts w:ascii="Arial" w:hAnsi="Arial" w:cs="Arial"/>
          <w:b/>
          <w:i/>
          <w:iCs/>
        </w:rPr>
        <w:t>[</w:t>
      </w:r>
      <w:r w:rsidRPr="00373A14">
        <w:rPr>
          <w:rFonts w:ascii="Arial" w:hAnsi="Arial" w:cs="Arial"/>
          <w:b/>
          <w:i/>
          <w:iCs/>
          <w:color w:val="C0504D" w:themeColor="accent2"/>
        </w:rPr>
        <w:t>-$1,768,263</w:t>
      </w:r>
      <w:r w:rsidRPr="00373A14">
        <w:rPr>
          <w:rFonts w:ascii="Arial" w:hAnsi="Arial" w:cs="Arial"/>
          <w:b/>
          <w:i/>
          <w:iCs/>
        </w:rPr>
        <w:t>].</w:t>
      </w:r>
      <w:r w:rsidRPr="00373A14">
        <w:rPr>
          <w:rFonts w:ascii="Arial" w:hAnsi="Arial" w:cs="Arial"/>
          <w:b/>
          <w:iCs/>
        </w:rPr>
        <w:t xml:space="preserve">  </w:t>
      </w:r>
      <w:r w:rsidRPr="00373A14">
        <w:rPr>
          <w:rFonts w:ascii="Arial" w:hAnsi="Arial" w:cs="Arial"/>
          <w:bCs/>
          <w:iCs/>
        </w:rPr>
        <w:t>This fund includes a number of programmatic projects that support ecological restoration and protection across the County.</w:t>
      </w:r>
      <w:r>
        <w:rPr>
          <w:rFonts w:ascii="Arial" w:hAnsi="Arial" w:cs="Arial"/>
          <w:bCs/>
          <w:iCs/>
        </w:rPr>
        <w:t xml:space="preserve"> </w:t>
      </w:r>
      <w:r w:rsidRPr="00373A14">
        <w:rPr>
          <w:rFonts w:ascii="Arial" w:hAnsi="Arial" w:cs="Arial"/>
          <w:bCs/>
          <w:iCs/>
        </w:rPr>
        <w:t xml:space="preserve"> </w:t>
      </w:r>
      <w:r w:rsidRPr="00373A14">
        <w:rPr>
          <w:rFonts w:ascii="Arial" w:hAnsi="Arial" w:cs="Arial"/>
        </w:rPr>
        <w:t xml:space="preserve">The proposed ordinance would disappropriate funds from three existing ecosystem restoration programs which are being closed out and distributed </w:t>
      </w:r>
      <w:r w:rsidRPr="00DD210E">
        <w:rPr>
          <w:rFonts w:ascii="Arial" w:hAnsi="Arial" w:cs="Arial"/>
        </w:rPr>
        <w:t>to equivalent new programs created</w:t>
      </w:r>
      <w:r w:rsidRPr="00373A14">
        <w:rPr>
          <w:rFonts w:ascii="Arial" w:hAnsi="Arial" w:cs="Arial"/>
        </w:rPr>
        <w:t xml:space="preserve"> in the 2021-2022 omnibus as listed in the table below. </w:t>
      </w:r>
      <w:r>
        <w:rPr>
          <w:rFonts w:ascii="Arial" w:hAnsi="Arial" w:cs="Arial"/>
        </w:rPr>
        <w:t xml:space="preserve"> </w:t>
      </w:r>
      <w:r w:rsidRPr="00373A14">
        <w:rPr>
          <w:rFonts w:ascii="Arial" w:hAnsi="Arial" w:cs="Arial"/>
        </w:rPr>
        <w:t xml:space="preserve">Projects under construction in these existing funds will be closed out at the end of construction. </w:t>
      </w:r>
    </w:p>
    <w:p w14:paraId="4C01FFFB" w14:textId="6E9CE8FD" w:rsidR="006E3B5E" w:rsidRPr="00373A14" w:rsidRDefault="006E3B5E" w:rsidP="00C52A02">
      <w:pPr>
        <w:spacing w:line="264" w:lineRule="auto"/>
        <w:contextualSpacing/>
        <w:rPr>
          <w:rFonts w:ascii="Arial" w:hAnsi="Arial" w:cs="Arial"/>
          <w:b/>
          <w:szCs w:val="24"/>
        </w:rPr>
      </w:pPr>
    </w:p>
    <w:tbl>
      <w:tblPr>
        <w:tblStyle w:val="TableGrid"/>
        <w:tblW w:w="9360" w:type="dxa"/>
        <w:tblInd w:w="108" w:type="dxa"/>
        <w:tblLayout w:type="fixed"/>
        <w:tblLook w:val="04A0" w:firstRow="1" w:lastRow="0" w:firstColumn="1" w:lastColumn="0" w:noHBand="0" w:noVBand="1"/>
      </w:tblPr>
      <w:tblGrid>
        <w:gridCol w:w="4140"/>
        <w:gridCol w:w="270"/>
        <w:gridCol w:w="2160"/>
        <w:gridCol w:w="270"/>
        <w:gridCol w:w="2520"/>
      </w:tblGrid>
      <w:tr w:rsidR="006E3B5E" w:rsidRPr="00373A14" w14:paraId="69FD0825" w14:textId="77777777" w:rsidTr="006E3B5E">
        <w:trPr>
          <w:cantSplit/>
          <w:tblHeader/>
        </w:trPr>
        <w:tc>
          <w:tcPr>
            <w:tcW w:w="4140" w:type="dxa"/>
            <w:tcBorders>
              <w:top w:val="single" w:sz="12" w:space="0" w:color="auto"/>
              <w:left w:val="nil"/>
              <w:bottom w:val="single" w:sz="4" w:space="0" w:color="auto"/>
              <w:right w:val="nil"/>
            </w:tcBorders>
            <w:shd w:val="clear" w:color="auto" w:fill="auto"/>
            <w:vAlign w:val="bottom"/>
          </w:tcPr>
          <w:p w14:paraId="03C62FFB" w14:textId="14A317AA" w:rsidR="006E3B5E" w:rsidRPr="00373A14" w:rsidRDefault="006E3B5E" w:rsidP="00C52A02">
            <w:pPr>
              <w:spacing w:line="264" w:lineRule="auto"/>
              <w:contextualSpacing/>
              <w:jc w:val="both"/>
              <w:rPr>
                <w:rFonts w:ascii="Arial" w:hAnsi="Arial" w:cs="Arial"/>
                <w:b/>
                <w:sz w:val="22"/>
                <w:szCs w:val="22"/>
              </w:rPr>
            </w:pPr>
            <w:r w:rsidRPr="00373A14">
              <w:rPr>
                <w:rFonts w:ascii="Arial" w:hAnsi="Arial" w:cs="Arial"/>
                <w:b/>
                <w:sz w:val="22"/>
                <w:szCs w:val="22"/>
              </w:rPr>
              <w:t xml:space="preserve">Project </w:t>
            </w:r>
          </w:p>
        </w:tc>
        <w:tc>
          <w:tcPr>
            <w:tcW w:w="270" w:type="dxa"/>
            <w:tcBorders>
              <w:top w:val="single" w:sz="12" w:space="0" w:color="auto"/>
              <w:left w:val="nil"/>
              <w:bottom w:val="nil"/>
              <w:right w:val="nil"/>
            </w:tcBorders>
          </w:tcPr>
          <w:p w14:paraId="652B63F5" w14:textId="77777777" w:rsidR="006E3B5E" w:rsidRPr="00373A14" w:rsidRDefault="006E3B5E" w:rsidP="00C52A02">
            <w:pPr>
              <w:spacing w:line="264" w:lineRule="auto"/>
              <w:contextualSpacing/>
              <w:jc w:val="center"/>
              <w:rPr>
                <w:rFonts w:ascii="Arial" w:hAnsi="Arial" w:cs="Arial"/>
                <w:b/>
                <w:sz w:val="22"/>
                <w:szCs w:val="22"/>
              </w:rPr>
            </w:pPr>
          </w:p>
        </w:tc>
        <w:tc>
          <w:tcPr>
            <w:tcW w:w="2160" w:type="dxa"/>
            <w:tcBorders>
              <w:top w:val="single" w:sz="12" w:space="0" w:color="auto"/>
              <w:left w:val="nil"/>
              <w:bottom w:val="single" w:sz="4" w:space="0" w:color="auto"/>
              <w:right w:val="nil"/>
            </w:tcBorders>
            <w:shd w:val="clear" w:color="auto" w:fill="auto"/>
            <w:vAlign w:val="bottom"/>
          </w:tcPr>
          <w:p w14:paraId="4CA69B8C" w14:textId="77777777" w:rsidR="006E3B5E" w:rsidRPr="00373A14" w:rsidRDefault="006E3B5E" w:rsidP="00C52A02">
            <w:pPr>
              <w:spacing w:line="264" w:lineRule="auto"/>
              <w:contextualSpacing/>
              <w:jc w:val="center"/>
              <w:rPr>
                <w:rFonts w:ascii="Arial" w:hAnsi="Arial" w:cs="Arial"/>
                <w:b/>
                <w:sz w:val="22"/>
                <w:szCs w:val="22"/>
              </w:rPr>
            </w:pPr>
            <w:r w:rsidRPr="00373A14">
              <w:rPr>
                <w:rFonts w:ascii="Arial" w:hAnsi="Arial" w:cs="Arial"/>
                <w:b/>
                <w:sz w:val="22"/>
                <w:szCs w:val="22"/>
              </w:rPr>
              <w:t>Disappropriation</w:t>
            </w:r>
          </w:p>
        </w:tc>
        <w:tc>
          <w:tcPr>
            <w:tcW w:w="270" w:type="dxa"/>
            <w:tcBorders>
              <w:top w:val="single" w:sz="12" w:space="0" w:color="auto"/>
              <w:left w:val="nil"/>
              <w:bottom w:val="nil"/>
              <w:right w:val="nil"/>
            </w:tcBorders>
          </w:tcPr>
          <w:p w14:paraId="2EAA3921" w14:textId="77777777" w:rsidR="006E3B5E" w:rsidRPr="00373A14" w:rsidRDefault="006E3B5E" w:rsidP="00C52A02">
            <w:pPr>
              <w:spacing w:line="264" w:lineRule="auto"/>
              <w:contextualSpacing/>
              <w:jc w:val="center"/>
              <w:rPr>
                <w:rFonts w:ascii="Arial" w:hAnsi="Arial" w:cs="Arial"/>
                <w:b/>
                <w:sz w:val="22"/>
                <w:szCs w:val="22"/>
              </w:rPr>
            </w:pPr>
          </w:p>
        </w:tc>
        <w:tc>
          <w:tcPr>
            <w:tcW w:w="2520" w:type="dxa"/>
            <w:tcBorders>
              <w:top w:val="single" w:sz="12" w:space="0" w:color="auto"/>
              <w:left w:val="nil"/>
              <w:bottom w:val="single" w:sz="4" w:space="0" w:color="auto"/>
              <w:right w:val="nil"/>
            </w:tcBorders>
            <w:shd w:val="clear" w:color="auto" w:fill="auto"/>
          </w:tcPr>
          <w:p w14:paraId="535E76B6" w14:textId="77777777" w:rsidR="006E3B5E" w:rsidRPr="00373A14" w:rsidRDefault="006E3B5E" w:rsidP="00C52A02">
            <w:pPr>
              <w:spacing w:line="264" w:lineRule="auto"/>
              <w:contextualSpacing/>
              <w:jc w:val="center"/>
              <w:rPr>
                <w:rFonts w:ascii="Arial" w:hAnsi="Arial" w:cs="Arial"/>
                <w:b/>
                <w:sz w:val="22"/>
                <w:szCs w:val="22"/>
              </w:rPr>
            </w:pPr>
            <w:r w:rsidRPr="00373A14">
              <w:rPr>
                <w:rFonts w:ascii="Arial" w:hAnsi="Arial" w:cs="Arial"/>
                <w:b/>
                <w:sz w:val="22"/>
                <w:szCs w:val="22"/>
              </w:rPr>
              <w:t>Appropriation</w:t>
            </w:r>
          </w:p>
        </w:tc>
      </w:tr>
      <w:tr w:rsidR="006E3B5E" w:rsidRPr="00373A14" w14:paraId="232DFA2E" w14:textId="77777777" w:rsidTr="006E3B5E">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2B2E6017" w14:textId="77777777" w:rsidR="006E3B5E" w:rsidRPr="00373A14" w:rsidRDefault="006E3B5E" w:rsidP="00C52A02">
            <w:pPr>
              <w:spacing w:line="264" w:lineRule="auto"/>
              <w:contextualSpacing/>
              <w:rPr>
                <w:rFonts w:ascii="Arial" w:hAnsi="Arial" w:cs="Arial"/>
                <w:sz w:val="22"/>
                <w:szCs w:val="22"/>
              </w:rPr>
            </w:pPr>
            <w:r w:rsidRPr="00373A14">
              <w:rPr>
                <w:rFonts w:ascii="Arial" w:hAnsi="Arial" w:cs="Arial"/>
                <w:sz w:val="22"/>
                <w:szCs w:val="22"/>
              </w:rPr>
              <w:t xml:space="preserve">Ecological Restoration and Protection </w:t>
            </w:r>
          </w:p>
        </w:tc>
        <w:tc>
          <w:tcPr>
            <w:tcW w:w="270" w:type="dxa"/>
            <w:tcBorders>
              <w:top w:val="nil"/>
              <w:left w:val="nil"/>
              <w:bottom w:val="nil"/>
              <w:right w:val="nil"/>
            </w:tcBorders>
          </w:tcPr>
          <w:p w14:paraId="2D29145E" w14:textId="77777777" w:rsidR="006E3B5E" w:rsidRPr="00373A14" w:rsidRDefault="006E3B5E" w:rsidP="00C52A02">
            <w:pPr>
              <w:spacing w:line="264" w:lineRule="auto"/>
              <w:contextualSpacing/>
              <w:jc w:val="right"/>
              <w:rPr>
                <w:rFonts w:ascii="Arial" w:hAnsi="Arial" w:cs="Arial"/>
                <w:sz w:val="22"/>
                <w:szCs w:val="22"/>
              </w:rPr>
            </w:pPr>
          </w:p>
        </w:tc>
        <w:tc>
          <w:tcPr>
            <w:tcW w:w="2160" w:type="dxa"/>
            <w:tcBorders>
              <w:top w:val="nil"/>
              <w:left w:val="nil"/>
              <w:bottom w:val="nil"/>
              <w:right w:val="nil"/>
            </w:tcBorders>
            <w:shd w:val="clear" w:color="auto" w:fill="auto"/>
            <w:tcMar>
              <w:top w:w="43" w:type="dxa"/>
              <w:left w:w="115" w:type="dxa"/>
              <w:bottom w:w="43" w:type="dxa"/>
              <w:right w:w="115" w:type="dxa"/>
            </w:tcMar>
            <w:vAlign w:val="center"/>
          </w:tcPr>
          <w:p w14:paraId="1BFF34F7" w14:textId="77777777" w:rsidR="006E3B5E" w:rsidRPr="00373A14" w:rsidRDefault="006E3B5E" w:rsidP="00C52A02">
            <w:pPr>
              <w:spacing w:line="264" w:lineRule="auto"/>
              <w:contextualSpacing/>
              <w:jc w:val="right"/>
              <w:rPr>
                <w:rFonts w:ascii="Arial" w:hAnsi="Arial" w:cs="Arial"/>
                <w:sz w:val="22"/>
                <w:szCs w:val="22"/>
              </w:rPr>
            </w:pPr>
            <w:r w:rsidRPr="00373A14">
              <w:rPr>
                <w:rFonts w:ascii="Arial" w:hAnsi="Arial" w:cs="Arial"/>
                <w:sz w:val="22"/>
                <w:szCs w:val="22"/>
              </w:rPr>
              <w:t>($416,400)</w:t>
            </w:r>
          </w:p>
        </w:tc>
        <w:tc>
          <w:tcPr>
            <w:tcW w:w="270" w:type="dxa"/>
            <w:tcBorders>
              <w:top w:val="nil"/>
              <w:left w:val="nil"/>
              <w:bottom w:val="nil"/>
              <w:right w:val="nil"/>
            </w:tcBorders>
            <w:vAlign w:val="center"/>
          </w:tcPr>
          <w:p w14:paraId="289FA0E7" w14:textId="77777777" w:rsidR="006E3B5E" w:rsidRPr="00373A14" w:rsidRDefault="006E3B5E" w:rsidP="00C52A02">
            <w:pPr>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0EEC881A" w14:textId="77777777" w:rsidR="006E3B5E" w:rsidRPr="00373A14" w:rsidRDefault="006E3B5E" w:rsidP="00C52A02">
            <w:pPr>
              <w:pStyle w:val="ListParagraph0"/>
              <w:spacing w:line="264" w:lineRule="auto"/>
              <w:ind w:left="0"/>
              <w:contextualSpacing/>
              <w:jc w:val="right"/>
              <w:rPr>
                <w:rFonts w:ascii="Arial" w:hAnsi="Arial" w:cs="Arial"/>
                <w:bCs/>
                <w:sz w:val="22"/>
                <w:szCs w:val="22"/>
              </w:rPr>
            </w:pPr>
            <w:r w:rsidRPr="00373A14">
              <w:rPr>
                <w:rFonts w:ascii="Arial" w:hAnsi="Arial" w:cs="Arial"/>
                <w:bCs/>
                <w:sz w:val="22"/>
                <w:szCs w:val="22"/>
              </w:rPr>
              <w:t>$0</w:t>
            </w:r>
          </w:p>
        </w:tc>
      </w:tr>
      <w:tr w:rsidR="006E3B5E" w:rsidRPr="00373A14" w14:paraId="1DEE252D" w14:textId="77777777" w:rsidTr="006E3B5E">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35E37B0C" w14:textId="77777777" w:rsidR="006E3B5E" w:rsidRPr="00373A14" w:rsidRDefault="006E3B5E" w:rsidP="00C52A02">
            <w:pPr>
              <w:spacing w:line="264" w:lineRule="auto"/>
              <w:contextualSpacing/>
              <w:rPr>
                <w:rFonts w:ascii="Arial" w:hAnsi="Arial" w:cs="Arial"/>
                <w:sz w:val="22"/>
                <w:szCs w:val="22"/>
              </w:rPr>
            </w:pPr>
            <w:r w:rsidRPr="00373A14">
              <w:rPr>
                <w:rFonts w:ascii="Arial" w:hAnsi="Arial" w:cs="Arial"/>
                <w:sz w:val="22"/>
                <w:szCs w:val="22"/>
              </w:rPr>
              <w:t>WRIA 10 Ecological Restoration</w:t>
            </w:r>
          </w:p>
        </w:tc>
        <w:tc>
          <w:tcPr>
            <w:tcW w:w="270" w:type="dxa"/>
            <w:tcBorders>
              <w:top w:val="nil"/>
              <w:left w:val="nil"/>
              <w:bottom w:val="nil"/>
              <w:right w:val="nil"/>
            </w:tcBorders>
          </w:tcPr>
          <w:p w14:paraId="72F44802" w14:textId="77777777" w:rsidR="006E3B5E" w:rsidRPr="00373A14" w:rsidRDefault="006E3B5E" w:rsidP="00C52A02">
            <w:pPr>
              <w:spacing w:line="264" w:lineRule="auto"/>
              <w:contextualSpacing/>
              <w:jc w:val="right"/>
              <w:rPr>
                <w:rFonts w:ascii="Arial" w:hAnsi="Arial" w:cs="Arial"/>
                <w:sz w:val="22"/>
                <w:szCs w:val="22"/>
              </w:rPr>
            </w:pPr>
          </w:p>
        </w:tc>
        <w:tc>
          <w:tcPr>
            <w:tcW w:w="2160" w:type="dxa"/>
            <w:tcBorders>
              <w:top w:val="nil"/>
              <w:left w:val="nil"/>
              <w:bottom w:val="nil"/>
              <w:right w:val="nil"/>
            </w:tcBorders>
            <w:shd w:val="clear" w:color="auto" w:fill="auto"/>
            <w:tcMar>
              <w:top w:w="43" w:type="dxa"/>
              <w:left w:w="115" w:type="dxa"/>
              <w:bottom w:w="43" w:type="dxa"/>
              <w:right w:w="115" w:type="dxa"/>
            </w:tcMar>
            <w:vAlign w:val="center"/>
          </w:tcPr>
          <w:p w14:paraId="207B6DF6" w14:textId="77777777" w:rsidR="006E3B5E" w:rsidRPr="00373A14" w:rsidRDefault="006E3B5E" w:rsidP="00C52A02">
            <w:pPr>
              <w:spacing w:line="264" w:lineRule="auto"/>
              <w:contextualSpacing/>
              <w:jc w:val="right"/>
              <w:rPr>
                <w:rFonts w:ascii="Arial" w:hAnsi="Arial" w:cs="Arial"/>
                <w:sz w:val="22"/>
                <w:szCs w:val="22"/>
              </w:rPr>
            </w:pPr>
            <w:r w:rsidRPr="00373A14">
              <w:rPr>
                <w:rFonts w:ascii="Arial" w:hAnsi="Arial" w:cs="Arial"/>
                <w:sz w:val="22"/>
                <w:szCs w:val="22"/>
              </w:rPr>
              <w:t>($894,058)</w:t>
            </w:r>
          </w:p>
        </w:tc>
        <w:tc>
          <w:tcPr>
            <w:tcW w:w="270" w:type="dxa"/>
            <w:tcBorders>
              <w:top w:val="nil"/>
              <w:left w:val="nil"/>
              <w:bottom w:val="nil"/>
              <w:right w:val="nil"/>
            </w:tcBorders>
            <w:vAlign w:val="center"/>
          </w:tcPr>
          <w:p w14:paraId="3A364C50" w14:textId="77777777" w:rsidR="006E3B5E" w:rsidRPr="00373A14" w:rsidRDefault="006E3B5E" w:rsidP="00C52A02">
            <w:pPr>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501A59A6" w14:textId="77777777" w:rsidR="006E3B5E" w:rsidRPr="00373A14" w:rsidRDefault="006E3B5E" w:rsidP="00C52A02">
            <w:pPr>
              <w:pStyle w:val="ListParagraph0"/>
              <w:spacing w:line="264" w:lineRule="auto"/>
              <w:ind w:left="0"/>
              <w:contextualSpacing/>
              <w:jc w:val="right"/>
              <w:rPr>
                <w:rFonts w:ascii="Arial" w:hAnsi="Arial" w:cs="Arial"/>
                <w:bCs/>
                <w:sz w:val="22"/>
                <w:szCs w:val="22"/>
              </w:rPr>
            </w:pPr>
            <w:r w:rsidRPr="00373A14">
              <w:rPr>
                <w:rFonts w:ascii="Arial" w:hAnsi="Arial" w:cs="Arial"/>
                <w:bCs/>
                <w:sz w:val="22"/>
                <w:szCs w:val="22"/>
              </w:rPr>
              <w:t>$90,253</w:t>
            </w:r>
          </w:p>
        </w:tc>
      </w:tr>
      <w:tr w:rsidR="006E3B5E" w:rsidRPr="00373A14" w14:paraId="386E4045" w14:textId="77777777" w:rsidTr="006E3B5E">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5414EA17" w14:textId="77777777" w:rsidR="006E3B5E" w:rsidRPr="00373A14" w:rsidRDefault="006E3B5E" w:rsidP="00C52A02">
            <w:pPr>
              <w:spacing w:line="264" w:lineRule="auto"/>
              <w:contextualSpacing/>
              <w:rPr>
                <w:rFonts w:ascii="Arial" w:hAnsi="Arial" w:cs="Arial"/>
                <w:sz w:val="22"/>
                <w:szCs w:val="22"/>
              </w:rPr>
            </w:pPr>
            <w:r w:rsidRPr="00373A14">
              <w:rPr>
                <w:rFonts w:ascii="Arial" w:hAnsi="Arial" w:cs="Arial"/>
                <w:sz w:val="22"/>
                <w:szCs w:val="22"/>
              </w:rPr>
              <w:t>Vashon Ecological Restoration</w:t>
            </w:r>
          </w:p>
        </w:tc>
        <w:tc>
          <w:tcPr>
            <w:tcW w:w="270" w:type="dxa"/>
            <w:tcBorders>
              <w:top w:val="nil"/>
              <w:left w:val="nil"/>
              <w:bottom w:val="nil"/>
              <w:right w:val="nil"/>
            </w:tcBorders>
          </w:tcPr>
          <w:p w14:paraId="41655DC8" w14:textId="77777777" w:rsidR="006E3B5E" w:rsidRPr="00373A14" w:rsidRDefault="006E3B5E" w:rsidP="00C52A02">
            <w:pPr>
              <w:spacing w:line="264" w:lineRule="auto"/>
              <w:contextualSpacing/>
              <w:jc w:val="right"/>
              <w:rPr>
                <w:rFonts w:ascii="Arial" w:hAnsi="Arial" w:cs="Arial"/>
                <w:sz w:val="22"/>
                <w:szCs w:val="22"/>
              </w:rPr>
            </w:pPr>
          </w:p>
        </w:tc>
        <w:tc>
          <w:tcPr>
            <w:tcW w:w="2160" w:type="dxa"/>
            <w:tcBorders>
              <w:top w:val="nil"/>
              <w:left w:val="nil"/>
              <w:bottom w:val="nil"/>
              <w:right w:val="nil"/>
            </w:tcBorders>
            <w:shd w:val="clear" w:color="auto" w:fill="auto"/>
            <w:tcMar>
              <w:top w:w="43" w:type="dxa"/>
              <w:left w:w="115" w:type="dxa"/>
              <w:bottom w:w="43" w:type="dxa"/>
              <w:right w:w="115" w:type="dxa"/>
            </w:tcMar>
            <w:vAlign w:val="center"/>
          </w:tcPr>
          <w:p w14:paraId="68CB8AEF" w14:textId="77777777" w:rsidR="006E3B5E" w:rsidRPr="00373A14" w:rsidRDefault="006E3B5E" w:rsidP="00C52A02">
            <w:pPr>
              <w:spacing w:line="264" w:lineRule="auto"/>
              <w:contextualSpacing/>
              <w:jc w:val="right"/>
              <w:rPr>
                <w:rFonts w:ascii="Arial" w:hAnsi="Arial" w:cs="Arial"/>
                <w:sz w:val="22"/>
                <w:szCs w:val="22"/>
              </w:rPr>
            </w:pPr>
            <w:r w:rsidRPr="00373A14">
              <w:rPr>
                <w:rFonts w:ascii="Arial" w:hAnsi="Arial" w:cs="Arial"/>
                <w:sz w:val="22"/>
                <w:szCs w:val="22"/>
              </w:rPr>
              <w:t>($1,447,908)</w:t>
            </w:r>
          </w:p>
        </w:tc>
        <w:tc>
          <w:tcPr>
            <w:tcW w:w="270" w:type="dxa"/>
            <w:tcBorders>
              <w:top w:val="nil"/>
              <w:left w:val="nil"/>
              <w:bottom w:val="nil"/>
              <w:right w:val="nil"/>
            </w:tcBorders>
            <w:vAlign w:val="center"/>
          </w:tcPr>
          <w:p w14:paraId="639DE563" w14:textId="77777777" w:rsidR="006E3B5E" w:rsidRPr="00373A14" w:rsidRDefault="006E3B5E" w:rsidP="00C52A02">
            <w:pPr>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3B75FCC1" w14:textId="77777777" w:rsidR="006E3B5E" w:rsidRPr="00373A14" w:rsidRDefault="006E3B5E" w:rsidP="00C52A02">
            <w:pPr>
              <w:pStyle w:val="ListParagraph0"/>
              <w:spacing w:line="264" w:lineRule="auto"/>
              <w:ind w:left="0"/>
              <w:contextualSpacing/>
              <w:jc w:val="right"/>
              <w:rPr>
                <w:rFonts w:ascii="Arial" w:hAnsi="Arial" w:cs="Arial"/>
                <w:bCs/>
                <w:sz w:val="22"/>
                <w:szCs w:val="22"/>
              </w:rPr>
            </w:pPr>
            <w:r w:rsidRPr="00373A14">
              <w:rPr>
                <w:rFonts w:ascii="Arial" w:hAnsi="Arial" w:cs="Arial"/>
                <w:bCs/>
                <w:sz w:val="22"/>
                <w:szCs w:val="22"/>
              </w:rPr>
              <w:t>$483,450</w:t>
            </w:r>
          </w:p>
        </w:tc>
      </w:tr>
      <w:tr w:rsidR="006E3B5E" w:rsidRPr="00373A14" w14:paraId="611E74D3" w14:textId="77777777" w:rsidTr="006E3B5E">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78A46DD5" w14:textId="77777777" w:rsidR="006E3B5E" w:rsidRPr="00373A14" w:rsidRDefault="006E3B5E" w:rsidP="00C52A02">
            <w:pPr>
              <w:spacing w:line="264" w:lineRule="auto"/>
              <w:contextualSpacing/>
              <w:rPr>
                <w:rFonts w:ascii="Arial" w:hAnsi="Arial" w:cs="Arial"/>
                <w:sz w:val="22"/>
                <w:szCs w:val="22"/>
              </w:rPr>
            </w:pPr>
            <w:r w:rsidRPr="00373A14">
              <w:rPr>
                <w:rFonts w:ascii="Arial" w:hAnsi="Arial" w:cs="Arial"/>
                <w:sz w:val="22"/>
                <w:szCs w:val="22"/>
              </w:rPr>
              <w:lastRenderedPageBreak/>
              <w:t>Adaptive Management</w:t>
            </w:r>
          </w:p>
        </w:tc>
        <w:tc>
          <w:tcPr>
            <w:tcW w:w="270" w:type="dxa"/>
            <w:tcBorders>
              <w:top w:val="nil"/>
              <w:left w:val="nil"/>
              <w:bottom w:val="nil"/>
              <w:right w:val="nil"/>
            </w:tcBorders>
          </w:tcPr>
          <w:p w14:paraId="57166B41" w14:textId="77777777" w:rsidR="006E3B5E" w:rsidRPr="00373A14" w:rsidRDefault="006E3B5E" w:rsidP="00C52A02">
            <w:pPr>
              <w:spacing w:line="264" w:lineRule="auto"/>
              <w:contextualSpacing/>
              <w:jc w:val="right"/>
              <w:rPr>
                <w:rFonts w:ascii="Arial" w:hAnsi="Arial" w:cs="Arial"/>
                <w:sz w:val="22"/>
                <w:szCs w:val="22"/>
              </w:rPr>
            </w:pPr>
          </w:p>
        </w:tc>
        <w:tc>
          <w:tcPr>
            <w:tcW w:w="2160" w:type="dxa"/>
            <w:tcBorders>
              <w:top w:val="nil"/>
              <w:left w:val="nil"/>
              <w:bottom w:val="nil"/>
              <w:right w:val="nil"/>
            </w:tcBorders>
            <w:shd w:val="clear" w:color="auto" w:fill="auto"/>
            <w:tcMar>
              <w:top w:w="43" w:type="dxa"/>
              <w:left w:w="115" w:type="dxa"/>
              <w:bottom w:w="43" w:type="dxa"/>
              <w:right w:w="115" w:type="dxa"/>
            </w:tcMar>
            <w:vAlign w:val="center"/>
          </w:tcPr>
          <w:p w14:paraId="121D8597" w14:textId="77777777" w:rsidR="006E3B5E" w:rsidRPr="00373A14" w:rsidRDefault="006E3B5E" w:rsidP="00C52A02">
            <w:pPr>
              <w:spacing w:line="264" w:lineRule="auto"/>
              <w:contextualSpacing/>
              <w:jc w:val="right"/>
              <w:rPr>
                <w:rFonts w:ascii="Arial" w:hAnsi="Arial" w:cs="Arial"/>
                <w:sz w:val="22"/>
                <w:szCs w:val="22"/>
              </w:rPr>
            </w:pPr>
            <w:r w:rsidRPr="00373A14">
              <w:rPr>
                <w:rFonts w:ascii="Arial" w:hAnsi="Arial" w:cs="Arial"/>
                <w:sz w:val="22"/>
                <w:szCs w:val="22"/>
              </w:rPr>
              <w:t>$0</w:t>
            </w:r>
          </w:p>
        </w:tc>
        <w:tc>
          <w:tcPr>
            <w:tcW w:w="270" w:type="dxa"/>
            <w:tcBorders>
              <w:top w:val="nil"/>
              <w:left w:val="nil"/>
              <w:bottom w:val="nil"/>
              <w:right w:val="nil"/>
            </w:tcBorders>
            <w:vAlign w:val="center"/>
          </w:tcPr>
          <w:p w14:paraId="119AB7B1" w14:textId="77777777" w:rsidR="006E3B5E" w:rsidRPr="00373A14" w:rsidRDefault="006E3B5E" w:rsidP="00C52A02">
            <w:pPr>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7785BFDD" w14:textId="77777777" w:rsidR="006E3B5E" w:rsidRPr="00373A14" w:rsidRDefault="006E3B5E" w:rsidP="00C52A02">
            <w:pPr>
              <w:pStyle w:val="ListParagraph0"/>
              <w:spacing w:line="264" w:lineRule="auto"/>
              <w:ind w:left="0"/>
              <w:contextualSpacing/>
              <w:jc w:val="right"/>
              <w:rPr>
                <w:rFonts w:ascii="Arial" w:hAnsi="Arial" w:cs="Arial"/>
                <w:bCs/>
                <w:sz w:val="22"/>
                <w:szCs w:val="22"/>
              </w:rPr>
            </w:pPr>
            <w:r w:rsidRPr="00373A14">
              <w:rPr>
                <w:rFonts w:ascii="Arial" w:hAnsi="Arial" w:cs="Arial"/>
                <w:sz w:val="22"/>
                <w:szCs w:val="22"/>
              </w:rPr>
              <w:t>$240,000</w:t>
            </w:r>
          </w:p>
        </w:tc>
      </w:tr>
      <w:tr w:rsidR="006E3B5E" w:rsidRPr="00373A14" w14:paraId="230DE93D" w14:textId="77777777" w:rsidTr="006E3B5E">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6874A016" w14:textId="77777777" w:rsidR="006E3B5E" w:rsidRPr="00373A14" w:rsidRDefault="006E3B5E" w:rsidP="00C52A02">
            <w:pPr>
              <w:spacing w:line="264" w:lineRule="auto"/>
              <w:contextualSpacing/>
              <w:rPr>
                <w:rFonts w:ascii="Arial" w:hAnsi="Arial" w:cs="Arial"/>
                <w:sz w:val="22"/>
                <w:szCs w:val="22"/>
              </w:rPr>
            </w:pPr>
            <w:r w:rsidRPr="00373A14">
              <w:rPr>
                <w:rFonts w:ascii="Arial" w:hAnsi="Arial" w:cs="Arial"/>
                <w:sz w:val="22"/>
                <w:szCs w:val="22"/>
              </w:rPr>
              <w:t>Planning Program</w:t>
            </w:r>
          </w:p>
        </w:tc>
        <w:tc>
          <w:tcPr>
            <w:tcW w:w="270" w:type="dxa"/>
            <w:tcBorders>
              <w:top w:val="nil"/>
              <w:left w:val="nil"/>
              <w:bottom w:val="nil"/>
              <w:right w:val="nil"/>
            </w:tcBorders>
          </w:tcPr>
          <w:p w14:paraId="5D2E593C" w14:textId="77777777" w:rsidR="006E3B5E" w:rsidRPr="00373A14" w:rsidRDefault="006E3B5E" w:rsidP="00C52A02">
            <w:pPr>
              <w:spacing w:line="264" w:lineRule="auto"/>
              <w:contextualSpacing/>
              <w:jc w:val="right"/>
              <w:rPr>
                <w:rFonts w:ascii="Arial" w:hAnsi="Arial" w:cs="Arial"/>
                <w:sz w:val="22"/>
                <w:szCs w:val="22"/>
              </w:rPr>
            </w:pPr>
          </w:p>
        </w:tc>
        <w:tc>
          <w:tcPr>
            <w:tcW w:w="2160" w:type="dxa"/>
            <w:tcBorders>
              <w:top w:val="nil"/>
              <w:left w:val="nil"/>
              <w:bottom w:val="nil"/>
              <w:right w:val="nil"/>
            </w:tcBorders>
            <w:shd w:val="clear" w:color="auto" w:fill="auto"/>
            <w:tcMar>
              <w:top w:w="43" w:type="dxa"/>
              <w:left w:w="115" w:type="dxa"/>
              <w:bottom w:w="43" w:type="dxa"/>
              <w:right w:w="115" w:type="dxa"/>
            </w:tcMar>
            <w:vAlign w:val="center"/>
          </w:tcPr>
          <w:p w14:paraId="56224C8E" w14:textId="77777777" w:rsidR="006E3B5E" w:rsidRPr="00373A14" w:rsidRDefault="006E3B5E" w:rsidP="00C52A02">
            <w:pPr>
              <w:spacing w:line="264" w:lineRule="auto"/>
              <w:contextualSpacing/>
              <w:jc w:val="right"/>
              <w:rPr>
                <w:rFonts w:ascii="Arial" w:hAnsi="Arial" w:cs="Arial"/>
                <w:sz w:val="22"/>
                <w:szCs w:val="22"/>
              </w:rPr>
            </w:pPr>
            <w:r w:rsidRPr="00373A14">
              <w:rPr>
                <w:rFonts w:ascii="Arial" w:hAnsi="Arial" w:cs="Arial"/>
                <w:sz w:val="22"/>
                <w:szCs w:val="22"/>
              </w:rPr>
              <w:t>$0</w:t>
            </w:r>
          </w:p>
        </w:tc>
        <w:tc>
          <w:tcPr>
            <w:tcW w:w="270" w:type="dxa"/>
            <w:tcBorders>
              <w:top w:val="nil"/>
              <w:left w:val="nil"/>
              <w:bottom w:val="nil"/>
              <w:right w:val="nil"/>
            </w:tcBorders>
            <w:vAlign w:val="center"/>
          </w:tcPr>
          <w:p w14:paraId="7CDFC3CA" w14:textId="77777777" w:rsidR="006E3B5E" w:rsidRPr="00373A14" w:rsidRDefault="006E3B5E" w:rsidP="00C52A02">
            <w:pPr>
              <w:spacing w:line="264" w:lineRule="auto"/>
              <w:contextualSpacing/>
              <w:jc w:val="right"/>
              <w:rPr>
                <w:rFonts w:ascii="Arial" w:hAnsi="Arial" w:cs="Arial"/>
                <w:bCs/>
                <w:sz w:val="22"/>
                <w:szCs w:val="22"/>
              </w:rPr>
            </w:pPr>
          </w:p>
        </w:tc>
        <w:tc>
          <w:tcPr>
            <w:tcW w:w="2520" w:type="dxa"/>
            <w:tcBorders>
              <w:top w:val="nil"/>
              <w:left w:val="nil"/>
              <w:bottom w:val="nil"/>
              <w:right w:val="nil"/>
            </w:tcBorders>
            <w:shd w:val="clear" w:color="auto" w:fill="auto"/>
            <w:vAlign w:val="center"/>
          </w:tcPr>
          <w:p w14:paraId="2F672547" w14:textId="77777777" w:rsidR="006E3B5E" w:rsidRPr="00373A14" w:rsidRDefault="006E3B5E" w:rsidP="00C52A02">
            <w:pPr>
              <w:pStyle w:val="ListParagraph0"/>
              <w:spacing w:line="264" w:lineRule="auto"/>
              <w:ind w:left="0"/>
              <w:contextualSpacing/>
              <w:jc w:val="right"/>
              <w:rPr>
                <w:rFonts w:ascii="Arial" w:hAnsi="Arial" w:cs="Arial"/>
                <w:bCs/>
                <w:sz w:val="22"/>
                <w:szCs w:val="22"/>
              </w:rPr>
            </w:pPr>
            <w:r w:rsidRPr="00373A14">
              <w:rPr>
                <w:rFonts w:ascii="Arial" w:hAnsi="Arial" w:cs="Arial"/>
                <w:bCs/>
                <w:sz w:val="22"/>
                <w:szCs w:val="22"/>
              </w:rPr>
              <w:t>$176,400</w:t>
            </w:r>
          </w:p>
        </w:tc>
      </w:tr>
      <w:tr w:rsidR="006E3B5E" w:rsidRPr="00373A14" w14:paraId="5E66EAF2" w14:textId="77777777" w:rsidTr="006E3B5E">
        <w:trPr>
          <w:cantSplit/>
        </w:trPr>
        <w:tc>
          <w:tcPr>
            <w:tcW w:w="414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67B997D5" w14:textId="77777777" w:rsidR="006E3B5E" w:rsidRPr="00373A14" w:rsidRDefault="006E3B5E" w:rsidP="00C52A02">
            <w:pPr>
              <w:spacing w:line="264" w:lineRule="auto"/>
              <w:contextualSpacing/>
              <w:jc w:val="right"/>
              <w:rPr>
                <w:rFonts w:ascii="Arial" w:hAnsi="Arial" w:cs="Arial"/>
                <w:b/>
                <w:bCs/>
                <w:szCs w:val="24"/>
              </w:rPr>
            </w:pPr>
            <w:r w:rsidRPr="00373A14">
              <w:rPr>
                <w:rFonts w:ascii="Arial" w:hAnsi="Arial" w:cs="Arial"/>
                <w:b/>
                <w:bCs/>
                <w:szCs w:val="24"/>
              </w:rPr>
              <w:t xml:space="preserve">TOTAL </w:t>
            </w:r>
          </w:p>
        </w:tc>
        <w:tc>
          <w:tcPr>
            <w:tcW w:w="270" w:type="dxa"/>
            <w:tcBorders>
              <w:top w:val="nil"/>
              <w:left w:val="nil"/>
              <w:bottom w:val="single" w:sz="12" w:space="0" w:color="auto"/>
              <w:right w:val="nil"/>
            </w:tcBorders>
          </w:tcPr>
          <w:p w14:paraId="5602BBF1" w14:textId="77777777" w:rsidR="006E3B5E" w:rsidRPr="00373A14" w:rsidRDefault="006E3B5E" w:rsidP="00C52A02">
            <w:pPr>
              <w:spacing w:line="264" w:lineRule="auto"/>
              <w:contextualSpacing/>
              <w:jc w:val="right"/>
              <w:rPr>
                <w:rFonts w:ascii="Arial" w:hAnsi="Arial" w:cs="Arial"/>
                <w:b/>
                <w:bCs/>
                <w:szCs w:val="24"/>
              </w:rPr>
            </w:pPr>
          </w:p>
        </w:tc>
        <w:tc>
          <w:tcPr>
            <w:tcW w:w="216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vAlign w:val="center"/>
          </w:tcPr>
          <w:p w14:paraId="41F0E62A" w14:textId="77777777" w:rsidR="006E3B5E" w:rsidRPr="00373A14" w:rsidRDefault="006E3B5E" w:rsidP="00C52A02">
            <w:pPr>
              <w:spacing w:line="264" w:lineRule="auto"/>
              <w:contextualSpacing/>
              <w:jc w:val="right"/>
              <w:rPr>
                <w:rFonts w:ascii="Arial" w:hAnsi="Arial" w:cs="Arial"/>
                <w:b/>
                <w:bCs/>
                <w:szCs w:val="24"/>
              </w:rPr>
            </w:pPr>
            <w:r w:rsidRPr="00373A14">
              <w:rPr>
                <w:rFonts w:ascii="Arial" w:hAnsi="Arial" w:cs="Arial"/>
                <w:b/>
                <w:bCs/>
                <w:szCs w:val="24"/>
              </w:rPr>
              <w:t>($2,758,366)</w:t>
            </w:r>
          </w:p>
        </w:tc>
        <w:tc>
          <w:tcPr>
            <w:tcW w:w="270" w:type="dxa"/>
            <w:tcBorders>
              <w:top w:val="nil"/>
              <w:left w:val="nil"/>
              <w:bottom w:val="single" w:sz="12" w:space="0" w:color="auto"/>
              <w:right w:val="nil"/>
            </w:tcBorders>
          </w:tcPr>
          <w:p w14:paraId="51BABC63" w14:textId="77777777" w:rsidR="006E3B5E" w:rsidRPr="00373A14" w:rsidRDefault="006E3B5E" w:rsidP="00C52A02">
            <w:pPr>
              <w:spacing w:line="264" w:lineRule="auto"/>
              <w:contextualSpacing/>
              <w:jc w:val="right"/>
              <w:rPr>
                <w:rFonts w:ascii="Arial" w:hAnsi="Arial" w:cs="Arial"/>
                <w:b/>
                <w:szCs w:val="24"/>
              </w:rPr>
            </w:pPr>
          </w:p>
        </w:tc>
        <w:tc>
          <w:tcPr>
            <w:tcW w:w="2520" w:type="dxa"/>
            <w:tcBorders>
              <w:top w:val="single" w:sz="4" w:space="0" w:color="auto"/>
              <w:left w:val="nil"/>
              <w:bottom w:val="single" w:sz="12" w:space="0" w:color="auto"/>
              <w:right w:val="nil"/>
            </w:tcBorders>
            <w:shd w:val="clear" w:color="auto" w:fill="auto"/>
          </w:tcPr>
          <w:p w14:paraId="03DA07B9" w14:textId="77777777" w:rsidR="006E3B5E" w:rsidRPr="00373A14" w:rsidRDefault="006E3B5E" w:rsidP="00C52A02">
            <w:pPr>
              <w:spacing w:line="264" w:lineRule="auto"/>
              <w:contextualSpacing/>
              <w:jc w:val="right"/>
              <w:rPr>
                <w:rFonts w:ascii="Arial" w:hAnsi="Arial" w:cs="Arial"/>
                <w:b/>
                <w:szCs w:val="24"/>
              </w:rPr>
            </w:pPr>
            <w:r w:rsidRPr="00373A14">
              <w:rPr>
                <w:rFonts w:ascii="Arial" w:hAnsi="Arial" w:cs="Arial"/>
                <w:b/>
                <w:szCs w:val="24"/>
              </w:rPr>
              <w:t>$990,103</w:t>
            </w:r>
          </w:p>
        </w:tc>
      </w:tr>
    </w:tbl>
    <w:p w14:paraId="2D501C3C" w14:textId="77777777" w:rsidR="006E3B5E" w:rsidRPr="00373A14" w:rsidRDefault="006E3B5E" w:rsidP="00C52A02">
      <w:pPr>
        <w:spacing w:line="264" w:lineRule="auto"/>
        <w:contextualSpacing/>
        <w:jc w:val="both"/>
        <w:rPr>
          <w:rFonts w:ascii="Arial" w:hAnsi="Arial" w:cs="Arial"/>
          <w:szCs w:val="24"/>
        </w:rPr>
      </w:pPr>
    </w:p>
    <w:p w14:paraId="3411AE42" w14:textId="77777777" w:rsidR="00E16142" w:rsidRPr="006D3FF8" w:rsidRDefault="00E16142" w:rsidP="006E3B5E">
      <w:pPr>
        <w:spacing w:line="264" w:lineRule="auto"/>
        <w:contextualSpacing/>
        <w:jc w:val="both"/>
        <w:rPr>
          <w:rFonts w:ascii="Arial" w:hAnsi="Arial" w:cs="Arial"/>
          <w:iCs/>
        </w:rPr>
      </w:pPr>
    </w:p>
    <w:p w14:paraId="17E9CE1F" w14:textId="77777777" w:rsidR="007C0341" w:rsidRPr="000E7446" w:rsidRDefault="007C0341" w:rsidP="007C0341">
      <w:pPr>
        <w:tabs>
          <w:tab w:val="left" w:pos="720"/>
          <w:tab w:val="right" w:pos="9360"/>
        </w:tabs>
        <w:spacing w:line="264" w:lineRule="auto"/>
        <w:contextualSpacing/>
        <w:jc w:val="both"/>
        <w:rPr>
          <w:rFonts w:ascii="Arial" w:hAnsi="Arial" w:cs="Arial"/>
          <w:b/>
          <w:u w:val="single"/>
        </w:rPr>
      </w:pPr>
      <w:r>
        <w:rPr>
          <w:rFonts w:ascii="Arial" w:hAnsi="Arial" w:cs="Arial"/>
          <w:b/>
          <w:u w:val="single"/>
        </w:rPr>
        <w:t>Automated Fingerprint Identification System (AFIS)</w:t>
      </w:r>
      <w:r w:rsidRPr="000E7446">
        <w:rPr>
          <w:rFonts w:ascii="Arial" w:hAnsi="Arial" w:cs="Arial"/>
          <w:b/>
          <w:u w:val="single"/>
        </w:rPr>
        <w:tab/>
      </w:r>
      <w:r w:rsidRPr="00E9210E">
        <w:rPr>
          <w:rFonts w:ascii="Arial" w:hAnsi="Arial" w:cs="Arial"/>
          <w:b/>
          <w:u w:val="single"/>
        </w:rPr>
        <w:t>$250,000</w:t>
      </w:r>
    </w:p>
    <w:p w14:paraId="7F953780" w14:textId="77777777" w:rsidR="007C0341" w:rsidRDefault="007C0341" w:rsidP="007C0341">
      <w:pPr>
        <w:spacing w:line="264" w:lineRule="auto"/>
        <w:contextualSpacing/>
        <w:jc w:val="both"/>
        <w:rPr>
          <w:b/>
        </w:rPr>
      </w:pPr>
    </w:p>
    <w:p w14:paraId="1D6269BD" w14:textId="77777777" w:rsidR="007C0341" w:rsidRDefault="007C0341" w:rsidP="007C0341">
      <w:pPr>
        <w:spacing w:line="264" w:lineRule="auto"/>
        <w:contextualSpacing/>
        <w:jc w:val="both"/>
        <w:rPr>
          <w:rFonts w:ascii="Arial" w:hAnsi="Arial" w:cs="Arial"/>
        </w:rPr>
      </w:pPr>
      <w:r w:rsidRPr="0024373F">
        <w:rPr>
          <w:rFonts w:ascii="Arial" w:hAnsi="Arial" w:cs="Arial"/>
          <w:b/>
          <w:i/>
          <w:iCs/>
        </w:rPr>
        <w:t>AFIS Latent Information Management System</w:t>
      </w:r>
      <w:r>
        <w:rPr>
          <w:rFonts w:ascii="Arial" w:hAnsi="Arial" w:cs="Arial"/>
          <w:b/>
          <w:i/>
          <w:iCs/>
        </w:rPr>
        <w:t xml:space="preserve"> (LIMS</w:t>
      </w:r>
      <w:r w:rsidRPr="001B6B5F">
        <w:rPr>
          <w:rFonts w:ascii="Arial" w:hAnsi="Arial" w:cs="Arial"/>
          <w:b/>
          <w:i/>
          <w:iCs/>
        </w:rPr>
        <w:t>) [$250,000].</w:t>
      </w:r>
      <w:r>
        <w:rPr>
          <w:rFonts w:ascii="Arial" w:hAnsi="Arial" w:cs="Arial"/>
          <w:b/>
        </w:rPr>
        <w:t xml:space="preserve">  </w:t>
      </w:r>
      <w:r w:rsidRPr="003D194D">
        <w:rPr>
          <w:rFonts w:ascii="Arial" w:hAnsi="Arial" w:cs="Arial"/>
        </w:rPr>
        <w:t xml:space="preserve">The proposed ordinance would appropriate </w:t>
      </w:r>
      <w:r>
        <w:rPr>
          <w:rFonts w:ascii="Arial" w:hAnsi="Arial" w:cs="Arial"/>
        </w:rPr>
        <w:t>$250,000 of AFIS Levy funds to support the procurement and operation of a new AFIS LIMS.  The current LIMS technology solution is outdated and</w:t>
      </w:r>
      <w:r w:rsidRPr="00016199">
        <w:rPr>
          <w:rFonts w:ascii="Arial" w:hAnsi="Arial" w:cs="Arial"/>
        </w:rPr>
        <w:t xml:space="preserve"> has been identified by </w:t>
      </w:r>
      <w:r>
        <w:rPr>
          <w:rFonts w:ascii="Arial" w:hAnsi="Arial" w:cs="Arial"/>
        </w:rPr>
        <w:t>KC</w:t>
      </w:r>
      <w:r w:rsidRPr="00016199">
        <w:rPr>
          <w:rFonts w:ascii="Arial" w:hAnsi="Arial" w:cs="Arial"/>
        </w:rPr>
        <w:t>IT to be retired.</w:t>
      </w:r>
      <w:r>
        <w:rPr>
          <w:rFonts w:ascii="Arial" w:hAnsi="Arial" w:cs="Arial"/>
        </w:rPr>
        <w:t xml:space="preserve">  The current LIMS workflow requires staff to use four disconnected and aging systems supported by a combination of KCIT, AFIS IT, and AFIS latent print staff. </w:t>
      </w:r>
    </w:p>
    <w:p w14:paraId="637F4309" w14:textId="77777777" w:rsidR="007C0341" w:rsidRDefault="007C0341" w:rsidP="007C0341">
      <w:pPr>
        <w:spacing w:line="264" w:lineRule="auto"/>
        <w:contextualSpacing/>
        <w:jc w:val="both"/>
        <w:rPr>
          <w:rFonts w:ascii="Arial" w:hAnsi="Arial" w:cs="Arial"/>
          <w:i/>
          <w:iCs/>
        </w:rPr>
      </w:pPr>
    </w:p>
    <w:p w14:paraId="243BA622" w14:textId="77777777" w:rsidR="007C0341" w:rsidRDefault="007C0341" w:rsidP="007C0341">
      <w:pPr>
        <w:spacing w:line="264" w:lineRule="auto"/>
        <w:contextualSpacing/>
        <w:jc w:val="both"/>
        <w:rPr>
          <w:rFonts w:ascii="Arial" w:hAnsi="Arial" w:cs="Arial"/>
        </w:rPr>
      </w:pPr>
      <w:r>
        <w:rPr>
          <w:rFonts w:ascii="Arial" w:hAnsi="Arial" w:cs="Arial"/>
        </w:rPr>
        <w:t>Executive staff indicate that the project was originally budgeted for $250,000 and that the $396,000 requested in the PSB General Technology Capital Fund reflects the revised amount of the project with $30,000 for potential KCIT labor costs and a 20% contingency.  This discrepancy was not caught in time to update the transmitted AFIS request, but Executive staff stated that the existing appropriation in the operating fund can absorb the additional project costs if they exceed the $250,000 requested.</w:t>
      </w:r>
    </w:p>
    <w:p w14:paraId="3BDDBA5C" w14:textId="0DE87D87" w:rsidR="00F1355F" w:rsidRDefault="00F1355F" w:rsidP="00AB45DE">
      <w:pPr>
        <w:tabs>
          <w:tab w:val="left" w:pos="720"/>
          <w:tab w:val="right" w:pos="9360"/>
        </w:tabs>
        <w:spacing w:line="264" w:lineRule="auto"/>
        <w:contextualSpacing/>
        <w:jc w:val="both"/>
        <w:rPr>
          <w:rFonts w:ascii="Arial" w:hAnsi="Arial" w:cs="Arial"/>
          <w:b/>
          <w:u w:val="single"/>
        </w:rPr>
      </w:pPr>
    </w:p>
    <w:p w14:paraId="2B2450ED" w14:textId="77777777" w:rsidR="007C0341" w:rsidRDefault="007C0341" w:rsidP="00AB45DE">
      <w:pPr>
        <w:tabs>
          <w:tab w:val="left" w:pos="720"/>
          <w:tab w:val="right" w:pos="9360"/>
        </w:tabs>
        <w:spacing w:line="264" w:lineRule="auto"/>
        <w:contextualSpacing/>
        <w:jc w:val="both"/>
        <w:rPr>
          <w:rFonts w:ascii="Arial" w:hAnsi="Arial" w:cs="Arial"/>
          <w:b/>
          <w:u w:val="single"/>
        </w:rPr>
      </w:pPr>
    </w:p>
    <w:p w14:paraId="3D07708D" w14:textId="77777777" w:rsidR="00A03F60" w:rsidRPr="000E7446" w:rsidRDefault="00A03F60" w:rsidP="00A03F60">
      <w:pPr>
        <w:tabs>
          <w:tab w:val="left" w:pos="720"/>
          <w:tab w:val="right" w:pos="9360"/>
        </w:tabs>
        <w:spacing w:line="264" w:lineRule="auto"/>
        <w:contextualSpacing/>
        <w:jc w:val="both"/>
        <w:rPr>
          <w:rFonts w:ascii="Arial" w:hAnsi="Arial" w:cs="Arial"/>
          <w:b/>
          <w:u w:val="single"/>
        </w:rPr>
      </w:pPr>
      <w:r>
        <w:rPr>
          <w:rFonts w:ascii="Arial" w:hAnsi="Arial" w:cs="Arial"/>
          <w:b/>
          <w:u w:val="single"/>
        </w:rPr>
        <w:t>Health through Housing</w:t>
      </w:r>
      <w:r w:rsidRPr="000E7446">
        <w:rPr>
          <w:rFonts w:ascii="Arial" w:hAnsi="Arial" w:cs="Arial"/>
          <w:b/>
          <w:u w:val="single"/>
        </w:rPr>
        <w:tab/>
        <w:t>$</w:t>
      </w:r>
      <w:r>
        <w:rPr>
          <w:rFonts w:ascii="Arial" w:hAnsi="Arial" w:cs="Arial"/>
          <w:b/>
          <w:u w:val="single"/>
        </w:rPr>
        <w:t>7,245,000</w:t>
      </w:r>
    </w:p>
    <w:p w14:paraId="61759315" w14:textId="77777777" w:rsidR="00A03F60" w:rsidRPr="006D3FF8" w:rsidRDefault="00A03F60" w:rsidP="00A03F60">
      <w:pPr>
        <w:spacing w:line="264" w:lineRule="auto"/>
        <w:contextualSpacing/>
        <w:jc w:val="both"/>
        <w:rPr>
          <w:rFonts w:ascii="Arial" w:hAnsi="Arial" w:cs="Arial"/>
          <w:iCs/>
        </w:rPr>
      </w:pPr>
    </w:p>
    <w:p w14:paraId="76987FDE" w14:textId="77777777" w:rsidR="00A03F60" w:rsidRDefault="00A03F60" w:rsidP="00A03F60">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2A2E108E" w14:textId="3286CD9C" w:rsidR="00A03F60" w:rsidRPr="00A03F60" w:rsidRDefault="00A03F60" w:rsidP="00A03F60">
      <w:pPr>
        <w:spacing w:line="264" w:lineRule="auto"/>
        <w:contextualSpacing/>
        <w:jc w:val="both"/>
        <w:rPr>
          <w:rFonts w:ascii="Arial" w:hAnsi="Arial" w:cs="Arial"/>
          <w:bCs/>
          <w:iCs/>
        </w:rPr>
      </w:pPr>
      <w:r>
        <w:rPr>
          <w:rFonts w:ascii="Arial" w:hAnsi="Arial" w:cs="Arial"/>
          <w:b/>
          <w:i/>
        </w:rPr>
        <w:t>Implementation Plan Adjustments</w:t>
      </w:r>
      <w:r w:rsidRPr="0054665B">
        <w:rPr>
          <w:rFonts w:ascii="Arial" w:hAnsi="Arial" w:cs="Arial"/>
          <w:b/>
          <w:i/>
        </w:rPr>
        <w:t xml:space="preserve"> </w:t>
      </w:r>
      <w:r>
        <w:rPr>
          <w:rFonts w:ascii="Arial" w:hAnsi="Arial" w:cs="Arial"/>
          <w:b/>
          <w:i/>
        </w:rPr>
        <w:t>[</w:t>
      </w:r>
      <w:r w:rsidRPr="0054665B">
        <w:rPr>
          <w:rFonts w:ascii="Arial" w:hAnsi="Arial" w:cs="Arial"/>
          <w:b/>
          <w:i/>
        </w:rPr>
        <w:t>$</w:t>
      </w:r>
      <w:r w:rsidRPr="00515C1F">
        <w:rPr>
          <w:rFonts w:ascii="Arial" w:hAnsi="Arial" w:cs="Arial"/>
          <w:b/>
          <w:i/>
        </w:rPr>
        <w:t>7,244,651</w:t>
      </w:r>
      <w:r>
        <w:rPr>
          <w:rFonts w:ascii="Arial" w:hAnsi="Arial" w:cs="Arial"/>
          <w:b/>
          <w:i/>
        </w:rPr>
        <w:t>]</w:t>
      </w:r>
      <w:r w:rsidRPr="0054665B">
        <w:rPr>
          <w:rFonts w:ascii="Arial" w:hAnsi="Arial" w:cs="Arial"/>
          <w:b/>
          <w:i/>
        </w:rPr>
        <w:t>.</w:t>
      </w:r>
      <w:r>
        <w:rPr>
          <w:rFonts w:ascii="Arial" w:hAnsi="Arial" w:cs="Arial"/>
          <w:b/>
          <w:iCs/>
        </w:rPr>
        <w:t xml:space="preserve">  </w:t>
      </w:r>
      <w:r>
        <w:rPr>
          <w:rFonts w:ascii="Arial" w:hAnsi="Arial" w:cs="Arial"/>
          <w:bCs/>
          <w:iCs/>
        </w:rPr>
        <w:t xml:space="preserve">The proposed ordinance would appropriate an additional $7.2 million to the Health through Housing fund.  </w:t>
      </w:r>
      <w:r>
        <w:rPr>
          <w:rFonts w:ascii="Arial" w:hAnsi="Arial" w:cs="Arial"/>
          <w:iCs/>
        </w:rPr>
        <w:t>The proposed Initial Health through Housing Implementation Plan has been transmitted to the Council through Proposed Ordinance 2021-0330 and dual referred to the Committee of the Whole and the Regional Policy Committee.  The Plan would guide spending of Health through Housing sales tax revenue from 2022 through 2028.</w:t>
      </w:r>
    </w:p>
    <w:p w14:paraId="443DDAA6" w14:textId="77777777" w:rsidR="00A03F60" w:rsidRDefault="00A03F60" w:rsidP="00A03F60">
      <w:pPr>
        <w:spacing w:line="264" w:lineRule="auto"/>
        <w:contextualSpacing/>
        <w:jc w:val="both"/>
        <w:rPr>
          <w:rFonts w:ascii="Arial" w:hAnsi="Arial" w:cs="Arial"/>
          <w:iCs/>
        </w:rPr>
      </w:pPr>
    </w:p>
    <w:p w14:paraId="13F9DB96" w14:textId="43EACC2E" w:rsidR="00A03F60" w:rsidRPr="006D3FF8" w:rsidRDefault="00A03F60" w:rsidP="00A03F60">
      <w:pPr>
        <w:spacing w:line="264" w:lineRule="auto"/>
        <w:contextualSpacing/>
        <w:jc w:val="both"/>
        <w:rPr>
          <w:rFonts w:ascii="Arial" w:hAnsi="Arial" w:cs="Arial"/>
          <w:iCs/>
        </w:rPr>
      </w:pPr>
      <w:r>
        <w:rPr>
          <w:rFonts w:ascii="Arial" w:hAnsi="Arial" w:cs="Arial"/>
          <w:bCs/>
          <w:iCs/>
        </w:rPr>
        <w:t>The $7.2 million would align appropriation authority with the spending proposed in the Implementation Plan.  The proposed ordinance also notes an additional $13.2 million in revenue to reflect the latest OEFA forecast.  The updated OEFA forecasts were not incorporated into PO 2021-0330 due to its development timeline.  The variance between the additional revenue and the additional appropriation would build up reserves in the fund.</w:t>
      </w:r>
    </w:p>
    <w:p w14:paraId="120E5339" w14:textId="77E61CC0" w:rsidR="001C7F9A" w:rsidRDefault="001C7F9A" w:rsidP="001C7F9A">
      <w:pPr>
        <w:rPr>
          <w:rFonts w:ascii="Arial" w:hAnsi="Arial" w:cs="Arial"/>
          <w:b/>
          <w:u w:val="single"/>
        </w:rPr>
      </w:pPr>
    </w:p>
    <w:p w14:paraId="51E9FC97" w14:textId="5B3B31A4" w:rsidR="005929DA" w:rsidRDefault="005929DA" w:rsidP="001C7F9A">
      <w:pPr>
        <w:rPr>
          <w:rFonts w:ascii="Arial" w:hAnsi="Arial" w:cs="Arial"/>
          <w:b/>
          <w:smallCaps/>
          <w:szCs w:val="24"/>
          <w:u w:val="single"/>
        </w:rPr>
      </w:pPr>
    </w:p>
    <w:p w14:paraId="08EC34BA" w14:textId="68AF765F" w:rsidR="00C52A02" w:rsidRDefault="00C52A02" w:rsidP="001C7F9A">
      <w:pPr>
        <w:rPr>
          <w:rFonts w:ascii="Arial" w:hAnsi="Arial" w:cs="Arial"/>
          <w:b/>
          <w:smallCaps/>
          <w:szCs w:val="24"/>
          <w:u w:val="single"/>
        </w:rPr>
      </w:pPr>
    </w:p>
    <w:p w14:paraId="2E5CFA32" w14:textId="3FF72848" w:rsidR="00C52A02" w:rsidRDefault="00C52A02" w:rsidP="001C7F9A">
      <w:pPr>
        <w:rPr>
          <w:rFonts w:ascii="Arial" w:hAnsi="Arial" w:cs="Arial"/>
          <w:b/>
          <w:smallCaps/>
          <w:szCs w:val="24"/>
          <w:u w:val="single"/>
        </w:rPr>
      </w:pPr>
    </w:p>
    <w:p w14:paraId="07D11D03" w14:textId="7C52C12C" w:rsidR="00C52A02" w:rsidRDefault="00C52A02" w:rsidP="001C7F9A">
      <w:pPr>
        <w:rPr>
          <w:rFonts w:ascii="Arial" w:hAnsi="Arial" w:cs="Arial"/>
          <w:b/>
          <w:smallCaps/>
          <w:szCs w:val="24"/>
          <w:u w:val="single"/>
        </w:rPr>
      </w:pPr>
    </w:p>
    <w:p w14:paraId="0DC9A0F6" w14:textId="77777777" w:rsidR="00C52A02" w:rsidRDefault="00C52A02" w:rsidP="001C7F9A">
      <w:pPr>
        <w:rPr>
          <w:rFonts w:ascii="Arial" w:hAnsi="Arial" w:cs="Arial"/>
          <w:b/>
          <w:smallCaps/>
          <w:szCs w:val="24"/>
          <w:u w:val="single"/>
        </w:rPr>
      </w:pPr>
    </w:p>
    <w:p w14:paraId="649DFCB8" w14:textId="77777777" w:rsidR="005929DA" w:rsidRPr="00D9446A" w:rsidRDefault="005929DA" w:rsidP="005929DA">
      <w:pPr>
        <w:tabs>
          <w:tab w:val="left" w:pos="720"/>
          <w:tab w:val="right" w:pos="9360"/>
        </w:tabs>
        <w:spacing w:line="264" w:lineRule="auto"/>
        <w:contextualSpacing/>
        <w:jc w:val="both"/>
        <w:rPr>
          <w:rFonts w:ascii="Arial" w:hAnsi="Arial" w:cs="Arial"/>
          <w:b/>
          <w:szCs w:val="24"/>
          <w:u w:val="single"/>
        </w:rPr>
      </w:pPr>
      <w:r w:rsidRPr="00D9446A">
        <w:rPr>
          <w:rFonts w:ascii="Arial" w:hAnsi="Arial" w:cs="Arial"/>
          <w:b/>
          <w:szCs w:val="24"/>
          <w:u w:val="single"/>
        </w:rPr>
        <w:lastRenderedPageBreak/>
        <w:t>Local Services Administration</w:t>
      </w:r>
      <w:r w:rsidRPr="00D9446A">
        <w:rPr>
          <w:rFonts w:ascii="Arial" w:hAnsi="Arial" w:cs="Arial"/>
          <w:b/>
          <w:szCs w:val="24"/>
          <w:u w:val="single"/>
        </w:rPr>
        <w:tab/>
        <w:t xml:space="preserve">$3,409,000, 2.0 TLTs </w:t>
      </w:r>
    </w:p>
    <w:p w14:paraId="1BF4FE4E" w14:textId="77777777" w:rsidR="005929DA" w:rsidRPr="00D9446A" w:rsidRDefault="005929DA" w:rsidP="005929DA">
      <w:pPr>
        <w:tabs>
          <w:tab w:val="left" w:pos="720"/>
        </w:tabs>
        <w:spacing w:line="264" w:lineRule="auto"/>
        <w:contextualSpacing/>
        <w:jc w:val="both"/>
        <w:rPr>
          <w:rFonts w:ascii="Arial" w:hAnsi="Arial" w:cs="Arial"/>
          <w:b/>
          <w:szCs w:val="24"/>
        </w:rPr>
      </w:pPr>
    </w:p>
    <w:p w14:paraId="20CCB98D" w14:textId="77777777" w:rsidR="005929DA" w:rsidRPr="00D9446A" w:rsidRDefault="005929DA" w:rsidP="005929DA">
      <w:pPr>
        <w:spacing w:line="264" w:lineRule="auto"/>
        <w:contextualSpacing/>
        <w:jc w:val="both"/>
        <w:rPr>
          <w:rFonts w:ascii="Arial" w:hAnsi="Arial" w:cs="Arial"/>
          <w:szCs w:val="24"/>
        </w:rPr>
      </w:pPr>
      <w:r w:rsidRPr="00D9446A">
        <w:rPr>
          <w:rFonts w:ascii="Arial" w:hAnsi="Arial" w:cs="Arial"/>
          <w:b/>
          <w:i/>
          <w:iCs/>
          <w:szCs w:val="24"/>
        </w:rPr>
        <w:t>Participatory Budget</w:t>
      </w:r>
      <w:r>
        <w:rPr>
          <w:rFonts w:ascii="Arial" w:hAnsi="Arial" w:cs="Arial"/>
          <w:b/>
          <w:i/>
          <w:iCs/>
          <w:szCs w:val="24"/>
        </w:rPr>
        <w:t>ing</w:t>
      </w:r>
      <w:r w:rsidRPr="00D9446A">
        <w:rPr>
          <w:rFonts w:ascii="Arial" w:hAnsi="Arial" w:cs="Arial"/>
          <w:b/>
          <w:i/>
          <w:iCs/>
          <w:szCs w:val="24"/>
        </w:rPr>
        <w:t xml:space="preserve"> Community Committee Compensation [$297,000].</w:t>
      </w:r>
      <w:r w:rsidRPr="00D9446A">
        <w:rPr>
          <w:rFonts w:ascii="Arial" w:hAnsi="Arial" w:cs="Arial"/>
          <w:b/>
          <w:szCs w:val="24"/>
        </w:rPr>
        <w:t xml:space="preserve">  </w:t>
      </w:r>
      <w:r w:rsidRPr="00D9446A">
        <w:rPr>
          <w:rFonts w:ascii="Arial" w:hAnsi="Arial" w:cs="Arial"/>
          <w:szCs w:val="24"/>
        </w:rPr>
        <w:t>The proposed ordinance would appropriate $297,000 for compensation to Community Investment Committee members involved in the County's participatory budgeting process.  This appropriation would be funded using contingency funds in the General Fund transfer to Local Services.</w:t>
      </w:r>
    </w:p>
    <w:p w14:paraId="146FA39E" w14:textId="77777777" w:rsidR="00E16142" w:rsidRPr="00D9446A" w:rsidRDefault="00E16142" w:rsidP="005929DA">
      <w:pPr>
        <w:spacing w:line="264" w:lineRule="auto"/>
        <w:contextualSpacing/>
        <w:jc w:val="both"/>
        <w:rPr>
          <w:rFonts w:ascii="Arial" w:hAnsi="Arial" w:cs="Arial"/>
          <w:b/>
          <w:i/>
          <w:iCs/>
          <w:color w:val="FF0000"/>
          <w:szCs w:val="24"/>
        </w:rPr>
      </w:pPr>
    </w:p>
    <w:p w14:paraId="67D74E39" w14:textId="77777777" w:rsidR="005929DA" w:rsidRPr="00D9446A" w:rsidRDefault="005929DA" w:rsidP="005929DA">
      <w:pPr>
        <w:spacing w:line="264" w:lineRule="auto"/>
        <w:contextualSpacing/>
        <w:jc w:val="both"/>
        <w:rPr>
          <w:rFonts w:ascii="Arial" w:hAnsi="Arial" w:cs="Arial"/>
          <w:szCs w:val="24"/>
        </w:rPr>
      </w:pPr>
      <w:r w:rsidRPr="00D9446A">
        <w:rPr>
          <w:rFonts w:ascii="Arial" w:hAnsi="Arial" w:cs="Arial"/>
          <w:b/>
          <w:i/>
          <w:iCs/>
          <w:szCs w:val="24"/>
        </w:rPr>
        <w:t>Participatory Budget</w:t>
      </w:r>
      <w:r>
        <w:rPr>
          <w:rFonts w:ascii="Arial" w:hAnsi="Arial" w:cs="Arial"/>
          <w:b/>
          <w:i/>
          <w:iCs/>
          <w:szCs w:val="24"/>
        </w:rPr>
        <w:t>ing</w:t>
      </w:r>
      <w:r w:rsidRPr="00D9446A">
        <w:rPr>
          <w:rFonts w:ascii="Arial" w:hAnsi="Arial" w:cs="Arial"/>
          <w:b/>
          <w:i/>
          <w:iCs/>
          <w:szCs w:val="24"/>
        </w:rPr>
        <w:t xml:space="preserve"> Community Investment Committee Operating and Community Engagement Funding [$84,000].</w:t>
      </w:r>
      <w:r w:rsidRPr="00D9446A">
        <w:rPr>
          <w:rFonts w:ascii="Arial" w:hAnsi="Arial" w:cs="Arial"/>
          <w:b/>
          <w:szCs w:val="24"/>
        </w:rPr>
        <w:t xml:space="preserve">  </w:t>
      </w:r>
      <w:r w:rsidRPr="00D9446A">
        <w:rPr>
          <w:rFonts w:ascii="Arial" w:hAnsi="Arial" w:cs="Arial"/>
          <w:szCs w:val="24"/>
        </w:rPr>
        <w:t xml:space="preserve">The proposed ordinance would appropriate $84,000 to support community engagement materials and other operating costs associated with the County's participatory budgeting process.  This appropriation would cover the cost of translation and interpretation services, website hosting and similar costs. </w:t>
      </w:r>
    </w:p>
    <w:p w14:paraId="49E0D73E" w14:textId="77777777" w:rsidR="005929DA" w:rsidRPr="00D9446A" w:rsidRDefault="005929DA" w:rsidP="005929DA">
      <w:pPr>
        <w:spacing w:line="264" w:lineRule="auto"/>
        <w:ind w:left="720"/>
        <w:contextualSpacing/>
        <w:jc w:val="both"/>
        <w:rPr>
          <w:rFonts w:ascii="Arial" w:hAnsi="Arial" w:cs="Arial"/>
          <w:color w:val="FF0000"/>
          <w:szCs w:val="24"/>
        </w:rPr>
      </w:pPr>
    </w:p>
    <w:p w14:paraId="51AE4D00" w14:textId="77777777" w:rsidR="005929DA" w:rsidRPr="00D9446A" w:rsidRDefault="005929DA" w:rsidP="005929DA">
      <w:pPr>
        <w:spacing w:line="264" w:lineRule="auto"/>
        <w:contextualSpacing/>
        <w:jc w:val="both"/>
        <w:rPr>
          <w:rFonts w:ascii="Arial" w:hAnsi="Arial" w:cs="Arial"/>
          <w:color w:val="FF0000"/>
          <w:szCs w:val="24"/>
        </w:rPr>
      </w:pPr>
      <w:r w:rsidRPr="00D9446A">
        <w:rPr>
          <w:rFonts w:ascii="Arial" w:hAnsi="Arial" w:cs="Arial"/>
          <w:b/>
          <w:i/>
          <w:iCs/>
          <w:szCs w:val="24"/>
        </w:rPr>
        <w:t>DLS Planner Operating Budget [$482,000, ongoing].</w:t>
      </w:r>
      <w:r w:rsidRPr="00D9446A">
        <w:rPr>
          <w:rFonts w:ascii="Arial" w:hAnsi="Arial" w:cs="Arial"/>
          <w:b/>
          <w:szCs w:val="24"/>
        </w:rPr>
        <w:t xml:space="preserve">  </w:t>
      </w:r>
      <w:r w:rsidRPr="00D9446A">
        <w:rPr>
          <w:rFonts w:ascii="Arial" w:hAnsi="Arial" w:cs="Arial"/>
          <w:szCs w:val="24"/>
        </w:rPr>
        <w:t xml:space="preserve">The proposed ordinance would appropriate $482,000 to fund ongoing costs associated with subarea planning, included GIS mapping, community engagement, translation and interpretation services, and document material and production costs. </w:t>
      </w:r>
    </w:p>
    <w:p w14:paraId="26CCCCEC" w14:textId="77777777" w:rsidR="005929DA" w:rsidRPr="00D9446A" w:rsidRDefault="005929DA" w:rsidP="005929DA">
      <w:pPr>
        <w:spacing w:line="264" w:lineRule="auto"/>
        <w:contextualSpacing/>
        <w:jc w:val="both"/>
        <w:rPr>
          <w:rFonts w:ascii="Arial" w:hAnsi="Arial" w:cs="Arial"/>
          <w:color w:val="FF0000"/>
          <w:szCs w:val="24"/>
        </w:rPr>
      </w:pPr>
    </w:p>
    <w:p w14:paraId="19DE3DFF" w14:textId="600A2F36" w:rsidR="005929DA" w:rsidRPr="00D9446A" w:rsidRDefault="005929DA" w:rsidP="005929DA">
      <w:pPr>
        <w:spacing w:line="264" w:lineRule="auto"/>
        <w:contextualSpacing/>
        <w:jc w:val="both"/>
        <w:rPr>
          <w:rFonts w:ascii="Arial" w:hAnsi="Arial" w:cs="Arial"/>
          <w:color w:val="FF0000"/>
          <w:szCs w:val="24"/>
        </w:rPr>
      </w:pPr>
      <w:bookmarkStart w:id="8" w:name="_Hlk85104343"/>
      <w:r w:rsidRPr="00D9446A">
        <w:rPr>
          <w:rFonts w:ascii="Arial" w:hAnsi="Arial" w:cs="Arial"/>
          <w:b/>
          <w:i/>
          <w:iCs/>
          <w:szCs w:val="24"/>
        </w:rPr>
        <w:t>Fall City Business District Wastewater Project [$596,000, 1.0 TLT].</w:t>
      </w:r>
      <w:r w:rsidRPr="00D9446A">
        <w:rPr>
          <w:rFonts w:ascii="Arial" w:hAnsi="Arial" w:cs="Arial"/>
          <w:b/>
          <w:szCs w:val="24"/>
        </w:rPr>
        <w:t xml:space="preserve">  </w:t>
      </w:r>
      <w:r w:rsidRPr="00D9446A">
        <w:rPr>
          <w:rFonts w:ascii="Arial" w:hAnsi="Arial" w:cs="Arial"/>
          <w:szCs w:val="24"/>
        </w:rPr>
        <w:t>The proposed ordinance would appropriate $596,000 to add a temporary program manager position ($270,000) and consulting services ($495,000) to support the Fall City Business District Wastewater project through June 2023</w:t>
      </w:r>
      <w:r>
        <w:rPr>
          <w:rFonts w:ascii="Arial" w:hAnsi="Arial" w:cs="Arial"/>
          <w:szCs w:val="24"/>
        </w:rPr>
        <w:t xml:space="preserve">.  </w:t>
      </w:r>
      <w:r w:rsidRPr="00D9446A">
        <w:rPr>
          <w:rFonts w:ascii="Arial" w:hAnsi="Arial" w:cs="Arial"/>
          <w:szCs w:val="24"/>
        </w:rPr>
        <w:t>This appropriation would be funded by a Department of Commerce grant.  This project is also supported by a $80,000 general fund transfer to DLS to cover employee benefit costs that are ineligible for grant reimbursement.</w:t>
      </w:r>
      <w:r>
        <w:rPr>
          <w:rFonts w:ascii="Arial" w:hAnsi="Arial" w:cs="Arial"/>
          <w:szCs w:val="24"/>
        </w:rPr>
        <w:t xml:space="preserve">  The $596,000 would not cover the full cost of this project. Since the work is expected to continue into the first half of the next biennium, an additional appropriation request is anticipated in the 2023-2024 biennial budget.  </w:t>
      </w:r>
    </w:p>
    <w:bookmarkEnd w:id="8"/>
    <w:p w14:paraId="7DFD2551" w14:textId="77777777" w:rsidR="005929DA" w:rsidRPr="00D9446A" w:rsidRDefault="005929DA" w:rsidP="005929DA">
      <w:pPr>
        <w:spacing w:line="264" w:lineRule="auto"/>
        <w:contextualSpacing/>
        <w:jc w:val="both"/>
        <w:rPr>
          <w:rFonts w:ascii="Arial" w:hAnsi="Arial" w:cs="Arial"/>
          <w:color w:val="FF0000"/>
          <w:szCs w:val="24"/>
        </w:rPr>
      </w:pPr>
    </w:p>
    <w:p w14:paraId="738D91C7" w14:textId="77777777" w:rsidR="005929DA" w:rsidRPr="00D9446A" w:rsidRDefault="005929DA" w:rsidP="005929DA">
      <w:pPr>
        <w:spacing w:line="264" w:lineRule="auto"/>
        <w:contextualSpacing/>
        <w:jc w:val="both"/>
        <w:rPr>
          <w:rFonts w:ascii="Arial" w:hAnsi="Arial" w:cs="Arial"/>
          <w:szCs w:val="24"/>
        </w:rPr>
      </w:pPr>
      <w:r w:rsidRPr="00D9446A">
        <w:rPr>
          <w:rFonts w:ascii="Arial" w:hAnsi="Arial" w:cs="Arial"/>
          <w:b/>
          <w:i/>
          <w:iCs/>
          <w:szCs w:val="24"/>
        </w:rPr>
        <w:t>Skyway Community Center Project Manager TLT [$0, 1.0 TLT].</w:t>
      </w:r>
      <w:r w:rsidRPr="00D9446A">
        <w:rPr>
          <w:rFonts w:ascii="Arial" w:hAnsi="Arial" w:cs="Arial"/>
          <w:b/>
          <w:szCs w:val="24"/>
        </w:rPr>
        <w:t xml:space="preserve">  </w:t>
      </w:r>
      <w:r w:rsidRPr="00D9446A">
        <w:rPr>
          <w:rFonts w:ascii="Arial" w:hAnsi="Arial" w:cs="Arial"/>
          <w:szCs w:val="24"/>
        </w:rPr>
        <w:t xml:space="preserve">The proposed ordinance would add a temporary project manager to support the Skyway Community Center project.  Costs associated with this TLT position would be charged to the </w:t>
      </w:r>
      <w:r>
        <w:rPr>
          <w:rFonts w:ascii="Arial" w:hAnsi="Arial" w:cs="Arial"/>
          <w:szCs w:val="24"/>
        </w:rPr>
        <w:t xml:space="preserve">Skyway Community Center </w:t>
      </w:r>
      <w:r w:rsidRPr="00D9446A">
        <w:rPr>
          <w:rFonts w:ascii="Arial" w:hAnsi="Arial" w:cs="Arial"/>
          <w:szCs w:val="24"/>
        </w:rPr>
        <w:t xml:space="preserve">capital project.  </w:t>
      </w:r>
    </w:p>
    <w:p w14:paraId="72B731A1" w14:textId="77777777" w:rsidR="00E16142" w:rsidRDefault="00E16142" w:rsidP="001C7F9A">
      <w:pPr>
        <w:tabs>
          <w:tab w:val="left" w:pos="720"/>
          <w:tab w:val="right" w:pos="9360"/>
        </w:tabs>
        <w:spacing w:line="264" w:lineRule="auto"/>
        <w:contextualSpacing/>
        <w:jc w:val="both"/>
        <w:rPr>
          <w:rFonts w:ascii="Arial" w:hAnsi="Arial" w:cs="Arial"/>
          <w:b/>
          <w:u w:val="single"/>
        </w:rPr>
      </w:pPr>
    </w:p>
    <w:p w14:paraId="58894684" w14:textId="77777777" w:rsidR="00E16142" w:rsidRDefault="00E16142" w:rsidP="001C7F9A">
      <w:pPr>
        <w:tabs>
          <w:tab w:val="left" w:pos="720"/>
          <w:tab w:val="right" w:pos="9360"/>
        </w:tabs>
        <w:spacing w:line="264" w:lineRule="auto"/>
        <w:contextualSpacing/>
        <w:jc w:val="both"/>
        <w:rPr>
          <w:rFonts w:ascii="Arial" w:hAnsi="Arial" w:cs="Arial"/>
          <w:b/>
          <w:u w:val="single"/>
        </w:rPr>
      </w:pPr>
    </w:p>
    <w:p w14:paraId="46FE4850" w14:textId="78F7E140" w:rsidR="001C7F9A" w:rsidRPr="000E7446" w:rsidRDefault="001C7F9A" w:rsidP="001C7F9A">
      <w:pPr>
        <w:tabs>
          <w:tab w:val="left" w:pos="720"/>
          <w:tab w:val="right" w:pos="9360"/>
        </w:tabs>
        <w:spacing w:line="264" w:lineRule="auto"/>
        <w:contextualSpacing/>
        <w:jc w:val="both"/>
        <w:rPr>
          <w:rFonts w:ascii="Arial" w:hAnsi="Arial" w:cs="Arial"/>
          <w:b/>
          <w:u w:val="single"/>
        </w:rPr>
      </w:pPr>
      <w:r>
        <w:rPr>
          <w:rFonts w:ascii="Arial" w:hAnsi="Arial" w:cs="Arial"/>
          <w:b/>
          <w:u w:val="single"/>
        </w:rPr>
        <w:t>Parks and Recreation (Operating)</w:t>
      </w:r>
      <w:r w:rsidRPr="000E7446">
        <w:rPr>
          <w:rFonts w:ascii="Arial" w:hAnsi="Arial" w:cs="Arial"/>
          <w:b/>
          <w:u w:val="single"/>
        </w:rPr>
        <w:tab/>
        <w:t>$</w:t>
      </w:r>
      <w:r>
        <w:rPr>
          <w:rFonts w:ascii="Arial" w:hAnsi="Arial" w:cs="Arial"/>
          <w:b/>
          <w:u w:val="single"/>
        </w:rPr>
        <w:t>2,754,000, 18.0 FTEs</w:t>
      </w:r>
    </w:p>
    <w:p w14:paraId="24291130" w14:textId="77777777" w:rsidR="001C7F9A" w:rsidRDefault="001C7F9A" w:rsidP="001C7F9A">
      <w:pPr>
        <w:spacing w:line="264" w:lineRule="auto"/>
        <w:contextualSpacing/>
        <w:jc w:val="both"/>
        <w:rPr>
          <w:b/>
        </w:rPr>
      </w:pPr>
    </w:p>
    <w:p w14:paraId="4AAB2891" w14:textId="77777777" w:rsidR="001C7F9A" w:rsidRDefault="001C7F9A" w:rsidP="001C7F9A">
      <w:pPr>
        <w:spacing w:line="264" w:lineRule="auto"/>
        <w:jc w:val="both"/>
        <w:rPr>
          <w:rFonts w:ascii="Arial" w:hAnsi="Arial" w:cs="Arial"/>
          <w:bCs/>
        </w:rPr>
      </w:pPr>
      <w:r>
        <w:rPr>
          <w:rFonts w:ascii="Arial" w:hAnsi="Arial" w:cs="Arial"/>
          <w:b/>
          <w:i/>
          <w:iCs/>
        </w:rPr>
        <w:t xml:space="preserve">New Park Maintenance District [$1,331,200, 5.0 FTEs].  </w:t>
      </w:r>
      <w:r w:rsidRPr="00E63CE9">
        <w:rPr>
          <w:rFonts w:ascii="Arial" w:hAnsi="Arial" w:cs="Arial"/>
          <w:bCs/>
        </w:rPr>
        <w:t>The proposed ordinance would</w:t>
      </w:r>
      <w:r>
        <w:rPr>
          <w:rFonts w:ascii="Arial" w:hAnsi="Arial" w:cs="Arial"/>
          <w:bCs/>
        </w:rPr>
        <w:t xml:space="preserve"> dedicate maintenance resources to split Vashon Island into a separate maintenance district from the parks on the Sunset District mainland.  Currently, the Sunset maintenance district spans Skyway, White Center, and Vashon Island.  One park district maintenance coordinator and seven park specialists comprise the current Sunset District maintenance crew.  According to the fiscal note, splitting the Sunset into </w:t>
      </w:r>
      <w:r>
        <w:rPr>
          <w:rFonts w:ascii="Arial" w:hAnsi="Arial" w:cs="Arial"/>
          <w:bCs/>
        </w:rPr>
        <w:lastRenderedPageBreak/>
        <w:t xml:space="preserve">two districts would reduce travel times and provide resources for the growing system on Vashon Island without sacrificing service delivery in the urban unincorporated area. </w:t>
      </w:r>
    </w:p>
    <w:p w14:paraId="23401F97" w14:textId="77777777" w:rsidR="001C7F9A" w:rsidRDefault="001C7F9A" w:rsidP="001C7F9A">
      <w:pPr>
        <w:spacing w:line="264" w:lineRule="auto"/>
        <w:jc w:val="both"/>
        <w:rPr>
          <w:rFonts w:ascii="Arial" w:hAnsi="Arial" w:cs="Arial"/>
          <w:bCs/>
        </w:rPr>
      </w:pPr>
    </w:p>
    <w:p w14:paraId="6E08A052" w14:textId="77777777" w:rsidR="001C7F9A" w:rsidRDefault="001C7F9A" w:rsidP="001C7F9A">
      <w:pPr>
        <w:spacing w:line="264" w:lineRule="auto"/>
        <w:jc w:val="both"/>
        <w:rPr>
          <w:rFonts w:ascii="Arial" w:hAnsi="Arial" w:cs="Arial"/>
          <w:bCs/>
        </w:rPr>
      </w:pPr>
      <w:r>
        <w:rPr>
          <w:rFonts w:ascii="Arial" w:hAnsi="Arial" w:cs="Arial"/>
          <w:bCs/>
        </w:rPr>
        <w:t>Executive staff note that once the new maintenance district is operational, there may be some adjustments to other district boundaries in south King County to better balance demands across districts.  This planning effort would review current needs and future acquisitions.  This appropriation would be revenue-backed by the Parks levy.</w:t>
      </w:r>
    </w:p>
    <w:p w14:paraId="5BFB5A08" w14:textId="77777777" w:rsidR="001C7F9A" w:rsidRPr="00E63CE9" w:rsidRDefault="001C7F9A" w:rsidP="001C7F9A">
      <w:pPr>
        <w:spacing w:line="264" w:lineRule="auto"/>
        <w:jc w:val="both"/>
        <w:rPr>
          <w:rFonts w:ascii="Arial" w:hAnsi="Arial" w:cs="Arial"/>
          <w:b/>
          <w:i/>
          <w:iCs/>
        </w:rPr>
      </w:pPr>
    </w:p>
    <w:p w14:paraId="54B9C2A4" w14:textId="77777777" w:rsidR="001C7F9A" w:rsidRDefault="001C7F9A" w:rsidP="001C7F9A">
      <w:pPr>
        <w:spacing w:line="264" w:lineRule="auto"/>
        <w:jc w:val="both"/>
        <w:rPr>
          <w:rFonts w:ascii="Arial" w:hAnsi="Arial" w:cs="Arial"/>
          <w:bCs/>
        </w:rPr>
      </w:pPr>
      <w:r w:rsidRPr="00E63CE9">
        <w:rPr>
          <w:rFonts w:ascii="Arial" w:hAnsi="Arial" w:cs="Arial"/>
          <w:b/>
          <w:i/>
          <w:iCs/>
        </w:rPr>
        <w:t xml:space="preserve">Safety Officer </w:t>
      </w:r>
      <w:r>
        <w:rPr>
          <w:rFonts w:ascii="Arial" w:hAnsi="Arial" w:cs="Arial"/>
          <w:b/>
          <w:i/>
          <w:iCs/>
        </w:rPr>
        <w:t>[</w:t>
      </w:r>
      <w:r w:rsidRPr="00E63CE9">
        <w:rPr>
          <w:rFonts w:ascii="Arial" w:hAnsi="Arial" w:cs="Arial"/>
          <w:b/>
          <w:i/>
          <w:iCs/>
        </w:rPr>
        <w:t>$204,910, 1.0 FTE</w:t>
      </w:r>
      <w:r>
        <w:rPr>
          <w:rFonts w:ascii="Arial" w:hAnsi="Arial" w:cs="Arial"/>
          <w:b/>
          <w:i/>
          <w:iCs/>
        </w:rPr>
        <w:t>]</w:t>
      </w:r>
      <w:r w:rsidRPr="00E63CE9">
        <w:rPr>
          <w:rFonts w:ascii="Arial" w:hAnsi="Arial" w:cs="Arial"/>
          <w:b/>
          <w:i/>
          <w:iCs/>
        </w:rPr>
        <w:t>.</w:t>
      </w:r>
      <w:r>
        <w:rPr>
          <w:rFonts w:ascii="Arial" w:hAnsi="Arial" w:cs="Arial"/>
          <w:b/>
          <w:i/>
          <w:iCs/>
        </w:rPr>
        <w:t xml:space="preserve">  </w:t>
      </w:r>
      <w:r>
        <w:rPr>
          <w:rFonts w:ascii="Arial" w:hAnsi="Arial" w:cs="Arial"/>
          <w:bCs/>
        </w:rPr>
        <w:t>This proposed ordinance would create a Parks safety officer to develop, implement, and maintain safety programs and policies for the Parks Operations section and serve as the key advisor for safety related elements within the parks system.  The position would ensure regulatory compliance for park operations, perform audits, and maintain corrective action tracking.  The Safety Officer would lead the division’s safety committee, which includes representation from across the Parks and Recreation Division, in addition to the Park Operations section,</w:t>
      </w:r>
      <w:r w:rsidRPr="004F0C1E">
        <w:rPr>
          <w:rFonts w:ascii="Arial" w:hAnsi="Arial" w:cs="Arial"/>
          <w:bCs/>
        </w:rPr>
        <w:t xml:space="preserve"> </w:t>
      </w:r>
      <w:r>
        <w:rPr>
          <w:rFonts w:ascii="Arial" w:hAnsi="Arial" w:cs="Arial"/>
          <w:bCs/>
        </w:rPr>
        <w:t xml:space="preserve">and </w:t>
      </w:r>
      <w:r w:rsidRPr="004F0C1E">
        <w:rPr>
          <w:rFonts w:ascii="Arial" w:hAnsi="Arial" w:cs="Arial"/>
          <w:bCs/>
        </w:rPr>
        <w:t>liaison with the county’s central risk office to develop and implement protocols around safety hazards</w:t>
      </w:r>
      <w:r>
        <w:rPr>
          <w:rFonts w:ascii="Arial" w:hAnsi="Arial" w:cs="Arial"/>
          <w:bCs/>
        </w:rPr>
        <w:t>. This appropriation would be revenue-backed by the Parks levy.</w:t>
      </w:r>
    </w:p>
    <w:p w14:paraId="756CF055" w14:textId="77777777" w:rsidR="001C7F9A" w:rsidRDefault="001C7F9A" w:rsidP="001C7F9A">
      <w:pPr>
        <w:spacing w:line="264" w:lineRule="auto"/>
        <w:jc w:val="both"/>
        <w:rPr>
          <w:rFonts w:ascii="Arial" w:hAnsi="Arial" w:cs="Arial"/>
          <w:bCs/>
        </w:rPr>
      </w:pPr>
    </w:p>
    <w:p w14:paraId="6F4CD627" w14:textId="77777777" w:rsidR="001C7F9A" w:rsidRDefault="001C7F9A" w:rsidP="001C7F9A">
      <w:pPr>
        <w:spacing w:line="264" w:lineRule="auto"/>
        <w:jc w:val="both"/>
        <w:rPr>
          <w:rFonts w:ascii="Arial" w:hAnsi="Arial" w:cs="Arial"/>
          <w:bCs/>
        </w:rPr>
      </w:pPr>
      <w:r>
        <w:rPr>
          <w:rFonts w:ascii="Arial" w:hAnsi="Arial" w:cs="Arial"/>
          <w:b/>
          <w:i/>
          <w:iCs/>
        </w:rPr>
        <w:t xml:space="preserve">Contract Specialist TLT Conversion [2.0 FTEs].  </w:t>
      </w:r>
      <w:r>
        <w:rPr>
          <w:rFonts w:ascii="Arial" w:hAnsi="Arial" w:cs="Arial"/>
          <w:bCs/>
        </w:rPr>
        <w:t xml:space="preserve">This proposed ordinance would convert two contract specialists TLT positions to FTEs to address ongoing capital project delivery.  The positions would continue to be fully funded by the capital improvement program in </w:t>
      </w:r>
      <w:proofErr w:type="gramStart"/>
      <w:r>
        <w:rPr>
          <w:rFonts w:ascii="Arial" w:hAnsi="Arial" w:cs="Arial"/>
          <w:bCs/>
        </w:rPr>
        <w:t>Parks</w:t>
      </w:r>
      <w:proofErr w:type="gramEnd"/>
      <w:r>
        <w:rPr>
          <w:rFonts w:ascii="Arial" w:hAnsi="Arial" w:cs="Arial"/>
          <w:bCs/>
        </w:rPr>
        <w:t xml:space="preserve"> capital funds.</w:t>
      </w:r>
    </w:p>
    <w:p w14:paraId="71C077F2" w14:textId="77777777" w:rsidR="001C7F9A" w:rsidRDefault="001C7F9A" w:rsidP="001C7F9A">
      <w:pPr>
        <w:spacing w:line="264" w:lineRule="auto"/>
        <w:jc w:val="both"/>
        <w:rPr>
          <w:rFonts w:ascii="Arial" w:hAnsi="Arial" w:cs="Arial"/>
          <w:bCs/>
        </w:rPr>
      </w:pPr>
    </w:p>
    <w:p w14:paraId="7FC680C3" w14:textId="77777777" w:rsidR="001C7F9A" w:rsidRPr="0084189E" w:rsidRDefault="001C7F9A" w:rsidP="001C7F9A">
      <w:pPr>
        <w:spacing w:line="264" w:lineRule="auto"/>
        <w:contextualSpacing/>
        <w:jc w:val="both"/>
        <w:rPr>
          <w:rFonts w:ascii="Arial" w:hAnsi="Arial" w:cs="Arial"/>
          <w:b/>
        </w:rPr>
      </w:pPr>
      <w:r w:rsidRPr="00CB437C">
        <w:rPr>
          <w:rFonts w:ascii="Arial" w:hAnsi="Arial" w:cs="Arial"/>
          <w:b/>
        </w:rPr>
        <w:t>TECHNICAL</w:t>
      </w:r>
    </w:p>
    <w:p w14:paraId="7D46B0CC" w14:textId="77777777" w:rsidR="001C7F9A" w:rsidRDefault="001C7F9A" w:rsidP="001C7F9A">
      <w:pPr>
        <w:spacing w:line="264" w:lineRule="auto"/>
        <w:jc w:val="both"/>
        <w:rPr>
          <w:rFonts w:ascii="Arial" w:hAnsi="Arial" w:cs="Arial"/>
          <w:bCs/>
        </w:rPr>
      </w:pPr>
      <w:r>
        <w:rPr>
          <w:rFonts w:ascii="Arial" w:hAnsi="Arial" w:cs="Arial"/>
          <w:b/>
          <w:i/>
          <w:iCs/>
        </w:rPr>
        <w:t xml:space="preserve">Levy Delivery Capacity [$1,121,613, 10.0 FTEs].  </w:t>
      </w:r>
      <w:r>
        <w:rPr>
          <w:rFonts w:ascii="Arial" w:hAnsi="Arial" w:cs="Arial"/>
          <w:bCs/>
        </w:rPr>
        <w:t>This proposed ordinance would expand internal capacity to deliver commitments in the 2020-2025 Parks Levy by adding budget and FTE authority.  This would be part of the distribution of additional parks levy proceeds that were forecasted in the August 2021 Office of Economic and Financial Analysis forecast and based on the allocations specified in Ordinance 18890</w:t>
      </w:r>
      <w:r>
        <w:rPr>
          <w:rStyle w:val="FootnoteReference"/>
          <w:rFonts w:ascii="Arial" w:hAnsi="Arial" w:cs="Arial"/>
          <w:bCs/>
        </w:rPr>
        <w:footnoteReference w:id="28"/>
      </w:r>
      <w:r>
        <w:rPr>
          <w:rFonts w:ascii="Arial" w:hAnsi="Arial" w:cs="Arial"/>
          <w:bCs/>
        </w:rPr>
        <w:t xml:space="preserve"> and Motion 15378</w:t>
      </w:r>
      <w:r>
        <w:rPr>
          <w:rStyle w:val="FootnoteReference"/>
          <w:rFonts w:ascii="Arial" w:hAnsi="Arial" w:cs="Arial"/>
          <w:bCs/>
        </w:rPr>
        <w:footnoteReference w:id="29"/>
      </w:r>
      <w:r>
        <w:rPr>
          <w:rFonts w:ascii="Arial" w:hAnsi="Arial" w:cs="Arial"/>
          <w:bCs/>
        </w:rPr>
        <w:t>.</w:t>
      </w:r>
    </w:p>
    <w:p w14:paraId="1BF97AF9" w14:textId="77777777" w:rsidR="001C7F9A" w:rsidRDefault="001C7F9A" w:rsidP="001C7F9A">
      <w:pPr>
        <w:spacing w:line="264" w:lineRule="auto"/>
        <w:jc w:val="both"/>
        <w:rPr>
          <w:rFonts w:ascii="Arial" w:hAnsi="Arial" w:cs="Arial"/>
          <w:bCs/>
        </w:rPr>
      </w:pPr>
    </w:p>
    <w:p w14:paraId="4CEF557C" w14:textId="77777777" w:rsidR="001C7F9A" w:rsidRDefault="001C7F9A" w:rsidP="001C7F9A">
      <w:pPr>
        <w:spacing w:line="264" w:lineRule="auto"/>
        <w:jc w:val="both"/>
        <w:rPr>
          <w:rFonts w:ascii="Arial" w:hAnsi="Arial" w:cs="Arial"/>
        </w:rPr>
      </w:pPr>
      <w:r>
        <w:rPr>
          <w:rFonts w:ascii="Arial" w:hAnsi="Arial" w:cs="Arial"/>
          <w:b/>
          <w:i/>
          <w:iCs/>
        </w:rPr>
        <w:t xml:space="preserve">Targeted Equity Grants [$95,384].  </w:t>
      </w:r>
      <w:r>
        <w:rPr>
          <w:rFonts w:ascii="Arial" w:hAnsi="Arial" w:cs="Arial"/>
          <w:bCs/>
        </w:rPr>
        <w:t xml:space="preserve">This proposed ordinance would proportionally add additional parks levy proceeds anticipated in the 2021-2022 biennium to award in 2022. </w:t>
      </w:r>
      <w:r>
        <w:rPr>
          <w:rFonts w:ascii="Arial" w:hAnsi="Arial" w:cs="Arial"/>
        </w:rPr>
        <w:t xml:space="preserve"> Targeted equity grants were a new feature of the 2020-2025 Parks, Recreation, Open Space, and Trails Levy, and the criteria for the program and makeup of the advisory committee were approved by Council in 2020 with Ordinance </w:t>
      </w:r>
      <w:r w:rsidRPr="00B5262D">
        <w:rPr>
          <w:rFonts w:ascii="Arial" w:hAnsi="Arial" w:cs="Arial"/>
        </w:rPr>
        <w:t>19166</w:t>
      </w:r>
      <w:r>
        <w:rPr>
          <w:rFonts w:ascii="Arial" w:hAnsi="Arial" w:cs="Arial"/>
        </w:rPr>
        <w:t xml:space="preserve">. </w:t>
      </w:r>
    </w:p>
    <w:p w14:paraId="14AF4446" w14:textId="77777777" w:rsidR="001C7F9A" w:rsidRDefault="001C7F9A" w:rsidP="001C7F9A">
      <w:pPr>
        <w:spacing w:line="264" w:lineRule="auto"/>
        <w:jc w:val="both"/>
        <w:rPr>
          <w:rFonts w:ascii="Arial" w:hAnsi="Arial" w:cs="Arial"/>
          <w:bCs/>
        </w:rPr>
      </w:pPr>
    </w:p>
    <w:p w14:paraId="22DAFD2F" w14:textId="77777777" w:rsidR="001C7F9A" w:rsidRDefault="001C7F9A" w:rsidP="001C7F9A">
      <w:pPr>
        <w:spacing w:line="264" w:lineRule="auto"/>
        <w:jc w:val="both"/>
        <w:rPr>
          <w:rFonts w:ascii="Arial" w:hAnsi="Arial" w:cs="Arial"/>
          <w:bCs/>
        </w:rPr>
      </w:pPr>
      <w:r>
        <w:rPr>
          <w:rFonts w:ascii="Arial" w:hAnsi="Arial" w:cs="Arial"/>
          <w:bCs/>
        </w:rPr>
        <w:t>According to Executive staff, the request for proposals (RFP) application window has not yet opened for these grants.  The</w:t>
      </w:r>
      <w:r w:rsidRPr="002A6957">
        <w:rPr>
          <w:rFonts w:ascii="Arial" w:hAnsi="Arial" w:cs="Arial"/>
          <w:bCs/>
        </w:rPr>
        <w:t xml:space="preserve"> Targeted Equity Grants program staff are actively meeting with the Advisory Committee to further develop and refine the requests for proposals, guidelines, and recommendation process to ensure equitable outcomes and ease of use by applicants, the Advisory Committee, and program administrators. </w:t>
      </w:r>
      <w:r>
        <w:rPr>
          <w:rFonts w:ascii="Arial" w:hAnsi="Arial" w:cs="Arial"/>
          <w:bCs/>
        </w:rPr>
        <w:t xml:space="preserve"> </w:t>
      </w:r>
      <w:r w:rsidRPr="002A6957">
        <w:rPr>
          <w:rFonts w:ascii="Arial" w:hAnsi="Arial" w:cs="Arial"/>
          <w:bCs/>
        </w:rPr>
        <w:t xml:space="preserve">The </w:t>
      </w:r>
      <w:r w:rsidRPr="002A6957">
        <w:rPr>
          <w:rFonts w:ascii="Arial" w:hAnsi="Arial" w:cs="Arial"/>
          <w:bCs/>
        </w:rPr>
        <w:lastRenderedPageBreak/>
        <w:t>Advisory Committee has met 3 times and completed a demographic survey</w:t>
      </w:r>
      <w:r>
        <w:rPr>
          <w:rFonts w:ascii="Arial" w:hAnsi="Arial" w:cs="Arial"/>
          <w:bCs/>
        </w:rPr>
        <w:t>; Parks is</w:t>
      </w:r>
      <w:r w:rsidRPr="002A6957">
        <w:rPr>
          <w:rFonts w:ascii="Arial" w:hAnsi="Arial" w:cs="Arial"/>
          <w:bCs/>
        </w:rPr>
        <w:t xml:space="preserve"> finalizing an appointment through the Executive’s Office to fill the vacancy </w:t>
      </w:r>
      <w:r>
        <w:rPr>
          <w:rFonts w:ascii="Arial" w:hAnsi="Arial" w:cs="Arial"/>
          <w:bCs/>
        </w:rPr>
        <w:t xml:space="preserve">from a </w:t>
      </w:r>
      <w:r w:rsidRPr="002A6957">
        <w:rPr>
          <w:rFonts w:ascii="Arial" w:hAnsi="Arial" w:cs="Arial"/>
          <w:bCs/>
        </w:rPr>
        <w:t>retirement</w:t>
      </w:r>
      <w:r>
        <w:rPr>
          <w:rFonts w:ascii="Arial" w:hAnsi="Arial" w:cs="Arial"/>
          <w:bCs/>
        </w:rPr>
        <w:t xml:space="preserve">; and </w:t>
      </w:r>
      <w:r w:rsidRPr="002A6957">
        <w:rPr>
          <w:rFonts w:ascii="Arial" w:hAnsi="Arial" w:cs="Arial"/>
          <w:bCs/>
        </w:rPr>
        <w:t>staff have conducted email outreach to over 350 organizations, meetings with over 80 organizations, and conducted a survey gathering community input on grantmaking policies and priorities that received 136 responses.</w:t>
      </w:r>
    </w:p>
    <w:p w14:paraId="64677028" w14:textId="77777777" w:rsidR="00E16142" w:rsidRDefault="00E16142" w:rsidP="001C7F9A">
      <w:pPr>
        <w:spacing w:line="264" w:lineRule="auto"/>
        <w:jc w:val="both"/>
        <w:rPr>
          <w:rFonts w:ascii="Arial" w:hAnsi="Arial" w:cs="Arial"/>
          <w:bCs/>
        </w:rPr>
      </w:pPr>
    </w:p>
    <w:p w14:paraId="30E7939B" w14:textId="77777777" w:rsidR="001C7F9A" w:rsidRDefault="001C7F9A" w:rsidP="001C7F9A">
      <w:pPr>
        <w:spacing w:line="264" w:lineRule="auto"/>
        <w:jc w:val="both"/>
        <w:rPr>
          <w:rFonts w:ascii="Arial" w:hAnsi="Arial" w:cs="Arial"/>
          <w:bCs/>
        </w:rPr>
      </w:pPr>
    </w:p>
    <w:p w14:paraId="3F1675D4" w14:textId="77777777" w:rsidR="001C7F9A" w:rsidRPr="000E7446" w:rsidRDefault="001C7F9A" w:rsidP="001C7F9A">
      <w:pPr>
        <w:tabs>
          <w:tab w:val="left" w:pos="720"/>
          <w:tab w:val="right" w:pos="9360"/>
        </w:tabs>
        <w:spacing w:line="264" w:lineRule="auto"/>
        <w:contextualSpacing/>
        <w:jc w:val="both"/>
        <w:rPr>
          <w:rFonts w:ascii="Arial" w:hAnsi="Arial" w:cs="Arial"/>
          <w:b/>
          <w:u w:val="single"/>
        </w:rPr>
      </w:pPr>
      <w:r>
        <w:rPr>
          <w:rFonts w:ascii="Arial" w:hAnsi="Arial" w:cs="Arial"/>
          <w:b/>
          <w:u w:val="single"/>
        </w:rPr>
        <w:t>Parks, Recreation, Trails, and Open Space Levy</w:t>
      </w:r>
      <w:r w:rsidRPr="000E7446">
        <w:rPr>
          <w:rFonts w:ascii="Arial" w:hAnsi="Arial" w:cs="Arial"/>
          <w:b/>
          <w:u w:val="single"/>
        </w:rPr>
        <w:tab/>
        <w:t>$</w:t>
      </w:r>
      <w:r>
        <w:rPr>
          <w:rFonts w:ascii="Arial" w:hAnsi="Arial" w:cs="Arial"/>
          <w:b/>
          <w:u w:val="single"/>
        </w:rPr>
        <w:t>7,997,000</w:t>
      </w:r>
    </w:p>
    <w:p w14:paraId="5BB31BA8" w14:textId="77777777" w:rsidR="001C7F9A" w:rsidRDefault="001C7F9A" w:rsidP="001C7F9A">
      <w:pPr>
        <w:spacing w:line="264" w:lineRule="auto"/>
        <w:jc w:val="both"/>
        <w:rPr>
          <w:rFonts w:ascii="Arial" w:hAnsi="Arial" w:cs="Arial"/>
          <w:bCs/>
        </w:rPr>
      </w:pPr>
    </w:p>
    <w:p w14:paraId="0138ED7A" w14:textId="77777777" w:rsidR="001C7F9A" w:rsidRPr="0084189E" w:rsidRDefault="001C7F9A" w:rsidP="001C7F9A">
      <w:pPr>
        <w:spacing w:line="264" w:lineRule="auto"/>
        <w:contextualSpacing/>
        <w:jc w:val="both"/>
        <w:rPr>
          <w:rFonts w:ascii="Arial" w:hAnsi="Arial" w:cs="Arial"/>
          <w:b/>
        </w:rPr>
      </w:pPr>
      <w:r w:rsidRPr="00560D48">
        <w:rPr>
          <w:rFonts w:ascii="Arial" w:hAnsi="Arial" w:cs="Arial"/>
          <w:b/>
        </w:rPr>
        <w:t>TECHNICAL</w:t>
      </w:r>
    </w:p>
    <w:p w14:paraId="7FFB14F1" w14:textId="77777777" w:rsidR="001C7F9A" w:rsidRDefault="001C7F9A" w:rsidP="001C7F9A">
      <w:pPr>
        <w:spacing w:line="264" w:lineRule="auto"/>
        <w:jc w:val="both"/>
        <w:rPr>
          <w:rFonts w:ascii="Arial" w:hAnsi="Arial" w:cs="Arial"/>
          <w:bCs/>
        </w:rPr>
      </w:pPr>
      <w:r>
        <w:rPr>
          <w:rFonts w:ascii="Arial" w:hAnsi="Arial" w:cs="Arial"/>
          <w:b/>
          <w:i/>
          <w:iCs/>
        </w:rPr>
        <w:t xml:space="preserve">Distribute Excess Parks Levy [$7,996,214].  </w:t>
      </w:r>
      <w:r>
        <w:rPr>
          <w:rFonts w:ascii="Arial" w:hAnsi="Arial" w:cs="Arial"/>
          <w:bCs/>
        </w:rPr>
        <w:t>This proposed ordinance would distribute additional parks levy proceeds and other miscellaneous fund revenue anticipated in 2021-2022, in accordance with the August 2021 economic forecast from the Office of Economic and Financial Analysis. Distributions would be based on the allocations specified in Ordinance 18890, including the Seattle Aquarium, levy grant programs, King County parks operating and capital funds, King County cities, and the Woodland Park Zoo.</w:t>
      </w:r>
    </w:p>
    <w:p w14:paraId="5E5F6786" w14:textId="77777777" w:rsidR="001C7F9A" w:rsidRDefault="001C7F9A" w:rsidP="001C7F9A">
      <w:pPr>
        <w:spacing w:line="264" w:lineRule="auto"/>
        <w:jc w:val="both"/>
        <w:rPr>
          <w:rFonts w:ascii="Arial" w:hAnsi="Arial" w:cs="Arial"/>
          <w:b/>
          <w:i/>
          <w:iCs/>
        </w:rPr>
      </w:pPr>
      <w:r w:rsidRPr="00E63CE9">
        <w:rPr>
          <w:rFonts w:ascii="Arial" w:hAnsi="Arial" w:cs="Arial"/>
          <w:b/>
          <w:i/>
          <w:iCs/>
        </w:rPr>
        <w:t xml:space="preserve"> </w:t>
      </w:r>
    </w:p>
    <w:p w14:paraId="0D135C5F" w14:textId="77777777" w:rsidR="001C7F9A" w:rsidRDefault="001C7F9A" w:rsidP="001C7F9A">
      <w:pPr>
        <w:spacing w:line="264" w:lineRule="auto"/>
        <w:jc w:val="both"/>
        <w:rPr>
          <w:rFonts w:ascii="Arial" w:hAnsi="Arial" w:cs="Arial"/>
          <w:bCs/>
        </w:rPr>
      </w:pPr>
      <w:r>
        <w:rPr>
          <w:rFonts w:ascii="Arial" w:hAnsi="Arial" w:cs="Arial"/>
          <w:bCs/>
        </w:rPr>
        <w:t xml:space="preserve">$7,904,501 of this is revenue-backed; $7,544,501 from the Parks Levy and $360,000 from interest from levy collections. The remaining $91,713 will be covered by additional beginning fund balance above what was assumed in the 2021-2022 adopted budget. </w:t>
      </w:r>
    </w:p>
    <w:p w14:paraId="3ACB5013" w14:textId="77777777" w:rsidR="001C7F9A" w:rsidRDefault="001C7F9A" w:rsidP="001C7F9A">
      <w:pPr>
        <w:spacing w:line="264" w:lineRule="auto"/>
        <w:jc w:val="both"/>
        <w:rPr>
          <w:rFonts w:ascii="Arial" w:hAnsi="Arial" w:cs="Arial"/>
          <w:bCs/>
        </w:rPr>
      </w:pPr>
    </w:p>
    <w:p w14:paraId="24CBBF26" w14:textId="77777777" w:rsidR="001C7F9A" w:rsidRDefault="001C7F9A" w:rsidP="001C7F9A">
      <w:pPr>
        <w:spacing w:line="264" w:lineRule="auto"/>
        <w:jc w:val="both"/>
        <w:rPr>
          <w:rFonts w:ascii="Arial" w:hAnsi="Arial" w:cs="Arial"/>
          <w:bCs/>
        </w:rPr>
      </w:pPr>
      <w:r>
        <w:rPr>
          <w:rFonts w:ascii="Arial" w:hAnsi="Arial" w:cs="Arial"/>
          <w:bCs/>
        </w:rPr>
        <w:t>The King County Parks, Recreation, Trails, and Open Space Levy was approved by voters in August 2019.  The levy requires proceeds to be distributed in percentage allocations and amounts specified in Ordinance 18890 and Motion 15378.  Under Ordinance 19024, Council required proceeds from the 2020-2025 levy to be deposited in this sub-fund.  Moneys deposited in this fund are distributed as required by the levy ordinance.  This fund acts as a pass-through only.</w:t>
      </w:r>
    </w:p>
    <w:p w14:paraId="3770CAE7" w14:textId="77777777" w:rsidR="001C7F9A" w:rsidRDefault="001C7F9A" w:rsidP="001C7F9A">
      <w:pPr>
        <w:spacing w:line="264" w:lineRule="auto"/>
        <w:jc w:val="both"/>
        <w:rPr>
          <w:rFonts w:ascii="Arial" w:hAnsi="Arial" w:cs="Arial"/>
          <w:bCs/>
        </w:rPr>
      </w:pPr>
    </w:p>
    <w:p w14:paraId="0E12FF4A" w14:textId="1A81D750" w:rsidR="002E1DEB" w:rsidRDefault="001C7F9A" w:rsidP="001C7F9A">
      <w:pPr>
        <w:spacing w:line="264" w:lineRule="auto"/>
        <w:jc w:val="both"/>
        <w:rPr>
          <w:rFonts w:ascii="Arial" w:hAnsi="Arial" w:cs="Arial"/>
          <w:bCs/>
        </w:rPr>
      </w:pPr>
      <w:r>
        <w:rPr>
          <w:rFonts w:ascii="Arial" w:hAnsi="Arial" w:cs="Arial"/>
          <w:bCs/>
        </w:rPr>
        <w:t xml:space="preserve">Executive staff confirmed that the parks levy projects align with the allocations required by the Parks Levy Ordinance 18890 and Motion 15378. The revenue would be added proportionately across each category of spending as shown in the </w:t>
      </w:r>
      <w:r w:rsidRPr="001C7F9A">
        <w:rPr>
          <w:rFonts w:ascii="Arial" w:hAnsi="Arial" w:cs="Arial"/>
          <w:bCs/>
        </w:rPr>
        <w:t>table below.</w:t>
      </w:r>
    </w:p>
    <w:p w14:paraId="0A976F95" w14:textId="77777777" w:rsidR="001C7F9A" w:rsidRDefault="001C7F9A" w:rsidP="001C7F9A">
      <w:pPr>
        <w:jc w:val="both"/>
        <w:rPr>
          <w:rFonts w:ascii="Arial" w:hAnsi="Arial" w:cs="Arial"/>
          <w:bCs/>
        </w:rPr>
      </w:pPr>
    </w:p>
    <w:tbl>
      <w:tblPr>
        <w:tblW w:w="0" w:type="auto"/>
        <w:tblInd w:w="180" w:type="dxa"/>
        <w:tblLayout w:type="fixed"/>
        <w:tblLook w:val="04A0" w:firstRow="1" w:lastRow="0" w:firstColumn="1" w:lastColumn="0" w:noHBand="0" w:noVBand="1"/>
      </w:tblPr>
      <w:tblGrid>
        <w:gridCol w:w="3870"/>
        <w:gridCol w:w="2070"/>
        <w:gridCol w:w="1800"/>
        <w:gridCol w:w="1437"/>
      </w:tblGrid>
      <w:tr w:rsidR="001C7F9A" w:rsidRPr="00234AFD" w14:paraId="7FB04B66" w14:textId="77777777" w:rsidTr="00E34BBA">
        <w:trPr>
          <w:trHeight w:val="351"/>
        </w:trPr>
        <w:tc>
          <w:tcPr>
            <w:tcW w:w="3870" w:type="dxa"/>
            <w:tcBorders>
              <w:top w:val="single" w:sz="12" w:space="0" w:color="auto"/>
              <w:left w:val="nil"/>
              <w:bottom w:val="single" w:sz="4" w:space="0" w:color="auto"/>
              <w:right w:val="nil"/>
            </w:tcBorders>
            <w:shd w:val="clear" w:color="auto" w:fill="auto"/>
            <w:vAlign w:val="bottom"/>
          </w:tcPr>
          <w:p w14:paraId="6EA05C1A" w14:textId="77777777" w:rsidR="001C7F9A" w:rsidRPr="00234AFD" w:rsidRDefault="001C7F9A" w:rsidP="00E34BBA">
            <w:pPr>
              <w:pStyle w:val="xmsonormal0"/>
              <w:keepNext/>
              <w:spacing w:line="252" w:lineRule="auto"/>
              <w:rPr>
                <w:rFonts w:ascii="Arial" w:hAnsi="Arial" w:cs="Arial"/>
                <w:b/>
                <w:bCs/>
              </w:rPr>
            </w:pPr>
            <w:r>
              <w:rPr>
                <w:rFonts w:ascii="Arial" w:hAnsi="Arial" w:cs="Arial"/>
                <w:b/>
                <w:bCs/>
              </w:rPr>
              <w:t>Allocations</w:t>
            </w:r>
            <w:r w:rsidRPr="00234AFD">
              <w:rPr>
                <w:rFonts w:ascii="Arial" w:hAnsi="Arial" w:cs="Arial"/>
                <w:b/>
                <w:bCs/>
              </w:rPr>
              <w:t xml:space="preserve"> </w:t>
            </w:r>
          </w:p>
        </w:tc>
        <w:tc>
          <w:tcPr>
            <w:tcW w:w="2070" w:type="dxa"/>
            <w:tcBorders>
              <w:top w:val="single" w:sz="12" w:space="0" w:color="auto"/>
              <w:left w:val="nil"/>
              <w:bottom w:val="single" w:sz="4" w:space="0" w:color="auto"/>
              <w:right w:val="nil"/>
            </w:tcBorders>
            <w:shd w:val="clear" w:color="auto" w:fill="auto"/>
            <w:vAlign w:val="bottom"/>
          </w:tcPr>
          <w:p w14:paraId="18FA3B66" w14:textId="77777777" w:rsidR="001C7F9A" w:rsidRPr="00234AFD" w:rsidRDefault="001C7F9A" w:rsidP="00E34BBA">
            <w:pPr>
              <w:pStyle w:val="xmsonormal0"/>
              <w:keepNext/>
              <w:spacing w:line="252" w:lineRule="auto"/>
              <w:jc w:val="center"/>
              <w:rPr>
                <w:rFonts w:ascii="Arial" w:hAnsi="Arial" w:cs="Arial"/>
                <w:b/>
                <w:bCs/>
              </w:rPr>
            </w:pPr>
            <w:r w:rsidRPr="00234AFD">
              <w:rPr>
                <w:rFonts w:ascii="Arial" w:hAnsi="Arial" w:cs="Arial"/>
                <w:b/>
                <w:bCs/>
              </w:rPr>
              <w:t>2021/22 Adopted Budget</w:t>
            </w:r>
          </w:p>
        </w:tc>
        <w:tc>
          <w:tcPr>
            <w:tcW w:w="1800" w:type="dxa"/>
            <w:tcBorders>
              <w:top w:val="single" w:sz="12" w:space="0" w:color="auto"/>
              <w:left w:val="nil"/>
              <w:bottom w:val="single" w:sz="4" w:space="0" w:color="auto"/>
              <w:right w:val="nil"/>
            </w:tcBorders>
            <w:shd w:val="clear" w:color="auto" w:fill="auto"/>
            <w:vAlign w:val="bottom"/>
          </w:tcPr>
          <w:p w14:paraId="52C56589" w14:textId="77777777" w:rsidR="001C7F9A" w:rsidRPr="00234AFD" w:rsidRDefault="001C7F9A" w:rsidP="00E34BBA">
            <w:pPr>
              <w:pStyle w:val="xmsonormal0"/>
              <w:keepNext/>
              <w:spacing w:line="252" w:lineRule="auto"/>
              <w:jc w:val="center"/>
              <w:rPr>
                <w:rFonts w:ascii="Arial" w:hAnsi="Arial" w:cs="Arial"/>
                <w:b/>
                <w:bCs/>
              </w:rPr>
            </w:pPr>
            <w:r w:rsidRPr="00234AFD">
              <w:rPr>
                <w:rFonts w:ascii="Arial" w:hAnsi="Arial" w:cs="Arial"/>
                <w:b/>
                <w:bCs/>
              </w:rPr>
              <w:t>2</w:t>
            </w:r>
            <w:r w:rsidRPr="00234AFD">
              <w:rPr>
                <w:rFonts w:ascii="Arial" w:hAnsi="Arial" w:cs="Arial"/>
                <w:b/>
                <w:bCs/>
                <w:vertAlign w:val="superscript"/>
              </w:rPr>
              <w:t>nd</w:t>
            </w:r>
            <w:r w:rsidRPr="00234AFD">
              <w:rPr>
                <w:rFonts w:ascii="Arial" w:hAnsi="Arial" w:cs="Arial"/>
                <w:b/>
                <w:bCs/>
              </w:rPr>
              <w:t xml:space="preserve"> Omnibus Request</w:t>
            </w:r>
          </w:p>
        </w:tc>
        <w:tc>
          <w:tcPr>
            <w:tcW w:w="1437" w:type="dxa"/>
            <w:tcBorders>
              <w:top w:val="single" w:sz="12" w:space="0" w:color="auto"/>
              <w:left w:val="nil"/>
              <w:bottom w:val="single" w:sz="4" w:space="0" w:color="auto"/>
              <w:right w:val="nil"/>
            </w:tcBorders>
            <w:shd w:val="clear" w:color="auto" w:fill="auto"/>
            <w:vAlign w:val="bottom"/>
          </w:tcPr>
          <w:p w14:paraId="79D51C6C" w14:textId="77777777" w:rsidR="001C7F9A" w:rsidRPr="00234AFD" w:rsidRDefault="001C7F9A" w:rsidP="00E34BBA">
            <w:pPr>
              <w:pStyle w:val="xmsonormal0"/>
              <w:keepNext/>
              <w:spacing w:line="252" w:lineRule="auto"/>
              <w:jc w:val="center"/>
              <w:rPr>
                <w:rFonts w:ascii="Arial" w:hAnsi="Arial" w:cs="Arial"/>
                <w:b/>
                <w:bCs/>
              </w:rPr>
            </w:pPr>
            <w:r w:rsidRPr="00234AFD">
              <w:rPr>
                <w:rFonts w:ascii="Arial" w:hAnsi="Arial" w:cs="Arial"/>
                <w:b/>
                <w:bCs/>
              </w:rPr>
              <w:t>% Increase</w:t>
            </w:r>
          </w:p>
        </w:tc>
      </w:tr>
      <w:tr w:rsidR="001C7F9A" w:rsidRPr="00234AFD" w14:paraId="31581549" w14:textId="77777777" w:rsidTr="00E34BBA">
        <w:trPr>
          <w:trHeight w:val="351"/>
        </w:trPr>
        <w:tc>
          <w:tcPr>
            <w:tcW w:w="3870" w:type="dxa"/>
            <w:tcBorders>
              <w:top w:val="single" w:sz="4" w:space="0" w:color="auto"/>
              <w:left w:val="nil"/>
              <w:bottom w:val="nil"/>
              <w:right w:val="nil"/>
            </w:tcBorders>
            <w:shd w:val="clear" w:color="auto" w:fill="FFFFFF" w:themeFill="background1"/>
            <w:vAlign w:val="center"/>
          </w:tcPr>
          <w:p w14:paraId="2949851D"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Seattle Aquarium </w:t>
            </w:r>
          </w:p>
        </w:tc>
        <w:tc>
          <w:tcPr>
            <w:tcW w:w="2070" w:type="dxa"/>
            <w:tcBorders>
              <w:top w:val="single" w:sz="4" w:space="0" w:color="auto"/>
              <w:left w:val="nil"/>
              <w:bottom w:val="nil"/>
              <w:right w:val="nil"/>
            </w:tcBorders>
            <w:shd w:val="clear" w:color="auto" w:fill="FFFFFF" w:themeFill="background1"/>
            <w:vAlign w:val="center"/>
          </w:tcPr>
          <w:p w14:paraId="04846329"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3,883,318</w:t>
            </w:r>
          </w:p>
        </w:tc>
        <w:tc>
          <w:tcPr>
            <w:tcW w:w="1800" w:type="dxa"/>
            <w:tcBorders>
              <w:top w:val="single" w:sz="4" w:space="0" w:color="auto"/>
              <w:left w:val="nil"/>
              <w:bottom w:val="nil"/>
              <w:right w:val="nil"/>
            </w:tcBorders>
            <w:shd w:val="clear" w:color="auto" w:fill="FFFFFF" w:themeFill="background1"/>
            <w:vAlign w:val="center"/>
          </w:tcPr>
          <w:p w14:paraId="65DCC328"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125,589</w:t>
            </w:r>
          </w:p>
        </w:tc>
        <w:tc>
          <w:tcPr>
            <w:tcW w:w="1437" w:type="dxa"/>
            <w:tcBorders>
              <w:top w:val="single" w:sz="4" w:space="0" w:color="auto"/>
              <w:left w:val="nil"/>
              <w:bottom w:val="nil"/>
              <w:right w:val="nil"/>
            </w:tcBorders>
            <w:shd w:val="clear" w:color="auto" w:fill="FFFFFF" w:themeFill="background1"/>
            <w:vAlign w:val="center"/>
          </w:tcPr>
          <w:p w14:paraId="6137B643"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7493469A" w14:textId="77777777" w:rsidTr="00E34BBA">
        <w:trPr>
          <w:trHeight w:val="351"/>
        </w:trPr>
        <w:tc>
          <w:tcPr>
            <w:tcW w:w="3870" w:type="dxa"/>
            <w:tcBorders>
              <w:top w:val="nil"/>
              <w:left w:val="nil"/>
              <w:bottom w:val="nil"/>
              <w:right w:val="nil"/>
            </w:tcBorders>
            <w:vAlign w:val="center"/>
          </w:tcPr>
          <w:p w14:paraId="1B356F68"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Publicly Owned Pools </w:t>
            </w:r>
          </w:p>
        </w:tc>
        <w:tc>
          <w:tcPr>
            <w:tcW w:w="2070" w:type="dxa"/>
            <w:tcBorders>
              <w:top w:val="nil"/>
              <w:left w:val="nil"/>
              <w:bottom w:val="nil"/>
              <w:right w:val="nil"/>
            </w:tcBorders>
            <w:shd w:val="clear" w:color="auto" w:fill="FFFFFF" w:themeFill="background1"/>
            <w:vAlign w:val="center"/>
          </w:tcPr>
          <w:p w14:paraId="6BFFB31C"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15,434,961</w:t>
            </w:r>
          </w:p>
        </w:tc>
        <w:tc>
          <w:tcPr>
            <w:tcW w:w="1800" w:type="dxa"/>
            <w:tcBorders>
              <w:top w:val="nil"/>
              <w:left w:val="nil"/>
              <w:bottom w:val="nil"/>
              <w:right w:val="nil"/>
            </w:tcBorders>
            <w:shd w:val="clear" w:color="auto" w:fill="FFFFFF" w:themeFill="background1"/>
            <w:vAlign w:val="center"/>
          </w:tcPr>
          <w:p w14:paraId="4B871A34"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499,175</w:t>
            </w:r>
          </w:p>
        </w:tc>
        <w:tc>
          <w:tcPr>
            <w:tcW w:w="1437" w:type="dxa"/>
            <w:tcBorders>
              <w:top w:val="nil"/>
              <w:left w:val="nil"/>
              <w:bottom w:val="nil"/>
              <w:right w:val="nil"/>
            </w:tcBorders>
            <w:shd w:val="clear" w:color="auto" w:fill="FFFFFF" w:themeFill="background1"/>
            <w:vAlign w:val="center"/>
          </w:tcPr>
          <w:p w14:paraId="19051F6D"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5BA492A0" w14:textId="77777777" w:rsidTr="00E34BBA">
        <w:trPr>
          <w:trHeight w:val="351"/>
        </w:trPr>
        <w:tc>
          <w:tcPr>
            <w:tcW w:w="3870" w:type="dxa"/>
            <w:tcBorders>
              <w:top w:val="nil"/>
              <w:left w:val="nil"/>
              <w:bottom w:val="nil"/>
              <w:right w:val="nil"/>
            </w:tcBorders>
            <w:vAlign w:val="center"/>
          </w:tcPr>
          <w:p w14:paraId="51087004"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Open Space River Corridors Grants </w:t>
            </w:r>
          </w:p>
        </w:tc>
        <w:tc>
          <w:tcPr>
            <w:tcW w:w="2070" w:type="dxa"/>
            <w:tcBorders>
              <w:top w:val="nil"/>
              <w:left w:val="nil"/>
              <w:bottom w:val="nil"/>
              <w:right w:val="nil"/>
            </w:tcBorders>
            <w:shd w:val="clear" w:color="auto" w:fill="FFFFFF" w:themeFill="background1"/>
            <w:vAlign w:val="center"/>
          </w:tcPr>
          <w:p w14:paraId="4BBE1CD9"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7,471,701</w:t>
            </w:r>
          </w:p>
        </w:tc>
        <w:tc>
          <w:tcPr>
            <w:tcW w:w="1800" w:type="dxa"/>
            <w:tcBorders>
              <w:top w:val="nil"/>
              <w:left w:val="nil"/>
              <w:bottom w:val="nil"/>
              <w:right w:val="nil"/>
            </w:tcBorders>
            <w:shd w:val="clear" w:color="auto" w:fill="FFFFFF" w:themeFill="background1"/>
            <w:vAlign w:val="center"/>
          </w:tcPr>
          <w:p w14:paraId="5765910A"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241,639</w:t>
            </w:r>
          </w:p>
        </w:tc>
        <w:tc>
          <w:tcPr>
            <w:tcW w:w="1437" w:type="dxa"/>
            <w:tcBorders>
              <w:top w:val="nil"/>
              <w:left w:val="nil"/>
              <w:bottom w:val="nil"/>
              <w:right w:val="nil"/>
            </w:tcBorders>
            <w:shd w:val="clear" w:color="auto" w:fill="FFFFFF" w:themeFill="background1"/>
            <w:vAlign w:val="center"/>
          </w:tcPr>
          <w:p w14:paraId="6E7A0F29"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3685BAB8" w14:textId="77777777" w:rsidTr="00E34BBA">
        <w:trPr>
          <w:trHeight w:val="351"/>
        </w:trPr>
        <w:tc>
          <w:tcPr>
            <w:tcW w:w="3870" w:type="dxa"/>
            <w:tcBorders>
              <w:top w:val="nil"/>
              <w:left w:val="nil"/>
              <w:bottom w:val="nil"/>
              <w:right w:val="nil"/>
            </w:tcBorders>
            <w:shd w:val="clear" w:color="auto" w:fill="FFFFFF" w:themeFill="background1"/>
            <w:vAlign w:val="center"/>
          </w:tcPr>
          <w:p w14:paraId="5399F258"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King County Parks Operating Fund </w:t>
            </w:r>
          </w:p>
        </w:tc>
        <w:tc>
          <w:tcPr>
            <w:tcW w:w="2070" w:type="dxa"/>
            <w:tcBorders>
              <w:top w:val="nil"/>
              <w:left w:val="nil"/>
              <w:bottom w:val="nil"/>
              <w:right w:val="nil"/>
            </w:tcBorders>
            <w:shd w:val="clear" w:color="auto" w:fill="FFFFFF" w:themeFill="background1"/>
            <w:vAlign w:val="center"/>
          </w:tcPr>
          <w:p w14:paraId="53F2FB3A"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88,184,240</w:t>
            </w:r>
          </w:p>
        </w:tc>
        <w:tc>
          <w:tcPr>
            <w:tcW w:w="1800" w:type="dxa"/>
            <w:tcBorders>
              <w:top w:val="nil"/>
              <w:left w:val="nil"/>
              <w:bottom w:val="nil"/>
              <w:right w:val="nil"/>
            </w:tcBorders>
            <w:shd w:val="clear" w:color="auto" w:fill="FFFFFF" w:themeFill="background1"/>
            <w:vAlign w:val="center"/>
          </w:tcPr>
          <w:p w14:paraId="2B9CB112"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2,851,925</w:t>
            </w:r>
          </w:p>
        </w:tc>
        <w:tc>
          <w:tcPr>
            <w:tcW w:w="1437" w:type="dxa"/>
            <w:tcBorders>
              <w:top w:val="nil"/>
              <w:left w:val="nil"/>
              <w:bottom w:val="nil"/>
              <w:right w:val="nil"/>
            </w:tcBorders>
            <w:shd w:val="clear" w:color="auto" w:fill="FFFFFF" w:themeFill="background1"/>
            <w:vAlign w:val="center"/>
          </w:tcPr>
          <w:p w14:paraId="3541C094"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77709FAA" w14:textId="77777777" w:rsidTr="00E34BBA">
        <w:trPr>
          <w:trHeight w:val="351"/>
        </w:trPr>
        <w:tc>
          <w:tcPr>
            <w:tcW w:w="3870" w:type="dxa"/>
            <w:tcBorders>
              <w:top w:val="nil"/>
              <w:left w:val="nil"/>
              <w:bottom w:val="nil"/>
              <w:right w:val="nil"/>
            </w:tcBorders>
            <w:shd w:val="clear" w:color="auto" w:fill="FFFFFF" w:themeFill="background1"/>
            <w:vAlign w:val="center"/>
          </w:tcPr>
          <w:p w14:paraId="4358ED39"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King County Parks Capital Fund </w:t>
            </w:r>
          </w:p>
        </w:tc>
        <w:tc>
          <w:tcPr>
            <w:tcW w:w="2070" w:type="dxa"/>
            <w:tcBorders>
              <w:top w:val="nil"/>
              <w:left w:val="nil"/>
              <w:bottom w:val="nil"/>
              <w:right w:val="nil"/>
            </w:tcBorders>
            <w:shd w:val="clear" w:color="auto" w:fill="FFFFFF" w:themeFill="background1"/>
            <w:vAlign w:val="center"/>
          </w:tcPr>
          <w:p w14:paraId="45918F61"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103,616,482</w:t>
            </w:r>
          </w:p>
        </w:tc>
        <w:tc>
          <w:tcPr>
            <w:tcW w:w="1800" w:type="dxa"/>
            <w:tcBorders>
              <w:top w:val="nil"/>
              <w:left w:val="nil"/>
              <w:bottom w:val="nil"/>
              <w:right w:val="nil"/>
            </w:tcBorders>
            <w:shd w:val="clear" w:color="auto" w:fill="FFFFFF" w:themeFill="background1"/>
            <w:vAlign w:val="center"/>
          </w:tcPr>
          <w:p w14:paraId="7C3656C0"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3,351,012</w:t>
            </w:r>
          </w:p>
        </w:tc>
        <w:tc>
          <w:tcPr>
            <w:tcW w:w="1437" w:type="dxa"/>
            <w:tcBorders>
              <w:top w:val="nil"/>
              <w:left w:val="nil"/>
              <w:bottom w:val="nil"/>
              <w:right w:val="nil"/>
            </w:tcBorders>
            <w:shd w:val="clear" w:color="auto" w:fill="FFFFFF" w:themeFill="background1"/>
            <w:vAlign w:val="center"/>
          </w:tcPr>
          <w:p w14:paraId="4BAAEDC6"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7F8160AA" w14:textId="77777777" w:rsidTr="00E34BBA">
        <w:trPr>
          <w:trHeight w:val="351"/>
        </w:trPr>
        <w:tc>
          <w:tcPr>
            <w:tcW w:w="3870" w:type="dxa"/>
            <w:tcBorders>
              <w:top w:val="nil"/>
              <w:left w:val="nil"/>
              <w:bottom w:val="nil"/>
              <w:right w:val="nil"/>
            </w:tcBorders>
            <w:shd w:val="clear" w:color="auto" w:fill="FFFFFF" w:themeFill="background1"/>
            <w:vAlign w:val="center"/>
          </w:tcPr>
          <w:p w14:paraId="36AA3BB0"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Cities within King County </w:t>
            </w:r>
          </w:p>
        </w:tc>
        <w:tc>
          <w:tcPr>
            <w:tcW w:w="2070" w:type="dxa"/>
            <w:tcBorders>
              <w:top w:val="nil"/>
              <w:left w:val="nil"/>
              <w:bottom w:val="nil"/>
              <w:right w:val="nil"/>
            </w:tcBorders>
            <w:shd w:val="clear" w:color="auto" w:fill="FFFFFF" w:themeFill="background1"/>
            <w:vAlign w:val="center"/>
          </w:tcPr>
          <w:p w14:paraId="3BC09D63"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17,636,848</w:t>
            </w:r>
          </w:p>
        </w:tc>
        <w:tc>
          <w:tcPr>
            <w:tcW w:w="1800" w:type="dxa"/>
            <w:tcBorders>
              <w:top w:val="nil"/>
              <w:left w:val="nil"/>
              <w:bottom w:val="nil"/>
              <w:right w:val="nil"/>
            </w:tcBorders>
            <w:shd w:val="clear" w:color="auto" w:fill="FFFFFF" w:themeFill="background1"/>
            <w:vAlign w:val="center"/>
          </w:tcPr>
          <w:p w14:paraId="6762BF9F"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570,385</w:t>
            </w:r>
          </w:p>
        </w:tc>
        <w:tc>
          <w:tcPr>
            <w:tcW w:w="1437" w:type="dxa"/>
            <w:tcBorders>
              <w:top w:val="nil"/>
              <w:left w:val="nil"/>
              <w:bottom w:val="nil"/>
              <w:right w:val="nil"/>
            </w:tcBorders>
            <w:shd w:val="clear" w:color="auto" w:fill="FFFFFF" w:themeFill="background1"/>
            <w:vAlign w:val="center"/>
          </w:tcPr>
          <w:p w14:paraId="525E1CBD"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62F57040" w14:textId="77777777" w:rsidTr="00E34BBA">
        <w:trPr>
          <w:trHeight w:val="351"/>
        </w:trPr>
        <w:tc>
          <w:tcPr>
            <w:tcW w:w="3870" w:type="dxa"/>
            <w:tcBorders>
              <w:top w:val="nil"/>
              <w:left w:val="nil"/>
              <w:bottom w:val="single" w:sz="4" w:space="0" w:color="auto"/>
              <w:right w:val="nil"/>
            </w:tcBorders>
            <w:shd w:val="clear" w:color="auto" w:fill="FFFFFF" w:themeFill="background1"/>
            <w:vAlign w:val="center"/>
          </w:tcPr>
          <w:p w14:paraId="21664A14" w14:textId="77777777" w:rsidR="001C7F9A" w:rsidRPr="00234AFD" w:rsidRDefault="001C7F9A" w:rsidP="00E34BBA">
            <w:pPr>
              <w:rPr>
                <w:rFonts w:ascii="Arial" w:hAnsi="Arial" w:cs="Arial"/>
                <w:sz w:val="22"/>
                <w:szCs w:val="22"/>
              </w:rPr>
            </w:pPr>
            <w:r w:rsidRPr="00234AFD">
              <w:rPr>
                <w:rFonts w:ascii="Arial" w:eastAsia="Calibri" w:hAnsi="Arial" w:cs="Arial"/>
                <w:color w:val="000000" w:themeColor="text1"/>
                <w:sz w:val="22"/>
                <w:szCs w:val="22"/>
              </w:rPr>
              <w:t xml:space="preserve">Woodland Park Zoo </w:t>
            </w:r>
          </w:p>
        </w:tc>
        <w:tc>
          <w:tcPr>
            <w:tcW w:w="2070" w:type="dxa"/>
            <w:tcBorders>
              <w:top w:val="nil"/>
              <w:left w:val="nil"/>
              <w:bottom w:val="single" w:sz="4" w:space="0" w:color="auto"/>
              <w:right w:val="nil"/>
            </w:tcBorders>
            <w:shd w:val="clear" w:color="auto" w:fill="FFFFFF" w:themeFill="background1"/>
            <w:vAlign w:val="center"/>
          </w:tcPr>
          <w:p w14:paraId="6C349F87"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11,023,030</w:t>
            </w:r>
          </w:p>
        </w:tc>
        <w:tc>
          <w:tcPr>
            <w:tcW w:w="1800" w:type="dxa"/>
            <w:tcBorders>
              <w:top w:val="nil"/>
              <w:left w:val="nil"/>
              <w:bottom w:val="single" w:sz="4" w:space="0" w:color="auto"/>
              <w:right w:val="nil"/>
            </w:tcBorders>
            <w:shd w:val="clear" w:color="auto" w:fill="FFFFFF" w:themeFill="background1"/>
            <w:vAlign w:val="center"/>
          </w:tcPr>
          <w:p w14:paraId="39D8FC13"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356,491</w:t>
            </w:r>
          </w:p>
        </w:tc>
        <w:tc>
          <w:tcPr>
            <w:tcW w:w="1437" w:type="dxa"/>
            <w:tcBorders>
              <w:top w:val="nil"/>
              <w:left w:val="nil"/>
              <w:bottom w:val="single" w:sz="4" w:space="0" w:color="auto"/>
              <w:right w:val="nil"/>
            </w:tcBorders>
            <w:shd w:val="clear" w:color="auto" w:fill="FFFFFF" w:themeFill="background1"/>
            <w:vAlign w:val="center"/>
          </w:tcPr>
          <w:p w14:paraId="544B2C75" w14:textId="77777777" w:rsidR="001C7F9A" w:rsidRPr="00234AFD" w:rsidRDefault="001C7F9A" w:rsidP="00E34BBA">
            <w:pPr>
              <w:jc w:val="right"/>
              <w:rPr>
                <w:rFonts w:ascii="Arial" w:hAnsi="Arial" w:cs="Arial"/>
                <w:sz w:val="22"/>
                <w:szCs w:val="22"/>
              </w:rPr>
            </w:pPr>
            <w:r w:rsidRPr="00234AFD">
              <w:rPr>
                <w:rFonts w:ascii="Arial" w:eastAsia="Calibri" w:hAnsi="Arial" w:cs="Arial"/>
                <w:color w:val="000000" w:themeColor="text1"/>
                <w:sz w:val="22"/>
                <w:szCs w:val="22"/>
              </w:rPr>
              <w:t>3.23%</w:t>
            </w:r>
          </w:p>
        </w:tc>
      </w:tr>
      <w:tr w:rsidR="001C7F9A" w:rsidRPr="00234AFD" w14:paraId="3B156343" w14:textId="77777777" w:rsidTr="00E34BBA">
        <w:trPr>
          <w:trHeight w:val="491"/>
        </w:trPr>
        <w:tc>
          <w:tcPr>
            <w:tcW w:w="3870" w:type="dxa"/>
            <w:tcBorders>
              <w:top w:val="single" w:sz="4" w:space="0" w:color="auto"/>
              <w:left w:val="nil"/>
              <w:bottom w:val="single" w:sz="12" w:space="0" w:color="auto"/>
              <w:right w:val="nil"/>
            </w:tcBorders>
            <w:shd w:val="clear" w:color="auto" w:fill="auto"/>
            <w:vAlign w:val="center"/>
          </w:tcPr>
          <w:p w14:paraId="7CE028BA" w14:textId="77777777" w:rsidR="001C7F9A" w:rsidRPr="00234AFD" w:rsidRDefault="001C7F9A" w:rsidP="00E34BBA">
            <w:pPr>
              <w:rPr>
                <w:rFonts w:ascii="Arial" w:hAnsi="Arial" w:cs="Arial"/>
                <w:b/>
                <w:bCs/>
                <w:sz w:val="22"/>
                <w:szCs w:val="22"/>
              </w:rPr>
            </w:pPr>
            <w:r w:rsidRPr="00234AFD">
              <w:rPr>
                <w:rFonts w:ascii="Arial" w:eastAsia="Calibri" w:hAnsi="Arial" w:cs="Arial"/>
                <w:b/>
                <w:bCs/>
                <w:color w:val="000000" w:themeColor="text1"/>
                <w:sz w:val="22"/>
                <w:szCs w:val="22"/>
              </w:rPr>
              <w:t xml:space="preserve">Total Expenditures </w:t>
            </w:r>
          </w:p>
        </w:tc>
        <w:tc>
          <w:tcPr>
            <w:tcW w:w="2070" w:type="dxa"/>
            <w:tcBorders>
              <w:top w:val="single" w:sz="4" w:space="0" w:color="auto"/>
              <w:left w:val="nil"/>
              <w:bottom w:val="single" w:sz="12" w:space="0" w:color="auto"/>
              <w:right w:val="nil"/>
            </w:tcBorders>
            <w:shd w:val="clear" w:color="auto" w:fill="auto"/>
            <w:vAlign w:val="center"/>
          </w:tcPr>
          <w:p w14:paraId="3E8773D6" w14:textId="77777777" w:rsidR="001C7F9A" w:rsidRPr="00234AFD" w:rsidRDefault="001C7F9A" w:rsidP="00E34BBA">
            <w:pPr>
              <w:jc w:val="right"/>
              <w:rPr>
                <w:rFonts w:ascii="Arial" w:hAnsi="Arial" w:cs="Arial"/>
                <w:b/>
                <w:bCs/>
                <w:sz w:val="22"/>
                <w:szCs w:val="22"/>
              </w:rPr>
            </w:pPr>
            <w:r w:rsidRPr="00234AFD">
              <w:rPr>
                <w:rFonts w:ascii="Arial" w:eastAsia="Calibri" w:hAnsi="Arial" w:cs="Arial"/>
                <w:b/>
                <w:bCs/>
                <w:color w:val="000000" w:themeColor="text1"/>
                <w:sz w:val="22"/>
                <w:szCs w:val="22"/>
              </w:rPr>
              <w:t xml:space="preserve">247,250,580 </w:t>
            </w:r>
          </w:p>
        </w:tc>
        <w:tc>
          <w:tcPr>
            <w:tcW w:w="1800" w:type="dxa"/>
            <w:tcBorders>
              <w:top w:val="single" w:sz="4" w:space="0" w:color="auto"/>
              <w:left w:val="nil"/>
              <w:bottom w:val="single" w:sz="12" w:space="0" w:color="auto"/>
              <w:right w:val="nil"/>
            </w:tcBorders>
            <w:shd w:val="clear" w:color="auto" w:fill="auto"/>
            <w:vAlign w:val="center"/>
          </w:tcPr>
          <w:p w14:paraId="6D73B3C7" w14:textId="77777777" w:rsidR="001C7F9A" w:rsidRPr="00234AFD" w:rsidRDefault="001C7F9A" w:rsidP="00E34BBA">
            <w:pPr>
              <w:jc w:val="right"/>
              <w:rPr>
                <w:rFonts w:ascii="Arial" w:hAnsi="Arial" w:cs="Arial"/>
                <w:b/>
                <w:bCs/>
                <w:sz w:val="22"/>
                <w:szCs w:val="22"/>
              </w:rPr>
            </w:pPr>
            <w:r w:rsidRPr="00234AFD">
              <w:rPr>
                <w:rFonts w:ascii="Arial" w:eastAsia="Calibri" w:hAnsi="Arial" w:cs="Arial"/>
                <w:b/>
                <w:bCs/>
                <w:color w:val="000000" w:themeColor="text1"/>
                <w:sz w:val="22"/>
                <w:szCs w:val="22"/>
              </w:rPr>
              <w:t xml:space="preserve">7,996,214 </w:t>
            </w:r>
          </w:p>
        </w:tc>
        <w:tc>
          <w:tcPr>
            <w:tcW w:w="1437" w:type="dxa"/>
            <w:tcBorders>
              <w:top w:val="single" w:sz="4" w:space="0" w:color="auto"/>
              <w:left w:val="nil"/>
              <w:bottom w:val="single" w:sz="12" w:space="0" w:color="auto"/>
              <w:right w:val="nil"/>
            </w:tcBorders>
            <w:shd w:val="clear" w:color="auto" w:fill="auto"/>
            <w:vAlign w:val="center"/>
          </w:tcPr>
          <w:p w14:paraId="0AC4CDBC" w14:textId="77777777" w:rsidR="001C7F9A" w:rsidRPr="00234AFD" w:rsidRDefault="001C7F9A" w:rsidP="00E34BBA">
            <w:pPr>
              <w:jc w:val="right"/>
              <w:rPr>
                <w:rFonts w:ascii="Arial" w:hAnsi="Arial" w:cs="Arial"/>
                <w:b/>
                <w:bCs/>
                <w:sz w:val="22"/>
                <w:szCs w:val="22"/>
              </w:rPr>
            </w:pPr>
            <w:r w:rsidRPr="00234AFD">
              <w:rPr>
                <w:rFonts w:ascii="Arial" w:eastAsia="Calibri" w:hAnsi="Arial" w:cs="Arial"/>
                <w:b/>
                <w:bCs/>
                <w:color w:val="000000" w:themeColor="text1"/>
                <w:sz w:val="22"/>
                <w:szCs w:val="22"/>
              </w:rPr>
              <w:t xml:space="preserve">3.23% </w:t>
            </w:r>
          </w:p>
        </w:tc>
      </w:tr>
    </w:tbl>
    <w:p w14:paraId="3DAC17A7" w14:textId="77777777" w:rsidR="005732E4" w:rsidRDefault="005732E4" w:rsidP="001C7F9A">
      <w:pPr>
        <w:pStyle w:val="Default"/>
      </w:pPr>
    </w:p>
    <w:p w14:paraId="6BE083DA" w14:textId="77777777" w:rsidR="001C7F9A" w:rsidRPr="000E7446" w:rsidRDefault="001C7F9A" w:rsidP="001C7F9A">
      <w:pPr>
        <w:tabs>
          <w:tab w:val="left" w:pos="720"/>
          <w:tab w:val="right" w:pos="9360"/>
        </w:tabs>
        <w:spacing w:line="264" w:lineRule="auto"/>
        <w:contextualSpacing/>
        <w:jc w:val="both"/>
        <w:rPr>
          <w:rFonts w:ascii="Arial" w:hAnsi="Arial" w:cs="Arial"/>
          <w:b/>
          <w:u w:val="single"/>
        </w:rPr>
      </w:pPr>
      <w:r>
        <w:rPr>
          <w:rFonts w:ascii="Arial" w:hAnsi="Arial" w:cs="Arial"/>
          <w:b/>
          <w:u w:val="single"/>
        </w:rPr>
        <w:t>3151 Conservation Futures Sub-fund (Capital)</w:t>
      </w:r>
      <w:r w:rsidRPr="000E7446">
        <w:rPr>
          <w:rFonts w:ascii="Arial" w:hAnsi="Arial" w:cs="Arial"/>
          <w:b/>
          <w:u w:val="single"/>
        </w:rPr>
        <w:tab/>
      </w:r>
      <w:r>
        <w:rPr>
          <w:rFonts w:ascii="Arial" w:hAnsi="Arial" w:cs="Arial"/>
          <w:b/>
          <w:u w:val="single"/>
        </w:rPr>
        <w:t>$28,332,639</w:t>
      </w:r>
    </w:p>
    <w:p w14:paraId="1F2F3A02" w14:textId="77777777" w:rsidR="001C7F9A" w:rsidRDefault="001C7F9A" w:rsidP="001C7F9A">
      <w:pPr>
        <w:tabs>
          <w:tab w:val="left" w:pos="720"/>
          <w:tab w:val="right" w:pos="9360"/>
        </w:tabs>
        <w:spacing w:line="264" w:lineRule="auto"/>
        <w:contextualSpacing/>
        <w:jc w:val="both"/>
        <w:rPr>
          <w:rFonts w:ascii="Arial" w:hAnsi="Arial" w:cs="Arial"/>
          <w:b/>
          <w:highlight w:val="yellow"/>
        </w:rPr>
      </w:pPr>
    </w:p>
    <w:p w14:paraId="7F438913" w14:textId="77777777" w:rsidR="001C7F9A" w:rsidRDefault="001C7F9A" w:rsidP="001C7F9A">
      <w:pPr>
        <w:tabs>
          <w:tab w:val="left" w:pos="720"/>
          <w:tab w:val="right" w:pos="9360"/>
        </w:tabs>
        <w:spacing w:line="264" w:lineRule="auto"/>
        <w:contextualSpacing/>
        <w:jc w:val="both"/>
        <w:rPr>
          <w:rFonts w:ascii="Arial" w:hAnsi="Arial" w:cs="Arial"/>
          <w:bCs/>
        </w:rPr>
      </w:pPr>
      <w:r w:rsidRPr="00F87F36">
        <w:rPr>
          <w:rFonts w:ascii="Arial" w:hAnsi="Arial" w:cs="Arial"/>
          <w:b/>
          <w:i/>
          <w:iCs/>
        </w:rPr>
        <w:t>Appropriate Moneys based on C</w:t>
      </w:r>
      <w:r>
        <w:rPr>
          <w:rFonts w:ascii="Arial" w:hAnsi="Arial" w:cs="Arial"/>
          <w:b/>
          <w:i/>
          <w:iCs/>
        </w:rPr>
        <w:t>onservation Futures Advisory</w:t>
      </w:r>
      <w:r w:rsidRPr="00F87F36">
        <w:rPr>
          <w:rFonts w:ascii="Arial" w:hAnsi="Arial" w:cs="Arial"/>
          <w:b/>
          <w:i/>
          <w:iCs/>
        </w:rPr>
        <w:t xml:space="preserve"> Committee Recommendations </w:t>
      </w:r>
      <w:r>
        <w:rPr>
          <w:rFonts w:ascii="Arial" w:hAnsi="Arial" w:cs="Arial"/>
          <w:b/>
          <w:i/>
          <w:iCs/>
        </w:rPr>
        <w:t xml:space="preserve">[$28,332,639].  </w:t>
      </w:r>
      <w:r w:rsidRPr="00F827A2">
        <w:rPr>
          <w:rFonts w:ascii="Arial" w:hAnsi="Arial" w:cs="Arial"/>
          <w:bCs/>
        </w:rPr>
        <w:t xml:space="preserve">King County’s Conservation Futures tax levy (CFT) is a dedicated portion of property taxes collected throughout King County. CFT </w:t>
      </w:r>
      <w:r>
        <w:rPr>
          <w:rFonts w:ascii="Arial" w:hAnsi="Arial" w:cs="Arial"/>
          <w:bCs/>
        </w:rPr>
        <w:t>dollars are</w:t>
      </w:r>
      <w:r w:rsidRPr="00F827A2">
        <w:rPr>
          <w:rFonts w:ascii="Arial" w:hAnsi="Arial" w:cs="Arial"/>
          <w:bCs/>
        </w:rPr>
        <w:t xml:space="preserve"> used to purchase open space lands and easements in unincorporated King County and in King County cities.</w:t>
      </w:r>
      <w:r w:rsidRPr="00301CA2">
        <w:rPr>
          <w:rFonts w:ascii="Arial" w:hAnsi="Arial" w:cs="Arial"/>
        </w:rPr>
        <w:t xml:space="preserve"> </w:t>
      </w:r>
      <w:r>
        <w:rPr>
          <w:rFonts w:ascii="Arial" w:hAnsi="Arial" w:cs="Arial"/>
        </w:rPr>
        <w:t>The Conservation Futures Advisory Committee provides recommendations on the use of these moneys.</w:t>
      </w:r>
      <w:r>
        <w:rPr>
          <w:rFonts w:ascii="Arial" w:hAnsi="Arial" w:cs="Arial"/>
          <w:bCs/>
        </w:rPr>
        <w:t xml:space="preserve">  </w:t>
      </w:r>
      <w:r w:rsidRPr="004A6ED6">
        <w:rPr>
          <w:rFonts w:ascii="Arial" w:hAnsi="Arial" w:cs="Arial"/>
          <w:bCs/>
        </w:rPr>
        <w:t>This proposed ordinance would appropriate a net $28,332,639 to the conservation futures subfund.</w:t>
      </w:r>
      <w:r>
        <w:rPr>
          <w:rFonts w:ascii="Arial" w:hAnsi="Arial" w:cs="Arial"/>
          <w:bCs/>
        </w:rPr>
        <w:t xml:space="preserve">  The proposed appropriation would include the following:</w:t>
      </w:r>
    </w:p>
    <w:p w14:paraId="5CEE8AEC" w14:textId="77777777" w:rsidR="001C7F9A" w:rsidRPr="00BE577D" w:rsidRDefault="001C7F9A" w:rsidP="001C7F9A">
      <w:pPr>
        <w:pStyle w:val="ListParagraph0"/>
        <w:numPr>
          <w:ilvl w:val="0"/>
          <w:numId w:val="20"/>
        </w:numPr>
        <w:tabs>
          <w:tab w:val="left" w:pos="720"/>
          <w:tab w:val="right" w:pos="9360"/>
        </w:tabs>
        <w:spacing w:line="264" w:lineRule="auto"/>
        <w:contextualSpacing/>
        <w:jc w:val="both"/>
        <w:rPr>
          <w:rFonts w:ascii="Arial" w:hAnsi="Arial" w:cs="Arial"/>
          <w:bCs/>
        </w:rPr>
      </w:pPr>
      <w:r>
        <w:rPr>
          <w:rFonts w:ascii="Arial" w:hAnsi="Arial" w:cs="Arial"/>
          <w:bCs/>
        </w:rPr>
        <w:t>$12.5 million for 2022 projects as recommended for allocation by Conservation Futures Advisory Committee in its 2021 Project Progress Report and Recommendations for Allocation of 2022 Funding Report.</w:t>
      </w:r>
      <w:r>
        <w:rPr>
          <w:rStyle w:val="FootnoteReference"/>
          <w:rFonts w:ascii="Arial" w:hAnsi="Arial" w:cs="Arial"/>
          <w:bCs/>
        </w:rPr>
        <w:footnoteReference w:id="30"/>
      </w:r>
      <w:r>
        <w:rPr>
          <w:rStyle w:val="CommentReference"/>
        </w:rPr>
        <w:t xml:space="preserve"> </w:t>
      </w:r>
      <w:r>
        <w:rPr>
          <w:rFonts w:ascii="Arial" w:hAnsi="Arial" w:cs="Arial"/>
          <w:bCs/>
        </w:rPr>
        <w:t xml:space="preserve"> All proposed projects and amounts align with the recommendations of the Conservation Futures </w:t>
      </w:r>
      <w:r w:rsidRPr="00BE577D">
        <w:rPr>
          <w:rFonts w:ascii="Arial" w:hAnsi="Arial" w:cs="Arial"/>
          <w:bCs/>
        </w:rPr>
        <w:t xml:space="preserve">Advisory </w:t>
      </w:r>
      <w:proofErr w:type="gramStart"/>
      <w:r w:rsidRPr="00BE577D">
        <w:rPr>
          <w:rFonts w:ascii="Arial" w:hAnsi="Arial" w:cs="Arial"/>
          <w:bCs/>
        </w:rPr>
        <w:t>Committee;</w:t>
      </w:r>
      <w:proofErr w:type="gramEnd"/>
    </w:p>
    <w:p w14:paraId="465464AA" w14:textId="77777777" w:rsidR="001C7F9A" w:rsidRPr="00BE577D" w:rsidRDefault="001C7F9A" w:rsidP="001C7F9A">
      <w:pPr>
        <w:pStyle w:val="ListParagraph0"/>
        <w:numPr>
          <w:ilvl w:val="0"/>
          <w:numId w:val="20"/>
        </w:numPr>
        <w:tabs>
          <w:tab w:val="left" w:pos="720"/>
          <w:tab w:val="right" w:pos="9360"/>
        </w:tabs>
        <w:spacing w:line="264" w:lineRule="auto"/>
        <w:contextualSpacing/>
        <w:jc w:val="both"/>
        <w:rPr>
          <w:rFonts w:ascii="Arial" w:hAnsi="Arial" w:cs="Arial"/>
          <w:bCs/>
        </w:rPr>
      </w:pPr>
      <w:r w:rsidRPr="00BE577D">
        <w:rPr>
          <w:rFonts w:ascii="Arial" w:hAnsi="Arial" w:cs="Arial"/>
          <w:bCs/>
        </w:rPr>
        <w:t>$9</w:t>
      </w:r>
      <w:r>
        <w:rPr>
          <w:rFonts w:ascii="Arial" w:hAnsi="Arial" w:cs="Arial"/>
          <w:bCs/>
        </w:rPr>
        <w:t>.1 million</w:t>
      </w:r>
      <w:r w:rsidRPr="00BE577D">
        <w:rPr>
          <w:rFonts w:ascii="Arial" w:hAnsi="Arial" w:cs="Arial"/>
          <w:bCs/>
        </w:rPr>
        <w:t xml:space="preserve"> disappropriation of the placeholder master project for 2022 projects;</w:t>
      </w:r>
      <w:r>
        <w:rPr>
          <w:rStyle w:val="FootnoteReference"/>
          <w:rFonts w:ascii="Arial" w:hAnsi="Arial" w:cs="Arial"/>
          <w:bCs/>
        </w:rPr>
        <w:footnoteReference w:id="31"/>
      </w:r>
      <w:r w:rsidRPr="00BE577D">
        <w:rPr>
          <w:rFonts w:ascii="Arial" w:hAnsi="Arial" w:cs="Arial"/>
          <w:bCs/>
        </w:rPr>
        <w:t xml:space="preserve"> </w:t>
      </w:r>
    </w:p>
    <w:p w14:paraId="2EA69AEF" w14:textId="77777777" w:rsidR="001C7F9A" w:rsidRDefault="001C7F9A" w:rsidP="001C7F9A">
      <w:pPr>
        <w:pStyle w:val="ListParagraph0"/>
        <w:numPr>
          <w:ilvl w:val="0"/>
          <w:numId w:val="20"/>
        </w:numPr>
        <w:tabs>
          <w:tab w:val="left" w:pos="720"/>
          <w:tab w:val="right" w:pos="9360"/>
        </w:tabs>
        <w:spacing w:line="264" w:lineRule="auto"/>
        <w:contextualSpacing/>
        <w:jc w:val="both"/>
        <w:rPr>
          <w:rFonts w:ascii="Arial" w:hAnsi="Arial" w:cs="Arial"/>
          <w:bCs/>
        </w:rPr>
      </w:pPr>
      <w:r w:rsidRPr="00BE577D">
        <w:rPr>
          <w:rFonts w:ascii="Arial" w:hAnsi="Arial" w:cs="Arial"/>
          <w:bCs/>
        </w:rPr>
        <w:t xml:space="preserve">$25 million placeholder </w:t>
      </w:r>
      <w:r>
        <w:rPr>
          <w:rFonts w:ascii="Arial" w:hAnsi="Arial" w:cs="Arial"/>
          <w:bCs/>
        </w:rPr>
        <w:t>appropriation for 2023 bond projects that would be recommended by the CFT Advisory Committee in the future. This would be spent in 2023 through 2026 and supported by bonds projected to be issued in 2023 through 2026; and</w:t>
      </w:r>
    </w:p>
    <w:p w14:paraId="4892A01C" w14:textId="77777777" w:rsidR="001C7F9A" w:rsidRDefault="001C7F9A" w:rsidP="001C7F9A">
      <w:pPr>
        <w:pStyle w:val="ListParagraph0"/>
        <w:numPr>
          <w:ilvl w:val="0"/>
          <w:numId w:val="20"/>
        </w:numPr>
        <w:tabs>
          <w:tab w:val="left" w:pos="720"/>
          <w:tab w:val="right" w:pos="9360"/>
        </w:tabs>
        <w:spacing w:line="264" w:lineRule="auto"/>
        <w:contextualSpacing/>
        <w:jc w:val="both"/>
        <w:rPr>
          <w:rFonts w:ascii="Arial" w:hAnsi="Arial" w:cs="Arial"/>
          <w:bCs/>
        </w:rPr>
      </w:pPr>
      <w:r>
        <w:rPr>
          <w:rFonts w:ascii="Arial" w:hAnsi="Arial" w:cs="Arial"/>
          <w:bCs/>
        </w:rPr>
        <w:t>$3.3 million in additional levy revenues collected within the fund from 2013 through 2020.</w:t>
      </w:r>
    </w:p>
    <w:p w14:paraId="3C15317B" w14:textId="77777777" w:rsidR="001C7F9A" w:rsidRDefault="001C7F9A" w:rsidP="001C7F9A">
      <w:pPr>
        <w:tabs>
          <w:tab w:val="left" w:pos="720"/>
          <w:tab w:val="right" w:pos="9360"/>
        </w:tabs>
        <w:spacing w:line="264" w:lineRule="auto"/>
        <w:jc w:val="both"/>
        <w:rPr>
          <w:rFonts w:ascii="Arial" w:hAnsi="Arial" w:cs="Arial"/>
          <w:bCs/>
        </w:rPr>
      </w:pPr>
    </w:p>
    <w:p w14:paraId="14181753" w14:textId="39161343" w:rsidR="001C7F9A" w:rsidRDefault="001C7F9A" w:rsidP="001C7F9A">
      <w:pPr>
        <w:tabs>
          <w:tab w:val="left" w:pos="720"/>
          <w:tab w:val="right" w:pos="9360"/>
        </w:tabs>
        <w:spacing w:line="264" w:lineRule="auto"/>
        <w:jc w:val="both"/>
        <w:rPr>
          <w:rFonts w:ascii="Arial" w:hAnsi="Arial" w:cs="Arial"/>
        </w:rPr>
      </w:pPr>
      <w:r>
        <w:rPr>
          <w:rFonts w:ascii="Arial" w:hAnsi="Arial" w:cs="Arial"/>
        </w:rPr>
        <w:t>According to executive staff, the level of debt service in 2022 will be roughly 50.25% of annual CFT proceeds.  The figure below shows the number of recommended awards per Council district in the Advisory Committee’s 2022 Project Funding Recommendations</w:t>
      </w:r>
      <w:r>
        <w:rPr>
          <w:rStyle w:val="FootnoteReference"/>
          <w:rFonts w:ascii="Arial" w:hAnsi="Arial" w:cs="Arial"/>
        </w:rPr>
        <w:footnoteReference w:id="32"/>
      </w:r>
      <w:r>
        <w:rPr>
          <w:rFonts w:ascii="Arial" w:hAnsi="Arial" w:cs="Arial"/>
        </w:rPr>
        <w:t>.</w:t>
      </w:r>
    </w:p>
    <w:p w14:paraId="68354E75" w14:textId="77777777" w:rsidR="001C7F9A" w:rsidRPr="00E50063" w:rsidRDefault="001C7F9A" w:rsidP="001C7F9A">
      <w:pPr>
        <w:tabs>
          <w:tab w:val="left" w:pos="720"/>
          <w:tab w:val="right" w:pos="9360"/>
        </w:tabs>
        <w:spacing w:line="264" w:lineRule="auto"/>
        <w:jc w:val="center"/>
        <w:rPr>
          <w:rFonts w:ascii="Arial" w:hAnsi="Arial" w:cs="Arial"/>
        </w:rPr>
      </w:pPr>
      <w:r>
        <w:rPr>
          <w:noProof/>
        </w:rPr>
        <w:lastRenderedPageBreak/>
        <w:drawing>
          <wp:inline distT="0" distB="0" distL="0" distR="0" wp14:anchorId="53E09BE0" wp14:editId="1785338A">
            <wp:extent cx="5886450" cy="3267075"/>
            <wp:effectExtent l="0" t="0" r="0" b="9525"/>
            <wp:docPr id="1" name="Chart 1">
              <a:extLst xmlns:a="http://schemas.openxmlformats.org/drawingml/2006/main">
                <a:ext uri="{FF2B5EF4-FFF2-40B4-BE49-F238E27FC236}">
                  <a16:creationId xmlns:a16="http://schemas.microsoft.com/office/drawing/2014/main" id="{09623CB2-7070-4D65-A9B2-1D6852F8F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0FDC28" w14:textId="0378F64B" w:rsidR="001C7F9A" w:rsidRDefault="001C7F9A" w:rsidP="001C7F9A">
      <w:pPr>
        <w:tabs>
          <w:tab w:val="left" w:pos="720"/>
          <w:tab w:val="right" w:pos="9360"/>
        </w:tabs>
        <w:spacing w:line="264" w:lineRule="auto"/>
        <w:contextualSpacing/>
        <w:jc w:val="both"/>
        <w:rPr>
          <w:rFonts w:ascii="Arial" w:hAnsi="Arial" w:cs="Arial"/>
          <w:b/>
          <w:u w:val="single"/>
        </w:rPr>
      </w:pPr>
    </w:p>
    <w:p w14:paraId="528D3D90" w14:textId="77777777" w:rsidR="001C7F9A" w:rsidRDefault="001C7F9A" w:rsidP="001C7F9A">
      <w:pPr>
        <w:tabs>
          <w:tab w:val="left" w:pos="720"/>
          <w:tab w:val="right" w:pos="9360"/>
        </w:tabs>
        <w:spacing w:line="264" w:lineRule="auto"/>
        <w:contextualSpacing/>
        <w:jc w:val="both"/>
        <w:rPr>
          <w:rFonts w:ascii="Arial" w:hAnsi="Arial" w:cs="Arial"/>
          <w:b/>
          <w:u w:val="single"/>
        </w:rPr>
      </w:pPr>
    </w:p>
    <w:p w14:paraId="5B7DDBD2" w14:textId="77777777" w:rsidR="001C7F9A" w:rsidRPr="000E7446" w:rsidRDefault="001C7F9A" w:rsidP="001C7F9A">
      <w:pPr>
        <w:tabs>
          <w:tab w:val="left" w:pos="720"/>
          <w:tab w:val="right" w:pos="9360"/>
        </w:tabs>
        <w:spacing w:line="264" w:lineRule="auto"/>
        <w:contextualSpacing/>
        <w:jc w:val="both"/>
        <w:rPr>
          <w:rFonts w:ascii="Arial" w:hAnsi="Arial" w:cs="Arial"/>
          <w:b/>
          <w:u w:val="single"/>
        </w:rPr>
      </w:pPr>
      <w:r>
        <w:rPr>
          <w:rFonts w:ascii="Arial" w:hAnsi="Arial" w:cs="Arial"/>
          <w:b/>
          <w:u w:val="single"/>
        </w:rPr>
        <w:t>3160 Parks, Recreation, and Open Space (Capital)</w:t>
      </w:r>
      <w:r w:rsidRPr="000E7446">
        <w:rPr>
          <w:rFonts w:ascii="Arial" w:hAnsi="Arial" w:cs="Arial"/>
          <w:b/>
          <w:u w:val="single"/>
        </w:rPr>
        <w:tab/>
      </w:r>
      <w:r>
        <w:rPr>
          <w:rFonts w:ascii="Arial" w:hAnsi="Arial" w:cs="Arial"/>
          <w:b/>
          <w:u w:val="single"/>
        </w:rPr>
        <w:t>$6,991,296</w:t>
      </w:r>
    </w:p>
    <w:p w14:paraId="0666F9B5" w14:textId="77777777" w:rsidR="001C7F9A" w:rsidRDefault="001C7F9A" w:rsidP="001C7F9A">
      <w:pPr>
        <w:jc w:val="both"/>
        <w:rPr>
          <w:rFonts w:ascii="Arial" w:hAnsi="Arial" w:cs="Arial"/>
          <w:bCs/>
        </w:rPr>
      </w:pPr>
    </w:p>
    <w:p w14:paraId="2A0B2BC1" w14:textId="6BE19118" w:rsidR="001C7F9A" w:rsidRDefault="001C7F9A" w:rsidP="001C7F9A">
      <w:pPr>
        <w:spacing w:line="264" w:lineRule="auto"/>
        <w:jc w:val="both"/>
        <w:rPr>
          <w:rFonts w:ascii="Arial" w:hAnsi="Arial" w:cs="Arial"/>
          <w:bCs/>
        </w:rPr>
      </w:pPr>
      <w:r w:rsidRPr="00BA21D6">
        <w:rPr>
          <w:rFonts w:ascii="Arial" w:hAnsi="Arial" w:cs="Arial"/>
          <w:b/>
          <w:i/>
          <w:iCs/>
        </w:rPr>
        <w:t xml:space="preserve">Picnic </w:t>
      </w:r>
      <w:r>
        <w:rPr>
          <w:rFonts w:ascii="Arial" w:hAnsi="Arial" w:cs="Arial"/>
          <w:b/>
          <w:i/>
          <w:iCs/>
        </w:rPr>
        <w:t>S</w:t>
      </w:r>
      <w:r w:rsidRPr="00BA21D6">
        <w:rPr>
          <w:rFonts w:ascii="Arial" w:hAnsi="Arial" w:cs="Arial"/>
          <w:b/>
          <w:i/>
          <w:iCs/>
        </w:rPr>
        <w:t xml:space="preserve">helter </w:t>
      </w:r>
      <w:r>
        <w:rPr>
          <w:rFonts w:ascii="Arial" w:hAnsi="Arial" w:cs="Arial"/>
          <w:b/>
          <w:i/>
          <w:iCs/>
        </w:rPr>
        <w:t>S</w:t>
      </w:r>
      <w:r w:rsidRPr="00BA21D6">
        <w:rPr>
          <w:rFonts w:ascii="Arial" w:hAnsi="Arial" w:cs="Arial"/>
          <w:b/>
          <w:i/>
          <w:iCs/>
        </w:rPr>
        <w:t xml:space="preserve">olar </w:t>
      </w:r>
      <w:r>
        <w:rPr>
          <w:rFonts w:ascii="Arial" w:hAnsi="Arial" w:cs="Arial"/>
          <w:b/>
          <w:i/>
          <w:iCs/>
        </w:rPr>
        <w:t>P</w:t>
      </w:r>
      <w:r w:rsidRPr="00BA21D6">
        <w:rPr>
          <w:rFonts w:ascii="Arial" w:hAnsi="Arial" w:cs="Arial"/>
          <w:b/>
          <w:i/>
          <w:iCs/>
        </w:rPr>
        <w:t xml:space="preserve">anels </w:t>
      </w:r>
      <w:r>
        <w:rPr>
          <w:rFonts w:ascii="Arial" w:hAnsi="Arial" w:cs="Arial"/>
          <w:b/>
          <w:i/>
          <w:iCs/>
        </w:rPr>
        <w:t>[</w:t>
      </w:r>
      <w:r w:rsidRPr="00BA21D6">
        <w:rPr>
          <w:rFonts w:ascii="Arial" w:hAnsi="Arial" w:cs="Arial"/>
          <w:b/>
          <w:i/>
          <w:iCs/>
        </w:rPr>
        <w:t>$1,070,000</w:t>
      </w:r>
      <w:r>
        <w:rPr>
          <w:rFonts w:ascii="Arial" w:hAnsi="Arial" w:cs="Arial"/>
          <w:b/>
          <w:i/>
          <w:iCs/>
        </w:rPr>
        <w:t>]</w:t>
      </w:r>
      <w:r w:rsidRPr="00BA21D6">
        <w:rPr>
          <w:rFonts w:ascii="Arial" w:hAnsi="Arial" w:cs="Arial"/>
          <w:b/>
          <w:i/>
          <w:iCs/>
        </w:rPr>
        <w:t>.</w:t>
      </w:r>
      <w:r>
        <w:rPr>
          <w:rFonts w:ascii="Arial" w:hAnsi="Arial" w:cs="Arial"/>
          <w:bCs/>
        </w:rPr>
        <w:t xml:space="preserve">  A description of this proposed appropriation is included in the Climate Change Equity Pool section in this staff report.</w:t>
      </w:r>
    </w:p>
    <w:p w14:paraId="099A52AC" w14:textId="77777777" w:rsidR="001C7F9A" w:rsidRPr="00CA0FD0" w:rsidRDefault="001C7F9A" w:rsidP="001C7F9A">
      <w:pPr>
        <w:spacing w:line="264" w:lineRule="auto"/>
        <w:jc w:val="both"/>
        <w:rPr>
          <w:rFonts w:ascii="Arial" w:hAnsi="Arial" w:cs="Arial"/>
          <w:bCs/>
        </w:rPr>
      </w:pPr>
    </w:p>
    <w:p w14:paraId="006255DF" w14:textId="77777777" w:rsidR="001C7F9A" w:rsidRDefault="001C7F9A" w:rsidP="001C7F9A">
      <w:pPr>
        <w:spacing w:line="264" w:lineRule="auto"/>
        <w:jc w:val="both"/>
        <w:rPr>
          <w:rFonts w:ascii="Arial" w:hAnsi="Arial" w:cs="Arial"/>
          <w:bCs/>
        </w:rPr>
      </w:pPr>
      <w:r w:rsidRPr="00BA21D6">
        <w:rPr>
          <w:rFonts w:ascii="Arial" w:hAnsi="Arial" w:cs="Arial"/>
          <w:b/>
          <w:i/>
          <w:iCs/>
        </w:rPr>
        <w:t xml:space="preserve">Solar </w:t>
      </w:r>
      <w:r>
        <w:rPr>
          <w:rFonts w:ascii="Arial" w:hAnsi="Arial" w:cs="Arial"/>
          <w:b/>
          <w:i/>
          <w:iCs/>
        </w:rPr>
        <w:t>S</w:t>
      </w:r>
      <w:r w:rsidRPr="00BA21D6">
        <w:rPr>
          <w:rFonts w:ascii="Arial" w:hAnsi="Arial" w:cs="Arial"/>
          <w:b/>
          <w:i/>
          <w:iCs/>
        </w:rPr>
        <w:t xml:space="preserve">afety </w:t>
      </w:r>
      <w:r>
        <w:rPr>
          <w:rFonts w:ascii="Arial" w:hAnsi="Arial" w:cs="Arial"/>
          <w:b/>
          <w:i/>
          <w:iCs/>
        </w:rPr>
        <w:t>L</w:t>
      </w:r>
      <w:r w:rsidRPr="00BA21D6">
        <w:rPr>
          <w:rFonts w:ascii="Arial" w:hAnsi="Arial" w:cs="Arial"/>
          <w:b/>
          <w:i/>
          <w:iCs/>
        </w:rPr>
        <w:t xml:space="preserve">ights </w:t>
      </w:r>
      <w:r>
        <w:rPr>
          <w:rFonts w:ascii="Arial" w:hAnsi="Arial" w:cs="Arial"/>
          <w:b/>
          <w:i/>
          <w:iCs/>
        </w:rPr>
        <w:t>[</w:t>
      </w:r>
      <w:r w:rsidRPr="00BA21D6">
        <w:rPr>
          <w:rFonts w:ascii="Arial" w:hAnsi="Arial" w:cs="Arial"/>
          <w:b/>
          <w:i/>
          <w:iCs/>
        </w:rPr>
        <w:t>$1,975,500</w:t>
      </w:r>
      <w:r>
        <w:rPr>
          <w:rFonts w:ascii="Arial" w:hAnsi="Arial" w:cs="Arial"/>
          <w:b/>
          <w:i/>
          <w:iCs/>
        </w:rPr>
        <w:t>]</w:t>
      </w:r>
      <w:r w:rsidRPr="00BA21D6">
        <w:rPr>
          <w:rFonts w:ascii="Arial" w:hAnsi="Arial" w:cs="Arial"/>
          <w:b/>
          <w:i/>
          <w:iCs/>
        </w:rPr>
        <w:t>.</w:t>
      </w:r>
      <w:r w:rsidRPr="00CA0FD0">
        <w:rPr>
          <w:rFonts w:ascii="Arial" w:hAnsi="Arial" w:cs="Arial"/>
          <w:bCs/>
        </w:rPr>
        <w:t xml:space="preserve"> </w:t>
      </w:r>
      <w:r>
        <w:rPr>
          <w:rFonts w:ascii="Arial" w:hAnsi="Arial" w:cs="Arial"/>
          <w:bCs/>
        </w:rPr>
        <w:t>A description of this proposed appropriation is included in the Climate Change Equity Pool section in this staff report.</w:t>
      </w:r>
    </w:p>
    <w:p w14:paraId="57850721" w14:textId="77777777" w:rsidR="001C7F9A" w:rsidRPr="00CA0FD0" w:rsidRDefault="001C7F9A" w:rsidP="001C7F9A">
      <w:pPr>
        <w:spacing w:line="264" w:lineRule="auto"/>
        <w:jc w:val="both"/>
        <w:rPr>
          <w:rFonts w:ascii="Arial" w:hAnsi="Arial" w:cs="Arial"/>
          <w:bCs/>
        </w:rPr>
      </w:pPr>
    </w:p>
    <w:p w14:paraId="256F62E5" w14:textId="77777777" w:rsidR="001C7F9A" w:rsidRDefault="001C7F9A" w:rsidP="001C7F9A">
      <w:pPr>
        <w:spacing w:line="264" w:lineRule="auto"/>
        <w:jc w:val="both"/>
        <w:rPr>
          <w:rFonts w:ascii="Arial" w:hAnsi="Arial" w:cs="Arial"/>
          <w:bCs/>
        </w:rPr>
      </w:pPr>
      <w:r w:rsidRPr="00BA21D6">
        <w:rPr>
          <w:rFonts w:ascii="Arial" w:hAnsi="Arial" w:cs="Arial"/>
          <w:b/>
          <w:i/>
          <w:iCs/>
        </w:rPr>
        <w:t xml:space="preserve">Central Maintenance Facility </w:t>
      </w:r>
      <w:r>
        <w:rPr>
          <w:rFonts w:ascii="Arial" w:hAnsi="Arial" w:cs="Arial"/>
          <w:b/>
          <w:i/>
          <w:iCs/>
        </w:rPr>
        <w:t>[</w:t>
      </w:r>
      <w:r w:rsidRPr="00BA21D6">
        <w:rPr>
          <w:rFonts w:ascii="Arial" w:hAnsi="Arial" w:cs="Arial"/>
          <w:b/>
          <w:i/>
          <w:iCs/>
        </w:rPr>
        <w:t>$4,500,000</w:t>
      </w:r>
      <w:r>
        <w:rPr>
          <w:rFonts w:ascii="Arial" w:hAnsi="Arial" w:cs="Arial"/>
          <w:b/>
          <w:i/>
          <w:iCs/>
        </w:rPr>
        <w:t xml:space="preserve">].  </w:t>
      </w:r>
      <w:r w:rsidRPr="00657C51">
        <w:rPr>
          <w:rFonts w:ascii="Arial" w:hAnsi="Arial" w:cs="Arial"/>
          <w:bCs/>
        </w:rPr>
        <w:t>T</w:t>
      </w:r>
      <w:r w:rsidRPr="00CA0FD0">
        <w:rPr>
          <w:rFonts w:ascii="Arial" w:hAnsi="Arial" w:cs="Arial"/>
          <w:bCs/>
        </w:rPr>
        <w:t>his project proposes funding to accommodate increased construction costs for the Central Maintenance Facility (Renton Shop) due to global market escalations.</w:t>
      </w:r>
      <w:r>
        <w:rPr>
          <w:rFonts w:ascii="Arial" w:hAnsi="Arial" w:cs="Arial"/>
          <w:bCs/>
        </w:rPr>
        <w:t xml:space="preserve">  This proposal includes a</w:t>
      </w:r>
      <w:r w:rsidRPr="00605541">
        <w:rPr>
          <w:rFonts w:ascii="Arial" w:hAnsi="Arial" w:cs="Arial"/>
          <w:bCs/>
        </w:rPr>
        <w:t>cquisition, design, and construction of new buildings with industrial shops, crew areas and operations administration, heavy equipment, vehicle, and materials storage as well as staff and fleet parking on the 5.7 acre site</w:t>
      </w:r>
      <w:r>
        <w:rPr>
          <w:rFonts w:ascii="Arial" w:hAnsi="Arial" w:cs="Arial"/>
          <w:bCs/>
        </w:rPr>
        <w:t>;</w:t>
      </w:r>
      <w:r w:rsidRPr="00605541">
        <w:rPr>
          <w:rFonts w:ascii="Arial" w:hAnsi="Arial" w:cs="Arial"/>
          <w:bCs/>
        </w:rPr>
        <w:t xml:space="preserve"> extension of new utilities from </w:t>
      </w:r>
      <w:r>
        <w:rPr>
          <w:rFonts w:ascii="Arial" w:hAnsi="Arial" w:cs="Arial"/>
          <w:bCs/>
        </w:rPr>
        <w:t>Right-Of-Way</w:t>
      </w:r>
      <w:r w:rsidRPr="00605541">
        <w:rPr>
          <w:rFonts w:ascii="Arial" w:hAnsi="Arial" w:cs="Arial"/>
          <w:bCs/>
        </w:rPr>
        <w:t xml:space="preserve"> and private road to the site as well as site distribution of those utilities</w:t>
      </w:r>
      <w:r>
        <w:rPr>
          <w:rFonts w:ascii="Arial" w:hAnsi="Arial" w:cs="Arial"/>
          <w:bCs/>
        </w:rPr>
        <w:t xml:space="preserve">; </w:t>
      </w:r>
      <w:r w:rsidRPr="00605541">
        <w:rPr>
          <w:rFonts w:ascii="Arial" w:hAnsi="Arial" w:cs="Arial"/>
          <w:bCs/>
        </w:rPr>
        <w:t>demolition of the existing facilities and utilities along Jefferson</w:t>
      </w:r>
      <w:r>
        <w:rPr>
          <w:rFonts w:ascii="Arial" w:hAnsi="Arial" w:cs="Arial"/>
          <w:bCs/>
        </w:rPr>
        <w:t xml:space="preserve">; </w:t>
      </w:r>
      <w:r w:rsidRPr="00605541">
        <w:rPr>
          <w:rFonts w:ascii="Arial" w:hAnsi="Arial" w:cs="Arial"/>
          <w:bCs/>
        </w:rPr>
        <w:t>provision of sewer connection to County owned (Roads) adjacent parcel and provision of new water service line extension to other Roads' owned parcels which currently are leased by other County agencies (</w:t>
      </w:r>
      <w:r>
        <w:rPr>
          <w:rFonts w:ascii="Arial" w:hAnsi="Arial" w:cs="Arial"/>
          <w:bCs/>
        </w:rPr>
        <w:t>Solid Waste Division</w:t>
      </w:r>
      <w:r w:rsidRPr="00605541">
        <w:rPr>
          <w:rFonts w:ascii="Arial" w:hAnsi="Arial" w:cs="Arial"/>
          <w:bCs/>
        </w:rPr>
        <w:t>, Fleet, Metro</w:t>
      </w:r>
      <w:r>
        <w:rPr>
          <w:rFonts w:ascii="Arial" w:hAnsi="Arial" w:cs="Arial"/>
          <w:bCs/>
        </w:rPr>
        <w:t xml:space="preserve"> Transit</w:t>
      </w:r>
      <w:r w:rsidRPr="00605541">
        <w:rPr>
          <w:rFonts w:ascii="Arial" w:hAnsi="Arial" w:cs="Arial"/>
          <w:bCs/>
        </w:rPr>
        <w:t>) in accordance with City of Renton Conditional Use Permit requirements.</w:t>
      </w:r>
      <w:r>
        <w:rPr>
          <w:rFonts w:ascii="Arial" w:hAnsi="Arial" w:cs="Arial"/>
          <w:bCs/>
        </w:rPr>
        <w:t xml:space="preserve">  This would be funded by Real Estate Excise Tax (REET) 2 revenues.</w:t>
      </w:r>
    </w:p>
    <w:p w14:paraId="3D31AE41" w14:textId="77777777" w:rsidR="001C7F9A" w:rsidRPr="00CA0FD0" w:rsidRDefault="001C7F9A" w:rsidP="001C7F9A">
      <w:pPr>
        <w:spacing w:line="264" w:lineRule="auto"/>
        <w:jc w:val="both"/>
        <w:rPr>
          <w:rFonts w:ascii="Arial" w:hAnsi="Arial" w:cs="Arial"/>
          <w:bCs/>
        </w:rPr>
      </w:pPr>
    </w:p>
    <w:p w14:paraId="35F6BCE5" w14:textId="77777777" w:rsidR="001C7F9A" w:rsidRPr="00681AC6" w:rsidRDefault="001C7F9A" w:rsidP="001C7F9A">
      <w:pPr>
        <w:spacing w:line="264" w:lineRule="auto"/>
        <w:contextualSpacing/>
        <w:jc w:val="both"/>
        <w:rPr>
          <w:rFonts w:ascii="Arial" w:hAnsi="Arial" w:cs="Arial"/>
        </w:rPr>
      </w:pPr>
      <w:r w:rsidRPr="00BA21D6">
        <w:rPr>
          <w:rFonts w:ascii="Arial" w:hAnsi="Arial" w:cs="Arial"/>
          <w:b/>
          <w:i/>
          <w:iCs/>
        </w:rPr>
        <w:t>Emergent Need</w:t>
      </w:r>
      <w:r>
        <w:rPr>
          <w:rFonts w:ascii="Arial" w:hAnsi="Arial" w:cs="Arial"/>
          <w:b/>
          <w:i/>
          <w:iCs/>
        </w:rPr>
        <w:t xml:space="preserve"> Project</w:t>
      </w:r>
      <w:r w:rsidRPr="00BA21D6">
        <w:rPr>
          <w:rFonts w:ascii="Arial" w:hAnsi="Arial" w:cs="Arial"/>
          <w:b/>
          <w:i/>
          <w:iCs/>
        </w:rPr>
        <w:t xml:space="preserve"> </w:t>
      </w:r>
      <w:r>
        <w:rPr>
          <w:rFonts w:ascii="Arial" w:hAnsi="Arial" w:cs="Arial"/>
          <w:b/>
          <w:i/>
          <w:iCs/>
        </w:rPr>
        <w:t>[</w:t>
      </w:r>
      <w:r w:rsidRPr="00BA21D6">
        <w:rPr>
          <w:rFonts w:ascii="Arial" w:hAnsi="Arial" w:cs="Arial"/>
          <w:b/>
          <w:i/>
          <w:iCs/>
        </w:rPr>
        <w:t>$2,500,000</w:t>
      </w:r>
      <w:r>
        <w:rPr>
          <w:rFonts w:ascii="Arial" w:hAnsi="Arial" w:cs="Arial"/>
          <w:b/>
          <w:i/>
          <w:iCs/>
        </w:rPr>
        <w:t>]</w:t>
      </w:r>
      <w:r w:rsidRPr="00BA21D6">
        <w:rPr>
          <w:rFonts w:ascii="Arial" w:hAnsi="Arial" w:cs="Arial"/>
          <w:b/>
          <w:i/>
          <w:iCs/>
        </w:rPr>
        <w:t>.</w:t>
      </w:r>
      <w:r w:rsidRPr="00CA0FD0">
        <w:rPr>
          <w:rFonts w:ascii="Arial" w:hAnsi="Arial" w:cs="Arial"/>
          <w:bCs/>
        </w:rPr>
        <w:t xml:space="preserve"> </w:t>
      </w:r>
      <w:r>
        <w:rPr>
          <w:rFonts w:ascii="Arial" w:hAnsi="Arial" w:cs="Arial"/>
          <w:bCs/>
        </w:rPr>
        <w:t xml:space="preserve"> As per K.C.C. 4A.10.248, t</w:t>
      </w:r>
      <w:r w:rsidRPr="00CA0FD0">
        <w:rPr>
          <w:rFonts w:ascii="Arial" w:hAnsi="Arial" w:cs="Arial"/>
          <w:bCs/>
        </w:rPr>
        <w:t xml:space="preserve">his project proposes a mechanism to support funding an existing capital project within the same fund that has insufficient appropriation due to unforeseen circumstances such as project delays or accelerations. </w:t>
      </w:r>
      <w:r>
        <w:rPr>
          <w:rFonts w:ascii="Arial" w:hAnsi="Arial" w:cs="Arial"/>
          <w:bCs/>
        </w:rPr>
        <w:t xml:space="preserve"> This would </w:t>
      </w:r>
      <w:r w:rsidRPr="00CA0FD0">
        <w:rPr>
          <w:rFonts w:ascii="Arial" w:hAnsi="Arial" w:cs="Arial"/>
          <w:bCs/>
        </w:rPr>
        <w:t xml:space="preserve">mitigate the risk of </w:t>
      </w:r>
      <w:r>
        <w:rPr>
          <w:rFonts w:ascii="Arial" w:hAnsi="Arial" w:cs="Arial"/>
          <w:bCs/>
        </w:rPr>
        <w:t xml:space="preserve">construction bids coming in over budget </w:t>
      </w:r>
      <w:r>
        <w:rPr>
          <w:rFonts w:ascii="Arial" w:hAnsi="Arial" w:cs="Arial"/>
          <w:bCs/>
        </w:rPr>
        <w:lastRenderedPageBreak/>
        <w:t xml:space="preserve">over due to global increases in material costs. This would be funded by REET 2.  </w:t>
      </w:r>
      <w:r>
        <w:rPr>
          <w:rFonts w:ascii="Arial" w:hAnsi="Arial" w:cs="Arial"/>
        </w:rPr>
        <w:t>Of note, in accordance with K.C.C. 4A.100.080, the emergent need allocations are less than 15% of the project budget.</w:t>
      </w:r>
    </w:p>
    <w:p w14:paraId="55B96964" w14:textId="77777777" w:rsidR="001C7F9A" w:rsidRDefault="001C7F9A" w:rsidP="001C7F9A">
      <w:pPr>
        <w:spacing w:line="264" w:lineRule="auto"/>
        <w:jc w:val="both"/>
        <w:rPr>
          <w:rFonts w:ascii="Arial" w:hAnsi="Arial" w:cs="Arial"/>
          <w:bCs/>
        </w:rPr>
      </w:pPr>
    </w:p>
    <w:p w14:paraId="450D171E" w14:textId="77777777" w:rsidR="001C7F9A" w:rsidRPr="00DF2239" w:rsidRDefault="001C7F9A" w:rsidP="001C7F9A">
      <w:pPr>
        <w:spacing w:line="264" w:lineRule="auto"/>
        <w:jc w:val="both"/>
        <w:rPr>
          <w:rFonts w:ascii="Arial" w:hAnsi="Arial" w:cs="Arial"/>
          <w:b/>
        </w:rPr>
      </w:pPr>
      <w:r w:rsidRPr="00CB437C">
        <w:rPr>
          <w:rFonts w:ascii="Arial" w:hAnsi="Arial" w:cs="Arial"/>
          <w:b/>
        </w:rPr>
        <w:t>TECHNICAL</w:t>
      </w:r>
    </w:p>
    <w:p w14:paraId="223CA20E" w14:textId="77777777" w:rsidR="001C7F9A" w:rsidRDefault="001C7F9A" w:rsidP="001C7F9A">
      <w:pPr>
        <w:spacing w:line="264" w:lineRule="auto"/>
        <w:jc w:val="both"/>
        <w:rPr>
          <w:rFonts w:ascii="Arial" w:hAnsi="Arial" w:cs="Arial"/>
          <w:bCs/>
        </w:rPr>
      </w:pPr>
      <w:r w:rsidRPr="00ED1AEF">
        <w:rPr>
          <w:rFonts w:ascii="Arial" w:hAnsi="Arial" w:cs="Arial"/>
          <w:b/>
          <w:i/>
          <w:iCs/>
        </w:rPr>
        <w:t xml:space="preserve">Disappropriation </w:t>
      </w:r>
      <w:r w:rsidRPr="00CB437C">
        <w:rPr>
          <w:rFonts w:ascii="Arial" w:hAnsi="Arial" w:cs="Arial"/>
          <w:b/>
          <w:i/>
          <w:iCs/>
        </w:rPr>
        <w:t>[</w:t>
      </w:r>
      <w:r w:rsidRPr="00ED1AEF">
        <w:rPr>
          <w:rFonts w:ascii="Arial" w:hAnsi="Arial" w:cs="Arial"/>
          <w:b/>
          <w:i/>
          <w:iCs/>
          <w:color w:val="C00000"/>
        </w:rPr>
        <w:t>-$3,054,204</w:t>
      </w:r>
      <w:r w:rsidRPr="00CB437C">
        <w:rPr>
          <w:rFonts w:ascii="Arial" w:hAnsi="Arial" w:cs="Arial"/>
          <w:b/>
          <w:i/>
          <w:iCs/>
        </w:rPr>
        <w:t>].</w:t>
      </w:r>
      <w:r w:rsidRPr="00DF2239">
        <w:rPr>
          <w:rFonts w:ascii="Arial" w:hAnsi="Arial" w:cs="Arial"/>
          <w:b/>
          <w:color w:val="C00000"/>
        </w:rPr>
        <w:t xml:space="preserve"> </w:t>
      </w:r>
      <w:r>
        <w:rPr>
          <w:rFonts w:ascii="Arial" w:hAnsi="Arial" w:cs="Arial"/>
          <w:b/>
          <w:color w:val="C00000"/>
        </w:rPr>
        <w:t xml:space="preserve"> </w:t>
      </w:r>
      <w:r>
        <w:rPr>
          <w:rFonts w:ascii="Arial" w:hAnsi="Arial" w:cs="Arial"/>
          <w:bCs/>
        </w:rPr>
        <w:t>The proposal would disappropriate $3,054,204 in remaining money from the Parks Facility Rehabilitation project, Parks Small Capital project, and Parks Infrastructure Rehabilitation project.</w:t>
      </w:r>
    </w:p>
    <w:p w14:paraId="0B21C9DB" w14:textId="77777777" w:rsidR="001C7F9A" w:rsidRPr="00775866" w:rsidRDefault="001C7F9A" w:rsidP="001C7F9A">
      <w:pPr>
        <w:pStyle w:val="ListParagraph0"/>
        <w:numPr>
          <w:ilvl w:val="0"/>
          <w:numId w:val="24"/>
        </w:numPr>
        <w:spacing w:line="264" w:lineRule="auto"/>
        <w:contextualSpacing/>
        <w:jc w:val="both"/>
        <w:rPr>
          <w:rFonts w:ascii="Arial" w:hAnsi="Arial" w:cs="Arial"/>
          <w:bCs/>
        </w:rPr>
      </w:pPr>
      <w:r w:rsidRPr="00775866">
        <w:rPr>
          <w:rFonts w:ascii="Arial" w:hAnsi="Arial" w:cs="Arial"/>
          <w:bCs/>
        </w:rPr>
        <w:t xml:space="preserve">The Parks Infrastructure Rehabilitation </w:t>
      </w:r>
      <w:r>
        <w:rPr>
          <w:rFonts w:ascii="Arial" w:hAnsi="Arial" w:cs="Arial"/>
          <w:bCs/>
        </w:rPr>
        <w:t xml:space="preserve">program was intended to </w:t>
      </w:r>
      <w:r w:rsidRPr="00775866">
        <w:rPr>
          <w:rFonts w:ascii="Arial" w:hAnsi="Arial" w:cs="Arial"/>
          <w:bCs/>
        </w:rPr>
        <w:t>support emerging time critical capital construction major maintenance projects</w:t>
      </w:r>
      <w:r>
        <w:rPr>
          <w:rFonts w:ascii="Arial" w:hAnsi="Arial" w:cs="Arial"/>
          <w:bCs/>
        </w:rPr>
        <w:t>, ADA accessibility, and other projects to optimize the life cycle of park assets</w:t>
      </w:r>
      <w:r w:rsidRPr="00775866">
        <w:rPr>
          <w:rFonts w:ascii="Arial" w:hAnsi="Arial" w:cs="Arial"/>
          <w:bCs/>
        </w:rPr>
        <w:t xml:space="preserve">. This proposal would disappropriate $685,830 </w:t>
      </w:r>
      <w:r>
        <w:rPr>
          <w:rFonts w:ascii="Arial" w:hAnsi="Arial" w:cs="Arial"/>
          <w:bCs/>
        </w:rPr>
        <w:t xml:space="preserve">in projected </w:t>
      </w:r>
      <w:proofErr w:type="gramStart"/>
      <w:r>
        <w:rPr>
          <w:rFonts w:ascii="Arial" w:hAnsi="Arial" w:cs="Arial"/>
          <w:bCs/>
        </w:rPr>
        <w:t>underspend;</w:t>
      </w:r>
      <w:proofErr w:type="gramEnd"/>
    </w:p>
    <w:p w14:paraId="2A499713" w14:textId="77777777" w:rsidR="001C7F9A" w:rsidRDefault="001C7F9A" w:rsidP="001C7F9A">
      <w:pPr>
        <w:pStyle w:val="ListParagraph0"/>
        <w:numPr>
          <w:ilvl w:val="0"/>
          <w:numId w:val="24"/>
        </w:numPr>
        <w:spacing w:line="264" w:lineRule="auto"/>
        <w:contextualSpacing/>
        <w:jc w:val="both"/>
        <w:rPr>
          <w:rFonts w:ascii="Arial" w:hAnsi="Arial" w:cs="Arial"/>
          <w:bCs/>
        </w:rPr>
      </w:pPr>
      <w:r w:rsidRPr="00775866">
        <w:rPr>
          <w:rFonts w:ascii="Arial" w:hAnsi="Arial" w:cs="Arial"/>
          <w:bCs/>
        </w:rPr>
        <w:t>The Parks Facility Rehabilitation pro</w:t>
      </w:r>
      <w:r>
        <w:rPr>
          <w:rFonts w:ascii="Arial" w:hAnsi="Arial" w:cs="Arial"/>
          <w:bCs/>
        </w:rPr>
        <w:t>gram</w:t>
      </w:r>
      <w:r w:rsidRPr="00775866">
        <w:rPr>
          <w:rFonts w:ascii="Arial" w:hAnsi="Arial" w:cs="Arial"/>
          <w:bCs/>
        </w:rPr>
        <w:t xml:space="preserve"> was intended to support design and implementation of capital construction or major maintenance needs, ADA accessibility, and other projects to optimize the life cycle of park assets. This proposal would disappropriate $1,368,374 </w:t>
      </w:r>
      <w:r>
        <w:rPr>
          <w:rFonts w:ascii="Arial" w:hAnsi="Arial" w:cs="Arial"/>
          <w:bCs/>
        </w:rPr>
        <w:t xml:space="preserve">in </w:t>
      </w:r>
      <w:r w:rsidRPr="00775866">
        <w:rPr>
          <w:rFonts w:ascii="Arial" w:hAnsi="Arial" w:cs="Arial"/>
          <w:bCs/>
        </w:rPr>
        <w:t>remaining balance</w:t>
      </w:r>
      <w:r>
        <w:rPr>
          <w:rFonts w:ascii="Arial" w:hAnsi="Arial" w:cs="Arial"/>
          <w:bCs/>
        </w:rPr>
        <w:t>, and f</w:t>
      </w:r>
      <w:r w:rsidRPr="00775866">
        <w:rPr>
          <w:rFonts w:ascii="Arial" w:hAnsi="Arial" w:cs="Arial"/>
          <w:bCs/>
        </w:rPr>
        <w:t xml:space="preserve">uture projects within this scope would be conducted within the Parks Infrastructure Rehabilitation </w:t>
      </w:r>
      <w:proofErr w:type="gramStart"/>
      <w:r>
        <w:rPr>
          <w:rFonts w:ascii="Arial" w:hAnsi="Arial" w:cs="Arial"/>
          <w:bCs/>
        </w:rPr>
        <w:t>program;</w:t>
      </w:r>
      <w:proofErr w:type="gramEnd"/>
      <w:r w:rsidRPr="00775866">
        <w:rPr>
          <w:rFonts w:ascii="Arial" w:hAnsi="Arial" w:cs="Arial"/>
          <w:bCs/>
        </w:rPr>
        <w:t xml:space="preserve"> </w:t>
      </w:r>
    </w:p>
    <w:p w14:paraId="64357670" w14:textId="77777777" w:rsidR="001C7F9A" w:rsidRDefault="001C7F9A" w:rsidP="001C7F9A">
      <w:pPr>
        <w:pStyle w:val="ListParagraph0"/>
        <w:numPr>
          <w:ilvl w:val="0"/>
          <w:numId w:val="24"/>
        </w:numPr>
        <w:spacing w:line="264" w:lineRule="auto"/>
        <w:contextualSpacing/>
        <w:jc w:val="both"/>
        <w:rPr>
          <w:rFonts w:ascii="Arial" w:hAnsi="Arial" w:cs="Arial"/>
          <w:bCs/>
        </w:rPr>
      </w:pPr>
      <w:r w:rsidRPr="00775866">
        <w:rPr>
          <w:rFonts w:ascii="Arial" w:hAnsi="Arial" w:cs="Arial"/>
          <w:bCs/>
        </w:rPr>
        <w:t>The Parks Small Capital program was intended to support emergent and time critical small capital construction, safety, repairs, retrofit, replacement, or major maintenance project design or implementation</w:t>
      </w:r>
      <w:r>
        <w:rPr>
          <w:rFonts w:ascii="Arial" w:hAnsi="Arial" w:cs="Arial"/>
          <w:bCs/>
        </w:rPr>
        <w:t xml:space="preserve">. </w:t>
      </w:r>
      <w:r w:rsidRPr="00775866">
        <w:rPr>
          <w:rFonts w:ascii="Arial" w:hAnsi="Arial" w:cs="Arial"/>
          <w:bCs/>
        </w:rPr>
        <w:t>This proposal would disappropriate $1,000,000 in projected underspend</w:t>
      </w:r>
      <w:r>
        <w:rPr>
          <w:rFonts w:ascii="Arial" w:hAnsi="Arial" w:cs="Arial"/>
          <w:bCs/>
        </w:rPr>
        <w:t>.</w:t>
      </w:r>
    </w:p>
    <w:p w14:paraId="720D8BEA" w14:textId="77777777" w:rsidR="001C7F9A" w:rsidRPr="00775866" w:rsidRDefault="001C7F9A" w:rsidP="001C7F9A">
      <w:pPr>
        <w:pStyle w:val="ListParagraph0"/>
        <w:rPr>
          <w:rFonts w:ascii="Arial" w:hAnsi="Arial" w:cs="Arial"/>
          <w:bCs/>
        </w:rPr>
      </w:pPr>
    </w:p>
    <w:p w14:paraId="0CBD7910" w14:textId="77777777" w:rsidR="001C7F9A" w:rsidRDefault="001C7F9A" w:rsidP="001C7F9A">
      <w:pPr>
        <w:spacing w:line="264" w:lineRule="auto"/>
        <w:jc w:val="both"/>
        <w:rPr>
          <w:rFonts w:ascii="Arial" w:hAnsi="Arial" w:cs="Arial"/>
          <w:bCs/>
        </w:rPr>
      </w:pPr>
    </w:p>
    <w:p w14:paraId="5BDA0166" w14:textId="77777777" w:rsidR="001C7F9A" w:rsidRDefault="001C7F9A" w:rsidP="001C7F9A">
      <w:pPr>
        <w:tabs>
          <w:tab w:val="left" w:pos="720"/>
          <w:tab w:val="right" w:pos="9360"/>
        </w:tabs>
        <w:spacing w:line="264" w:lineRule="auto"/>
        <w:contextualSpacing/>
        <w:jc w:val="both"/>
        <w:rPr>
          <w:rFonts w:ascii="Arial" w:hAnsi="Arial" w:cs="Arial"/>
          <w:b/>
          <w:u w:val="single"/>
        </w:rPr>
      </w:pPr>
      <w:r>
        <w:rPr>
          <w:rFonts w:ascii="Arial" w:hAnsi="Arial" w:cs="Arial"/>
          <w:b/>
          <w:u w:val="single"/>
        </w:rPr>
        <w:t>3581 Parks Capital</w:t>
      </w:r>
      <w:r w:rsidRPr="000E7446">
        <w:rPr>
          <w:rFonts w:ascii="Arial" w:hAnsi="Arial" w:cs="Arial"/>
          <w:b/>
          <w:u w:val="single"/>
        </w:rPr>
        <w:tab/>
      </w:r>
      <w:r>
        <w:rPr>
          <w:rFonts w:ascii="Arial" w:hAnsi="Arial" w:cs="Arial"/>
          <w:b/>
          <w:u w:val="single"/>
        </w:rPr>
        <w:t>$10,613,111</w:t>
      </w:r>
    </w:p>
    <w:p w14:paraId="557494CC" w14:textId="77777777" w:rsidR="001C7F9A" w:rsidRPr="000E7446" w:rsidRDefault="001C7F9A" w:rsidP="001C7F9A">
      <w:pPr>
        <w:tabs>
          <w:tab w:val="left" w:pos="720"/>
          <w:tab w:val="right" w:pos="9360"/>
        </w:tabs>
        <w:spacing w:line="264" w:lineRule="auto"/>
        <w:contextualSpacing/>
        <w:jc w:val="both"/>
        <w:rPr>
          <w:rFonts w:ascii="Arial" w:hAnsi="Arial" w:cs="Arial"/>
          <w:b/>
          <w:u w:val="single"/>
        </w:rPr>
      </w:pPr>
    </w:p>
    <w:p w14:paraId="0451702C" w14:textId="77777777" w:rsidR="001C7F9A" w:rsidRDefault="001C7F9A" w:rsidP="001C7F9A">
      <w:pPr>
        <w:spacing w:line="264" w:lineRule="auto"/>
        <w:jc w:val="both"/>
        <w:rPr>
          <w:rFonts w:ascii="Arial" w:hAnsi="Arial" w:cs="Arial"/>
          <w:bCs/>
        </w:rPr>
      </w:pPr>
      <w:r>
        <w:rPr>
          <w:rFonts w:ascii="Arial" w:hAnsi="Arial" w:cs="Arial"/>
          <w:b/>
          <w:i/>
          <w:iCs/>
        </w:rPr>
        <w:t xml:space="preserve">Capital Improvements to Regional Trail System [$3,317,502].  </w:t>
      </w:r>
      <w:r>
        <w:rPr>
          <w:rFonts w:ascii="Arial" w:hAnsi="Arial" w:cs="Arial"/>
          <w:bCs/>
        </w:rPr>
        <w:t xml:space="preserve">This project would </w:t>
      </w:r>
      <w:r w:rsidRPr="00926E8F">
        <w:rPr>
          <w:rFonts w:ascii="Arial" w:hAnsi="Arial" w:cs="Arial"/>
          <w:bCs/>
        </w:rPr>
        <w:t>combine three legacy programs</w:t>
      </w:r>
      <w:r>
        <w:rPr>
          <w:rFonts w:ascii="Arial" w:hAnsi="Arial" w:cs="Arial"/>
          <w:bCs/>
        </w:rPr>
        <w:t>:</w:t>
      </w:r>
      <w:r w:rsidRPr="00926E8F">
        <w:rPr>
          <w:rFonts w:ascii="Arial" w:hAnsi="Arial" w:cs="Arial"/>
          <w:bCs/>
        </w:rPr>
        <w:t xml:space="preserve"> Regional Trail Surface Improvement, Landscape   Mitigation Monitoring, and RTS Standards and Safety. </w:t>
      </w:r>
      <w:r>
        <w:rPr>
          <w:rFonts w:ascii="Arial" w:hAnsi="Arial" w:cs="Arial"/>
          <w:bCs/>
        </w:rPr>
        <w:t xml:space="preserve"> </w:t>
      </w:r>
      <w:r w:rsidRPr="00926E8F">
        <w:rPr>
          <w:rFonts w:ascii="Arial" w:hAnsi="Arial" w:cs="Arial"/>
          <w:bCs/>
        </w:rPr>
        <w:t xml:space="preserve">This program </w:t>
      </w:r>
      <w:r>
        <w:rPr>
          <w:rFonts w:ascii="Arial" w:hAnsi="Arial" w:cs="Arial"/>
          <w:bCs/>
        </w:rPr>
        <w:t>would</w:t>
      </w:r>
      <w:r w:rsidRPr="00926E8F">
        <w:rPr>
          <w:rFonts w:ascii="Arial" w:hAnsi="Arial" w:cs="Arial"/>
          <w:bCs/>
        </w:rPr>
        <w:t xml:space="preserve"> identify, design, engineer, permit, and implement emergency repairs, major maintenance, and rehabilitation of trails including drainage, safety fencing, mitigation monitoring, landscape maintenance throughout the Regional Trails System. </w:t>
      </w:r>
      <w:r>
        <w:rPr>
          <w:rFonts w:ascii="Arial" w:hAnsi="Arial" w:cs="Arial"/>
          <w:bCs/>
        </w:rPr>
        <w:t xml:space="preserve"> </w:t>
      </w:r>
      <w:r w:rsidRPr="00926E8F">
        <w:rPr>
          <w:rFonts w:ascii="Arial" w:hAnsi="Arial" w:cs="Arial"/>
          <w:bCs/>
        </w:rPr>
        <w:t>This program work w</w:t>
      </w:r>
      <w:r>
        <w:rPr>
          <w:rFonts w:ascii="Arial" w:hAnsi="Arial" w:cs="Arial"/>
          <w:bCs/>
        </w:rPr>
        <w:t>ould</w:t>
      </w:r>
      <w:r w:rsidRPr="00926E8F">
        <w:rPr>
          <w:rFonts w:ascii="Arial" w:hAnsi="Arial" w:cs="Arial"/>
          <w:bCs/>
        </w:rPr>
        <w:t xml:space="preserve"> include major resurfacing and repairs that exceed normal maintenance and allow the Division to respond to emergency surface repairs or unforeseen trail issues as they occur to ensure trail usability and safety.</w:t>
      </w:r>
      <w:r>
        <w:rPr>
          <w:rFonts w:ascii="Arial" w:hAnsi="Arial" w:cs="Arial"/>
          <w:bCs/>
        </w:rPr>
        <w:t xml:space="preserve">  This project would be funded by the Parks Levy.</w:t>
      </w:r>
    </w:p>
    <w:p w14:paraId="43490BA5" w14:textId="77777777" w:rsidR="001C7F9A" w:rsidRPr="00370F6A" w:rsidRDefault="001C7F9A" w:rsidP="001C7F9A">
      <w:pPr>
        <w:spacing w:line="264" w:lineRule="auto"/>
        <w:jc w:val="both"/>
        <w:rPr>
          <w:rFonts w:ascii="Arial" w:hAnsi="Arial" w:cs="Arial"/>
          <w:bCs/>
        </w:rPr>
      </w:pPr>
      <w:r>
        <w:rPr>
          <w:rFonts w:ascii="Calibri" w:hAnsi="Calibri" w:cs="Calibri"/>
          <w:color w:val="000000"/>
          <w:sz w:val="20"/>
        </w:rPr>
        <w:t xml:space="preserve"> </w:t>
      </w:r>
    </w:p>
    <w:p w14:paraId="6450939A" w14:textId="77777777" w:rsidR="001C7F9A" w:rsidRPr="00FA5B9C" w:rsidRDefault="001C7F9A" w:rsidP="001C7F9A">
      <w:pPr>
        <w:spacing w:line="264" w:lineRule="auto"/>
        <w:jc w:val="both"/>
        <w:rPr>
          <w:rFonts w:ascii="Arial" w:hAnsi="Arial" w:cs="Arial"/>
          <w:bCs/>
        </w:rPr>
      </w:pPr>
      <w:r>
        <w:rPr>
          <w:rFonts w:ascii="Arial" w:hAnsi="Arial" w:cs="Arial"/>
          <w:b/>
          <w:i/>
          <w:iCs/>
        </w:rPr>
        <w:t xml:space="preserve">Skyway Park Improvements [$1,000,000].  </w:t>
      </w:r>
      <w:r>
        <w:rPr>
          <w:rFonts w:ascii="Arial" w:hAnsi="Arial" w:cs="Arial"/>
          <w:bCs/>
        </w:rPr>
        <w:t xml:space="preserve">This project would make multiple improvements in phases, including installing a new mini open play soccer arena; installing a larger playground and adding adult fitness equipment; upgrading fencing, lighting, restrooms, and ADA access; repurposing poorly draining ballfields to a grassy meadow; and creating a new pedestrian entry way.  According to the project descriptions, this project would build on recommendations of a community-led comprehensive planning effort that engaged a broad range of residents and stakeholders and integrated issues of equity, public health, education, housing, </w:t>
      </w:r>
      <w:r>
        <w:rPr>
          <w:rFonts w:ascii="Arial" w:hAnsi="Arial" w:cs="Arial"/>
          <w:bCs/>
        </w:rPr>
        <w:lastRenderedPageBreak/>
        <w:t>transportation, and public infrastructure.  The project would be funded by REET 2 revenues.</w:t>
      </w:r>
      <w:r w:rsidRPr="0057477E">
        <w:rPr>
          <w:rFonts w:ascii="Arial" w:hAnsi="Arial" w:cs="Arial"/>
          <w:bCs/>
        </w:rPr>
        <w:t xml:space="preserve"> </w:t>
      </w:r>
      <w:r>
        <w:rPr>
          <w:rFonts w:ascii="Arial" w:hAnsi="Arial" w:cs="Arial"/>
          <w:bCs/>
        </w:rPr>
        <w:t xml:space="preserve"> This project is ready for implementation and will soon go to bid.</w:t>
      </w:r>
    </w:p>
    <w:p w14:paraId="023B72E9" w14:textId="77777777" w:rsidR="001C7F9A" w:rsidRDefault="001C7F9A" w:rsidP="001C7F9A">
      <w:pPr>
        <w:spacing w:line="264" w:lineRule="auto"/>
        <w:jc w:val="both"/>
        <w:rPr>
          <w:rFonts w:ascii="Arial" w:hAnsi="Arial" w:cs="Arial"/>
          <w:b/>
          <w:i/>
          <w:iCs/>
        </w:rPr>
      </w:pPr>
    </w:p>
    <w:p w14:paraId="3DB400B4" w14:textId="77777777" w:rsidR="001C7F9A" w:rsidRPr="002244D1" w:rsidRDefault="001C7F9A" w:rsidP="001C7F9A">
      <w:pPr>
        <w:spacing w:line="264" w:lineRule="auto"/>
        <w:jc w:val="both"/>
        <w:rPr>
          <w:rFonts w:ascii="Arial" w:hAnsi="Arial" w:cs="Arial"/>
          <w:bCs/>
        </w:rPr>
      </w:pPr>
      <w:r>
        <w:rPr>
          <w:rFonts w:ascii="Arial" w:hAnsi="Arial" w:cs="Arial"/>
          <w:b/>
          <w:i/>
          <w:iCs/>
        </w:rPr>
        <w:t xml:space="preserve">Emergent Need [$2,642,540].  </w:t>
      </w:r>
      <w:r>
        <w:rPr>
          <w:rFonts w:ascii="Arial" w:hAnsi="Arial" w:cs="Arial"/>
          <w:bCs/>
        </w:rPr>
        <w:t>As per K.C.C. 4A.10.248, t</w:t>
      </w:r>
      <w:r w:rsidRPr="00CA0FD0">
        <w:rPr>
          <w:rFonts w:ascii="Arial" w:hAnsi="Arial" w:cs="Arial"/>
          <w:bCs/>
        </w:rPr>
        <w:t xml:space="preserve">his project proposes a mechanism to support funding an existing capital project within the same fund that has insufficient appropriation due to unforeseen circumstances such as project delays or accelerations. </w:t>
      </w:r>
      <w:r>
        <w:rPr>
          <w:rFonts w:ascii="Arial" w:hAnsi="Arial" w:cs="Arial"/>
          <w:bCs/>
        </w:rPr>
        <w:t xml:space="preserve">This would </w:t>
      </w:r>
      <w:r w:rsidRPr="00CA0FD0">
        <w:rPr>
          <w:rFonts w:ascii="Arial" w:hAnsi="Arial" w:cs="Arial"/>
          <w:bCs/>
        </w:rPr>
        <w:t xml:space="preserve">mitigate the risk of </w:t>
      </w:r>
      <w:r>
        <w:rPr>
          <w:rFonts w:ascii="Arial" w:hAnsi="Arial" w:cs="Arial"/>
          <w:bCs/>
        </w:rPr>
        <w:t xml:space="preserve">construction bids coming in over budget over due to global increases in material costs.  This proposal would be backed primarily by REET 1 revenues ($1,553,213) because Regional Trail projects are paid from this fund. REET 2 revenues ($1,089,327) would also support facility projects as needed.  </w:t>
      </w:r>
      <w:r>
        <w:rPr>
          <w:rFonts w:ascii="Arial" w:hAnsi="Arial" w:cs="Arial"/>
        </w:rPr>
        <w:t>Of note, in accordance with K.C.C. 4A.100.080, the emergent need allocations are less than 15% of the project budget.</w:t>
      </w:r>
    </w:p>
    <w:p w14:paraId="3D8BCBBD" w14:textId="77777777" w:rsidR="001C7F9A" w:rsidRDefault="001C7F9A" w:rsidP="001C7F9A">
      <w:pPr>
        <w:spacing w:line="264" w:lineRule="auto"/>
        <w:jc w:val="both"/>
        <w:rPr>
          <w:rFonts w:ascii="Arial" w:hAnsi="Arial" w:cs="Arial"/>
          <w:b/>
          <w:i/>
          <w:iCs/>
        </w:rPr>
      </w:pPr>
    </w:p>
    <w:p w14:paraId="3713F40B" w14:textId="77777777" w:rsidR="001C7F9A" w:rsidRDefault="001C7F9A" w:rsidP="001C7F9A">
      <w:pPr>
        <w:spacing w:line="264" w:lineRule="auto"/>
        <w:jc w:val="both"/>
        <w:rPr>
          <w:rFonts w:ascii="Arial" w:hAnsi="Arial" w:cs="Arial"/>
          <w:bCs/>
        </w:rPr>
      </w:pPr>
      <w:r>
        <w:rPr>
          <w:rFonts w:ascii="Arial" w:hAnsi="Arial" w:cs="Arial"/>
          <w:b/>
          <w:i/>
          <w:iCs/>
        </w:rPr>
        <w:t xml:space="preserve">Open Space Stewardship: Operations Facility Acquisition [$3,875,000].  </w:t>
      </w:r>
      <w:r>
        <w:rPr>
          <w:rFonts w:ascii="Arial" w:hAnsi="Arial" w:cs="Arial"/>
          <w:bCs/>
        </w:rPr>
        <w:t>This project would support ca</w:t>
      </w:r>
      <w:r w:rsidRPr="002244D1">
        <w:rPr>
          <w:rFonts w:ascii="Arial" w:hAnsi="Arial" w:cs="Arial"/>
          <w:bCs/>
        </w:rPr>
        <w:t>pital improvements</w:t>
      </w:r>
      <w:r>
        <w:rPr>
          <w:rFonts w:ascii="Arial" w:hAnsi="Arial" w:cs="Arial"/>
          <w:bCs/>
        </w:rPr>
        <w:t xml:space="preserve"> </w:t>
      </w:r>
      <w:r w:rsidRPr="002244D1">
        <w:rPr>
          <w:rFonts w:ascii="Arial" w:hAnsi="Arial" w:cs="Arial"/>
          <w:bCs/>
        </w:rPr>
        <w:t>to bring newly acquired open space and natural lands into public ownership and build internal capacity to manage this growing inventory as part of the Land Conservation Initiative.</w:t>
      </w:r>
      <w:r>
        <w:rPr>
          <w:rFonts w:ascii="Arial" w:hAnsi="Arial" w:cs="Arial"/>
          <w:bCs/>
        </w:rPr>
        <w:t xml:space="preserve">  </w:t>
      </w:r>
      <w:r w:rsidRPr="003C0904">
        <w:rPr>
          <w:rFonts w:ascii="Arial" w:hAnsi="Arial" w:cs="Arial"/>
          <w:bCs/>
        </w:rPr>
        <w:t>The Land Conservation Initiative puts forward policies to accelerate the protection of lands deemed to have a high conservation value within the next 30 years.</w:t>
      </w:r>
      <w:r>
        <w:rPr>
          <w:rFonts w:ascii="Arial" w:hAnsi="Arial" w:cs="Arial"/>
          <w:bCs/>
        </w:rPr>
        <w:t xml:space="preserve">  The projects would include the following:</w:t>
      </w:r>
    </w:p>
    <w:p w14:paraId="1386106F" w14:textId="77777777" w:rsidR="001C7F9A" w:rsidRDefault="001C7F9A" w:rsidP="001C7F9A">
      <w:pPr>
        <w:pStyle w:val="ListParagraph0"/>
        <w:numPr>
          <w:ilvl w:val="0"/>
          <w:numId w:val="22"/>
        </w:numPr>
        <w:spacing w:line="264" w:lineRule="auto"/>
        <w:contextualSpacing/>
        <w:jc w:val="both"/>
        <w:rPr>
          <w:rFonts w:ascii="Arial" w:hAnsi="Arial" w:cs="Arial"/>
          <w:bCs/>
        </w:rPr>
      </w:pPr>
      <w:r w:rsidRPr="00A04792">
        <w:rPr>
          <w:rFonts w:ascii="Arial" w:hAnsi="Arial" w:cs="Arial"/>
          <w:b/>
        </w:rPr>
        <w:t>Urban Green Space Activation and additional open space demolitions</w:t>
      </w:r>
      <w:r w:rsidRPr="008F07C4">
        <w:rPr>
          <w:rFonts w:ascii="Arial" w:hAnsi="Arial" w:cs="Arial"/>
          <w:b/>
        </w:rPr>
        <w:t xml:space="preserve"> </w:t>
      </w:r>
      <w:r>
        <w:rPr>
          <w:rFonts w:ascii="Arial" w:hAnsi="Arial" w:cs="Arial"/>
          <w:b/>
        </w:rPr>
        <w:t xml:space="preserve">($1,400,000 of </w:t>
      </w:r>
      <w:r w:rsidRPr="00A04792">
        <w:rPr>
          <w:rFonts w:ascii="Arial" w:hAnsi="Arial" w:cs="Arial"/>
          <w:b/>
        </w:rPr>
        <w:t>REET 1</w:t>
      </w:r>
      <w:r>
        <w:rPr>
          <w:rFonts w:ascii="Arial" w:hAnsi="Arial" w:cs="Arial"/>
          <w:b/>
        </w:rPr>
        <w:t xml:space="preserve"> revenues)</w:t>
      </w:r>
      <w:r w:rsidRPr="00A04792">
        <w:rPr>
          <w:rFonts w:ascii="Arial" w:hAnsi="Arial" w:cs="Arial"/>
          <w:b/>
        </w:rPr>
        <w:t>.</w:t>
      </w:r>
      <w:r>
        <w:rPr>
          <w:rFonts w:ascii="Arial" w:hAnsi="Arial" w:cs="Arial"/>
          <w:bCs/>
        </w:rPr>
        <w:t xml:space="preserve">  </w:t>
      </w:r>
      <w:r w:rsidRPr="00517089">
        <w:rPr>
          <w:rFonts w:ascii="Arial" w:hAnsi="Arial" w:cs="Arial"/>
          <w:bCs/>
        </w:rPr>
        <w:t xml:space="preserve">Activation of newly acquired parks and open space in urban Unincorporated King County near White Center and Skyway includes backcountry trails, kiosks, cultural resources, fencing, and site furnishings. </w:t>
      </w:r>
      <w:r>
        <w:rPr>
          <w:rFonts w:ascii="Arial" w:hAnsi="Arial" w:cs="Arial"/>
          <w:bCs/>
        </w:rPr>
        <w:t xml:space="preserve"> According to the project descriptions, t</w:t>
      </w:r>
      <w:r w:rsidRPr="00517089">
        <w:rPr>
          <w:rFonts w:ascii="Arial" w:hAnsi="Arial" w:cs="Arial"/>
          <w:bCs/>
        </w:rPr>
        <w:t>he growing number of acquisitions through the Land Conservation Initiative has resulted in more demand for demolitions than was planned during 2021-2022 budget development</w:t>
      </w:r>
      <w:r>
        <w:rPr>
          <w:rFonts w:ascii="Arial" w:hAnsi="Arial" w:cs="Arial"/>
          <w:bCs/>
        </w:rPr>
        <w:t>.</w:t>
      </w:r>
    </w:p>
    <w:p w14:paraId="19311BEA" w14:textId="77777777" w:rsidR="001C7F9A" w:rsidRDefault="001C7F9A" w:rsidP="001C7F9A">
      <w:pPr>
        <w:pStyle w:val="ListParagraph0"/>
        <w:spacing w:line="264" w:lineRule="auto"/>
        <w:jc w:val="both"/>
        <w:rPr>
          <w:rFonts w:ascii="Arial" w:hAnsi="Arial" w:cs="Arial"/>
          <w:bCs/>
        </w:rPr>
      </w:pPr>
    </w:p>
    <w:p w14:paraId="0C088C38" w14:textId="77777777" w:rsidR="001C7F9A" w:rsidRPr="00B75B5B" w:rsidRDefault="001C7F9A" w:rsidP="001C7F9A">
      <w:pPr>
        <w:pStyle w:val="ListParagraph0"/>
        <w:numPr>
          <w:ilvl w:val="0"/>
          <w:numId w:val="22"/>
        </w:numPr>
        <w:spacing w:line="264" w:lineRule="auto"/>
        <w:contextualSpacing/>
        <w:jc w:val="both"/>
        <w:rPr>
          <w:rFonts w:ascii="Arial" w:hAnsi="Arial" w:cs="Arial"/>
          <w:bCs/>
        </w:rPr>
      </w:pPr>
      <w:r>
        <w:rPr>
          <w:rFonts w:ascii="Arial" w:hAnsi="Arial" w:cs="Arial"/>
          <w:b/>
        </w:rPr>
        <w:t>A</w:t>
      </w:r>
      <w:r w:rsidRPr="00A04792">
        <w:rPr>
          <w:rFonts w:ascii="Arial" w:hAnsi="Arial" w:cs="Arial"/>
          <w:b/>
        </w:rPr>
        <w:t>cquire facilities for operations staff</w:t>
      </w:r>
      <w:r>
        <w:rPr>
          <w:rFonts w:ascii="Arial" w:hAnsi="Arial" w:cs="Arial"/>
          <w:b/>
        </w:rPr>
        <w:t xml:space="preserve"> </w:t>
      </w:r>
      <w:r w:rsidRPr="00A04792">
        <w:rPr>
          <w:rFonts w:ascii="Arial" w:hAnsi="Arial" w:cs="Arial"/>
          <w:b/>
        </w:rPr>
        <w:t>($2,475,000</w:t>
      </w:r>
      <w:r>
        <w:rPr>
          <w:rFonts w:ascii="Arial" w:hAnsi="Arial" w:cs="Arial"/>
          <w:b/>
        </w:rPr>
        <w:t xml:space="preserve"> of </w:t>
      </w:r>
      <w:r w:rsidRPr="00A04792">
        <w:rPr>
          <w:rFonts w:ascii="Arial" w:hAnsi="Arial" w:cs="Arial"/>
          <w:b/>
        </w:rPr>
        <w:t xml:space="preserve">REET 2 </w:t>
      </w:r>
      <w:r>
        <w:rPr>
          <w:rFonts w:ascii="Arial" w:hAnsi="Arial" w:cs="Arial"/>
          <w:b/>
        </w:rPr>
        <w:t>revenues)</w:t>
      </w:r>
      <w:r w:rsidRPr="00A04792">
        <w:rPr>
          <w:rFonts w:ascii="Arial" w:hAnsi="Arial" w:cs="Arial"/>
          <w:b/>
        </w:rPr>
        <w:t>.</w:t>
      </w:r>
      <w:r w:rsidRPr="00B75B5B">
        <w:rPr>
          <w:rFonts w:ascii="Arial" w:hAnsi="Arial" w:cs="Arial"/>
          <w:bCs/>
        </w:rPr>
        <w:t xml:space="preserve"> </w:t>
      </w:r>
      <w:r>
        <w:rPr>
          <w:rFonts w:ascii="Arial" w:hAnsi="Arial" w:cs="Arial"/>
          <w:bCs/>
        </w:rPr>
        <w:t xml:space="preserve"> </w:t>
      </w:r>
      <w:r w:rsidRPr="00D63B32">
        <w:rPr>
          <w:rFonts w:ascii="Arial" w:hAnsi="Arial" w:cs="Arial"/>
          <w:bCs/>
        </w:rPr>
        <w:t xml:space="preserve">Facility acquisition </w:t>
      </w:r>
      <w:r>
        <w:rPr>
          <w:rFonts w:ascii="Arial" w:hAnsi="Arial" w:cs="Arial"/>
          <w:bCs/>
        </w:rPr>
        <w:t>dollars</w:t>
      </w:r>
      <w:r w:rsidRPr="00D63B32">
        <w:rPr>
          <w:rFonts w:ascii="Arial" w:hAnsi="Arial" w:cs="Arial"/>
          <w:bCs/>
        </w:rPr>
        <w:t xml:space="preserve"> would result in the purchase and relocation of field staff to one to three new locations.</w:t>
      </w:r>
      <w:r>
        <w:rPr>
          <w:rFonts w:ascii="Arial" w:hAnsi="Arial" w:cs="Arial"/>
          <w:bCs/>
        </w:rPr>
        <w:t xml:space="preserve">  According to the project descriptions, m</w:t>
      </w:r>
      <w:r w:rsidRPr="00D63B32">
        <w:rPr>
          <w:rFonts w:ascii="Arial" w:hAnsi="Arial" w:cs="Arial"/>
          <w:bCs/>
        </w:rPr>
        <w:t xml:space="preserve">any operations field sites are aging and were not built for their current use. </w:t>
      </w:r>
      <w:r>
        <w:rPr>
          <w:rFonts w:ascii="Arial" w:hAnsi="Arial" w:cs="Arial"/>
          <w:bCs/>
        </w:rPr>
        <w:t xml:space="preserve"> </w:t>
      </w:r>
      <w:r w:rsidRPr="00D63B32">
        <w:rPr>
          <w:rFonts w:ascii="Arial" w:hAnsi="Arial" w:cs="Arial"/>
          <w:bCs/>
        </w:rPr>
        <w:t xml:space="preserve">The highest priorities for relocation are Vashon, Bear Creek, and </w:t>
      </w:r>
      <w:proofErr w:type="spellStart"/>
      <w:r w:rsidRPr="00D63B32">
        <w:rPr>
          <w:rFonts w:ascii="Arial" w:hAnsi="Arial" w:cs="Arial"/>
          <w:bCs/>
        </w:rPr>
        <w:t>Soos</w:t>
      </w:r>
      <w:proofErr w:type="spellEnd"/>
      <w:r w:rsidRPr="00D63B32">
        <w:rPr>
          <w:rFonts w:ascii="Arial" w:hAnsi="Arial" w:cs="Arial"/>
          <w:bCs/>
        </w:rPr>
        <w:t xml:space="preserve"> Creek.</w:t>
      </w:r>
    </w:p>
    <w:p w14:paraId="3EF7FA44" w14:textId="68C8E33F" w:rsidR="001C7F9A" w:rsidRDefault="001C7F9A" w:rsidP="001C7F9A">
      <w:pPr>
        <w:spacing w:line="264" w:lineRule="auto"/>
        <w:jc w:val="both"/>
        <w:rPr>
          <w:rFonts w:ascii="Arial" w:hAnsi="Arial" w:cs="Arial"/>
          <w:b/>
          <w:i/>
          <w:iCs/>
        </w:rPr>
      </w:pPr>
    </w:p>
    <w:p w14:paraId="4A48C5D7" w14:textId="77777777" w:rsidR="001C7F9A" w:rsidRDefault="001C7F9A" w:rsidP="001C7F9A">
      <w:pPr>
        <w:spacing w:line="264" w:lineRule="auto"/>
        <w:jc w:val="both"/>
        <w:rPr>
          <w:rFonts w:ascii="Arial" w:hAnsi="Arial" w:cs="Arial"/>
          <w:bCs/>
        </w:rPr>
      </w:pPr>
      <w:r>
        <w:rPr>
          <w:rFonts w:ascii="Arial" w:hAnsi="Arial" w:cs="Arial"/>
          <w:b/>
          <w:i/>
          <w:iCs/>
        </w:rPr>
        <w:t xml:space="preserve">Parks Levy Capital Grant Programs [$733,405].  </w:t>
      </w:r>
      <w:r>
        <w:rPr>
          <w:rFonts w:ascii="Arial" w:hAnsi="Arial" w:cs="Arial"/>
          <w:bCs/>
        </w:rPr>
        <w:t>This proposal would support the Parks Levy Capital Grant programs and would be funded by the Parks Levy.  Executive staff provided the following status update on the parks levy grant programs:</w:t>
      </w:r>
    </w:p>
    <w:p w14:paraId="64DA995A" w14:textId="77777777" w:rsidR="001C7F9A" w:rsidRDefault="001C7F9A" w:rsidP="001C7F9A">
      <w:pPr>
        <w:pStyle w:val="ListParagraph0"/>
        <w:numPr>
          <w:ilvl w:val="0"/>
          <w:numId w:val="21"/>
        </w:numPr>
        <w:spacing w:line="264" w:lineRule="auto"/>
        <w:contextualSpacing/>
        <w:jc w:val="both"/>
        <w:rPr>
          <w:rFonts w:ascii="Arial" w:hAnsi="Arial" w:cs="Arial"/>
          <w:bCs/>
        </w:rPr>
      </w:pPr>
      <w:r w:rsidRPr="00CB437C">
        <w:rPr>
          <w:rFonts w:ascii="Arial" w:hAnsi="Arial" w:cs="Arial"/>
          <w:bCs/>
          <w:u w:val="single"/>
        </w:rPr>
        <w:t>Aquatic Facilities:</w:t>
      </w:r>
      <w:r>
        <w:rPr>
          <w:rFonts w:ascii="Arial" w:hAnsi="Arial" w:cs="Arial"/>
          <w:bCs/>
        </w:rPr>
        <w:t xml:space="preserve"> The RFP opened on September 15, 2021 and closes October 15, 2021.</w:t>
      </w:r>
    </w:p>
    <w:p w14:paraId="313A0024" w14:textId="77777777" w:rsidR="001C7F9A" w:rsidRDefault="001C7F9A" w:rsidP="001C7F9A">
      <w:pPr>
        <w:pStyle w:val="ListParagraph0"/>
        <w:numPr>
          <w:ilvl w:val="0"/>
          <w:numId w:val="21"/>
        </w:numPr>
        <w:spacing w:line="264" w:lineRule="auto"/>
        <w:contextualSpacing/>
        <w:jc w:val="both"/>
        <w:rPr>
          <w:rFonts w:ascii="Arial" w:hAnsi="Arial" w:cs="Arial"/>
          <w:bCs/>
        </w:rPr>
      </w:pPr>
      <w:r w:rsidRPr="00CB437C">
        <w:rPr>
          <w:rFonts w:ascii="Arial" w:hAnsi="Arial" w:cs="Arial"/>
          <w:bCs/>
          <w:u w:val="single"/>
        </w:rPr>
        <w:t>Open Space Rivers:</w:t>
      </w:r>
      <w:r>
        <w:rPr>
          <w:rFonts w:ascii="Arial" w:hAnsi="Arial" w:cs="Arial"/>
          <w:bCs/>
        </w:rPr>
        <w:t xml:space="preserve"> Program staff are meeting with the respective Advisory Committee to further develop and refine the RFP, guidelines, and recommendation process.</w:t>
      </w:r>
    </w:p>
    <w:p w14:paraId="192434E1" w14:textId="77777777" w:rsidR="001C7F9A" w:rsidRPr="000A67CF" w:rsidRDefault="001C7F9A" w:rsidP="001C7F9A">
      <w:pPr>
        <w:pStyle w:val="ListParagraph0"/>
        <w:numPr>
          <w:ilvl w:val="0"/>
          <w:numId w:val="21"/>
        </w:numPr>
        <w:spacing w:line="264" w:lineRule="auto"/>
        <w:contextualSpacing/>
        <w:jc w:val="both"/>
        <w:rPr>
          <w:rFonts w:ascii="Arial" w:hAnsi="Arial" w:cs="Arial"/>
          <w:bCs/>
        </w:rPr>
      </w:pPr>
      <w:r w:rsidRPr="00CB437C">
        <w:rPr>
          <w:rFonts w:ascii="Arial" w:hAnsi="Arial" w:cs="Arial"/>
          <w:bCs/>
          <w:u w:val="single"/>
        </w:rPr>
        <w:t>Parks Capital and Open Space:</w:t>
      </w:r>
      <w:r>
        <w:rPr>
          <w:rFonts w:ascii="Arial" w:hAnsi="Arial" w:cs="Arial"/>
          <w:bCs/>
        </w:rPr>
        <w:t xml:space="preserve"> The RFP opened on September 15, 2021 and closes October 15, 2021.</w:t>
      </w:r>
    </w:p>
    <w:p w14:paraId="2537050A" w14:textId="77777777" w:rsidR="001C7F9A" w:rsidRDefault="001C7F9A" w:rsidP="001C7F9A">
      <w:pPr>
        <w:spacing w:line="264" w:lineRule="auto"/>
        <w:jc w:val="both"/>
        <w:rPr>
          <w:rFonts w:ascii="Arial" w:hAnsi="Arial" w:cs="Arial"/>
          <w:b/>
          <w:i/>
          <w:iCs/>
        </w:rPr>
      </w:pPr>
    </w:p>
    <w:p w14:paraId="4AC91305" w14:textId="77777777" w:rsidR="001C7F9A" w:rsidRDefault="001C7F9A" w:rsidP="001C7F9A">
      <w:pPr>
        <w:spacing w:line="264" w:lineRule="auto"/>
        <w:jc w:val="both"/>
        <w:rPr>
          <w:rFonts w:ascii="Arial" w:hAnsi="Arial" w:cs="Arial"/>
          <w:b/>
        </w:rPr>
      </w:pPr>
      <w:r w:rsidRPr="00CB437C">
        <w:rPr>
          <w:rFonts w:ascii="Arial" w:hAnsi="Arial" w:cs="Arial"/>
          <w:b/>
        </w:rPr>
        <w:lastRenderedPageBreak/>
        <w:t>TECHNICAL</w:t>
      </w:r>
    </w:p>
    <w:p w14:paraId="1EEB7E1C" w14:textId="77777777" w:rsidR="001C7F9A" w:rsidRPr="00B40F2E" w:rsidRDefault="001C7F9A" w:rsidP="001C7F9A">
      <w:pPr>
        <w:spacing w:line="264" w:lineRule="auto"/>
        <w:jc w:val="both"/>
        <w:rPr>
          <w:rFonts w:ascii="Arial" w:hAnsi="Arial" w:cs="Arial"/>
          <w:bCs/>
        </w:rPr>
      </w:pPr>
      <w:r w:rsidRPr="00234AFD">
        <w:rPr>
          <w:rFonts w:ascii="Arial" w:hAnsi="Arial" w:cs="Arial"/>
          <w:b/>
          <w:i/>
          <w:iCs/>
        </w:rPr>
        <w:t>Conservation Futures Tax Allocations</w:t>
      </w:r>
      <w:r>
        <w:rPr>
          <w:rFonts w:ascii="Arial" w:hAnsi="Arial" w:cs="Arial"/>
          <w:b/>
          <w:i/>
          <w:iCs/>
        </w:rPr>
        <w:t xml:space="preserve"> [$10,115,504].  </w:t>
      </w:r>
      <w:r>
        <w:rPr>
          <w:rFonts w:ascii="Arial" w:hAnsi="Arial" w:cs="Arial"/>
          <w:bCs/>
        </w:rPr>
        <w:t xml:space="preserve">This would reallocate $102,543 from 2021 CFT projects and appropriate </w:t>
      </w:r>
      <w:r w:rsidRPr="00234AFD">
        <w:rPr>
          <w:rFonts w:ascii="Arial" w:hAnsi="Arial" w:cs="Arial"/>
          <w:bCs/>
        </w:rPr>
        <w:t>$10,218,047</w:t>
      </w:r>
      <w:r>
        <w:rPr>
          <w:rFonts w:ascii="Arial" w:hAnsi="Arial" w:cs="Arial"/>
          <w:bCs/>
        </w:rPr>
        <w:t xml:space="preserve"> to 2022 CFT projects supported by the Parks Levy.  This amount aligns with the recommendations in the CFT Advisory Committee’s 2022 Project Funding Recommendations.</w:t>
      </w:r>
      <w:r>
        <w:rPr>
          <w:rStyle w:val="FootnoteReference"/>
          <w:rFonts w:ascii="Arial" w:hAnsi="Arial" w:cs="Arial"/>
          <w:bCs/>
        </w:rPr>
        <w:footnoteReference w:id="33"/>
      </w:r>
    </w:p>
    <w:p w14:paraId="4B51C31A" w14:textId="77777777" w:rsidR="001C7F9A" w:rsidRDefault="001C7F9A" w:rsidP="001C7F9A">
      <w:pPr>
        <w:spacing w:line="264" w:lineRule="auto"/>
        <w:jc w:val="both"/>
        <w:rPr>
          <w:rFonts w:ascii="Arial" w:hAnsi="Arial" w:cs="Arial"/>
          <w:b/>
          <w:i/>
          <w:iCs/>
        </w:rPr>
      </w:pPr>
    </w:p>
    <w:p w14:paraId="1AB68880" w14:textId="45A7BAA2" w:rsidR="001C7F9A" w:rsidRDefault="001C7F9A" w:rsidP="001C7F9A">
      <w:pPr>
        <w:spacing w:line="264" w:lineRule="auto"/>
        <w:jc w:val="both"/>
        <w:rPr>
          <w:rFonts w:ascii="Arial" w:hAnsi="Arial" w:cs="Arial"/>
          <w:bCs/>
        </w:rPr>
      </w:pPr>
      <w:r>
        <w:rPr>
          <w:rFonts w:ascii="Arial" w:hAnsi="Arial" w:cs="Arial"/>
          <w:b/>
          <w:i/>
          <w:iCs/>
        </w:rPr>
        <w:t xml:space="preserve">Disappropriations </w:t>
      </w:r>
      <w:r w:rsidRPr="00CB437C">
        <w:rPr>
          <w:rFonts w:ascii="Arial" w:hAnsi="Arial" w:cs="Arial"/>
          <w:b/>
          <w:i/>
          <w:iCs/>
        </w:rPr>
        <w:t>[</w:t>
      </w:r>
      <w:r w:rsidRPr="00CA158A">
        <w:rPr>
          <w:rFonts w:ascii="Arial" w:hAnsi="Arial" w:cs="Arial"/>
          <w:b/>
          <w:i/>
          <w:iCs/>
          <w:color w:val="C00000"/>
        </w:rPr>
        <w:t>-$11,070,840</w:t>
      </w:r>
      <w:r w:rsidRPr="00CB437C">
        <w:rPr>
          <w:rFonts w:ascii="Arial" w:hAnsi="Arial" w:cs="Arial"/>
          <w:b/>
          <w:i/>
          <w:iCs/>
        </w:rPr>
        <w:t>]</w:t>
      </w:r>
      <w:r>
        <w:rPr>
          <w:rFonts w:ascii="Arial" w:hAnsi="Arial" w:cs="Arial"/>
          <w:b/>
          <w:i/>
          <w:iCs/>
        </w:rPr>
        <w:t xml:space="preserve">.  </w:t>
      </w:r>
      <w:r w:rsidRPr="00F63478">
        <w:rPr>
          <w:rFonts w:ascii="Arial" w:hAnsi="Arial" w:cs="Arial"/>
          <w:bCs/>
        </w:rPr>
        <w:t xml:space="preserve">This would </w:t>
      </w:r>
      <w:r>
        <w:rPr>
          <w:rFonts w:ascii="Arial" w:hAnsi="Arial" w:cs="Arial"/>
          <w:bCs/>
        </w:rPr>
        <w:t xml:space="preserve">make technical adjustments to </w:t>
      </w:r>
      <w:r w:rsidRPr="00F63478">
        <w:rPr>
          <w:rFonts w:ascii="Arial" w:hAnsi="Arial" w:cs="Arial"/>
          <w:bCs/>
        </w:rPr>
        <w:t>disappropriate</w:t>
      </w:r>
      <w:r>
        <w:rPr>
          <w:rFonts w:ascii="Arial" w:hAnsi="Arial" w:cs="Arial"/>
          <w:bCs/>
        </w:rPr>
        <w:t xml:space="preserve"> moneys from the following projects with the following reasons:</w:t>
      </w:r>
    </w:p>
    <w:p w14:paraId="679F57FC" w14:textId="77777777" w:rsidR="001C7F9A" w:rsidRDefault="001C7F9A" w:rsidP="001C7F9A">
      <w:pPr>
        <w:pStyle w:val="ListParagraph0"/>
        <w:numPr>
          <w:ilvl w:val="0"/>
          <w:numId w:val="23"/>
        </w:numPr>
        <w:spacing w:line="264" w:lineRule="auto"/>
        <w:contextualSpacing/>
        <w:jc w:val="both"/>
        <w:rPr>
          <w:rFonts w:ascii="Arial" w:hAnsi="Arial" w:cs="Arial"/>
          <w:bCs/>
        </w:rPr>
      </w:pPr>
      <w:r>
        <w:rPr>
          <w:rFonts w:ascii="Arial" w:hAnsi="Arial" w:cs="Arial"/>
          <w:bCs/>
        </w:rPr>
        <w:t xml:space="preserve">Steve Cox Memorial Park, Restroom Rehabilitation and Replacement Program, Parking Lot and Pathway Rehabilitation Program: completed, and future improvements would be conducted out of the Parks Infrastructure Rehabilitation </w:t>
      </w:r>
      <w:proofErr w:type="gramStart"/>
      <w:r>
        <w:rPr>
          <w:rFonts w:ascii="Arial" w:hAnsi="Arial" w:cs="Arial"/>
          <w:bCs/>
        </w:rPr>
        <w:t>project;</w:t>
      </w:r>
      <w:proofErr w:type="gramEnd"/>
      <w:r>
        <w:rPr>
          <w:rFonts w:ascii="Arial" w:hAnsi="Arial" w:cs="Arial"/>
          <w:bCs/>
        </w:rPr>
        <w:t xml:space="preserve"> </w:t>
      </w:r>
    </w:p>
    <w:p w14:paraId="66FF554E" w14:textId="77777777" w:rsidR="001C7F9A" w:rsidRPr="009C6898" w:rsidRDefault="001C7F9A" w:rsidP="001C7F9A">
      <w:pPr>
        <w:pStyle w:val="ListParagraph0"/>
        <w:numPr>
          <w:ilvl w:val="0"/>
          <w:numId w:val="23"/>
        </w:numPr>
        <w:spacing w:line="264" w:lineRule="auto"/>
        <w:contextualSpacing/>
        <w:jc w:val="both"/>
        <w:rPr>
          <w:rFonts w:ascii="Arial" w:hAnsi="Arial" w:cs="Arial"/>
          <w:bCs/>
        </w:rPr>
      </w:pPr>
      <w:r w:rsidRPr="009C6898">
        <w:rPr>
          <w:rFonts w:ascii="Arial" w:hAnsi="Arial" w:cs="Arial"/>
          <w:bCs/>
        </w:rPr>
        <w:t>Snoqualmie Forest Conservation Planning, Snoqualmie at Fall City, Moss Lake Natural Area acquisition</w:t>
      </w:r>
      <w:r>
        <w:rPr>
          <w:rFonts w:ascii="Arial" w:hAnsi="Arial" w:cs="Arial"/>
          <w:bCs/>
        </w:rPr>
        <w:t>: u</w:t>
      </w:r>
      <w:r w:rsidRPr="00CA4F08">
        <w:rPr>
          <w:rFonts w:ascii="Arial" w:hAnsi="Arial" w:cs="Arial"/>
          <w:bCs/>
        </w:rPr>
        <w:t xml:space="preserve">nable to reach agreement with landowner and returning </w:t>
      </w:r>
      <w:r>
        <w:rPr>
          <w:rFonts w:ascii="Arial" w:hAnsi="Arial" w:cs="Arial"/>
          <w:bCs/>
        </w:rPr>
        <w:t>money</w:t>
      </w:r>
      <w:r w:rsidRPr="00CA4F08">
        <w:rPr>
          <w:rFonts w:ascii="Arial" w:hAnsi="Arial" w:cs="Arial"/>
          <w:bCs/>
        </w:rPr>
        <w:t xml:space="preserve"> for reallocation out of the </w:t>
      </w:r>
      <w:proofErr w:type="gramStart"/>
      <w:r w:rsidRPr="00CA4F08">
        <w:rPr>
          <w:rFonts w:ascii="Arial" w:hAnsi="Arial" w:cs="Arial"/>
          <w:bCs/>
        </w:rPr>
        <w:t>project</w:t>
      </w:r>
      <w:r>
        <w:rPr>
          <w:rFonts w:ascii="Arial" w:hAnsi="Arial" w:cs="Arial"/>
          <w:bCs/>
        </w:rPr>
        <w:t>;</w:t>
      </w:r>
      <w:proofErr w:type="gramEnd"/>
    </w:p>
    <w:p w14:paraId="6C788DB7" w14:textId="76632CD1" w:rsidR="001C7F9A" w:rsidRDefault="001C7F9A" w:rsidP="001C7F9A">
      <w:pPr>
        <w:pStyle w:val="ListParagraph0"/>
        <w:numPr>
          <w:ilvl w:val="0"/>
          <w:numId w:val="23"/>
        </w:numPr>
        <w:spacing w:line="264" w:lineRule="auto"/>
        <w:contextualSpacing/>
        <w:jc w:val="both"/>
        <w:rPr>
          <w:rFonts w:ascii="Arial" w:hAnsi="Arial" w:cs="Arial"/>
          <w:bCs/>
        </w:rPr>
      </w:pPr>
      <w:r>
        <w:rPr>
          <w:rFonts w:ascii="Arial" w:hAnsi="Arial" w:cs="Arial"/>
          <w:bCs/>
        </w:rPr>
        <w:t>Snoqualmie Valle</w:t>
      </w:r>
      <w:r w:rsidRPr="00CA4F08">
        <w:rPr>
          <w:rFonts w:ascii="Arial" w:hAnsi="Arial" w:cs="Arial"/>
          <w:bCs/>
        </w:rPr>
        <w:t xml:space="preserve">y Trail at Mill Site Acquisition: </w:t>
      </w:r>
      <w:r>
        <w:rPr>
          <w:rFonts w:ascii="Arial" w:hAnsi="Arial" w:cs="Arial"/>
          <w:bCs/>
        </w:rPr>
        <w:t>r</w:t>
      </w:r>
      <w:r w:rsidRPr="00CA4F08">
        <w:rPr>
          <w:rFonts w:ascii="Arial" w:hAnsi="Arial" w:cs="Arial"/>
          <w:bCs/>
        </w:rPr>
        <w:t xml:space="preserve">eturning </w:t>
      </w:r>
      <w:r>
        <w:rPr>
          <w:rFonts w:ascii="Arial" w:hAnsi="Arial" w:cs="Arial"/>
          <w:bCs/>
        </w:rPr>
        <w:t>money</w:t>
      </w:r>
      <w:r w:rsidRPr="00CA4F08">
        <w:rPr>
          <w:rFonts w:ascii="Arial" w:hAnsi="Arial" w:cs="Arial"/>
          <w:bCs/>
        </w:rPr>
        <w:t xml:space="preserve"> as surplus to acquisition needs</w:t>
      </w:r>
      <w:r>
        <w:rPr>
          <w:rFonts w:ascii="Arial" w:hAnsi="Arial" w:cs="Arial"/>
          <w:bCs/>
        </w:rPr>
        <w:t>; and</w:t>
      </w:r>
    </w:p>
    <w:p w14:paraId="67E19366" w14:textId="77777777" w:rsidR="001C7F9A" w:rsidRPr="006A7782" w:rsidRDefault="001C7F9A" w:rsidP="001C7F9A">
      <w:pPr>
        <w:pStyle w:val="ListParagraph0"/>
        <w:numPr>
          <w:ilvl w:val="0"/>
          <w:numId w:val="23"/>
        </w:numPr>
        <w:spacing w:line="264" w:lineRule="auto"/>
        <w:contextualSpacing/>
        <w:jc w:val="both"/>
        <w:rPr>
          <w:rFonts w:ascii="Arial" w:hAnsi="Arial" w:cs="Arial"/>
          <w:bCs/>
        </w:rPr>
      </w:pPr>
      <w:r w:rsidRPr="00FB2143">
        <w:rPr>
          <w:rFonts w:ascii="Arial" w:hAnsi="Arial" w:cs="Arial"/>
          <w:bCs/>
        </w:rPr>
        <w:t>Parks Regional Open Space Initiative</w:t>
      </w:r>
      <w:r>
        <w:rPr>
          <w:rFonts w:ascii="Arial" w:hAnsi="Arial" w:cs="Arial"/>
          <w:bCs/>
        </w:rPr>
        <w:t xml:space="preserve"> (-$10,115,504)</w:t>
      </w:r>
      <w:r w:rsidRPr="00FB2143">
        <w:rPr>
          <w:rFonts w:ascii="Arial" w:hAnsi="Arial" w:cs="Arial"/>
          <w:bCs/>
        </w:rPr>
        <w:t xml:space="preserve">: </w:t>
      </w:r>
      <w:proofErr w:type="spellStart"/>
      <w:r w:rsidRPr="00FB2143">
        <w:rPr>
          <w:rFonts w:ascii="Arial" w:hAnsi="Arial" w:cs="Arial"/>
          <w:bCs/>
        </w:rPr>
        <w:t>disappropriat</w:t>
      </w:r>
      <w:r>
        <w:rPr>
          <w:rFonts w:ascii="Arial" w:hAnsi="Arial" w:cs="Arial"/>
          <w:bCs/>
        </w:rPr>
        <w:t>ing</w:t>
      </w:r>
      <w:proofErr w:type="spellEnd"/>
      <w:r w:rsidRPr="00FB2143">
        <w:rPr>
          <w:rFonts w:ascii="Arial" w:hAnsi="Arial" w:cs="Arial"/>
          <w:bCs/>
        </w:rPr>
        <w:t xml:space="preserve"> an amount corresponding to the 2022 CFT allocations</w:t>
      </w:r>
      <w:r>
        <w:rPr>
          <w:rFonts w:ascii="Arial" w:hAnsi="Arial" w:cs="Arial"/>
          <w:bCs/>
        </w:rPr>
        <w:t>; this item was a p</w:t>
      </w:r>
      <w:r w:rsidRPr="00FB2143">
        <w:rPr>
          <w:rFonts w:ascii="Arial" w:hAnsi="Arial" w:cs="Arial"/>
          <w:bCs/>
        </w:rPr>
        <w:t>laceholder for the CFT recommendations</w:t>
      </w:r>
      <w:r>
        <w:rPr>
          <w:rFonts w:ascii="Arial" w:hAnsi="Arial" w:cs="Arial"/>
          <w:bCs/>
        </w:rPr>
        <w:t>. This amount aligns with the Conservation Futures Tax Allocations above.</w:t>
      </w:r>
    </w:p>
    <w:p w14:paraId="22FF76EE" w14:textId="511F1230" w:rsidR="001C7F9A" w:rsidRDefault="001C7F9A" w:rsidP="00AB45DE">
      <w:pPr>
        <w:tabs>
          <w:tab w:val="left" w:pos="720"/>
          <w:tab w:val="right" w:pos="9360"/>
        </w:tabs>
        <w:spacing w:line="264" w:lineRule="auto"/>
        <w:contextualSpacing/>
        <w:jc w:val="both"/>
        <w:rPr>
          <w:rFonts w:ascii="Arial" w:hAnsi="Arial" w:cs="Arial"/>
          <w:b/>
          <w:u w:val="single"/>
        </w:rPr>
      </w:pPr>
    </w:p>
    <w:p w14:paraId="43867135" w14:textId="77777777" w:rsidR="00B34633" w:rsidRDefault="00B34633" w:rsidP="00AB45DE">
      <w:pPr>
        <w:tabs>
          <w:tab w:val="left" w:pos="720"/>
          <w:tab w:val="right" w:pos="9360"/>
        </w:tabs>
        <w:spacing w:line="264" w:lineRule="auto"/>
        <w:contextualSpacing/>
        <w:jc w:val="both"/>
        <w:rPr>
          <w:rFonts w:ascii="Arial" w:hAnsi="Arial" w:cs="Arial"/>
          <w:b/>
          <w:u w:val="single"/>
        </w:rPr>
      </w:pPr>
    </w:p>
    <w:p w14:paraId="64EF1573" w14:textId="401BA349" w:rsidR="00D43E92" w:rsidRPr="000E7446" w:rsidRDefault="000C6D15" w:rsidP="00D43E92">
      <w:pPr>
        <w:tabs>
          <w:tab w:val="left" w:pos="720"/>
          <w:tab w:val="right" w:pos="9360"/>
        </w:tabs>
        <w:spacing w:line="264" w:lineRule="auto"/>
        <w:contextualSpacing/>
        <w:jc w:val="both"/>
        <w:rPr>
          <w:rFonts w:ascii="Arial" w:hAnsi="Arial" w:cs="Arial"/>
          <w:b/>
          <w:u w:val="single"/>
        </w:rPr>
      </w:pPr>
      <w:r>
        <w:rPr>
          <w:rFonts w:ascii="Arial" w:hAnsi="Arial" w:cs="Arial"/>
          <w:b/>
          <w:u w:val="single"/>
        </w:rPr>
        <w:t>Historic Preservation Program</w:t>
      </w:r>
      <w:r w:rsidR="00D43E92" w:rsidRPr="000E7446">
        <w:rPr>
          <w:rFonts w:ascii="Arial" w:hAnsi="Arial" w:cs="Arial"/>
          <w:b/>
          <w:u w:val="single"/>
        </w:rPr>
        <w:tab/>
        <w:t>$</w:t>
      </w:r>
      <w:r w:rsidR="00D43E92">
        <w:rPr>
          <w:rFonts w:ascii="Arial" w:hAnsi="Arial" w:cs="Arial"/>
          <w:b/>
          <w:u w:val="single"/>
        </w:rPr>
        <w:t>37,000</w:t>
      </w:r>
    </w:p>
    <w:p w14:paraId="4316D3EA" w14:textId="77777777" w:rsidR="00D43E92" w:rsidRDefault="00D43E92" w:rsidP="00D43E92">
      <w:pPr>
        <w:spacing w:line="264" w:lineRule="auto"/>
        <w:contextualSpacing/>
        <w:jc w:val="both"/>
        <w:rPr>
          <w:b/>
        </w:rPr>
      </w:pPr>
    </w:p>
    <w:p w14:paraId="0AEA502E" w14:textId="77777777" w:rsidR="00D43E92" w:rsidRPr="003674A2" w:rsidRDefault="00D43E92" w:rsidP="00D43E92">
      <w:pPr>
        <w:spacing w:line="264" w:lineRule="auto"/>
        <w:contextualSpacing/>
        <w:jc w:val="both"/>
        <w:rPr>
          <w:rFonts w:ascii="Arial" w:hAnsi="Arial" w:cs="Arial"/>
        </w:rPr>
      </w:pPr>
      <w:r w:rsidRPr="003674A2">
        <w:rPr>
          <w:rFonts w:ascii="Arial" w:hAnsi="Arial" w:cs="Arial"/>
          <w:b/>
          <w:i/>
          <w:iCs/>
        </w:rPr>
        <w:t>Grant [$16,575].</w:t>
      </w:r>
      <w:r w:rsidRPr="003674A2">
        <w:rPr>
          <w:rFonts w:ascii="Arial" w:hAnsi="Arial" w:cs="Arial"/>
          <w:b/>
          <w:iCs/>
        </w:rPr>
        <w:t xml:space="preserve">  </w:t>
      </w:r>
      <w:r w:rsidRPr="003674A2">
        <w:rPr>
          <w:rFonts w:ascii="Arial" w:hAnsi="Arial" w:cs="Arial"/>
        </w:rPr>
        <w:t>The proposed ordinance would appropriate $16,575 in revenue-backed appropriation authority to reflect a grant from the Washington State Department of Archaeology and Historic Preservation.</w:t>
      </w:r>
    </w:p>
    <w:p w14:paraId="5A12BBF7" w14:textId="77777777" w:rsidR="00D43E92" w:rsidRPr="003674A2" w:rsidRDefault="00D43E92" w:rsidP="00D43E92">
      <w:pPr>
        <w:spacing w:line="264" w:lineRule="auto"/>
        <w:contextualSpacing/>
        <w:jc w:val="both"/>
        <w:rPr>
          <w:rFonts w:ascii="Arial" w:hAnsi="Arial" w:cs="Arial"/>
        </w:rPr>
      </w:pPr>
    </w:p>
    <w:p w14:paraId="1BC1E8F8" w14:textId="77777777" w:rsidR="00D43E92" w:rsidRPr="003674A2" w:rsidRDefault="00D43E92" w:rsidP="00D43E92">
      <w:pPr>
        <w:spacing w:line="264" w:lineRule="auto"/>
        <w:contextualSpacing/>
        <w:jc w:val="both"/>
        <w:rPr>
          <w:rFonts w:ascii="Arial" w:hAnsi="Arial" w:cs="Arial"/>
          <w:b/>
        </w:rPr>
      </w:pPr>
      <w:r w:rsidRPr="003674A2">
        <w:rPr>
          <w:rFonts w:ascii="Arial" w:hAnsi="Arial" w:cs="Arial"/>
          <w:b/>
        </w:rPr>
        <w:t>REAPPROPRIATION</w:t>
      </w:r>
    </w:p>
    <w:p w14:paraId="79133DB1" w14:textId="1DCF86F0" w:rsidR="00D43E92" w:rsidRPr="003674A2" w:rsidRDefault="00D43E92" w:rsidP="00D43E92">
      <w:pPr>
        <w:spacing w:line="264" w:lineRule="auto"/>
        <w:contextualSpacing/>
        <w:jc w:val="both"/>
        <w:rPr>
          <w:rFonts w:ascii="Arial" w:hAnsi="Arial" w:cs="Arial"/>
          <w:b/>
        </w:rPr>
      </w:pPr>
      <w:r w:rsidRPr="003674A2">
        <w:rPr>
          <w:rFonts w:ascii="Arial" w:hAnsi="Arial" w:cs="Arial"/>
          <w:b/>
          <w:i/>
          <w:iCs/>
        </w:rPr>
        <w:t>Barn Grants [$20,358].</w:t>
      </w:r>
      <w:r w:rsidRPr="003674A2">
        <w:rPr>
          <w:rFonts w:ascii="Arial" w:hAnsi="Arial" w:cs="Arial"/>
          <w:b/>
          <w:i/>
        </w:rPr>
        <w:t xml:space="preserve">  </w:t>
      </w:r>
      <w:r w:rsidRPr="003674A2">
        <w:rPr>
          <w:rFonts w:ascii="Arial" w:hAnsi="Arial" w:cs="Arial"/>
        </w:rPr>
        <w:t xml:space="preserve">The proposed ordinance would reappropriate $20,358 in remaining bond proceeds for the restoration of historic barns. </w:t>
      </w:r>
      <w:r>
        <w:rPr>
          <w:rFonts w:ascii="Arial" w:hAnsi="Arial" w:cs="Arial"/>
        </w:rPr>
        <w:t xml:space="preserve"> </w:t>
      </w:r>
      <w:r w:rsidRPr="003674A2">
        <w:rPr>
          <w:rFonts w:ascii="Arial" w:hAnsi="Arial" w:cs="Arial"/>
        </w:rPr>
        <w:t>The reappropriation is requested because the work was delayed due to COVID-19 and will be completed this biennium.</w:t>
      </w:r>
    </w:p>
    <w:p w14:paraId="28FF4B0E" w14:textId="0B070CD0" w:rsidR="00D43E92" w:rsidRDefault="00D43E92" w:rsidP="00AB45DE">
      <w:pPr>
        <w:tabs>
          <w:tab w:val="left" w:pos="720"/>
          <w:tab w:val="right" w:pos="9360"/>
        </w:tabs>
        <w:spacing w:line="264" w:lineRule="auto"/>
        <w:contextualSpacing/>
        <w:jc w:val="both"/>
        <w:rPr>
          <w:rFonts w:ascii="Arial" w:hAnsi="Arial" w:cs="Arial"/>
          <w:b/>
          <w:u w:val="single"/>
        </w:rPr>
      </w:pPr>
    </w:p>
    <w:p w14:paraId="28833F9C" w14:textId="4E2C186A" w:rsidR="005732E4" w:rsidRDefault="005732E4" w:rsidP="00AB45DE">
      <w:pPr>
        <w:tabs>
          <w:tab w:val="left" w:pos="720"/>
          <w:tab w:val="right" w:pos="9360"/>
        </w:tabs>
        <w:spacing w:line="264" w:lineRule="auto"/>
        <w:contextualSpacing/>
        <w:jc w:val="both"/>
        <w:rPr>
          <w:rFonts w:ascii="Arial" w:hAnsi="Arial" w:cs="Arial"/>
          <w:b/>
          <w:u w:val="single"/>
        </w:rPr>
      </w:pPr>
    </w:p>
    <w:p w14:paraId="0CB1850F" w14:textId="114A4F2B" w:rsidR="005732E4" w:rsidRDefault="005732E4" w:rsidP="00AB45DE">
      <w:pPr>
        <w:tabs>
          <w:tab w:val="left" w:pos="720"/>
          <w:tab w:val="right" w:pos="9360"/>
        </w:tabs>
        <w:spacing w:line="264" w:lineRule="auto"/>
        <w:contextualSpacing/>
        <w:jc w:val="both"/>
        <w:rPr>
          <w:rFonts w:ascii="Arial" w:hAnsi="Arial" w:cs="Arial"/>
          <w:b/>
          <w:u w:val="single"/>
        </w:rPr>
      </w:pPr>
    </w:p>
    <w:p w14:paraId="6ACBD95E" w14:textId="295EE68F" w:rsidR="005732E4" w:rsidRDefault="005732E4" w:rsidP="00AB45DE">
      <w:pPr>
        <w:tabs>
          <w:tab w:val="left" w:pos="720"/>
          <w:tab w:val="right" w:pos="9360"/>
        </w:tabs>
        <w:spacing w:line="264" w:lineRule="auto"/>
        <w:contextualSpacing/>
        <w:jc w:val="both"/>
        <w:rPr>
          <w:rFonts w:ascii="Arial" w:hAnsi="Arial" w:cs="Arial"/>
          <w:b/>
          <w:u w:val="single"/>
        </w:rPr>
      </w:pPr>
    </w:p>
    <w:p w14:paraId="38BFB5B8" w14:textId="2DAB2F68" w:rsidR="005732E4" w:rsidRDefault="005732E4" w:rsidP="00AB45DE">
      <w:pPr>
        <w:tabs>
          <w:tab w:val="left" w:pos="720"/>
          <w:tab w:val="right" w:pos="9360"/>
        </w:tabs>
        <w:spacing w:line="264" w:lineRule="auto"/>
        <w:contextualSpacing/>
        <w:jc w:val="both"/>
        <w:rPr>
          <w:rFonts w:ascii="Arial" w:hAnsi="Arial" w:cs="Arial"/>
          <w:b/>
          <w:u w:val="single"/>
        </w:rPr>
      </w:pPr>
    </w:p>
    <w:p w14:paraId="1B468146" w14:textId="77777777" w:rsidR="005732E4" w:rsidRDefault="005732E4" w:rsidP="00AB45DE">
      <w:pPr>
        <w:tabs>
          <w:tab w:val="left" w:pos="720"/>
          <w:tab w:val="right" w:pos="9360"/>
        </w:tabs>
        <w:spacing w:line="264" w:lineRule="auto"/>
        <w:contextualSpacing/>
        <w:jc w:val="both"/>
        <w:rPr>
          <w:rFonts w:ascii="Arial" w:hAnsi="Arial" w:cs="Arial"/>
          <w:b/>
          <w:u w:val="single"/>
        </w:rPr>
      </w:pPr>
    </w:p>
    <w:p w14:paraId="494349E3" w14:textId="77777777" w:rsidR="005744D0" w:rsidRDefault="005744D0" w:rsidP="005744D0">
      <w:pPr>
        <w:tabs>
          <w:tab w:val="left" w:pos="720"/>
          <w:tab w:val="right" w:pos="9360"/>
        </w:tabs>
        <w:spacing w:line="264" w:lineRule="auto"/>
        <w:contextualSpacing/>
        <w:jc w:val="both"/>
        <w:rPr>
          <w:rFonts w:ascii="Arial" w:hAnsi="Arial" w:cs="Arial"/>
          <w:b/>
          <w:u w:val="single"/>
        </w:rPr>
      </w:pPr>
    </w:p>
    <w:p w14:paraId="7A546F97" w14:textId="4B710114" w:rsidR="005744D0" w:rsidRPr="00DD4FB3" w:rsidRDefault="005744D0" w:rsidP="005744D0">
      <w:pPr>
        <w:tabs>
          <w:tab w:val="left" w:pos="720"/>
          <w:tab w:val="right" w:pos="9360"/>
        </w:tabs>
        <w:spacing w:line="264" w:lineRule="auto"/>
        <w:contextualSpacing/>
        <w:jc w:val="both"/>
        <w:rPr>
          <w:rFonts w:ascii="Arial" w:hAnsi="Arial" w:cs="Arial"/>
          <w:b/>
          <w:u w:val="single"/>
        </w:rPr>
      </w:pPr>
      <w:r w:rsidRPr="00DD4FB3">
        <w:rPr>
          <w:rFonts w:ascii="Arial" w:hAnsi="Arial" w:cs="Arial"/>
          <w:b/>
          <w:u w:val="single"/>
        </w:rPr>
        <w:lastRenderedPageBreak/>
        <w:t>Best Starts for Kids</w:t>
      </w:r>
      <w:r w:rsidRPr="00DD4FB3">
        <w:rPr>
          <w:rFonts w:ascii="Arial" w:hAnsi="Arial" w:cs="Arial"/>
          <w:b/>
          <w:u w:val="single"/>
        </w:rPr>
        <w:tab/>
        <w:t>$126.6 Million and 22.0 FTEs</w:t>
      </w:r>
    </w:p>
    <w:p w14:paraId="1449FD94" w14:textId="77777777" w:rsidR="005744D0" w:rsidRPr="00DD4FB3" w:rsidRDefault="005744D0" w:rsidP="005744D0">
      <w:pPr>
        <w:spacing w:line="264" w:lineRule="auto"/>
        <w:contextualSpacing/>
        <w:jc w:val="both"/>
        <w:rPr>
          <w:rFonts w:ascii="Arial" w:hAnsi="Arial" w:cs="Arial"/>
          <w:iCs/>
        </w:rPr>
      </w:pPr>
    </w:p>
    <w:p w14:paraId="7591C4D8" w14:textId="77777777" w:rsidR="005744D0" w:rsidRDefault="005744D0" w:rsidP="005744D0">
      <w:pPr>
        <w:spacing w:line="264" w:lineRule="auto"/>
        <w:contextualSpacing/>
        <w:jc w:val="both"/>
        <w:rPr>
          <w:rFonts w:ascii="Arial" w:hAnsi="Arial" w:cs="Arial"/>
          <w:b/>
          <w:iCs/>
        </w:rPr>
      </w:pPr>
      <w:r w:rsidRPr="00DD4FB3">
        <w:rPr>
          <w:rFonts w:ascii="Arial" w:hAnsi="Arial" w:cs="Arial"/>
          <w:b/>
          <w:iCs/>
        </w:rPr>
        <w:t>TECHNICAL</w:t>
      </w:r>
    </w:p>
    <w:p w14:paraId="74398781" w14:textId="77777777" w:rsidR="005744D0" w:rsidRDefault="005744D0" w:rsidP="005744D0">
      <w:pPr>
        <w:spacing w:line="264" w:lineRule="auto"/>
        <w:jc w:val="both"/>
        <w:rPr>
          <w:rFonts w:ascii="Arial" w:hAnsi="Arial" w:cs="Arial"/>
          <w:szCs w:val="24"/>
        </w:rPr>
      </w:pPr>
      <w:r>
        <w:rPr>
          <w:rFonts w:ascii="Arial" w:hAnsi="Arial" w:cs="Arial"/>
          <w:b/>
          <w:i/>
        </w:rPr>
        <w:t>BSK Levy Renewal</w:t>
      </w:r>
      <w:r w:rsidRPr="0054665B">
        <w:rPr>
          <w:rFonts w:ascii="Arial" w:hAnsi="Arial" w:cs="Arial"/>
          <w:b/>
          <w:i/>
        </w:rPr>
        <w:t xml:space="preserve"> </w:t>
      </w:r>
      <w:r>
        <w:rPr>
          <w:rFonts w:ascii="Arial" w:hAnsi="Arial" w:cs="Arial"/>
          <w:b/>
          <w:i/>
        </w:rPr>
        <w:t>[</w:t>
      </w:r>
      <w:r w:rsidRPr="0054665B">
        <w:rPr>
          <w:rFonts w:ascii="Arial" w:hAnsi="Arial" w:cs="Arial"/>
          <w:b/>
          <w:i/>
        </w:rPr>
        <w:t>$</w:t>
      </w:r>
      <w:r>
        <w:rPr>
          <w:rFonts w:ascii="Arial" w:hAnsi="Arial" w:cs="Arial"/>
          <w:b/>
          <w:i/>
        </w:rPr>
        <w:t>126.6 Million and 22.0 FTEs]</w:t>
      </w:r>
      <w:r w:rsidRPr="0054665B">
        <w:rPr>
          <w:rFonts w:ascii="Arial" w:hAnsi="Arial" w:cs="Arial"/>
          <w:b/>
          <w:i/>
        </w:rPr>
        <w:t>.</w:t>
      </w:r>
      <w:r>
        <w:rPr>
          <w:rFonts w:ascii="Arial" w:hAnsi="Arial" w:cs="Arial"/>
          <w:b/>
          <w:iCs/>
        </w:rPr>
        <w:t xml:space="preserve">  </w:t>
      </w:r>
      <w:r w:rsidRPr="006D3FF8">
        <w:rPr>
          <w:rFonts w:ascii="Arial" w:hAnsi="Arial" w:cs="Arial"/>
          <w:iCs/>
        </w:rPr>
        <w:t>The proposed ordinance would appropriate $</w:t>
      </w:r>
      <w:r>
        <w:rPr>
          <w:rFonts w:ascii="Arial" w:hAnsi="Arial" w:cs="Arial"/>
          <w:iCs/>
        </w:rPr>
        <w:t>126.6 million</w:t>
      </w:r>
      <w:r w:rsidRPr="006D3FF8">
        <w:rPr>
          <w:rFonts w:ascii="Arial" w:hAnsi="Arial" w:cs="Arial"/>
          <w:iCs/>
        </w:rPr>
        <w:t xml:space="preserve"> and 2</w:t>
      </w:r>
      <w:r>
        <w:rPr>
          <w:rFonts w:ascii="Arial" w:hAnsi="Arial" w:cs="Arial"/>
          <w:iCs/>
        </w:rPr>
        <w:t>2</w:t>
      </w:r>
      <w:r w:rsidRPr="006D3FF8">
        <w:rPr>
          <w:rFonts w:ascii="Arial" w:hAnsi="Arial" w:cs="Arial"/>
          <w:iCs/>
        </w:rPr>
        <w:t xml:space="preserve">.0 FTEs to </w:t>
      </w:r>
      <w:r>
        <w:rPr>
          <w:rFonts w:ascii="Arial" w:hAnsi="Arial" w:cs="Arial"/>
          <w:iCs/>
        </w:rPr>
        <w:t>provide BSK spending and FTE authority for 2022,</w:t>
      </w:r>
      <w:r w:rsidRPr="00B741A4">
        <w:rPr>
          <w:rFonts w:ascii="Arial" w:hAnsi="Arial" w:cs="Arial"/>
        </w:rPr>
        <w:t xml:space="preserve"> reflecting </w:t>
      </w:r>
      <w:r>
        <w:rPr>
          <w:rFonts w:ascii="Arial" w:hAnsi="Arial" w:cs="Arial"/>
        </w:rPr>
        <w:t>voter approval of</w:t>
      </w:r>
      <w:r w:rsidRPr="00B741A4">
        <w:rPr>
          <w:rFonts w:ascii="Arial" w:hAnsi="Arial" w:cs="Arial"/>
        </w:rPr>
        <w:t xml:space="preserve"> BSK </w:t>
      </w:r>
      <w:r>
        <w:rPr>
          <w:rFonts w:ascii="Arial" w:hAnsi="Arial" w:cs="Arial"/>
        </w:rPr>
        <w:t xml:space="preserve">renewal </w:t>
      </w:r>
      <w:r w:rsidRPr="00B741A4">
        <w:rPr>
          <w:rFonts w:ascii="Arial" w:hAnsi="Arial" w:cs="Arial"/>
        </w:rPr>
        <w:t xml:space="preserve">levy </w:t>
      </w:r>
      <w:r>
        <w:rPr>
          <w:rFonts w:ascii="Arial" w:hAnsi="Arial" w:cs="Arial"/>
        </w:rPr>
        <w:t xml:space="preserve">for </w:t>
      </w:r>
      <w:r w:rsidRPr="00B741A4">
        <w:rPr>
          <w:rFonts w:ascii="Arial" w:hAnsi="Arial" w:cs="Arial"/>
        </w:rPr>
        <w:t>2022-2027</w:t>
      </w:r>
      <w:r>
        <w:rPr>
          <w:rFonts w:ascii="Arial" w:hAnsi="Arial" w:cs="Arial"/>
        </w:rPr>
        <w:t>.  T</w:t>
      </w:r>
      <w:r w:rsidRPr="00B741A4">
        <w:rPr>
          <w:rFonts w:ascii="Arial" w:hAnsi="Arial" w:cs="Arial"/>
        </w:rPr>
        <w:t xml:space="preserve">he 2021-2022 biennial budget (Ordinance 19210) </w:t>
      </w:r>
      <w:r>
        <w:rPr>
          <w:rFonts w:ascii="Arial" w:hAnsi="Arial" w:cs="Arial"/>
        </w:rPr>
        <w:t xml:space="preserve">currently </w:t>
      </w:r>
      <w:r w:rsidRPr="00B741A4">
        <w:rPr>
          <w:rFonts w:ascii="Arial" w:hAnsi="Arial" w:cs="Arial"/>
        </w:rPr>
        <w:t xml:space="preserve">only </w:t>
      </w:r>
      <w:r>
        <w:rPr>
          <w:rFonts w:ascii="Arial" w:hAnsi="Arial" w:cs="Arial"/>
        </w:rPr>
        <w:t>includes</w:t>
      </w:r>
      <w:r w:rsidRPr="00B741A4">
        <w:rPr>
          <w:rFonts w:ascii="Arial" w:hAnsi="Arial" w:cs="Arial"/>
        </w:rPr>
        <w:t xml:space="preserve"> </w:t>
      </w:r>
      <w:r>
        <w:rPr>
          <w:rFonts w:ascii="Arial" w:hAnsi="Arial" w:cs="Arial"/>
        </w:rPr>
        <w:t xml:space="preserve">sufficient BSK </w:t>
      </w:r>
      <w:r w:rsidRPr="00B741A4">
        <w:rPr>
          <w:rFonts w:ascii="Arial" w:hAnsi="Arial" w:cs="Arial"/>
        </w:rPr>
        <w:t xml:space="preserve">spending authority for 2021 given the expiration of the current </w:t>
      </w:r>
      <w:r>
        <w:rPr>
          <w:rFonts w:ascii="Arial" w:hAnsi="Arial" w:cs="Arial"/>
        </w:rPr>
        <w:t xml:space="preserve">2016-2021 </w:t>
      </w:r>
      <w:r w:rsidRPr="00B741A4">
        <w:rPr>
          <w:rFonts w:ascii="Arial" w:hAnsi="Arial" w:cs="Arial"/>
        </w:rPr>
        <w:t xml:space="preserve">BSK levy </w:t>
      </w:r>
      <w:r>
        <w:rPr>
          <w:rFonts w:ascii="Arial" w:hAnsi="Arial" w:cs="Arial"/>
        </w:rPr>
        <w:t xml:space="preserve">period </w:t>
      </w:r>
      <w:r w:rsidRPr="00B741A4">
        <w:rPr>
          <w:rFonts w:ascii="Arial" w:hAnsi="Arial" w:cs="Arial"/>
        </w:rPr>
        <w:t>at the end of this year</w:t>
      </w:r>
      <w:r>
        <w:rPr>
          <w:rFonts w:ascii="Arial" w:hAnsi="Arial" w:cs="Arial"/>
        </w:rPr>
        <w:t>.</w:t>
      </w:r>
    </w:p>
    <w:p w14:paraId="5E105593" w14:textId="77777777" w:rsidR="005744D0" w:rsidRDefault="005744D0" w:rsidP="005744D0">
      <w:pPr>
        <w:spacing w:line="264" w:lineRule="auto"/>
        <w:jc w:val="both"/>
        <w:rPr>
          <w:rFonts w:ascii="Arial" w:hAnsi="Arial" w:cs="Arial"/>
          <w:szCs w:val="24"/>
        </w:rPr>
      </w:pPr>
    </w:p>
    <w:p w14:paraId="33AFD007" w14:textId="733BCBDD" w:rsidR="005744D0" w:rsidRDefault="005744D0" w:rsidP="00B34633">
      <w:pPr>
        <w:spacing w:line="264" w:lineRule="auto"/>
        <w:jc w:val="both"/>
        <w:rPr>
          <w:rFonts w:ascii="Arial" w:hAnsi="Arial" w:cs="Arial"/>
          <w:szCs w:val="24"/>
        </w:rPr>
      </w:pPr>
      <w:r>
        <w:rPr>
          <w:rFonts w:ascii="Arial" w:hAnsi="Arial" w:cs="Arial"/>
          <w:szCs w:val="24"/>
        </w:rPr>
        <w:t>The</w:t>
      </w:r>
      <w:r w:rsidRPr="00DC1AA3">
        <w:rPr>
          <w:rFonts w:ascii="Arial" w:hAnsi="Arial" w:cs="Arial"/>
          <w:szCs w:val="24"/>
        </w:rPr>
        <w:t xml:space="preserve"> renewal levy</w:t>
      </w:r>
      <w:r>
        <w:rPr>
          <w:rFonts w:ascii="Arial" w:hAnsi="Arial" w:cs="Arial"/>
          <w:szCs w:val="24"/>
        </w:rPr>
        <w:t>, broadly speaking,</w:t>
      </w:r>
      <w:r w:rsidRPr="00DC1AA3">
        <w:rPr>
          <w:rFonts w:ascii="Arial" w:hAnsi="Arial" w:cs="Arial"/>
          <w:szCs w:val="24"/>
        </w:rPr>
        <w:t xml:space="preserve"> will continue to provide funding for prevention and early intervention programs and services for children, youth, and young adults, ages 0 to 24, as well as their families and their communities. </w:t>
      </w:r>
      <w:r>
        <w:rPr>
          <w:rFonts w:ascii="Arial" w:hAnsi="Arial" w:cs="Arial"/>
          <w:szCs w:val="24"/>
        </w:rPr>
        <w:t xml:space="preserve"> </w:t>
      </w:r>
      <w:r w:rsidRPr="00DC1AA3">
        <w:rPr>
          <w:rFonts w:ascii="Arial" w:hAnsi="Arial" w:cs="Arial"/>
          <w:szCs w:val="24"/>
        </w:rPr>
        <w:t xml:space="preserve">Additionally, the new levy will expand to add funding to support improved access to child care throughout King County as well as invest </w:t>
      </w:r>
      <w:r>
        <w:rPr>
          <w:rFonts w:ascii="Arial" w:hAnsi="Arial" w:cs="Arial"/>
          <w:szCs w:val="24"/>
        </w:rPr>
        <w:t xml:space="preserve">a total of </w:t>
      </w:r>
      <w:r w:rsidRPr="00DC1AA3">
        <w:rPr>
          <w:rFonts w:ascii="Arial" w:hAnsi="Arial" w:cs="Arial"/>
          <w:szCs w:val="24"/>
        </w:rPr>
        <w:t xml:space="preserve">up to $50 million (subject to levy revenue projections) for a new capital grants program </w:t>
      </w:r>
      <w:r w:rsidRPr="00DC1AA3">
        <w:rPr>
          <w:rFonts w:ascii="Arial" w:hAnsi="Arial" w:cs="Arial"/>
          <w:bCs/>
        </w:rPr>
        <w:t>for facility/building repairs and expansion and to support the construction of new buildings/facilities that will serve children and youth</w:t>
      </w:r>
      <w:r w:rsidRPr="00DC1AA3">
        <w:rPr>
          <w:rFonts w:ascii="Arial" w:hAnsi="Arial" w:cs="Arial"/>
          <w:szCs w:val="24"/>
        </w:rPr>
        <w:t>.</w:t>
      </w:r>
      <w:r>
        <w:rPr>
          <w:rFonts w:ascii="Arial" w:hAnsi="Arial" w:cs="Arial"/>
          <w:szCs w:val="24"/>
        </w:rPr>
        <w:t xml:space="preserve"> Total levy revenues for 2022 are currently estimated at approximately $133.6 million (an increase of approximately $1.6 million from the July 2021 forecast</w:t>
      </w:r>
      <w:r w:rsidRPr="004D2F17">
        <w:rPr>
          <w:rFonts w:ascii="Arial" w:hAnsi="Arial" w:cs="Arial"/>
          <w:szCs w:val="24"/>
        </w:rPr>
        <w:t xml:space="preserve">). </w:t>
      </w:r>
      <w:r>
        <w:rPr>
          <w:rFonts w:ascii="Arial" w:hAnsi="Arial" w:cs="Arial"/>
          <w:szCs w:val="24"/>
        </w:rPr>
        <w:t xml:space="preserve"> </w:t>
      </w:r>
      <w:r w:rsidRPr="004D2F17">
        <w:rPr>
          <w:rFonts w:ascii="Arial" w:hAnsi="Arial" w:cs="Arial"/>
          <w:szCs w:val="24"/>
        </w:rPr>
        <w:t xml:space="preserve">As indicated by Executive staff, the extra revenue from the August 2021 revenue </w:t>
      </w:r>
      <w:r w:rsidR="002E0E38">
        <w:rPr>
          <w:rFonts w:ascii="Arial" w:hAnsi="Arial" w:cs="Arial"/>
          <w:szCs w:val="24"/>
        </w:rPr>
        <w:t>forecast</w:t>
      </w:r>
      <w:r w:rsidRPr="004D2F17">
        <w:rPr>
          <w:rFonts w:ascii="Arial" w:hAnsi="Arial" w:cs="Arial"/>
          <w:szCs w:val="24"/>
        </w:rPr>
        <w:t xml:space="preserve"> allowed the [BSK] fund to reduce its underexpenditure assumption in 2021-2022.</w:t>
      </w:r>
      <w:r>
        <w:rPr>
          <w:rFonts w:ascii="Arial" w:hAnsi="Arial" w:cs="Arial"/>
          <w:szCs w:val="24"/>
        </w:rPr>
        <w:t xml:space="preserve">  The table below provides the approximate spending breakdown for 2022 by levy investment area, including capital investments, which is consistent with the levy’s transmitted implementation plan (PO 2021-0288).</w:t>
      </w:r>
    </w:p>
    <w:p w14:paraId="7ACC7E65" w14:textId="2AD0B7CB" w:rsidR="005744D0" w:rsidRDefault="005744D0" w:rsidP="00B34633">
      <w:pPr>
        <w:spacing w:line="264" w:lineRule="auto"/>
        <w:rPr>
          <w:rFonts w:ascii="Arial" w:hAnsi="Arial" w:cs="Arial"/>
          <w:b/>
          <w:szCs w:val="24"/>
        </w:rPr>
      </w:pPr>
    </w:p>
    <w:p w14:paraId="4348E4D1" w14:textId="77777777" w:rsidR="007064F3" w:rsidRDefault="007064F3" w:rsidP="007064F3">
      <w:pPr>
        <w:spacing w:line="264" w:lineRule="auto"/>
        <w:contextualSpacing/>
        <w:jc w:val="both"/>
        <w:rPr>
          <w:rFonts w:ascii="Arial" w:hAnsi="Arial" w:cs="Arial"/>
          <w:iCs/>
        </w:rPr>
      </w:pPr>
      <w:r>
        <w:rPr>
          <w:rFonts w:ascii="Arial" w:hAnsi="Arial" w:cs="Arial"/>
          <w:szCs w:val="24"/>
        </w:rPr>
        <w:t>Corresponding decision packages regarding levy renewal are included in the Developmental Disabilities, Employment and Education Resources, Environmental Health, Housing and Community Development, and Public Health appropriation units.</w:t>
      </w:r>
    </w:p>
    <w:p w14:paraId="5E7EF799" w14:textId="77777777" w:rsidR="007064F3" w:rsidRDefault="007064F3" w:rsidP="007064F3">
      <w:pPr>
        <w:tabs>
          <w:tab w:val="left" w:pos="720"/>
          <w:tab w:val="right" w:pos="9360"/>
        </w:tabs>
        <w:spacing w:line="264" w:lineRule="auto"/>
        <w:contextualSpacing/>
        <w:jc w:val="both"/>
        <w:rPr>
          <w:rFonts w:ascii="Arial" w:hAnsi="Arial" w:cs="Arial"/>
          <w:b/>
          <w:u w:val="single"/>
        </w:rPr>
      </w:pPr>
    </w:p>
    <w:tbl>
      <w:tblPr>
        <w:tblStyle w:val="TableGrid"/>
        <w:tblW w:w="7824" w:type="dxa"/>
        <w:jc w:val="center"/>
        <w:tblLook w:val="04A0" w:firstRow="1" w:lastRow="0" w:firstColumn="1" w:lastColumn="0" w:noHBand="0" w:noVBand="1"/>
      </w:tblPr>
      <w:tblGrid>
        <w:gridCol w:w="5414"/>
        <w:gridCol w:w="236"/>
        <w:gridCol w:w="2174"/>
      </w:tblGrid>
      <w:tr w:rsidR="005744D0" w:rsidRPr="008D0300" w14:paraId="05A2D115" w14:textId="77777777" w:rsidTr="00E34BBA">
        <w:trPr>
          <w:cantSplit/>
          <w:trHeight w:val="411"/>
          <w:tblHeader/>
          <w:jc w:val="center"/>
        </w:trPr>
        <w:tc>
          <w:tcPr>
            <w:tcW w:w="5414" w:type="dxa"/>
            <w:tcBorders>
              <w:top w:val="single" w:sz="12" w:space="0" w:color="auto"/>
              <w:left w:val="nil"/>
              <w:bottom w:val="single" w:sz="4" w:space="0" w:color="auto"/>
              <w:right w:val="nil"/>
            </w:tcBorders>
            <w:vAlign w:val="center"/>
          </w:tcPr>
          <w:p w14:paraId="1219F170" w14:textId="77777777" w:rsidR="005744D0" w:rsidRPr="00AD5F74" w:rsidRDefault="005744D0" w:rsidP="00B34633">
            <w:pPr>
              <w:rPr>
                <w:rFonts w:ascii="Arial" w:hAnsi="Arial" w:cs="Arial"/>
                <w:b/>
                <w:sz w:val="22"/>
                <w:szCs w:val="22"/>
              </w:rPr>
            </w:pPr>
            <w:r>
              <w:rPr>
                <w:rFonts w:ascii="Arial" w:hAnsi="Arial" w:cs="Arial"/>
                <w:b/>
                <w:sz w:val="22"/>
                <w:szCs w:val="22"/>
              </w:rPr>
              <w:t>Investment Area</w:t>
            </w:r>
          </w:p>
        </w:tc>
        <w:tc>
          <w:tcPr>
            <w:tcW w:w="236" w:type="dxa"/>
            <w:tcBorders>
              <w:top w:val="single" w:sz="12" w:space="0" w:color="auto"/>
              <w:left w:val="nil"/>
              <w:bottom w:val="nil"/>
              <w:right w:val="nil"/>
            </w:tcBorders>
            <w:vAlign w:val="center"/>
          </w:tcPr>
          <w:p w14:paraId="08501C33" w14:textId="77777777" w:rsidR="005744D0" w:rsidRPr="00AD5F74" w:rsidRDefault="005744D0" w:rsidP="00B34633">
            <w:pPr>
              <w:jc w:val="right"/>
              <w:rPr>
                <w:rFonts w:ascii="Arial" w:hAnsi="Arial" w:cs="Arial"/>
                <w:b/>
                <w:sz w:val="22"/>
                <w:szCs w:val="22"/>
              </w:rPr>
            </w:pPr>
          </w:p>
        </w:tc>
        <w:tc>
          <w:tcPr>
            <w:tcW w:w="2174" w:type="dxa"/>
            <w:tcBorders>
              <w:top w:val="single" w:sz="12" w:space="0" w:color="auto"/>
              <w:left w:val="nil"/>
              <w:bottom w:val="single" w:sz="4" w:space="0" w:color="auto"/>
              <w:right w:val="single" w:sz="2" w:space="0" w:color="FFFFFF" w:themeColor="background1"/>
            </w:tcBorders>
            <w:vAlign w:val="center"/>
          </w:tcPr>
          <w:p w14:paraId="04568116" w14:textId="77777777" w:rsidR="005744D0" w:rsidRPr="00AD5F74" w:rsidRDefault="005744D0" w:rsidP="00B34633">
            <w:pPr>
              <w:jc w:val="center"/>
              <w:rPr>
                <w:rFonts w:ascii="Arial" w:hAnsi="Arial" w:cs="Arial"/>
                <w:b/>
                <w:sz w:val="22"/>
                <w:szCs w:val="22"/>
              </w:rPr>
            </w:pPr>
            <w:r>
              <w:rPr>
                <w:rFonts w:ascii="Arial" w:hAnsi="Arial" w:cs="Arial"/>
                <w:b/>
                <w:sz w:val="22"/>
                <w:szCs w:val="22"/>
              </w:rPr>
              <w:t>Amount</w:t>
            </w:r>
          </w:p>
        </w:tc>
      </w:tr>
      <w:tr w:rsidR="005744D0" w:rsidRPr="008D0300" w14:paraId="5C7EB494" w14:textId="77777777" w:rsidTr="00E34BBA">
        <w:trPr>
          <w:cantSplit/>
          <w:jc w:val="center"/>
        </w:trPr>
        <w:tc>
          <w:tcPr>
            <w:tcW w:w="5414" w:type="dxa"/>
            <w:tcBorders>
              <w:top w:val="single" w:sz="4" w:space="0" w:color="auto"/>
              <w:left w:val="nil"/>
              <w:bottom w:val="nil"/>
              <w:right w:val="nil"/>
            </w:tcBorders>
            <w:vAlign w:val="center"/>
          </w:tcPr>
          <w:p w14:paraId="523BCCEC" w14:textId="77777777" w:rsidR="005744D0" w:rsidRPr="00AD5F74" w:rsidRDefault="005744D0" w:rsidP="00B34633">
            <w:pPr>
              <w:rPr>
                <w:rFonts w:ascii="Arial" w:hAnsi="Arial" w:cs="Arial"/>
                <w:sz w:val="22"/>
                <w:szCs w:val="22"/>
              </w:rPr>
            </w:pPr>
            <w:r>
              <w:rPr>
                <w:rFonts w:ascii="Arial" w:hAnsi="Arial" w:cs="Arial"/>
                <w:sz w:val="22"/>
                <w:szCs w:val="22"/>
              </w:rPr>
              <w:t>Child Care Subsidies &amp; Wage Demonstration Project</w:t>
            </w:r>
          </w:p>
        </w:tc>
        <w:tc>
          <w:tcPr>
            <w:tcW w:w="236" w:type="dxa"/>
            <w:tcBorders>
              <w:top w:val="nil"/>
              <w:left w:val="nil"/>
              <w:bottom w:val="nil"/>
              <w:right w:val="nil"/>
            </w:tcBorders>
            <w:vAlign w:val="center"/>
          </w:tcPr>
          <w:p w14:paraId="5B315FB6" w14:textId="77777777" w:rsidR="005744D0" w:rsidRPr="00AD5F74" w:rsidRDefault="005744D0" w:rsidP="00B34633">
            <w:pPr>
              <w:jc w:val="right"/>
              <w:rPr>
                <w:rFonts w:ascii="Arial" w:hAnsi="Arial" w:cs="Arial"/>
                <w:sz w:val="22"/>
                <w:szCs w:val="22"/>
              </w:rPr>
            </w:pPr>
          </w:p>
        </w:tc>
        <w:tc>
          <w:tcPr>
            <w:tcW w:w="2174" w:type="dxa"/>
            <w:tcBorders>
              <w:top w:val="single" w:sz="4" w:space="0" w:color="auto"/>
              <w:left w:val="nil"/>
              <w:bottom w:val="nil"/>
              <w:right w:val="single" w:sz="2" w:space="0" w:color="FFFFFF" w:themeColor="background1"/>
            </w:tcBorders>
            <w:tcMar>
              <w:top w:w="72" w:type="dxa"/>
              <w:left w:w="115" w:type="dxa"/>
              <w:bottom w:w="72" w:type="dxa"/>
              <w:right w:w="115" w:type="dxa"/>
            </w:tcMar>
            <w:vAlign w:val="center"/>
          </w:tcPr>
          <w:p w14:paraId="1031AB20" w14:textId="77777777" w:rsidR="005744D0" w:rsidRPr="00AD5F74" w:rsidRDefault="005744D0" w:rsidP="00B34633">
            <w:pPr>
              <w:pStyle w:val="ListParagraph0"/>
              <w:jc w:val="right"/>
              <w:rPr>
                <w:rFonts w:ascii="Arial" w:hAnsi="Arial" w:cs="Arial"/>
                <w:sz w:val="22"/>
                <w:szCs w:val="22"/>
              </w:rPr>
            </w:pPr>
            <w:r>
              <w:rPr>
                <w:rFonts w:ascii="Arial" w:hAnsi="Arial" w:cs="Arial"/>
                <w:sz w:val="22"/>
                <w:szCs w:val="22"/>
              </w:rPr>
              <w:t>$23,260,000</w:t>
            </w:r>
          </w:p>
        </w:tc>
      </w:tr>
      <w:tr w:rsidR="005744D0" w:rsidRPr="008D0300" w14:paraId="1A0C3AA0" w14:textId="77777777" w:rsidTr="00E34BBA">
        <w:trPr>
          <w:cantSplit/>
          <w:jc w:val="center"/>
        </w:trPr>
        <w:tc>
          <w:tcPr>
            <w:tcW w:w="5414" w:type="dxa"/>
            <w:tcBorders>
              <w:top w:val="nil"/>
              <w:left w:val="nil"/>
              <w:bottom w:val="nil"/>
              <w:right w:val="nil"/>
            </w:tcBorders>
            <w:vAlign w:val="center"/>
          </w:tcPr>
          <w:p w14:paraId="03E27653" w14:textId="77777777" w:rsidR="005744D0" w:rsidRPr="00AD5F74" w:rsidRDefault="005744D0" w:rsidP="00B34633">
            <w:pPr>
              <w:rPr>
                <w:rFonts w:ascii="Arial" w:hAnsi="Arial" w:cs="Arial"/>
                <w:sz w:val="22"/>
                <w:szCs w:val="22"/>
              </w:rPr>
            </w:pPr>
            <w:r>
              <w:rPr>
                <w:rFonts w:ascii="Arial" w:hAnsi="Arial" w:cs="Arial"/>
                <w:sz w:val="22"/>
                <w:szCs w:val="22"/>
              </w:rPr>
              <w:t>Youth &amp; Family Homelessness Prevention Initiative</w:t>
            </w:r>
          </w:p>
        </w:tc>
        <w:tc>
          <w:tcPr>
            <w:tcW w:w="236" w:type="dxa"/>
            <w:tcBorders>
              <w:top w:val="nil"/>
              <w:left w:val="nil"/>
              <w:bottom w:val="nil"/>
              <w:right w:val="nil"/>
            </w:tcBorders>
            <w:vAlign w:val="center"/>
          </w:tcPr>
          <w:p w14:paraId="21E1F87D"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75069EEF" w14:textId="77777777" w:rsidR="005744D0" w:rsidRPr="00AD5F74" w:rsidRDefault="005744D0" w:rsidP="00B34633">
            <w:pPr>
              <w:pStyle w:val="ListParagraph0"/>
              <w:jc w:val="right"/>
              <w:rPr>
                <w:rFonts w:ascii="Arial" w:hAnsi="Arial" w:cs="Arial"/>
                <w:sz w:val="22"/>
                <w:szCs w:val="22"/>
              </w:rPr>
            </w:pPr>
            <w:r>
              <w:rPr>
                <w:rFonts w:ascii="Arial" w:hAnsi="Arial" w:cs="Arial"/>
                <w:sz w:val="22"/>
                <w:szCs w:val="22"/>
              </w:rPr>
              <w:t>$4,564,000</w:t>
            </w:r>
          </w:p>
        </w:tc>
      </w:tr>
      <w:tr w:rsidR="005744D0" w:rsidRPr="008D0300" w14:paraId="1C45BE54" w14:textId="77777777" w:rsidTr="00E34BBA">
        <w:trPr>
          <w:cantSplit/>
          <w:jc w:val="center"/>
        </w:trPr>
        <w:tc>
          <w:tcPr>
            <w:tcW w:w="5414" w:type="dxa"/>
            <w:tcBorders>
              <w:top w:val="nil"/>
              <w:left w:val="nil"/>
              <w:bottom w:val="nil"/>
              <w:right w:val="nil"/>
            </w:tcBorders>
            <w:vAlign w:val="center"/>
          </w:tcPr>
          <w:p w14:paraId="6231D315" w14:textId="77777777" w:rsidR="005744D0" w:rsidRDefault="005744D0" w:rsidP="00B34633">
            <w:pPr>
              <w:rPr>
                <w:rFonts w:ascii="Arial" w:hAnsi="Arial" w:cs="Arial"/>
                <w:sz w:val="22"/>
                <w:szCs w:val="22"/>
              </w:rPr>
            </w:pPr>
            <w:r>
              <w:rPr>
                <w:rFonts w:ascii="Arial" w:hAnsi="Arial" w:cs="Arial"/>
                <w:sz w:val="22"/>
                <w:szCs w:val="22"/>
              </w:rPr>
              <w:t>Technical Assistance &amp; Capacity Building</w:t>
            </w:r>
          </w:p>
        </w:tc>
        <w:tc>
          <w:tcPr>
            <w:tcW w:w="236" w:type="dxa"/>
            <w:tcBorders>
              <w:top w:val="nil"/>
              <w:left w:val="nil"/>
              <w:bottom w:val="nil"/>
              <w:right w:val="nil"/>
            </w:tcBorders>
            <w:vAlign w:val="center"/>
          </w:tcPr>
          <w:p w14:paraId="2C7BA6FE"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1EC23A5D" w14:textId="77777777" w:rsidR="005744D0" w:rsidRDefault="005744D0" w:rsidP="00B34633">
            <w:pPr>
              <w:pStyle w:val="ListParagraph0"/>
              <w:jc w:val="right"/>
              <w:rPr>
                <w:rFonts w:ascii="Arial" w:hAnsi="Arial" w:cs="Arial"/>
                <w:sz w:val="22"/>
                <w:szCs w:val="22"/>
              </w:rPr>
            </w:pPr>
            <w:r>
              <w:rPr>
                <w:rFonts w:ascii="Arial" w:hAnsi="Arial" w:cs="Arial"/>
                <w:sz w:val="22"/>
                <w:szCs w:val="22"/>
              </w:rPr>
              <w:t>$1,850,000</w:t>
            </w:r>
          </w:p>
        </w:tc>
      </w:tr>
      <w:tr w:rsidR="005744D0" w:rsidRPr="008D0300" w14:paraId="75110B0B" w14:textId="77777777" w:rsidTr="00E34BBA">
        <w:trPr>
          <w:cantSplit/>
          <w:jc w:val="center"/>
        </w:trPr>
        <w:tc>
          <w:tcPr>
            <w:tcW w:w="5414" w:type="dxa"/>
            <w:tcBorders>
              <w:top w:val="nil"/>
              <w:left w:val="nil"/>
              <w:bottom w:val="nil"/>
              <w:right w:val="nil"/>
            </w:tcBorders>
            <w:vAlign w:val="center"/>
          </w:tcPr>
          <w:p w14:paraId="3AA36D5D" w14:textId="77777777" w:rsidR="005744D0" w:rsidRDefault="005744D0" w:rsidP="00B34633">
            <w:pPr>
              <w:rPr>
                <w:rFonts w:ascii="Arial" w:hAnsi="Arial" w:cs="Arial"/>
                <w:sz w:val="22"/>
                <w:szCs w:val="22"/>
              </w:rPr>
            </w:pPr>
            <w:r>
              <w:rPr>
                <w:rFonts w:ascii="Arial" w:hAnsi="Arial" w:cs="Arial"/>
                <w:sz w:val="22"/>
                <w:szCs w:val="22"/>
              </w:rPr>
              <w:t>Investing Early Strategies</w:t>
            </w:r>
          </w:p>
        </w:tc>
        <w:tc>
          <w:tcPr>
            <w:tcW w:w="236" w:type="dxa"/>
            <w:tcBorders>
              <w:top w:val="nil"/>
              <w:left w:val="nil"/>
              <w:bottom w:val="nil"/>
              <w:right w:val="nil"/>
            </w:tcBorders>
            <w:vAlign w:val="center"/>
          </w:tcPr>
          <w:p w14:paraId="2AA76240"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72710671" w14:textId="77777777" w:rsidR="005744D0" w:rsidRDefault="005744D0" w:rsidP="00B34633">
            <w:pPr>
              <w:pStyle w:val="ListParagraph0"/>
              <w:jc w:val="right"/>
              <w:rPr>
                <w:rFonts w:ascii="Arial" w:hAnsi="Arial" w:cs="Arial"/>
                <w:sz w:val="22"/>
                <w:szCs w:val="22"/>
              </w:rPr>
            </w:pPr>
            <w:r>
              <w:rPr>
                <w:rFonts w:ascii="Arial" w:hAnsi="Arial" w:cs="Arial"/>
                <w:sz w:val="22"/>
                <w:szCs w:val="22"/>
              </w:rPr>
              <w:t>$46,050,000</w:t>
            </w:r>
          </w:p>
        </w:tc>
      </w:tr>
      <w:tr w:rsidR="005744D0" w:rsidRPr="008D0300" w14:paraId="1A4C52FE" w14:textId="77777777" w:rsidTr="00E34BBA">
        <w:trPr>
          <w:cantSplit/>
          <w:jc w:val="center"/>
        </w:trPr>
        <w:tc>
          <w:tcPr>
            <w:tcW w:w="5414" w:type="dxa"/>
            <w:tcBorders>
              <w:top w:val="nil"/>
              <w:left w:val="nil"/>
              <w:bottom w:val="nil"/>
              <w:right w:val="nil"/>
            </w:tcBorders>
            <w:vAlign w:val="center"/>
          </w:tcPr>
          <w:p w14:paraId="29E197B7" w14:textId="77777777" w:rsidR="005744D0" w:rsidRDefault="005744D0" w:rsidP="00B34633">
            <w:pPr>
              <w:rPr>
                <w:rFonts w:ascii="Arial" w:hAnsi="Arial" w:cs="Arial"/>
                <w:sz w:val="22"/>
                <w:szCs w:val="22"/>
              </w:rPr>
            </w:pPr>
            <w:r>
              <w:rPr>
                <w:rFonts w:ascii="Arial" w:hAnsi="Arial" w:cs="Arial"/>
                <w:sz w:val="22"/>
                <w:szCs w:val="22"/>
              </w:rPr>
              <w:t>Sustain the Gain Strategies</w:t>
            </w:r>
          </w:p>
        </w:tc>
        <w:tc>
          <w:tcPr>
            <w:tcW w:w="236" w:type="dxa"/>
            <w:tcBorders>
              <w:top w:val="nil"/>
              <w:left w:val="nil"/>
              <w:bottom w:val="nil"/>
              <w:right w:val="nil"/>
            </w:tcBorders>
            <w:vAlign w:val="center"/>
          </w:tcPr>
          <w:p w14:paraId="4E85FE8D"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05835479" w14:textId="77777777" w:rsidR="005744D0" w:rsidRDefault="005744D0" w:rsidP="00B34633">
            <w:pPr>
              <w:pStyle w:val="ListParagraph0"/>
              <w:jc w:val="right"/>
              <w:rPr>
                <w:rFonts w:ascii="Arial" w:hAnsi="Arial" w:cs="Arial"/>
                <w:sz w:val="22"/>
                <w:szCs w:val="22"/>
              </w:rPr>
            </w:pPr>
            <w:r>
              <w:rPr>
                <w:rFonts w:ascii="Arial" w:hAnsi="Arial" w:cs="Arial"/>
                <w:sz w:val="22"/>
                <w:szCs w:val="22"/>
              </w:rPr>
              <w:t>$33,965,000</w:t>
            </w:r>
          </w:p>
        </w:tc>
      </w:tr>
      <w:tr w:rsidR="005744D0" w:rsidRPr="008D0300" w14:paraId="63FF8174" w14:textId="77777777" w:rsidTr="00E34BBA">
        <w:trPr>
          <w:cantSplit/>
          <w:jc w:val="center"/>
        </w:trPr>
        <w:tc>
          <w:tcPr>
            <w:tcW w:w="5414" w:type="dxa"/>
            <w:tcBorders>
              <w:top w:val="nil"/>
              <w:left w:val="nil"/>
              <w:bottom w:val="nil"/>
              <w:right w:val="nil"/>
            </w:tcBorders>
            <w:vAlign w:val="center"/>
          </w:tcPr>
          <w:p w14:paraId="7D18941D" w14:textId="77777777" w:rsidR="005744D0" w:rsidRDefault="005744D0" w:rsidP="00B34633">
            <w:pPr>
              <w:rPr>
                <w:rFonts w:ascii="Arial" w:hAnsi="Arial" w:cs="Arial"/>
                <w:sz w:val="22"/>
                <w:szCs w:val="22"/>
              </w:rPr>
            </w:pPr>
            <w:r>
              <w:rPr>
                <w:rFonts w:ascii="Arial" w:hAnsi="Arial" w:cs="Arial"/>
                <w:sz w:val="22"/>
                <w:szCs w:val="22"/>
              </w:rPr>
              <w:t>Communities of Opportunity</w:t>
            </w:r>
          </w:p>
        </w:tc>
        <w:tc>
          <w:tcPr>
            <w:tcW w:w="236" w:type="dxa"/>
            <w:tcBorders>
              <w:top w:val="nil"/>
              <w:left w:val="nil"/>
              <w:bottom w:val="nil"/>
              <w:right w:val="nil"/>
            </w:tcBorders>
            <w:vAlign w:val="center"/>
          </w:tcPr>
          <w:p w14:paraId="32F7256E"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4E63C168" w14:textId="77777777" w:rsidR="005744D0" w:rsidRDefault="005744D0" w:rsidP="00B34633">
            <w:pPr>
              <w:pStyle w:val="ListParagraph0"/>
              <w:jc w:val="right"/>
              <w:rPr>
                <w:rFonts w:ascii="Arial" w:hAnsi="Arial" w:cs="Arial"/>
                <w:sz w:val="22"/>
                <w:szCs w:val="22"/>
              </w:rPr>
            </w:pPr>
            <w:r>
              <w:rPr>
                <w:rFonts w:ascii="Arial" w:hAnsi="Arial" w:cs="Arial"/>
                <w:sz w:val="22"/>
                <w:szCs w:val="22"/>
              </w:rPr>
              <w:t>$7,340,000</w:t>
            </w:r>
          </w:p>
        </w:tc>
      </w:tr>
      <w:tr w:rsidR="005744D0" w:rsidRPr="008D0300" w14:paraId="054CBB88" w14:textId="77777777" w:rsidTr="00E34BBA">
        <w:trPr>
          <w:cantSplit/>
          <w:jc w:val="center"/>
        </w:trPr>
        <w:tc>
          <w:tcPr>
            <w:tcW w:w="5414" w:type="dxa"/>
            <w:tcBorders>
              <w:top w:val="nil"/>
              <w:left w:val="nil"/>
              <w:bottom w:val="nil"/>
              <w:right w:val="nil"/>
            </w:tcBorders>
            <w:vAlign w:val="center"/>
          </w:tcPr>
          <w:p w14:paraId="5C1634B4" w14:textId="77777777" w:rsidR="005744D0" w:rsidRDefault="005744D0" w:rsidP="00B34633">
            <w:pPr>
              <w:rPr>
                <w:rFonts w:ascii="Arial" w:hAnsi="Arial" w:cs="Arial"/>
                <w:sz w:val="22"/>
                <w:szCs w:val="22"/>
              </w:rPr>
            </w:pPr>
            <w:r>
              <w:rPr>
                <w:rFonts w:ascii="Arial" w:hAnsi="Arial" w:cs="Arial"/>
                <w:sz w:val="22"/>
                <w:szCs w:val="22"/>
              </w:rPr>
              <w:t>Results Focused &amp; Data Driven</w:t>
            </w:r>
          </w:p>
        </w:tc>
        <w:tc>
          <w:tcPr>
            <w:tcW w:w="236" w:type="dxa"/>
            <w:tcBorders>
              <w:top w:val="nil"/>
              <w:left w:val="nil"/>
              <w:bottom w:val="nil"/>
              <w:right w:val="nil"/>
            </w:tcBorders>
            <w:vAlign w:val="center"/>
          </w:tcPr>
          <w:p w14:paraId="5AF0B701" w14:textId="77777777" w:rsidR="005744D0" w:rsidRPr="00AD5F74" w:rsidRDefault="005744D0" w:rsidP="00B34633">
            <w:pPr>
              <w:jc w:val="right"/>
              <w:rPr>
                <w:rFonts w:ascii="Arial" w:hAnsi="Arial" w:cs="Arial"/>
                <w:sz w:val="22"/>
                <w:szCs w:val="22"/>
              </w:rPr>
            </w:pPr>
          </w:p>
        </w:tc>
        <w:tc>
          <w:tcPr>
            <w:tcW w:w="2174" w:type="dxa"/>
            <w:tcBorders>
              <w:top w:val="nil"/>
              <w:left w:val="nil"/>
              <w:bottom w:val="nil"/>
              <w:right w:val="single" w:sz="2" w:space="0" w:color="FFFFFF" w:themeColor="background1"/>
            </w:tcBorders>
            <w:tcMar>
              <w:top w:w="72" w:type="dxa"/>
              <w:left w:w="115" w:type="dxa"/>
              <w:bottom w:w="72" w:type="dxa"/>
              <w:right w:w="115" w:type="dxa"/>
            </w:tcMar>
            <w:vAlign w:val="center"/>
          </w:tcPr>
          <w:p w14:paraId="5FA9847E" w14:textId="77777777" w:rsidR="005744D0" w:rsidRDefault="005744D0" w:rsidP="00B34633">
            <w:pPr>
              <w:pStyle w:val="ListParagraph0"/>
              <w:jc w:val="right"/>
              <w:rPr>
                <w:rFonts w:ascii="Arial" w:hAnsi="Arial" w:cs="Arial"/>
                <w:sz w:val="22"/>
                <w:szCs w:val="22"/>
              </w:rPr>
            </w:pPr>
            <w:r>
              <w:rPr>
                <w:rFonts w:ascii="Arial" w:hAnsi="Arial" w:cs="Arial"/>
                <w:sz w:val="22"/>
                <w:szCs w:val="22"/>
              </w:rPr>
              <w:t>$4,590,000</w:t>
            </w:r>
          </w:p>
        </w:tc>
      </w:tr>
      <w:tr w:rsidR="005744D0" w:rsidRPr="008D0300" w14:paraId="669D9C8B" w14:textId="77777777" w:rsidTr="00E34BBA">
        <w:trPr>
          <w:cantSplit/>
          <w:jc w:val="center"/>
        </w:trPr>
        <w:tc>
          <w:tcPr>
            <w:tcW w:w="5414" w:type="dxa"/>
            <w:tcBorders>
              <w:top w:val="nil"/>
              <w:left w:val="nil"/>
              <w:bottom w:val="single" w:sz="4" w:space="0" w:color="auto"/>
              <w:right w:val="nil"/>
            </w:tcBorders>
            <w:vAlign w:val="center"/>
          </w:tcPr>
          <w:p w14:paraId="6BC2F724" w14:textId="77777777" w:rsidR="005744D0" w:rsidRDefault="005744D0" w:rsidP="00B34633">
            <w:pPr>
              <w:rPr>
                <w:rFonts w:ascii="Arial" w:hAnsi="Arial" w:cs="Arial"/>
                <w:sz w:val="22"/>
                <w:szCs w:val="22"/>
              </w:rPr>
            </w:pPr>
            <w:r>
              <w:rPr>
                <w:rFonts w:ascii="Arial" w:hAnsi="Arial" w:cs="Arial"/>
                <w:sz w:val="22"/>
                <w:szCs w:val="22"/>
              </w:rPr>
              <w:t>Capital Grants Program</w:t>
            </w:r>
          </w:p>
        </w:tc>
        <w:tc>
          <w:tcPr>
            <w:tcW w:w="236" w:type="dxa"/>
            <w:tcBorders>
              <w:top w:val="nil"/>
              <w:left w:val="nil"/>
              <w:bottom w:val="nil"/>
              <w:right w:val="nil"/>
            </w:tcBorders>
            <w:vAlign w:val="center"/>
          </w:tcPr>
          <w:p w14:paraId="31901CC3" w14:textId="77777777" w:rsidR="005744D0" w:rsidRPr="00AD5F74" w:rsidRDefault="005744D0" w:rsidP="00B34633">
            <w:pPr>
              <w:jc w:val="right"/>
              <w:rPr>
                <w:rFonts w:ascii="Arial" w:hAnsi="Arial" w:cs="Arial"/>
                <w:sz w:val="22"/>
                <w:szCs w:val="22"/>
              </w:rPr>
            </w:pPr>
          </w:p>
        </w:tc>
        <w:tc>
          <w:tcPr>
            <w:tcW w:w="2174" w:type="dxa"/>
            <w:tcBorders>
              <w:top w:val="nil"/>
              <w:left w:val="nil"/>
              <w:bottom w:val="single" w:sz="4" w:space="0" w:color="auto"/>
              <w:right w:val="single" w:sz="2" w:space="0" w:color="FFFFFF" w:themeColor="background1"/>
            </w:tcBorders>
            <w:tcMar>
              <w:top w:w="72" w:type="dxa"/>
              <w:left w:w="115" w:type="dxa"/>
              <w:bottom w:w="72" w:type="dxa"/>
              <w:right w:w="115" w:type="dxa"/>
            </w:tcMar>
            <w:vAlign w:val="center"/>
          </w:tcPr>
          <w:p w14:paraId="00AC21E9" w14:textId="77777777" w:rsidR="005744D0" w:rsidRDefault="005744D0" w:rsidP="00B34633">
            <w:pPr>
              <w:pStyle w:val="ListParagraph0"/>
              <w:jc w:val="right"/>
              <w:rPr>
                <w:rFonts w:ascii="Arial" w:hAnsi="Arial" w:cs="Arial"/>
                <w:sz w:val="22"/>
                <w:szCs w:val="22"/>
              </w:rPr>
            </w:pPr>
            <w:r>
              <w:rPr>
                <w:rFonts w:ascii="Arial" w:hAnsi="Arial" w:cs="Arial"/>
                <w:sz w:val="22"/>
                <w:szCs w:val="22"/>
              </w:rPr>
              <w:t>$5,000,000</w:t>
            </w:r>
          </w:p>
        </w:tc>
      </w:tr>
      <w:tr w:rsidR="005744D0" w:rsidRPr="008D0300" w14:paraId="11CEB14B" w14:textId="77777777" w:rsidTr="00E34BBA">
        <w:trPr>
          <w:cantSplit/>
          <w:trHeight w:val="13"/>
          <w:jc w:val="center"/>
        </w:trPr>
        <w:tc>
          <w:tcPr>
            <w:tcW w:w="5414" w:type="dxa"/>
            <w:tcBorders>
              <w:top w:val="single" w:sz="4" w:space="0" w:color="auto"/>
              <w:left w:val="nil"/>
              <w:bottom w:val="single" w:sz="12" w:space="0" w:color="auto"/>
              <w:right w:val="nil"/>
            </w:tcBorders>
            <w:vAlign w:val="center"/>
          </w:tcPr>
          <w:p w14:paraId="478B637A" w14:textId="77777777" w:rsidR="005744D0" w:rsidRPr="00AD5F74" w:rsidRDefault="005744D0" w:rsidP="00B34633">
            <w:pPr>
              <w:jc w:val="right"/>
              <w:rPr>
                <w:rFonts w:ascii="Arial" w:hAnsi="Arial" w:cs="Arial"/>
                <w:b/>
                <w:sz w:val="22"/>
                <w:szCs w:val="22"/>
              </w:rPr>
            </w:pPr>
            <w:r w:rsidRPr="00AD5F74">
              <w:rPr>
                <w:rFonts w:ascii="Arial" w:hAnsi="Arial" w:cs="Arial"/>
                <w:b/>
                <w:sz w:val="22"/>
                <w:szCs w:val="22"/>
              </w:rPr>
              <w:t>Total</w:t>
            </w:r>
          </w:p>
        </w:tc>
        <w:tc>
          <w:tcPr>
            <w:tcW w:w="236" w:type="dxa"/>
            <w:tcBorders>
              <w:top w:val="nil"/>
              <w:left w:val="nil"/>
              <w:bottom w:val="single" w:sz="12" w:space="0" w:color="auto"/>
              <w:right w:val="nil"/>
            </w:tcBorders>
            <w:vAlign w:val="center"/>
          </w:tcPr>
          <w:p w14:paraId="4974229A" w14:textId="77777777" w:rsidR="005744D0" w:rsidRPr="00AD5F74" w:rsidRDefault="005744D0" w:rsidP="00B34633">
            <w:pPr>
              <w:jc w:val="right"/>
              <w:rPr>
                <w:rFonts w:ascii="Arial" w:hAnsi="Arial" w:cs="Arial"/>
                <w:b/>
                <w:sz w:val="22"/>
                <w:szCs w:val="22"/>
              </w:rPr>
            </w:pPr>
          </w:p>
        </w:tc>
        <w:tc>
          <w:tcPr>
            <w:tcW w:w="2174"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vAlign w:val="center"/>
          </w:tcPr>
          <w:p w14:paraId="07603B46" w14:textId="77777777" w:rsidR="005744D0" w:rsidRPr="00AD5F74" w:rsidRDefault="005744D0" w:rsidP="00B34633">
            <w:pPr>
              <w:jc w:val="right"/>
              <w:rPr>
                <w:rFonts w:ascii="Arial" w:hAnsi="Arial" w:cs="Arial"/>
                <w:b/>
                <w:sz w:val="22"/>
                <w:szCs w:val="22"/>
              </w:rPr>
            </w:pPr>
            <w:r w:rsidRPr="00AD5F74">
              <w:rPr>
                <w:rFonts w:ascii="Arial" w:hAnsi="Arial" w:cs="Arial"/>
                <w:b/>
                <w:sz w:val="22"/>
                <w:szCs w:val="22"/>
              </w:rPr>
              <w:t>$</w:t>
            </w:r>
            <w:r>
              <w:rPr>
                <w:rFonts w:ascii="Arial" w:hAnsi="Arial" w:cs="Arial"/>
                <w:b/>
                <w:sz w:val="22"/>
                <w:szCs w:val="22"/>
              </w:rPr>
              <w:t>126,619,000</w:t>
            </w:r>
          </w:p>
        </w:tc>
      </w:tr>
    </w:tbl>
    <w:p w14:paraId="41743AF3" w14:textId="77777777" w:rsidR="005744D0" w:rsidRDefault="005744D0" w:rsidP="005744D0">
      <w:pPr>
        <w:jc w:val="both"/>
        <w:rPr>
          <w:rFonts w:ascii="Arial" w:hAnsi="Arial" w:cs="Arial"/>
          <w:szCs w:val="24"/>
        </w:rPr>
      </w:pPr>
    </w:p>
    <w:p w14:paraId="66EC58BE" w14:textId="77777777" w:rsidR="002E0E38" w:rsidRDefault="002E0E38" w:rsidP="00AB45DE">
      <w:pPr>
        <w:tabs>
          <w:tab w:val="left" w:pos="720"/>
          <w:tab w:val="right" w:pos="9360"/>
        </w:tabs>
        <w:spacing w:line="264" w:lineRule="auto"/>
        <w:contextualSpacing/>
        <w:jc w:val="both"/>
        <w:rPr>
          <w:rFonts w:ascii="Arial" w:hAnsi="Arial" w:cs="Arial"/>
          <w:b/>
          <w:u w:val="single"/>
        </w:rPr>
      </w:pPr>
    </w:p>
    <w:p w14:paraId="331E2824" w14:textId="3F1E8F68" w:rsidR="009A5C42" w:rsidRPr="000E7446" w:rsidRDefault="009A5C42" w:rsidP="009A5C42">
      <w:pPr>
        <w:tabs>
          <w:tab w:val="left" w:pos="720"/>
          <w:tab w:val="right" w:pos="9360"/>
        </w:tabs>
        <w:spacing w:line="264" w:lineRule="auto"/>
        <w:contextualSpacing/>
        <w:jc w:val="both"/>
        <w:rPr>
          <w:rFonts w:ascii="Arial" w:hAnsi="Arial" w:cs="Arial"/>
          <w:b/>
          <w:u w:val="single"/>
        </w:rPr>
      </w:pPr>
      <w:r>
        <w:rPr>
          <w:rFonts w:ascii="Arial" w:hAnsi="Arial" w:cs="Arial"/>
          <w:b/>
          <w:u w:val="single"/>
        </w:rPr>
        <w:t>D</w:t>
      </w:r>
      <w:r w:rsidR="0035203A">
        <w:rPr>
          <w:rFonts w:ascii="Arial" w:hAnsi="Arial" w:cs="Arial"/>
          <w:b/>
          <w:u w:val="single"/>
        </w:rPr>
        <w:t xml:space="preserve">epartment of </w:t>
      </w:r>
      <w:r>
        <w:rPr>
          <w:rFonts w:ascii="Arial" w:hAnsi="Arial" w:cs="Arial"/>
          <w:b/>
          <w:u w:val="single"/>
        </w:rPr>
        <w:t>N</w:t>
      </w:r>
      <w:r w:rsidR="0035203A">
        <w:rPr>
          <w:rFonts w:ascii="Arial" w:hAnsi="Arial" w:cs="Arial"/>
          <w:b/>
          <w:u w:val="single"/>
        </w:rPr>
        <w:t xml:space="preserve">atural </w:t>
      </w:r>
      <w:r>
        <w:rPr>
          <w:rFonts w:ascii="Arial" w:hAnsi="Arial" w:cs="Arial"/>
          <w:b/>
          <w:u w:val="single"/>
        </w:rPr>
        <w:t>R</w:t>
      </w:r>
      <w:r w:rsidR="0035203A">
        <w:rPr>
          <w:rFonts w:ascii="Arial" w:hAnsi="Arial" w:cs="Arial"/>
          <w:b/>
          <w:u w:val="single"/>
        </w:rPr>
        <w:t xml:space="preserve">esources and </w:t>
      </w:r>
      <w:r>
        <w:rPr>
          <w:rFonts w:ascii="Arial" w:hAnsi="Arial" w:cs="Arial"/>
          <w:b/>
          <w:u w:val="single"/>
        </w:rPr>
        <w:t>P</w:t>
      </w:r>
      <w:r w:rsidR="0035203A">
        <w:rPr>
          <w:rFonts w:ascii="Arial" w:hAnsi="Arial" w:cs="Arial"/>
          <w:b/>
          <w:u w:val="single"/>
        </w:rPr>
        <w:t>arks</w:t>
      </w:r>
      <w:r>
        <w:rPr>
          <w:rFonts w:ascii="Arial" w:hAnsi="Arial" w:cs="Arial"/>
          <w:b/>
          <w:u w:val="single"/>
        </w:rPr>
        <w:t xml:space="preserve"> </w:t>
      </w:r>
      <w:r w:rsidR="004C1B24">
        <w:rPr>
          <w:rFonts w:ascii="Arial" w:hAnsi="Arial" w:cs="Arial"/>
          <w:b/>
          <w:u w:val="single"/>
        </w:rPr>
        <w:t>(DNRP) Admin</w:t>
      </w:r>
      <w:r>
        <w:rPr>
          <w:rFonts w:ascii="Arial" w:hAnsi="Arial" w:cs="Arial"/>
          <w:b/>
          <w:u w:val="single"/>
        </w:rPr>
        <w:t xml:space="preserve"> </w:t>
      </w:r>
      <w:r w:rsidRPr="000E7446">
        <w:rPr>
          <w:rFonts w:ascii="Arial" w:hAnsi="Arial" w:cs="Arial"/>
          <w:b/>
          <w:u w:val="single"/>
        </w:rPr>
        <w:tab/>
        <w:t>$</w:t>
      </w:r>
      <w:r>
        <w:rPr>
          <w:rFonts w:ascii="Arial" w:hAnsi="Arial" w:cs="Arial"/>
          <w:b/>
          <w:u w:val="single"/>
        </w:rPr>
        <w:t>1,232,000, 1.0 FTE</w:t>
      </w:r>
    </w:p>
    <w:p w14:paraId="26F6ADE5" w14:textId="77777777" w:rsidR="009A5C42" w:rsidRDefault="009A5C42" w:rsidP="009A5C42">
      <w:pPr>
        <w:spacing w:line="264" w:lineRule="auto"/>
        <w:contextualSpacing/>
        <w:jc w:val="both"/>
        <w:rPr>
          <w:rFonts w:ascii="Arial" w:hAnsi="Arial" w:cs="Arial"/>
          <w:b/>
          <w:highlight w:val="yellow"/>
        </w:rPr>
      </w:pPr>
    </w:p>
    <w:p w14:paraId="3EE912E8" w14:textId="77777777" w:rsidR="009A5C42" w:rsidRDefault="009A5C42" w:rsidP="009A5C42">
      <w:pPr>
        <w:spacing w:line="264" w:lineRule="auto"/>
        <w:jc w:val="both"/>
        <w:rPr>
          <w:rFonts w:ascii="Arial" w:hAnsi="Arial" w:cs="Arial"/>
          <w:bCs/>
        </w:rPr>
      </w:pPr>
      <w:r w:rsidRPr="005403CC">
        <w:rPr>
          <w:rFonts w:ascii="Arial" w:hAnsi="Arial" w:cs="Arial"/>
          <w:b/>
          <w:i/>
          <w:iCs/>
        </w:rPr>
        <w:t xml:space="preserve">Land Conservation Initiative Position Transfer </w:t>
      </w:r>
      <w:r>
        <w:rPr>
          <w:rFonts w:ascii="Arial" w:hAnsi="Arial" w:cs="Arial"/>
          <w:b/>
          <w:i/>
          <w:iCs/>
        </w:rPr>
        <w:t>[</w:t>
      </w:r>
      <w:r w:rsidRPr="005403CC">
        <w:rPr>
          <w:rFonts w:ascii="Arial" w:hAnsi="Arial" w:cs="Arial"/>
          <w:b/>
          <w:i/>
          <w:iCs/>
        </w:rPr>
        <w:t>$180,916, 1.0 FTE</w:t>
      </w:r>
      <w:r>
        <w:rPr>
          <w:rFonts w:ascii="Arial" w:hAnsi="Arial" w:cs="Arial"/>
          <w:b/>
          <w:i/>
          <w:iCs/>
        </w:rPr>
        <w:t>]</w:t>
      </w:r>
      <w:r w:rsidRPr="005403CC">
        <w:rPr>
          <w:rFonts w:ascii="Arial" w:hAnsi="Arial" w:cs="Arial"/>
          <w:b/>
          <w:i/>
          <w:iCs/>
        </w:rPr>
        <w:t>.</w:t>
      </w:r>
      <w:r>
        <w:rPr>
          <w:rFonts w:ascii="Arial" w:hAnsi="Arial" w:cs="Arial"/>
          <w:bCs/>
        </w:rPr>
        <w:t xml:space="preserve">  This proposed ordinance would add a position to provide ongoing program management for the Land Conservation Initiative.  </w:t>
      </w:r>
      <w:r w:rsidRPr="003C0904">
        <w:rPr>
          <w:rFonts w:ascii="Arial" w:hAnsi="Arial" w:cs="Arial"/>
          <w:bCs/>
        </w:rPr>
        <w:t xml:space="preserve">The Land Conservation Initiative </w:t>
      </w:r>
      <w:r>
        <w:rPr>
          <w:rFonts w:ascii="Arial" w:hAnsi="Arial" w:cs="Arial"/>
          <w:bCs/>
        </w:rPr>
        <w:t xml:space="preserve">is intended to </w:t>
      </w:r>
      <w:r w:rsidRPr="003C0904">
        <w:rPr>
          <w:rFonts w:ascii="Arial" w:hAnsi="Arial" w:cs="Arial"/>
          <w:bCs/>
        </w:rPr>
        <w:t>put forward policies to accelerate the protection of lands deemed to have a high conservation value within the next 30 years.</w:t>
      </w:r>
      <w:r>
        <w:rPr>
          <w:rFonts w:ascii="Arial" w:hAnsi="Arial" w:cs="Arial"/>
          <w:bCs/>
        </w:rPr>
        <w:t xml:space="preserve">  Currently, this position is a TLT position shared between the Parks and Water and Land Resources Divisions.  The proposed ordinance would convert the TLT position to 1.0 FTE and would be funded by the Parks fund and Water and Land Resources fund.</w:t>
      </w:r>
    </w:p>
    <w:p w14:paraId="0E871278" w14:textId="77777777" w:rsidR="009A5C42" w:rsidRDefault="009A5C42" w:rsidP="009A5C42">
      <w:pPr>
        <w:spacing w:line="264" w:lineRule="auto"/>
        <w:jc w:val="both"/>
        <w:rPr>
          <w:rFonts w:ascii="Arial" w:hAnsi="Arial" w:cs="Arial"/>
          <w:bCs/>
        </w:rPr>
      </w:pPr>
    </w:p>
    <w:p w14:paraId="6EDC444E" w14:textId="044CC574" w:rsidR="009A5C42" w:rsidRDefault="009A5C42" w:rsidP="009A5C42">
      <w:pPr>
        <w:spacing w:line="264" w:lineRule="auto"/>
        <w:jc w:val="both"/>
        <w:rPr>
          <w:rFonts w:ascii="Arial" w:hAnsi="Arial" w:cs="Arial"/>
          <w:bCs/>
        </w:rPr>
      </w:pPr>
      <w:r w:rsidRPr="005403CC">
        <w:rPr>
          <w:rFonts w:ascii="Arial" w:hAnsi="Arial" w:cs="Arial"/>
          <w:b/>
          <w:i/>
          <w:iCs/>
        </w:rPr>
        <w:t xml:space="preserve">ESJ Recruiting TLT </w:t>
      </w:r>
      <w:r>
        <w:rPr>
          <w:rFonts w:ascii="Arial" w:hAnsi="Arial" w:cs="Arial"/>
          <w:b/>
          <w:i/>
          <w:iCs/>
        </w:rPr>
        <w:t>[</w:t>
      </w:r>
      <w:r w:rsidRPr="005403CC">
        <w:rPr>
          <w:rFonts w:ascii="Arial" w:hAnsi="Arial" w:cs="Arial"/>
          <w:b/>
          <w:i/>
          <w:iCs/>
        </w:rPr>
        <w:t>$200,337</w:t>
      </w:r>
      <w:r>
        <w:rPr>
          <w:rFonts w:ascii="Arial" w:hAnsi="Arial" w:cs="Arial"/>
          <w:b/>
          <w:i/>
          <w:iCs/>
        </w:rPr>
        <w:t>, 1.0 TLT]</w:t>
      </w:r>
      <w:r w:rsidRPr="005403CC">
        <w:rPr>
          <w:rFonts w:ascii="Arial" w:hAnsi="Arial" w:cs="Arial"/>
          <w:b/>
          <w:i/>
          <w:iCs/>
        </w:rPr>
        <w:t>.</w:t>
      </w:r>
      <w:r>
        <w:rPr>
          <w:rFonts w:ascii="Arial" w:hAnsi="Arial" w:cs="Arial"/>
          <w:bCs/>
        </w:rPr>
        <w:t xml:space="preserve">  The proposed ordinance would add a TLT position to support the Equity and Social Justice Recruiting plan implementation.</w:t>
      </w:r>
      <w:r w:rsidR="001E21AF" w:rsidRPr="001E21AF">
        <w:rPr>
          <w:rFonts w:ascii="Arial" w:hAnsi="Arial" w:cs="Arial"/>
          <w:bCs/>
        </w:rPr>
        <w:t xml:space="preserve"> </w:t>
      </w:r>
      <w:r w:rsidR="001E21AF">
        <w:rPr>
          <w:rFonts w:ascii="Arial" w:hAnsi="Arial" w:cs="Arial"/>
          <w:bCs/>
        </w:rPr>
        <w:t xml:space="preserve"> According to the Executive</w:t>
      </w:r>
      <w:r w:rsidR="004C1B24">
        <w:rPr>
          <w:rFonts w:ascii="Arial" w:hAnsi="Arial" w:cs="Arial"/>
          <w:bCs/>
        </w:rPr>
        <w:t xml:space="preserve"> staff</w:t>
      </w:r>
      <w:r w:rsidR="001E21AF">
        <w:rPr>
          <w:rFonts w:ascii="Arial" w:hAnsi="Arial" w:cs="Arial"/>
          <w:bCs/>
        </w:rPr>
        <w:t>, t</w:t>
      </w:r>
      <w:r w:rsidR="001E21AF" w:rsidRPr="002B724B">
        <w:rPr>
          <w:rFonts w:ascii="Arial" w:hAnsi="Arial" w:cs="Arial"/>
          <w:bCs/>
        </w:rPr>
        <w:t xml:space="preserve">his </w:t>
      </w:r>
      <w:r w:rsidR="001E21AF">
        <w:rPr>
          <w:rFonts w:ascii="Arial" w:hAnsi="Arial" w:cs="Arial"/>
          <w:bCs/>
        </w:rPr>
        <w:t xml:space="preserve">TLT </w:t>
      </w:r>
      <w:r w:rsidR="001E21AF" w:rsidRPr="002B724B">
        <w:rPr>
          <w:rFonts w:ascii="Arial" w:hAnsi="Arial" w:cs="Arial"/>
          <w:bCs/>
        </w:rPr>
        <w:t>position w</w:t>
      </w:r>
      <w:r w:rsidR="001E21AF">
        <w:rPr>
          <w:rFonts w:ascii="Arial" w:hAnsi="Arial" w:cs="Arial"/>
          <w:bCs/>
        </w:rPr>
        <w:t>ould</w:t>
      </w:r>
      <w:r w:rsidR="001E21AF" w:rsidRPr="002B724B">
        <w:rPr>
          <w:rFonts w:ascii="Arial" w:hAnsi="Arial" w:cs="Arial"/>
          <w:bCs/>
        </w:rPr>
        <w:t xml:space="preserve"> provide project management for DNRP’s Recruitment Standards Project</w:t>
      </w:r>
      <w:r w:rsidR="001E21AF">
        <w:rPr>
          <w:rFonts w:ascii="Arial" w:hAnsi="Arial" w:cs="Arial"/>
          <w:bCs/>
        </w:rPr>
        <w:t xml:space="preserve">, which </w:t>
      </w:r>
      <w:r w:rsidR="001E21AF" w:rsidRPr="002B724B">
        <w:rPr>
          <w:rFonts w:ascii="Arial" w:hAnsi="Arial" w:cs="Arial"/>
          <w:bCs/>
        </w:rPr>
        <w:t xml:space="preserve">supports the department’s workforce equity goals by implementing recruitment standards and best practices, enhancing the skills of </w:t>
      </w:r>
      <w:proofErr w:type="gramStart"/>
      <w:r w:rsidR="001E21AF" w:rsidRPr="002B724B">
        <w:rPr>
          <w:rFonts w:ascii="Arial" w:hAnsi="Arial" w:cs="Arial"/>
          <w:bCs/>
        </w:rPr>
        <w:t>recruiters</w:t>
      </w:r>
      <w:proofErr w:type="gramEnd"/>
      <w:r w:rsidR="001E21AF" w:rsidRPr="002B724B">
        <w:rPr>
          <w:rFonts w:ascii="Arial" w:hAnsi="Arial" w:cs="Arial"/>
          <w:bCs/>
        </w:rPr>
        <w:t xml:space="preserve"> and hiring managers, creating tools and resources, </w:t>
      </w:r>
      <w:r w:rsidR="001E21AF">
        <w:rPr>
          <w:rFonts w:ascii="Arial" w:hAnsi="Arial" w:cs="Arial"/>
          <w:bCs/>
        </w:rPr>
        <w:t>and</w:t>
      </w:r>
      <w:r w:rsidR="001E21AF" w:rsidRPr="002B724B">
        <w:rPr>
          <w:rFonts w:ascii="Arial" w:hAnsi="Arial" w:cs="Arial"/>
          <w:bCs/>
        </w:rPr>
        <w:t xml:space="preserve"> measuring the effectiveness of hiring processes</w:t>
      </w:r>
      <w:r w:rsidR="001E21AF">
        <w:rPr>
          <w:rFonts w:ascii="Arial" w:hAnsi="Arial" w:cs="Arial"/>
          <w:bCs/>
        </w:rPr>
        <w:t xml:space="preserve">. </w:t>
      </w:r>
      <w:r w:rsidR="004C1B24">
        <w:rPr>
          <w:rFonts w:ascii="Arial" w:hAnsi="Arial" w:cs="Arial"/>
          <w:bCs/>
        </w:rPr>
        <w:t xml:space="preserve"> </w:t>
      </w:r>
      <w:r w:rsidR="001E21AF">
        <w:rPr>
          <w:rFonts w:ascii="Arial" w:hAnsi="Arial" w:cs="Arial"/>
          <w:bCs/>
        </w:rPr>
        <w:t>Executive staff state that recruiting is the largest service DNRP’s human resources team provides, and a comprehensive</w:t>
      </w:r>
      <w:r w:rsidR="001E21AF" w:rsidRPr="002B724B">
        <w:rPr>
          <w:rFonts w:ascii="Arial" w:hAnsi="Arial" w:cs="Arial"/>
          <w:bCs/>
        </w:rPr>
        <w:t xml:space="preserve"> department wide approach to enhancing </w:t>
      </w:r>
      <w:r w:rsidR="001E21AF">
        <w:rPr>
          <w:rFonts w:ascii="Arial" w:hAnsi="Arial" w:cs="Arial"/>
          <w:bCs/>
        </w:rPr>
        <w:t>recruiting services</w:t>
      </w:r>
      <w:r w:rsidR="001E21AF" w:rsidRPr="002B724B">
        <w:rPr>
          <w:rFonts w:ascii="Arial" w:hAnsi="Arial" w:cs="Arial"/>
          <w:bCs/>
        </w:rPr>
        <w:t xml:space="preserve"> </w:t>
      </w:r>
      <w:r w:rsidR="001E21AF">
        <w:rPr>
          <w:rFonts w:ascii="Arial" w:hAnsi="Arial" w:cs="Arial"/>
          <w:bCs/>
        </w:rPr>
        <w:t>would enable</w:t>
      </w:r>
      <w:r w:rsidR="001E21AF" w:rsidRPr="002B724B">
        <w:rPr>
          <w:rFonts w:ascii="Arial" w:hAnsi="Arial" w:cs="Arial"/>
          <w:bCs/>
        </w:rPr>
        <w:t xml:space="preserve"> DNRP to make progress toward equity goals and enhance efficiency.</w:t>
      </w:r>
    </w:p>
    <w:p w14:paraId="7E8301E6" w14:textId="4C3CDECD" w:rsidR="005F199B" w:rsidRDefault="005F199B" w:rsidP="00AB45DE">
      <w:pPr>
        <w:tabs>
          <w:tab w:val="left" w:pos="720"/>
          <w:tab w:val="right" w:pos="9360"/>
        </w:tabs>
        <w:spacing w:line="264" w:lineRule="auto"/>
        <w:contextualSpacing/>
        <w:jc w:val="both"/>
        <w:rPr>
          <w:rFonts w:ascii="Arial" w:hAnsi="Arial" w:cs="Arial"/>
          <w:b/>
          <w:u w:val="single"/>
        </w:rPr>
      </w:pPr>
    </w:p>
    <w:p w14:paraId="258DE32F" w14:textId="32AEBBCC" w:rsidR="00013887" w:rsidRPr="00C77BF1" w:rsidRDefault="00013887" w:rsidP="00013887">
      <w:pPr>
        <w:spacing w:line="264" w:lineRule="auto"/>
        <w:contextualSpacing/>
        <w:jc w:val="both"/>
        <w:rPr>
          <w:rFonts w:ascii="Arial" w:hAnsi="Arial" w:cs="Arial"/>
        </w:rPr>
      </w:pPr>
      <w:r w:rsidRPr="00C77BF1">
        <w:rPr>
          <w:rFonts w:ascii="Arial" w:hAnsi="Arial" w:cs="Arial"/>
          <w:b/>
          <w:i/>
          <w:iCs/>
        </w:rPr>
        <w:t xml:space="preserve">Food Facility Feasibility Study </w:t>
      </w:r>
      <w:r>
        <w:rPr>
          <w:rFonts w:ascii="Arial" w:hAnsi="Arial" w:cs="Arial"/>
          <w:b/>
          <w:i/>
          <w:iCs/>
        </w:rPr>
        <w:t>[</w:t>
      </w:r>
      <w:r w:rsidRPr="00C77BF1">
        <w:rPr>
          <w:rFonts w:ascii="Arial" w:hAnsi="Arial" w:cs="Arial"/>
          <w:b/>
          <w:i/>
          <w:iCs/>
        </w:rPr>
        <w:t>$85,000</w:t>
      </w:r>
      <w:r>
        <w:rPr>
          <w:rFonts w:ascii="Arial" w:hAnsi="Arial" w:cs="Arial"/>
          <w:b/>
          <w:i/>
          <w:iCs/>
        </w:rPr>
        <w:t>]</w:t>
      </w:r>
      <w:r w:rsidRPr="00C77BF1">
        <w:rPr>
          <w:rFonts w:ascii="Arial" w:hAnsi="Arial" w:cs="Arial"/>
          <w:b/>
          <w:i/>
          <w:iCs/>
        </w:rPr>
        <w:t>.</w:t>
      </w:r>
      <w:r w:rsidRPr="00C77BF1">
        <w:rPr>
          <w:rFonts w:ascii="Arial" w:hAnsi="Arial" w:cs="Arial"/>
          <w:b/>
        </w:rPr>
        <w:t xml:space="preserve">  </w:t>
      </w:r>
      <w:r w:rsidRPr="00C77BF1">
        <w:rPr>
          <w:rFonts w:ascii="Arial" w:hAnsi="Arial" w:cs="Arial"/>
        </w:rPr>
        <w:t xml:space="preserve">The proposed ordinance would appropriate $85,000 to fund a feasibility study for a food hub in the Kent Valley. </w:t>
      </w:r>
      <w:r>
        <w:rPr>
          <w:rFonts w:ascii="Arial" w:hAnsi="Arial" w:cs="Arial"/>
        </w:rPr>
        <w:t xml:space="preserve"> </w:t>
      </w:r>
      <w:r w:rsidRPr="00C77BF1">
        <w:rPr>
          <w:rFonts w:ascii="Arial" w:hAnsi="Arial" w:cs="Arial"/>
        </w:rPr>
        <w:t>Food hubs support small- and medium-scale food producers and manufacturers by providing processing, distr</w:t>
      </w:r>
      <w:r>
        <w:rPr>
          <w:rFonts w:ascii="Arial" w:hAnsi="Arial" w:cs="Arial"/>
        </w:rPr>
        <w:t>i</w:t>
      </w:r>
      <w:r w:rsidRPr="00C77BF1">
        <w:rPr>
          <w:rFonts w:ascii="Arial" w:hAnsi="Arial" w:cs="Arial"/>
        </w:rPr>
        <w:t>b</w:t>
      </w:r>
      <w:r>
        <w:rPr>
          <w:rFonts w:ascii="Arial" w:hAnsi="Arial" w:cs="Arial"/>
        </w:rPr>
        <w:t>u</w:t>
      </w:r>
      <w:r w:rsidRPr="00C77BF1">
        <w:rPr>
          <w:rFonts w:ascii="Arial" w:hAnsi="Arial" w:cs="Arial"/>
        </w:rPr>
        <w:t xml:space="preserve">tion, and storage facilities at a scale otherwise not available in the food system. </w:t>
      </w:r>
      <w:r>
        <w:rPr>
          <w:rFonts w:ascii="Arial" w:hAnsi="Arial" w:cs="Arial"/>
        </w:rPr>
        <w:t xml:space="preserve"> </w:t>
      </w:r>
      <w:r w:rsidRPr="00C77BF1">
        <w:rPr>
          <w:rFonts w:ascii="Arial" w:hAnsi="Arial" w:cs="Arial"/>
        </w:rPr>
        <w:t>This study would be in partnership with the City of Kent and Port of Seattle.</w:t>
      </w:r>
    </w:p>
    <w:p w14:paraId="4F514489" w14:textId="15309614" w:rsidR="00013887" w:rsidRDefault="00013887" w:rsidP="00013887">
      <w:pPr>
        <w:spacing w:line="264" w:lineRule="auto"/>
        <w:contextualSpacing/>
        <w:jc w:val="both"/>
        <w:rPr>
          <w:rFonts w:ascii="Arial" w:hAnsi="Arial" w:cs="Arial"/>
          <w:color w:val="FF0000"/>
        </w:rPr>
      </w:pPr>
    </w:p>
    <w:p w14:paraId="7635DB8D" w14:textId="43EB6F2B" w:rsidR="00EE1DC3" w:rsidRDefault="00EE1DC3" w:rsidP="52A5D16C">
      <w:pPr>
        <w:spacing w:line="264" w:lineRule="auto"/>
        <w:contextualSpacing/>
        <w:jc w:val="both"/>
        <w:rPr>
          <w:rFonts w:ascii="Arial" w:hAnsi="Arial" w:cs="Arial"/>
        </w:rPr>
      </w:pPr>
      <w:r w:rsidRPr="52A5D16C">
        <w:rPr>
          <w:rFonts w:ascii="Arial" w:hAnsi="Arial" w:cs="Arial"/>
          <w:b/>
          <w:bCs/>
          <w:i/>
          <w:iCs/>
        </w:rPr>
        <w:t>Greenhouse Gas Inventory [$190,000].</w:t>
      </w:r>
      <w:r w:rsidRPr="52A5D16C">
        <w:rPr>
          <w:rFonts w:ascii="Arial" w:hAnsi="Arial" w:cs="Arial"/>
          <w:b/>
          <w:bCs/>
        </w:rPr>
        <w:t xml:space="preserve">  </w:t>
      </w:r>
      <w:r w:rsidRPr="52A5D16C">
        <w:rPr>
          <w:rFonts w:ascii="Arial" w:hAnsi="Arial" w:cs="Arial"/>
        </w:rPr>
        <w:t xml:space="preserve">The proposed ordinance would add appropriation to lead a comprehensive update to local and regional greenhouse gas emissions inventories and models.  This would include work in coordination with the Joint Aircraft Emission Technical and Community Taskforce to determine the baseline emission level for aircraft emissions as directed in the adopted 2020 SCAP.  Regional partners are contributing funds to pay consulting fees for the project. </w:t>
      </w:r>
    </w:p>
    <w:p w14:paraId="5F34FA31" w14:textId="642612E5" w:rsidR="52A5D16C" w:rsidRDefault="52A5D16C" w:rsidP="52A5D16C">
      <w:pPr>
        <w:spacing w:line="264" w:lineRule="auto"/>
        <w:jc w:val="both"/>
        <w:rPr>
          <w:rFonts w:ascii="Arial" w:hAnsi="Arial" w:cs="Arial"/>
          <w:szCs w:val="24"/>
        </w:rPr>
      </w:pPr>
    </w:p>
    <w:p w14:paraId="0B3498D3" w14:textId="312A661B" w:rsidR="00EE1DC3" w:rsidRDefault="00EE1DC3" w:rsidP="00EE1DC3">
      <w:pPr>
        <w:spacing w:line="264" w:lineRule="auto"/>
        <w:contextualSpacing/>
        <w:jc w:val="both"/>
        <w:rPr>
          <w:rFonts w:ascii="Arial" w:hAnsi="Arial" w:cs="Arial"/>
        </w:rPr>
      </w:pPr>
      <w:r>
        <w:rPr>
          <w:rFonts w:ascii="Arial" w:hAnsi="Arial" w:cs="Arial"/>
          <w:b/>
          <w:i/>
          <w:iCs/>
        </w:rPr>
        <w:t>Urban Heat Island Mitigation Strategy [</w:t>
      </w:r>
      <w:r w:rsidRPr="0054665B">
        <w:rPr>
          <w:rFonts w:ascii="Arial" w:hAnsi="Arial" w:cs="Arial"/>
          <w:b/>
          <w:i/>
          <w:iCs/>
        </w:rPr>
        <w:t>$1</w:t>
      </w:r>
      <w:r>
        <w:rPr>
          <w:rFonts w:ascii="Arial" w:hAnsi="Arial" w:cs="Arial"/>
          <w:b/>
          <w:i/>
          <w:iCs/>
        </w:rPr>
        <w:t>89,852].</w:t>
      </w:r>
      <w:r>
        <w:rPr>
          <w:rFonts w:ascii="Arial" w:hAnsi="Arial" w:cs="Arial"/>
          <w:b/>
          <w:iCs/>
        </w:rPr>
        <w:t xml:space="preserve">  </w:t>
      </w:r>
      <w:r w:rsidRPr="003D194D">
        <w:rPr>
          <w:rFonts w:ascii="Arial" w:hAnsi="Arial" w:cs="Arial"/>
        </w:rPr>
        <w:t xml:space="preserve">The proposed ordinance would </w:t>
      </w:r>
      <w:r>
        <w:rPr>
          <w:rFonts w:ascii="Arial" w:hAnsi="Arial" w:cs="Arial"/>
        </w:rPr>
        <w:t>fund the development of a wildfire smoke and heat mitigation strategy.  This work is funded by grants from Puget Sound Clean Air Agency and FEMA.  This also includes a $26,00 contract with Puget Sound Clean Air Agency to work with five community-based organizations to distribute 400 box fans/air filters to frontline communities.</w:t>
      </w:r>
    </w:p>
    <w:p w14:paraId="7BD7A001" w14:textId="77777777" w:rsidR="00EE1DC3" w:rsidRDefault="00EE1DC3" w:rsidP="00EE1DC3">
      <w:pPr>
        <w:spacing w:line="264" w:lineRule="auto"/>
        <w:contextualSpacing/>
        <w:jc w:val="both"/>
        <w:rPr>
          <w:rFonts w:ascii="Arial" w:hAnsi="Arial" w:cs="Arial"/>
        </w:rPr>
      </w:pPr>
    </w:p>
    <w:p w14:paraId="1A223FE6" w14:textId="77777777" w:rsidR="00EE1DC3" w:rsidRPr="006D3FF8" w:rsidRDefault="00EE1DC3" w:rsidP="00EE1DC3">
      <w:pPr>
        <w:spacing w:line="264" w:lineRule="auto"/>
        <w:contextualSpacing/>
        <w:jc w:val="both"/>
        <w:rPr>
          <w:rFonts w:ascii="Arial" w:hAnsi="Arial" w:cs="Arial"/>
          <w:b/>
          <w:i/>
        </w:rPr>
      </w:pPr>
      <w:r>
        <w:rPr>
          <w:rFonts w:ascii="Arial" w:hAnsi="Arial" w:cs="Arial"/>
          <w:b/>
          <w:i/>
          <w:iCs/>
        </w:rPr>
        <w:t>Climate and Energy Program Manager [</w:t>
      </w:r>
      <w:r w:rsidRPr="0054665B">
        <w:rPr>
          <w:rFonts w:ascii="Arial" w:hAnsi="Arial" w:cs="Arial"/>
          <w:b/>
          <w:i/>
          <w:iCs/>
        </w:rPr>
        <w:t>$1</w:t>
      </w:r>
      <w:r>
        <w:rPr>
          <w:rFonts w:ascii="Arial" w:hAnsi="Arial" w:cs="Arial"/>
          <w:b/>
          <w:i/>
          <w:iCs/>
        </w:rPr>
        <w:t xml:space="preserve">80,916].  </w:t>
      </w:r>
      <w:r w:rsidRPr="003D194D">
        <w:rPr>
          <w:rFonts w:ascii="Arial" w:hAnsi="Arial" w:cs="Arial"/>
        </w:rPr>
        <w:t xml:space="preserve">The proposed ordinance would </w:t>
      </w:r>
      <w:r>
        <w:rPr>
          <w:rFonts w:ascii="Arial" w:hAnsi="Arial" w:cs="Arial"/>
        </w:rPr>
        <w:t xml:space="preserve">add appropriation for a position that was held vacant in 2021-2022.  Executive staff report there is fund balance remaining from the 2019-2020 budget to fund this position. </w:t>
      </w:r>
    </w:p>
    <w:p w14:paraId="2EFA2602" w14:textId="77777777" w:rsidR="00EE1DC3" w:rsidRPr="003D194D" w:rsidRDefault="00EE1DC3" w:rsidP="00EE1DC3">
      <w:pPr>
        <w:spacing w:line="264" w:lineRule="auto"/>
        <w:contextualSpacing/>
        <w:jc w:val="both"/>
        <w:rPr>
          <w:rFonts w:ascii="Arial" w:hAnsi="Arial" w:cs="Arial"/>
        </w:rPr>
      </w:pPr>
    </w:p>
    <w:p w14:paraId="4D90F131" w14:textId="77777777" w:rsidR="00EE1DC3" w:rsidRPr="006D3FF8" w:rsidRDefault="00EE1DC3" w:rsidP="00EE1DC3">
      <w:pPr>
        <w:spacing w:line="264" w:lineRule="auto"/>
        <w:contextualSpacing/>
        <w:jc w:val="both"/>
        <w:rPr>
          <w:rFonts w:ascii="Arial" w:hAnsi="Arial" w:cs="Arial"/>
          <w:b/>
          <w:i/>
        </w:rPr>
      </w:pPr>
      <w:r>
        <w:rPr>
          <w:rFonts w:ascii="Arial" w:hAnsi="Arial" w:cs="Arial"/>
          <w:b/>
          <w:i/>
          <w:iCs/>
        </w:rPr>
        <w:t>State Climate Policy Support Position [</w:t>
      </w:r>
      <w:r w:rsidRPr="0054665B">
        <w:rPr>
          <w:rFonts w:ascii="Arial" w:hAnsi="Arial" w:cs="Arial"/>
          <w:b/>
          <w:i/>
          <w:iCs/>
        </w:rPr>
        <w:t>$1</w:t>
      </w:r>
      <w:r>
        <w:rPr>
          <w:rFonts w:ascii="Arial" w:hAnsi="Arial" w:cs="Arial"/>
          <w:b/>
          <w:i/>
          <w:iCs/>
        </w:rPr>
        <w:t xml:space="preserve">80,916, 1.0 TLT].  </w:t>
      </w:r>
      <w:r w:rsidRPr="003D194D">
        <w:rPr>
          <w:rFonts w:ascii="Arial" w:hAnsi="Arial" w:cs="Arial"/>
        </w:rPr>
        <w:t xml:space="preserve">The proposed ordinance would </w:t>
      </w:r>
      <w:r>
        <w:rPr>
          <w:rFonts w:ascii="Arial" w:hAnsi="Arial" w:cs="Arial"/>
        </w:rPr>
        <w:t xml:space="preserve">add funding for a TLT to coordinate County engagement in the implementation of new state climate policies with a focus on the Climate Commitment Act and facilitate department engagement in rule setting.  Executive staff report there is fund balance remaining from the 2019-2020 budget to fund this position. </w:t>
      </w:r>
    </w:p>
    <w:p w14:paraId="03FA2E59" w14:textId="77777777" w:rsidR="00EE1DC3" w:rsidRDefault="00EE1DC3" w:rsidP="00013887">
      <w:pPr>
        <w:spacing w:line="264" w:lineRule="auto"/>
        <w:contextualSpacing/>
        <w:jc w:val="both"/>
        <w:rPr>
          <w:rFonts w:ascii="Arial" w:hAnsi="Arial" w:cs="Arial"/>
          <w:color w:val="FF0000"/>
        </w:rPr>
      </w:pPr>
    </w:p>
    <w:p w14:paraId="7BBF1A07" w14:textId="77777777" w:rsidR="00013887" w:rsidRPr="00857A5D" w:rsidRDefault="00013887" w:rsidP="00013887">
      <w:pPr>
        <w:spacing w:line="264" w:lineRule="auto"/>
        <w:contextualSpacing/>
        <w:jc w:val="both"/>
        <w:rPr>
          <w:rFonts w:ascii="Arial" w:hAnsi="Arial" w:cs="Arial"/>
          <w:b/>
          <w:iCs/>
        </w:rPr>
      </w:pPr>
      <w:r w:rsidRPr="00857A5D">
        <w:rPr>
          <w:rFonts w:ascii="Arial" w:hAnsi="Arial" w:cs="Arial"/>
          <w:b/>
          <w:iCs/>
        </w:rPr>
        <w:t>TECHNICAL</w:t>
      </w:r>
    </w:p>
    <w:p w14:paraId="6D566BB6" w14:textId="77777777" w:rsidR="00013887" w:rsidRPr="00DE6C09" w:rsidRDefault="00013887" w:rsidP="00013887">
      <w:pPr>
        <w:spacing w:line="264" w:lineRule="auto"/>
        <w:contextualSpacing/>
        <w:jc w:val="both"/>
        <w:rPr>
          <w:rFonts w:ascii="Arial" w:hAnsi="Arial" w:cs="Arial"/>
          <w:color w:val="FF0000"/>
        </w:rPr>
      </w:pPr>
      <w:r w:rsidRPr="00857A5D">
        <w:rPr>
          <w:rFonts w:ascii="Arial" w:hAnsi="Arial" w:cs="Arial"/>
          <w:b/>
          <w:i/>
          <w:iCs/>
        </w:rPr>
        <w:t xml:space="preserve">Internal Service Cost Error Correction </w:t>
      </w:r>
      <w:r>
        <w:rPr>
          <w:rFonts w:ascii="Arial" w:hAnsi="Arial" w:cs="Arial"/>
          <w:b/>
          <w:i/>
          <w:iCs/>
        </w:rPr>
        <w:t>[</w:t>
      </w:r>
      <w:r w:rsidRPr="00857A5D">
        <w:rPr>
          <w:rFonts w:ascii="Arial" w:hAnsi="Arial" w:cs="Arial"/>
          <w:b/>
          <w:i/>
          <w:iCs/>
        </w:rPr>
        <w:t>$24,020</w:t>
      </w:r>
      <w:r>
        <w:rPr>
          <w:rFonts w:ascii="Arial" w:hAnsi="Arial" w:cs="Arial"/>
          <w:b/>
          <w:i/>
          <w:iCs/>
        </w:rPr>
        <w:t>]</w:t>
      </w:r>
      <w:r w:rsidRPr="00857A5D">
        <w:rPr>
          <w:rFonts w:ascii="Arial" w:hAnsi="Arial" w:cs="Arial"/>
          <w:b/>
          <w:i/>
          <w:iCs/>
        </w:rPr>
        <w:t>.</w:t>
      </w:r>
      <w:r w:rsidRPr="00857A5D">
        <w:rPr>
          <w:rFonts w:ascii="Arial" w:hAnsi="Arial" w:cs="Arial"/>
          <w:b/>
        </w:rPr>
        <w:t xml:space="preserve">  </w:t>
      </w:r>
      <w:r w:rsidRPr="00857A5D">
        <w:rPr>
          <w:rFonts w:ascii="Arial" w:hAnsi="Arial" w:cs="Arial"/>
        </w:rPr>
        <w:t xml:space="preserve">The proposed ordinance would appropriate $24,020 to correct a budget entry error in the </w:t>
      </w:r>
      <w:r>
        <w:rPr>
          <w:rFonts w:ascii="Arial" w:hAnsi="Arial" w:cs="Arial"/>
        </w:rPr>
        <w:t>Facilities Management central</w:t>
      </w:r>
      <w:r w:rsidRPr="00857A5D">
        <w:rPr>
          <w:rFonts w:ascii="Arial" w:hAnsi="Arial" w:cs="Arial"/>
        </w:rPr>
        <w:t xml:space="preserve"> rate.</w:t>
      </w:r>
    </w:p>
    <w:p w14:paraId="563C37A3" w14:textId="0B6EDC39" w:rsidR="00AD61D4" w:rsidRDefault="00AD61D4" w:rsidP="00AB45DE">
      <w:pPr>
        <w:tabs>
          <w:tab w:val="left" w:pos="720"/>
          <w:tab w:val="right" w:pos="9360"/>
        </w:tabs>
        <w:spacing w:line="264" w:lineRule="auto"/>
        <w:contextualSpacing/>
        <w:jc w:val="both"/>
        <w:rPr>
          <w:rFonts w:ascii="Arial" w:hAnsi="Arial" w:cs="Arial"/>
          <w:b/>
          <w:u w:val="single"/>
        </w:rPr>
      </w:pPr>
    </w:p>
    <w:p w14:paraId="370339B2" w14:textId="11C923FB" w:rsidR="00EC5BF1" w:rsidRDefault="00EC5BF1" w:rsidP="00AB45DE">
      <w:pPr>
        <w:tabs>
          <w:tab w:val="left" w:pos="720"/>
          <w:tab w:val="right" w:pos="9360"/>
        </w:tabs>
        <w:spacing w:line="264" w:lineRule="auto"/>
        <w:contextualSpacing/>
        <w:jc w:val="both"/>
        <w:rPr>
          <w:rFonts w:ascii="Arial" w:hAnsi="Arial" w:cs="Arial"/>
          <w:b/>
          <w:u w:val="single"/>
        </w:rPr>
      </w:pPr>
    </w:p>
    <w:p w14:paraId="05A3A07F" w14:textId="77777777" w:rsidR="00EC5BF1" w:rsidRPr="000E7446" w:rsidRDefault="00EC5BF1" w:rsidP="00EC5BF1">
      <w:pPr>
        <w:tabs>
          <w:tab w:val="left" w:pos="720"/>
          <w:tab w:val="right" w:pos="9360"/>
        </w:tabs>
        <w:spacing w:line="264" w:lineRule="auto"/>
        <w:contextualSpacing/>
        <w:jc w:val="both"/>
        <w:rPr>
          <w:rFonts w:ascii="Arial" w:hAnsi="Arial" w:cs="Arial"/>
          <w:b/>
          <w:u w:val="single"/>
        </w:rPr>
      </w:pPr>
      <w:r>
        <w:rPr>
          <w:rFonts w:ascii="Arial" w:hAnsi="Arial" w:cs="Arial"/>
          <w:b/>
          <w:u w:val="single"/>
        </w:rPr>
        <w:t xml:space="preserve">Public Health </w:t>
      </w:r>
      <w:r w:rsidRPr="000E7446">
        <w:rPr>
          <w:rFonts w:ascii="Arial" w:hAnsi="Arial" w:cs="Arial"/>
          <w:b/>
          <w:u w:val="single"/>
        </w:rPr>
        <w:tab/>
        <w:t>$</w:t>
      </w:r>
      <w:r>
        <w:rPr>
          <w:rFonts w:ascii="Arial" w:hAnsi="Arial" w:cs="Arial"/>
          <w:b/>
          <w:u w:val="single"/>
        </w:rPr>
        <w:t>32,292,000, 26.6 FTEs</w:t>
      </w:r>
    </w:p>
    <w:p w14:paraId="7150CD86" w14:textId="77777777" w:rsidR="00EC5BF1" w:rsidRDefault="00EC5BF1" w:rsidP="00EC5BF1">
      <w:pPr>
        <w:spacing w:line="264" w:lineRule="auto"/>
        <w:contextualSpacing/>
        <w:jc w:val="both"/>
        <w:rPr>
          <w:b/>
        </w:rPr>
      </w:pPr>
    </w:p>
    <w:p w14:paraId="6FE120D9" w14:textId="77777777" w:rsidR="00EC5BF1" w:rsidRDefault="00EC5BF1" w:rsidP="00EC5BF1">
      <w:pPr>
        <w:spacing w:line="264" w:lineRule="auto"/>
        <w:contextualSpacing/>
        <w:jc w:val="both"/>
        <w:rPr>
          <w:rFonts w:ascii="Arial" w:hAnsi="Arial" w:cs="Arial"/>
          <w:bCs/>
          <w:iCs/>
        </w:rPr>
      </w:pPr>
      <w:r w:rsidRPr="00D2098E">
        <w:rPr>
          <w:rFonts w:ascii="Arial" w:hAnsi="Arial" w:cs="Arial"/>
          <w:b/>
          <w:i/>
          <w:iCs/>
        </w:rPr>
        <w:t>Primary Care Health Center Grant from the Health Resources and Services Administration (HRSA)</w:t>
      </w:r>
      <w:r w:rsidRPr="00225EC0">
        <w:rPr>
          <w:rFonts w:ascii="Arial" w:hAnsi="Arial" w:cs="Arial"/>
          <w:b/>
          <w:i/>
        </w:rPr>
        <w:t xml:space="preserve"> </w:t>
      </w:r>
      <w:r>
        <w:rPr>
          <w:rFonts w:ascii="Arial" w:hAnsi="Arial" w:cs="Arial"/>
          <w:b/>
          <w:i/>
        </w:rPr>
        <w:t>[$3,900,000, 12.0 TLTs]</w:t>
      </w:r>
      <w:r>
        <w:rPr>
          <w:rFonts w:ascii="Arial" w:hAnsi="Arial" w:cs="Arial"/>
          <w:b/>
          <w:iCs/>
        </w:rPr>
        <w:t>.</w:t>
      </w:r>
      <w:r>
        <w:rPr>
          <w:rFonts w:ascii="Arial" w:hAnsi="Arial" w:cs="Arial"/>
          <w:b/>
          <w:i/>
        </w:rPr>
        <w:t xml:space="preserve">  </w:t>
      </w:r>
      <w:r>
        <w:rPr>
          <w:rFonts w:ascii="Arial" w:hAnsi="Arial" w:cs="Arial"/>
          <w:bCs/>
          <w:iCs/>
        </w:rPr>
        <w:t xml:space="preserve">The proposed ordinance would appropriate $3.9 million funded by a HRSA grant </w:t>
      </w:r>
      <w:r w:rsidRPr="004C6E97">
        <w:rPr>
          <w:rFonts w:ascii="Arial" w:hAnsi="Arial" w:cs="Arial"/>
          <w:bCs/>
          <w:iCs/>
        </w:rPr>
        <w:t>to improve COVID-19 vaccination and enhance the availability of comprehensive primary care services.</w:t>
      </w:r>
      <w:r>
        <w:rPr>
          <w:rFonts w:ascii="Arial" w:hAnsi="Arial" w:cs="Arial"/>
          <w:bCs/>
          <w:iCs/>
        </w:rPr>
        <w:t xml:space="preserve">  The proposed appropriation would also add 12 TLT positions to support this work.  The grant provides one-time funding for a two-year period to support COVID-19 vaccine capacity, COVID-19 pandemic response and treatment capacity, recovery and stabilization including enhancing and expanding the health care workforce to meet pent up demand, and minor alteration and renovation to improve physical infrastructure of mobile units and vehicles that expand access to comprehensive primary care. </w:t>
      </w:r>
    </w:p>
    <w:p w14:paraId="2AB6074A" w14:textId="77777777" w:rsidR="00EC5BF1" w:rsidRPr="00353D29" w:rsidRDefault="00EC5BF1" w:rsidP="00EC5BF1">
      <w:pPr>
        <w:spacing w:line="264" w:lineRule="auto"/>
        <w:contextualSpacing/>
        <w:jc w:val="both"/>
        <w:rPr>
          <w:rFonts w:ascii="Arial" w:hAnsi="Arial" w:cs="Arial"/>
          <w:bCs/>
          <w:iCs/>
        </w:rPr>
      </w:pPr>
    </w:p>
    <w:p w14:paraId="24426F70" w14:textId="77777777" w:rsidR="00EC5BF1" w:rsidRDefault="00EC5BF1" w:rsidP="00EC5BF1">
      <w:pPr>
        <w:spacing w:line="264" w:lineRule="auto"/>
        <w:contextualSpacing/>
        <w:jc w:val="both"/>
        <w:rPr>
          <w:rFonts w:ascii="Arial" w:hAnsi="Arial" w:cs="Arial"/>
          <w:bCs/>
        </w:rPr>
      </w:pPr>
      <w:r w:rsidRPr="00D2098E">
        <w:rPr>
          <w:rFonts w:ascii="Arial" w:hAnsi="Arial" w:cs="Arial"/>
          <w:b/>
          <w:i/>
          <w:iCs/>
        </w:rPr>
        <w:t>Dentist and Dental Director Pay Grade Increase</w:t>
      </w:r>
      <w:r>
        <w:rPr>
          <w:rFonts w:ascii="Arial" w:hAnsi="Arial" w:cs="Arial"/>
          <w:b/>
          <w:i/>
          <w:iCs/>
        </w:rPr>
        <w:t xml:space="preserve"> [$677,000, ongoing]</w:t>
      </w:r>
      <w:r>
        <w:rPr>
          <w:rFonts w:ascii="Arial" w:hAnsi="Arial" w:cs="Arial"/>
          <w:b/>
        </w:rPr>
        <w:t>.</w:t>
      </w:r>
      <w:r>
        <w:rPr>
          <w:rFonts w:ascii="Arial" w:hAnsi="Arial" w:cs="Arial"/>
          <w:b/>
          <w:i/>
          <w:iCs/>
        </w:rPr>
        <w:t xml:space="preserve">  </w:t>
      </w:r>
      <w:r>
        <w:rPr>
          <w:rFonts w:ascii="Arial" w:hAnsi="Arial" w:cs="Arial"/>
          <w:bCs/>
        </w:rPr>
        <w:t>The proposed ordinance would appropriate $677,000 to increase salaries for dentists and the dental director, bringing the salary levels for 12.85 FTEs in these classifications commensurate with market rates.  This request aligns with a Compensation Recommendation Report transmitted to Council in July 2021 from the Department of Human Resources.</w:t>
      </w:r>
      <w:r>
        <w:rPr>
          <w:rStyle w:val="FootnoteReference"/>
          <w:rFonts w:ascii="Arial" w:hAnsi="Arial" w:cs="Arial"/>
          <w:bCs/>
        </w:rPr>
        <w:footnoteReference w:id="34"/>
      </w:r>
      <w:r>
        <w:rPr>
          <w:rFonts w:ascii="Arial" w:hAnsi="Arial" w:cs="Arial"/>
          <w:bCs/>
        </w:rPr>
        <w:t xml:space="preserve">  Report </w:t>
      </w:r>
      <w:r w:rsidRPr="000A0900">
        <w:rPr>
          <w:rFonts w:ascii="Arial" w:hAnsi="Arial" w:cs="Arial"/>
          <w:bCs/>
        </w:rPr>
        <w:t>2021-RPT0082</w:t>
      </w:r>
      <w:r>
        <w:rPr>
          <w:rFonts w:ascii="Arial" w:hAnsi="Arial" w:cs="Arial"/>
          <w:bCs/>
        </w:rPr>
        <w:t xml:space="preserve"> includes a market analysis for these two classifications and states that there has been an open-continuous position to hire dentists to serve in Public Health's community and jail settings for most of the past three years.  According to the report, "the average patient generated revenue per FTE Dentist in the Community Health Services clinics is $870,000." </w:t>
      </w:r>
    </w:p>
    <w:p w14:paraId="23B9CF17" w14:textId="77777777" w:rsidR="00EC5BF1" w:rsidRPr="00D2098E" w:rsidRDefault="00EC5BF1" w:rsidP="00EC5BF1">
      <w:pPr>
        <w:spacing w:line="264" w:lineRule="auto"/>
        <w:contextualSpacing/>
        <w:jc w:val="both"/>
        <w:rPr>
          <w:rFonts w:ascii="Arial" w:hAnsi="Arial" w:cs="Arial"/>
          <w:b/>
          <w:i/>
          <w:iCs/>
        </w:rPr>
      </w:pPr>
    </w:p>
    <w:p w14:paraId="2A4A7010" w14:textId="77777777" w:rsidR="00EC5BF1" w:rsidRDefault="00EC5BF1" w:rsidP="00EC5BF1">
      <w:pPr>
        <w:tabs>
          <w:tab w:val="left" w:pos="8004"/>
        </w:tabs>
        <w:spacing w:line="264" w:lineRule="auto"/>
        <w:contextualSpacing/>
        <w:jc w:val="both"/>
        <w:rPr>
          <w:rFonts w:ascii="Arial" w:hAnsi="Arial" w:cs="Arial"/>
          <w:bCs/>
        </w:rPr>
      </w:pPr>
      <w:r w:rsidRPr="00D2098E">
        <w:rPr>
          <w:rFonts w:ascii="Arial" w:hAnsi="Arial" w:cs="Arial"/>
          <w:b/>
          <w:i/>
          <w:iCs/>
        </w:rPr>
        <w:t>Expanded Access to Dental Services for Low-Income Adults</w:t>
      </w:r>
      <w:r>
        <w:rPr>
          <w:rFonts w:ascii="Arial" w:hAnsi="Arial" w:cs="Arial"/>
          <w:b/>
          <w:i/>
          <w:iCs/>
        </w:rPr>
        <w:t xml:space="preserve"> [$1.5 million, 1.6 FTEs, ongoing]</w:t>
      </w:r>
      <w:r>
        <w:rPr>
          <w:rFonts w:ascii="Arial" w:hAnsi="Arial" w:cs="Arial"/>
          <w:b/>
        </w:rPr>
        <w:t>.</w:t>
      </w:r>
      <w:r>
        <w:rPr>
          <w:rFonts w:ascii="Arial" w:hAnsi="Arial" w:cs="Arial"/>
          <w:b/>
          <w:i/>
          <w:iCs/>
        </w:rPr>
        <w:t xml:space="preserve">  </w:t>
      </w:r>
      <w:r>
        <w:rPr>
          <w:rFonts w:ascii="Arial" w:hAnsi="Arial" w:cs="Arial"/>
          <w:bCs/>
        </w:rPr>
        <w:t>The proposed ordinance would appropriate $1.5 million of General Fund to i</w:t>
      </w:r>
      <w:r w:rsidRPr="00C90AF9">
        <w:rPr>
          <w:rFonts w:ascii="Arial" w:hAnsi="Arial" w:cs="Arial"/>
          <w:bCs/>
        </w:rPr>
        <w:t xml:space="preserve">ncrease access to adult dental services for undocumented and other low-income King County residents who are not eligible for dental services through Apple </w:t>
      </w:r>
      <w:r w:rsidRPr="00C90AF9">
        <w:rPr>
          <w:rFonts w:ascii="Arial" w:hAnsi="Arial" w:cs="Arial"/>
          <w:bCs/>
        </w:rPr>
        <w:lastRenderedPageBreak/>
        <w:t xml:space="preserve">Health, Washington State’s Medicaid program. </w:t>
      </w:r>
      <w:r>
        <w:rPr>
          <w:rFonts w:ascii="Arial" w:hAnsi="Arial" w:cs="Arial"/>
          <w:bCs/>
        </w:rPr>
        <w:t xml:space="preserve"> Executive staff indicate that this is an ongoing allocation intended to increase </w:t>
      </w:r>
      <w:r w:rsidRPr="00120CA7">
        <w:rPr>
          <w:rFonts w:ascii="Arial" w:hAnsi="Arial" w:cs="Arial"/>
          <w:bCs/>
        </w:rPr>
        <w:t xml:space="preserve">access to dental services </w:t>
      </w:r>
      <w:r>
        <w:rPr>
          <w:rFonts w:ascii="Arial" w:hAnsi="Arial" w:cs="Arial"/>
          <w:bCs/>
        </w:rPr>
        <w:t>for</w:t>
      </w:r>
      <w:r w:rsidRPr="00120CA7">
        <w:rPr>
          <w:rFonts w:ascii="Arial" w:hAnsi="Arial" w:cs="Arial"/>
          <w:bCs/>
        </w:rPr>
        <w:t xml:space="preserve"> low-income adults who fall between the gap of Medicaid and can't afford dental insurance. </w:t>
      </w:r>
      <w:r>
        <w:rPr>
          <w:rFonts w:ascii="Arial" w:hAnsi="Arial" w:cs="Arial"/>
          <w:bCs/>
        </w:rPr>
        <w:t xml:space="preserve"> </w:t>
      </w:r>
      <w:r w:rsidRPr="00C90AF9">
        <w:rPr>
          <w:rFonts w:ascii="Arial" w:hAnsi="Arial" w:cs="Arial"/>
          <w:bCs/>
        </w:rPr>
        <w:t>Services will be provided through contracted support from existing dental clinics</w:t>
      </w:r>
      <w:r>
        <w:rPr>
          <w:rFonts w:ascii="Arial" w:hAnsi="Arial" w:cs="Arial"/>
          <w:bCs/>
        </w:rPr>
        <w:t>.  Executive staff indicate that this approach will increase the g</w:t>
      </w:r>
      <w:r w:rsidRPr="00120CA7">
        <w:rPr>
          <w:rFonts w:ascii="Arial" w:hAnsi="Arial" w:cs="Arial"/>
          <w:bCs/>
        </w:rPr>
        <w:t xml:space="preserve">eographic distribution </w:t>
      </w:r>
      <w:r>
        <w:rPr>
          <w:rFonts w:ascii="Arial" w:hAnsi="Arial" w:cs="Arial"/>
          <w:bCs/>
        </w:rPr>
        <w:t xml:space="preserve">of this service because the five community dental clinics PHSKC operates are in Belltown, </w:t>
      </w:r>
      <w:r w:rsidRPr="00AF23D9">
        <w:rPr>
          <w:rFonts w:ascii="Arial" w:hAnsi="Arial" w:cs="Arial"/>
          <w:bCs/>
        </w:rPr>
        <w:t>Renton</w:t>
      </w:r>
      <w:r>
        <w:rPr>
          <w:rFonts w:ascii="Arial" w:hAnsi="Arial" w:cs="Arial"/>
          <w:bCs/>
        </w:rPr>
        <w:t>,</w:t>
      </w:r>
      <w:r w:rsidRPr="00AF23D9">
        <w:rPr>
          <w:rFonts w:ascii="Arial" w:hAnsi="Arial" w:cs="Arial"/>
          <w:bCs/>
        </w:rPr>
        <w:t xml:space="preserve"> Lake City, Factoria, and Columbia City</w:t>
      </w:r>
      <w:r>
        <w:rPr>
          <w:rFonts w:ascii="Arial" w:hAnsi="Arial" w:cs="Arial"/>
          <w:bCs/>
        </w:rPr>
        <w:t xml:space="preserve">.  </w:t>
      </w:r>
    </w:p>
    <w:p w14:paraId="04B9CCF7" w14:textId="77777777" w:rsidR="00EC5BF1" w:rsidRPr="00D46C83" w:rsidRDefault="00EC5BF1" w:rsidP="00EC5BF1">
      <w:pPr>
        <w:spacing w:line="264" w:lineRule="auto"/>
        <w:contextualSpacing/>
        <w:jc w:val="both"/>
        <w:rPr>
          <w:rFonts w:ascii="Arial" w:hAnsi="Arial" w:cs="Arial"/>
          <w:bCs/>
        </w:rPr>
      </w:pPr>
    </w:p>
    <w:p w14:paraId="66F8C737" w14:textId="77777777" w:rsidR="00EC5BF1" w:rsidRDefault="00EC5BF1" w:rsidP="00EC5BF1">
      <w:pPr>
        <w:spacing w:line="264" w:lineRule="auto"/>
        <w:contextualSpacing/>
        <w:jc w:val="both"/>
        <w:rPr>
          <w:rFonts w:ascii="Arial" w:hAnsi="Arial" w:cs="Arial"/>
          <w:bCs/>
        </w:rPr>
      </w:pPr>
      <w:r w:rsidRPr="00D2098E">
        <w:rPr>
          <w:rFonts w:ascii="Arial" w:hAnsi="Arial" w:cs="Arial"/>
          <w:b/>
          <w:i/>
          <w:iCs/>
        </w:rPr>
        <w:t>Regional Peacekeepers Collaborative Extension</w:t>
      </w:r>
      <w:r>
        <w:rPr>
          <w:rFonts w:ascii="Arial" w:hAnsi="Arial" w:cs="Arial"/>
          <w:b/>
          <w:i/>
          <w:iCs/>
        </w:rPr>
        <w:t xml:space="preserve"> [$3,100,000]</w:t>
      </w:r>
      <w:r>
        <w:rPr>
          <w:rFonts w:ascii="Arial" w:hAnsi="Arial" w:cs="Arial"/>
          <w:b/>
        </w:rPr>
        <w:t>.</w:t>
      </w:r>
      <w:r>
        <w:rPr>
          <w:rFonts w:ascii="Arial" w:hAnsi="Arial" w:cs="Arial"/>
          <w:b/>
          <w:i/>
          <w:iCs/>
        </w:rPr>
        <w:t xml:space="preserve">  </w:t>
      </w:r>
      <w:r>
        <w:rPr>
          <w:rFonts w:ascii="Arial" w:hAnsi="Arial" w:cs="Arial"/>
          <w:bCs/>
        </w:rPr>
        <w:t>The proposed ordinance would appropriate $3.1 million of one-time funding to support the extension of the Regional Peacekeepers Collaborative.  Of the total, $2 million would be funded by the General Fund and $1.1 million would be funded by underspend from the Zero Youth Detention program.  This would be in addition to the $1.47 million allocated to this project in the 2021 1</w:t>
      </w:r>
      <w:r w:rsidRPr="003912AC">
        <w:rPr>
          <w:rFonts w:ascii="Arial" w:hAnsi="Arial" w:cs="Arial"/>
          <w:bCs/>
          <w:vertAlign w:val="superscript"/>
        </w:rPr>
        <w:t>st</w:t>
      </w:r>
      <w:r>
        <w:rPr>
          <w:rFonts w:ascii="Arial" w:hAnsi="Arial" w:cs="Arial"/>
          <w:bCs/>
        </w:rPr>
        <w:t xml:space="preserve"> Omnibus, making the total appropriation at $4,5 million. The Regional Peacekeepers Collaborative uses</w:t>
      </w:r>
      <w:r w:rsidRPr="00C6691C">
        <w:rPr>
          <w:rFonts w:ascii="Arial" w:hAnsi="Arial" w:cs="Arial"/>
          <w:bCs/>
        </w:rPr>
        <w:t xml:space="preserve"> a public</w:t>
      </w:r>
      <w:r>
        <w:rPr>
          <w:rFonts w:ascii="Arial" w:hAnsi="Arial" w:cs="Arial"/>
          <w:bCs/>
        </w:rPr>
        <w:t xml:space="preserve"> </w:t>
      </w:r>
      <w:r w:rsidRPr="00C6691C">
        <w:rPr>
          <w:rFonts w:ascii="Arial" w:hAnsi="Arial" w:cs="Arial"/>
          <w:bCs/>
        </w:rPr>
        <w:t>health approach</w:t>
      </w:r>
      <w:r>
        <w:rPr>
          <w:rFonts w:ascii="Arial" w:hAnsi="Arial" w:cs="Arial"/>
          <w:bCs/>
        </w:rPr>
        <w:t xml:space="preserve"> to gun violence focused</w:t>
      </w:r>
      <w:r w:rsidRPr="00C6691C">
        <w:rPr>
          <w:rFonts w:ascii="Arial" w:hAnsi="Arial" w:cs="Arial"/>
          <w:bCs/>
        </w:rPr>
        <w:t xml:space="preserve"> on intervention, prevention, and restoration</w:t>
      </w:r>
      <w:r>
        <w:rPr>
          <w:rFonts w:ascii="Arial" w:hAnsi="Arial" w:cs="Arial"/>
          <w:bCs/>
        </w:rPr>
        <w:t xml:space="preserve"> involving staff, community members and credible messengers.  The work is done through outreach and real-time violence interruption, some of which involves hospital-based interventionists at Harborview Medical Center who connect with gun violence victims brought in for treatment, in an effort to the cycle of retribution.  According to Executive staff, this </w:t>
      </w:r>
      <w:r w:rsidRPr="000B23A2">
        <w:rPr>
          <w:rFonts w:ascii="Arial" w:hAnsi="Arial" w:cs="Arial"/>
          <w:bCs/>
        </w:rPr>
        <w:t xml:space="preserve">strategy will engage </w:t>
      </w:r>
      <w:r w:rsidRPr="00C51F90">
        <w:rPr>
          <w:rFonts w:ascii="Arial" w:hAnsi="Arial" w:cs="Arial"/>
          <w:bCs/>
        </w:rPr>
        <w:t xml:space="preserve">young people </w:t>
      </w:r>
      <w:r>
        <w:rPr>
          <w:rFonts w:ascii="Arial" w:hAnsi="Arial" w:cs="Arial"/>
          <w:bCs/>
        </w:rPr>
        <w:t>to provide</w:t>
      </w:r>
      <w:r w:rsidRPr="00C51F90">
        <w:rPr>
          <w:rFonts w:ascii="Arial" w:hAnsi="Arial" w:cs="Arial"/>
          <w:bCs/>
        </w:rPr>
        <w:t xml:space="preserve"> relevant and comprehensive support, mentorship, service linkage and community engagement needed to help them avoid violence.</w:t>
      </w:r>
      <w:r>
        <w:rPr>
          <w:rFonts w:ascii="Arial" w:hAnsi="Arial" w:cs="Arial"/>
          <w:bCs/>
        </w:rPr>
        <w:t xml:space="preserve">  C</w:t>
      </w:r>
      <w:r w:rsidRPr="003E7471">
        <w:rPr>
          <w:rFonts w:ascii="Arial" w:hAnsi="Arial" w:cs="Arial"/>
          <w:bCs/>
        </w:rPr>
        <w:t>ommunity organization</w:t>
      </w:r>
      <w:r>
        <w:rPr>
          <w:rFonts w:ascii="Arial" w:hAnsi="Arial" w:cs="Arial"/>
          <w:bCs/>
        </w:rPr>
        <w:t>s</w:t>
      </w:r>
      <w:r w:rsidRPr="003E7471">
        <w:rPr>
          <w:rFonts w:ascii="Arial" w:hAnsi="Arial" w:cs="Arial"/>
          <w:bCs/>
        </w:rPr>
        <w:t xml:space="preserve"> who </w:t>
      </w:r>
      <w:r>
        <w:rPr>
          <w:rFonts w:ascii="Arial" w:hAnsi="Arial" w:cs="Arial"/>
          <w:bCs/>
        </w:rPr>
        <w:t xml:space="preserve">currently participate in </w:t>
      </w:r>
      <w:r w:rsidRPr="003E7471">
        <w:rPr>
          <w:rFonts w:ascii="Arial" w:hAnsi="Arial" w:cs="Arial"/>
          <w:bCs/>
        </w:rPr>
        <w:t xml:space="preserve">the </w:t>
      </w:r>
      <w:r>
        <w:rPr>
          <w:rFonts w:ascii="Arial" w:hAnsi="Arial" w:cs="Arial"/>
          <w:bCs/>
        </w:rPr>
        <w:t>Collaborative</w:t>
      </w:r>
      <w:r w:rsidRPr="003E7471">
        <w:rPr>
          <w:rFonts w:ascii="Arial" w:hAnsi="Arial" w:cs="Arial"/>
          <w:bCs/>
        </w:rPr>
        <w:t xml:space="preserve"> include Community Passageways (Lead Organization), Alive &amp; Free, Harborview Medical Center, Choose180, Freedom Project, Progress Pushers, and Renegades </w:t>
      </w:r>
      <w:proofErr w:type="gramStart"/>
      <w:r w:rsidRPr="003E7471">
        <w:rPr>
          <w:rFonts w:ascii="Arial" w:hAnsi="Arial" w:cs="Arial"/>
          <w:bCs/>
        </w:rPr>
        <w:t>For</w:t>
      </w:r>
      <w:proofErr w:type="gramEnd"/>
      <w:r w:rsidRPr="003E7471">
        <w:rPr>
          <w:rFonts w:ascii="Arial" w:hAnsi="Arial" w:cs="Arial"/>
          <w:bCs/>
        </w:rPr>
        <w:t xml:space="preserve"> Life Youth Outreach.</w:t>
      </w:r>
    </w:p>
    <w:p w14:paraId="70FF7E9D" w14:textId="77777777" w:rsidR="00EC5BF1" w:rsidRPr="002B60CC" w:rsidRDefault="00EC5BF1" w:rsidP="00EC5BF1">
      <w:pPr>
        <w:spacing w:line="264" w:lineRule="auto"/>
        <w:contextualSpacing/>
        <w:jc w:val="both"/>
        <w:rPr>
          <w:rFonts w:ascii="Arial" w:hAnsi="Arial" w:cs="Arial"/>
          <w:bCs/>
        </w:rPr>
      </w:pPr>
    </w:p>
    <w:p w14:paraId="14A953FC" w14:textId="1C166B19" w:rsidR="00EC5BF1" w:rsidRDefault="00EC5BF1" w:rsidP="00EC5BF1">
      <w:pPr>
        <w:spacing w:line="264" w:lineRule="auto"/>
        <w:contextualSpacing/>
        <w:jc w:val="both"/>
        <w:rPr>
          <w:rFonts w:ascii="Arial" w:hAnsi="Arial" w:cs="Arial"/>
          <w:bCs/>
        </w:rPr>
      </w:pPr>
      <w:r w:rsidRPr="00D2098E">
        <w:rPr>
          <w:rFonts w:ascii="Arial" w:hAnsi="Arial" w:cs="Arial"/>
          <w:b/>
          <w:i/>
          <w:iCs/>
        </w:rPr>
        <w:t>COVID-19 Health Disparities Grant</w:t>
      </w:r>
      <w:r>
        <w:rPr>
          <w:rFonts w:ascii="Arial" w:hAnsi="Arial" w:cs="Arial"/>
          <w:b/>
          <w:i/>
          <w:iCs/>
        </w:rPr>
        <w:t xml:space="preserve"> [$10,705,000]</w:t>
      </w:r>
      <w:r>
        <w:rPr>
          <w:rFonts w:ascii="Arial" w:hAnsi="Arial" w:cs="Arial"/>
          <w:b/>
        </w:rPr>
        <w:t>.</w:t>
      </w:r>
      <w:r>
        <w:rPr>
          <w:rFonts w:ascii="Arial" w:hAnsi="Arial" w:cs="Arial"/>
          <w:b/>
          <w:i/>
          <w:iCs/>
        </w:rPr>
        <w:t xml:space="preserve">  </w:t>
      </w:r>
      <w:r>
        <w:rPr>
          <w:rFonts w:ascii="Arial" w:hAnsi="Arial" w:cs="Arial"/>
          <w:bCs/>
        </w:rPr>
        <w:t>The proposed ordinance would appropriate the balance of a Centers for Disease Control and Prevention grant that was previously supported by appropriations included in the COVID 8 supplemental appropriations ordinance.</w:t>
      </w:r>
      <w:r w:rsidR="00F37688">
        <w:rPr>
          <w:rStyle w:val="FootnoteReference"/>
          <w:rFonts w:ascii="Arial" w:hAnsi="Arial" w:cs="Arial"/>
          <w:bCs/>
        </w:rPr>
        <w:footnoteReference w:id="35"/>
      </w:r>
      <w:r>
        <w:rPr>
          <w:rFonts w:ascii="Arial" w:hAnsi="Arial" w:cs="Arial"/>
          <w:bCs/>
        </w:rPr>
        <w:t xml:space="preserve">  This grant is intended to a</w:t>
      </w:r>
      <w:r w:rsidRPr="009B57F6">
        <w:rPr>
          <w:rFonts w:ascii="Arial" w:hAnsi="Arial" w:cs="Arial"/>
          <w:bCs/>
        </w:rPr>
        <w:t>ddress COVID-19 disparities and health equity by addressing racism and</w:t>
      </w:r>
      <w:r>
        <w:rPr>
          <w:rFonts w:ascii="Arial" w:hAnsi="Arial" w:cs="Arial"/>
          <w:bCs/>
        </w:rPr>
        <w:t xml:space="preserve"> </w:t>
      </w:r>
      <w:r w:rsidRPr="009B57F6">
        <w:rPr>
          <w:rFonts w:ascii="Arial" w:hAnsi="Arial" w:cs="Arial"/>
          <w:bCs/>
        </w:rPr>
        <w:t>improving access to social determinants of health.</w:t>
      </w:r>
      <w:r>
        <w:rPr>
          <w:rFonts w:ascii="Arial" w:hAnsi="Arial" w:cs="Arial"/>
          <w:bCs/>
        </w:rPr>
        <w:t xml:space="preserve">  Executive staff stated that t</w:t>
      </w:r>
      <w:r w:rsidRPr="00297795">
        <w:rPr>
          <w:rFonts w:ascii="Arial" w:hAnsi="Arial" w:cs="Arial"/>
          <w:bCs/>
        </w:rPr>
        <w:t xml:space="preserve">he grant </w:t>
      </w:r>
      <w:r>
        <w:rPr>
          <w:rFonts w:ascii="Arial" w:hAnsi="Arial" w:cs="Arial"/>
          <w:bCs/>
        </w:rPr>
        <w:t>would</w:t>
      </w:r>
      <w:r w:rsidRPr="00297795">
        <w:rPr>
          <w:rFonts w:ascii="Arial" w:hAnsi="Arial" w:cs="Arial"/>
          <w:bCs/>
        </w:rPr>
        <w:t xml:space="preserve"> fund </w:t>
      </w:r>
      <w:r>
        <w:rPr>
          <w:rFonts w:ascii="Arial" w:hAnsi="Arial" w:cs="Arial"/>
          <w:bCs/>
        </w:rPr>
        <w:t>"</w:t>
      </w:r>
      <w:r w:rsidRPr="00297795">
        <w:rPr>
          <w:rFonts w:ascii="Arial" w:hAnsi="Arial" w:cs="Arial"/>
          <w:bCs/>
        </w:rPr>
        <w:t>community-centered activities that enable the department to co-design strategies with affected communities.</w:t>
      </w:r>
      <w:r>
        <w:rPr>
          <w:rFonts w:ascii="Arial" w:hAnsi="Arial" w:cs="Arial"/>
          <w:bCs/>
        </w:rPr>
        <w:t xml:space="preserve">  </w:t>
      </w:r>
      <w:r w:rsidRPr="00297795">
        <w:rPr>
          <w:rFonts w:ascii="Arial" w:hAnsi="Arial" w:cs="Arial"/>
          <w:bCs/>
        </w:rPr>
        <w:t xml:space="preserve">The grant </w:t>
      </w:r>
      <w:r>
        <w:rPr>
          <w:rFonts w:ascii="Arial" w:hAnsi="Arial" w:cs="Arial"/>
          <w:bCs/>
        </w:rPr>
        <w:t>would</w:t>
      </w:r>
      <w:r w:rsidRPr="00297795">
        <w:rPr>
          <w:rFonts w:ascii="Arial" w:hAnsi="Arial" w:cs="Arial"/>
          <w:bCs/>
        </w:rPr>
        <w:t xml:space="preserve"> provide two-year funding for several aspects of the Community Mitigation and Recovery group within Public Health, such as the Speakers Bureau, Language Access team, Community </w:t>
      </w:r>
      <w:proofErr w:type="gramStart"/>
      <w:r w:rsidRPr="00297795">
        <w:rPr>
          <w:rFonts w:ascii="Arial" w:hAnsi="Arial" w:cs="Arial"/>
          <w:bCs/>
        </w:rPr>
        <w:t>Navigators</w:t>
      </w:r>
      <w:proofErr w:type="gramEnd"/>
      <w:r w:rsidRPr="00297795">
        <w:rPr>
          <w:rFonts w:ascii="Arial" w:hAnsi="Arial" w:cs="Arial"/>
          <w:bCs/>
        </w:rPr>
        <w:t xml:space="preserve"> and priority populations task forces, although at a reduced scale compared to at the height of the pandemic. </w:t>
      </w:r>
      <w:r>
        <w:rPr>
          <w:rFonts w:ascii="Arial" w:hAnsi="Arial" w:cs="Arial"/>
          <w:bCs/>
        </w:rPr>
        <w:t xml:space="preserve"> </w:t>
      </w:r>
      <w:r w:rsidRPr="00297795">
        <w:rPr>
          <w:rFonts w:ascii="Arial" w:hAnsi="Arial" w:cs="Arial"/>
          <w:bCs/>
        </w:rPr>
        <w:t xml:space="preserve">The grant </w:t>
      </w:r>
      <w:r>
        <w:rPr>
          <w:rFonts w:ascii="Arial" w:hAnsi="Arial" w:cs="Arial"/>
          <w:bCs/>
        </w:rPr>
        <w:t>would</w:t>
      </w:r>
      <w:r w:rsidRPr="00297795">
        <w:rPr>
          <w:rFonts w:ascii="Arial" w:hAnsi="Arial" w:cs="Arial"/>
          <w:bCs/>
        </w:rPr>
        <w:t xml:space="preserve"> </w:t>
      </w:r>
      <w:r>
        <w:rPr>
          <w:rFonts w:ascii="Arial" w:hAnsi="Arial" w:cs="Arial"/>
          <w:bCs/>
        </w:rPr>
        <w:t xml:space="preserve">also </w:t>
      </w:r>
      <w:r w:rsidRPr="00297795">
        <w:rPr>
          <w:rFonts w:ascii="Arial" w:hAnsi="Arial" w:cs="Arial"/>
          <w:bCs/>
        </w:rPr>
        <w:t xml:space="preserve">fund a pilot project with adult family homes, childcare centers, and faith-based organizations to distribute and use at-home COVID-19 tests. </w:t>
      </w:r>
      <w:r>
        <w:rPr>
          <w:rFonts w:ascii="Arial" w:hAnsi="Arial" w:cs="Arial"/>
          <w:bCs/>
        </w:rPr>
        <w:t xml:space="preserve"> </w:t>
      </w:r>
      <w:r w:rsidRPr="00297795">
        <w:rPr>
          <w:rFonts w:ascii="Arial" w:hAnsi="Arial" w:cs="Arial"/>
          <w:bCs/>
        </w:rPr>
        <w:t>It w</w:t>
      </w:r>
      <w:r>
        <w:rPr>
          <w:rFonts w:ascii="Arial" w:hAnsi="Arial" w:cs="Arial"/>
          <w:bCs/>
        </w:rPr>
        <w:t>ould</w:t>
      </w:r>
      <w:r w:rsidRPr="00297795">
        <w:rPr>
          <w:rFonts w:ascii="Arial" w:hAnsi="Arial" w:cs="Arial"/>
          <w:bCs/>
        </w:rPr>
        <w:t xml:space="preserve"> </w:t>
      </w:r>
      <w:r>
        <w:rPr>
          <w:rFonts w:ascii="Arial" w:hAnsi="Arial" w:cs="Arial"/>
          <w:bCs/>
        </w:rPr>
        <w:t xml:space="preserve">also </w:t>
      </w:r>
      <w:r w:rsidRPr="00297795">
        <w:rPr>
          <w:rFonts w:ascii="Arial" w:hAnsi="Arial" w:cs="Arial"/>
          <w:bCs/>
        </w:rPr>
        <w:t>invest in Public Health infrastructure, including moving several public health databases from separate servers to an integrated cloud platform.</w:t>
      </w:r>
      <w:r>
        <w:rPr>
          <w:rFonts w:ascii="Arial" w:hAnsi="Arial" w:cs="Arial"/>
          <w:bCs/>
        </w:rPr>
        <w:t>"</w:t>
      </w:r>
    </w:p>
    <w:p w14:paraId="3F07A345" w14:textId="77777777" w:rsidR="00EC5BF1" w:rsidRPr="0017494A" w:rsidRDefault="00EC5BF1" w:rsidP="00EC5BF1">
      <w:pPr>
        <w:spacing w:line="264" w:lineRule="auto"/>
        <w:contextualSpacing/>
        <w:jc w:val="both"/>
        <w:rPr>
          <w:rFonts w:ascii="Arial" w:hAnsi="Arial" w:cs="Arial"/>
          <w:bCs/>
        </w:rPr>
      </w:pPr>
    </w:p>
    <w:p w14:paraId="230F54CD" w14:textId="77777777" w:rsidR="00EC5BF1" w:rsidRDefault="00EC5BF1" w:rsidP="00EC5BF1">
      <w:pPr>
        <w:spacing w:line="264" w:lineRule="auto"/>
        <w:contextualSpacing/>
        <w:jc w:val="both"/>
        <w:rPr>
          <w:rFonts w:ascii="Arial" w:hAnsi="Arial" w:cs="Arial"/>
          <w:bCs/>
        </w:rPr>
      </w:pPr>
      <w:r w:rsidRPr="00D2098E">
        <w:rPr>
          <w:rFonts w:ascii="Arial" w:hAnsi="Arial" w:cs="Arial"/>
          <w:b/>
          <w:i/>
          <w:iCs/>
        </w:rPr>
        <w:t>Active Drug User Services and Harm Reduction Programs</w:t>
      </w:r>
      <w:r>
        <w:rPr>
          <w:rFonts w:ascii="Arial" w:hAnsi="Arial" w:cs="Arial"/>
          <w:b/>
          <w:i/>
          <w:iCs/>
        </w:rPr>
        <w:t xml:space="preserve"> [$1,279,000]</w:t>
      </w:r>
      <w:r w:rsidRPr="003912AC">
        <w:rPr>
          <w:rFonts w:ascii="Arial" w:hAnsi="Arial" w:cs="Arial"/>
          <w:b/>
        </w:rPr>
        <w:t>.</w:t>
      </w:r>
      <w:r>
        <w:rPr>
          <w:rFonts w:ascii="Arial" w:hAnsi="Arial" w:cs="Arial"/>
          <w:b/>
          <w:i/>
          <w:iCs/>
        </w:rPr>
        <w:t xml:space="preserve">  </w:t>
      </w:r>
      <w:r>
        <w:rPr>
          <w:rFonts w:ascii="Arial" w:hAnsi="Arial" w:cs="Arial"/>
          <w:bCs/>
        </w:rPr>
        <w:t>The proposed ordinance would appropriate $1.28 million to support 1.5 TLTs to i</w:t>
      </w:r>
      <w:r w:rsidRPr="00576B7E">
        <w:rPr>
          <w:rFonts w:ascii="Arial" w:hAnsi="Arial" w:cs="Arial"/>
          <w:bCs/>
        </w:rPr>
        <w:t>mplement recommendations</w:t>
      </w:r>
      <w:r>
        <w:rPr>
          <w:rFonts w:ascii="Arial" w:hAnsi="Arial" w:cs="Arial"/>
          <w:bCs/>
        </w:rPr>
        <w:t xml:space="preserve"> </w:t>
      </w:r>
      <w:r w:rsidRPr="00B1410B">
        <w:rPr>
          <w:rFonts w:ascii="Arial" w:hAnsi="Arial" w:cs="Arial"/>
          <w:bCs/>
        </w:rPr>
        <w:t xml:space="preserve">tied to the Harm Reduction and Drug User Health Services </w:t>
      </w:r>
      <w:r>
        <w:rPr>
          <w:rFonts w:ascii="Arial" w:hAnsi="Arial" w:cs="Arial"/>
          <w:bCs/>
        </w:rPr>
        <w:t>recommendation included in t</w:t>
      </w:r>
      <w:r w:rsidRPr="00576B7E">
        <w:rPr>
          <w:rFonts w:ascii="Arial" w:hAnsi="Arial" w:cs="Arial"/>
          <w:bCs/>
        </w:rPr>
        <w:t>he 2016 Heroin and Prescription Opiate Addiction Task Force</w:t>
      </w:r>
      <w:r>
        <w:rPr>
          <w:rFonts w:ascii="Arial" w:hAnsi="Arial" w:cs="Arial"/>
          <w:bCs/>
        </w:rPr>
        <w:t xml:space="preserve"> report.</w:t>
      </w:r>
      <w:r>
        <w:rPr>
          <w:rStyle w:val="FootnoteReference"/>
          <w:rFonts w:ascii="Arial" w:hAnsi="Arial" w:cs="Arial"/>
          <w:bCs/>
        </w:rPr>
        <w:footnoteReference w:id="36"/>
      </w:r>
      <w:r>
        <w:rPr>
          <w:rFonts w:ascii="Arial" w:hAnsi="Arial" w:cs="Arial"/>
          <w:bCs/>
        </w:rPr>
        <w:t xml:space="preserve">  In the 2016 report, this recommendation includes expansion of access to naloxone and standing up Community Health Engagement Locations (CHELs) for individuals with substance use disorders where supervised consumption would occur.  In response to Council Staff questions, Executive Staff stated that, "</w:t>
      </w:r>
      <w:r w:rsidRPr="00E170BA">
        <w:rPr>
          <w:rFonts w:ascii="Arial" w:hAnsi="Arial" w:cs="Arial"/>
          <w:bCs/>
        </w:rPr>
        <w:t xml:space="preserve">It is undetermined at this time if this is related to standing up CHELs. </w:t>
      </w:r>
      <w:r>
        <w:rPr>
          <w:rFonts w:ascii="Arial" w:hAnsi="Arial" w:cs="Arial"/>
          <w:bCs/>
        </w:rPr>
        <w:t xml:space="preserve"> </w:t>
      </w:r>
      <w:r w:rsidRPr="00E170BA">
        <w:rPr>
          <w:rFonts w:ascii="Arial" w:hAnsi="Arial" w:cs="Arial"/>
          <w:bCs/>
        </w:rPr>
        <w:t xml:space="preserve">There is an array of eligible harm reduction services that may be funded through competitive procurement, safer use practices </w:t>
      </w:r>
      <w:r>
        <w:rPr>
          <w:rFonts w:ascii="Arial" w:hAnsi="Arial" w:cs="Arial"/>
          <w:bCs/>
        </w:rPr>
        <w:t>are</w:t>
      </w:r>
      <w:r w:rsidRPr="00E170BA">
        <w:rPr>
          <w:rFonts w:ascii="Arial" w:hAnsi="Arial" w:cs="Arial"/>
          <w:bCs/>
        </w:rPr>
        <w:t xml:space="preserve"> listed as an eligible service per the City’s enabling budget language</w:t>
      </w:r>
      <w:r>
        <w:rPr>
          <w:rFonts w:ascii="Arial" w:hAnsi="Arial" w:cs="Arial"/>
          <w:bCs/>
        </w:rPr>
        <w:t xml:space="preserve">."  This allocation is fully revenue backed </w:t>
      </w:r>
      <w:r w:rsidRPr="00576B7E">
        <w:rPr>
          <w:rFonts w:ascii="Arial" w:hAnsi="Arial" w:cs="Arial"/>
          <w:bCs/>
        </w:rPr>
        <w:t>from the City of Seattle</w:t>
      </w:r>
      <w:r>
        <w:rPr>
          <w:rFonts w:ascii="Arial" w:hAnsi="Arial" w:cs="Arial"/>
          <w:bCs/>
        </w:rPr>
        <w:t xml:space="preserve"> and programs supported by this allocation would be implemented within the city limits. </w:t>
      </w:r>
    </w:p>
    <w:p w14:paraId="1E3501EF" w14:textId="77777777" w:rsidR="00EC5BF1" w:rsidRPr="00F7484B" w:rsidRDefault="00EC5BF1" w:rsidP="00EC5BF1">
      <w:pPr>
        <w:spacing w:line="264" w:lineRule="auto"/>
        <w:contextualSpacing/>
        <w:jc w:val="both"/>
        <w:rPr>
          <w:rFonts w:ascii="Arial" w:hAnsi="Arial" w:cs="Arial"/>
          <w:bCs/>
        </w:rPr>
      </w:pPr>
    </w:p>
    <w:p w14:paraId="7297EFE9" w14:textId="77777777" w:rsidR="00EC5BF1" w:rsidRDefault="00EC5BF1" w:rsidP="00EC5BF1">
      <w:pPr>
        <w:spacing w:line="264" w:lineRule="auto"/>
        <w:contextualSpacing/>
        <w:jc w:val="both"/>
        <w:rPr>
          <w:rFonts w:ascii="Arial" w:hAnsi="Arial" w:cs="Arial"/>
          <w:bCs/>
        </w:rPr>
      </w:pPr>
      <w:r w:rsidRPr="00D2098E">
        <w:rPr>
          <w:rFonts w:ascii="Arial" w:hAnsi="Arial" w:cs="Arial"/>
          <w:b/>
          <w:i/>
          <w:iCs/>
        </w:rPr>
        <w:t>Health Literacy Program</w:t>
      </w:r>
      <w:r>
        <w:rPr>
          <w:rFonts w:ascii="Arial" w:hAnsi="Arial" w:cs="Arial"/>
          <w:b/>
          <w:i/>
          <w:iCs/>
        </w:rPr>
        <w:t xml:space="preserve"> [$</w:t>
      </w:r>
      <w:r w:rsidRPr="00E25B6B">
        <w:rPr>
          <w:rFonts w:ascii="Arial" w:hAnsi="Arial" w:cs="Arial"/>
          <w:b/>
          <w:i/>
          <w:iCs/>
        </w:rPr>
        <w:t>3,61</w:t>
      </w:r>
      <w:r>
        <w:rPr>
          <w:rFonts w:ascii="Arial" w:hAnsi="Arial" w:cs="Arial"/>
          <w:b/>
          <w:i/>
          <w:iCs/>
        </w:rPr>
        <w:t>1</w:t>
      </w:r>
      <w:r w:rsidRPr="00E25B6B">
        <w:rPr>
          <w:rFonts w:ascii="Arial" w:hAnsi="Arial" w:cs="Arial"/>
          <w:b/>
          <w:i/>
          <w:iCs/>
        </w:rPr>
        <w:t>,</w:t>
      </w:r>
      <w:r>
        <w:rPr>
          <w:rFonts w:ascii="Arial" w:hAnsi="Arial" w:cs="Arial"/>
          <w:b/>
          <w:i/>
          <w:iCs/>
        </w:rPr>
        <w:t>000]</w:t>
      </w:r>
      <w:r>
        <w:rPr>
          <w:rFonts w:ascii="Arial" w:hAnsi="Arial" w:cs="Arial"/>
          <w:b/>
        </w:rPr>
        <w:t>.</w:t>
      </w:r>
      <w:r>
        <w:rPr>
          <w:rFonts w:ascii="Arial" w:hAnsi="Arial" w:cs="Arial"/>
          <w:b/>
          <w:i/>
          <w:iCs/>
        </w:rPr>
        <w:t xml:space="preserve">  </w:t>
      </w:r>
      <w:r>
        <w:rPr>
          <w:rFonts w:ascii="Arial" w:hAnsi="Arial" w:cs="Arial"/>
          <w:bCs/>
        </w:rPr>
        <w:t xml:space="preserve">The proposed ordinance would appropriate $3.6 million of revenue backed funding from a </w:t>
      </w:r>
      <w:r w:rsidRPr="00554C20">
        <w:rPr>
          <w:rFonts w:ascii="Arial" w:hAnsi="Arial" w:cs="Arial"/>
          <w:bCs/>
        </w:rPr>
        <w:t>grant from the U.S. Department of Health and Human Services</w:t>
      </w:r>
      <w:r>
        <w:rPr>
          <w:rFonts w:ascii="Arial" w:hAnsi="Arial" w:cs="Arial"/>
          <w:bCs/>
        </w:rPr>
        <w:t xml:space="preserve"> focused on COVID health literacy.  This grant funding is intended to increase </w:t>
      </w:r>
      <w:r w:rsidRPr="00554C20">
        <w:rPr>
          <w:rFonts w:ascii="Arial" w:hAnsi="Arial" w:cs="Arial"/>
          <w:bCs/>
        </w:rPr>
        <w:t>the availability, acceptability, and use of COVID-19 public health information and services by racial and ethnic minority populations through partnerships with community organizations</w:t>
      </w:r>
      <w:r>
        <w:rPr>
          <w:rFonts w:ascii="Arial" w:hAnsi="Arial" w:cs="Arial"/>
          <w:bCs/>
        </w:rPr>
        <w:t>.  Executive Staff stated that t</w:t>
      </w:r>
      <w:r w:rsidRPr="006235EE">
        <w:rPr>
          <w:rFonts w:ascii="Arial" w:hAnsi="Arial" w:cs="Arial"/>
          <w:bCs/>
        </w:rPr>
        <w:t>he King County COVID-19 Health Literacy project believes that by improving organizational health literacy,</w:t>
      </w:r>
      <w:r>
        <w:rPr>
          <w:rFonts w:ascii="Arial" w:hAnsi="Arial" w:cs="Arial"/>
          <w:bCs/>
        </w:rPr>
        <w:t xml:space="preserve"> overall </w:t>
      </w:r>
      <w:r w:rsidRPr="006235EE">
        <w:rPr>
          <w:rFonts w:ascii="Arial" w:hAnsi="Arial" w:cs="Arial"/>
          <w:bCs/>
        </w:rPr>
        <w:t>personal health literacy will improve</w:t>
      </w:r>
      <w:r>
        <w:rPr>
          <w:rFonts w:ascii="Arial" w:hAnsi="Arial" w:cs="Arial"/>
          <w:bCs/>
        </w:rPr>
        <w:t xml:space="preserve"> and,</w:t>
      </w:r>
      <w:r w:rsidRPr="00024B99">
        <w:rPr>
          <w:rFonts w:ascii="Arial" w:hAnsi="Arial" w:cs="Arial"/>
          <w:bCs/>
        </w:rPr>
        <w:t xml:space="preserve"> the lessons learned</w:t>
      </w:r>
      <w:r>
        <w:rPr>
          <w:rFonts w:ascii="Arial" w:hAnsi="Arial" w:cs="Arial"/>
          <w:bCs/>
        </w:rPr>
        <w:t xml:space="preserve"> from this project</w:t>
      </w:r>
      <w:r w:rsidRPr="00024B99">
        <w:rPr>
          <w:rFonts w:ascii="Arial" w:hAnsi="Arial" w:cs="Arial"/>
          <w:bCs/>
        </w:rPr>
        <w:t xml:space="preserve"> will benefit other health related issues.  </w:t>
      </w:r>
    </w:p>
    <w:p w14:paraId="49DB9F6D" w14:textId="77777777" w:rsidR="00EC5BF1" w:rsidRPr="00D2098E" w:rsidRDefault="00EC5BF1" w:rsidP="00EC5BF1">
      <w:pPr>
        <w:tabs>
          <w:tab w:val="left" w:pos="8004"/>
        </w:tabs>
        <w:spacing w:line="264" w:lineRule="auto"/>
        <w:contextualSpacing/>
        <w:jc w:val="both"/>
        <w:rPr>
          <w:rFonts w:ascii="Arial" w:hAnsi="Arial" w:cs="Arial"/>
          <w:b/>
          <w:i/>
          <w:iCs/>
        </w:rPr>
      </w:pPr>
    </w:p>
    <w:p w14:paraId="097FF417" w14:textId="77777777" w:rsidR="00EC5BF1" w:rsidRPr="00D2098E" w:rsidRDefault="00EC5BF1" w:rsidP="00EC5BF1">
      <w:pPr>
        <w:spacing w:line="264" w:lineRule="auto"/>
        <w:contextualSpacing/>
        <w:jc w:val="both"/>
        <w:rPr>
          <w:rFonts w:ascii="Arial" w:hAnsi="Arial" w:cs="Arial"/>
          <w:b/>
          <w:i/>
          <w:iCs/>
        </w:rPr>
      </w:pPr>
      <w:r w:rsidRPr="00D2098E">
        <w:rPr>
          <w:rFonts w:ascii="Arial" w:hAnsi="Arial" w:cs="Arial"/>
          <w:b/>
          <w:i/>
          <w:iCs/>
        </w:rPr>
        <w:t>Expanded Foundational Public Health Services</w:t>
      </w:r>
      <w:r>
        <w:rPr>
          <w:rFonts w:ascii="Arial" w:hAnsi="Arial" w:cs="Arial"/>
          <w:b/>
          <w:i/>
          <w:iCs/>
        </w:rPr>
        <w:t xml:space="preserve"> (FPHS) [$</w:t>
      </w:r>
      <w:r w:rsidRPr="004B5474">
        <w:rPr>
          <w:rFonts w:ascii="Arial" w:hAnsi="Arial" w:cs="Arial"/>
          <w:b/>
          <w:i/>
          <w:iCs/>
        </w:rPr>
        <w:t>4,00</w:t>
      </w:r>
      <w:r>
        <w:rPr>
          <w:rFonts w:ascii="Arial" w:hAnsi="Arial" w:cs="Arial"/>
          <w:b/>
          <w:i/>
          <w:iCs/>
        </w:rPr>
        <w:t>8</w:t>
      </w:r>
      <w:r w:rsidRPr="004B5474">
        <w:rPr>
          <w:rFonts w:ascii="Arial" w:hAnsi="Arial" w:cs="Arial"/>
          <w:b/>
          <w:i/>
          <w:iCs/>
        </w:rPr>
        <w:t>,</w:t>
      </w:r>
      <w:r>
        <w:rPr>
          <w:rFonts w:ascii="Arial" w:hAnsi="Arial" w:cs="Arial"/>
          <w:b/>
          <w:i/>
          <w:iCs/>
        </w:rPr>
        <w:t>000, 17.0 FTEs, ongoing]</w:t>
      </w:r>
      <w:r>
        <w:rPr>
          <w:rFonts w:ascii="Arial" w:hAnsi="Arial" w:cs="Arial"/>
          <w:b/>
        </w:rPr>
        <w:t>.</w:t>
      </w:r>
      <w:r w:rsidRPr="004B5474">
        <w:rPr>
          <w:rFonts w:ascii="Arial" w:hAnsi="Arial" w:cs="Arial"/>
          <w:b/>
          <w:i/>
          <w:iCs/>
        </w:rPr>
        <w:t xml:space="preserve"> </w:t>
      </w:r>
      <w:r>
        <w:rPr>
          <w:rFonts w:ascii="Arial" w:hAnsi="Arial" w:cs="Arial"/>
          <w:b/>
          <w:i/>
          <w:iCs/>
        </w:rPr>
        <w:t xml:space="preserve"> </w:t>
      </w:r>
      <w:r w:rsidRPr="00953EE2">
        <w:rPr>
          <w:rFonts w:ascii="Arial" w:hAnsi="Arial" w:cs="Arial"/>
          <w:bCs/>
        </w:rPr>
        <w:t>The</w:t>
      </w:r>
      <w:r>
        <w:rPr>
          <w:rFonts w:ascii="Arial" w:hAnsi="Arial" w:cs="Arial"/>
          <w:bCs/>
        </w:rPr>
        <w:t xml:space="preserve"> proposed ordinance would appropriate $4 million and 17 FTEs, revenue backed by an increase of state funding to the Public Health Fund for FPHS to i</w:t>
      </w:r>
      <w:r w:rsidRPr="0070700E">
        <w:rPr>
          <w:rFonts w:ascii="Arial" w:hAnsi="Arial" w:cs="Arial"/>
          <w:bCs/>
        </w:rPr>
        <w:t>ncrease capacity for communicable disease, assessment, and cross-cutting work</w:t>
      </w:r>
      <w:r>
        <w:rPr>
          <w:rStyle w:val="FootnoteReference"/>
          <w:rFonts w:ascii="Arial" w:hAnsi="Arial" w:cs="Arial"/>
          <w:bCs/>
        </w:rPr>
        <w:footnoteReference w:id="37"/>
      </w:r>
      <w:r>
        <w:rPr>
          <w:rFonts w:ascii="Arial" w:hAnsi="Arial" w:cs="Arial"/>
          <w:bCs/>
        </w:rPr>
        <w:t>.  Executive staff stated that while the tasks associated with this funding are still yet to be determined, "t</w:t>
      </w:r>
      <w:r w:rsidRPr="00B61D19">
        <w:rPr>
          <w:rFonts w:ascii="Arial" w:hAnsi="Arial" w:cs="Arial"/>
          <w:bCs/>
        </w:rPr>
        <w:t>his funding can support positions in Communicable Disease for communicable disease case and outbreak investigation, contact tracing, and response activities; surveillance, analysis, and reporting of communicable disease infection data; and reporting on health disparities and the disproportionate impacts of infectious diseases on BIPOC and other historically marginalized populations.</w:t>
      </w:r>
      <w:r>
        <w:rPr>
          <w:rFonts w:ascii="Arial" w:hAnsi="Arial" w:cs="Arial"/>
          <w:bCs/>
        </w:rPr>
        <w:t xml:space="preserve">  </w:t>
      </w:r>
      <w:r w:rsidRPr="004832DF">
        <w:rPr>
          <w:rFonts w:ascii="Arial" w:hAnsi="Arial" w:cs="Arial"/>
          <w:bCs/>
        </w:rPr>
        <w:t xml:space="preserve">In </w:t>
      </w:r>
      <w:r>
        <w:rPr>
          <w:rFonts w:ascii="Arial" w:hAnsi="Arial" w:cs="Arial"/>
          <w:bCs/>
        </w:rPr>
        <w:t>c</w:t>
      </w:r>
      <w:r w:rsidRPr="004832DF">
        <w:rPr>
          <w:rFonts w:ascii="Arial" w:hAnsi="Arial" w:cs="Arial"/>
          <w:bCs/>
        </w:rPr>
        <w:t>ross-</w:t>
      </w:r>
      <w:r>
        <w:rPr>
          <w:rFonts w:ascii="Arial" w:hAnsi="Arial" w:cs="Arial"/>
          <w:bCs/>
        </w:rPr>
        <w:t>c</w:t>
      </w:r>
      <w:r w:rsidRPr="004832DF">
        <w:rPr>
          <w:rFonts w:ascii="Arial" w:hAnsi="Arial" w:cs="Arial"/>
          <w:bCs/>
        </w:rPr>
        <w:t>utting, examples for this funding include supporting positions for preparedness training and planning, education across our diverse communities, and data and assessment</w:t>
      </w:r>
      <w:r>
        <w:rPr>
          <w:rFonts w:ascii="Arial" w:hAnsi="Arial" w:cs="Arial"/>
          <w:bCs/>
        </w:rPr>
        <w:t xml:space="preserve">." </w:t>
      </w:r>
    </w:p>
    <w:p w14:paraId="0CC3C185" w14:textId="77777777" w:rsidR="00EC5BF1" w:rsidRDefault="00EC5BF1" w:rsidP="00EC5BF1">
      <w:pPr>
        <w:spacing w:line="264" w:lineRule="auto"/>
        <w:contextualSpacing/>
        <w:jc w:val="both"/>
        <w:rPr>
          <w:rFonts w:ascii="Arial" w:hAnsi="Arial" w:cs="Arial"/>
          <w:b/>
          <w:i/>
          <w:iCs/>
        </w:rPr>
      </w:pPr>
    </w:p>
    <w:p w14:paraId="4CE3B068" w14:textId="77777777" w:rsidR="00EC5BF1" w:rsidRPr="006A4EC1" w:rsidRDefault="00EC5BF1" w:rsidP="00EC5BF1">
      <w:pPr>
        <w:spacing w:line="264" w:lineRule="auto"/>
        <w:contextualSpacing/>
        <w:jc w:val="both"/>
        <w:rPr>
          <w:rFonts w:ascii="Arial" w:hAnsi="Arial" w:cs="Arial"/>
          <w:bCs/>
          <w:iCs/>
        </w:rPr>
      </w:pPr>
      <w:r w:rsidRPr="00D2098E">
        <w:rPr>
          <w:rFonts w:ascii="Arial" w:hAnsi="Arial" w:cs="Arial"/>
          <w:b/>
          <w:i/>
          <w:iCs/>
        </w:rPr>
        <w:lastRenderedPageBreak/>
        <w:t>Downtown Health Center Construction and Capital Improvements</w:t>
      </w:r>
      <w:r>
        <w:rPr>
          <w:rFonts w:ascii="Arial" w:hAnsi="Arial" w:cs="Arial"/>
          <w:b/>
          <w:i/>
          <w:iCs/>
        </w:rPr>
        <w:t xml:space="preserve"> [$</w:t>
      </w:r>
      <w:r w:rsidRPr="006E5134">
        <w:rPr>
          <w:rFonts w:ascii="Arial" w:hAnsi="Arial" w:cs="Arial"/>
          <w:b/>
          <w:i/>
          <w:iCs/>
        </w:rPr>
        <w:t>73</w:t>
      </w:r>
      <w:r>
        <w:rPr>
          <w:rFonts w:ascii="Arial" w:hAnsi="Arial" w:cs="Arial"/>
          <w:b/>
          <w:i/>
          <w:iCs/>
        </w:rPr>
        <w:t>9,000]</w:t>
      </w:r>
      <w:r>
        <w:rPr>
          <w:rFonts w:ascii="Arial" w:hAnsi="Arial" w:cs="Arial"/>
          <w:b/>
        </w:rPr>
        <w:t>.</w:t>
      </w:r>
      <w:r>
        <w:rPr>
          <w:rFonts w:ascii="Arial" w:hAnsi="Arial" w:cs="Arial"/>
          <w:b/>
          <w:i/>
          <w:iCs/>
        </w:rPr>
        <w:t xml:space="preserve">  </w:t>
      </w:r>
      <w:r w:rsidRPr="007F2C72">
        <w:rPr>
          <w:rFonts w:ascii="Arial" w:hAnsi="Arial" w:cs="Arial"/>
          <w:iCs/>
        </w:rPr>
        <w:t xml:space="preserve">This </w:t>
      </w:r>
      <w:r>
        <w:rPr>
          <w:rFonts w:ascii="Arial" w:hAnsi="Arial" w:cs="Arial"/>
          <w:bCs/>
          <w:iCs/>
        </w:rPr>
        <w:t>proposed appropriation would allocate</w:t>
      </w:r>
      <w:r w:rsidRPr="006E5134">
        <w:rPr>
          <w:rFonts w:ascii="Arial" w:hAnsi="Arial" w:cs="Arial"/>
          <w:bCs/>
          <w:iCs/>
        </w:rPr>
        <w:t xml:space="preserve"> </w:t>
      </w:r>
      <w:r>
        <w:rPr>
          <w:rFonts w:ascii="Arial" w:hAnsi="Arial" w:cs="Arial"/>
          <w:bCs/>
          <w:iCs/>
        </w:rPr>
        <w:t xml:space="preserve">$739,000 of a </w:t>
      </w:r>
      <w:r w:rsidRPr="006E5134">
        <w:rPr>
          <w:rFonts w:ascii="Arial" w:hAnsi="Arial" w:cs="Arial"/>
          <w:bCs/>
          <w:iCs/>
        </w:rPr>
        <w:t xml:space="preserve">Health Center Construction and Capital Improvement grant from the Health Resources and Services Administration </w:t>
      </w:r>
      <w:r>
        <w:rPr>
          <w:rFonts w:ascii="Arial" w:hAnsi="Arial" w:cs="Arial"/>
          <w:bCs/>
          <w:iCs/>
        </w:rPr>
        <w:t>t</w:t>
      </w:r>
      <w:r w:rsidRPr="006E5134">
        <w:rPr>
          <w:rFonts w:ascii="Arial" w:hAnsi="Arial" w:cs="Arial"/>
          <w:bCs/>
          <w:iCs/>
        </w:rPr>
        <w:t xml:space="preserve">o </w:t>
      </w:r>
      <w:r>
        <w:rPr>
          <w:rFonts w:ascii="Arial" w:hAnsi="Arial" w:cs="Arial"/>
          <w:bCs/>
          <w:iCs/>
        </w:rPr>
        <w:t>make</w:t>
      </w:r>
      <w:r w:rsidRPr="006E5134">
        <w:rPr>
          <w:rFonts w:ascii="Arial" w:hAnsi="Arial" w:cs="Arial"/>
          <w:bCs/>
          <w:iCs/>
        </w:rPr>
        <w:t xml:space="preserve"> renovations </w:t>
      </w:r>
      <w:r>
        <w:rPr>
          <w:rFonts w:ascii="Arial" w:hAnsi="Arial" w:cs="Arial"/>
          <w:bCs/>
          <w:iCs/>
        </w:rPr>
        <w:t>to</w:t>
      </w:r>
      <w:r w:rsidRPr="006E5134">
        <w:rPr>
          <w:rFonts w:ascii="Arial" w:hAnsi="Arial" w:cs="Arial"/>
          <w:bCs/>
          <w:iCs/>
        </w:rPr>
        <w:t xml:space="preserve"> the Downtown Public Health Center. </w:t>
      </w:r>
      <w:r>
        <w:rPr>
          <w:rFonts w:ascii="Arial" w:hAnsi="Arial" w:cs="Arial"/>
          <w:bCs/>
          <w:iCs/>
        </w:rPr>
        <w:t xml:space="preserve">This allocation is described under the </w:t>
      </w:r>
      <w:r w:rsidRPr="006E5134">
        <w:rPr>
          <w:rFonts w:ascii="Arial" w:hAnsi="Arial" w:cs="Arial"/>
          <w:bCs/>
          <w:iCs/>
        </w:rPr>
        <w:t>Building Repair &amp; Replacement Capital Fund</w:t>
      </w:r>
      <w:r>
        <w:rPr>
          <w:rFonts w:ascii="Arial" w:hAnsi="Arial" w:cs="Arial"/>
          <w:bCs/>
          <w:iCs/>
        </w:rPr>
        <w:t xml:space="preserve"> section in this staff report. </w:t>
      </w:r>
    </w:p>
    <w:p w14:paraId="55F35C3F" w14:textId="77777777" w:rsidR="00EC5BF1" w:rsidRPr="006D3FF8" w:rsidRDefault="00EC5BF1" w:rsidP="00EC5BF1">
      <w:pPr>
        <w:spacing w:line="264" w:lineRule="auto"/>
        <w:contextualSpacing/>
        <w:jc w:val="both"/>
        <w:rPr>
          <w:rFonts w:ascii="Arial" w:hAnsi="Arial" w:cs="Arial"/>
          <w:iCs/>
        </w:rPr>
      </w:pPr>
    </w:p>
    <w:p w14:paraId="7426CE40" w14:textId="77777777" w:rsidR="00EC5BF1" w:rsidRPr="0074458C" w:rsidRDefault="00EC5BF1" w:rsidP="00EC5BF1">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0FC366A3" w14:textId="77777777" w:rsidR="00EC5BF1" w:rsidRPr="006A4EC1" w:rsidRDefault="00EC5BF1" w:rsidP="00EC5BF1">
      <w:pPr>
        <w:spacing w:line="264" w:lineRule="auto"/>
        <w:contextualSpacing/>
        <w:jc w:val="both"/>
        <w:rPr>
          <w:rFonts w:ascii="Arial" w:hAnsi="Arial" w:cs="Arial"/>
          <w:bCs/>
          <w:iCs/>
        </w:rPr>
      </w:pPr>
      <w:r w:rsidRPr="0074458C">
        <w:rPr>
          <w:rFonts w:ascii="Arial" w:hAnsi="Arial" w:cs="Arial"/>
          <w:b/>
          <w:bCs/>
          <w:i/>
        </w:rPr>
        <w:t>Best Starts for Kids (BSK) Levy Renewal</w:t>
      </w:r>
      <w:r>
        <w:rPr>
          <w:rFonts w:ascii="Arial" w:hAnsi="Arial" w:cs="Arial"/>
          <w:b/>
          <w:bCs/>
          <w:i/>
        </w:rPr>
        <w:t xml:space="preserve"> </w:t>
      </w:r>
      <w:r w:rsidRPr="002141AF">
        <w:rPr>
          <w:rFonts w:ascii="Arial" w:hAnsi="Arial" w:cs="Arial"/>
          <w:b/>
          <w:bCs/>
          <w:i/>
        </w:rPr>
        <w:t>[</w:t>
      </w:r>
      <w:r>
        <w:rPr>
          <w:rFonts w:ascii="Arial" w:hAnsi="Arial" w:cs="Arial"/>
          <w:b/>
          <w:bCs/>
          <w:i/>
        </w:rPr>
        <w:t>$</w:t>
      </w:r>
      <w:r w:rsidRPr="002141AF">
        <w:rPr>
          <w:rFonts w:ascii="Arial" w:hAnsi="Arial" w:cs="Arial"/>
          <w:b/>
          <w:bCs/>
          <w:i/>
        </w:rPr>
        <w:t>1,27</w:t>
      </w:r>
      <w:r>
        <w:rPr>
          <w:rFonts w:ascii="Arial" w:hAnsi="Arial" w:cs="Arial"/>
          <w:b/>
          <w:bCs/>
          <w:i/>
        </w:rPr>
        <w:t>3</w:t>
      </w:r>
      <w:r w:rsidRPr="002141AF">
        <w:rPr>
          <w:rFonts w:ascii="Arial" w:hAnsi="Arial" w:cs="Arial"/>
          <w:b/>
          <w:bCs/>
          <w:i/>
        </w:rPr>
        <w:t>,</w:t>
      </w:r>
      <w:r>
        <w:rPr>
          <w:rFonts w:ascii="Arial" w:hAnsi="Arial" w:cs="Arial"/>
          <w:b/>
          <w:bCs/>
          <w:i/>
        </w:rPr>
        <w:t>00</w:t>
      </w:r>
      <w:r w:rsidRPr="002141AF">
        <w:rPr>
          <w:rFonts w:ascii="Arial" w:hAnsi="Arial" w:cs="Arial"/>
          <w:b/>
          <w:bCs/>
          <w:i/>
        </w:rPr>
        <w:t>0</w:t>
      </w:r>
      <w:r>
        <w:rPr>
          <w:rFonts w:ascii="Arial" w:hAnsi="Arial" w:cs="Arial"/>
          <w:b/>
          <w:bCs/>
          <w:i/>
        </w:rPr>
        <w:t>, 8 FTEs]</w:t>
      </w:r>
      <w:r>
        <w:rPr>
          <w:rFonts w:ascii="Arial" w:hAnsi="Arial" w:cs="Arial"/>
          <w:b/>
          <w:bCs/>
          <w:iCs/>
        </w:rPr>
        <w:t>.</w:t>
      </w:r>
      <w:r>
        <w:rPr>
          <w:rFonts w:ascii="Arial" w:hAnsi="Arial" w:cs="Arial"/>
          <w:b/>
          <w:bCs/>
          <w:i/>
        </w:rPr>
        <w:t xml:space="preserve">  </w:t>
      </w:r>
      <w:r w:rsidRPr="007F2C72">
        <w:rPr>
          <w:rFonts w:ascii="Arial" w:hAnsi="Arial" w:cs="Arial"/>
          <w:iCs/>
        </w:rPr>
        <w:t xml:space="preserve">This </w:t>
      </w:r>
      <w:r>
        <w:rPr>
          <w:rFonts w:ascii="Arial" w:hAnsi="Arial" w:cs="Arial"/>
          <w:bCs/>
          <w:iCs/>
        </w:rPr>
        <w:t>proposed appropriation would update</w:t>
      </w:r>
      <w:r w:rsidRPr="004D3AB1">
        <w:rPr>
          <w:rFonts w:ascii="Arial" w:hAnsi="Arial" w:cs="Arial"/>
          <w:bCs/>
          <w:iCs/>
        </w:rPr>
        <w:t xml:space="preserve"> spending and BSK </w:t>
      </w:r>
      <w:r>
        <w:rPr>
          <w:rFonts w:ascii="Arial" w:hAnsi="Arial" w:cs="Arial"/>
          <w:bCs/>
          <w:iCs/>
        </w:rPr>
        <w:t xml:space="preserve">levy </w:t>
      </w:r>
      <w:r w:rsidRPr="004D3AB1">
        <w:rPr>
          <w:rFonts w:ascii="Arial" w:hAnsi="Arial" w:cs="Arial"/>
          <w:bCs/>
          <w:iCs/>
        </w:rPr>
        <w:t>revenues to reflect the BSK Implementation Plan for the levy period 2022-2027</w:t>
      </w:r>
      <w:r>
        <w:rPr>
          <w:rFonts w:ascii="Arial" w:hAnsi="Arial" w:cs="Arial"/>
          <w:bCs/>
          <w:iCs/>
        </w:rPr>
        <w:t xml:space="preserve">.  This allocation is described under the BSK section in this staff report. </w:t>
      </w:r>
    </w:p>
    <w:p w14:paraId="56453895" w14:textId="77777777" w:rsidR="00EC5BF1" w:rsidRPr="0074458C" w:rsidRDefault="00EC5BF1" w:rsidP="00EC5BF1">
      <w:pPr>
        <w:spacing w:line="264" w:lineRule="auto"/>
        <w:contextualSpacing/>
        <w:jc w:val="both"/>
        <w:rPr>
          <w:rFonts w:ascii="Arial" w:hAnsi="Arial" w:cs="Arial"/>
          <w:b/>
          <w:bCs/>
          <w:i/>
        </w:rPr>
      </w:pPr>
    </w:p>
    <w:p w14:paraId="38987CE7" w14:textId="77777777" w:rsidR="00EC5BF1" w:rsidRPr="004922B9" w:rsidRDefault="00EC5BF1" w:rsidP="00EC5BF1">
      <w:pPr>
        <w:spacing w:line="264" w:lineRule="auto"/>
        <w:contextualSpacing/>
        <w:jc w:val="both"/>
        <w:rPr>
          <w:rFonts w:ascii="Arial" w:hAnsi="Arial" w:cs="Arial"/>
          <w:b/>
          <w:iCs/>
        </w:rPr>
      </w:pPr>
      <w:r w:rsidRPr="0074458C">
        <w:rPr>
          <w:rFonts w:ascii="Arial" w:hAnsi="Arial" w:cs="Arial"/>
          <w:b/>
          <w:bCs/>
          <w:i/>
        </w:rPr>
        <w:t>Transfer Gun Violence Prevention Initiative to Public Health</w:t>
      </w:r>
      <w:r>
        <w:rPr>
          <w:rFonts w:ascii="Arial" w:hAnsi="Arial" w:cs="Arial"/>
          <w:b/>
          <w:bCs/>
          <w:i/>
        </w:rPr>
        <w:t xml:space="preserve"> </w:t>
      </w:r>
      <w:r>
        <w:rPr>
          <w:rFonts w:ascii="Arial" w:hAnsi="Arial" w:cs="Arial"/>
          <w:b/>
          <w:i/>
          <w:iCs/>
        </w:rPr>
        <w:t>[</w:t>
      </w:r>
      <w:r w:rsidRPr="0054665B">
        <w:rPr>
          <w:rFonts w:ascii="Arial" w:hAnsi="Arial" w:cs="Arial"/>
          <w:b/>
          <w:i/>
          <w:iCs/>
        </w:rPr>
        <w:t>$</w:t>
      </w:r>
      <w:r>
        <w:rPr>
          <w:rFonts w:ascii="Arial" w:hAnsi="Arial" w:cs="Arial"/>
          <w:b/>
          <w:i/>
          <w:iCs/>
        </w:rPr>
        <w:t>2,0</w:t>
      </w:r>
      <w:r w:rsidRPr="0054665B">
        <w:rPr>
          <w:rFonts w:ascii="Arial" w:hAnsi="Arial" w:cs="Arial"/>
          <w:b/>
          <w:i/>
          <w:iCs/>
        </w:rPr>
        <w:t>00,000</w:t>
      </w:r>
      <w:r w:rsidRPr="001E063E">
        <w:rPr>
          <w:rFonts w:ascii="Arial" w:hAnsi="Arial" w:cs="Arial"/>
          <w:b/>
          <w:i/>
          <w:iCs/>
        </w:rPr>
        <w:t>]</w:t>
      </w:r>
      <w:r>
        <w:rPr>
          <w:rFonts w:ascii="Arial" w:hAnsi="Arial" w:cs="Arial"/>
          <w:b/>
        </w:rPr>
        <w:t>.</w:t>
      </w:r>
      <w:r w:rsidRPr="001E063E">
        <w:rPr>
          <w:rFonts w:ascii="Arial" w:hAnsi="Arial" w:cs="Arial"/>
          <w:b/>
          <w:i/>
          <w:iCs/>
        </w:rPr>
        <w:t xml:space="preserve"> </w:t>
      </w:r>
      <w:r>
        <w:rPr>
          <w:rFonts w:ascii="Arial" w:hAnsi="Arial" w:cs="Arial"/>
          <w:b/>
          <w:i/>
          <w:iCs/>
        </w:rPr>
        <w:t xml:space="preserve"> </w:t>
      </w:r>
      <w:r w:rsidRPr="001E063E">
        <w:rPr>
          <w:rFonts w:ascii="Arial" w:hAnsi="Arial" w:cs="Arial"/>
          <w:iCs/>
        </w:rPr>
        <w:t>The proposed ordinance would make a technical change</w:t>
      </w:r>
      <w:r>
        <w:rPr>
          <w:rFonts w:ascii="Arial" w:hAnsi="Arial" w:cs="Arial"/>
          <w:iCs/>
        </w:rPr>
        <w:t xml:space="preserve">, transferring </w:t>
      </w:r>
      <w:r w:rsidRPr="001E063E">
        <w:rPr>
          <w:rFonts w:ascii="Arial" w:hAnsi="Arial" w:cs="Arial"/>
          <w:iCs/>
        </w:rPr>
        <w:t xml:space="preserve">$2 million </w:t>
      </w:r>
      <w:r>
        <w:rPr>
          <w:rFonts w:ascii="Arial" w:hAnsi="Arial" w:cs="Arial"/>
          <w:iCs/>
        </w:rPr>
        <w:t xml:space="preserve">appropriated </w:t>
      </w:r>
      <w:r w:rsidRPr="001E063E">
        <w:rPr>
          <w:rFonts w:ascii="Arial" w:hAnsi="Arial" w:cs="Arial"/>
          <w:iCs/>
        </w:rPr>
        <w:t>in COVID 6</w:t>
      </w:r>
      <w:r>
        <w:rPr>
          <w:rFonts w:ascii="Arial" w:hAnsi="Arial" w:cs="Arial"/>
          <w:iCs/>
        </w:rPr>
        <w:t>.  This amount was allocated</w:t>
      </w:r>
      <w:r w:rsidRPr="001E063E">
        <w:rPr>
          <w:rFonts w:ascii="Arial" w:hAnsi="Arial" w:cs="Arial"/>
          <w:iCs/>
        </w:rPr>
        <w:t xml:space="preserve"> to </w:t>
      </w:r>
      <w:r>
        <w:rPr>
          <w:rFonts w:ascii="Arial" w:hAnsi="Arial" w:cs="Arial"/>
          <w:iCs/>
        </w:rPr>
        <w:t xml:space="preserve">the Office of Performance, Strategy and Budget in the COVID 6 budget, and it is now proposed to be transferred to </w:t>
      </w:r>
      <w:r w:rsidRPr="001E063E">
        <w:rPr>
          <w:rFonts w:ascii="Arial" w:hAnsi="Arial" w:cs="Arial"/>
          <w:iCs/>
        </w:rPr>
        <w:t xml:space="preserve">the </w:t>
      </w:r>
      <w:r w:rsidRPr="00E77A22">
        <w:rPr>
          <w:rFonts w:ascii="Arial" w:hAnsi="Arial" w:cs="Arial"/>
          <w:iCs/>
        </w:rPr>
        <w:t xml:space="preserve">Public Health Fund because Public Health is doing the work. </w:t>
      </w:r>
      <w:r>
        <w:rPr>
          <w:rFonts w:ascii="Arial" w:hAnsi="Arial" w:cs="Arial"/>
          <w:iCs/>
        </w:rPr>
        <w:t xml:space="preserve"> Executive staff indicate that this technical change would not change the purpose of the allocation.  </w:t>
      </w:r>
      <w:r w:rsidRPr="00E77A22">
        <w:rPr>
          <w:rFonts w:ascii="Arial" w:hAnsi="Arial" w:cs="Arial"/>
          <w:iCs/>
        </w:rPr>
        <w:t xml:space="preserve">This amount would be used to collaborate with community partners to build a sustainable, holistic approach in addressing increased gun violence due in part by the COVID-19 pandemic. </w:t>
      </w:r>
      <w:r>
        <w:rPr>
          <w:rFonts w:ascii="Arial" w:hAnsi="Arial" w:cs="Arial"/>
          <w:iCs/>
        </w:rPr>
        <w:t xml:space="preserve"> </w:t>
      </w:r>
      <w:r w:rsidRPr="00E77A22">
        <w:rPr>
          <w:rFonts w:ascii="Arial" w:hAnsi="Arial" w:cs="Arial"/>
          <w:iCs/>
        </w:rPr>
        <w:t>The goal is to serve young people in their neighborhoods and connect them to a broad network of support across King County.</w:t>
      </w:r>
      <w:r>
        <w:rPr>
          <w:rFonts w:ascii="Arial" w:hAnsi="Arial" w:cs="Arial"/>
          <w:iCs/>
        </w:rPr>
        <w:t xml:space="preserve"> </w:t>
      </w:r>
    </w:p>
    <w:p w14:paraId="6C75FE24" w14:textId="77777777" w:rsidR="00EC5BF1" w:rsidRDefault="00EC5BF1" w:rsidP="00AB45DE">
      <w:pPr>
        <w:tabs>
          <w:tab w:val="left" w:pos="720"/>
          <w:tab w:val="right" w:pos="9360"/>
        </w:tabs>
        <w:spacing w:line="264" w:lineRule="auto"/>
        <w:contextualSpacing/>
        <w:jc w:val="both"/>
        <w:rPr>
          <w:rFonts w:ascii="Arial" w:hAnsi="Arial" w:cs="Arial"/>
          <w:b/>
          <w:u w:val="single"/>
        </w:rPr>
      </w:pPr>
    </w:p>
    <w:p w14:paraId="11BA5CE1" w14:textId="77777777" w:rsidR="002E0E38" w:rsidRDefault="002E0E38" w:rsidP="00AB45DE">
      <w:pPr>
        <w:tabs>
          <w:tab w:val="left" w:pos="720"/>
          <w:tab w:val="right" w:pos="9360"/>
        </w:tabs>
        <w:spacing w:line="264" w:lineRule="auto"/>
        <w:contextualSpacing/>
        <w:jc w:val="both"/>
        <w:rPr>
          <w:rFonts w:ascii="Arial" w:hAnsi="Arial" w:cs="Arial"/>
          <w:b/>
          <w:u w:val="single"/>
        </w:rPr>
      </w:pPr>
    </w:p>
    <w:p w14:paraId="6BF537B9" w14:textId="52C3939A" w:rsidR="005F199B" w:rsidRPr="001B38C0" w:rsidRDefault="005F199B" w:rsidP="005F199B">
      <w:pPr>
        <w:tabs>
          <w:tab w:val="left" w:pos="720"/>
          <w:tab w:val="right" w:pos="9360"/>
        </w:tabs>
        <w:spacing w:line="264" w:lineRule="auto"/>
        <w:contextualSpacing/>
        <w:jc w:val="both"/>
        <w:rPr>
          <w:rFonts w:ascii="Arial" w:hAnsi="Arial" w:cs="Arial"/>
          <w:b/>
          <w:u w:val="single"/>
        </w:rPr>
      </w:pPr>
      <w:r w:rsidRPr="001B38C0">
        <w:rPr>
          <w:rFonts w:ascii="Arial" w:hAnsi="Arial" w:cs="Arial"/>
          <w:b/>
          <w:u w:val="single"/>
        </w:rPr>
        <w:t>Employment and Education Resources</w:t>
      </w:r>
      <w:r w:rsidRPr="001B38C0">
        <w:rPr>
          <w:rFonts w:ascii="Arial" w:hAnsi="Arial" w:cs="Arial"/>
          <w:b/>
          <w:u w:val="single"/>
        </w:rPr>
        <w:tab/>
      </w:r>
      <w:r w:rsidR="00EB5404">
        <w:rPr>
          <w:rFonts w:ascii="Arial" w:hAnsi="Arial" w:cs="Arial"/>
          <w:b/>
          <w:u w:val="single"/>
        </w:rPr>
        <w:t>$500,000</w:t>
      </w:r>
    </w:p>
    <w:p w14:paraId="39679311" w14:textId="77777777" w:rsidR="005F199B" w:rsidRPr="001B38C0" w:rsidRDefault="005F199B" w:rsidP="005F199B">
      <w:pPr>
        <w:spacing w:line="264" w:lineRule="auto"/>
        <w:contextualSpacing/>
        <w:jc w:val="both"/>
        <w:rPr>
          <w:rFonts w:ascii="Arial" w:hAnsi="Arial" w:cs="Arial"/>
          <w:b/>
          <w:iCs/>
        </w:rPr>
      </w:pPr>
    </w:p>
    <w:p w14:paraId="5581CB84" w14:textId="77777777" w:rsidR="005F199B" w:rsidRDefault="005F199B" w:rsidP="005F199B">
      <w:pPr>
        <w:spacing w:line="264" w:lineRule="auto"/>
        <w:contextualSpacing/>
        <w:jc w:val="both"/>
        <w:rPr>
          <w:rFonts w:ascii="Arial" w:hAnsi="Arial" w:cs="Arial"/>
          <w:b/>
          <w:iCs/>
        </w:rPr>
      </w:pPr>
      <w:r w:rsidRPr="001B38C0">
        <w:rPr>
          <w:rFonts w:ascii="Arial" w:hAnsi="Arial" w:cs="Arial"/>
          <w:b/>
          <w:iCs/>
        </w:rPr>
        <w:t>TECHNICAL</w:t>
      </w:r>
    </w:p>
    <w:p w14:paraId="6F6966B5" w14:textId="4D5603BB" w:rsidR="005F199B" w:rsidRDefault="005F199B" w:rsidP="005F199B">
      <w:pPr>
        <w:spacing w:line="264" w:lineRule="auto"/>
        <w:contextualSpacing/>
        <w:jc w:val="both"/>
        <w:rPr>
          <w:rFonts w:ascii="Arial" w:hAnsi="Arial" w:cs="Arial"/>
          <w:iCs/>
        </w:rPr>
      </w:pPr>
      <w:r>
        <w:rPr>
          <w:rFonts w:ascii="Arial" w:hAnsi="Arial" w:cs="Arial"/>
          <w:b/>
          <w:i/>
        </w:rPr>
        <w:t>BSK Renewal – Employment and Education Resources Programs</w:t>
      </w:r>
      <w:r w:rsidRPr="0054665B">
        <w:rPr>
          <w:rFonts w:ascii="Arial" w:hAnsi="Arial" w:cs="Arial"/>
          <w:b/>
          <w:i/>
        </w:rPr>
        <w:t xml:space="preserve"> </w:t>
      </w:r>
      <w:r>
        <w:rPr>
          <w:rFonts w:ascii="Arial" w:hAnsi="Arial" w:cs="Arial"/>
          <w:b/>
          <w:i/>
        </w:rPr>
        <w:t>[</w:t>
      </w:r>
      <w:r w:rsidRPr="0054665B">
        <w:rPr>
          <w:rFonts w:ascii="Arial" w:hAnsi="Arial" w:cs="Arial"/>
          <w:b/>
          <w:i/>
        </w:rPr>
        <w:t>$</w:t>
      </w:r>
      <w:r w:rsidR="00EB5404">
        <w:rPr>
          <w:rFonts w:ascii="Arial" w:hAnsi="Arial" w:cs="Arial"/>
          <w:b/>
          <w:i/>
        </w:rPr>
        <w:t>500,000</w:t>
      </w:r>
      <w:r>
        <w:rPr>
          <w:rFonts w:ascii="Arial" w:hAnsi="Arial" w:cs="Arial"/>
          <w:b/>
          <w:i/>
        </w:rPr>
        <w:t>]</w:t>
      </w:r>
      <w:r w:rsidRPr="0054665B">
        <w:rPr>
          <w:rFonts w:ascii="Arial" w:hAnsi="Arial" w:cs="Arial"/>
          <w:b/>
          <w:i/>
        </w:rPr>
        <w:t>.</w:t>
      </w:r>
      <w:r>
        <w:rPr>
          <w:rFonts w:ascii="Arial" w:hAnsi="Arial" w:cs="Arial"/>
          <w:b/>
          <w:iCs/>
        </w:rPr>
        <w:t xml:space="preserve">  </w:t>
      </w:r>
      <w:r w:rsidRPr="006D3FF8">
        <w:rPr>
          <w:rFonts w:ascii="Arial" w:hAnsi="Arial" w:cs="Arial"/>
          <w:iCs/>
        </w:rPr>
        <w:t>The proposed ordinance would appropriate $</w:t>
      </w:r>
      <w:r w:rsidR="00EB5404">
        <w:rPr>
          <w:rFonts w:ascii="Arial" w:hAnsi="Arial" w:cs="Arial"/>
          <w:iCs/>
        </w:rPr>
        <w:t>500,000</w:t>
      </w:r>
      <w:r>
        <w:rPr>
          <w:rFonts w:ascii="Arial" w:hAnsi="Arial" w:cs="Arial"/>
          <w:iCs/>
        </w:rPr>
        <w:t xml:space="preserve"> (revenue backed) to implement BSK levy renewal</w:t>
      </w:r>
      <w:r>
        <w:rPr>
          <w:rStyle w:val="FootnoteReference"/>
          <w:rFonts w:ascii="Arial" w:hAnsi="Arial" w:cs="Arial"/>
          <w:iCs/>
        </w:rPr>
        <w:footnoteReference w:id="38"/>
      </w:r>
      <w:r>
        <w:rPr>
          <w:rFonts w:ascii="Arial" w:hAnsi="Arial" w:cs="Arial"/>
          <w:iCs/>
        </w:rPr>
        <w:t xml:space="preserve"> and support levy-funded programs and services.</w:t>
      </w:r>
    </w:p>
    <w:p w14:paraId="77D9EF0D" w14:textId="29E74ADF" w:rsidR="00EB5404" w:rsidRDefault="00EB5404" w:rsidP="005F199B">
      <w:pPr>
        <w:spacing w:line="264" w:lineRule="auto"/>
        <w:contextualSpacing/>
        <w:jc w:val="both"/>
        <w:rPr>
          <w:rFonts w:ascii="Arial" w:hAnsi="Arial" w:cs="Arial"/>
          <w:b/>
          <w:iCs/>
        </w:rPr>
      </w:pPr>
    </w:p>
    <w:p w14:paraId="29301C36" w14:textId="35B71D3B" w:rsidR="00923180" w:rsidRDefault="00923180" w:rsidP="005F199B">
      <w:pPr>
        <w:spacing w:line="264" w:lineRule="auto"/>
        <w:contextualSpacing/>
        <w:jc w:val="both"/>
        <w:rPr>
          <w:rFonts w:ascii="Arial" w:hAnsi="Arial" w:cs="Arial"/>
          <w:b/>
          <w:iCs/>
        </w:rPr>
      </w:pPr>
    </w:p>
    <w:p w14:paraId="2BD1D111" w14:textId="77777777" w:rsidR="00923180" w:rsidRPr="000E7446" w:rsidRDefault="00923180" w:rsidP="00923180">
      <w:pPr>
        <w:tabs>
          <w:tab w:val="left" w:pos="720"/>
          <w:tab w:val="right" w:pos="9360"/>
        </w:tabs>
        <w:spacing w:line="264" w:lineRule="auto"/>
        <w:contextualSpacing/>
        <w:jc w:val="both"/>
        <w:rPr>
          <w:rFonts w:ascii="Arial" w:hAnsi="Arial" w:cs="Arial"/>
          <w:b/>
          <w:u w:val="single"/>
        </w:rPr>
      </w:pPr>
      <w:r>
        <w:rPr>
          <w:rFonts w:ascii="Arial" w:hAnsi="Arial" w:cs="Arial"/>
          <w:b/>
          <w:u w:val="single"/>
        </w:rPr>
        <w:t>Housing and Community Development (HCD)</w:t>
      </w:r>
      <w:r w:rsidRPr="000E7446">
        <w:rPr>
          <w:rFonts w:ascii="Arial" w:hAnsi="Arial" w:cs="Arial"/>
          <w:b/>
          <w:u w:val="single"/>
        </w:rPr>
        <w:tab/>
        <w:t>$</w:t>
      </w:r>
      <w:r>
        <w:rPr>
          <w:rFonts w:ascii="Arial" w:hAnsi="Arial" w:cs="Arial"/>
          <w:b/>
          <w:u w:val="single"/>
        </w:rPr>
        <w:t>30,908,000, 1.0 FTEs</w:t>
      </w:r>
    </w:p>
    <w:p w14:paraId="0C270C5E" w14:textId="77777777" w:rsidR="00BA322D" w:rsidRDefault="00BA322D" w:rsidP="00923180">
      <w:pPr>
        <w:spacing w:line="264" w:lineRule="auto"/>
        <w:contextualSpacing/>
        <w:jc w:val="both"/>
        <w:rPr>
          <w:rFonts w:ascii="Arial" w:hAnsi="Arial" w:cs="Arial"/>
          <w:iCs/>
        </w:rPr>
      </w:pPr>
    </w:p>
    <w:p w14:paraId="72D75D99" w14:textId="1DC817A3" w:rsidR="00923180" w:rsidRDefault="00923180" w:rsidP="00923180">
      <w:pPr>
        <w:spacing w:line="264" w:lineRule="auto"/>
        <w:contextualSpacing/>
        <w:jc w:val="both"/>
        <w:rPr>
          <w:rFonts w:ascii="Arial" w:hAnsi="Arial" w:cs="Arial"/>
          <w:bCs/>
          <w:iCs/>
        </w:rPr>
      </w:pPr>
      <w:r>
        <w:rPr>
          <w:rFonts w:ascii="Arial" w:hAnsi="Arial" w:cs="Arial"/>
          <w:b/>
          <w:i/>
        </w:rPr>
        <w:t>BSK Renewal – Capital Grants [$4,940,000].</w:t>
      </w:r>
      <w:r>
        <w:rPr>
          <w:rFonts w:ascii="Arial" w:hAnsi="Arial" w:cs="Arial"/>
          <w:bCs/>
          <w:iCs/>
        </w:rPr>
        <w:t xml:space="preserve">  The proposed ordinance would appropriate an additional $4.94 million to the HCD fund for a new capital grants program as directed under Ordinance 19267</w:t>
      </w:r>
      <w:r>
        <w:rPr>
          <w:rStyle w:val="FootnoteReference"/>
          <w:rFonts w:ascii="Arial" w:hAnsi="Arial" w:cs="Arial"/>
          <w:bCs/>
          <w:iCs/>
        </w:rPr>
        <w:footnoteReference w:id="39"/>
      </w:r>
      <w:r>
        <w:rPr>
          <w:rFonts w:ascii="Arial" w:hAnsi="Arial" w:cs="Arial"/>
          <w:bCs/>
          <w:iCs/>
        </w:rPr>
        <w:t>, the BSK Levy renewal ordinance, and to reflect the allocations proposed under the proposed BSK Implementation Plan for the renewed levy.  The proposed Implementation Plan estimates that $5 million would be allocated to this grant in 2022, however the proposed budget would allocate $4.</w:t>
      </w:r>
      <w:r w:rsidR="00C269D5" w:rsidRPr="00C269D5">
        <w:rPr>
          <w:rFonts w:ascii="Arial" w:hAnsi="Arial" w:cs="Arial"/>
          <w:bCs/>
          <w:iCs/>
          <w:color w:val="4F81BD" w:themeColor="accent1"/>
        </w:rPr>
        <w:t>94</w:t>
      </w:r>
      <w:r>
        <w:rPr>
          <w:rFonts w:ascii="Arial" w:hAnsi="Arial" w:cs="Arial"/>
          <w:bCs/>
          <w:iCs/>
        </w:rPr>
        <w:t xml:space="preserve"> million.  The </w:t>
      </w:r>
      <w:r>
        <w:rPr>
          <w:rFonts w:ascii="Arial" w:hAnsi="Arial" w:cs="Arial"/>
          <w:bCs/>
          <w:iCs/>
        </w:rPr>
        <w:lastRenderedPageBreak/>
        <w:t>Executives states that the proposed Implementation Plan rounds up to the nearest million.</w:t>
      </w:r>
    </w:p>
    <w:p w14:paraId="4B2EB848" w14:textId="77777777" w:rsidR="00923180" w:rsidRDefault="00923180" w:rsidP="00923180">
      <w:pPr>
        <w:spacing w:line="264" w:lineRule="auto"/>
        <w:contextualSpacing/>
        <w:jc w:val="both"/>
        <w:rPr>
          <w:rFonts w:ascii="Arial" w:hAnsi="Arial" w:cs="Arial"/>
          <w:bCs/>
          <w:iCs/>
        </w:rPr>
      </w:pPr>
    </w:p>
    <w:p w14:paraId="5A608C2E" w14:textId="77777777" w:rsidR="00923180" w:rsidRDefault="00923180" w:rsidP="00923180">
      <w:pPr>
        <w:spacing w:line="264" w:lineRule="auto"/>
        <w:jc w:val="both"/>
        <w:rPr>
          <w:rFonts w:ascii="Arial" w:hAnsi="Arial" w:cs="Arial"/>
          <w:bCs/>
          <w:iCs/>
        </w:rPr>
      </w:pPr>
      <w:r w:rsidRPr="006E30B2">
        <w:rPr>
          <w:rFonts w:ascii="Arial" w:hAnsi="Arial" w:cs="Arial"/>
          <w:szCs w:val="24"/>
        </w:rPr>
        <w:t>T</w:t>
      </w:r>
      <w:r w:rsidRPr="008924D3">
        <w:rPr>
          <w:rFonts w:ascii="Arial" w:hAnsi="Arial" w:cs="Arial"/>
          <w:szCs w:val="24"/>
        </w:rPr>
        <w:t>he</w:t>
      </w:r>
      <w:r w:rsidRPr="002109B4">
        <w:rPr>
          <w:rFonts w:ascii="Arial" w:hAnsi="Arial" w:cs="Arial"/>
          <w:szCs w:val="24"/>
        </w:rPr>
        <w:t xml:space="preserve"> </w:t>
      </w:r>
      <w:r>
        <w:rPr>
          <w:rFonts w:ascii="Arial" w:hAnsi="Arial" w:cs="Arial"/>
          <w:szCs w:val="24"/>
        </w:rPr>
        <w:t>proposed</w:t>
      </w:r>
      <w:r w:rsidRPr="002109B4">
        <w:rPr>
          <w:rFonts w:ascii="Arial" w:hAnsi="Arial" w:cs="Arial"/>
          <w:szCs w:val="24"/>
        </w:rPr>
        <w:t xml:space="preserve"> </w:t>
      </w:r>
      <w:r>
        <w:rPr>
          <w:rFonts w:ascii="Arial" w:hAnsi="Arial" w:cs="Arial"/>
          <w:szCs w:val="24"/>
        </w:rPr>
        <w:t>Implementation P</w:t>
      </w:r>
      <w:r w:rsidRPr="002109B4">
        <w:rPr>
          <w:rFonts w:ascii="Arial" w:hAnsi="Arial" w:cs="Arial"/>
          <w:szCs w:val="24"/>
        </w:rPr>
        <w:t xml:space="preserve">lan proposes allocating $50 million to the </w:t>
      </w:r>
      <w:r>
        <w:rPr>
          <w:rFonts w:ascii="Arial" w:hAnsi="Arial" w:cs="Arial"/>
          <w:szCs w:val="24"/>
        </w:rPr>
        <w:t xml:space="preserve">new </w:t>
      </w:r>
      <w:r w:rsidRPr="002109B4">
        <w:rPr>
          <w:rFonts w:ascii="Arial" w:hAnsi="Arial" w:cs="Arial"/>
          <w:szCs w:val="24"/>
        </w:rPr>
        <w:t xml:space="preserve">capital grants program. </w:t>
      </w:r>
      <w:r>
        <w:rPr>
          <w:rFonts w:ascii="Arial" w:hAnsi="Arial" w:cs="Arial"/>
          <w:szCs w:val="24"/>
        </w:rPr>
        <w:t xml:space="preserve"> </w:t>
      </w:r>
      <w:r w:rsidRPr="002109B4">
        <w:rPr>
          <w:rFonts w:ascii="Arial" w:hAnsi="Arial" w:cs="Arial"/>
          <w:szCs w:val="24"/>
        </w:rPr>
        <w:t xml:space="preserve">This amount is consistent with Ordinance 19267, which specified that levy proceeds projected above $822 million go to support capital grants for repairs or renovations to existing facilities serving children and youth and construction of new buildings and facilities to serve children and youth. </w:t>
      </w:r>
    </w:p>
    <w:p w14:paraId="44EE9B60" w14:textId="77777777" w:rsidR="00923180" w:rsidRPr="005C4C5B" w:rsidRDefault="00923180" w:rsidP="00923180">
      <w:pPr>
        <w:spacing w:line="264" w:lineRule="auto"/>
        <w:jc w:val="both"/>
        <w:rPr>
          <w:rFonts w:ascii="Arial" w:hAnsi="Arial" w:cs="Arial"/>
        </w:rPr>
      </w:pPr>
    </w:p>
    <w:p w14:paraId="3A12DA96" w14:textId="61CA57E0" w:rsidR="00923180" w:rsidRDefault="00923180" w:rsidP="00923180">
      <w:pPr>
        <w:spacing w:line="264" w:lineRule="auto"/>
        <w:jc w:val="both"/>
        <w:rPr>
          <w:rFonts w:ascii="Arial" w:hAnsi="Arial" w:cs="Arial"/>
        </w:rPr>
      </w:pPr>
      <w:r w:rsidRPr="005C4C5B">
        <w:rPr>
          <w:rFonts w:ascii="Arial" w:hAnsi="Arial" w:cs="Arial"/>
        </w:rPr>
        <w:t xml:space="preserve">The proposed </w:t>
      </w:r>
      <w:r>
        <w:rPr>
          <w:rFonts w:ascii="Arial" w:hAnsi="Arial" w:cs="Arial"/>
        </w:rPr>
        <w:t>Implementation P</w:t>
      </w:r>
      <w:r w:rsidRPr="005C4C5B">
        <w:rPr>
          <w:rFonts w:ascii="Arial" w:hAnsi="Arial" w:cs="Arial"/>
        </w:rPr>
        <w:t xml:space="preserve">lan states that </w:t>
      </w:r>
      <w:r w:rsidR="00E1242C">
        <w:rPr>
          <w:rFonts w:ascii="Arial" w:hAnsi="Arial" w:cs="Arial"/>
          <w:bCs/>
          <w:iCs/>
          <w:color w:val="4F81BD" w:themeColor="accent1"/>
        </w:rPr>
        <w:t xml:space="preserve">BSK capital funds will </w:t>
      </w:r>
      <w:r w:rsidR="00A41A59">
        <w:rPr>
          <w:rFonts w:ascii="Arial" w:hAnsi="Arial" w:cs="Arial"/>
          <w:bCs/>
          <w:iCs/>
          <w:color w:val="4F81BD" w:themeColor="accent1"/>
        </w:rPr>
        <w:t xml:space="preserve">prioritize </w:t>
      </w:r>
      <w:r w:rsidR="00A8105C">
        <w:rPr>
          <w:rFonts w:ascii="Arial" w:hAnsi="Arial" w:cs="Arial"/>
          <w:bCs/>
          <w:iCs/>
          <w:color w:val="4F81BD" w:themeColor="accent1"/>
        </w:rPr>
        <w:t xml:space="preserve">improving access to high quality programs and services for low-income </w:t>
      </w:r>
      <w:r w:rsidR="008A0362">
        <w:rPr>
          <w:rFonts w:ascii="Arial" w:hAnsi="Arial" w:cs="Arial"/>
          <w:bCs/>
          <w:iCs/>
          <w:color w:val="4F81BD" w:themeColor="accent1"/>
        </w:rPr>
        <w:t>children and youth with a priority for those serving BIPOC communities.</w:t>
      </w:r>
      <w:r w:rsidRPr="005C4C5B">
        <w:rPr>
          <w:rFonts w:ascii="Arial" w:hAnsi="Arial" w:cs="Arial"/>
        </w:rPr>
        <w:t xml:space="preserve"> </w:t>
      </w:r>
      <w:r w:rsidR="008A0362">
        <w:rPr>
          <w:rFonts w:ascii="Arial" w:hAnsi="Arial" w:cs="Arial"/>
        </w:rPr>
        <w:t xml:space="preserve"> P</w:t>
      </w:r>
      <w:r w:rsidRPr="005C4C5B">
        <w:rPr>
          <w:rFonts w:ascii="Arial" w:hAnsi="Arial" w:cs="Arial"/>
        </w:rPr>
        <w:t xml:space="preserve">rioritization will also go to rural areas or low-income areas with lack of access and sites that are multi-use, intergenerational, or include covered outdoor spaces. </w:t>
      </w:r>
      <w:r>
        <w:rPr>
          <w:rFonts w:ascii="Arial" w:hAnsi="Arial" w:cs="Arial"/>
        </w:rPr>
        <w:t xml:space="preserve"> A</w:t>
      </w:r>
      <w:r w:rsidRPr="005C4C5B">
        <w:rPr>
          <w:rFonts w:ascii="Arial" w:hAnsi="Arial" w:cs="Arial"/>
        </w:rPr>
        <w:t>ll funded sites would need to provide programs for children and youth or child-care or early learning services and would be expected to host low-cost or free programming for low-income households.</w:t>
      </w:r>
      <w:r w:rsidR="005729CD">
        <w:rPr>
          <w:rFonts w:ascii="Arial" w:hAnsi="Arial" w:cs="Arial"/>
        </w:rPr>
        <w:t xml:space="preserve">   </w:t>
      </w:r>
      <w:r w:rsidRPr="4C2E6D8F">
        <w:rPr>
          <w:rFonts w:ascii="Arial" w:hAnsi="Arial" w:cs="Arial"/>
        </w:rPr>
        <w:t>The Plan also indicates that only Priority 1 and Priority 2 projects would be funded in 2022 and 2023 to make it possible for new and improved facilities to host BSK programs sooner.</w:t>
      </w:r>
      <w:r w:rsidRPr="4C2E6D8F">
        <w:rPr>
          <w:rStyle w:val="FootnoteReference"/>
          <w:rFonts w:ascii="Arial" w:hAnsi="Arial" w:cs="Arial"/>
        </w:rPr>
        <w:footnoteReference w:id="40"/>
      </w:r>
    </w:p>
    <w:p w14:paraId="2CEE18A0" w14:textId="77777777" w:rsidR="003B3CC4" w:rsidRDefault="003B3CC4" w:rsidP="00923180">
      <w:pPr>
        <w:spacing w:line="264" w:lineRule="auto"/>
        <w:jc w:val="both"/>
        <w:rPr>
          <w:rFonts w:ascii="Arial" w:hAnsi="Arial" w:cs="Arial"/>
        </w:rPr>
      </w:pPr>
    </w:p>
    <w:p w14:paraId="5CFB7582" w14:textId="77777777" w:rsidR="00923180" w:rsidRPr="00636A74" w:rsidRDefault="00923180" w:rsidP="00923180">
      <w:pPr>
        <w:spacing w:line="264" w:lineRule="auto"/>
        <w:contextualSpacing/>
        <w:jc w:val="both"/>
        <w:rPr>
          <w:rFonts w:ascii="Arial" w:hAnsi="Arial" w:cs="Arial"/>
          <w:bCs/>
          <w:iCs/>
        </w:rPr>
      </w:pPr>
      <w:r>
        <w:rPr>
          <w:rFonts w:ascii="Arial" w:hAnsi="Arial" w:cs="Arial"/>
          <w:bCs/>
          <w:iCs/>
        </w:rPr>
        <w:t xml:space="preserve">The Executive indicates that the </w:t>
      </w:r>
      <w:r w:rsidRPr="002F4A69">
        <w:rPr>
          <w:rFonts w:ascii="Arial" w:hAnsi="Arial" w:cs="Arial"/>
          <w:bCs/>
          <w:iCs/>
        </w:rPr>
        <w:t>Housing, Homelessness and Community Development Division</w:t>
      </w:r>
      <w:r>
        <w:rPr>
          <w:rFonts w:ascii="Arial" w:hAnsi="Arial" w:cs="Arial"/>
          <w:bCs/>
          <w:iCs/>
        </w:rPr>
        <w:t xml:space="preserve"> (HHCDD) manages the large majority of DCHS’s capital grants, so their program management would leverage their expertise and align program management efforts across related expenditures.</w:t>
      </w:r>
    </w:p>
    <w:p w14:paraId="35D7F1B7" w14:textId="77777777" w:rsidR="00923180" w:rsidRDefault="00923180" w:rsidP="00923180">
      <w:pPr>
        <w:spacing w:line="264" w:lineRule="auto"/>
        <w:contextualSpacing/>
        <w:jc w:val="both"/>
        <w:rPr>
          <w:rFonts w:ascii="Arial" w:hAnsi="Arial" w:cs="Arial"/>
          <w:b/>
          <w:i/>
        </w:rPr>
      </w:pPr>
    </w:p>
    <w:p w14:paraId="3860DA83" w14:textId="3576F566" w:rsidR="00923180" w:rsidRPr="00763557" w:rsidRDefault="00923180" w:rsidP="00923180">
      <w:pPr>
        <w:spacing w:line="264" w:lineRule="auto"/>
        <w:contextualSpacing/>
        <w:jc w:val="both"/>
        <w:rPr>
          <w:rFonts w:ascii="Arial" w:hAnsi="Arial" w:cs="Arial"/>
          <w:bCs/>
          <w:iCs/>
        </w:rPr>
      </w:pPr>
      <w:r>
        <w:rPr>
          <w:rFonts w:ascii="Arial" w:hAnsi="Arial" w:cs="Arial"/>
          <w:bCs/>
          <w:iCs/>
        </w:rPr>
        <w:t>More information on the BSK levy renewal can be found in the Best Starts for Kid</w:t>
      </w:r>
      <w:r w:rsidR="000469CF">
        <w:rPr>
          <w:rFonts w:ascii="Arial" w:hAnsi="Arial" w:cs="Arial"/>
          <w:bCs/>
          <w:iCs/>
        </w:rPr>
        <w:t>s</w:t>
      </w:r>
      <w:r>
        <w:rPr>
          <w:rFonts w:ascii="Arial" w:hAnsi="Arial" w:cs="Arial"/>
          <w:bCs/>
          <w:iCs/>
        </w:rPr>
        <w:t xml:space="preserve"> section </w:t>
      </w:r>
      <w:r w:rsidR="0098133D">
        <w:rPr>
          <w:rFonts w:ascii="Arial" w:hAnsi="Arial" w:cs="Arial"/>
          <w:bCs/>
          <w:iCs/>
        </w:rPr>
        <w:t>of</w:t>
      </w:r>
      <w:r>
        <w:rPr>
          <w:rFonts w:ascii="Arial" w:hAnsi="Arial" w:cs="Arial"/>
          <w:bCs/>
          <w:iCs/>
        </w:rPr>
        <w:t xml:space="preserve"> this staff report.</w:t>
      </w:r>
    </w:p>
    <w:p w14:paraId="76ABB60B" w14:textId="77777777" w:rsidR="00923180" w:rsidRDefault="00923180" w:rsidP="00923180">
      <w:pPr>
        <w:spacing w:line="264" w:lineRule="auto"/>
        <w:contextualSpacing/>
        <w:jc w:val="both"/>
        <w:rPr>
          <w:rFonts w:ascii="Arial" w:hAnsi="Arial" w:cs="Arial"/>
          <w:b/>
          <w:i/>
        </w:rPr>
      </w:pPr>
    </w:p>
    <w:p w14:paraId="3473B7C3" w14:textId="26E863C3" w:rsidR="00923180" w:rsidRDefault="00923180" w:rsidP="00923180">
      <w:pPr>
        <w:spacing w:line="264" w:lineRule="auto"/>
        <w:contextualSpacing/>
        <w:jc w:val="both"/>
        <w:rPr>
          <w:rFonts w:ascii="Arial" w:hAnsi="Arial" w:cs="Arial"/>
          <w:bCs/>
          <w:iCs/>
        </w:rPr>
      </w:pPr>
      <w:r>
        <w:rPr>
          <w:rFonts w:ascii="Arial" w:hAnsi="Arial" w:cs="Arial"/>
          <w:b/>
          <w:i/>
        </w:rPr>
        <w:t xml:space="preserve">Trueblood Diversion Services Grant [$3,801,107 and 1.0 FTE].  </w:t>
      </w:r>
      <w:r>
        <w:rPr>
          <w:rFonts w:ascii="Arial" w:hAnsi="Arial" w:cs="Arial"/>
          <w:bCs/>
          <w:iCs/>
        </w:rPr>
        <w:t xml:space="preserve">The proposed ordinance would appropriate $3.8 million, fully backed by grant revenue, for Trueblood Diversion Services within HHCDD.  In Spring of 2021, county responded to </w:t>
      </w:r>
      <w:r w:rsidR="000469CF">
        <w:rPr>
          <w:rFonts w:ascii="Arial" w:hAnsi="Arial" w:cs="Arial"/>
          <w:bCs/>
          <w:iCs/>
        </w:rPr>
        <w:t>an</w:t>
      </w:r>
      <w:r>
        <w:rPr>
          <w:rFonts w:ascii="Arial" w:hAnsi="Arial" w:cs="Arial"/>
          <w:bCs/>
          <w:iCs/>
        </w:rPr>
        <w:t xml:space="preserve"> RFP from Disability Rights Washington.  The funding would connect Trueblood Class Members</w:t>
      </w:r>
      <w:r>
        <w:rPr>
          <w:rStyle w:val="FootnoteReference"/>
          <w:rFonts w:ascii="Arial" w:hAnsi="Arial" w:cs="Arial"/>
          <w:bCs/>
          <w:iCs/>
        </w:rPr>
        <w:footnoteReference w:id="41"/>
      </w:r>
      <w:r>
        <w:rPr>
          <w:rFonts w:ascii="Arial" w:hAnsi="Arial" w:cs="Arial"/>
          <w:bCs/>
          <w:iCs/>
        </w:rPr>
        <w:t xml:space="preserve"> to housing and related services, thereby diverting them from </w:t>
      </w:r>
      <w:r w:rsidR="00D7578E">
        <w:rPr>
          <w:rFonts w:ascii="Arial" w:hAnsi="Arial" w:cs="Arial"/>
          <w:bCs/>
          <w:iCs/>
        </w:rPr>
        <w:t>the criminal,</w:t>
      </w:r>
      <w:r>
        <w:rPr>
          <w:rFonts w:ascii="Arial" w:hAnsi="Arial" w:cs="Arial"/>
          <w:bCs/>
          <w:iCs/>
        </w:rPr>
        <w:t xml:space="preserve"> </w:t>
      </w:r>
      <w:r>
        <w:rPr>
          <w:rFonts w:ascii="Arial" w:hAnsi="Arial" w:cs="Arial"/>
          <w:bCs/>
          <w:iCs/>
        </w:rPr>
        <w:lastRenderedPageBreak/>
        <w:t>legal, medical</w:t>
      </w:r>
      <w:r w:rsidR="00D7578E">
        <w:rPr>
          <w:rFonts w:ascii="Arial" w:hAnsi="Arial" w:cs="Arial"/>
          <w:bCs/>
          <w:iCs/>
        </w:rPr>
        <w:t>,</w:t>
      </w:r>
      <w:r>
        <w:rPr>
          <w:rFonts w:ascii="Arial" w:hAnsi="Arial" w:cs="Arial"/>
          <w:bCs/>
          <w:iCs/>
        </w:rPr>
        <w:t xml:space="preserve"> and other systems.  The funding is estimated to connect 300 homeless Trueblood Class Members to permanent supportive housing.  The grant proposal allocated $294,000 for county personnel expenses related to the new 1.0 FTE and $274,000 for King County Regional Homelessness Authority support.  The remaining funding would be allocated to service provider contracts.</w:t>
      </w:r>
    </w:p>
    <w:p w14:paraId="565D7FBE" w14:textId="77777777" w:rsidR="00923180" w:rsidRPr="00192908" w:rsidRDefault="00923180" w:rsidP="00923180">
      <w:pPr>
        <w:spacing w:line="264" w:lineRule="auto"/>
        <w:contextualSpacing/>
        <w:jc w:val="both"/>
        <w:rPr>
          <w:rFonts w:ascii="Arial" w:hAnsi="Arial" w:cs="Arial"/>
          <w:bCs/>
          <w:iCs/>
        </w:rPr>
      </w:pPr>
    </w:p>
    <w:p w14:paraId="5BFA75F0" w14:textId="77777777" w:rsidR="00923180" w:rsidRDefault="00923180" w:rsidP="00923180">
      <w:pPr>
        <w:spacing w:line="264" w:lineRule="auto"/>
        <w:contextualSpacing/>
        <w:jc w:val="both"/>
        <w:rPr>
          <w:rFonts w:ascii="Arial" w:hAnsi="Arial" w:cs="Arial"/>
          <w:bCs/>
          <w:iCs/>
        </w:rPr>
      </w:pPr>
      <w:r>
        <w:rPr>
          <w:rFonts w:ascii="Arial" w:hAnsi="Arial" w:cs="Arial"/>
          <w:b/>
          <w:i/>
        </w:rPr>
        <w:t>Red Lion Federal Way Hotel Purchase [$10,960,000].</w:t>
      </w:r>
      <w:r>
        <w:rPr>
          <w:rFonts w:ascii="Arial" w:hAnsi="Arial" w:cs="Arial"/>
          <w:bCs/>
          <w:iCs/>
        </w:rPr>
        <w:t xml:space="preserve">  The proposed ordinance would appropriate $10.96 million to acquire a Red Lion Hotel in Federal Way to provide shelter to homeless households.  Of the total, $8.9 million is revenue backed by an award from the Department of Commerce’s Rapid Capital Housing Acquisition Program in 2021.  The remaining funding would come from HHCDD </w:t>
      </w:r>
      <w:r w:rsidRPr="00C86F04">
        <w:rPr>
          <w:rFonts w:ascii="Arial" w:hAnsi="Arial" w:cs="Arial"/>
          <w:bCs/>
          <w:iCs/>
        </w:rPr>
        <w:t>fund balance.</w:t>
      </w:r>
      <w:r>
        <w:rPr>
          <w:rFonts w:ascii="Arial" w:hAnsi="Arial" w:cs="Arial"/>
          <w:bCs/>
          <w:iCs/>
        </w:rPr>
        <w:t xml:space="preserve">  The funding would go towards acquisition costs of the property and capital improvements are not included in the proposal.</w:t>
      </w:r>
    </w:p>
    <w:p w14:paraId="328B50D4" w14:textId="77777777" w:rsidR="00923180" w:rsidRDefault="00923180" w:rsidP="00923180">
      <w:pPr>
        <w:spacing w:line="264" w:lineRule="auto"/>
        <w:contextualSpacing/>
        <w:jc w:val="both"/>
        <w:rPr>
          <w:rFonts w:ascii="Arial" w:hAnsi="Arial" w:cs="Arial"/>
          <w:bCs/>
          <w:iCs/>
        </w:rPr>
      </w:pPr>
    </w:p>
    <w:p w14:paraId="65FB4A7E" w14:textId="2D7BDDBA" w:rsidR="00923180" w:rsidRPr="000F7FC1" w:rsidRDefault="00923180" w:rsidP="2B02CA0F">
      <w:pPr>
        <w:spacing w:line="264" w:lineRule="auto"/>
        <w:contextualSpacing/>
        <w:jc w:val="both"/>
        <w:rPr>
          <w:rFonts w:ascii="Arial" w:hAnsi="Arial" w:cs="Arial"/>
          <w:color w:val="4F81BD" w:themeColor="accent1"/>
        </w:rPr>
      </w:pPr>
      <w:r w:rsidRPr="2B02CA0F">
        <w:rPr>
          <w:rFonts w:ascii="Arial" w:hAnsi="Arial" w:cs="Arial"/>
        </w:rPr>
        <w:t>The shelter would be a 24/7 facility. Individuals experiencing homelessness would be provided shelter as a first step to working on housing barriers.  The shelter would be available to single adults and couples.</w:t>
      </w:r>
      <w:r w:rsidR="00D7578E" w:rsidRPr="2B02CA0F">
        <w:rPr>
          <w:rFonts w:ascii="Arial" w:hAnsi="Arial" w:cs="Arial"/>
        </w:rPr>
        <w:t xml:space="preserve">  </w:t>
      </w:r>
      <w:r w:rsidRPr="2B02CA0F">
        <w:rPr>
          <w:rFonts w:ascii="Arial" w:hAnsi="Arial" w:cs="Arial"/>
        </w:rPr>
        <w:t>The Executive states that the hotel was purchased in consultation and partnership with the Federal Way Mayor and city staff.  Executive staff noted that they notified the Council’s budget leadership team.  Executive staff is currently identifying community outreach needs in ad</w:t>
      </w:r>
      <w:r w:rsidR="15EF2CF8" w:rsidRPr="2B02CA0F">
        <w:rPr>
          <w:rFonts w:ascii="Arial" w:hAnsi="Arial" w:cs="Arial"/>
        </w:rPr>
        <w:t xml:space="preserve">vance </w:t>
      </w:r>
      <w:r w:rsidRPr="2B02CA0F">
        <w:rPr>
          <w:rFonts w:ascii="Arial" w:hAnsi="Arial" w:cs="Arial"/>
        </w:rPr>
        <w:t>of the opening.</w:t>
      </w:r>
      <w:r w:rsidR="4D6A3999" w:rsidRPr="2B02CA0F">
        <w:rPr>
          <w:rFonts w:ascii="Arial" w:hAnsi="Arial" w:cs="Arial"/>
        </w:rPr>
        <w:t xml:space="preserve"> </w:t>
      </w:r>
    </w:p>
    <w:p w14:paraId="7465A181" w14:textId="77777777" w:rsidR="00923180" w:rsidRDefault="00923180" w:rsidP="00923180">
      <w:pPr>
        <w:spacing w:line="264" w:lineRule="auto"/>
        <w:contextualSpacing/>
        <w:jc w:val="both"/>
        <w:rPr>
          <w:rFonts w:ascii="Arial" w:hAnsi="Arial" w:cs="Arial"/>
          <w:b/>
          <w:iCs/>
        </w:rPr>
      </w:pPr>
    </w:p>
    <w:p w14:paraId="79F1DAFB" w14:textId="77777777" w:rsidR="00923180" w:rsidRDefault="00923180" w:rsidP="00923180">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4E6AB89B" w14:textId="585C7DE4" w:rsidR="00923180" w:rsidRPr="00763557" w:rsidRDefault="00923180" w:rsidP="00923180">
      <w:pPr>
        <w:spacing w:line="264" w:lineRule="auto"/>
        <w:contextualSpacing/>
        <w:jc w:val="both"/>
        <w:rPr>
          <w:rFonts w:ascii="Arial" w:hAnsi="Arial" w:cs="Arial"/>
          <w:bCs/>
          <w:iCs/>
        </w:rPr>
      </w:pPr>
      <w:r>
        <w:rPr>
          <w:rFonts w:ascii="Arial" w:hAnsi="Arial" w:cs="Arial"/>
          <w:b/>
          <w:i/>
        </w:rPr>
        <w:t>BSK Renewal – Youth and Family Homelessness Prevention Initiative</w:t>
      </w:r>
      <w:r w:rsidRPr="0054665B">
        <w:rPr>
          <w:rFonts w:ascii="Arial" w:hAnsi="Arial" w:cs="Arial"/>
          <w:b/>
          <w:i/>
        </w:rPr>
        <w:t xml:space="preserve"> </w:t>
      </w:r>
      <w:r>
        <w:rPr>
          <w:rFonts w:ascii="Arial" w:hAnsi="Arial" w:cs="Arial"/>
          <w:b/>
          <w:i/>
        </w:rPr>
        <w:t>[$97,290]</w:t>
      </w:r>
      <w:r w:rsidRPr="0054665B">
        <w:rPr>
          <w:rFonts w:ascii="Arial" w:hAnsi="Arial" w:cs="Arial"/>
          <w:b/>
          <w:i/>
        </w:rPr>
        <w:t>.</w:t>
      </w:r>
      <w:r>
        <w:rPr>
          <w:rFonts w:ascii="Arial" w:hAnsi="Arial" w:cs="Arial"/>
          <w:bCs/>
          <w:iCs/>
        </w:rPr>
        <w:t xml:space="preserve">  The proposed ordinance would increase the appropriation to the Youth and Family Homelessness Prevention Initiative by $97,290 to align funding the level of funding proposed in the BSK Implementation Plan.  The Implementation Plan proposes this increase to support equitable pay for case managers.  The Plan states that this will “positively impact workforce turnover and improve service quality.”</w:t>
      </w:r>
      <w:r>
        <w:rPr>
          <w:rStyle w:val="FootnoteReference"/>
          <w:rFonts w:ascii="Arial" w:hAnsi="Arial" w:cs="Arial"/>
          <w:bCs/>
          <w:iCs/>
        </w:rPr>
        <w:footnoteReference w:id="42"/>
      </w:r>
      <w:r>
        <w:rPr>
          <w:rFonts w:ascii="Arial" w:hAnsi="Arial" w:cs="Arial"/>
          <w:bCs/>
          <w:iCs/>
        </w:rPr>
        <w:t xml:space="preserve">  More information on the BSK renewal can be found in the Best Starts for Kid section </w:t>
      </w:r>
      <w:r w:rsidR="0098133D">
        <w:rPr>
          <w:rFonts w:ascii="Arial" w:hAnsi="Arial" w:cs="Arial"/>
          <w:bCs/>
          <w:iCs/>
        </w:rPr>
        <w:t>of</w:t>
      </w:r>
      <w:r>
        <w:rPr>
          <w:rFonts w:ascii="Arial" w:hAnsi="Arial" w:cs="Arial"/>
          <w:bCs/>
          <w:iCs/>
        </w:rPr>
        <w:t xml:space="preserve"> this staff report.</w:t>
      </w:r>
    </w:p>
    <w:p w14:paraId="6F390206" w14:textId="77777777" w:rsidR="00923180" w:rsidRDefault="00923180" w:rsidP="00923180">
      <w:pPr>
        <w:spacing w:line="264" w:lineRule="auto"/>
        <w:contextualSpacing/>
        <w:jc w:val="both"/>
        <w:rPr>
          <w:rFonts w:ascii="Arial" w:hAnsi="Arial" w:cs="Arial"/>
          <w:b/>
          <w:i/>
        </w:rPr>
      </w:pPr>
    </w:p>
    <w:p w14:paraId="790F99B6" w14:textId="425F1F78" w:rsidR="00923180" w:rsidRPr="0064341E" w:rsidRDefault="00923180" w:rsidP="00923180">
      <w:pPr>
        <w:spacing w:line="264" w:lineRule="auto"/>
        <w:contextualSpacing/>
        <w:jc w:val="both"/>
        <w:rPr>
          <w:rFonts w:ascii="Arial" w:hAnsi="Arial" w:cs="Arial"/>
          <w:bCs/>
          <w:iCs/>
        </w:rPr>
      </w:pPr>
      <w:r>
        <w:rPr>
          <w:rFonts w:ascii="Arial" w:hAnsi="Arial" w:cs="Arial"/>
          <w:b/>
          <w:i/>
        </w:rPr>
        <w:t>MIDD Restoration and Economic Adjustment to HCD Housing Supportive Services [$265,039].</w:t>
      </w:r>
      <w:r>
        <w:rPr>
          <w:rFonts w:ascii="Arial" w:hAnsi="Arial" w:cs="Arial"/>
          <w:bCs/>
          <w:iCs/>
        </w:rPr>
        <w:t xml:space="preserve">  The proposed ordinance would increase the MIDD appropriation to HHCDD Housing Supportive services by $265,039 to reflect an economic adjustment as well as restoration of a 5% cut that this initiative took as part of the 2021-2022 budget reductions.  The Executive states that restoring this cut will increase the funding that HHCDD has available for operations, rental </w:t>
      </w:r>
      <w:r w:rsidR="0031646B">
        <w:rPr>
          <w:rFonts w:ascii="Arial" w:hAnsi="Arial" w:cs="Arial"/>
          <w:bCs/>
          <w:iCs/>
        </w:rPr>
        <w:t>assistance,</w:t>
      </w:r>
      <w:r>
        <w:rPr>
          <w:rFonts w:ascii="Arial" w:hAnsi="Arial" w:cs="Arial"/>
          <w:bCs/>
          <w:iCs/>
        </w:rPr>
        <w:t xml:space="preserve"> and services at its housing facilities.  The economic adjustment would reflect the increased cost of providing services between 2019, when economic adjustments were last given, and 2021.</w:t>
      </w:r>
    </w:p>
    <w:p w14:paraId="6688CCEE" w14:textId="77777777" w:rsidR="00923180" w:rsidRDefault="00923180" w:rsidP="00923180">
      <w:pPr>
        <w:spacing w:line="264" w:lineRule="auto"/>
        <w:contextualSpacing/>
        <w:jc w:val="both"/>
        <w:rPr>
          <w:rFonts w:ascii="Arial" w:hAnsi="Arial" w:cs="Arial"/>
          <w:b/>
          <w:i/>
        </w:rPr>
      </w:pPr>
    </w:p>
    <w:p w14:paraId="292AC35E" w14:textId="77777777" w:rsidR="00923180" w:rsidRPr="00C97FF8" w:rsidRDefault="00923180" w:rsidP="00923180">
      <w:pPr>
        <w:tabs>
          <w:tab w:val="left" w:pos="8452"/>
        </w:tabs>
        <w:spacing w:line="264" w:lineRule="auto"/>
        <w:contextualSpacing/>
        <w:jc w:val="both"/>
        <w:rPr>
          <w:rFonts w:ascii="Arial" w:hAnsi="Arial" w:cs="Arial"/>
          <w:bCs/>
          <w:iCs/>
        </w:rPr>
      </w:pPr>
      <w:r>
        <w:rPr>
          <w:rFonts w:ascii="Arial" w:hAnsi="Arial" w:cs="Arial"/>
          <w:b/>
          <w:i/>
        </w:rPr>
        <w:t>MIDD Economic Adjustment to HCD Housing Capital &amp; Rent [$21,234].</w:t>
      </w:r>
      <w:r>
        <w:rPr>
          <w:rFonts w:ascii="Arial" w:hAnsi="Arial" w:cs="Arial"/>
          <w:b/>
          <w:iCs/>
        </w:rPr>
        <w:t xml:space="preserve">  </w:t>
      </w:r>
      <w:r>
        <w:rPr>
          <w:rFonts w:ascii="Arial" w:hAnsi="Arial" w:cs="Arial"/>
          <w:bCs/>
          <w:iCs/>
        </w:rPr>
        <w:t xml:space="preserve">The proposed ordinance would increase the MIDD appropriation to HHCDD Housing Capital </w:t>
      </w:r>
      <w:r>
        <w:rPr>
          <w:rFonts w:ascii="Arial" w:hAnsi="Arial" w:cs="Arial"/>
          <w:bCs/>
          <w:iCs/>
        </w:rPr>
        <w:lastRenderedPageBreak/>
        <w:t>and Rent by $21,234 to reflect the increased cost of providing services between 2019, when economic adjustments were last given, and 2021.</w:t>
      </w:r>
    </w:p>
    <w:p w14:paraId="6895BF1E" w14:textId="77777777" w:rsidR="00923180" w:rsidRDefault="00923180" w:rsidP="00923180">
      <w:pPr>
        <w:spacing w:line="264" w:lineRule="auto"/>
        <w:contextualSpacing/>
        <w:jc w:val="both"/>
        <w:rPr>
          <w:rFonts w:ascii="Arial" w:hAnsi="Arial" w:cs="Arial"/>
          <w:b/>
          <w:iCs/>
        </w:rPr>
      </w:pPr>
    </w:p>
    <w:p w14:paraId="53D1D729" w14:textId="77777777" w:rsidR="00923180" w:rsidRDefault="00923180" w:rsidP="00923180">
      <w:pPr>
        <w:spacing w:line="264" w:lineRule="auto"/>
        <w:contextualSpacing/>
        <w:jc w:val="both"/>
        <w:rPr>
          <w:rFonts w:ascii="Arial" w:hAnsi="Arial" w:cs="Arial"/>
          <w:b/>
          <w:i/>
        </w:rPr>
      </w:pPr>
      <w:r>
        <w:rPr>
          <w:rFonts w:ascii="Arial" w:hAnsi="Arial" w:cs="Arial"/>
          <w:b/>
          <w:i/>
        </w:rPr>
        <w:t>MIDD Economic Adjustment to HCD Family Intervention Restorative Services [$33,067].</w:t>
      </w:r>
      <w:r w:rsidRPr="00F152B1">
        <w:rPr>
          <w:rFonts w:ascii="Arial" w:hAnsi="Arial" w:cs="Arial"/>
          <w:bCs/>
          <w:iCs/>
        </w:rPr>
        <w:t xml:space="preserve"> </w:t>
      </w:r>
      <w:r>
        <w:rPr>
          <w:rFonts w:ascii="Arial" w:hAnsi="Arial" w:cs="Arial"/>
          <w:bCs/>
          <w:iCs/>
        </w:rPr>
        <w:t xml:space="preserve"> The proposed ordinance would increase the MIDD appropriation to HHCDD Family Intervention Restorative Services (FIRS) by $21,234 to reflect the increased cost of providing services between 2019, when economic adjustments were last given, and 2021.</w:t>
      </w:r>
    </w:p>
    <w:p w14:paraId="34382400" w14:textId="77777777" w:rsidR="00923180" w:rsidRDefault="00923180" w:rsidP="00923180">
      <w:pPr>
        <w:spacing w:line="264" w:lineRule="auto"/>
        <w:contextualSpacing/>
        <w:jc w:val="both"/>
        <w:rPr>
          <w:rFonts w:ascii="Arial" w:hAnsi="Arial" w:cs="Arial"/>
          <w:b/>
          <w:i/>
        </w:rPr>
      </w:pPr>
    </w:p>
    <w:p w14:paraId="4CE94390" w14:textId="1864956E" w:rsidR="00923180" w:rsidRPr="006D3FF8" w:rsidRDefault="00923180" w:rsidP="00923180">
      <w:pPr>
        <w:spacing w:line="264" w:lineRule="auto"/>
        <w:contextualSpacing/>
        <w:jc w:val="both"/>
        <w:rPr>
          <w:rFonts w:ascii="Arial" w:hAnsi="Arial" w:cs="Arial"/>
          <w:b/>
          <w:iCs/>
        </w:rPr>
      </w:pPr>
      <w:r>
        <w:rPr>
          <w:rFonts w:ascii="Arial" w:hAnsi="Arial" w:cs="Arial"/>
          <w:b/>
          <w:i/>
        </w:rPr>
        <w:t>Health through Housing (</w:t>
      </w:r>
      <w:proofErr w:type="spellStart"/>
      <w:r>
        <w:rPr>
          <w:rFonts w:ascii="Arial" w:hAnsi="Arial" w:cs="Arial"/>
          <w:b/>
          <w:i/>
        </w:rPr>
        <w:t>HtH</w:t>
      </w:r>
      <w:proofErr w:type="spellEnd"/>
      <w:r>
        <w:rPr>
          <w:rFonts w:ascii="Arial" w:hAnsi="Arial" w:cs="Arial"/>
          <w:b/>
          <w:i/>
        </w:rPr>
        <w:t xml:space="preserve">) Implementation Plan Adjustments [$289,375].  </w:t>
      </w:r>
      <w:r>
        <w:rPr>
          <w:rFonts w:ascii="Arial" w:hAnsi="Arial" w:cs="Arial"/>
          <w:bCs/>
          <w:iCs/>
        </w:rPr>
        <w:t xml:space="preserve">The proposed ordinance would increase the appropriation authority of HHCDD by $289,375 to align revenues and expenditures with the proposed </w:t>
      </w:r>
      <w:proofErr w:type="spellStart"/>
      <w:r>
        <w:rPr>
          <w:rFonts w:ascii="Arial" w:hAnsi="Arial" w:cs="Arial"/>
          <w:bCs/>
          <w:iCs/>
        </w:rPr>
        <w:t>HtH</w:t>
      </w:r>
      <w:proofErr w:type="spellEnd"/>
      <w:r>
        <w:rPr>
          <w:rFonts w:ascii="Arial" w:hAnsi="Arial" w:cs="Arial"/>
          <w:bCs/>
          <w:iCs/>
        </w:rPr>
        <w:t xml:space="preserve"> Initial Implementation Plan.  The Executive states that the amounts previously appropriated to HHCDD were during the 2021-2022 biennial budget development, prior to the Initial Implementation Plan development, and did not reflect the full appropriation needed to implement the </w:t>
      </w:r>
      <w:proofErr w:type="spellStart"/>
      <w:r>
        <w:rPr>
          <w:rFonts w:ascii="Arial" w:hAnsi="Arial" w:cs="Arial"/>
          <w:bCs/>
          <w:iCs/>
        </w:rPr>
        <w:t>HtH</w:t>
      </w:r>
      <w:proofErr w:type="spellEnd"/>
      <w:r>
        <w:rPr>
          <w:rFonts w:ascii="Arial" w:hAnsi="Arial" w:cs="Arial"/>
          <w:bCs/>
          <w:iCs/>
        </w:rPr>
        <w:t xml:space="preserve"> Initial Implementation Plan as proposed in Proposed Ordinance 2021-0330.  More information on the Health through Housing Initial Implementation Plan can be found in the Health through Housing section </w:t>
      </w:r>
      <w:r w:rsidR="0098133D">
        <w:rPr>
          <w:rFonts w:ascii="Arial" w:hAnsi="Arial" w:cs="Arial"/>
          <w:bCs/>
          <w:iCs/>
        </w:rPr>
        <w:t>of</w:t>
      </w:r>
      <w:r>
        <w:rPr>
          <w:rFonts w:ascii="Arial" w:hAnsi="Arial" w:cs="Arial"/>
          <w:bCs/>
          <w:iCs/>
        </w:rPr>
        <w:t xml:space="preserve"> this staff report</w:t>
      </w:r>
    </w:p>
    <w:p w14:paraId="5299A900" w14:textId="7D29DBF8" w:rsidR="005F199B" w:rsidRDefault="005F199B" w:rsidP="00AB45DE">
      <w:pPr>
        <w:tabs>
          <w:tab w:val="left" w:pos="720"/>
          <w:tab w:val="right" w:pos="9360"/>
        </w:tabs>
        <w:spacing w:line="264" w:lineRule="auto"/>
        <w:contextualSpacing/>
        <w:jc w:val="both"/>
        <w:rPr>
          <w:rFonts w:ascii="Arial" w:hAnsi="Arial" w:cs="Arial"/>
          <w:b/>
          <w:u w:val="single"/>
        </w:rPr>
      </w:pPr>
    </w:p>
    <w:p w14:paraId="49E8BD0B" w14:textId="00A923E5" w:rsidR="00D171ED" w:rsidRDefault="00D171ED" w:rsidP="00AB45DE">
      <w:pPr>
        <w:tabs>
          <w:tab w:val="left" w:pos="720"/>
          <w:tab w:val="right" w:pos="9360"/>
        </w:tabs>
        <w:spacing w:line="264" w:lineRule="auto"/>
        <w:contextualSpacing/>
        <w:jc w:val="both"/>
        <w:rPr>
          <w:rFonts w:ascii="Arial" w:hAnsi="Arial" w:cs="Arial"/>
          <w:b/>
          <w:u w:val="single"/>
        </w:rPr>
      </w:pPr>
    </w:p>
    <w:p w14:paraId="754E4E1D" w14:textId="77777777" w:rsidR="00D171ED" w:rsidRPr="000E7446" w:rsidRDefault="00D171ED" w:rsidP="00D171ED">
      <w:pPr>
        <w:tabs>
          <w:tab w:val="left" w:pos="720"/>
          <w:tab w:val="right" w:pos="9360"/>
        </w:tabs>
        <w:spacing w:line="264" w:lineRule="auto"/>
        <w:contextualSpacing/>
        <w:jc w:val="both"/>
        <w:rPr>
          <w:rFonts w:ascii="Arial" w:hAnsi="Arial" w:cs="Arial"/>
          <w:b/>
          <w:u w:val="single"/>
        </w:rPr>
      </w:pPr>
      <w:r>
        <w:rPr>
          <w:rFonts w:ascii="Arial" w:hAnsi="Arial" w:cs="Arial"/>
          <w:b/>
          <w:u w:val="single"/>
        </w:rPr>
        <w:t>Solid Waste</w:t>
      </w:r>
      <w:r w:rsidRPr="000E7446">
        <w:rPr>
          <w:rFonts w:ascii="Arial" w:hAnsi="Arial" w:cs="Arial"/>
          <w:b/>
          <w:u w:val="single"/>
        </w:rPr>
        <w:tab/>
        <w:t>$</w:t>
      </w:r>
      <w:r>
        <w:rPr>
          <w:rFonts w:ascii="Arial" w:hAnsi="Arial" w:cs="Arial"/>
          <w:b/>
          <w:u w:val="single"/>
        </w:rPr>
        <w:t>548,000, 19.0 FTEs</w:t>
      </w:r>
    </w:p>
    <w:p w14:paraId="58179603" w14:textId="77777777" w:rsidR="00D171ED" w:rsidRDefault="00D171ED" w:rsidP="00D171ED">
      <w:pPr>
        <w:spacing w:line="264" w:lineRule="auto"/>
        <w:contextualSpacing/>
        <w:jc w:val="both"/>
        <w:rPr>
          <w:b/>
        </w:rPr>
      </w:pPr>
    </w:p>
    <w:p w14:paraId="1BE2C516" w14:textId="77777777" w:rsidR="00D171ED" w:rsidRDefault="00D171ED" w:rsidP="00D171ED">
      <w:pPr>
        <w:spacing w:line="264" w:lineRule="auto"/>
        <w:contextualSpacing/>
        <w:jc w:val="both"/>
        <w:rPr>
          <w:rFonts w:ascii="Arial" w:hAnsi="Arial" w:cs="Arial"/>
        </w:rPr>
      </w:pPr>
      <w:r>
        <w:rPr>
          <w:rFonts w:ascii="Arial" w:hAnsi="Arial" w:cs="Arial"/>
          <w:b/>
          <w:i/>
          <w:iCs/>
        </w:rPr>
        <w:t>Cedar Hills Dedicated Work Crew</w:t>
      </w:r>
      <w:r w:rsidRPr="0054665B">
        <w:rPr>
          <w:rFonts w:ascii="Arial" w:hAnsi="Arial" w:cs="Arial"/>
          <w:b/>
          <w:i/>
          <w:iCs/>
        </w:rPr>
        <w:t xml:space="preserve"> </w:t>
      </w:r>
      <w:r>
        <w:rPr>
          <w:rFonts w:ascii="Arial" w:hAnsi="Arial" w:cs="Arial"/>
          <w:b/>
          <w:i/>
          <w:iCs/>
        </w:rPr>
        <w:t>[$0, 6.0 FTEs, ongoing]</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add authority for 6.0 FTEs for a permanent work crew at the Cedar Hills Regional Landfill.  According to Executive staff, these positions would perform specific system maintenance activities related to landfill gas, stormwater, and other landfill systems, as well as general maintenance activities at the landfill (e.g., mowing, fence repair, etc.).  Budget documentation indicates that establishing a dedicated work crew would eliminate the need to pull work crews from transfer stations.  Executive staff note that currently, maintenance work at Cedar Hills is completed when there is time and staffing available from transfer station work crews and so upkeep and maintenance work at the landfill are often deferred due to demands at transfer stations and other facilities.  A dedicated work crew, according to Executive staff, would allow the County to keep up with maintenance jobs and maintain all Solid Waste Division (SWD) sites equally, as well as allow SWD to start being more proactive with maintenance.</w:t>
      </w:r>
    </w:p>
    <w:p w14:paraId="65AFA838" w14:textId="77777777" w:rsidR="00D171ED" w:rsidRDefault="00D171ED" w:rsidP="00D171ED">
      <w:pPr>
        <w:spacing w:line="264" w:lineRule="auto"/>
        <w:contextualSpacing/>
        <w:jc w:val="both"/>
        <w:rPr>
          <w:rFonts w:ascii="Arial" w:hAnsi="Arial" w:cs="Arial"/>
        </w:rPr>
      </w:pPr>
    </w:p>
    <w:p w14:paraId="1ED55446" w14:textId="33A758EE" w:rsidR="00D171ED" w:rsidRDefault="00D171ED" w:rsidP="00D171ED">
      <w:pPr>
        <w:spacing w:line="264" w:lineRule="auto"/>
        <w:contextualSpacing/>
        <w:jc w:val="both"/>
        <w:rPr>
          <w:rFonts w:ascii="Arial" w:hAnsi="Arial" w:cs="Arial"/>
        </w:rPr>
      </w:pPr>
      <w:r>
        <w:rPr>
          <w:rFonts w:ascii="Arial" w:hAnsi="Arial" w:cs="Arial"/>
        </w:rPr>
        <w:t xml:space="preserve">Budget documents indicate that no appropriation has been requested for these positions in the proposed ordinance because the expenditures for the positions would be offset with decreases in budgeted overtime.  According to Executive staff, </w:t>
      </w:r>
      <w:r w:rsidR="0031646B">
        <w:rPr>
          <w:rFonts w:ascii="Arial" w:hAnsi="Arial" w:cs="Arial"/>
        </w:rPr>
        <w:t>wages,</w:t>
      </w:r>
      <w:r>
        <w:rPr>
          <w:rFonts w:ascii="Arial" w:hAnsi="Arial" w:cs="Arial"/>
        </w:rPr>
        <w:t xml:space="preserve"> and benefits for the remainder of 2021 and 2022 are estimated at approximately $827,000. These positions are expected to continue into future biennia.</w:t>
      </w:r>
    </w:p>
    <w:p w14:paraId="790EB26E" w14:textId="77777777" w:rsidR="00D171ED" w:rsidRDefault="00D171ED" w:rsidP="00D171ED">
      <w:pPr>
        <w:spacing w:line="264" w:lineRule="auto"/>
        <w:contextualSpacing/>
        <w:jc w:val="both"/>
        <w:rPr>
          <w:rFonts w:ascii="Arial" w:hAnsi="Arial" w:cs="Arial"/>
        </w:rPr>
      </w:pPr>
    </w:p>
    <w:p w14:paraId="43E01E39" w14:textId="77777777" w:rsidR="00D171ED" w:rsidRDefault="00D171ED" w:rsidP="00D171ED">
      <w:pPr>
        <w:spacing w:line="264" w:lineRule="auto"/>
        <w:contextualSpacing/>
        <w:jc w:val="both"/>
        <w:rPr>
          <w:rFonts w:ascii="Arial" w:hAnsi="Arial" w:cs="Arial"/>
        </w:rPr>
      </w:pPr>
      <w:r>
        <w:rPr>
          <w:rFonts w:ascii="Arial" w:hAnsi="Arial" w:cs="Arial"/>
          <w:b/>
          <w:i/>
          <w:iCs/>
        </w:rPr>
        <w:t>Transfer Station Operators [$0, 10.0 FTEs, ongoing]</w:t>
      </w:r>
      <w:r w:rsidRPr="0054665B">
        <w:rPr>
          <w:rFonts w:ascii="Arial" w:hAnsi="Arial" w:cs="Arial"/>
          <w:b/>
          <w:i/>
          <w:iCs/>
        </w:rPr>
        <w:t>.</w:t>
      </w:r>
      <w:r>
        <w:rPr>
          <w:rFonts w:ascii="Arial" w:hAnsi="Arial" w:cs="Arial"/>
          <w:b/>
        </w:rPr>
        <w:t xml:space="preserve">  </w:t>
      </w:r>
      <w:r w:rsidRPr="003D194D">
        <w:rPr>
          <w:rFonts w:ascii="Arial" w:hAnsi="Arial" w:cs="Arial"/>
        </w:rPr>
        <w:t>The</w:t>
      </w:r>
      <w:r>
        <w:rPr>
          <w:rFonts w:ascii="Arial" w:hAnsi="Arial" w:cs="Arial"/>
        </w:rPr>
        <w:t xml:space="preserve"> proposed ordinance would add authority for 10.0 FTEs for transfer station operator positions.  Budget documentation indicates these positions are needed to support regular operations </w:t>
      </w:r>
      <w:r>
        <w:rPr>
          <w:rFonts w:ascii="Arial" w:hAnsi="Arial" w:cs="Arial"/>
        </w:rPr>
        <w:lastRenderedPageBreak/>
        <w:t>across the transfer station network.  According to Executive staff, an analysis of the transfer station roster and leave usage for the past three years determined that 78 FTEs would be needed to cover standard operations, which is an increase of five FTEs from the current level.  Executive staff indicate that an additional five regular part time FTEs would be used to cover overtime resulting from seasonal fluctuations in business, emergency response, and leave coverage, as there has been 5-6 transfer station operators calling in sick per day.  Executive staff also note that labor agreements do not allow the Solid Waste Division to mandate overtime and filling needed hours has become more difficult due to employee fatigue.</w:t>
      </w:r>
    </w:p>
    <w:p w14:paraId="07F438B8" w14:textId="77777777" w:rsidR="00D171ED" w:rsidRDefault="00D171ED" w:rsidP="00D171ED">
      <w:pPr>
        <w:spacing w:line="264" w:lineRule="auto"/>
        <w:contextualSpacing/>
        <w:jc w:val="both"/>
        <w:rPr>
          <w:rFonts w:ascii="Arial" w:hAnsi="Arial" w:cs="Arial"/>
        </w:rPr>
      </w:pPr>
    </w:p>
    <w:p w14:paraId="3F308D50" w14:textId="664564B5" w:rsidR="00D171ED" w:rsidRDefault="00D171ED" w:rsidP="00D171ED">
      <w:pPr>
        <w:spacing w:line="264" w:lineRule="auto"/>
        <w:contextualSpacing/>
        <w:jc w:val="both"/>
        <w:rPr>
          <w:rFonts w:ascii="Arial" w:hAnsi="Arial" w:cs="Arial"/>
        </w:rPr>
      </w:pPr>
      <w:r>
        <w:rPr>
          <w:rFonts w:ascii="Arial" w:hAnsi="Arial" w:cs="Arial"/>
        </w:rPr>
        <w:t xml:space="preserve">Budget documents indicate that no appropriation has been requested for these positions in the proposed ordinance because the expenditures for the positions would be offset with decreases in the budgeted overtime.  According to Executive staff, </w:t>
      </w:r>
      <w:r w:rsidR="0031646B">
        <w:rPr>
          <w:rFonts w:ascii="Arial" w:hAnsi="Arial" w:cs="Arial"/>
        </w:rPr>
        <w:t>wages,</w:t>
      </w:r>
      <w:r>
        <w:rPr>
          <w:rFonts w:ascii="Arial" w:hAnsi="Arial" w:cs="Arial"/>
        </w:rPr>
        <w:t xml:space="preserve"> and benefits for the remainder of 2021 and 2022 are estimated at approximately $1.4 million. These positions are expected to continue into future biennia.</w:t>
      </w:r>
    </w:p>
    <w:p w14:paraId="44A9FED1" w14:textId="77777777" w:rsidR="00D171ED" w:rsidRDefault="00D171ED" w:rsidP="00D171ED">
      <w:pPr>
        <w:spacing w:line="264" w:lineRule="auto"/>
        <w:contextualSpacing/>
        <w:jc w:val="both"/>
        <w:rPr>
          <w:rFonts w:ascii="Arial" w:hAnsi="Arial" w:cs="Arial"/>
        </w:rPr>
      </w:pPr>
    </w:p>
    <w:p w14:paraId="48A18013" w14:textId="77777777" w:rsidR="00D171ED" w:rsidRDefault="00D171ED" w:rsidP="00D171ED">
      <w:pPr>
        <w:spacing w:line="264" w:lineRule="auto"/>
        <w:contextualSpacing/>
        <w:jc w:val="both"/>
        <w:rPr>
          <w:rFonts w:ascii="Arial" w:hAnsi="Arial" w:cs="Arial"/>
        </w:rPr>
      </w:pPr>
      <w:r>
        <w:rPr>
          <w:rFonts w:ascii="Arial" w:hAnsi="Arial" w:cs="Arial"/>
          <w:b/>
          <w:bCs/>
          <w:i/>
          <w:iCs/>
        </w:rPr>
        <w:t xml:space="preserve">Transfer Station Supervisors [$547,600, 3.0 FTEs, ongoing].  </w:t>
      </w:r>
      <w:r>
        <w:rPr>
          <w:rFonts w:ascii="Arial" w:hAnsi="Arial" w:cs="Arial"/>
        </w:rPr>
        <w:t>The proposed ordinance would appropriate $547,600 and add authority for 3.0 FTEs for transfer station supervisor positions.  Budget documentation indicates that adding these positions would allow for better coverage across the solid waste system and that currently, supervisors are limited to spending fifteen percent of their time at each station they cover.  According to Executive staff, with the expansion of the Sort It Out recycling program, transfer station employees are in need of more onsite support and an onsite supervisor presence allows them to work with the public as needed, engage with employees, and provide incident response.</w:t>
      </w:r>
    </w:p>
    <w:p w14:paraId="76BB452C" w14:textId="77777777" w:rsidR="00D171ED" w:rsidRDefault="00D171ED" w:rsidP="00D171ED">
      <w:pPr>
        <w:spacing w:line="264" w:lineRule="auto"/>
        <w:contextualSpacing/>
        <w:jc w:val="both"/>
        <w:rPr>
          <w:rFonts w:ascii="Arial" w:hAnsi="Arial" w:cs="Arial"/>
        </w:rPr>
      </w:pPr>
    </w:p>
    <w:p w14:paraId="095994E3" w14:textId="77777777" w:rsidR="00D171ED" w:rsidRDefault="00D171ED" w:rsidP="00D171ED">
      <w:pPr>
        <w:spacing w:line="264" w:lineRule="auto"/>
        <w:contextualSpacing/>
        <w:jc w:val="both"/>
        <w:rPr>
          <w:rFonts w:ascii="Arial" w:hAnsi="Arial" w:cs="Arial"/>
        </w:rPr>
      </w:pPr>
      <w:r>
        <w:rPr>
          <w:rFonts w:ascii="Arial" w:hAnsi="Arial" w:cs="Arial"/>
        </w:rPr>
        <w:t>According to Executive staff, the appropriation request of $547,600 represents the full wages and benefits costs estimated for the remainder of 2021 and 2022, which would be funded through fund balance.  These positions are expected to continue into future biennia.</w:t>
      </w:r>
    </w:p>
    <w:p w14:paraId="4CB16B28" w14:textId="77777777" w:rsidR="00D171ED" w:rsidRDefault="00D171ED" w:rsidP="00D171ED">
      <w:pPr>
        <w:spacing w:line="264" w:lineRule="auto"/>
        <w:contextualSpacing/>
        <w:jc w:val="both"/>
        <w:rPr>
          <w:rFonts w:ascii="Arial" w:hAnsi="Arial" w:cs="Arial"/>
        </w:rPr>
      </w:pPr>
    </w:p>
    <w:p w14:paraId="4D68BB31" w14:textId="77777777" w:rsidR="00D171ED" w:rsidRDefault="00D171ED" w:rsidP="00D171ED">
      <w:pPr>
        <w:spacing w:line="264" w:lineRule="auto"/>
        <w:contextualSpacing/>
        <w:jc w:val="both"/>
        <w:rPr>
          <w:rFonts w:ascii="Arial" w:hAnsi="Arial" w:cs="Arial"/>
          <w:b/>
          <w:iCs/>
        </w:rPr>
      </w:pPr>
      <w:r w:rsidRPr="006D3FF8">
        <w:rPr>
          <w:rFonts w:ascii="Arial" w:hAnsi="Arial" w:cs="Arial"/>
          <w:b/>
          <w:iCs/>
        </w:rPr>
        <w:t>TECHNICA</w:t>
      </w:r>
      <w:r>
        <w:rPr>
          <w:rFonts w:ascii="Arial" w:hAnsi="Arial" w:cs="Arial"/>
          <w:b/>
          <w:iCs/>
        </w:rPr>
        <w:t>L</w:t>
      </w:r>
    </w:p>
    <w:p w14:paraId="45E22297" w14:textId="77777777" w:rsidR="00D171ED" w:rsidRDefault="00D171ED" w:rsidP="00D171ED">
      <w:pPr>
        <w:spacing w:line="264" w:lineRule="auto"/>
        <w:contextualSpacing/>
        <w:jc w:val="both"/>
        <w:rPr>
          <w:rFonts w:ascii="Arial" w:hAnsi="Arial" w:cs="Arial"/>
          <w:iCs/>
        </w:rPr>
      </w:pPr>
      <w:r>
        <w:rPr>
          <w:rFonts w:ascii="Arial" w:hAnsi="Arial" w:cs="Arial"/>
          <w:b/>
          <w:i/>
        </w:rPr>
        <w:t>Technical Corrections to Expenditure Restrictions ER2 and ER3</w:t>
      </w:r>
      <w:r w:rsidRPr="0054665B">
        <w:rPr>
          <w:rFonts w:ascii="Arial" w:hAnsi="Arial" w:cs="Arial"/>
          <w:b/>
          <w:i/>
        </w:rPr>
        <w:t>.</w:t>
      </w:r>
      <w:r>
        <w:rPr>
          <w:rFonts w:ascii="Arial" w:hAnsi="Arial" w:cs="Arial"/>
          <w:b/>
          <w:iCs/>
        </w:rPr>
        <w:t xml:space="preserve">  </w:t>
      </w:r>
      <w:r w:rsidRPr="006D3FF8">
        <w:rPr>
          <w:rFonts w:ascii="Arial" w:hAnsi="Arial" w:cs="Arial"/>
          <w:iCs/>
        </w:rPr>
        <w:t xml:space="preserve">The proposed ordinance would </w:t>
      </w:r>
      <w:r>
        <w:rPr>
          <w:rFonts w:ascii="Arial" w:hAnsi="Arial" w:cs="Arial"/>
          <w:iCs/>
        </w:rPr>
        <w:t>make technical corrections to Expenditure Restrictions ER2 and ER3 in the Solid Waste operating fund.  Specifically, the technical changes in the proposed ordinance would:</w:t>
      </w:r>
    </w:p>
    <w:p w14:paraId="0F55C1E4" w14:textId="77777777" w:rsidR="00D171ED" w:rsidRDefault="00D171ED" w:rsidP="00D171ED">
      <w:pPr>
        <w:pStyle w:val="ListParagraph0"/>
        <w:numPr>
          <w:ilvl w:val="0"/>
          <w:numId w:val="35"/>
        </w:numPr>
        <w:spacing w:line="264" w:lineRule="auto"/>
        <w:contextualSpacing/>
        <w:jc w:val="both"/>
        <w:rPr>
          <w:rFonts w:ascii="Arial" w:hAnsi="Arial" w:cs="Arial"/>
          <w:iCs/>
        </w:rPr>
      </w:pPr>
      <w:r>
        <w:rPr>
          <w:rFonts w:ascii="Arial" w:hAnsi="Arial" w:cs="Arial"/>
          <w:iCs/>
        </w:rPr>
        <w:t>R</w:t>
      </w:r>
      <w:r w:rsidRPr="00F86AD0">
        <w:rPr>
          <w:rFonts w:ascii="Arial" w:hAnsi="Arial" w:cs="Arial"/>
          <w:iCs/>
        </w:rPr>
        <w:t xml:space="preserve">eplace a proposed ordinance number with an enacted ordinance number in Expenditure Restriction ER2, which </w:t>
      </w:r>
      <w:r>
        <w:rPr>
          <w:rFonts w:ascii="Arial" w:hAnsi="Arial" w:cs="Arial"/>
          <w:iCs/>
        </w:rPr>
        <w:t>restricts funds to personnel costs related to the Juneteenth holiday in 2022; and</w:t>
      </w:r>
    </w:p>
    <w:p w14:paraId="67FC02CB" w14:textId="77777777" w:rsidR="00D171ED" w:rsidRDefault="00D171ED" w:rsidP="00D171ED">
      <w:pPr>
        <w:pStyle w:val="ListParagraph0"/>
        <w:numPr>
          <w:ilvl w:val="0"/>
          <w:numId w:val="35"/>
        </w:numPr>
        <w:spacing w:line="264" w:lineRule="auto"/>
        <w:contextualSpacing/>
        <w:jc w:val="both"/>
        <w:rPr>
          <w:rFonts w:ascii="Arial" w:hAnsi="Arial" w:cs="Arial"/>
          <w:iCs/>
        </w:rPr>
      </w:pPr>
      <w:r>
        <w:rPr>
          <w:rFonts w:ascii="Arial" w:hAnsi="Arial" w:cs="Arial"/>
          <w:iCs/>
        </w:rPr>
        <w:t>C</w:t>
      </w:r>
      <w:r w:rsidRPr="00F86AD0">
        <w:rPr>
          <w:rFonts w:ascii="Arial" w:hAnsi="Arial" w:cs="Arial"/>
          <w:iCs/>
        </w:rPr>
        <w:t>orrect the spelling of the word "aerial" in Expenditure Restriction ER3, which requests the Office of Performance, Strategy and Budget to hire a contractor to conduct a study using aerial technology to estimate fugitive landfill emissions</w:t>
      </w:r>
      <w:r>
        <w:rPr>
          <w:rFonts w:ascii="Arial" w:hAnsi="Arial" w:cs="Arial"/>
          <w:iCs/>
        </w:rPr>
        <w:t xml:space="preserve"> in support of the 2020 Strategic Climate Action Plan.</w:t>
      </w:r>
    </w:p>
    <w:p w14:paraId="446861B7" w14:textId="73797CA6" w:rsidR="00F43C53" w:rsidRDefault="00F43C53" w:rsidP="00D171ED">
      <w:pPr>
        <w:spacing w:line="264" w:lineRule="auto"/>
        <w:contextualSpacing/>
        <w:jc w:val="both"/>
        <w:rPr>
          <w:rFonts w:ascii="Arial" w:hAnsi="Arial" w:cs="Arial"/>
          <w:iCs/>
        </w:rPr>
      </w:pPr>
    </w:p>
    <w:p w14:paraId="16AFDDF9" w14:textId="77777777" w:rsidR="00F43C53" w:rsidRDefault="00F43C53" w:rsidP="00D171ED">
      <w:pPr>
        <w:spacing w:line="264" w:lineRule="auto"/>
        <w:contextualSpacing/>
        <w:jc w:val="both"/>
        <w:rPr>
          <w:rFonts w:ascii="Arial" w:hAnsi="Arial" w:cs="Arial"/>
          <w:iCs/>
        </w:rPr>
      </w:pPr>
    </w:p>
    <w:p w14:paraId="4D876866" w14:textId="77777777" w:rsidR="00D171ED" w:rsidRPr="00CE685B" w:rsidRDefault="00D171ED" w:rsidP="00D171ED">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Solid Waste Capital Equipment Replacement CIP</w:t>
      </w:r>
      <w:r w:rsidRPr="000E7446">
        <w:rPr>
          <w:rFonts w:ascii="Arial" w:hAnsi="Arial" w:cs="Arial"/>
          <w:b/>
          <w:u w:val="single"/>
        </w:rPr>
        <w:tab/>
      </w:r>
      <w:r w:rsidRPr="00CE685B">
        <w:rPr>
          <w:rFonts w:ascii="Arial" w:hAnsi="Arial" w:cs="Arial"/>
          <w:b/>
          <w:i/>
          <w:iCs/>
          <w:color w:val="C0504D" w:themeColor="accent2"/>
          <w:u w:val="single"/>
        </w:rPr>
        <w:t>-$18,855</w:t>
      </w:r>
    </w:p>
    <w:p w14:paraId="5EBCFC47" w14:textId="77777777" w:rsidR="00D171ED" w:rsidRDefault="00D171ED" w:rsidP="00D171ED">
      <w:pPr>
        <w:spacing w:line="264" w:lineRule="auto"/>
        <w:contextualSpacing/>
        <w:jc w:val="both"/>
        <w:rPr>
          <w:b/>
        </w:rPr>
      </w:pPr>
    </w:p>
    <w:p w14:paraId="132706DD" w14:textId="77777777" w:rsidR="00D171ED" w:rsidRDefault="00D171ED" w:rsidP="00D171ED">
      <w:pPr>
        <w:tabs>
          <w:tab w:val="left" w:pos="720"/>
          <w:tab w:val="right" w:pos="9360"/>
        </w:tabs>
        <w:spacing w:line="264" w:lineRule="auto"/>
        <w:contextualSpacing/>
        <w:jc w:val="both"/>
        <w:rPr>
          <w:rFonts w:ascii="Arial" w:hAnsi="Arial" w:cs="Arial"/>
          <w:b/>
        </w:rPr>
      </w:pPr>
      <w:r>
        <w:rPr>
          <w:rFonts w:ascii="Arial" w:hAnsi="Arial" w:cs="Arial"/>
          <w:b/>
        </w:rPr>
        <w:t>TECHNICAL</w:t>
      </w:r>
    </w:p>
    <w:p w14:paraId="5B3F024F" w14:textId="1820CA72" w:rsidR="00D171ED" w:rsidRDefault="00D171ED" w:rsidP="00D171ED">
      <w:pPr>
        <w:tabs>
          <w:tab w:val="left" w:pos="720"/>
          <w:tab w:val="right" w:pos="9360"/>
        </w:tabs>
        <w:spacing w:line="264" w:lineRule="auto"/>
        <w:contextualSpacing/>
        <w:jc w:val="both"/>
        <w:rPr>
          <w:rFonts w:ascii="Arial" w:hAnsi="Arial" w:cs="Arial"/>
        </w:rPr>
      </w:pPr>
      <w:r>
        <w:rPr>
          <w:rFonts w:ascii="Arial" w:hAnsi="Arial" w:cs="Arial"/>
          <w:b/>
          <w:i/>
          <w:iCs/>
        </w:rPr>
        <w:t>Capital Equipment Replacement Project Disappropriation [</w:t>
      </w:r>
      <w:r w:rsidRPr="00B7488C">
        <w:rPr>
          <w:rFonts w:ascii="Arial" w:hAnsi="Arial" w:cs="Arial"/>
          <w:b/>
          <w:i/>
          <w:iCs/>
          <w:color w:val="C0504D" w:themeColor="accent2"/>
        </w:rPr>
        <w:t>-$18,855</w:t>
      </w:r>
      <w:r>
        <w:rPr>
          <w:rFonts w:ascii="Arial" w:hAnsi="Arial" w:cs="Arial"/>
          <w:b/>
          <w:i/>
          <w:iCs/>
        </w:rPr>
        <w:t>]</w:t>
      </w:r>
      <w:r w:rsidRPr="0054665B">
        <w:rPr>
          <w:rFonts w:ascii="Arial" w:hAnsi="Arial" w:cs="Arial"/>
          <w:b/>
          <w:i/>
          <w:iCs/>
        </w:rPr>
        <w:t>.</w:t>
      </w:r>
      <w:r>
        <w:rPr>
          <w:rFonts w:ascii="Arial" w:hAnsi="Arial" w:cs="Arial"/>
          <w:b/>
        </w:rPr>
        <w:t xml:space="preserve">  </w:t>
      </w:r>
      <w:r w:rsidRPr="003D194D">
        <w:rPr>
          <w:rFonts w:ascii="Arial" w:hAnsi="Arial" w:cs="Arial"/>
        </w:rPr>
        <w:t xml:space="preserve">The proposed ordinance would </w:t>
      </w:r>
      <w:r>
        <w:rPr>
          <w:rFonts w:ascii="Arial" w:hAnsi="Arial" w:cs="Arial"/>
        </w:rPr>
        <w:t xml:space="preserve">disappropriate the remaining funds in this legacy capital project to replace and provide major maintenance of rolling stock and compactors.  According to Executive staff, this legacy project can now be closed out because all relevant expenses have been covered and a new master project was approved in this fund in the 2019-2020 biennial budget that now carries the appropriation for all new acquisitions and repairs. </w:t>
      </w:r>
    </w:p>
    <w:p w14:paraId="2ECADBEF" w14:textId="77777777" w:rsidR="00D171ED" w:rsidRDefault="00D171ED" w:rsidP="00D171ED">
      <w:pPr>
        <w:tabs>
          <w:tab w:val="left" w:pos="720"/>
          <w:tab w:val="right" w:pos="9360"/>
        </w:tabs>
        <w:spacing w:line="264" w:lineRule="auto"/>
        <w:contextualSpacing/>
        <w:jc w:val="both"/>
        <w:rPr>
          <w:rFonts w:ascii="Arial" w:hAnsi="Arial" w:cs="Arial"/>
        </w:rPr>
      </w:pPr>
    </w:p>
    <w:p w14:paraId="18F6F819" w14:textId="77777777" w:rsidR="00D171ED" w:rsidRDefault="00D171ED" w:rsidP="00D171ED">
      <w:pPr>
        <w:tabs>
          <w:tab w:val="left" w:pos="720"/>
          <w:tab w:val="right" w:pos="9360"/>
        </w:tabs>
        <w:spacing w:line="264" w:lineRule="auto"/>
        <w:contextualSpacing/>
        <w:jc w:val="both"/>
        <w:rPr>
          <w:rFonts w:ascii="Arial" w:hAnsi="Arial" w:cs="Arial"/>
        </w:rPr>
      </w:pPr>
    </w:p>
    <w:p w14:paraId="3814394E" w14:textId="1820CA72" w:rsidR="00D171ED" w:rsidRPr="00F43C53" w:rsidRDefault="00D171ED" w:rsidP="00D171ED">
      <w:pPr>
        <w:tabs>
          <w:tab w:val="left" w:pos="720"/>
          <w:tab w:val="right" w:pos="9360"/>
        </w:tabs>
        <w:spacing w:line="264" w:lineRule="auto"/>
        <w:contextualSpacing/>
        <w:jc w:val="both"/>
        <w:rPr>
          <w:rFonts w:ascii="Arial" w:hAnsi="Arial" w:cs="Arial"/>
          <w:b/>
          <w:u w:val="thick"/>
        </w:rPr>
      </w:pPr>
      <w:r w:rsidRPr="00F43C53">
        <w:rPr>
          <w:rFonts w:ascii="Arial" w:hAnsi="Arial" w:cs="Arial"/>
          <w:b/>
          <w:u w:val="thick"/>
        </w:rPr>
        <w:t>Solid Waste Construction CIP</w:t>
      </w:r>
      <w:r w:rsidRPr="00F43C53">
        <w:rPr>
          <w:u w:val="thick"/>
        </w:rPr>
        <w:tab/>
      </w:r>
      <w:r w:rsidRPr="00F43C53">
        <w:rPr>
          <w:rFonts w:ascii="Arial" w:hAnsi="Arial" w:cs="Arial"/>
          <w:b/>
          <w:i/>
          <w:iCs/>
          <w:u w:val="thick"/>
        </w:rPr>
        <w:t>$1,667,442</w:t>
      </w:r>
    </w:p>
    <w:p w14:paraId="7AE72C71" w14:textId="1820CA72" w:rsidR="00D171ED" w:rsidRDefault="00D171ED" w:rsidP="00D171ED">
      <w:pPr>
        <w:spacing w:line="264" w:lineRule="auto"/>
        <w:contextualSpacing/>
        <w:jc w:val="both"/>
        <w:rPr>
          <w:b/>
        </w:rPr>
      </w:pPr>
    </w:p>
    <w:p w14:paraId="11A0D35B" w14:textId="1820CA72"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
          <w:i/>
          <w:iCs/>
        </w:rPr>
        <w:t>Harbor Island Dock Demolition</w:t>
      </w:r>
      <w:r w:rsidRPr="0054665B">
        <w:rPr>
          <w:rFonts w:ascii="Arial" w:hAnsi="Arial" w:cs="Arial"/>
          <w:b/>
          <w:i/>
          <w:iCs/>
        </w:rPr>
        <w:t xml:space="preserve"> </w:t>
      </w:r>
      <w:r>
        <w:rPr>
          <w:rFonts w:ascii="Arial" w:hAnsi="Arial" w:cs="Arial"/>
          <w:b/>
          <w:i/>
          <w:iCs/>
        </w:rPr>
        <w:t>[$1,700,000]</w:t>
      </w:r>
      <w:r w:rsidRPr="0054665B">
        <w:rPr>
          <w:rFonts w:ascii="Arial" w:hAnsi="Arial" w:cs="Arial"/>
          <w:b/>
          <w:i/>
          <w:iCs/>
        </w:rPr>
        <w:t>.</w:t>
      </w:r>
      <w:r>
        <w:rPr>
          <w:rFonts w:ascii="Arial" w:hAnsi="Arial" w:cs="Arial"/>
          <w:b/>
          <w:i/>
          <w:iCs/>
        </w:rPr>
        <w:t xml:space="preserve">  </w:t>
      </w:r>
      <w:r>
        <w:rPr>
          <w:rFonts w:ascii="Arial" w:hAnsi="Arial" w:cs="Arial"/>
          <w:bCs/>
        </w:rPr>
        <w:t>The proposed ordinance would appropriate an additional $1.7 million for the previously approved Harbor Island Dock Demolition project to demolish and remove the remaining components of a derelict, creosote-treated timber dock on the shoreline of Harbor Island.  According to budget documentation and Executive staff, the additional appropriation is based on several factors:</w:t>
      </w:r>
    </w:p>
    <w:p w14:paraId="61D8F78A" w14:textId="77777777" w:rsidR="00D171ED" w:rsidRDefault="00D171ED" w:rsidP="00D171ED">
      <w:pPr>
        <w:pStyle w:val="ListParagraph0"/>
        <w:numPr>
          <w:ilvl w:val="0"/>
          <w:numId w:val="36"/>
        </w:numPr>
        <w:tabs>
          <w:tab w:val="left" w:pos="720"/>
          <w:tab w:val="right" w:pos="9360"/>
        </w:tabs>
        <w:spacing w:line="264" w:lineRule="auto"/>
        <w:contextualSpacing/>
        <w:jc w:val="both"/>
        <w:rPr>
          <w:rFonts w:ascii="Arial" w:hAnsi="Arial" w:cs="Arial"/>
          <w:bCs/>
        </w:rPr>
      </w:pPr>
      <w:r>
        <w:rPr>
          <w:rFonts w:ascii="Arial" w:hAnsi="Arial" w:cs="Arial"/>
          <w:bCs/>
        </w:rPr>
        <w:t xml:space="preserve">Extension of the project timeline so that demolition would occur over two fish windows due to a mitigation by avoidance with the Muckleshoot and Suquamish </w:t>
      </w:r>
      <w:proofErr w:type="gramStart"/>
      <w:r>
        <w:rPr>
          <w:rFonts w:ascii="Arial" w:hAnsi="Arial" w:cs="Arial"/>
          <w:bCs/>
        </w:rPr>
        <w:t>Tribes;</w:t>
      </w:r>
      <w:proofErr w:type="gramEnd"/>
    </w:p>
    <w:p w14:paraId="5B9D4CC9" w14:textId="77777777" w:rsidR="00D171ED" w:rsidRDefault="00D171ED" w:rsidP="00D171ED">
      <w:pPr>
        <w:pStyle w:val="ListParagraph0"/>
        <w:numPr>
          <w:ilvl w:val="0"/>
          <w:numId w:val="36"/>
        </w:numPr>
        <w:tabs>
          <w:tab w:val="left" w:pos="720"/>
          <w:tab w:val="right" w:pos="9360"/>
        </w:tabs>
        <w:spacing w:line="264" w:lineRule="auto"/>
        <w:contextualSpacing/>
        <w:jc w:val="both"/>
        <w:rPr>
          <w:rFonts w:ascii="Arial" w:hAnsi="Arial" w:cs="Arial"/>
          <w:bCs/>
        </w:rPr>
      </w:pPr>
      <w:r>
        <w:rPr>
          <w:rFonts w:ascii="Arial" w:hAnsi="Arial" w:cs="Arial"/>
          <w:bCs/>
        </w:rPr>
        <w:t xml:space="preserve">Discovery of contaminated soil under the dock that must be replaced with new, clean </w:t>
      </w:r>
      <w:proofErr w:type="gramStart"/>
      <w:r>
        <w:rPr>
          <w:rFonts w:ascii="Arial" w:hAnsi="Arial" w:cs="Arial"/>
          <w:bCs/>
        </w:rPr>
        <w:t>soil;</w:t>
      </w:r>
      <w:proofErr w:type="gramEnd"/>
    </w:p>
    <w:p w14:paraId="3C97AB30" w14:textId="77777777" w:rsidR="00D171ED" w:rsidRDefault="00D171ED" w:rsidP="00D171ED">
      <w:pPr>
        <w:pStyle w:val="ListParagraph0"/>
        <w:numPr>
          <w:ilvl w:val="0"/>
          <w:numId w:val="36"/>
        </w:numPr>
        <w:tabs>
          <w:tab w:val="left" w:pos="720"/>
          <w:tab w:val="right" w:pos="9360"/>
        </w:tabs>
        <w:spacing w:line="264" w:lineRule="auto"/>
        <w:contextualSpacing/>
        <w:jc w:val="both"/>
        <w:rPr>
          <w:rFonts w:ascii="Arial" w:hAnsi="Arial" w:cs="Arial"/>
          <w:bCs/>
        </w:rPr>
      </w:pPr>
      <w:r>
        <w:rPr>
          <w:rFonts w:ascii="Arial" w:hAnsi="Arial" w:cs="Arial"/>
          <w:bCs/>
        </w:rPr>
        <w:t>Identification of damaged water runoff pipes that need to be repaired; and</w:t>
      </w:r>
    </w:p>
    <w:p w14:paraId="218F270F" w14:textId="7245632D" w:rsidR="00D171ED" w:rsidRPr="004C6370" w:rsidRDefault="00D171ED" w:rsidP="00D171ED">
      <w:pPr>
        <w:pStyle w:val="ListParagraph0"/>
        <w:numPr>
          <w:ilvl w:val="0"/>
          <w:numId w:val="36"/>
        </w:numPr>
        <w:tabs>
          <w:tab w:val="left" w:pos="720"/>
          <w:tab w:val="right" w:pos="9360"/>
        </w:tabs>
        <w:spacing w:line="264" w:lineRule="auto"/>
        <w:contextualSpacing/>
        <w:jc w:val="both"/>
        <w:rPr>
          <w:rFonts w:ascii="Arial" w:hAnsi="Arial" w:cs="Arial"/>
          <w:bCs/>
        </w:rPr>
      </w:pPr>
      <w:r>
        <w:rPr>
          <w:rFonts w:ascii="Arial" w:hAnsi="Arial" w:cs="Arial"/>
          <w:bCs/>
        </w:rPr>
        <w:t>Commission of a historical context statement for the lower Duwamish River. Executive staff indicate that "due to adverse effects to the Fisher Flouring Mills Dock, which is considered a historic district, SWD is required by National Historic Preservation Act Section 106 to resolve the impact of the project by commissioning a historical context statement for the lower Duwamish River, which focuses on the typology and engineering aspect of in and above water structures.  The study area will extend from [Elliott] Bay South to S. 102</w:t>
      </w:r>
      <w:r w:rsidRPr="00A03601">
        <w:rPr>
          <w:rFonts w:ascii="Arial" w:hAnsi="Arial" w:cs="Arial"/>
          <w:bCs/>
          <w:vertAlign w:val="superscript"/>
        </w:rPr>
        <w:t>nd</w:t>
      </w:r>
      <w:r>
        <w:rPr>
          <w:rFonts w:ascii="Arial" w:hAnsi="Arial" w:cs="Arial"/>
          <w:bCs/>
        </w:rPr>
        <w:t xml:space="preserve"> St Bridge, approximately 7 river miles in length."</w:t>
      </w:r>
    </w:p>
    <w:p w14:paraId="0BDA1D08" w14:textId="77777777" w:rsidR="00D171ED" w:rsidRDefault="00D171ED" w:rsidP="00D171ED">
      <w:pPr>
        <w:tabs>
          <w:tab w:val="left" w:pos="720"/>
          <w:tab w:val="right" w:pos="9360"/>
        </w:tabs>
        <w:spacing w:line="264" w:lineRule="auto"/>
        <w:contextualSpacing/>
        <w:jc w:val="both"/>
        <w:rPr>
          <w:rFonts w:ascii="Arial" w:hAnsi="Arial" w:cs="Arial"/>
          <w:bCs/>
        </w:rPr>
      </w:pPr>
    </w:p>
    <w:p w14:paraId="49986052" w14:textId="77777777"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Cs/>
        </w:rPr>
        <w:t xml:space="preserve">Demolition activities are expected to occur between July 2021 and February 2023. Budget documentation indicates that the demolition would leave the site in a stable condition and is a requirement of the Solid Waste Division's (SWD) aquatic lease agreement with the state Department of Natural Resources.  Executive staff further indicate that if the obligations of the lease are not met, the lease may not be renewed, meaning SWD would lose marine access to the property. </w:t>
      </w:r>
    </w:p>
    <w:p w14:paraId="75B40E44" w14:textId="77777777" w:rsidR="00D171ED" w:rsidRDefault="00D171ED" w:rsidP="00D171ED">
      <w:pPr>
        <w:tabs>
          <w:tab w:val="left" w:pos="720"/>
          <w:tab w:val="right" w:pos="9360"/>
        </w:tabs>
        <w:spacing w:line="264" w:lineRule="auto"/>
        <w:contextualSpacing/>
        <w:jc w:val="both"/>
        <w:rPr>
          <w:rFonts w:ascii="Arial" w:hAnsi="Arial" w:cs="Arial"/>
          <w:bCs/>
        </w:rPr>
      </w:pPr>
    </w:p>
    <w:p w14:paraId="5C8A7D3F" w14:textId="43422F44" w:rsidR="00D171ED" w:rsidRDefault="00D171ED" w:rsidP="0F1D8D17">
      <w:pPr>
        <w:tabs>
          <w:tab w:val="left" w:pos="720"/>
          <w:tab w:val="right" w:pos="9360"/>
        </w:tabs>
        <w:spacing w:line="264" w:lineRule="auto"/>
        <w:jc w:val="both"/>
        <w:rPr>
          <w:rFonts w:ascii="Arial" w:hAnsi="Arial" w:cs="Arial"/>
          <w:szCs w:val="24"/>
        </w:rPr>
      </w:pPr>
      <w:r w:rsidRPr="0F1D8D17">
        <w:rPr>
          <w:rFonts w:ascii="Arial" w:hAnsi="Arial" w:cs="Arial"/>
        </w:rPr>
        <w:t>According to budget documentation, the new estimated total cost at completion is approximately $8.3 million.</w:t>
      </w:r>
    </w:p>
    <w:p w14:paraId="571ECDC7" w14:textId="1FC6F998" w:rsidR="0F1D8D17" w:rsidRDefault="0F1D8D17" w:rsidP="0F1D8D17">
      <w:pPr>
        <w:tabs>
          <w:tab w:val="left" w:pos="720"/>
          <w:tab w:val="right" w:pos="9360"/>
        </w:tabs>
        <w:spacing w:line="264" w:lineRule="auto"/>
        <w:jc w:val="both"/>
        <w:rPr>
          <w:rFonts w:ascii="Arial" w:hAnsi="Arial" w:cs="Arial"/>
          <w:szCs w:val="24"/>
        </w:rPr>
      </w:pPr>
    </w:p>
    <w:p w14:paraId="61B60D0E" w14:textId="5BCC1D58" w:rsidR="7013A7CD" w:rsidRDefault="7013A7CD" w:rsidP="0F1D8D17">
      <w:pPr>
        <w:tabs>
          <w:tab w:val="left" w:pos="720"/>
          <w:tab w:val="right" w:pos="9360"/>
        </w:tabs>
        <w:spacing w:line="264" w:lineRule="auto"/>
        <w:jc w:val="both"/>
        <w:rPr>
          <w:rFonts w:ascii="Arial" w:eastAsia="Arial" w:hAnsi="Arial" w:cs="Arial"/>
          <w:b/>
          <w:bCs/>
          <w:color w:val="4472C4"/>
          <w:szCs w:val="24"/>
        </w:rPr>
      </w:pPr>
      <w:r w:rsidRPr="0F1D8D17">
        <w:rPr>
          <w:rFonts w:ascii="Arial" w:eastAsia="Arial" w:hAnsi="Arial" w:cs="Arial"/>
          <w:b/>
          <w:bCs/>
          <w:color w:val="4472C4"/>
          <w:szCs w:val="24"/>
          <w:u w:val="single"/>
        </w:rPr>
        <w:lastRenderedPageBreak/>
        <w:t>QUESTION</w:t>
      </w:r>
      <w:r w:rsidR="66A2E435" w:rsidRPr="0F1D8D17">
        <w:rPr>
          <w:rFonts w:ascii="Arial" w:eastAsia="Arial" w:hAnsi="Arial" w:cs="Arial"/>
          <w:b/>
          <w:bCs/>
          <w:color w:val="4472C4"/>
          <w:szCs w:val="24"/>
          <w:u w:val="single"/>
        </w:rPr>
        <w:t xml:space="preserve"> FROM OCT. 19 BFM:</w:t>
      </w:r>
      <w:r w:rsidR="66A2E435" w:rsidRPr="0F1D8D17">
        <w:rPr>
          <w:rFonts w:ascii="Arial" w:eastAsia="Arial" w:hAnsi="Arial" w:cs="Arial"/>
          <w:b/>
          <w:bCs/>
          <w:color w:val="4472C4"/>
          <w:szCs w:val="24"/>
        </w:rPr>
        <w:t xml:space="preserve"> Does the Harbor Island Dock Demolition project preclude the County from constructing a new dock in the future?</w:t>
      </w:r>
    </w:p>
    <w:p w14:paraId="4EEB3990" w14:textId="1DAF7D40" w:rsidR="0F1D8D17" w:rsidRDefault="0F1D8D17" w:rsidP="0F1D8D17">
      <w:pPr>
        <w:tabs>
          <w:tab w:val="left" w:pos="720"/>
          <w:tab w:val="right" w:pos="9360"/>
        </w:tabs>
        <w:spacing w:line="264" w:lineRule="auto"/>
        <w:jc w:val="both"/>
        <w:rPr>
          <w:rFonts w:ascii="Arial" w:eastAsia="Arial" w:hAnsi="Arial" w:cs="Arial"/>
          <w:b/>
          <w:bCs/>
          <w:color w:val="4472C4"/>
          <w:szCs w:val="24"/>
        </w:rPr>
      </w:pPr>
    </w:p>
    <w:p w14:paraId="5B28493B" w14:textId="1A66474B" w:rsidR="66A2E435" w:rsidRDefault="66A2E435" w:rsidP="0F1D8D17">
      <w:pPr>
        <w:tabs>
          <w:tab w:val="left" w:pos="720"/>
          <w:tab w:val="right" w:pos="9360"/>
        </w:tabs>
        <w:spacing w:line="264" w:lineRule="auto"/>
        <w:jc w:val="both"/>
        <w:rPr>
          <w:rFonts w:ascii="Arial" w:eastAsia="Arial" w:hAnsi="Arial" w:cs="Arial"/>
          <w:color w:val="4472C4"/>
          <w:szCs w:val="24"/>
        </w:rPr>
      </w:pPr>
      <w:r w:rsidRPr="0F1D8D17">
        <w:rPr>
          <w:rFonts w:ascii="Arial" w:eastAsia="Arial" w:hAnsi="Arial" w:cs="Arial"/>
          <w:b/>
          <w:bCs/>
          <w:color w:val="4472C4"/>
          <w:szCs w:val="24"/>
          <w:u w:val="single"/>
        </w:rPr>
        <w:t>ANSWER:</w:t>
      </w:r>
      <w:r w:rsidRPr="0F1D8D17">
        <w:rPr>
          <w:rFonts w:ascii="Arial" w:eastAsia="Arial" w:hAnsi="Arial" w:cs="Arial"/>
          <w:b/>
          <w:bCs/>
          <w:color w:val="4472C4"/>
          <w:szCs w:val="24"/>
        </w:rPr>
        <w:t xml:space="preserve"> </w:t>
      </w:r>
      <w:r w:rsidR="01B6D27D" w:rsidRPr="0F1D8D17">
        <w:rPr>
          <w:rFonts w:ascii="Arial" w:eastAsia="Arial" w:hAnsi="Arial" w:cs="Arial"/>
          <w:color w:val="4472C4"/>
          <w:szCs w:val="24"/>
        </w:rPr>
        <w:t>Executive staff indicate that nothing in the current demolition project would preclude rebuilding a dock on the same site</w:t>
      </w:r>
      <w:r w:rsidR="7E7C6ABD" w:rsidRPr="0F1D8D17">
        <w:rPr>
          <w:rFonts w:ascii="Arial" w:eastAsia="Arial" w:hAnsi="Arial" w:cs="Arial"/>
          <w:color w:val="4472C4"/>
          <w:szCs w:val="24"/>
        </w:rPr>
        <w:t>. According to Executive staff, the lease with the state Department of Natural Resources (DNR) requires the County to remove the current dock and once the dock is removed, SWD will have one year to inform DNR of plans for the water access leasehold, which could include building a new dock (subject to approval from regulatory agencies) or</w:t>
      </w:r>
      <w:r w:rsidR="4F4CAED7" w:rsidRPr="0F1D8D17">
        <w:rPr>
          <w:rFonts w:ascii="Arial" w:eastAsia="Arial" w:hAnsi="Arial" w:cs="Arial"/>
          <w:color w:val="4472C4"/>
          <w:szCs w:val="24"/>
        </w:rPr>
        <w:t xml:space="preserve"> some other marine use.</w:t>
      </w:r>
    </w:p>
    <w:p w14:paraId="2C06FFC2" w14:textId="77777777" w:rsidR="00D171ED" w:rsidRDefault="00D171ED" w:rsidP="0F1D8D17">
      <w:pPr>
        <w:tabs>
          <w:tab w:val="left" w:pos="720"/>
          <w:tab w:val="right" w:pos="9360"/>
        </w:tabs>
        <w:spacing w:line="264" w:lineRule="auto"/>
        <w:contextualSpacing/>
        <w:jc w:val="both"/>
        <w:rPr>
          <w:rFonts w:ascii="Arial" w:hAnsi="Arial" w:cs="Arial"/>
        </w:rPr>
      </w:pPr>
    </w:p>
    <w:p w14:paraId="238E928A" w14:textId="77777777" w:rsidR="00D171ED" w:rsidRDefault="00D171ED" w:rsidP="00D171ED">
      <w:pPr>
        <w:tabs>
          <w:tab w:val="left" w:pos="720"/>
          <w:tab w:val="right" w:pos="9360"/>
        </w:tabs>
        <w:spacing w:line="264" w:lineRule="auto"/>
        <w:contextualSpacing/>
        <w:jc w:val="both"/>
        <w:rPr>
          <w:rFonts w:ascii="Arial" w:hAnsi="Arial" w:cs="Arial"/>
          <w:b/>
        </w:rPr>
      </w:pPr>
      <w:r>
        <w:rPr>
          <w:rFonts w:ascii="Arial" w:hAnsi="Arial" w:cs="Arial"/>
          <w:b/>
        </w:rPr>
        <w:t>TECHNICAL</w:t>
      </w:r>
    </w:p>
    <w:p w14:paraId="2F98828A" w14:textId="77777777" w:rsidR="00D171ED" w:rsidRDefault="00D171ED" w:rsidP="00D171ED">
      <w:pPr>
        <w:tabs>
          <w:tab w:val="left" w:pos="720"/>
          <w:tab w:val="right" w:pos="9360"/>
        </w:tabs>
        <w:spacing w:line="264" w:lineRule="auto"/>
        <w:contextualSpacing/>
        <w:jc w:val="both"/>
        <w:rPr>
          <w:rFonts w:ascii="Arial" w:hAnsi="Arial" w:cs="Arial"/>
        </w:rPr>
      </w:pPr>
      <w:r>
        <w:rPr>
          <w:rFonts w:ascii="Arial" w:hAnsi="Arial" w:cs="Arial"/>
          <w:b/>
          <w:i/>
          <w:iCs/>
        </w:rPr>
        <w:t>Vashon Environmental Control System Project Disappropriation [</w:t>
      </w:r>
      <w:r w:rsidRPr="00B7488C">
        <w:rPr>
          <w:rFonts w:ascii="Arial" w:hAnsi="Arial" w:cs="Arial"/>
          <w:b/>
          <w:i/>
          <w:iCs/>
          <w:color w:val="C0504D" w:themeColor="accent2"/>
        </w:rPr>
        <w:t>-$</w:t>
      </w:r>
      <w:r>
        <w:rPr>
          <w:rFonts w:ascii="Arial" w:hAnsi="Arial" w:cs="Arial"/>
          <w:b/>
          <w:i/>
          <w:iCs/>
          <w:color w:val="C0504D" w:themeColor="accent2"/>
        </w:rPr>
        <w:t>32,558</w:t>
      </w:r>
      <w:r w:rsidRPr="00C74277">
        <w:rPr>
          <w:rFonts w:ascii="Arial" w:hAnsi="Arial" w:cs="Arial"/>
          <w:b/>
          <w:i/>
          <w:iCs/>
        </w:rPr>
        <w:t>]</w:t>
      </w:r>
      <w:r>
        <w:rPr>
          <w:rFonts w:ascii="Arial" w:hAnsi="Arial" w:cs="Arial"/>
          <w:b/>
          <w:i/>
          <w:iCs/>
        </w:rPr>
        <w:t xml:space="preserve">.  </w:t>
      </w:r>
      <w:r>
        <w:rPr>
          <w:rFonts w:ascii="Arial" w:hAnsi="Arial" w:cs="Arial"/>
          <w:bCs/>
        </w:rPr>
        <w:t>The Vashon Environmental Control System Project implemented environmental improvements at the closed Vashon Island landfill necessary to maintain compliance with local, state, and federal regulations.  This project has been completed and the proposed ordinance would disappropriate the remaining funds.</w:t>
      </w:r>
    </w:p>
    <w:p w14:paraId="08D4A9C6" w14:textId="545BF6B5" w:rsidR="00D171ED" w:rsidRDefault="00D171ED" w:rsidP="00D171ED">
      <w:pPr>
        <w:tabs>
          <w:tab w:val="left" w:pos="720"/>
          <w:tab w:val="right" w:pos="9360"/>
        </w:tabs>
        <w:spacing w:line="264" w:lineRule="auto"/>
        <w:contextualSpacing/>
        <w:jc w:val="both"/>
        <w:rPr>
          <w:rFonts w:ascii="Arial" w:hAnsi="Arial" w:cs="Arial"/>
        </w:rPr>
      </w:pPr>
    </w:p>
    <w:p w14:paraId="5BBFD6D0" w14:textId="77777777" w:rsidR="00D171ED" w:rsidRDefault="00D171ED" w:rsidP="00D171ED">
      <w:pPr>
        <w:tabs>
          <w:tab w:val="left" w:pos="720"/>
          <w:tab w:val="right" w:pos="9360"/>
        </w:tabs>
        <w:spacing w:line="264" w:lineRule="auto"/>
        <w:contextualSpacing/>
        <w:jc w:val="both"/>
        <w:rPr>
          <w:rFonts w:ascii="Arial" w:hAnsi="Arial" w:cs="Arial"/>
        </w:rPr>
      </w:pPr>
    </w:p>
    <w:p w14:paraId="4B0513B1" w14:textId="77777777" w:rsidR="00D171ED" w:rsidRPr="00CE685B" w:rsidRDefault="00D171ED" w:rsidP="00190F7B">
      <w:pPr>
        <w:tabs>
          <w:tab w:val="left" w:pos="720"/>
          <w:tab w:val="right" w:pos="9360"/>
        </w:tabs>
        <w:spacing w:line="264" w:lineRule="auto"/>
        <w:contextualSpacing/>
        <w:jc w:val="both"/>
        <w:rPr>
          <w:rFonts w:ascii="Arial" w:hAnsi="Arial" w:cs="Arial"/>
          <w:b/>
          <w:u w:val="single"/>
        </w:rPr>
      </w:pPr>
      <w:r>
        <w:rPr>
          <w:rFonts w:ascii="Arial" w:hAnsi="Arial" w:cs="Arial"/>
          <w:b/>
          <w:u w:val="single"/>
        </w:rPr>
        <w:t>Solid Waste Landfill Reserve CIP</w:t>
      </w:r>
      <w:r w:rsidRPr="000E7446">
        <w:rPr>
          <w:rFonts w:ascii="Arial" w:hAnsi="Arial" w:cs="Arial"/>
          <w:b/>
          <w:u w:val="single"/>
        </w:rPr>
        <w:tab/>
      </w:r>
      <w:r w:rsidRPr="00156EE5">
        <w:rPr>
          <w:rFonts w:ascii="Arial" w:hAnsi="Arial" w:cs="Arial"/>
          <w:b/>
          <w:i/>
          <w:iCs/>
          <w:u w:val="single"/>
        </w:rPr>
        <w:t>$</w:t>
      </w:r>
      <w:r>
        <w:rPr>
          <w:rFonts w:ascii="Arial" w:hAnsi="Arial" w:cs="Arial"/>
          <w:b/>
          <w:i/>
          <w:iCs/>
          <w:u w:val="single"/>
        </w:rPr>
        <w:t>11,937,421</w:t>
      </w:r>
    </w:p>
    <w:p w14:paraId="1CD15BF9" w14:textId="77777777" w:rsidR="00D171ED" w:rsidRDefault="00D171ED" w:rsidP="00190F7B">
      <w:pPr>
        <w:spacing w:line="264" w:lineRule="auto"/>
        <w:contextualSpacing/>
        <w:jc w:val="both"/>
        <w:rPr>
          <w:b/>
        </w:rPr>
      </w:pPr>
    </w:p>
    <w:p w14:paraId="26C21DCD" w14:textId="670D82E0" w:rsidR="00D171ED" w:rsidRDefault="00D171ED" w:rsidP="00190F7B">
      <w:pPr>
        <w:tabs>
          <w:tab w:val="left" w:pos="720"/>
          <w:tab w:val="right" w:pos="9360"/>
        </w:tabs>
        <w:spacing w:line="264" w:lineRule="auto"/>
        <w:contextualSpacing/>
        <w:jc w:val="both"/>
        <w:rPr>
          <w:rFonts w:ascii="Arial" w:hAnsi="Arial" w:cs="Arial"/>
          <w:bCs/>
        </w:rPr>
      </w:pPr>
      <w:r>
        <w:rPr>
          <w:rFonts w:ascii="Arial" w:hAnsi="Arial" w:cs="Arial"/>
          <w:b/>
          <w:i/>
          <w:iCs/>
        </w:rPr>
        <w:t>Cedar Hills Pump Station Repair [$400,000]</w:t>
      </w:r>
      <w:r w:rsidRPr="0054665B">
        <w:rPr>
          <w:rFonts w:ascii="Arial" w:hAnsi="Arial" w:cs="Arial"/>
          <w:b/>
          <w:i/>
          <w:iCs/>
        </w:rPr>
        <w:t>.</w:t>
      </w:r>
      <w:r>
        <w:rPr>
          <w:rFonts w:ascii="Arial" w:hAnsi="Arial" w:cs="Arial"/>
          <w:b/>
          <w:i/>
          <w:iCs/>
        </w:rPr>
        <w:t xml:space="preserve">  </w:t>
      </w:r>
      <w:r>
        <w:rPr>
          <w:rFonts w:ascii="Arial" w:hAnsi="Arial" w:cs="Arial"/>
          <w:bCs/>
        </w:rPr>
        <w:t>The proposed ordinance would appropriate an additional $400,000 for the previously approved Cedar Hills Pump Station Repair project to evaluate and implement repairs and improvements to optimize leachate pump capacities.  According to Executive staff, the additional appropriation is needed because supply contractors have added costs to materials due to COVID impacts.  Executive staff further indicate that a Public Works Board construction loan is being used for this project and depending on how much is actually spent, the project may use General Obligation bonds or a cash transfer from the Solid Waste operating fund to cover any additional expenditures above the loan amount.  According to budget documentation, the new estimated total cost at completion is approximately $3.5 million, up from $3.2 million estimated in the 2019-2020 biennial budget documents.</w:t>
      </w:r>
    </w:p>
    <w:p w14:paraId="7FFDF9BD" w14:textId="77777777" w:rsidR="00D171ED" w:rsidRDefault="00D171ED" w:rsidP="00D171ED">
      <w:pPr>
        <w:tabs>
          <w:tab w:val="left" w:pos="720"/>
          <w:tab w:val="right" w:pos="9360"/>
        </w:tabs>
        <w:spacing w:line="264" w:lineRule="auto"/>
        <w:contextualSpacing/>
        <w:jc w:val="both"/>
        <w:rPr>
          <w:rFonts w:ascii="Arial" w:hAnsi="Arial" w:cs="Arial"/>
          <w:bCs/>
        </w:rPr>
      </w:pPr>
    </w:p>
    <w:p w14:paraId="4D62D7AC" w14:textId="0C62BDB8"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
          <w:i/>
          <w:iCs/>
        </w:rPr>
        <w:t>North Flare Station Motor Control Center [$2,149,000]</w:t>
      </w:r>
      <w:r w:rsidRPr="0054665B">
        <w:rPr>
          <w:rFonts w:ascii="Arial" w:hAnsi="Arial" w:cs="Arial"/>
          <w:b/>
          <w:i/>
          <w:iCs/>
        </w:rPr>
        <w:t>.</w:t>
      </w:r>
      <w:r>
        <w:rPr>
          <w:rFonts w:ascii="Arial" w:hAnsi="Arial" w:cs="Arial"/>
          <w:b/>
          <w:i/>
          <w:iCs/>
        </w:rPr>
        <w:t xml:space="preserve">  </w:t>
      </w:r>
      <w:r>
        <w:rPr>
          <w:rFonts w:ascii="Arial" w:hAnsi="Arial" w:cs="Arial"/>
          <w:bCs/>
        </w:rPr>
        <w:t xml:space="preserve">The proposed ordinance would appropriate approximately $2.1 million in additional funding for the previously approved North Flare Station (NFS) Motor Control Center project to upgrade the existing control panels for improved safety.  According to budget documents, changes in other projects have resulted in design impacts and increased construction costs.  Specifically, Executive staff cite that the facilities relocation project at the Cedar Hills landfill will mean more employees working at the NFS and require additional utilities and a larger generator. </w:t>
      </w:r>
    </w:p>
    <w:p w14:paraId="63F8BFD1" w14:textId="77777777" w:rsidR="00D171ED" w:rsidRDefault="00D171ED" w:rsidP="00D171ED">
      <w:pPr>
        <w:tabs>
          <w:tab w:val="left" w:pos="720"/>
          <w:tab w:val="right" w:pos="9360"/>
        </w:tabs>
        <w:spacing w:line="264" w:lineRule="auto"/>
        <w:contextualSpacing/>
        <w:jc w:val="both"/>
        <w:rPr>
          <w:rFonts w:ascii="Arial" w:hAnsi="Arial" w:cs="Arial"/>
          <w:bCs/>
        </w:rPr>
      </w:pPr>
    </w:p>
    <w:p w14:paraId="58E3A910" w14:textId="3009FDF3"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Cs/>
        </w:rPr>
        <w:t xml:space="preserve">According to budget documentation, the additional funds requested by the proposed ordinance would be funded by General Obligation bonds.  Additionally, the new estimated total cost at completion is approximately $5.8 </w:t>
      </w:r>
      <w:r w:rsidR="0031646B">
        <w:rPr>
          <w:rFonts w:ascii="Arial" w:hAnsi="Arial" w:cs="Arial"/>
          <w:bCs/>
        </w:rPr>
        <w:t>million</w:t>
      </w:r>
      <w:r>
        <w:rPr>
          <w:rFonts w:ascii="Arial" w:hAnsi="Arial" w:cs="Arial"/>
          <w:bCs/>
        </w:rPr>
        <w:t xml:space="preserve">, up from $3.1 million estimated in the 2019-2020 biennial budget documents. </w:t>
      </w:r>
    </w:p>
    <w:p w14:paraId="3C062004" w14:textId="77777777" w:rsidR="000750F3" w:rsidRDefault="000750F3" w:rsidP="00D171ED">
      <w:pPr>
        <w:tabs>
          <w:tab w:val="left" w:pos="720"/>
          <w:tab w:val="right" w:pos="9360"/>
        </w:tabs>
        <w:spacing w:line="264" w:lineRule="auto"/>
        <w:contextualSpacing/>
        <w:jc w:val="both"/>
        <w:rPr>
          <w:rFonts w:ascii="Arial" w:hAnsi="Arial" w:cs="Arial"/>
          <w:bCs/>
        </w:rPr>
      </w:pPr>
    </w:p>
    <w:p w14:paraId="2BAD8864" w14:textId="1BFCDFFB"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
          <w:i/>
          <w:iCs/>
        </w:rPr>
        <w:t xml:space="preserve">Cedar Hills Vertical Wells Construction [$7,000,000].  </w:t>
      </w:r>
      <w:r>
        <w:rPr>
          <w:rFonts w:ascii="Arial" w:hAnsi="Arial" w:cs="Arial"/>
          <w:bCs/>
        </w:rPr>
        <w:t xml:space="preserve">The proposed ordinance would appropriate $7.0 million for a new project to install twenty dual phase vertical wells that handle both leachate and gas in Areas 4-7 at the Cedar Hills landfill.  Budget documentation indicates that landfill gas quality and quantity have decreased from 2019 levels and propose several potential causes (e.g., opening of new area, the organics percentage in the waste, and waterlogging).  Executive staff indicate that they are continuing to investigate the cause of the reduction in gas quantity and quality, including whether the gas is not being produced, less gas is being produced, or if the collection and conveyance system is hampering collection.  According to Executive staff, the use of vertical wells is based on recommendations from a consultant report and vertical wells are meant to augment the gas collection from existing horizontal wells, which become damaged and/or less effective over time due to differential settlement within the landfill. </w:t>
      </w:r>
    </w:p>
    <w:p w14:paraId="3B561C9A" w14:textId="77777777" w:rsidR="00D171ED" w:rsidRDefault="00D171ED" w:rsidP="00D171ED">
      <w:pPr>
        <w:tabs>
          <w:tab w:val="left" w:pos="720"/>
          <w:tab w:val="right" w:pos="9360"/>
        </w:tabs>
        <w:spacing w:line="264" w:lineRule="auto"/>
        <w:contextualSpacing/>
        <w:jc w:val="both"/>
        <w:rPr>
          <w:rFonts w:ascii="Arial" w:hAnsi="Arial" w:cs="Arial"/>
          <w:bCs/>
        </w:rPr>
      </w:pPr>
    </w:p>
    <w:p w14:paraId="7194033A" w14:textId="77777777"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Cs/>
        </w:rPr>
        <w:t>Executive staff note that Bio Energy Washington (BEW) has implied that the County is not utilizing good engineering practices in managing the landfill gas system, as required under the contract with the County.  Executive staff further state that if this appropriation is not approved, then the installation of vertical wells to address reduced gas quantity will not be implemented and the County may be at risk of claims of monetary damages by BEW.</w:t>
      </w:r>
    </w:p>
    <w:p w14:paraId="564CCC9E" w14:textId="77777777" w:rsidR="00D171ED" w:rsidRDefault="00D171ED" w:rsidP="00D171ED">
      <w:pPr>
        <w:tabs>
          <w:tab w:val="left" w:pos="720"/>
          <w:tab w:val="right" w:pos="9360"/>
        </w:tabs>
        <w:spacing w:line="264" w:lineRule="auto"/>
        <w:contextualSpacing/>
        <w:jc w:val="both"/>
        <w:rPr>
          <w:rFonts w:ascii="Arial" w:hAnsi="Arial" w:cs="Arial"/>
          <w:bCs/>
        </w:rPr>
      </w:pPr>
    </w:p>
    <w:p w14:paraId="5B52AFAD" w14:textId="77777777"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Cs/>
        </w:rPr>
        <w:t>Council staff inquired if there is a risk that this project when completed may not increase gas quality and/or quantity.  Executive staff indicate that while an increase in gas collected is expected, the possibility exists that the addition of vertical wells may result in no increase in flow as the vertical wells collect gas more efficiently and the flow from existing horizontal wells reduces.</w:t>
      </w:r>
    </w:p>
    <w:p w14:paraId="0E2A575E" w14:textId="77777777" w:rsidR="00D171ED" w:rsidRDefault="00D171ED" w:rsidP="00D171ED">
      <w:pPr>
        <w:tabs>
          <w:tab w:val="left" w:pos="720"/>
          <w:tab w:val="right" w:pos="9360"/>
        </w:tabs>
        <w:spacing w:line="264" w:lineRule="auto"/>
        <w:contextualSpacing/>
        <w:jc w:val="both"/>
        <w:rPr>
          <w:rFonts w:ascii="Arial" w:hAnsi="Arial" w:cs="Arial"/>
          <w:bCs/>
        </w:rPr>
      </w:pPr>
    </w:p>
    <w:p w14:paraId="09666A9F" w14:textId="4F296B43" w:rsidR="00D171ED" w:rsidRPr="00BA34CE" w:rsidRDefault="00D171ED" w:rsidP="00D171ED">
      <w:pPr>
        <w:tabs>
          <w:tab w:val="left" w:pos="720"/>
          <w:tab w:val="right" w:pos="9360"/>
        </w:tabs>
        <w:spacing w:line="264" w:lineRule="auto"/>
        <w:contextualSpacing/>
        <w:jc w:val="both"/>
        <w:rPr>
          <w:rFonts w:ascii="Arial" w:hAnsi="Arial" w:cs="Arial"/>
          <w:bCs/>
        </w:rPr>
      </w:pPr>
      <w:r>
        <w:rPr>
          <w:rFonts w:ascii="Arial" w:hAnsi="Arial" w:cs="Arial"/>
          <w:bCs/>
        </w:rPr>
        <w:t>Budget documents indicate that the project is expected to be complete by the end of 2022 and the funds requested by the proposed ordinance would be funded by General Obligation bonds.  The estimated total cost of completion of this project is $7.0 million.</w:t>
      </w:r>
    </w:p>
    <w:p w14:paraId="39151574" w14:textId="77777777" w:rsidR="00D171ED" w:rsidRDefault="00D171ED" w:rsidP="00D171ED">
      <w:pPr>
        <w:tabs>
          <w:tab w:val="left" w:pos="720"/>
          <w:tab w:val="right" w:pos="9360"/>
        </w:tabs>
        <w:spacing w:line="264" w:lineRule="auto"/>
        <w:contextualSpacing/>
        <w:jc w:val="both"/>
        <w:rPr>
          <w:rFonts w:ascii="Arial" w:hAnsi="Arial" w:cs="Arial"/>
          <w:b/>
          <w:i/>
          <w:iCs/>
        </w:rPr>
      </w:pPr>
    </w:p>
    <w:p w14:paraId="78E4C5C0" w14:textId="1A8995C7"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
          <w:i/>
          <w:iCs/>
        </w:rPr>
        <w:t xml:space="preserve">Cedar Hills Hydrogeologic Report [$3,021,250].  </w:t>
      </w:r>
      <w:r>
        <w:rPr>
          <w:rFonts w:ascii="Arial" w:hAnsi="Arial" w:cs="Arial"/>
          <w:bCs/>
        </w:rPr>
        <w:t>The proposed ordinance would appropriate approximately $3.0 million for a new project to update the hydrogeologic model for the Cedar Hills landfill, which is required by the landfill's operating permit issued by the Public Health - Seattle and King County.  Budget documentation indicates that this work will include installation, decommissioning, and redevelopment of groundwater wells, monitoring of wells, and data review to complete the update.  If the appropriation is not approved, budget documents state the report may not be able to be completed, which could result in noncompliance with the landfill's operating permit, expose the landfill to changes in the permit by Public Health, possible fines, litigation, and a temporary halt to operations until the permit is in compliance.  According to budget documents, the estimated total cost at completion is approximately $3.0 million.</w:t>
      </w:r>
    </w:p>
    <w:p w14:paraId="126C556C" w14:textId="77777777" w:rsidR="002A0011" w:rsidRDefault="002A0011" w:rsidP="00D171ED">
      <w:pPr>
        <w:tabs>
          <w:tab w:val="left" w:pos="720"/>
          <w:tab w:val="right" w:pos="9360"/>
        </w:tabs>
        <w:spacing w:line="264" w:lineRule="auto"/>
        <w:contextualSpacing/>
        <w:jc w:val="both"/>
        <w:rPr>
          <w:rFonts w:ascii="Arial" w:hAnsi="Arial" w:cs="Arial"/>
          <w:b/>
        </w:rPr>
      </w:pPr>
    </w:p>
    <w:p w14:paraId="75AC22D7" w14:textId="44F5528A" w:rsidR="00D171ED" w:rsidRDefault="00D171ED" w:rsidP="00D171ED">
      <w:pPr>
        <w:tabs>
          <w:tab w:val="left" w:pos="720"/>
          <w:tab w:val="right" w:pos="9360"/>
        </w:tabs>
        <w:spacing w:line="264" w:lineRule="auto"/>
        <w:contextualSpacing/>
        <w:jc w:val="both"/>
        <w:rPr>
          <w:rFonts w:ascii="Arial" w:hAnsi="Arial" w:cs="Arial"/>
          <w:b/>
        </w:rPr>
      </w:pPr>
      <w:r>
        <w:rPr>
          <w:rFonts w:ascii="Arial" w:hAnsi="Arial" w:cs="Arial"/>
          <w:b/>
        </w:rPr>
        <w:t>TECHNICAL</w:t>
      </w:r>
    </w:p>
    <w:p w14:paraId="67C185B8" w14:textId="77777777" w:rsidR="00D171ED" w:rsidRDefault="00D171ED" w:rsidP="00D171ED">
      <w:pPr>
        <w:tabs>
          <w:tab w:val="left" w:pos="720"/>
          <w:tab w:val="right" w:pos="9360"/>
        </w:tabs>
        <w:spacing w:line="264" w:lineRule="auto"/>
        <w:contextualSpacing/>
        <w:jc w:val="both"/>
        <w:rPr>
          <w:rFonts w:ascii="Arial" w:hAnsi="Arial" w:cs="Arial"/>
          <w:bCs/>
        </w:rPr>
      </w:pPr>
      <w:r>
        <w:rPr>
          <w:rFonts w:ascii="Arial" w:hAnsi="Arial" w:cs="Arial"/>
          <w:b/>
          <w:i/>
          <w:iCs/>
        </w:rPr>
        <w:lastRenderedPageBreak/>
        <w:t>Project Disappropriations [</w:t>
      </w:r>
      <w:r w:rsidRPr="00B7488C">
        <w:rPr>
          <w:rFonts w:ascii="Arial" w:hAnsi="Arial" w:cs="Arial"/>
          <w:b/>
          <w:i/>
          <w:iCs/>
          <w:color w:val="C0504D" w:themeColor="accent2"/>
        </w:rPr>
        <w:t>-$</w:t>
      </w:r>
      <w:r>
        <w:rPr>
          <w:rFonts w:ascii="Arial" w:hAnsi="Arial" w:cs="Arial"/>
          <w:b/>
          <w:i/>
          <w:iCs/>
          <w:color w:val="C0504D" w:themeColor="accent2"/>
        </w:rPr>
        <w:t>632,829</w:t>
      </w:r>
      <w:r>
        <w:rPr>
          <w:rFonts w:ascii="Arial" w:hAnsi="Arial" w:cs="Arial"/>
          <w:b/>
          <w:i/>
          <w:iCs/>
        </w:rPr>
        <w:t xml:space="preserve">].  </w:t>
      </w:r>
      <w:r>
        <w:rPr>
          <w:rFonts w:ascii="Arial" w:hAnsi="Arial" w:cs="Arial"/>
          <w:bCs/>
        </w:rPr>
        <w:t>The proposed ordinance would disappropriate remaining funds from the following completed capital projects:</w:t>
      </w:r>
    </w:p>
    <w:p w14:paraId="0633C82D" w14:textId="77777777" w:rsidR="00D171ED" w:rsidRDefault="00D171ED" w:rsidP="00D171ED">
      <w:pPr>
        <w:tabs>
          <w:tab w:val="left" w:pos="720"/>
          <w:tab w:val="right" w:pos="9360"/>
        </w:tabs>
        <w:spacing w:line="264" w:lineRule="auto"/>
        <w:contextualSpacing/>
        <w:jc w:val="both"/>
        <w:rPr>
          <w:rFonts w:ascii="Arial" w:hAnsi="Arial" w:cs="Arial"/>
          <w:bCs/>
        </w:rPr>
      </w:pPr>
    </w:p>
    <w:p w14:paraId="0B932225" w14:textId="77777777" w:rsidR="00D171ED" w:rsidRPr="00697995" w:rsidRDefault="00D171ED" w:rsidP="00D171ED">
      <w:pPr>
        <w:pStyle w:val="ListParagraph0"/>
        <w:numPr>
          <w:ilvl w:val="0"/>
          <w:numId w:val="34"/>
        </w:numPr>
        <w:tabs>
          <w:tab w:val="left" w:pos="720"/>
          <w:tab w:val="right" w:pos="9360"/>
        </w:tabs>
        <w:spacing w:line="264" w:lineRule="auto"/>
        <w:contextualSpacing/>
        <w:jc w:val="both"/>
        <w:rPr>
          <w:rFonts w:ascii="Arial" w:hAnsi="Arial" w:cs="Arial"/>
          <w:bCs/>
          <w:i/>
          <w:iCs/>
        </w:rPr>
      </w:pPr>
      <w:r w:rsidRPr="005F4449">
        <w:rPr>
          <w:rFonts w:ascii="Arial" w:hAnsi="Arial" w:cs="Arial"/>
          <w:b/>
          <w:i/>
          <w:iCs/>
        </w:rPr>
        <w:t>Upgrade North Flare Station at Cedar Hills Landfill</w:t>
      </w:r>
      <w:r>
        <w:rPr>
          <w:rFonts w:ascii="Arial" w:hAnsi="Arial" w:cs="Arial"/>
          <w:b/>
          <w:i/>
          <w:iCs/>
        </w:rPr>
        <w:t xml:space="preserve"> [</w:t>
      </w:r>
      <w:r w:rsidRPr="00B7488C">
        <w:rPr>
          <w:rFonts w:ascii="Arial" w:hAnsi="Arial" w:cs="Arial"/>
          <w:b/>
          <w:i/>
          <w:iCs/>
          <w:color w:val="C0504D" w:themeColor="accent2"/>
        </w:rPr>
        <w:t>-$</w:t>
      </w:r>
      <w:r>
        <w:rPr>
          <w:rFonts w:ascii="Arial" w:hAnsi="Arial" w:cs="Arial"/>
          <w:b/>
          <w:i/>
          <w:iCs/>
          <w:color w:val="C0504D" w:themeColor="accent2"/>
        </w:rPr>
        <w:t>331,796</w:t>
      </w:r>
      <w:r>
        <w:rPr>
          <w:rFonts w:ascii="Arial" w:hAnsi="Arial" w:cs="Arial"/>
          <w:b/>
          <w:i/>
          <w:iCs/>
        </w:rPr>
        <w:t xml:space="preserve">].  </w:t>
      </w:r>
      <w:r>
        <w:rPr>
          <w:rFonts w:ascii="Arial" w:hAnsi="Arial" w:cs="Arial"/>
          <w:bCs/>
        </w:rPr>
        <w:t xml:space="preserve">This project to upgrade the Cedar Hills Regional Landfill North Flare Station electrical system has been completed under the budgeted appropriation.  According to Executive staff, this project was created as an emergency response to issues that were occurring at the North Flare Station several years ago and new fiber optic cables were installed that provided a temporary fix and also highlighted the need for a more robust solution, which is to be provided by </w:t>
      </w:r>
      <w:r w:rsidRPr="00232FDD">
        <w:rPr>
          <w:rFonts w:ascii="Arial" w:hAnsi="Arial" w:cs="Arial"/>
          <w:bCs/>
        </w:rPr>
        <w:t xml:space="preserve">North Flare Station Motor Control Center </w:t>
      </w:r>
      <w:proofErr w:type="gramStart"/>
      <w:r w:rsidRPr="00232FDD">
        <w:rPr>
          <w:rFonts w:ascii="Arial" w:hAnsi="Arial" w:cs="Arial"/>
          <w:bCs/>
        </w:rPr>
        <w:t>project</w:t>
      </w:r>
      <w:r>
        <w:rPr>
          <w:rFonts w:ascii="Arial" w:hAnsi="Arial" w:cs="Arial"/>
          <w:bCs/>
        </w:rPr>
        <w:t>;</w:t>
      </w:r>
      <w:proofErr w:type="gramEnd"/>
    </w:p>
    <w:p w14:paraId="269196F9" w14:textId="77777777" w:rsidR="00D171ED" w:rsidRPr="0076077F" w:rsidRDefault="00D171ED" w:rsidP="00D171ED">
      <w:pPr>
        <w:pStyle w:val="ListParagraph0"/>
        <w:numPr>
          <w:ilvl w:val="0"/>
          <w:numId w:val="34"/>
        </w:numPr>
        <w:tabs>
          <w:tab w:val="left" w:pos="720"/>
          <w:tab w:val="right" w:pos="9360"/>
        </w:tabs>
        <w:spacing w:line="264" w:lineRule="auto"/>
        <w:contextualSpacing/>
        <w:jc w:val="both"/>
        <w:rPr>
          <w:rFonts w:ascii="Arial" w:hAnsi="Arial" w:cs="Arial"/>
          <w:bCs/>
          <w:i/>
          <w:iCs/>
        </w:rPr>
      </w:pPr>
      <w:r>
        <w:rPr>
          <w:rFonts w:ascii="Arial" w:hAnsi="Arial" w:cs="Arial"/>
          <w:b/>
          <w:i/>
          <w:iCs/>
        </w:rPr>
        <w:t>Cedar Hills Landfill Supervisory Control and Data Acquisition Master Plan [</w:t>
      </w:r>
      <w:r w:rsidRPr="00B7488C">
        <w:rPr>
          <w:rFonts w:ascii="Arial" w:hAnsi="Arial" w:cs="Arial"/>
          <w:b/>
          <w:i/>
          <w:iCs/>
          <w:color w:val="C0504D" w:themeColor="accent2"/>
        </w:rPr>
        <w:t>-$</w:t>
      </w:r>
      <w:r>
        <w:rPr>
          <w:rFonts w:ascii="Arial" w:hAnsi="Arial" w:cs="Arial"/>
          <w:b/>
          <w:i/>
          <w:iCs/>
          <w:color w:val="C0504D" w:themeColor="accent2"/>
        </w:rPr>
        <w:t>121,085</w:t>
      </w:r>
      <w:r>
        <w:rPr>
          <w:rFonts w:ascii="Arial" w:hAnsi="Arial" w:cs="Arial"/>
          <w:b/>
          <w:i/>
          <w:iCs/>
        </w:rPr>
        <w:t xml:space="preserve">].  </w:t>
      </w:r>
      <w:r>
        <w:rPr>
          <w:rFonts w:ascii="Arial" w:hAnsi="Arial" w:cs="Arial"/>
          <w:bCs/>
        </w:rPr>
        <w:t>This project is the first phase to evaluate and re-engineer the Supervisory Control and Data Acquisition system that monitors landfill conditions and has been completed under the budgeted appropriation; and</w:t>
      </w:r>
    </w:p>
    <w:p w14:paraId="3A598468" w14:textId="77777777" w:rsidR="00D171ED" w:rsidRPr="005F4449" w:rsidRDefault="00D171ED" w:rsidP="00D171ED">
      <w:pPr>
        <w:pStyle w:val="ListParagraph0"/>
        <w:numPr>
          <w:ilvl w:val="0"/>
          <w:numId w:val="34"/>
        </w:numPr>
        <w:tabs>
          <w:tab w:val="left" w:pos="720"/>
          <w:tab w:val="right" w:pos="9360"/>
        </w:tabs>
        <w:spacing w:line="264" w:lineRule="auto"/>
        <w:contextualSpacing/>
        <w:jc w:val="both"/>
        <w:rPr>
          <w:rFonts w:ascii="Arial" w:hAnsi="Arial" w:cs="Arial"/>
          <w:bCs/>
          <w:i/>
          <w:iCs/>
        </w:rPr>
      </w:pPr>
      <w:r>
        <w:rPr>
          <w:rFonts w:ascii="Arial" w:hAnsi="Arial" w:cs="Arial"/>
          <w:b/>
          <w:i/>
          <w:iCs/>
        </w:rPr>
        <w:t>Cedar Hills Support Facility Evaluation [</w:t>
      </w:r>
      <w:r w:rsidRPr="00B7488C">
        <w:rPr>
          <w:rFonts w:ascii="Arial" w:hAnsi="Arial" w:cs="Arial"/>
          <w:b/>
          <w:i/>
          <w:iCs/>
          <w:color w:val="C0504D" w:themeColor="accent2"/>
        </w:rPr>
        <w:t>-$</w:t>
      </w:r>
      <w:r>
        <w:rPr>
          <w:rFonts w:ascii="Arial" w:hAnsi="Arial" w:cs="Arial"/>
          <w:b/>
          <w:i/>
          <w:iCs/>
          <w:color w:val="C0504D" w:themeColor="accent2"/>
        </w:rPr>
        <w:t>179,948</w:t>
      </w:r>
      <w:r>
        <w:rPr>
          <w:rFonts w:ascii="Arial" w:hAnsi="Arial" w:cs="Arial"/>
          <w:b/>
          <w:i/>
          <w:iCs/>
        </w:rPr>
        <w:t xml:space="preserve">].  </w:t>
      </w:r>
      <w:r>
        <w:rPr>
          <w:rFonts w:ascii="Arial" w:hAnsi="Arial" w:cs="Arial"/>
          <w:bCs/>
        </w:rPr>
        <w:t>This project to evaluate and recommend facility relocation options at Cedar Hills to support landfill maximization has been completed under the budgeted appropriation.</w:t>
      </w:r>
    </w:p>
    <w:p w14:paraId="73D2B3F2" w14:textId="77777777" w:rsidR="00D171ED" w:rsidRDefault="00D171ED" w:rsidP="00AB45DE">
      <w:pPr>
        <w:tabs>
          <w:tab w:val="left" w:pos="720"/>
          <w:tab w:val="right" w:pos="9360"/>
        </w:tabs>
        <w:spacing w:line="264" w:lineRule="auto"/>
        <w:contextualSpacing/>
        <w:jc w:val="both"/>
        <w:rPr>
          <w:rFonts w:ascii="Arial" w:hAnsi="Arial" w:cs="Arial"/>
          <w:b/>
          <w:u w:val="single"/>
        </w:rPr>
      </w:pPr>
    </w:p>
    <w:p w14:paraId="5E79B59E" w14:textId="77777777" w:rsidR="00D7578E" w:rsidRDefault="00D7578E" w:rsidP="00AB45DE">
      <w:pPr>
        <w:tabs>
          <w:tab w:val="left" w:pos="720"/>
          <w:tab w:val="right" w:pos="9360"/>
        </w:tabs>
        <w:spacing w:line="264" w:lineRule="auto"/>
        <w:contextualSpacing/>
        <w:jc w:val="both"/>
        <w:rPr>
          <w:rFonts w:ascii="Arial" w:hAnsi="Arial" w:cs="Arial"/>
          <w:b/>
          <w:u w:val="single"/>
        </w:rPr>
      </w:pPr>
    </w:p>
    <w:p w14:paraId="1E159AB6"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t>Airport (KCIA) Operating</w:t>
      </w:r>
      <w:r w:rsidRPr="000E7446">
        <w:rPr>
          <w:rFonts w:ascii="Arial" w:hAnsi="Arial" w:cs="Arial"/>
          <w:b/>
          <w:u w:val="single"/>
        </w:rPr>
        <w:tab/>
        <w:t>$</w:t>
      </w:r>
      <w:r>
        <w:rPr>
          <w:rFonts w:ascii="Arial" w:hAnsi="Arial" w:cs="Arial"/>
          <w:b/>
          <w:u w:val="single"/>
        </w:rPr>
        <w:t>338,000, 1.0 FTE</w:t>
      </w:r>
    </w:p>
    <w:p w14:paraId="3DDCF0D7" w14:textId="77777777" w:rsidR="00AB45DE" w:rsidRDefault="00AB45DE" w:rsidP="00AB45DE">
      <w:pPr>
        <w:spacing w:line="264" w:lineRule="auto"/>
        <w:contextualSpacing/>
        <w:jc w:val="both"/>
        <w:rPr>
          <w:b/>
        </w:rPr>
      </w:pPr>
    </w:p>
    <w:p w14:paraId="67E1B390" w14:textId="74F36D94" w:rsidR="00AB45DE" w:rsidRDefault="00AB45DE" w:rsidP="00AB45DE">
      <w:pPr>
        <w:spacing w:line="264" w:lineRule="auto"/>
        <w:contextualSpacing/>
        <w:jc w:val="both"/>
        <w:rPr>
          <w:rFonts w:ascii="Arial" w:hAnsi="Arial" w:cs="Arial"/>
        </w:rPr>
      </w:pPr>
      <w:r>
        <w:rPr>
          <w:rFonts w:ascii="Arial" w:hAnsi="Arial" w:cs="Arial"/>
          <w:b/>
          <w:i/>
          <w:iCs/>
        </w:rPr>
        <w:t>Environmental Scientist [</w:t>
      </w:r>
      <w:r w:rsidRPr="0054665B">
        <w:rPr>
          <w:rFonts w:ascii="Arial" w:hAnsi="Arial" w:cs="Arial"/>
          <w:b/>
          <w:i/>
          <w:iCs/>
        </w:rPr>
        <w:t>$</w:t>
      </w:r>
      <w:r>
        <w:rPr>
          <w:rFonts w:ascii="Arial" w:hAnsi="Arial" w:cs="Arial"/>
          <w:b/>
          <w:i/>
          <w:iCs/>
        </w:rPr>
        <w:t>137,759, 1.0 FTE, ongoing]</w:t>
      </w:r>
      <w:r w:rsidRPr="0054665B">
        <w:rPr>
          <w:rFonts w:ascii="Arial" w:hAnsi="Arial" w:cs="Arial"/>
          <w:b/>
          <w:i/>
          <w:iCs/>
        </w:rPr>
        <w:t>.</w:t>
      </w:r>
      <w:r>
        <w:rPr>
          <w:rFonts w:ascii="Arial" w:hAnsi="Arial" w:cs="Arial"/>
          <w:b/>
        </w:rPr>
        <w:t xml:space="preserve">  </w:t>
      </w:r>
      <w:r>
        <w:rPr>
          <w:rFonts w:ascii="Arial" w:hAnsi="Arial" w:cs="Arial"/>
        </w:rPr>
        <w:t xml:space="preserve">This proposed appropriation would support </w:t>
      </w:r>
      <w:r w:rsidRPr="00932F0B">
        <w:rPr>
          <w:rFonts w:ascii="Arial" w:hAnsi="Arial" w:cs="Arial"/>
        </w:rPr>
        <w:t xml:space="preserve">one </w:t>
      </w:r>
      <w:r>
        <w:rPr>
          <w:rFonts w:ascii="Arial" w:hAnsi="Arial" w:cs="Arial"/>
        </w:rPr>
        <w:t xml:space="preserve">Environmental Scientist </w:t>
      </w:r>
      <w:r w:rsidRPr="00932F0B">
        <w:rPr>
          <w:rFonts w:ascii="Arial" w:hAnsi="Arial" w:cs="Arial"/>
        </w:rPr>
        <w:t>FTE position</w:t>
      </w:r>
      <w:r>
        <w:rPr>
          <w:rFonts w:ascii="Arial" w:hAnsi="Arial" w:cs="Arial"/>
        </w:rPr>
        <w:t xml:space="preserve"> to support work related to the county’s Strategic Climate Action Plan (</w:t>
      </w:r>
      <w:r w:rsidRPr="00886BC8">
        <w:rPr>
          <w:rFonts w:ascii="Arial" w:hAnsi="Arial" w:cs="Arial"/>
        </w:rPr>
        <w:t>SCAP</w:t>
      </w:r>
      <w:r>
        <w:rPr>
          <w:rFonts w:ascii="Arial" w:hAnsi="Arial" w:cs="Arial"/>
        </w:rPr>
        <w:t>)</w:t>
      </w:r>
      <w:r w:rsidRPr="00886BC8">
        <w:rPr>
          <w:rFonts w:ascii="Arial" w:hAnsi="Arial" w:cs="Arial"/>
        </w:rPr>
        <w:t xml:space="preserve"> </w:t>
      </w:r>
      <w:r>
        <w:rPr>
          <w:rFonts w:ascii="Arial" w:hAnsi="Arial" w:cs="Arial"/>
        </w:rPr>
        <w:t>goals, obtain Federal Aviation Administration (FAA) grants, and support requirements of Washington State Department of Ecology oversight on KCIA’s environmental work</w:t>
      </w:r>
      <w:r w:rsidRPr="00886BC8">
        <w:rPr>
          <w:rFonts w:ascii="Arial" w:hAnsi="Arial" w:cs="Arial"/>
        </w:rPr>
        <w:t>.</w:t>
      </w:r>
      <w:r>
        <w:rPr>
          <w:rFonts w:ascii="Arial" w:hAnsi="Arial" w:cs="Arial"/>
        </w:rPr>
        <w:t xml:space="preserve"> </w:t>
      </w:r>
      <w:r w:rsidR="00CD4E4B">
        <w:rPr>
          <w:rFonts w:ascii="Arial" w:hAnsi="Arial" w:cs="Arial"/>
        </w:rPr>
        <w:t xml:space="preserve"> </w:t>
      </w:r>
      <w:r>
        <w:rPr>
          <w:rFonts w:ascii="Arial" w:hAnsi="Arial" w:cs="Arial"/>
        </w:rPr>
        <w:t xml:space="preserve">Executive staff state the growing volume of environmental programs and projects exceeds the workload of the one Environmental Scientist currently on staff. </w:t>
      </w:r>
      <w:r w:rsidR="00CD4E4B">
        <w:rPr>
          <w:rFonts w:ascii="Arial" w:hAnsi="Arial" w:cs="Arial"/>
        </w:rPr>
        <w:t xml:space="preserve"> </w:t>
      </w:r>
      <w:r>
        <w:rPr>
          <w:rFonts w:ascii="Arial" w:hAnsi="Arial" w:cs="Arial"/>
        </w:rPr>
        <w:t>The proposed position would begin on December 2021 and would be funded by KCIA fund balance.</w:t>
      </w:r>
    </w:p>
    <w:p w14:paraId="58B283C3" w14:textId="77777777" w:rsidR="00AB45DE" w:rsidRDefault="00AB45DE" w:rsidP="00AB45DE">
      <w:pPr>
        <w:spacing w:line="264" w:lineRule="auto"/>
        <w:contextualSpacing/>
        <w:jc w:val="both"/>
        <w:rPr>
          <w:rFonts w:ascii="Arial" w:hAnsi="Arial" w:cs="Arial"/>
        </w:rPr>
      </w:pPr>
    </w:p>
    <w:p w14:paraId="5375B19F" w14:textId="77777777" w:rsidR="00AB45DE" w:rsidRDefault="00AB45DE" w:rsidP="00AB45DE">
      <w:pPr>
        <w:spacing w:line="264" w:lineRule="auto"/>
        <w:contextualSpacing/>
        <w:jc w:val="both"/>
        <w:rPr>
          <w:rFonts w:ascii="Arial" w:hAnsi="Arial" w:cs="Arial"/>
        </w:rPr>
      </w:pPr>
      <w:r>
        <w:rPr>
          <w:rFonts w:ascii="Arial" w:hAnsi="Arial" w:cs="Arial"/>
        </w:rPr>
        <w:t xml:space="preserve">Of note, the council appropriated 17.5 new FTEs in the 2021-2022 biennial budget. Of the total, executive staff states that </w:t>
      </w:r>
      <w:r w:rsidRPr="009D3051">
        <w:rPr>
          <w:rFonts w:ascii="Arial" w:hAnsi="Arial" w:cs="Arial"/>
        </w:rPr>
        <w:t>13</w:t>
      </w:r>
      <w:r>
        <w:rPr>
          <w:rFonts w:ascii="Arial" w:hAnsi="Arial" w:cs="Arial"/>
        </w:rPr>
        <w:t xml:space="preserve"> FTEs </w:t>
      </w:r>
      <w:r w:rsidRPr="009D3051">
        <w:rPr>
          <w:rFonts w:ascii="Arial" w:hAnsi="Arial" w:cs="Arial"/>
        </w:rPr>
        <w:t xml:space="preserve">have been hired </w:t>
      </w:r>
      <w:r>
        <w:rPr>
          <w:rFonts w:ascii="Arial" w:hAnsi="Arial" w:cs="Arial"/>
        </w:rPr>
        <w:t>and t</w:t>
      </w:r>
      <w:r w:rsidRPr="009D3051">
        <w:rPr>
          <w:rFonts w:ascii="Arial" w:hAnsi="Arial" w:cs="Arial"/>
        </w:rPr>
        <w:t xml:space="preserve">he remaining positions are either currently posted or scheduled to be </w:t>
      </w:r>
      <w:r>
        <w:rPr>
          <w:rFonts w:ascii="Arial" w:hAnsi="Arial" w:cs="Arial"/>
        </w:rPr>
        <w:t>recruited by the end of the year.</w:t>
      </w:r>
    </w:p>
    <w:p w14:paraId="652BFC2C" w14:textId="77777777" w:rsidR="00AB45DE" w:rsidRDefault="00AB45DE" w:rsidP="00AB45DE">
      <w:pPr>
        <w:spacing w:line="264" w:lineRule="auto"/>
        <w:contextualSpacing/>
        <w:jc w:val="both"/>
        <w:rPr>
          <w:rFonts w:ascii="Arial" w:hAnsi="Arial" w:cs="Arial"/>
        </w:rPr>
      </w:pPr>
    </w:p>
    <w:p w14:paraId="637614E6" w14:textId="28777041" w:rsidR="00AB45DE" w:rsidRDefault="00AB45DE" w:rsidP="00AB45DE">
      <w:pPr>
        <w:spacing w:line="264" w:lineRule="auto"/>
        <w:contextualSpacing/>
        <w:jc w:val="both"/>
        <w:rPr>
          <w:rFonts w:ascii="Arial" w:hAnsi="Arial" w:cs="Arial"/>
        </w:rPr>
      </w:pPr>
      <w:r w:rsidRPr="000D5B79">
        <w:rPr>
          <w:rFonts w:ascii="Arial" w:hAnsi="Arial" w:cs="Arial"/>
          <w:b/>
          <w:bCs/>
          <w:i/>
          <w:iCs/>
        </w:rPr>
        <w:t>Electric Aircraft Charging Stations [$200,000].</w:t>
      </w:r>
      <w:r>
        <w:rPr>
          <w:rFonts w:ascii="Arial" w:hAnsi="Arial" w:cs="Arial"/>
        </w:rPr>
        <w:t xml:space="preserve">  This proposed appropriation would </w:t>
      </w:r>
      <w:r w:rsidRPr="00EA3F15">
        <w:rPr>
          <w:rFonts w:ascii="Arial" w:hAnsi="Arial" w:cs="Arial"/>
        </w:rPr>
        <w:t xml:space="preserve">support </w:t>
      </w:r>
      <w:r>
        <w:rPr>
          <w:rFonts w:ascii="Arial" w:hAnsi="Arial" w:cs="Arial"/>
        </w:rPr>
        <w:t xml:space="preserve">design and installation of two electric aircraft charging stations. </w:t>
      </w:r>
      <w:r w:rsidR="00CD4E4B">
        <w:rPr>
          <w:rFonts w:ascii="Arial" w:hAnsi="Arial" w:cs="Arial"/>
        </w:rPr>
        <w:t xml:space="preserve"> </w:t>
      </w:r>
      <w:r>
        <w:rPr>
          <w:rFonts w:ascii="Arial" w:hAnsi="Arial" w:cs="Arial"/>
        </w:rPr>
        <w:t>The impetus for this appropriation was based on a November 2020 Washington State Department of Transportation (WSDOT) Electric Aircraft Feasibility Study</w:t>
      </w:r>
      <w:r>
        <w:rPr>
          <w:rStyle w:val="FootnoteReference"/>
          <w:rFonts w:ascii="Arial" w:hAnsi="Arial" w:cs="Arial"/>
        </w:rPr>
        <w:footnoteReference w:id="43"/>
      </w:r>
      <w:r>
        <w:rPr>
          <w:rFonts w:ascii="Arial" w:hAnsi="Arial" w:cs="Arial"/>
        </w:rPr>
        <w:t xml:space="preserve"> which recommended c</w:t>
      </w:r>
      <w:r w:rsidRPr="000D5B79">
        <w:rPr>
          <w:rFonts w:ascii="Arial" w:hAnsi="Arial" w:cs="Arial"/>
        </w:rPr>
        <w:t>harging infrastructure</w:t>
      </w:r>
      <w:r>
        <w:rPr>
          <w:rFonts w:ascii="Arial" w:hAnsi="Arial" w:cs="Arial"/>
        </w:rPr>
        <w:t xml:space="preserve"> </w:t>
      </w:r>
      <w:r w:rsidRPr="000D5B79">
        <w:rPr>
          <w:rFonts w:ascii="Arial" w:hAnsi="Arial" w:cs="Arial"/>
        </w:rPr>
        <w:t>available at all commercial</w:t>
      </w:r>
      <w:r>
        <w:rPr>
          <w:rFonts w:ascii="Arial" w:hAnsi="Arial" w:cs="Arial"/>
        </w:rPr>
        <w:t xml:space="preserve"> </w:t>
      </w:r>
      <w:r w:rsidRPr="000D5B79">
        <w:rPr>
          <w:rFonts w:ascii="Arial" w:hAnsi="Arial" w:cs="Arial"/>
        </w:rPr>
        <w:t>airports for aircraft up to</w:t>
      </w:r>
      <w:r>
        <w:rPr>
          <w:rFonts w:ascii="Arial" w:hAnsi="Arial" w:cs="Arial"/>
        </w:rPr>
        <w:t xml:space="preserve"> </w:t>
      </w:r>
      <w:r w:rsidRPr="000D5B79">
        <w:rPr>
          <w:rFonts w:ascii="Arial" w:hAnsi="Arial" w:cs="Arial"/>
        </w:rPr>
        <w:t>10-15 passengers</w:t>
      </w:r>
      <w:r>
        <w:rPr>
          <w:rFonts w:ascii="Arial" w:hAnsi="Arial" w:cs="Arial"/>
        </w:rPr>
        <w:t xml:space="preserve">. </w:t>
      </w:r>
      <w:r w:rsidR="00CD4E4B">
        <w:rPr>
          <w:rFonts w:ascii="Arial" w:hAnsi="Arial" w:cs="Arial"/>
        </w:rPr>
        <w:t xml:space="preserve"> </w:t>
      </w:r>
      <w:r>
        <w:rPr>
          <w:rFonts w:ascii="Arial" w:hAnsi="Arial" w:cs="Arial"/>
        </w:rPr>
        <w:t>One station will be located on t</w:t>
      </w:r>
      <w:r w:rsidRPr="0032361A">
        <w:rPr>
          <w:rFonts w:ascii="Arial" w:hAnsi="Arial" w:cs="Arial"/>
        </w:rPr>
        <w:t xml:space="preserve">he south side of the Terminal Building </w:t>
      </w:r>
      <w:r>
        <w:rPr>
          <w:rFonts w:ascii="Arial" w:hAnsi="Arial" w:cs="Arial"/>
        </w:rPr>
        <w:t xml:space="preserve">and </w:t>
      </w:r>
      <w:r>
        <w:rPr>
          <w:rFonts w:ascii="Arial" w:hAnsi="Arial" w:cs="Arial"/>
        </w:rPr>
        <w:lastRenderedPageBreak/>
        <w:t>the other around the general-aviation parking/transient parking n</w:t>
      </w:r>
      <w:r w:rsidRPr="0032361A">
        <w:rPr>
          <w:rFonts w:ascii="Arial" w:hAnsi="Arial" w:cs="Arial"/>
        </w:rPr>
        <w:t>ear the Museum of Flight</w:t>
      </w:r>
      <w:r>
        <w:rPr>
          <w:rFonts w:ascii="Arial" w:hAnsi="Arial" w:cs="Arial"/>
        </w:rPr>
        <w:t>.</w:t>
      </w:r>
    </w:p>
    <w:p w14:paraId="440CB17E" w14:textId="77777777" w:rsidR="00AB45DE" w:rsidRDefault="00AB45DE" w:rsidP="00AB45DE">
      <w:pPr>
        <w:spacing w:line="264" w:lineRule="auto"/>
        <w:contextualSpacing/>
        <w:jc w:val="both"/>
        <w:rPr>
          <w:rFonts w:ascii="Arial" w:hAnsi="Arial" w:cs="Arial"/>
        </w:rPr>
      </w:pPr>
    </w:p>
    <w:p w14:paraId="360204DE" w14:textId="17AD9B46" w:rsidR="00AB45DE" w:rsidRDefault="00AB45DE" w:rsidP="00AB45DE">
      <w:pPr>
        <w:spacing w:line="264" w:lineRule="auto"/>
        <w:contextualSpacing/>
        <w:jc w:val="both"/>
        <w:rPr>
          <w:rFonts w:ascii="Arial" w:hAnsi="Arial" w:cs="Arial"/>
        </w:rPr>
      </w:pPr>
      <w:r>
        <w:rPr>
          <w:rFonts w:ascii="Arial" w:hAnsi="Arial" w:cs="Arial"/>
        </w:rPr>
        <w:t>Executive staff state that KCIA worked with WSDOT on the Electric Aircraft Feasibility Study and KCIA would also be the first airport to implement the recommendations in the study with the installation of the charging stations.  Executive staff also state that the feasibility study aligns with the KCIA’s World Class Airport 2030 vision and they continue to work closely with non-airport industry stakeholders such as electric aircraft and infrastructure manufacturers.</w:t>
      </w:r>
    </w:p>
    <w:p w14:paraId="0681872D" w14:textId="77777777" w:rsidR="00AB45DE" w:rsidRDefault="00AB45DE" w:rsidP="00AB45DE">
      <w:pPr>
        <w:spacing w:line="264" w:lineRule="auto"/>
        <w:contextualSpacing/>
        <w:jc w:val="both"/>
        <w:rPr>
          <w:rFonts w:ascii="Arial" w:hAnsi="Arial" w:cs="Arial"/>
        </w:rPr>
      </w:pPr>
    </w:p>
    <w:p w14:paraId="322B8A9D" w14:textId="77777777" w:rsidR="00AB45DE" w:rsidRDefault="00AB45DE" w:rsidP="00AB45DE">
      <w:pPr>
        <w:spacing w:line="264" w:lineRule="auto"/>
        <w:contextualSpacing/>
        <w:jc w:val="both"/>
        <w:rPr>
          <w:rFonts w:ascii="Arial" w:hAnsi="Arial" w:cs="Arial"/>
        </w:rPr>
      </w:pPr>
    </w:p>
    <w:p w14:paraId="4B716487"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t>Airport (KCIA) Capital</w:t>
      </w:r>
      <w:r w:rsidRPr="000E7446">
        <w:rPr>
          <w:rFonts w:ascii="Arial" w:hAnsi="Arial" w:cs="Arial"/>
          <w:b/>
          <w:u w:val="single"/>
        </w:rPr>
        <w:tab/>
        <w:t>$</w:t>
      </w:r>
      <w:r>
        <w:rPr>
          <w:rFonts w:ascii="Arial" w:hAnsi="Arial" w:cs="Arial"/>
          <w:b/>
          <w:u w:val="single"/>
        </w:rPr>
        <w:t>5,300,000</w:t>
      </w:r>
    </w:p>
    <w:p w14:paraId="582A716C" w14:textId="77777777" w:rsidR="00AB45DE" w:rsidRDefault="00AB45DE" w:rsidP="00AB45DE">
      <w:pPr>
        <w:spacing w:line="264" w:lineRule="auto"/>
        <w:contextualSpacing/>
        <w:jc w:val="both"/>
        <w:rPr>
          <w:b/>
        </w:rPr>
      </w:pPr>
    </w:p>
    <w:p w14:paraId="2488E7DB" w14:textId="4F596C56" w:rsidR="00AB45DE" w:rsidRDefault="00AB45DE" w:rsidP="00AB45DE">
      <w:pPr>
        <w:spacing w:line="264" w:lineRule="auto"/>
        <w:contextualSpacing/>
        <w:jc w:val="both"/>
        <w:rPr>
          <w:rFonts w:ascii="Arial" w:hAnsi="Arial" w:cs="Arial"/>
        </w:rPr>
      </w:pPr>
      <w:r>
        <w:rPr>
          <w:rFonts w:ascii="Arial" w:hAnsi="Arial" w:cs="Arial"/>
          <w:b/>
          <w:i/>
          <w:iCs/>
        </w:rPr>
        <w:t>Emergent Need [</w:t>
      </w:r>
      <w:r w:rsidRPr="0054665B">
        <w:rPr>
          <w:rFonts w:ascii="Arial" w:hAnsi="Arial" w:cs="Arial"/>
          <w:b/>
          <w:i/>
          <w:iCs/>
        </w:rPr>
        <w:t>$</w:t>
      </w:r>
      <w:r>
        <w:rPr>
          <w:rFonts w:ascii="Arial" w:hAnsi="Arial" w:cs="Arial"/>
          <w:b/>
          <w:i/>
          <w:iCs/>
        </w:rPr>
        <w:t>1,500,000]</w:t>
      </w:r>
      <w:r w:rsidRPr="0054665B">
        <w:rPr>
          <w:rFonts w:ascii="Arial" w:hAnsi="Arial" w:cs="Arial"/>
          <w:b/>
          <w:i/>
          <w:iCs/>
        </w:rPr>
        <w:t>.</w:t>
      </w:r>
      <w:r>
        <w:rPr>
          <w:rFonts w:ascii="Arial" w:hAnsi="Arial" w:cs="Arial"/>
          <w:b/>
        </w:rPr>
        <w:t xml:space="preserve">  </w:t>
      </w:r>
      <w:r>
        <w:rPr>
          <w:rFonts w:ascii="Arial" w:hAnsi="Arial" w:cs="Arial"/>
          <w:bCs/>
        </w:rPr>
        <w:t>As per K.C.C. 4A.10.248, t</w:t>
      </w:r>
      <w:r>
        <w:rPr>
          <w:rFonts w:ascii="Arial" w:hAnsi="Arial" w:cs="Arial"/>
        </w:rPr>
        <w:t xml:space="preserve">his project would </w:t>
      </w:r>
      <w:r w:rsidRPr="008C58D2">
        <w:rPr>
          <w:rFonts w:ascii="Arial" w:hAnsi="Arial" w:cs="Arial"/>
        </w:rPr>
        <w:t xml:space="preserve">provide a mechanism </w:t>
      </w:r>
      <w:r>
        <w:rPr>
          <w:rFonts w:ascii="Arial" w:hAnsi="Arial" w:cs="Arial"/>
        </w:rPr>
        <w:t>to support</w:t>
      </w:r>
      <w:r w:rsidRPr="008C58D2">
        <w:rPr>
          <w:rFonts w:ascii="Arial" w:hAnsi="Arial" w:cs="Arial"/>
        </w:rPr>
        <w:t xml:space="preserve"> existing </w:t>
      </w:r>
      <w:r>
        <w:rPr>
          <w:rFonts w:ascii="Arial" w:hAnsi="Arial" w:cs="Arial"/>
        </w:rPr>
        <w:t xml:space="preserve">KCIA </w:t>
      </w:r>
      <w:r w:rsidRPr="008C58D2">
        <w:rPr>
          <w:rFonts w:ascii="Arial" w:hAnsi="Arial" w:cs="Arial"/>
        </w:rPr>
        <w:t>capital project</w:t>
      </w:r>
      <w:r>
        <w:rPr>
          <w:rFonts w:ascii="Arial" w:hAnsi="Arial" w:cs="Arial"/>
        </w:rPr>
        <w:t>s</w:t>
      </w:r>
      <w:r w:rsidRPr="008C58D2">
        <w:rPr>
          <w:rFonts w:ascii="Arial" w:hAnsi="Arial" w:cs="Arial"/>
        </w:rPr>
        <w:t xml:space="preserve"> that ha</w:t>
      </w:r>
      <w:r>
        <w:rPr>
          <w:rFonts w:ascii="Arial" w:hAnsi="Arial" w:cs="Arial"/>
        </w:rPr>
        <w:t>ve</w:t>
      </w:r>
      <w:r w:rsidRPr="008C58D2">
        <w:rPr>
          <w:rFonts w:ascii="Arial" w:hAnsi="Arial" w:cs="Arial"/>
        </w:rPr>
        <w:t xml:space="preserve"> insufficient appropriation due to unforeseen circumstances such as project delays or accelerations</w:t>
      </w:r>
      <w:r>
        <w:rPr>
          <w:rFonts w:ascii="Arial" w:hAnsi="Arial" w:cs="Arial"/>
        </w:rPr>
        <w:t xml:space="preserve">. </w:t>
      </w:r>
      <w:r w:rsidR="00132C40">
        <w:rPr>
          <w:rFonts w:ascii="Arial" w:hAnsi="Arial" w:cs="Arial"/>
        </w:rPr>
        <w:t xml:space="preserve"> </w:t>
      </w:r>
      <w:r>
        <w:rPr>
          <w:rFonts w:ascii="Arial" w:hAnsi="Arial" w:cs="Arial"/>
        </w:rPr>
        <w:t xml:space="preserve">The following table provides a summary of the allocation of the emergent need. </w:t>
      </w:r>
      <w:r w:rsidR="00132C40">
        <w:rPr>
          <w:rFonts w:ascii="Arial" w:hAnsi="Arial" w:cs="Arial"/>
        </w:rPr>
        <w:t xml:space="preserve"> </w:t>
      </w:r>
      <w:r>
        <w:rPr>
          <w:rFonts w:ascii="Arial" w:hAnsi="Arial" w:cs="Arial"/>
        </w:rPr>
        <w:t>Of note, in accordance with K.C.C. 4A.100.080, the emergent need allocations below are less than 15% of the project budget for each capital project.</w:t>
      </w:r>
    </w:p>
    <w:p w14:paraId="33338F35" w14:textId="77777777" w:rsidR="00AB45DE" w:rsidRDefault="00AB45DE" w:rsidP="00AB45DE">
      <w:pPr>
        <w:spacing w:line="264" w:lineRule="auto"/>
        <w:contextualSpacing/>
        <w:jc w:val="both"/>
        <w:rPr>
          <w:rFonts w:ascii="Arial" w:hAnsi="Arial" w:cs="Arial"/>
        </w:rPr>
      </w:pPr>
    </w:p>
    <w:tbl>
      <w:tblPr>
        <w:tblStyle w:val="TableGrid"/>
        <w:tblW w:w="9576" w:type="dxa"/>
        <w:tblLook w:val="04A0" w:firstRow="1" w:lastRow="0" w:firstColumn="1" w:lastColumn="0" w:noHBand="0" w:noVBand="1"/>
      </w:tblPr>
      <w:tblGrid>
        <w:gridCol w:w="574"/>
        <w:gridCol w:w="254"/>
        <w:gridCol w:w="5925"/>
        <w:gridCol w:w="235"/>
        <w:gridCol w:w="1066"/>
        <w:gridCol w:w="235"/>
        <w:gridCol w:w="1287"/>
      </w:tblGrid>
      <w:tr w:rsidR="00AB45DE" w:rsidRPr="000B01DA" w14:paraId="29023DFC" w14:textId="77777777" w:rsidTr="00E34BBA">
        <w:trPr>
          <w:cantSplit/>
          <w:tblHeader/>
        </w:trPr>
        <w:tc>
          <w:tcPr>
            <w:tcW w:w="574" w:type="dxa"/>
            <w:tcBorders>
              <w:top w:val="single" w:sz="12" w:space="0" w:color="auto"/>
              <w:left w:val="nil"/>
              <w:bottom w:val="single" w:sz="4" w:space="0" w:color="auto"/>
              <w:right w:val="nil"/>
            </w:tcBorders>
            <w:vAlign w:val="bottom"/>
          </w:tcPr>
          <w:p w14:paraId="5C09A524" w14:textId="77777777" w:rsidR="00AB45DE" w:rsidRPr="000B01DA" w:rsidRDefault="00AB45DE" w:rsidP="00E34BBA">
            <w:pPr>
              <w:keepNext/>
              <w:spacing w:line="264" w:lineRule="auto"/>
              <w:contextualSpacing/>
              <w:jc w:val="center"/>
              <w:rPr>
                <w:rFonts w:ascii="Arial" w:hAnsi="Arial" w:cs="Arial"/>
                <w:b/>
                <w:sz w:val="22"/>
                <w:szCs w:val="22"/>
              </w:rPr>
            </w:pPr>
            <w:r>
              <w:rPr>
                <w:rFonts w:ascii="Arial" w:hAnsi="Arial" w:cs="Arial"/>
                <w:b/>
                <w:sz w:val="22"/>
                <w:szCs w:val="22"/>
              </w:rPr>
              <w:t>No.</w:t>
            </w:r>
          </w:p>
        </w:tc>
        <w:tc>
          <w:tcPr>
            <w:tcW w:w="254" w:type="dxa"/>
            <w:tcBorders>
              <w:top w:val="single" w:sz="12" w:space="0" w:color="auto"/>
              <w:left w:val="nil"/>
              <w:bottom w:val="nil"/>
              <w:right w:val="nil"/>
            </w:tcBorders>
          </w:tcPr>
          <w:p w14:paraId="79113B74" w14:textId="77777777" w:rsidR="00AB45DE" w:rsidRPr="000B01DA" w:rsidRDefault="00AB45DE" w:rsidP="00E34BBA">
            <w:pPr>
              <w:keepNext/>
              <w:spacing w:line="264" w:lineRule="auto"/>
              <w:contextualSpacing/>
              <w:jc w:val="both"/>
              <w:rPr>
                <w:rFonts w:ascii="Arial" w:hAnsi="Arial" w:cs="Arial"/>
                <w:b/>
                <w:sz w:val="22"/>
                <w:szCs w:val="22"/>
              </w:rPr>
            </w:pPr>
          </w:p>
        </w:tc>
        <w:tc>
          <w:tcPr>
            <w:tcW w:w="5925" w:type="dxa"/>
            <w:tcBorders>
              <w:top w:val="single" w:sz="12" w:space="0" w:color="auto"/>
              <w:left w:val="nil"/>
              <w:bottom w:val="single" w:sz="4" w:space="0" w:color="auto"/>
              <w:right w:val="nil"/>
            </w:tcBorders>
            <w:shd w:val="clear" w:color="auto" w:fill="auto"/>
            <w:vAlign w:val="bottom"/>
          </w:tcPr>
          <w:p w14:paraId="2522C821" w14:textId="77777777" w:rsidR="00AB45DE" w:rsidRPr="000B01DA" w:rsidRDefault="00AB45DE" w:rsidP="00E34BBA">
            <w:pPr>
              <w:keepNext/>
              <w:spacing w:line="264" w:lineRule="auto"/>
              <w:contextualSpacing/>
              <w:jc w:val="both"/>
              <w:rPr>
                <w:rFonts w:ascii="Arial" w:hAnsi="Arial" w:cs="Arial"/>
                <w:b/>
                <w:sz w:val="22"/>
                <w:szCs w:val="22"/>
              </w:rPr>
            </w:pPr>
            <w:r w:rsidRPr="000B01DA">
              <w:rPr>
                <w:rFonts w:ascii="Arial" w:hAnsi="Arial" w:cs="Arial"/>
                <w:b/>
                <w:sz w:val="22"/>
                <w:szCs w:val="22"/>
              </w:rPr>
              <w:t>Project</w:t>
            </w:r>
            <w:r>
              <w:rPr>
                <w:rFonts w:ascii="Arial" w:hAnsi="Arial" w:cs="Arial"/>
                <w:b/>
                <w:sz w:val="22"/>
                <w:szCs w:val="22"/>
              </w:rPr>
              <w:t xml:space="preserve"> Description</w:t>
            </w:r>
          </w:p>
        </w:tc>
        <w:tc>
          <w:tcPr>
            <w:tcW w:w="235" w:type="dxa"/>
            <w:tcBorders>
              <w:top w:val="single" w:sz="12" w:space="0" w:color="auto"/>
              <w:left w:val="nil"/>
              <w:bottom w:val="nil"/>
              <w:right w:val="nil"/>
            </w:tcBorders>
          </w:tcPr>
          <w:p w14:paraId="42645E8C" w14:textId="77777777" w:rsidR="00AB45DE" w:rsidRPr="000B01DA" w:rsidRDefault="00AB45DE" w:rsidP="00E34BBA">
            <w:pPr>
              <w:keepNext/>
              <w:spacing w:line="264" w:lineRule="auto"/>
              <w:contextualSpacing/>
              <w:jc w:val="center"/>
              <w:rPr>
                <w:rFonts w:ascii="Arial" w:hAnsi="Arial" w:cs="Arial"/>
                <w:b/>
                <w:sz w:val="22"/>
                <w:szCs w:val="22"/>
              </w:rPr>
            </w:pPr>
          </w:p>
        </w:tc>
        <w:tc>
          <w:tcPr>
            <w:tcW w:w="1066" w:type="dxa"/>
            <w:tcBorders>
              <w:top w:val="single" w:sz="12" w:space="0" w:color="auto"/>
              <w:left w:val="nil"/>
              <w:bottom w:val="single" w:sz="4" w:space="0" w:color="auto"/>
              <w:right w:val="nil"/>
            </w:tcBorders>
            <w:shd w:val="clear" w:color="auto" w:fill="auto"/>
            <w:vAlign w:val="bottom"/>
          </w:tcPr>
          <w:p w14:paraId="1F8C026B" w14:textId="77777777" w:rsidR="00AB45DE" w:rsidRPr="000B01DA" w:rsidRDefault="00AB45DE" w:rsidP="00E34BBA">
            <w:pPr>
              <w:keepNext/>
              <w:spacing w:line="264" w:lineRule="auto"/>
              <w:contextualSpacing/>
              <w:jc w:val="center"/>
              <w:rPr>
                <w:rFonts w:ascii="Arial" w:hAnsi="Arial" w:cs="Arial"/>
                <w:b/>
                <w:sz w:val="22"/>
                <w:szCs w:val="22"/>
              </w:rPr>
            </w:pPr>
            <w:r>
              <w:rPr>
                <w:rFonts w:ascii="Arial" w:hAnsi="Arial" w:cs="Arial"/>
                <w:b/>
                <w:sz w:val="22"/>
                <w:szCs w:val="22"/>
              </w:rPr>
              <w:t>Project Budget</w:t>
            </w:r>
          </w:p>
        </w:tc>
        <w:tc>
          <w:tcPr>
            <w:tcW w:w="235" w:type="dxa"/>
            <w:tcBorders>
              <w:top w:val="single" w:sz="12" w:space="0" w:color="auto"/>
              <w:left w:val="nil"/>
              <w:bottom w:val="nil"/>
              <w:right w:val="nil"/>
            </w:tcBorders>
            <w:vAlign w:val="bottom"/>
          </w:tcPr>
          <w:p w14:paraId="59458961" w14:textId="77777777" w:rsidR="00AB45DE" w:rsidRPr="000B01DA" w:rsidRDefault="00AB45DE" w:rsidP="00E34BBA">
            <w:pPr>
              <w:keepNext/>
              <w:spacing w:line="264" w:lineRule="auto"/>
              <w:contextualSpacing/>
              <w:jc w:val="center"/>
              <w:rPr>
                <w:rFonts w:ascii="Arial" w:hAnsi="Arial" w:cs="Arial"/>
                <w:b/>
                <w:sz w:val="22"/>
                <w:szCs w:val="22"/>
              </w:rPr>
            </w:pPr>
          </w:p>
        </w:tc>
        <w:tc>
          <w:tcPr>
            <w:tcW w:w="1287" w:type="dxa"/>
            <w:tcBorders>
              <w:top w:val="single" w:sz="12" w:space="0" w:color="auto"/>
              <w:left w:val="nil"/>
              <w:bottom w:val="single" w:sz="4" w:space="0" w:color="auto"/>
              <w:right w:val="nil"/>
            </w:tcBorders>
            <w:shd w:val="clear" w:color="auto" w:fill="auto"/>
            <w:vAlign w:val="bottom"/>
          </w:tcPr>
          <w:p w14:paraId="5BB42527" w14:textId="77777777" w:rsidR="00AB45DE" w:rsidRPr="000B01DA" w:rsidRDefault="00AB45DE" w:rsidP="00E34BBA">
            <w:pPr>
              <w:keepNext/>
              <w:spacing w:line="264" w:lineRule="auto"/>
              <w:contextualSpacing/>
              <w:jc w:val="center"/>
              <w:rPr>
                <w:rFonts w:ascii="Arial" w:hAnsi="Arial" w:cs="Arial"/>
                <w:b/>
                <w:sz w:val="22"/>
                <w:szCs w:val="22"/>
              </w:rPr>
            </w:pPr>
            <w:r w:rsidRPr="000B01DA">
              <w:rPr>
                <w:rFonts w:ascii="Arial" w:hAnsi="Arial" w:cs="Arial"/>
                <w:b/>
                <w:sz w:val="22"/>
                <w:szCs w:val="22"/>
              </w:rPr>
              <w:t xml:space="preserve">Emergent Need </w:t>
            </w:r>
            <w:r>
              <w:rPr>
                <w:rFonts w:ascii="Arial" w:hAnsi="Arial" w:cs="Arial"/>
                <w:b/>
                <w:sz w:val="22"/>
                <w:szCs w:val="22"/>
              </w:rPr>
              <w:t>Allocation</w:t>
            </w:r>
          </w:p>
        </w:tc>
      </w:tr>
      <w:tr w:rsidR="00AB45DE" w:rsidRPr="000B01DA" w14:paraId="3241B6E8" w14:textId="77777777" w:rsidTr="00E34BBA">
        <w:trPr>
          <w:cantSplit/>
        </w:trPr>
        <w:tc>
          <w:tcPr>
            <w:tcW w:w="574" w:type="dxa"/>
            <w:tcBorders>
              <w:top w:val="nil"/>
              <w:left w:val="nil"/>
              <w:bottom w:val="nil"/>
              <w:right w:val="nil"/>
            </w:tcBorders>
          </w:tcPr>
          <w:p w14:paraId="5610A6D7" w14:textId="77777777" w:rsidR="00AB45DE" w:rsidRDefault="00AB45DE" w:rsidP="00E34BBA">
            <w:pPr>
              <w:keepNext/>
              <w:spacing w:line="264" w:lineRule="auto"/>
              <w:contextualSpacing/>
              <w:jc w:val="center"/>
              <w:rPr>
                <w:rFonts w:ascii="Arial" w:hAnsi="Arial" w:cs="Arial"/>
                <w:sz w:val="22"/>
                <w:szCs w:val="22"/>
              </w:rPr>
            </w:pPr>
            <w:r>
              <w:rPr>
                <w:rFonts w:ascii="Arial" w:hAnsi="Arial" w:cs="Arial"/>
                <w:sz w:val="22"/>
                <w:szCs w:val="22"/>
              </w:rPr>
              <w:t>1</w:t>
            </w:r>
          </w:p>
        </w:tc>
        <w:tc>
          <w:tcPr>
            <w:tcW w:w="254" w:type="dxa"/>
            <w:tcBorders>
              <w:top w:val="nil"/>
              <w:left w:val="nil"/>
              <w:bottom w:val="nil"/>
              <w:right w:val="nil"/>
            </w:tcBorders>
          </w:tcPr>
          <w:p w14:paraId="57DD6C15" w14:textId="77777777" w:rsidR="00AB45DE" w:rsidRDefault="00AB45DE" w:rsidP="00E34BBA">
            <w:pPr>
              <w:keepNext/>
              <w:spacing w:line="264" w:lineRule="auto"/>
              <w:contextualSpacing/>
              <w:rPr>
                <w:rFonts w:ascii="Arial" w:hAnsi="Arial" w:cs="Arial"/>
                <w:sz w:val="22"/>
                <w:szCs w:val="22"/>
              </w:rPr>
            </w:pPr>
          </w:p>
        </w:tc>
        <w:tc>
          <w:tcPr>
            <w:tcW w:w="5925" w:type="dxa"/>
            <w:tcBorders>
              <w:top w:val="nil"/>
              <w:left w:val="nil"/>
              <w:bottom w:val="nil"/>
              <w:right w:val="nil"/>
            </w:tcBorders>
            <w:shd w:val="clear" w:color="auto" w:fill="auto"/>
            <w:tcMar>
              <w:top w:w="43" w:type="dxa"/>
              <w:left w:w="115" w:type="dxa"/>
              <w:bottom w:w="43" w:type="dxa"/>
              <w:right w:w="115" w:type="dxa"/>
            </w:tcMar>
          </w:tcPr>
          <w:p w14:paraId="648843A2" w14:textId="77777777" w:rsidR="00AB45DE" w:rsidRPr="000B01DA" w:rsidRDefault="00AB45DE" w:rsidP="00E34BBA">
            <w:pPr>
              <w:keepNext/>
              <w:spacing w:line="264" w:lineRule="auto"/>
              <w:contextualSpacing/>
              <w:rPr>
                <w:rFonts w:ascii="Arial" w:hAnsi="Arial" w:cs="Arial"/>
                <w:sz w:val="22"/>
                <w:szCs w:val="22"/>
              </w:rPr>
            </w:pPr>
            <w:r w:rsidRPr="005E6790">
              <w:rPr>
                <w:rFonts w:ascii="Arial" w:hAnsi="Arial" w:cs="Arial"/>
                <w:sz w:val="22"/>
                <w:szCs w:val="22"/>
                <w:u w:val="single"/>
              </w:rPr>
              <w:t>Airport Redevelopment</w:t>
            </w:r>
            <w:r>
              <w:rPr>
                <w:rFonts w:ascii="Arial" w:hAnsi="Arial" w:cs="Arial"/>
                <w:sz w:val="22"/>
                <w:szCs w:val="22"/>
              </w:rPr>
              <w:t xml:space="preserve"> –</w:t>
            </w:r>
            <w:r>
              <w:t xml:space="preserve"> </w:t>
            </w:r>
            <w:r>
              <w:rPr>
                <w:rFonts w:ascii="Arial" w:hAnsi="Arial" w:cs="Arial"/>
                <w:sz w:val="22"/>
                <w:szCs w:val="22"/>
              </w:rPr>
              <w:t xml:space="preserve">Implement </w:t>
            </w:r>
            <w:r w:rsidRPr="00990EBD">
              <w:rPr>
                <w:rFonts w:ascii="Arial" w:hAnsi="Arial" w:cs="Arial"/>
                <w:sz w:val="22"/>
                <w:szCs w:val="22"/>
              </w:rPr>
              <w:t>the Airport Master Plan to create and preserve airport infrastructure for revenue production and for public and tenant use</w:t>
            </w:r>
            <w:r>
              <w:rPr>
                <w:rFonts w:ascii="Arial" w:hAnsi="Arial" w:cs="Arial"/>
                <w:sz w:val="22"/>
                <w:szCs w:val="22"/>
              </w:rPr>
              <w:t>.</w:t>
            </w:r>
          </w:p>
        </w:tc>
        <w:tc>
          <w:tcPr>
            <w:tcW w:w="235" w:type="dxa"/>
            <w:tcBorders>
              <w:top w:val="nil"/>
              <w:left w:val="nil"/>
              <w:bottom w:val="nil"/>
              <w:right w:val="nil"/>
            </w:tcBorders>
          </w:tcPr>
          <w:p w14:paraId="5A978E2B" w14:textId="77777777" w:rsidR="00AB45DE" w:rsidRPr="000B01DA" w:rsidRDefault="00AB45DE" w:rsidP="00E34BBA">
            <w:pPr>
              <w:keepNext/>
              <w:spacing w:line="264" w:lineRule="auto"/>
              <w:contextualSpacing/>
              <w:jc w:val="right"/>
              <w:rPr>
                <w:rFonts w:ascii="Arial" w:hAnsi="Arial" w:cs="Arial"/>
                <w:bCs/>
                <w:sz w:val="22"/>
                <w:szCs w:val="22"/>
              </w:rPr>
            </w:pPr>
          </w:p>
        </w:tc>
        <w:tc>
          <w:tcPr>
            <w:tcW w:w="1066" w:type="dxa"/>
            <w:tcBorders>
              <w:top w:val="nil"/>
              <w:left w:val="nil"/>
              <w:bottom w:val="nil"/>
              <w:right w:val="nil"/>
            </w:tcBorders>
            <w:shd w:val="clear" w:color="auto" w:fill="auto"/>
          </w:tcPr>
          <w:p w14:paraId="0335EC2E"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$22.1mil</w:t>
            </w:r>
          </w:p>
        </w:tc>
        <w:tc>
          <w:tcPr>
            <w:tcW w:w="235" w:type="dxa"/>
            <w:tcBorders>
              <w:top w:val="nil"/>
              <w:left w:val="nil"/>
              <w:bottom w:val="nil"/>
              <w:right w:val="nil"/>
            </w:tcBorders>
          </w:tcPr>
          <w:p w14:paraId="46B24B0C" w14:textId="77777777" w:rsidR="00AB45DE" w:rsidRPr="000B01DA" w:rsidRDefault="00AB45DE" w:rsidP="00E34BBA">
            <w:pPr>
              <w:keepNext/>
              <w:spacing w:line="264" w:lineRule="auto"/>
              <w:contextualSpacing/>
              <w:jc w:val="right"/>
              <w:rPr>
                <w:rFonts w:ascii="Arial" w:hAnsi="Arial" w:cs="Arial"/>
                <w:bCs/>
                <w:sz w:val="22"/>
                <w:szCs w:val="22"/>
              </w:rPr>
            </w:pPr>
          </w:p>
        </w:tc>
        <w:tc>
          <w:tcPr>
            <w:tcW w:w="1287" w:type="dxa"/>
            <w:tcBorders>
              <w:top w:val="nil"/>
              <w:left w:val="nil"/>
              <w:bottom w:val="nil"/>
              <w:right w:val="nil"/>
            </w:tcBorders>
            <w:shd w:val="clear" w:color="auto" w:fill="auto"/>
            <w:tcMar>
              <w:top w:w="43" w:type="dxa"/>
              <w:bottom w:w="43" w:type="dxa"/>
            </w:tcMar>
          </w:tcPr>
          <w:p w14:paraId="40F5D6E4"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$0.8 mil</w:t>
            </w:r>
          </w:p>
        </w:tc>
      </w:tr>
      <w:tr w:rsidR="00AB45DE" w:rsidRPr="000B01DA" w14:paraId="77208BC8" w14:textId="77777777" w:rsidTr="00E34BBA">
        <w:trPr>
          <w:cantSplit/>
        </w:trPr>
        <w:tc>
          <w:tcPr>
            <w:tcW w:w="574" w:type="dxa"/>
            <w:tcBorders>
              <w:top w:val="nil"/>
              <w:left w:val="nil"/>
              <w:bottom w:val="nil"/>
              <w:right w:val="nil"/>
            </w:tcBorders>
          </w:tcPr>
          <w:p w14:paraId="1E12A019" w14:textId="77777777" w:rsidR="00AB45DE" w:rsidRPr="00BB14A0" w:rsidRDefault="00AB45DE" w:rsidP="00E34BBA">
            <w:pPr>
              <w:keepNext/>
              <w:spacing w:line="264" w:lineRule="auto"/>
              <w:contextualSpacing/>
              <w:jc w:val="center"/>
              <w:rPr>
                <w:rFonts w:ascii="Arial" w:hAnsi="Arial" w:cs="Arial"/>
                <w:sz w:val="22"/>
                <w:szCs w:val="22"/>
              </w:rPr>
            </w:pPr>
            <w:r>
              <w:rPr>
                <w:rFonts w:ascii="Arial" w:hAnsi="Arial" w:cs="Arial"/>
                <w:sz w:val="22"/>
                <w:szCs w:val="22"/>
              </w:rPr>
              <w:t>2</w:t>
            </w:r>
          </w:p>
        </w:tc>
        <w:tc>
          <w:tcPr>
            <w:tcW w:w="254" w:type="dxa"/>
            <w:tcBorders>
              <w:top w:val="nil"/>
              <w:left w:val="nil"/>
              <w:bottom w:val="nil"/>
              <w:right w:val="nil"/>
            </w:tcBorders>
          </w:tcPr>
          <w:p w14:paraId="4B94B34D" w14:textId="77777777" w:rsidR="00AB45DE" w:rsidRPr="00BB14A0" w:rsidRDefault="00AB45DE" w:rsidP="00E34BBA">
            <w:pPr>
              <w:keepNext/>
              <w:spacing w:line="264" w:lineRule="auto"/>
              <w:contextualSpacing/>
              <w:rPr>
                <w:rFonts w:ascii="Arial" w:hAnsi="Arial" w:cs="Arial"/>
                <w:sz w:val="22"/>
                <w:szCs w:val="22"/>
              </w:rPr>
            </w:pPr>
          </w:p>
        </w:tc>
        <w:tc>
          <w:tcPr>
            <w:tcW w:w="5925" w:type="dxa"/>
            <w:tcBorders>
              <w:top w:val="nil"/>
              <w:left w:val="nil"/>
              <w:bottom w:val="nil"/>
              <w:right w:val="nil"/>
            </w:tcBorders>
            <w:shd w:val="clear" w:color="auto" w:fill="auto"/>
            <w:tcMar>
              <w:top w:w="43" w:type="dxa"/>
              <w:left w:w="115" w:type="dxa"/>
              <w:bottom w:w="43" w:type="dxa"/>
              <w:right w:w="115" w:type="dxa"/>
            </w:tcMar>
          </w:tcPr>
          <w:p w14:paraId="22AF711C" w14:textId="77777777" w:rsidR="00AB45DE" w:rsidRPr="000B01DA" w:rsidRDefault="00AB45DE" w:rsidP="00E34BBA">
            <w:pPr>
              <w:keepNext/>
              <w:spacing w:line="264" w:lineRule="auto"/>
              <w:contextualSpacing/>
              <w:rPr>
                <w:rFonts w:ascii="Arial" w:hAnsi="Arial" w:cs="Arial"/>
                <w:sz w:val="22"/>
                <w:szCs w:val="22"/>
              </w:rPr>
            </w:pPr>
            <w:r w:rsidRPr="005E6790">
              <w:rPr>
                <w:rFonts w:ascii="Arial" w:hAnsi="Arial" w:cs="Arial"/>
                <w:sz w:val="22"/>
                <w:szCs w:val="22"/>
                <w:u w:val="single"/>
              </w:rPr>
              <w:t>Technology Infrastructure</w:t>
            </w:r>
            <w:r>
              <w:rPr>
                <w:rFonts w:ascii="Arial" w:hAnsi="Arial" w:cs="Arial"/>
                <w:sz w:val="22"/>
                <w:szCs w:val="22"/>
              </w:rPr>
              <w:t xml:space="preserve"> – A</w:t>
            </w:r>
            <w:r w:rsidRPr="00BB14A0">
              <w:rPr>
                <w:rFonts w:ascii="Arial" w:hAnsi="Arial" w:cs="Arial"/>
                <w:sz w:val="22"/>
                <w:szCs w:val="22"/>
              </w:rPr>
              <w:t>ssess the current state of the Airport's fiber</w:t>
            </w:r>
            <w:r>
              <w:rPr>
                <w:rFonts w:ascii="Arial" w:hAnsi="Arial" w:cs="Arial"/>
                <w:sz w:val="22"/>
                <w:szCs w:val="22"/>
              </w:rPr>
              <w:t xml:space="preserve">, security, and </w:t>
            </w:r>
            <w:r w:rsidRPr="00BB14A0">
              <w:rPr>
                <w:rFonts w:ascii="Arial" w:hAnsi="Arial" w:cs="Arial"/>
                <w:sz w:val="22"/>
                <w:szCs w:val="22"/>
              </w:rPr>
              <w:t>telecommunication infrastructure</w:t>
            </w:r>
          </w:p>
        </w:tc>
        <w:tc>
          <w:tcPr>
            <w:tcW w:w="235" w:type="dxa"/>
            <w:tcBorders>
              <w:top w:val="nil"/>
              <w:left w:val="nil"/>
              <w:bottom w:val="nil"/>
              <w:right w:val="nil"/>
            </w:tcBorders>
          </w:tcPr>
          <w:p w14:paraId="3F92F45F" w14:textId="77777777" w:rsidR="00AB45DE" w:rsidRPr="000B01DA" w:rsidRDefault="00AB45DE" w:rsidP="00E34BBA">
            <w:pPr>
              <w:keepNext/>
              <w:spacing w:line="264" w:lineRule="auto"/>
              <w:contextualSpacing/>
              <w:jc w:val="right"/>
              <w:rPr>
                <w:rFonts w:ascii="Arial" w:hAnsi="Arial" w:cs="Arial"/>
                <w:bCs/>
                <w:sz w:val="22"/>
                <w:szCs w:val="22"/>
              </w:rPr>
            </w:pPr>
          </w:p>
        </w:tc>
        <w:tc>
          <w:tcPr>
            <w:tcW w:w="1066" w:type="dxa"/>
            <w:tcBorders>
              <w:top w:val="nil"/>
              <w:left w:val="nil"/>
              <w:bottom w:val="nil"/>
              <w:right w:val="nil"/>
            </w:tcBorders>
            <w:shd w:val="clear" w:color="auto" w:fill="auto"/>
          </w:tcPr>
          <w:p w14:paraId="03B5B902"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$1.6 mil</w:t>
            </w:r>
          </w:p>
        </w:tc>
        <w:tc>
          <w:tcPr>
            <w:tcW w:w="235" w:type="dxa"/>
            <w:tcBorders>
              <w:top w:val="nil"/>
              <w:left w:val="nil"/>
              <w:bottom w:val="nil"/>
              <w:right w:val="nil"/>
            </w:tcBorders>
          </w:tcPr>
          <w:p w14:paraId="6D8722B1" w14:textId="77777777" w:rsidR="00AB45DE" w:rsidRPr="000B01DA" w:rsidRDefault="00AB45DE" w:rsidP="00E34BBA">
            <w:pPr>
              <w:keepNext/>
              <w:spacing w:line="264" w:lineRule="auto"/>
              <w:contextualSpacing/>
              <w:jc w:val="right"/>
              <w:rPr>
                <w:rFonts w:ascii="Arial" w:hAnsi="Arial" w:cs="Arial"/>
                <w:bCs/>
                <w:sz w:val="22"/>
                <w:szCs w:val="22"/>
              </w:rPr>
            </w:pPr>
          </w:p>
        </w:tc>
        <w:tc>
          <w:tcPr>
            <w:tcW w:w="1287" w:type="dxa"/>
            <w:tcBorders>
              <w:top w:val="nil"/>
              <w:left w:val="nil"/>
              <w:bottom w:val="nil"/>
              <w:right w:val="nil"/>
            </w:tcBorders>
            <w:shd w:val="clear" w:color="auto" w:fill="auto"/>
            <w:tcMar>
              <w:top w:w="43" w:type="dxa"/>
              <w:bottom w:w="43" w:type="dxa"/>
            </w:tcMar>
          </w:tcPr>
          <w:p w14:paraId="744ADD81"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w:t>
            </w:r>
            <w:r w:rsidRPr="000B01DA">
              <w:rPr>
                <w:rFonts w:ascii="Arial" w:hAnsi="Arial" w:cs="Arial"/>
                <w:bCs/>
                <w:sz w:val="22"/>
                <w:szCs w:val="22"/>
              </w:rPr>
              <w:t>0</w:t>
            </w:r>
            <w:r>
              <w:rPr>
                <w:rFonts w:ascii="Arial" w:hAnsi="Arial" w:cs="Arial"/>
                <w:bCs/>
                <w:sz w:val="22"/>
                <w:szCs w:val="22"/>
              </w:rPr>
              <w:t>.2 mil</w:t>
            </w:r>
          </w:p>
        </w:tc>
      </w:tr>
      <w:tr w:rsidR="00AB45DE" w:rsidRPr="000B01DA" w14:paraId="201606D9" w14:textId="77777777" w:rsidTr="00992690">
        <w:trPr>
          <w:cantSplit/>
        </w:trPr>
        <w:tc>
          <w:tcPr>
            <w:tcW w:w="574" w:type="dxa"/>
            <w:tcBorders>
              <w:top w:val="nil"/>
              <w:left w:val="nil"/>
              <w:bottom w:val="nil"/>
              <w:right w:val="nil"/>
            </w:tcBorders>
          </w:tcPr>
          <w:p w14:paraId="369F637B" w14:textId="77777777" w:rsidR="00AB45DE" w:rsidRDefault="00AB45DE" w:rsidP="00E34BBA">
            <w:pPr>
              <w:keepNext/>
              <w:spacing w:line="264" w:lineRule="auto"/>
              <w:contextualSpacing/>
              <w:jc w:val="center"/>
              <w:rPr>
                <w:rFonts w:ascii="Arial" w:hAnsi="Arial" w:cs="Arial"/>
                <w:sz w:val="22"/>
                <w:szCs w:val="22"/>
              </w:rPr>
            </w:pPr>
            <w:r>
              <w:rPr>
                <w:rFonts w:ascii="Arial" w:hAnsi="Arial" w:cs="Arial"/>
                <w:sz w:val="22"/>
                <w:szCs w:val="22"/>
              </w:rPr>
              <w:t>3</w:t>
            </w:r>
          </w:p>
        </w:tc>
        <w:tc>
          <w:tcPr>
            <w:tcW w:w="254" w:type="dxa"/>
            <w:tcBorders>
              <w:top w:val="nil"/>
              <w:left w:val="nil"/>
              <w:bottom w:val="nil"/>
              <w:right w:val="nil"/>
            </w:tcBorders>
          </w:tcPr>
          <w:p w14:paraId="1BB827D9" w14:textId="77777777" w:rsidR="00AB45DE" w:rsidRDefault="00AB45DE" w:rsidP="00E34BBA">
            <w:pPr>
              <w:keepNext/>
              <w:spacing w:line="264" w:lineRule="auto"/>
              <w:contextualSpacing/>
              <w:rPr>
                <w:rFonts w:ascii="Arial" w:hAnsi="Arial" w:cs="Arial"/>
                <w:sz w:val="22"/>
                <w:szCs w:val="22"/>
              </w:rPr>
            </w:pPr>
          </w:p>
        </w:tc>
        <w:tc>
          <w:tcPr>
            <w:tcW w:w="5925" w:type="dxa"/>
            <w:tcBorders>
              <w:top w:val="nil"/>
              <w:left w:val="nil"/>
              <w:bottom w:val="nil"/>
              <w:right w:val="nil"/>
            </w:tcBorders>
            <w:shd w:val="clear" w:color="auto" w:fill="auto"/>
            <w:tcMar>
              <w:top w:w="43" w:type="dxa"/>
              <w:left w:w="115" w:type="dxa"/>
              <w:bottom w:w="43" w:type="dxa"/>
              <w:right w:w="115" w:type="dxa"/>
            </w:tcMar>
          </w:tcPr>
          <w:p w14:paraId="02DD7239" w14:textId="77777777" w:rsidR="00AB45DE" w:rsidRPr="000B01DA" w:rsidRDefault="00AB45DE" w:rsidP="00E34BBA">
            <w:pPr>
              <w:keepNext/>
              <w:spacing w:line="264" w:lineRule="auto"/>
              <w:contextualSpacing/>
              <w:rPr>
                <w:rFonts w:ascii="Arial" w:hAnsi="Arial" w:cs="Arial"/>
                <w:sz w:val="22"/>
                <w:szCs w:val="22"/>
              </w:rPr>
            </w:pPr>
            <w:proofErr w:type="spellStart"/>
            <w:r w:rsidRPr="005E6790">
              <w:rPr>
                <w:rFonts w:ascii="Arial" w:hAnsi="Arial" w:cs="Arial"/>
                <w:sz w:val="22"/>
                <w:szCs w:val="22"/>
                <w:u w:val="single"/>
              </w:rPr>
              <w:t>CityWorks</w:t>
            </w:r>
            <w:proofErr w:type="spellEnd"/>
            <w:r>
              <w:rPr>
                <w:rFonts w:ascii="Arial" w:hAnsi="Arial" w:cs="Arial"/>
                <w:sz w:val="22"/>
                <w:szCs w:val="22"/>
              </w:rPr>
              <w:t xml:space="preserve"> – Enhance Airport’s asset management IT system with additional modules.</w:t>
            </w:r>
          </w:p>
        </w:tc>
        <w:tc>
          <w:tcPr>
            <w:tcW w:w="235" w:type="dxa"/>
            <w:tcBorders>
              <w:top w:val="nil"/>
              <w:left w:val="nil"/>
              <w:bottom w:val="nil"/>
              <w:right w:val="nil"/>
            </w:tcBorders>
          </w:tcPr>
          <w:p w14:paraId="0473A5A4" w14:textId="77777777" w:rsidR="00AB45DE" w:rsidRPr="000B01DA" w:rsidRDefault="00AB45DE" w:rsidP="00E34BBA">
            <w:pPr>
              <w:keepNext/>
              <w:spacing w:line="264" w:lineRule="auto"/>
              <w:contextualSpacing/>
              <w:jc w:val="right"/>
              <w:rPr>
                <w:rFonts w:ascii="Arial" w:hAnsi="Arial" w:cs="Arial"/>
                <w:bCs/>
                <w:sz w:val="22"/>
                <w:szCs w:val="22"/>
              </w:rPr>
            </w:pPr>
          </w:p>
        </w:tc>
        <w:tc>
          <w:tcPr>
            <w:tcW w:w="1066" w:type="dxa"/>
            <w:tcBorders>
              <w:top w:val="nil"/>
              <w:left w:val="nil"/>
              <w:bottom w:val="nil"/>
              <w:right w:val="nil"/>
            </w:tcBorders>
            <w:shd w:val="clear" w:color="auto" w:fill="auto"/>
          </w:tcPr>
          <w:p w14:paraId="63A62925"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$2.2 mil</w:t>
            </w:r>
          </w:p>
        </w:tc>
        <w:tc>
          <w:tcPr>
            <w:tcW w:w="235" w:type="dxa"/>
            <w:tcBorders>
              <w:top w:val="nil"/>
              <w:left w:val="nil"/>
              <w:bottom w:val="nil"/>
              <w:right w:val="nil"/>
            </w:tcBorders>
          </w:tcPr>
          <w:p w14:paraId="7885537C" w14:textId="77777777" w:rsidR="00AB45DE" w:rsidRPr="000B01DA" w:rsidRDefault="00AB45DE" w:rsidP="00E34BBA">
            <w:pPr>
              <w:keepNext/>
              <w:spacing w:line="264" w:lineRule="auto"/>
              <w:contextualSpacing/>
              <w:jc w:val="right"/>
              <w:rPr>
                <w:rFonts w:ascii="Arial" w:hAnsi="Arial" w:cs="Arial"/>
                <w:bCs/>
                <w:sz w:val="22"/>
                <w:szCs w:val="22"/>
              </w:rPr>
            </w:pPr>
          </w:p>
        </w:tc>
        <w:tc>
          <w:tcPr>
            <w:tcW w:w="1287" w:type="dxa"/>
            <w:tcBorders>
              <w:top w:val="nil"/>
              <w:left w:val="nil"/>
              <w:bottom w:val="nil"/>
              <w:right w:val="nil"/>
            </w:tcBorders>
            <w:shd w:val="clear" w:color="auto" w:fill="auto"/>
            <w:tcMar>
              <w:top w:w="43" w:type="dxa"/>
              <w:bottom w:w="43" w:type="dxa"/>
            </w:tcMar>
          </w:tcPr>
          <w:p w14:paraId="2DE0B1E9" w14:textId="77777777" w:rsidR="00AB45DE" w:rsidRPr="000B01DA"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$0.1 mil</w:t>
            </w:r>
          </w:p>
        </w:tc>
      </w:tr>
      <w:tr w:rsidR="00AB45DE" w:rsidRPr="000B01DA" w14:paraId="4F43CBFD" w14:textId="77777777" w:rsidTr="00992690">
        <w:trPr>
          <w:cantSplit/>
        </w:trPr>
        <w:tc>
          <w:tcPr>
            <w:tcW w:w="574" w:type="dxa"/>
            <w:tcBorders>
              <w:top w:val="nil"/>
              <w:left w:val="nil"/>
              <w:bottom w:val="nil"/>
              <w:right w:val="nil"/>
            </w:tcBorders>
          </w:tcPr>
          <w:p w14:paraId="08116616" w14:textId="77777777" w:rsidR="00AB45DE" w:rsidRDefault="00AB45DE" w:rsidP="00E34BBA">
            <w:pPr>
              <w:keepNext/>
              <w:spacing w:line="264" w:lineRule="auto"/>
              <w:contextualSpacing/>
              <w:jc w:val="center"/>
              <w:rPr>
                <w:rFonts w:ascii="Arial" w:hAnsi="Arial" w:cs="Arial"/>
                <w:sz w:val="22"/>
                <w:szCs w:val="22"/>
              </w:rPr>
            </w:pPr>
            <w:r>
              <w:rPr>
                <w:rFonts w:ascii="Arial" w:hAnsi="Arial" w:cs="Arial"/>
                <w:sz w:val="22"/>
                <w:szCs w:val="22"/>
              </w:rPr>
              <w:t>4</w:t>
            </w:r>
          </w:p>
        </w:tc>
        <w:tc>
          <w:tcPr>
            <w:tcW w:w="254" w:type="dxa"/>
            <w:tcBorders>
              <w:top w:val="nil"/>
              <w:left w:val="nil"/>
              <w:bottom w:val="nil"/>
              <w:right w:val="nil"/>
            </w:tcBorders>
          </w:tcPr>
          <w:p w14:paraId="1E8616C3" w14:textId="77777777" w:rsidR="00AB45DE" w:rsidRDefault="00AB45DE" w:rsidP="00E34BBA">
            <w:pPr>
              <w:keepNext/>
              <w:spacing w:line="264" w:lineRule="auto"/>
              <w:contextualSpacing/>
              <w:rPr>
                <w:rFonts w:ascii="Arial" w:hAnsi="Arial" w:cs="Arial"/>
                <w:sz w:val="22"/>
                <w:szCs w:val="22"/>
              </w:rPr>
            </w:pPr>
          </w:p>
        </w:tc>
        <w:tc>
          <w:tcPr>
            <w:tcW w:w="5925" w:type="dxa"/>
            <w:tcBorders>
              <w:top w:val="nil"/>
              <w:left w:val="nil"/>
              <w:bottom w:val="nil"/>
              <w:right w:val="nil"/>
            </w:tcBorders>
            <w:shd w:val="clear" w:color="auto" w:fill="auto"/>
            <w:tcMar>
              <w:top w:w="43" w:type="dxa"/>
              <w:left w:w="115" w:type="dxa"/>
              <w:bottom w:w="43" w:type="dxa"/>
              <w:right w:w="115" w:type="dxa"/>
            </w:tcMar>
          </w:tcPr>
          <w:p w14:paraId="1923F63B" w14:textId="77777777" w:rsidR="00AB45DE" w:rsidRPr="00992690" w:rsidRDefault="00AB45DE" w:rsidP="00E34BBA">
            <w:pPr>
              <w:keepNext/>
              <w:spacing w:line="264" w:lineRule="auto"/>
              <w:contextualSpacing/>
              <w:rPr>
                <w:rFonts w:ascii="Arial" w:hAnsi="Arial" w:cs="Arial"/>
                <w:sz w:val="22"/>
                <w:szCs w:val="22"/>
              </w:rPr>
            </w:pPr>
            <w:r w:rsidRPr="00992690">
              <w:rPr>
                <w:rFonts w:ascii="Arial" w:hAnsi="Arial" w:cs="Arial"/>
                <w:sz w:val="22"/>
                <w:szCs w:val="22"/>
              </w:rPr>
              <w:t>Emergent Need Fund Replenishment</w:t>
            </w:r>
          </w:p>
        </w:tc>
        <w:tc>
          <w:tcPr>
            <w:tcW w:w="235" w:type="dxa"/>
            <w:tcBorders>
              <w:top w:val="nil"/>
              <w:left w:val="nil"/>
              <w:bottom w:val="nil"/>
              <w:right w:val="nil"/>
            </w:tcBorders>
          </w:tcPr>
          <w:p w14:paraId="13AA028A" w14:textId="77777777" w:rsidR="00AB45DE" w:rsidRPr="000B01DA" w:rsidRDefault="00AB45DE" w:rsidP="00E34BBA">
            <w:pPr>
              <w:keepNext/>
              <w:spacing w:line="264" w:lineRule="auto"/>
              <w:contextualSpacing/>
              <w:jc w:val="right"/>
              <w:rPr>
                <w:rFonts w:ascii="Arial" w:hAnsi="Arial" w:cs="Arial"/>
                <w:bCs/>
                <w:sz w:val="22"/>
                <w:szCs w:val="22"/>
              </w:rPr>
            </w:pPr>
          </w:p>
        </w:tc>
        <w:tc>
          <w:tcPr>
            <w:tcW w:w="1066" w:type="dxa"/>
            <w:tcBorders>
              <w:top w:val="nil"/>
              <w:left w:val="nil"/>
              <w:bottom w:val="nil"/>
              <w:right w:val="nil"/>
            </w:tcBorders>
            <w:shd w:val="clear" w:color="auto" w:fill="auto"/>
          </w:tcPr>
          <w:p w14:paraId="7C301815" w14:textId="77777777" w:rsidR="00AB45DE"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n/a</w:t>
            </w:r>
          </w:p>
        </w:tc>
        <w:tc>
          <w:tcPr>
            <w:tcW w:w="235" w:type="dxa"/>
            <w:tcBorders>
              <w:top w:val="nil"/>
              <w:left w:val="nil"/>
              <w:bottom w:val="nil"/>
              <w:right w:val="nil"/>
            </w:tcBorders>
          </w:tcPr>
          <w:p w14:paraId="5C18E76C" w14:textId="77777777" w:rsidR="00AB45DE" w:rsidRPr="000B01DA" w:rsidRDefault="00AB45DE" w:rsidP="00E34BBA">
            <w:pPr>
              <w:keepNext/>
              <w:spacing w:line="264" w:lineRule="auto"/>
              <w:contextualSpacing/>
              <w:jc w:val="right"/>
              <w:rPr>
                <w:rFonts w:ascii="Arial" w:hAnsi="Arial" w:cs="Arial"/>
                <w:bCs/>
                <w:sz w:val="22"/>
                <w:szCs w:val="22"/>
              </w:rPr>
            </w:pPr>
          </w:p>
        </w:tc>
        <w:tc>
          <w:tcPr>
            <w:tcW w:w="1287" w:type="dxa"/>
            <w:tcBorders>
              <w:top w:val="nil"/>
              <w:left w:val="nil"/>
              <w:bottom w:val="nil"/>
              <w:right w:val="nil"/>
            </w:tcBorders>
            <w:shd w:val="clear" w:color="auto" w:fill="auto"/>
            <w:tcMar>
              <w:top w:w="43" w:type="dxa"/>
              <w:bottom w:w="43" w:type="dxa"/>
            </w:tcMar>
          </w:tcPr>
          <w:p w14:paraId="4272F592" w14:textId="77777777" w:rsidR="00AB45DE" w:rsidRDefault="00AB45DE" w:rsidP="00E34BBA">
            <w:pPr>
              <w:keepNext/>
              <w:spacing w:line="264" w:lineRule="auto"/>
              <w:contextualSpacing/>
              <w:jc w:val="right"/>
              <w:rPr>
                <w:rFonts w:ascii="Arial" w:hAnsi="Arial" w:cs="Arial"/>
                <w:bCs/>
                <w:sz w:val="22"/>
                <w:szCs w:val="22"/>
              </w:rPr>
            </w:pPr>
            <w:r>
              <w:rPr>
                <w:rFonts w:ascii="Arial" w:hAnsi="Arial" w:cs="Arial"/>
                <w:bCs/>
                <w:sz w:val="22"/>
                <w:szCs w:val="22"/>
              </w:rPr>
              <w:t>$0.4 mil</w:t>
            </w:r>
          </w:p>
        </w:tc>
      </w:tr>
      <w:tr w:rsidR="00AB45DE" w:rsidRPr="000B01DA" w14:paraId="7B0063DD" w14:textId="77777777" w:rsidTr="00992690">
        <w:trPr>
          <w:cantSplit/>
        </w:trPr>
        <w:tc>
          <w:tcPr>
            <w:tcW w:w="574" w:type="dxa"/>
            <w:tcBorders>
              <w:top w:val="nil"/>
              <w:left w:val="nil"/>
              <w:bottom w:val="single" w:sz="12" w:space="0" w:color="auto"/>
              <w:right w:val="nil"/>
            </w:tcBorders>
          </w:tcPr>
          <w:p w14:paraId="76F57C9A" w14:textId="77777777" w:rsidR="00AB45DE" w:rsidRPr="000B01DA" w:rsidRDefault="00AB45DE" w:rsidP="00E34BBA">
            <w:pPr>
              <w:keepNext/>
              <w:spacing w:line="264" w:lineRule="auto"/>
              <w:contextualSpacing/>
              <w:jc w:val="right"/>
              <w:rPr>
                <w:rFonts w:ascii="Arial" w:hAnsi="Arial" w:cs="Arial"/>
                <w:b/>
                <w:bCs/>
                <w:sz w:val="22"/>
                <w:szCs w:val="22"/>
              </w:rPr>
            </w:pPr>
          </w:p>
        </w:tc>
        <w:tc>
          <w:tcPr>
            <w:tcW w:w="254" w:type="dxa"/>
            <w:tcBorders>
              <w:top w:val="nil"/>
              <w:left w:val="nil"/>
              <w:bottom w:val="single" w:sz="12" w:space="0" w:color="auto"/>
              <w:right w:val="nil"/>
            </w:tcBorders>
          </w:tcPr>
          <w:p w14:paraId="42BA1C07" w14:textId="77777777" w:rsidR="00AB45DE" w:rsidRPr="000B01DA" w:rsidRDefault="00AB45DE" w:rsidP="00E34BBA">
            <w:pPr>
              <w:keepNext/>
              <w:spacing w:line="264" w:lineRule="auto"/>
              <w:contextualSpacing/>
              <w:jc w:val="right"/>
              <w:rPr>
                <w:rFonts w:ascii="Arial" w:hAnsi="Arial" w:cs="Arial"/>
                <w:b/>
                <w:bCs/>
                <w:sz w:val="22"/>
                <w:szCs w:val="22"/>
              </w:rPr>
            </w:pPr>
          </w:p>
        </w:tc>
        <w:tc>
          <w:tcPr>
            <w:tcW w:w="5925"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78D20A96" w14:textId="77777777" w:rsidR="00AB45DE" w:rsidRPr="000B01DA" w:rsidRDefault="00AB45DE" w:rsidP="00E34BBA">
            <w:pPr>
              <w:keepNext/>
              <w:spacing w:line="264" w:lineRule="auto"/>
              <w:contextualSpacing/>
              <w:jc w:val="right"/>
              <w:rPr>
                <w:rFonts w:ascii="Arial" w:hAnsi="Arial" w:cs="Arial"/>
                <w:b/>
                <w:bCs/>
                <w:sz w:val="22"/>
                <w:szCs w:val="22"/>
              </w:rPr>
            </w:pPr>
          </w:p>
        </w:tc>
        <w:tc>
          <w:tcPr>
            <w:tcW w:w="235" w:type="dxa"/>
            <w:tcBorders>
              <w:top w:val="nil"/>
              <w:left w:val="nil"/>
              <w:bottom w:val="single" w:sz="12" w:space="0" w:color="auto"/>
              <w:right w:val="nil"/>
            </w:tcBorders>
          </w:tcPr>
          <w:p w14:paraId="2CED18BA" w14:textId="77777777" w:rsidR="00AB45DE" w:rsidRPr="000B01DA" w:rsidRDefault="00AB45DE" w:rsidP="00E34BBA">
            <w:pPr>
              <w:keepNext/>
              <w:spacing w:line="264" w:lineRule="auto"/>
              <w:contextualSpacing/>
              <w:jc w:val="right"/>
              <w:rPr>
                <w:rFonts w:ascii="Arial" w:hAnsi="Arial" w:cs="Arial"/>
                <w:b/>
                <w:sz w:val="22"/>
                <w:szCs w:val="22"/>
              </w:rPr>
            </w:pPr>
          </w:p>
        </w:tc>
        <w:tc>
          <w:tcPr>
            <w:tcW w:w="1066" w:type="dxa"/>
            <w:tcBorders>
              <w:top w:val="single" w:sz="4" w:space="0" w:color="auto"/>
              <w:left w:val="nil"/>
              <w:bottom w:val="single" w:sz="12" w:space="0" w:color="auto"/>
              <w:right w:val="nil"/>
            </w:tcBorders>
            <w:shd w:val="clear" w:color="auto" w:fill="auto"/>
          </w:tcPr>
          <w:p w14:paraId="1EDA5158" w14:textId="77777777" w:rsidR="00AB45DE" w:rsidRPr="000B01DA" w:rsidRDefault="00AB45DE" w:rsidP="00E34BBA">
            <w:pPr>
              <w:keepNext/>
              <w:spacing w:line="264" w:lineRule="auto"/>
              <w:contextualSpacing/>
              <w:jc w:val="right"/>
              <w:rPr>
                <w:rFonts w:ascii="Arial" w:hAnsi="Arial" w:cs="Arial"/>
                <w:b/>
                <w:sz w:val="22"/>
                <w:szCs w:val="22"/>
              </w:rPr>
            </w:pPr>
          </w:p>
        </w:tc>
        <w:tc>
          <w:tcPr>
            <w:tcW w:w="235" w:type="dxa"/>
            <w:tcBorders>
              <w:top w:val="nil"/>
              <w:left w:val="nil"/>
              <w:bottom w:val="single" w:sz="12" w:space="0" w:color="auto"/>
              <w:right w:val="nil"/>
            </w:tcBorders>
          </w:tcPr>
          <w:p w14:paraId="386F522B" w14:textId="77777777" w:rsidR="00AB45DE" w:rsidRPr="000B01DA" w:rsidRDefault="00AB45DE" w:rsidP="00E34BBA">
            <w:pPr>
              <w:keepNext/>
              <w:spacing w:line="264" w:lineRule="auto"/>
              <w:contextualSpacing/>
              <w:jc w:val="right"/>
              <w:rPr>
                <w:rFonts w:ascii="Arial" w:hAnsi="Arial" w:cs="Arial"/>
                <w:b/>
                <w:sz w:val="22"/>
                <w:szCs w:val="22"/>
              </w:rPr>
            </w:pPr>
          </w:p>
        </w:tc>
        <w:tc>
          <w:tcPr>
            <w:tcW w:w="1287" w:type="dxa"/>
            <w:tcBorders>
              <w:top w:val="single" w:sz="4" w:space="0" w:color="auto"/>
              <w:left w:val="nil"/>
              <w:bottom w:val="single" w:sz="12" w:space="0" w:color="auto"/>
              <w:right w:val="nil"/>
            </w:tcBorders>
            <w:shd w:val="clear" w:color="auto" w:fill="auto"/>
            <w:tcMar>
              <w:top w:w="43" w:type="dxa"/>
              <w:bottom w:w="43" w:type="dxa"/>
            </w:tcMar>
          </w:tcPr>
          <w:p w14:paraId="21B0141D" w14:textId="77777777" w:rsidR="00AB45DE" w:rsidRPr="000B01DA" w:rsidRDefault="00AB45DE" w:rsidP="00E34BBA">
            <w:pPr>
              <w:keepNext/>
              <w:spacing w:line="264" w:lineRule="auto"/>
              <w:contextualSpacing/>
              <w:jc w:val="right"/>
              <w:rPr>
                <w:rFonts w:ascii="Arial" w:hAnsi="Arial" w:cs="Arial"/>
                <w:b/>
                <w:sz w:val="22"/>
                <w:szCs w:val="22"/>
              </w:rPr>
            </w:pPr>
            <w:r>
              <w:rPr>
                <w:rFonts w:ascii="Arial" w:hAnsi="Arial" w:cs="Arial"/>
                <w:b/>
                <w:sz w:val="22"/>
                <w:szCs w:val="22"/>
              </w:rPr>
              <w:t>$1.5 mil</w:t>
            </w:r>
          </w:p>
        </w:tc>
      </w:tr>
    </w:tbl>
    <w:p w14:paraId="5904127D" w14:textId="77777777" w:rsidR="00AB45DE" w:rsidRDefault="00AB45DE" w:rsidP="00AB45DE">
      <w:pPr>
        <w:spacing w:line="264" w:lineRule="auto"/>
        <w:contextualSpacing/>
        <w:jc w:val="both"/>
        <w:rPr>
          <w:rFonts w:ascii="Arial" w:hAnsi="Arial" w:cs="Arial"/>
        </w:rPr>
      </w:pPr>
    </w:p>
    <w:p w14:paraId="0C463355" w14:textId="07D16EB3" w:rsidR="00AB45DE" w:rsidRDefault="00AB45DE" w:rsidP="00AB45DE">
      <w:pPr>
        <w:spacing w:line="264" w:lineRule="auto"/>
        <w:contextualSpacing/>
        <w:jc w:val="both"/>
        <w:rPr>
          <w:rFonts w:ascii="Arial" w:hAnsi="Arial" w:cs="Arial"/>
        </w:rPr>
      </w:pPr>
    </w:p>
    <w:p w14:paraId="0890808E" w14:textId="2AA06B8E" w:rsidR="00BA6143" w:rsidRDefault="00BA6143" w:rsidP="00AB45DE">
      <w:pPr>
        <w:spacing w:line="264" w:lineRule="auto"/>
        <w:contextualSpacing/>
        <w:jc w:val="both"/>
        <w:rPr>
          <w:rFonts w:ascii="Arial" w:hAnsi="Arial" w:cs="Arial"/>
        </w:rPr>
      </w:pPr>
    </w:p>
    <w:p w14:paraId="674AE141" w14:textId="77777777" w:rsidR="00BA6143" w:rsidRDefault="00BA6143" w:rsidP="00AB45DE">
      <w:pPr>
        <w:spacing w:line="264" w:lineRule="auto"/>
        <w:contextualSpacing/>
        <w:jc w:val="both"/>
        <w:rPr>
          <w:rFonts w:ascii="Arial" w:hAnsi="Arial" w:cs="Arial"/>
        </w:rPr>
      </w:pPr>
    </w:p>
    <w:p w14:paraId="7C2C0942" w14:textId="0485BB4D" w:rsidR="00AB45DE" w:rsidRDefault="00AB45DE" w:rsidP="00AB45DE">
      <w:pPr>
        <w:spacing w:line="264" w:lineRule="auto"/>
        <w:contextualSpacing/>
        <w:jc w:val="both"/>
        <w:rPr>
          <w:rFonts w:ascii="Arial" w:hAnsi="Arial" w:cs="Arial"/>
          <w:bCs/>
        </w:rPr>
      </w:pPr>
      <w:r>
        <w:rPr>
          <w:rFonts w:ascii="Arial" w:hAnsi="Arial" w:cs="Arial"/>
          <w:b/>
          <w:bCs/>
          <w:i/>
          <w:iCs/>
        </w:rPr>
        <w:t>Airport Fleet – New Snowplows</w:t>
      </w:r>
      <w:r w:rsidRPr="000D5B79">
        <w:rPr>
          <w:rFonts w:ascii="Arial" w:hAnsi="Arial" w:cs="Arial"/>
          <w:b/>
          <w:bCs/>
          <w:i/>
          <w:iCs/>
        </w:rPr>
        <w:t xml:space="preserve"> [$</w:t>
      </w:r>
      <w:r>
        <w:rPr>
          <w:rFonts w:ascii="Arial" w:hAnsi="Arial" w:cs="Arial"/>
          <w:b/>
          <w:bCs/>
          <w:i/>
          <w:iCs/>
        </w:rPr>
        <w:t>3,0</w:t>
      </w:r>
      <w:r w:rsidRPr="000D5B79">
        <w:rPr>
          <w:rFonts w:ascii="Arial" w:hAnsi="Arial" w:cs="Arial"/>
          <w:b/>
          <w:bCs/>
          <w:i/>
          <w:iCs/>
        </w:rPr>
        <w:t>00,000].</w:t>
      </w:r>
      <w:r>
        <w:rPr>
          <w:rFonts w:ascii="Arial" w:hAnsi="Arial" w:cs="Arial"/>
        </w:rPr>
        <w:t xml:space="preserve">  This project would support 5 multi-tasking equipment snowplows with tow-behind broom with air blast. </w:t>
      </w:r>
      <w:r w:rsidR="00132C40">
        <w:rPr>
          <w:rFonts w:ascii="Arial" w:hAnsi="Arial" w:cs="Arial"/>
        </w:rPr>
        <w:t xml:space="preserve"> </w:t>
      </w:r>
      <w:r>
        <w:rPr>
          <w:rFonts w:ascii="Arial" w:hAnsi="Arial" w:cs="Arial"/>
        </w:rPr>
        <w:t xml:space="preserve">Each equipment would cost $1 million ($5 million total), however, $2 million would be supported by existing appropriation authority. </w:t>
      </w:r>
      <w:r w:rsidR="00132C40">
        <w:rPr>
          <w:rFonts w:ascii="Arial" w:hAnsi="Arial" w:cs="Arial"/>
        </w:rPr>
        <w:t xml:space="preserve"> </w:t>
      </w:r>
      <w:r>
        <w:rPr>
          <w:rFonts w:ascii="Arial" w:hAnsi="Arial" w:cs="Arial"/>
          <w:bCs/>
        </w:rPr>
        <w:t xml:space="preserve">KCIA’s current </w:t>
      </w:r>
      <w:r w:rsidRPr="002B2734">
        <w:rPr>
          <w:rFonts w:ascii="Arial" w:hAnsi="Arial" w:cs="Arial"/>
          <w:bCs/>
        </w:rPr>
        <w:t>snow</w:t>
      </w:r>
      <w:r>
        <w:rPr>
          <w:rFonts w:ascii="Arial" w:hAnsi="Arial" w:cs="Arial"/>
          <w:bCs/>
        </w:rPr>
        <w:t>/ice removal</w:t>
      </w:r>
      <w:r w:rsidRPr="002B2734">
        <w:rPr>
          <w:rFonts w:ascii="Arial" w:hAnsi="Arial" w:cs="Arial"/>
          <w:bCs/>
        </w:rPr>
        <w:t xml:space="preserve"> fleet </w:t>
      </w:r>
      <w:r>
        <w:rPr>
          <w:rFonts w:ascii="Arial" w:hAnsi="Arial" w:cs="Arial"/>
          <w:bCs/>
        </w:rPr>
        <w:t xml:space="preserve">includes </w:t>
      </w:r>
      <w:r w:rsidRPr="002B2734">
        <w:rPr>
          <w:rFonts w:ascii="Arial" w:hAnsi="Arial" w:cs="Arial"/>
          <w:bCs/>
        </w:rPr>
        <w:t xml:space="preserve">5 plows, 3 brooms, and 2 snow blowers. </w:t>
      </w:r>
      <w:r w:rsidR="00132C40">
        <w:rPr>
          <w:rFonts w:ascii="Arial" w:hAnsi="Arial" w:cs="Arial"/>
          <w:bCs/>
        </w:rPr>
        <w:t xml:space="preserve"> </w:t>
      </w:r>
      <w:r w:rsidRPr="002B2734">
        <w:rPr>
          <w:rFonts w:ascii="Arial" w:hAnsi="Arial" w:cs="Arial"/>
          <w:bCs/>
        </w:rPr>
        <w:t>The</w:t>
      </w:r>
      <w:r>
        <w:rPr>
          <w:rFonts w:ascii="Arial" w:hAnsi="Arial" w:cs="Arial"/>
          <w:bCs/>
        </w:rPr>
        <w:t xml:space="preserve"> new snowplows would </w:t>
      </w:r>
      <w:r w:rsidRPr="002B2734">
        <w:rPr>
          <w:rFonts w:ascii="Arial" w:hAnsi="Arial" w:cs="Arial"/>
          <w:bCs/>
        </w:rPr>
        <w:t>replace most of the current ag</w:t>
      </w:r>
      <w:r>
        <w:rPr>
          <w:rFonts w:ascii="Arial" w:hAnsi="Arial" w:cs="Arial"/>
          <w:bCs/>
        </w:rPr>
        <w:t>ing</w:t>
      </w:r>
      <w:r w:rsidRPr="002B2734">
        <w:rPr>
          <w:rFonts w:ascii="Arial" w:hAnsi="Arial" w:cs="Arial"/>
          <w:bCs/>
        </w:rPr>
        <w:t xml:space="preserve"> fleet</w:t>
      </w:r>
      <w:r>
        <w:rPr>
          <w:rFonts w:ascii="Arial" w:hAnsi="Arial" w:cs="Arial"/>
          <w:bCs/>
        </w:rPr>
        <w:t xml:space="preserve"> and also support </w:t>
      </w:r>
      <w:r w:rsidRPr="002B2734">
        <w:rPr>
          <w:rFonts w:ascii="Arial" w:hAnsi="Arial" w:cs="Arial"/>
          <w:bCs/>
        </w:rPr>
        <w:t>meet</w:t>
      </w:r>
      <w:r>
        <w:rPr>
          <w:rFonts w:ascii="Arial" w:hAnsi="Arial" w:cs="Arial"/>
          <w:bCs/>
        </w:rPr>
        <w:t>ing</w:t>
      </w:r>
      <w:r w:rsidRPr="002B2734">
        <w:rPr>
          <w:rFonts w:ascii="Arial" w:hAnsi="Arial" w:cs="Arial"/>
          <w:bCs/>
        </w:rPr>
        <w:t xml:space="preserve"> the </w:t>
      </w:r>
      <w:r>
        <w:rPr>
          <w:rFonts w:ascii="Arial" w:hAnsi="Arial" w:cs="Arial"/>
          <w:bCs/>
        </w:rPr>
        <w:t xml:space="preserve">clearance time </w:t>
      </w:r>
      <w:r w:rsidRPr="002B2734">
        <w:rPr>
          <w:rFonts w:ascii="Arial" w:hAnsi="Arial" w:cs="Arial"/>
          <w:bCs/>
        </w:rPr>
        <w:t xml:space="preserve">requirements for </w:t>
      </w:r>
      <w:r>
        <w:rPr>
          <w:rFonts w:ascii="Arial" w:hAnsi="Arial" w:cs="Arial"/>
          <w:bCs/>
        </w:rPr>
        <w:t xml:space="preserve">KCIA </w:t>
      </w:r>
      <w:r w:rsidRPr="002B2734">
        <w:rPr>
          <w:rFonts w:ascii="Arial" w:hAnsi="Arial" w:cs="Arial"/>
          <w:bCs/>
        </w:rPr>
        <w:t>Priority 1 Area</w:t>
      </w:r>
      <w:r>
        <w:rPr>
          <w:rFonts w:ascii="Arial" w:hAnsi="Arial" w:cs="Arial"/>
          <w:bCs/>
        </w:rPr>
        <w:t>s</w:t>
      </w:r>
      <w:r w:rsidRPr="002B2734">
        <w:rPr>
          <w:rFonts w:ascii="Arial" w:hAnsi="Arial" w:cs="Arial"/>
          <w:bCs/>
        </w:rPr>
        <w:t>.</w:t>
      </w:r>
    </w:p>
    <w:p w14:paraId="1199CE45" w14:textId="77777777" w:rsidR="00AB45DE" w:rsidRPr="002B2734" w:rsidRDefault="00AB45DE" w:rsidP="00AB45DE">
      <w:pPr>
        <w:tabs>
          <w:tab w:val="left" w:pos="720"/>
          <w:tab w:val="right" w:pos="9360"/>
        </w:tabs>
        <w:spacing w:line="264" w:lineRule="auto"/>
        <w:contextualSpacing/>
        <w:jc w:val="both"/>
        <w:rPr>
          <w:rFonts w:ascii="Arial" w:hAnsi="Arial" w:cs="Arial"/>
          <w:bCs/>
        </w:rPr>
      </w:pPr>
    </w:p>
    <w:p w14:paraId="548AE8B5" w14:textId="440EC5E6" w:rsidR="00AB45DE" w:rsidRDefault="00AB45DE" w:rsidP="00AB45DE">
      <w:pPr>
        <w:spacing w:line="264" w:lineRule="auto"/>
        <w:contextualSpacing/>
        <w:jc w:val="both"/>
        <w:rPr>
          <w:rFonts w:ascii="Arial" w:hAnsi="Arial" w:cs="Arial"/>
        </w:rPr>
      </w:pPr>
      <w:r>
        <w:rPr>
          <w:rFonts w:ascii="Arial" w:hAnsi="Arial" w:cs="Arial"/>
          <w:b/>
          <w:bCs/>
          <w:i/>
          <w:iCs/>
        </w:rPr>
        <w:t>Airport Security Master Plan</w:t>
      </w:r>
      <w:r w:rsidRPr="000D5B79">
        <w:rPr>
          <w:rFonts w:ascii="Arial" w:hAnsi="Arial" w:cs="Arial"/>
          <w:b/>
          <w:bCs/>
          <w:i/>
          <w:iCs/>
        </w:rPr>
        <w:t xml:space="preserve"> [$</w:t>
      </w:r>
      <w:r>
        <w:rPr>
          <w:rFonts w:ascii="Arial" w:hAnsi="Arial" w:cs="Arial"/>
          <w:b/>
          <w:bCs/>
          <w:i/>
          <w:iCs/>
        </w:rPr>
        <w:t>3</w:t>
      </w:r>
      <w:r w:rsidRPr="000D5B79">
        <w:rPr>
          <w:rFonts w:ascii="Arial" w:hAnsi="Arial" w:cs="Arial"/>
          <w:b/>
          <w:bCs/>
          <w:i/>
          <w:iCs/>
        </w:rPr>
        <w:t>00,000].</w:t>
      </w:r>
      <w:r>
        <w:rPr>
          <w:rFonts w:ascii="Arial" w:hAnsi="Arial" w:cs="Arial"/>
        </w:rPr>
        <w:t xml:space="preserve">  This project would support the development of a five-year </w:t>
      </w:r>
      <w:r w:rsidRPr="001C38F2">
        <w:rPr>
          <w:rFonts w:ascii="Arial" w:hAnsi="Arial" w:cs="Arial"/>
        </w:rPr>
        <w:t>Security Master Plan.</w:t>
      </w:r>
      <w:r>
        <w:rPr>
          <w:rFonts w:ascii="Arial" w:hAnsi="Arial" w:cs="Arial"/>
        </w:rPr>
        <w:t xml:space="preserve"> </w:t>
      </w:r>
      <w:r w:rsidR="00132C40">
        <w:rPr>
          <w:rFonts w:ascii="Arial" w:hAnsi="Arial" w:cs="Arial"/>
        </w:rPr>
        <w:t xml:space="preserve"> </w:t>
      </w:r>
      <w:r>
        <w:rPr>
          <w:rFonts w:ascii="Arial" w:hAnsi="Arial" w:cs="Arial"/>
        </w:rPr>
        <w:t xml:space="preserve">The plan would include </w:t>
      </w:r>
      <w:r w:rsidRPr="001C38F2">
        <w:rPr>
          <w:rFonts w:ascii="Arial" w:hAnsi="Arial" w:cs="Arial"/>
        </w:rPr>
        <w:t xml:space="preserve">a threat and vulnerability assessment </w:t>
      </w:r>
      <w:r>
        <w:rPr>
          <w:rFonts w:ascii="Arial" w:hAnsi="Arial" w:cs="Arial"/>
        </w:rPr>
        <w:t>and</w:t>
      </w:r>
      <w:r w:rsidRPr="001C38F2">
        <w:rPr>
          <w:rFonts w:ascii="Arial" w:hAnsi="Arial" w:cs="Arial"/>
        </w:rPr>
        <w:t xml:space="preserve"> gap analysis </w:t>
      </w:r>
      <w:r>
        <w:rPr>
          <w:rFonts w:ascii="Arial" w:hAnsi="Arial" w:cs="Arial"/>
        </w:rPr>
        <w:t>to develop</w:t>
      </w:r>
      <w:r w:rsidRPr="001C38F2">
        <w:rPr>
          <w:rFonts w:ascii="Arial" w:hAnsi="Arial" w:cs="Arial"/>
        </w:rPr>
        <w:t xml:space="preserve"> guidelines, infrastructure improvements, rules and regulations, and security standards.</w:t>
      </w:r>
      <w:r>
        <w:rPr>
          <w:rFonts w:ascii="Arial" w:hAnsi="Arial" w:cs="Arial"/>
        </w:rPr>
        <w:t xml:space="preserve"> </w:t>
      </w:r>
      <w:r w:rsidR="00132C40">
        <w:rPr>
          <w:rFonts w:ascii="Arial" w:hAnsi="Arial" w:cs="Arial"/>
        </w:rPr>
        <w:t xml:space="preserve"> </w:t>
      </w:r>
      <w:r w:rsidRPr="001C38F2">
        <w:rPr>
          <w:rFonts w:ascii="Arial" w:hAnsi="Arial" w:cs="Arial"/>
        </w:rPr>
        <w:t>The Security Master Plan is anticipated to be updated every 5 years</w:t>
      </w:r>
      <w:r>
        <w:rPr>
          <w:rFonts w:ascii="Arial" w:hAnsi="Arial" w:cs="Arial"/>
        </w:rPr>
        <w:t xml:space="preserve">. </w:t>
      </w:r>
      <w:r w:rsidR="00132C40">
        <w:rPr>
          <w:rFonts w:ascii="Arial" w:hAnsi="Arial" w:cs="Arial"/>
        </w:rPr>
        <w:t xml:space="preserve"> </w:t>
      </w:r>
      <w:r>
        <w:rPr>
          <w:rFonts w:ascii="Arial" w:hAnsi="Arial" w:cs="Arial"/>
        </w:rPr>
        <w:t xml:space="preserve">The </w:t>
      </w:r>
      <w:r w:rsidRPr="0071234E">
        <w:rPr>
          <w:rFonts w:ascii="Arial" w:hAnsi="Arial" w:cs="Arial"/>
        </w:rPr>
        <w:t xml:space="preserve">most recent </w:t>
      </w:r>
      <w:r>
        <w:rPr>
          <w:rFonts w:ascii="Arial" w:hAnsi="Arial" w:cs="Arial"/>
        </w:rPr>
        <w:t xml:space="preserve">security assessment was conducted in </w:t>
      </w:r>
      <w:r w:rsidRPr="0071234E">
        <w:rPr>
          <w:rFonts w:ascii="Arial" w:hAnsi="Arial" w:cs="Arial"/>
        </w:rPr>
        <w:t xml:space="preserve">2010 </w:t>
      </w:r>
      <w:r>
        <w:rPr>
          <w:rFonts w:ascii="Arial" w:hAnsi="Arial" w:cs="Arial"/>
        </w:rPr>
        <w:t>to identify</w:t>
      </w:r>
      <w:r w:rsidRPr="0071234E">
        <w:rPr>
          <w:rFonts w:ascii="Arial" w:hAnsi="Arial" w:cs="Arial"/>
        </w:rPr>
        <w:t xml:space="preserve"> potential impact of modifications to existing airport policies and procedures to our tenants</w:t>
      </w:r>
      <w:r>
        <w:rPr>
          <w:rFonts w:ascii="Arial" w:hAnsi="Arial" w:cs="Arial"/>
        </w:rPr>
        <w:t>, however, the report was never completed.</w:t>
      </w:r>
    </w:p>
    <w:p w14:paraId="700E5812" w14:textId="77777777" w:rsidR="00AB45DE" w:rsidRDefault="00AB45DE" w:rsidP="00AB45DE">
      <w:pPr>
        <w:spacing w:line="264" w:lineRule="auto"/>
        <w:contextualSpacing/>
        <w:jc w:val="both"/>
        <w:rPr>
          <w:rFonts w:ascii="Arial" w:hAnsi="Arial" w:cs="Arial"/>
        </w:rPr>
      </w:pPr>
    </w:p>
    <w:p w14:paraId="71558F17" w14:textId="05CAD1EA" w:rsidR="00AB45DE" w:rsidRDefault="00AB45DE" w:rsidP="00AB45DE">
      <w:pPr>
        <w:spacing w:line="264" w:lineRule="auto"/>
        <w:contextualSpacing/>
        <w:jc w:val="both"/>
        <w:rPr>
          <w:rFonts w:ascii="Arial" w:hAnsi="Arial" w:cs="Arial"/>
        </w:rPr>
      </w:pPr>
      <w:r>
        <w:rPr>
          <w:rFonts w:ascii="Arial" w:hAnsi="Arial" w:cs="Arial"/>
          <w:b/>
          <w:bCs/>
          <w:i/>
          <w:iCs/>
        </w:rPr>
        <w:t>Airport Land Acquisition Contingency</w:t>
      </w:r>
      <w:r w:rsidRPr="000D5B79">
        <w:rPr>
          <w:rFonts w:ascii="Arial" w:hAnsi="Arial" w:cs="Arial"/>
          <w:b/>
          <w:bCs/>
          <w:i/>
          <w:iCs/>
        </w:rPr>
        <w:t xml:space="preserve"> [$</w:t>
      </w:r>
      <w:r>
        <w:rPr>
          <w:rFonts w:ascii="Arial" w:hAnsi="Arial" w:cs="Arial"/>
          <w:b/>
          <w:bCs/>
          <w:i/>
          <w:iCs/>
        </w:rPr>
        <w:t>3</w:t>
      </w:r>
      <w:r w:rsidRPr="000D5B79">
        <w:rPr>
          <w:rFonts w:ascii="Arial" w:hAnsi="Arial" w:cs="Arial"/>
          <w:b/>
          <w:bCs/>
          <w:i/>
          <w:iCs/>
        </w:rPr>
        <w:t>00,000].</w:t>
      </w:r>
      <w:r>
        <w:rPr>
          <w:rFonts w:ascii="Arial" w:hAnsi="Arial" w:cs="Arial"/>
        </w:rPr>
        <w:t xml:space="preserve">  This project would add $300,000 to the remaining $500,000 balance for airport land acquisitions. </w:t>
      </w:r>
      <w:r w:rsidR="00132C40">
        <w:rPr>
          <w:rFonts w:ascii="Arial" w:hAnsi="Arial" w:cs="Arial"/>
        </w:rPr>
        <w:t xml:space="preserve"> </w:t>
      </w:r>
      <w:r>
        <w:rPr>
          <w:rFonts w:ascii="Arial" w:hAnsi="Arial" w:cs="Arial"/>
        </w:rPr>
        <w:t xml:space="preserve">Land acquisitions would include aviation easements and purchase of airspace rights to meet airspace heigh-restrictions. </w:t>
      </w:r>
    </w:p>
    <w:p w14:paraId="7A5F5C90" w14:textId="77777777" w:rsidR="00AB45DE" w:rsidRDefault="00AB45DE" w:rsidP="00AB45DE">
      <w:pPr>
        <w:spacing w:line="264" w:lineRule="auto"/>
        <w:contextualSpacing/>
        <w:jc w:val="both"/>
        <w:rPr>
          <w:rFonts w:ascii="Arial" w:hAnsi="Arial" w:cs="Arial"/>
        </w:rPr>
      </w:pPr>
    </w:p>
    <w:p w14:paraId="376F0037" w14:textId="491CDF3A" w:rsidR="00AB45DE" w:rsidRDefault="00AB45DE" w:rsidP="00AB45DE">
      <w:pPr>
        <w:spacing w:line="264" w:lineRule="auto"/>
        <w:contextualSpacing/>
        <w:jc w:val="both"/>
        <w:rPr>
          <w:rFonts w:ascii="Arial" w:hAnsi="Arial" w:cs="Arial"/>
        </w:rPr>
      </w:pPr>
      <w:r>
        <w:rPr>
          <w:rFonts w:ascii="Arial" w:hAnsi="Arial" w:cs="Arial"/>
        </w:rPr>
        <w:t xml:space="preserve">Of note, in January 2020, the executive transmitted Proposed Ordinance 2020-0006 to appropriate $54 million to acquire adjacent land owned by </w:t>
      </w:r>
      <w:r w:rsidRPr="00E67FB0">
        <w:rPr>
          <w:rFonts w:ascii="Arial" w:hAnsi="Arial" w:cs="Arial"/>
        </w:rPr>
        <w:t>Star Forge</w:t>
      </w:r>
      <w:r>
        <w:rPr>
          <w:rFonts w:ascii="Arial" w:hAnsi="Arial" w:cs="Arial"/>
        </w:rPr>
        <w:t xml:space="preserve"> to expand KCIA’s economic footprint. </w:t>
      </w:r>
      <w:r w:rsidR="00132C40">
        <w:rPr>
          <w:rFonts w:ascii="Arial" w:hAnsi="Arial" w:cs="Arial"/>
        </w:rPr>
        <w:t xml:space="preserve"> </w:t>
      </w:r>
      <w:r>
        <w:rPr>
          <w:rFonts w:ascii="Arial" w:hAnsi="Arial" w:cs="Arial"/>
        </w:rPr>
        <w:t xml:space="preserve">The council did not take action on the supplemental appropriations ordinance and the legislation lapsed. </w:t>
      </w:r>
      <w:r w:rsidR="00132C40">
        <w:rPr>
          <w:rFonts w:ascii="Arial" w:hAnsi="Arial" w:cs="Arial"/>
        </w:rPr>
        <w:t xml:space="preserve"> </w:t>
      </w:r>
      <w:r>
        <w:rPr>
          <w:rFonts w:ascii="Arial" w:hAnsi="Arial" w:cs="Arial"/>
        </w:rPr>
        <w:t>Executive staff state that the property acquisition still remains under contract with the due diligence period ongoing and a new appropriation request is anticipated be transmitted to council in late 2022.</w:t>
      </w:r>
    </w:p>
    <w:p w14:paraId="38681A38" w14:textId="5A4C4ACE" w:rsidR="00AB45DE" w:rsidRDefault="00AB45DE" w:rsidP="00AB45DE">
      <w:pPr>
        <w:spacing w:line="264" w:lineRule="auto"/>
        <w:contextualSpacing/>
        <w:jc w:val="both"/>
        <w:rPr>
          <w:rFonts w:ascii="Arial" w:hAnsi="Arial" w:cs="Arial"/>
        </w:rPr>
      </w:pPr>
    </w:p>
    <w:p w14:paraId="054A0FF4" w14:textId="10348100" w:rsidR="008D62F5" w:rsidRDefault="008D62F5" w:rsidP="008D62F5">
      <w:pPr>
        <w:tabs>
          <w:tab w:val="left" w:pos="720"/>
          <w:tab w:val="right" w:pos="9360"/>
        </w:tabs>
        <w:spacing w:line="264" w:lineRule="auto"/>
        <w:contextualSpacing/>
        <w:jc w:val="both"/>
        <w:rPr>
          <w:rFonts w:ascii="Arial" w:hAnsi="Arial" w:cs="Arial"/>
          <w:b/>
          <w:szCs w:val="24"/>
          <w:u w:val="single"/>
        </w:rPr>
      </w:pPr>
    </w:p>
    <w:p w14:paraId="0B6B7984" w14:textId="77777777" w:rsidR="00115702" w:rsidRPr="000E7446" w:rsidRDefault="00115702" w:rsidP="00115702">
      <w:pPr>
        <w:tabs>
          <w:tab w:val="left" w:pos="720"/>
          <w:tab w:val="right" w:pos="9360"/>
        </w:tabs>
        <w:spacing w:line="264" w:lineRule="auto"/>
        <w:contextualSpacing/>
        <w:jc w:val="both"/>
        <w:rPr>
          <w:rFonts w:ascii="Arial" w:hAnsi="Arial" w:cs="Arial"/>
          <w:b/>
          <w:u w:val="single"/>
        </w:rPr>
      </w:pPr>
      <w:r w:rsidRPr="00DF2BBF">
        <w:rPr>
          <w:rFonts w:ascii="Arial" w:hAnsi="Arial" w:cs="Arial"/>
          <w:b/>
          <w:u w:val="single"/>
        </w:rPr>
        <w:t>Radio Communications Services</w:t>
      </w:r>
      <w:r w:rsidRPr="00DF2BBF">
        <w:rPr>
          <w:rFonts w:ascii="Arial" w:hAnsi="Arial" w:cs="Arial"/>
          <w:b/>
          <w:u w:val="single"/>
        </w:rPr>
        <w:tab/>
        <w:t>$2.7 Million</w:t>
      </w:r>
    </w:p>
    <w:p w14:paraId="35216BC9" w14:textId="77777777" w:rsidR="00115702" w:rsidRDefault="00115702" w:rsidP="00115702">
      <w:pPr>
        <w:spacing w:line="264" w:lineRule="auto"/>
        <w:contextualSpacing/>
        <w:jc w:val="both"/>
        <w:rPr>
          <w:rFonts w:ascii="Arial" w:hAnsi="Arial" w:cs="Arial"/>
          <w:b/>
          <w:highlight w:val="yellow"/>
        </w:rPr>
      </w:pPr>
    </w:p>
    <w:p w14:paraId="101B6406" w14:textId="77777777" w:rsidR="00115702" w:rsidRDefault="00115702" w:rsidP="00115702">
      <w:pPr>
        <w:spacing w:line="264" w:lineRule="auto"/>
        <w:contextualSpacing/>
        <w:jc w:val="both"/>
        <w:rPr>
          <w:rFonts w:ascii="Arial" w:hAnsi="Arial" w:cs="Arial"/>
        </w:rPr>
      </w:pPr>
      <w:r>
        <w:rPr>
          <w:rFonts w:ascii="Arial" w:hAnsi="Arial" w:cs="Arial"/>
          <w:b/>
          <w:i/>
          <w:iCs/>
        </w:rPr>
        <w:t xml:space="preserve">Funds Transfer for Radio Transition Plan </w:t>
      </w:r>
      <w:r w:rsidRPr="00EA31DA">
        <w:rPr>
          <w:rFonts w:ascii="Arial" w:hAnsi="Arial" w:cs="Arial"/>
          <w:b/>
          <w:i/>
          <w:iCs/>
        </w:rPr>
        <w:t>Project [$2.7 million].</w:t>
      </w:r>
      <w:r w:rsidRPr="00EA31DA">
        <w:rPr>
          <w:rFonts w:ascii="Arial" w:hAnsi="Arial" w:cs="Arial"/>
          <w:b/>
        </w:rPr>
        <w:t xml:space="preserve">  </w:t>
      </w:r>
      <w:r w:rsidRPr="003D194D">
        <w:rPr>
          <w:rFonts w:ascii="Arial" w:hAnsi="Arial" w:cs="Arial"/>
        </w:rPr>
        <w:t xml:space="preserve">The proposed ordinance would </w:t>
      </w:r>
      <w:r>
        <w:rPr>
          <w:rFonts w:ascii="Arial" w:hAnsi="Arial" w:cs="Arial"/>
        </w:rPr>
        <w:t>appropriate</w:t>
      </w:r>
      <w:r w:rsidRPr="003D194D">
        <w:rPr>
          <w:rFonts w:ascii="Arial" w:hAnsi="Arial" w:cs="Arial"/>
        </w:rPr>
        <w:t xml:space="preserve"> </w:t>
      </w:r>
      <w:r>
        <w:rPr>
          <w:rFonts w:ascii="Arial" w:hAnsi="Arial" w:cs="Arial"/>
        </w:rPr>
        <w:t>$2.7 million (for transfer to CIP Fund 3473) to support the Radio Transition Plan Capital project. Of note, there is a corresponding capital request for the Radio Communications Services Capital Improvement fund (Fund 3473) described below.</w:t>
      </w:r>
    </w:p>
    <w:p w14:paraId="05D8F12E" w14:textId="77777777" w:rsidR="00115702" w:rsidRDefault="00115702" w:rsidP="00115702">
      <w:pPr>
        <w:spacing w:line="264" w:lineRule="auto"/>
        <w:contextualSpacing/>
        <w:jc w:val="both"/>
        <w:rPr>
          <w:rFonts w:ascii="Arial" w:hAnsi="Arial" w:cs="Arial"/>
          <w:b/>
          <w:iCs/>
        </w:rPr>
      </w:pPr>
    </w:p>
    <w:p w14:paraId="6EA9319F" w14:textId="77777777" w:rsidR="00115702" w:rsidRDefault="00115702" w:rsidP="00115702">
      <w:pPr>
        <w:spacing w:line="264" w:lineRule="auto"/>
        <w:contextualSpacing/>
        <w:jc w:val="both"/>
        <w:rPr>
          <w:rFonts w:ascii="Arial" w:hAnsi="Arial" w:cs="Arial"/>
          <w:b/>
          <w:iCs/>
        </w:rPr>
      </w:pPr>
    </w:p>
    <w:p w14:paraId="6BE19EA4" w14:textId="77777777" w:rsidR="00115702" w:rsidRPr="00976347" w:rsidRDefault="00115702" w:rsidP="00115702">
      <w:pPr>
        <w:tabs>
          <w:tab w:val="left" w:pos="720"/>
          <w:tab w:val="right" w:pos="9360"/>
        </w:tabs>
        <w:spacing w:line="264" w:lineRule="auto"/>
        <w:contextualSpacing/>
        <w:jc w:val="both"/>
        <w:rPr>
          <w:rFonts w:ascii="Arial" w:hAnsi="Arial" w:cs="Arial"/>
          <w:b/>
          <w:u w:val="single"/>
        </w:rPr>
      </w:pPr>
      <w:r w:rsidRPr="00DF2BBF">
        <w:rPr>
          <w:rFonts w:ascii="Arial" w:hAnsi="Arial" w:cs="Arial"/>
          <w:b/>
          <w:u w:val="single"/>
        </w:rPr>
        <w:t>Radio Communications Services Capital Improvement</w:t>
      </w:r>
      <w:r w:rsidRPr="00DF2BBF">
        <w:rPr>
          <w:rFonts w:ascii="Arial" w:hAnsi="Arial" w:cs="Arial"/>
          <w:b/>
          <w:u w:val="single"/>
        </w:rPr>
        <w:tab/>
        <w:t>$3.6 Million</w:t>
      </w:r>
    </w:p>
    <w:p w14:paraId="498FD969" w14:textId="77777777" w:rsidR="00115702" w:rsidRDefault="00115702" w:rsidP="00115702">
      <w:pPr>
        <w:spacing w:line="264" w:lineRule="auto"/>
        <w:contextualSpacing/>
        <w:jc w:val="both"/>
        <w:rPr>
          <w:rFonts w:ascii="Arial" w:hAnsi="Arial" w:cs="Arial"/>
          <w:b/>
          <w:highlight w:val="yellow"/>
        </w:rPr>
      </w:pPr>
    </w:p>
    <w:p w14:paraId="10B08203" w14:textId="77777777" w:rsidR="00115702" w:rsidRDefault="00115702" w:rsidP="00115702">
      <w:pPr>
        <w:spacing w:line="264" w:lineRule="auto"/>
        <w:contextualSpacing/>
        <w:jc w:val="both"/>
        <w:rPr>
          <w:rFonts w:ascii="Arial" w:hAnsi="Arial" w:cs="Arial"/>
        </w:rPr>
      </w:pPr>
      <w:r>
        <w:rPr>
          <w:rFonts w:ascii="Arial" w:hAnsi="Arial" w:cs="Arial"/>
          <w:b/>
          <w:i/>
          <w:iCs/>
        </w:rPr>
        <w:t xml:space="preserve">Radio Transition Plan </w:t>
      </w:r>
      <w:r w:rsidRPr="00852B68">
        <w:rPr>
          <w:rFonts w:ascii="Arial" w:hAnsi="Arial" w:cs="Arial"/>
          <w:b/>
          <w:i/>
          <w:iCs/>
        </w:rPr>
        <w:t>Project [$3.6 million].</w:t>
      </w:r>
      <w:r w:rsidRPr="00852B68">
        <w:rPr>
          <w:rFonts w:ascii="Arial" w:hAnsi="Arial" w:cs="Arial"/>
          <w:b/>
        </w:rPr>
        <w:t xml:space="preserve">  </w:t>
      </w:r>
      <w:r w:rsidRPr="003D194D">
        <w:rPr>
          <w:rFonts w:ascii="Arial" w:hAnsi="Arial" w:cs="Arial"/>
        </w:rPr>
        <w:t xml:space="preserve">The proposed ordinance would </w:t>
      </w:r>
      <w:r>
        <w:rPr>
          <w:rFonts w:ascii="Arial" w:hAnsi="Arial" w:cs="Arial"/>
        </w:rPr>
        <w:t>appropriate</w:t>
      </w:r>
      <w:r w:rsidRPr="003D194D">
        <w:rPr>
          <w:rFonts w:ascii="Arial" w:hAnsi="Arial" w:cs="Arial"/>
        </w:rPr>
        <w:t xml:space="preserve"> </w:t>
      </w:r>
      <w:r>
        <w:rPr>
          <w:rFonts w:ascii="Arial" w:hAnsi="Arial" w:cs="Arial"/>
        </w:rPr>
        <w:t>$3.6 million ($2.7 million transfer from the Radio Communications Services Operating fund and $0.9 million from designated fund balance) to support the Radio Transition Plan Capital project.  The project is to plan and implement the post-PSERN operation model when PSERN goes live in 2023.</w:t>
      </w:r>
      <w:r>
        <w:rPr>
          <w:rStyle w:val="FootnoteReference"/>
          <w:rFonts w:ascii="Arial" w:hAnsi="Arial" w:cs="Arial"/>
        </w:rPr>
        <w:footnoteReference w:id="44"/>
      </w:r>
      <w:r>
        <w:rPr>
          <w:rFonts w:ascii="Arial" w:hAnsi="Arial" w:cs="Arial"/>
        </w:rPr>
        <w:t xml:space="preserve">.  Project activities include exiting and relocating the current radio shop location, planning/acquisition for the new radio service </w:t>
      </w:r>
      <w:r>
        <w:rPr>
          <w:rFonts w:ascii="Arial" w:hAnsi="Arial" w:cs="Arial"/>
        </w:rPr>
        <w:lastRenderedPageBreak/>
        <w:t>model (including mobile services) and decommissioning obsolete radio equipment from the current radio communications system (KCERCS).  The project budget includes a 30% contingency.</w:t>
      </w:r>
    </w:p>
    <w:p w14:paraId="4945877C" w14:textId="64BF0DE7" w:rsidR="00115702" w:rsidRDefault="00115702" w:rsidP="008D62F5">
      <w:pPr>
        <w:tabs>
          <w:tab w:val="left" w:pos="720"/>
          <w:tab w:val="right" w:pos="9360"/>
        </w:tabs>
        <w:spacing w:line="264" w:lineRule="auto"/>
        <w:contextualSpacing/>
        <w:jc w:val="both"/>
        <w:rPr>
          <w:rFonts w:ascii="Arial" w:hAnsi="Arial" w:cs="Arial"/>
          <w:b/>
          <w:szCs w:val="24"/>
          <w:u w:val="single"/>
        </w:rPr>
      </w:pPr>
    </w:p>
    <w:p w14:paraId="10854F2E" w14:textId="067B5D3F" w:rsidR="00A70DED" w:rsidRDefault="00A70DED" w:rsidP="008D62F5">
      <w:pPr>
        <w:tabs>
          <w:tab w:val="left" w:pos="720"/>
          <w:tab w:val="right" w:pos="9360"/>
        </w:tabs>
        <w:spacing w:line="264" w:lineRule="auto"/>
        <w:contextualSpacing/>
        <w:jc w:val="both"/>
        <w:rPr>
          <w:rFonts w:ascii="Arial" w:hAnsi="Arial" w:cs="Arial"/>
          <w:b/>
          <w:szCs w:val="24"/>
          <w:u w:val="single"/>
        </w:rPr>
      </w:pPr>
    </w:p>
    <w:p w14:paraId="0B58872D" w14:textId="77777777" w:rsidR="009B4F72" w:rsidRPr="008704EE" w:rsidRDefault="009B4F72" w:rsidP="009B4F72">
      <w:pPr>
        <w:tabs>
          <w:tab w:val="left" w:pos="720"/>
          <w:tab w:val="right" w:pos="9360"/>
        </w:tabs>
        <w:spacing w:line="264" w:lineRule="auto"/>
        <w:contextualSpacing/>
        <w:jc w:val="both"/>
        <w:rPr>
          <w:rFonts w:ascii="Arial" w:hAnsi="Arial" w:cs="Arial"/>
          <w:b/>
          <w:u w:val="single"/>
        </w:rPr>
      </w:pPr>
      <w:r w:rsidRPr="008704EE">
        <w:rPr>
          <w:rFonts w:ascii="Arial" w:hAnsi="Arial" w:cs="Arial"/>
          <w:b/>
          <w:u w:val="single"/>
        </w:rPr>
        <w:t xml:space="preserve">Wastewater Treatment Division </w:t>
      </w:r>
      <w:r w:rsidRPr="008704EE">
        <w:rPr>
          <w:rFonts w:ascii="Arial" w:hAnsi="Arial" w:cs="Arial"/>
          <w:b/>
          <w:u w:val="single"/>
        </w:rPr>
        <w:tab/>
        <w:t>$175,000, 30.0 FTE</w:t>
      </w:r>
      <w:r>
        <w:rPr>
          <w:rFonts w:ascii="Arial" w:hAnsi="Arial" w:cs="Arial"/>
          <w:b/>
          <w:u w:val="single"/>
        </w:rPr>
        <w:t>s</w:t>
      </w:r>
      <w:r w:rsidRPr="008704EE">
        <w:rPr>
          <w:rFonts w:ascii="Arial" w:hAnsi="Arial" w:cs="Arial"/>
          <w:b/>
          <w:u w:val="single"/>
        </w:rPr>
        <w:t xml:space="preserve"> </w:t>
      </w:r>
    </w:p>
    <w:p w14:paraId="5E467DA5" w14:textId="77777777" w:rsidR="009B4F72" w:rsidRPr="008704EE" w:rsidRDefault="009B4F72" w:rsidP="009B4F72">
      <w:pPr>
        <w:pStyle w:val="ListParagraph0"/>
        <w:spacing w:line="264" w:lineRule="auto"/>
        <w:contextualSpacing/>
        <w:jc w:val="both"/>
        <w:rPr>
          <w:rFonts w:ascii="Arial" w:hAnsi="Arial" w:cs="Arial"/>
          <w:b/>
        </w:rPr>
      </w:pPr>
    </w:p>
    <w:p w14:paraId="514F1AE7" w14:textId="77777777" w:rsidR="009B4F72" w:rsidRPr="008704EE" w:rsidRDefault="009B4F72" w:rsidP="009B4F72">
      <w:pPr>
        <w:spacing w:line="264" w:lineRule="auto"/>
        <w:contextualSpacing/>
        <w:jc w:val="both"/>
        <w:rPr>
          <w:rFonts w:ascii="Arial" w:hAnsi="Arial" w:cs="Arial"/>
        </w:rPr>
      </w:pPr>
      <w:r w:rsidRPr="008704EE">
        <w:rPr>
          <w:rFonts w:ascii="Arial" w:hAnsi="Arial" w:cs="Arial"/>
          <w:b/>
          <w:i/>
          <w:iCs/>
        </w:rPr>
        <w:t>Capacity Charge Methodology Review [$150,000].</w:t>
      </w:r>
      <w:r w:rsidRPr="008704EE">
        <w:rPr>
          <w:rFonts w:ascii="Arial" w:hAnsi="Arial" w:cs="Arial"/>
          <w:b/>
        </w:rPr>
        <w:t xml:space="preserve">  </w:t>
      </w:r>
      <w:r w:rsidRPr="008704EE">
        <w:rPr>
          <w:rFonts w:ascii="Arial" w:hAnsi="Arial" w:cs="Arial"/>
        </w:rPr>
        <w:t xml:space="preserve">The proposed ordinance would appropriate $150,000 to support the recommendations resulting from a review of the wastewater Capacity Charge methodology.  The Capacity Charge, assessed against new connections to the system, is based on a calculation of the additional capacity required to accommodate new system users.  The methodology to calculate that additional capacity was the subject of a 2016 King County Auditor's finding, which recommended regular review and update of the calculation methodology.  The Wastewater Treatment Division has undertaken the recommended review; this appropriation would support implementation of the recommendations of that review. </w:t>
      </w:r>
    </w:p>
    <w:p w14:paraId="62C7E256" w14:textId="77777777" w:rsidR="009B4F72" w:rsidRPr="008704EE" w:rsidRDefault="009B4F72" w:rsidP="009B4F72">
      <w:pPr>
        <w:pStyle w:val="ListParagraph0"/>
        <w:spacing w:line="264" w:lineRule="auto"/>
        <w:contextualSpacing/>
        <w:jc w:val="both"/>
        <w:rPr>
          <w:rFonts w:ascii="Arial" w:hAnsi="Arial" w:cs="Arial"/>
        </w:rPr>
      </w:pPr>
    </w:p>
    <w:p w14:paraId="2942F5F4" w14:textId="77777777" w:rsidR="009B4F72" w:rsidRPr="008704EE" w:rsidRDefault="009B4F72" w:rsidP="009B4F72">
      <w:pPr>
        <w:spacing w:line="264" w:lineRule="auto"/>
        <w:contextualSpacing/>
        <w:jc w:val="both"/>
        <w:rPr>
          <w:rFonts w:ascii="Arial" w:hAnsi="Arial" w:cs="Arial"/>
          <w:b/>
          <w:iCs/>
        </w:rPr>
      </w:pPr>
      <w:r w:rsidRPr="008704EE">
        <w:rPr>
          <w:rFonts w:ascii="Arial" w:hAnsi="Arial" w:cs="Arial"/>
          <w:b/>
          <w:i/>
        </w:rPr>
        <w:t xml:space="preserve">Industrial Waste Surcharge Methodology Review [$25,000].  </w:t>
      </w:r>
      <w:r w:rsidRPr="008704EE">
        <w:rPr>
          <w:rFonts w:ascii="Arial" w:hAnsi="Arial" w:cs="Arial"/>
          <w:iCs/>
        </w:rPr>
        <w:t xml:space="preserve">The proposed ordinance would appropriate $25,000 to retain consultant support to update the Industrial Waste Surcharge calculation.  Currently, the Wastewater Treatment Division assesses a surcharge to industrial waste generators who discharge into the sewer system, based on the nature of the waste discharge.  This project would support a review and evaluation of the current methodology for calculating the surcharge.   </w:t>
      </w:r>
    </w:p>
    <w:p w14:paraId="08E25D06" w14:textId="77777777" w:rsidR="009B4F72" w:rsidRPr="008704EE" w:rsidRDefault="009B4F72" w:rsidP="009B4F72">
      <w:pPr>
        <w:spacing w:line="264" w:lineRule="auto"/>
        <w:contextualSpacing/>
        <w:jc w:val="both"/>
        <w:rPr>
          <w:rFonts w:ascii="Arial" w:hAnsi="Arial" w:cs="Arial"/>
          <w:b/>
          <w:i/>
        </w:rPr>
      </w:pPr>
    </w:p>
    <w:p w14:paraId="6F175850" w14:textId="6D2EF3C2" w:rsidR="009B4F72" w:rsidRPr="008704EE" w:rsidRDefault="009B4F72" w:rsidP="009B4F72">
      <w:pPr>
        <w:spacing w:line="264" w:lineRule="auto"/>
        <w:contextualSpacing/>
        <w:jc w:val="both"/>
        <w:rPr>
          <w:rFonts w:ascii="Arial" w:hAnsi="Arial" w:cs="Arial"/>
          <w:iCs/>
        </w:rPr>
      </w:pPr>
      <w:r w:rsidRPr="008704EE">
        <w:rPr>
          <w:rFonts w:ascii="Arial" w:hAnsi="Arial" w:cs="Arial"/>
          <w:b/>
          <w:i/>
        </w:rPr>
        <w:t>Education Specialist Authority [$0, 0.5 FTE</w:t>
      </w:r>
      <w:r>
        <w:rPr>
          <w:rFonts w:ascii="Arial" w:hAnsi="Arial" w:cs="Arial"/>
          <w:b/>
          <w:i/>
        </w:rPr>
        <w:t>s</w:t>
      </w:r>
      <w:r w:rsidRPr="008704EE">
        <w:rPr>
          <w:rFonts w:ascii="Arial" w:hAnsi="Arial" w:cs="Arial"/>
          <w:b/>
          <w:i/>
        </w:rPr>
        <w:t xml:space="preserve">, ongoing].  </w:t>
      </w:r>
      <w:r w:rsidRPr="008704EE">
        <w:rPr>
          <w:rFonts w:ascii="Arial" w:hAnsi="Arial" w:cs="Arial"/>
          <w:iCs/>
        </w:rPr>
        <w:t xml:space="preserve">The proposed ordinance would add authority for an Education Specialist position, shared between the Environmental and Community Services section and the Resource Recovery section of the Wastewater Treatment Division.  This position supports program outreach and development of curricula with a focus on resources recovered through the wastewater treatment process, including biosolids, methane, and reusable water resources.  No additional funding is being sought with this authority. </w:t>
      </w:r>
    </w:p>
    <w:p w14:paraId="6DA3EA8C" w14:textId="77777777" w:rsidR="009B4F72" w:rsidRPr="008704EE" w:rsidRDefault="009B4F72" w:rsidP="009B4F72">
      <w:pPr>
        <w:spacing w:line="264" w:lineRule="auto"/>
        <w:contextualSpacing/>
        <w:jc w:val="both"/>
        <w:rPr>
          <w:rFonts w:ascii="Arial" w:hAnsi="Arial" w:cs="Arial"/>
          <w:iCs/>
        </w:rPr>
      </w:pPr>
    </w:p>
    <w:p w14:paraId="4469F5DE" w14:textId="636E72DC" w:rsidR="009B4F72" w:rsidRPr="008704EE" w:rsidRDefault="009B4F72" w:rsidP="009B4F72">
      <w:pPr>
        <w:spacing w:line="264" w:lineRule="auto"/>
        <w:contextualSpacing/>
        <w:jc w:val="both"/>
        <w:rPr>
          <w:rFonts w:ascii="Arial" w:hAnsi="Arial" w:cs="Arial"/>
          <w:iCs/>
        </w:rPr>
      </w:pPr>
      <w:r w:rsidRPr="008704EE">
        <w:rPr>
          <w:rFonts w:ascii="Arial" w:hAnsi="Arial" w:cs="Arial"/>
          <w:b/>
          <w:i/>
        </w:rPr>
        <w:t xml:space="preserve">Marketing/Communications Manager Authority [$0, 1.0 FTE, ongoing].  </w:t>
      </w:r>
      <w:r w:rsidRPr="008704EE">
        <w:rPr>
          <w:rFonts w:ascii="Arial" w:hAnsi="Arial" w:cs="Arial"/>
          <w:iCs/>
        </w:rPr>
        <w:t xml:space="preserve">The proposed ordinance would add authority for a Marketing and Communications Manager to work with units in the Resource Recovery section to coordinate development of communications plans on Loop® biosolids, recycled water, energy, technology assessment, and sustainability programs.  No additional funding is being sought with this authority. </w:t>
      </w:r>
    </w:p>
    <w:p w14:paraId="300A2CFA" w14:textId="77777777" w:rsidR="009B4F72" w:rsidRPr="008704EE" w:rsidRDefault="009B4F72" w:rsidP="009B4F72">
      <w:pPr>
        <w:spacing w:line="264" w:lineRule="auto"/>
        <w:contextualSpacing/>
        <w:jc w:val="both"/>
        <w:rPr>
          <w:rFonts w:ascii="Arial" w:hAnsi="Arial" w:cs="Arial"/>
          <w:b/>
          <w:iCs/>
        </w:rPr>
      </w:pPr>
    </w:p>
    <w:p w14:paraId="116C38CE" w14:textId="34E4CDC2" w:rsidR="009B4F72" w:rsidRPr="008704EE" w:rsidRDefault="009B4F72" w:rsidP="009B4F72">
      <w:pPr>
        <w:spacing w:line="264" w:lineRule="auto"/>
        <w:contextualSpacing/>
        <w:jc w:val="both"/>
        <w:rPr>
          <w:rFonts w:ascii="Arial" w:hAnsi="Arial" w:cs="Arial"/>
          <w:iCs/>
        </w:rPr>
      </w:pPr>
      <w:r w:rsidRPr="008704EE">
        <w:rPr>
          <w:rFonts w:ascii="Arial" w:hAnsi="Arial" w:cs="Arial"/>
          <w:b/>
          <w:i/>
        </w:rPr>
        <w:t>Education Program Development [$0, 1.5 FTE</w:t>
      </w:r>
      <w:r>
        <w:rPr>
          <w:rFonts w:ascii="Arial" w:hAnsi="Arial" w:cs="Arial"/>
          <w:b/>
          <w:i/>
        </w:rPr>
        <w:t>s</w:t>
      </w:r>
      <w:r w:rsidRPr="008704EE">
        <w:rPr>
          <w:rFonts w:ascii="Arial" w:hAnsi="Arial" w:cs="Arial"/>
          <w:b/>
          <w:i/>
        </w:rPr>
        <w:t>, ongoing].</w:t>
      </w:r>
      <w:r>
        <w:rPr>
          <w:rFonts w:ascii="Arial" w:hAnsi="Arial" w:cs="Arial"/>
          <w:b/>
          <w:i/>
        </w:rPr>
        <w:t xml:space="preserve"> </w:t>
      </w:r>
      <w:r w:rsidRPr="008704EE">
        <w:rPr>
          <w:rFonts w:ascii="Arial" w:hAnsi="Arial" w:cs="Arial"/>
          <w:b/>
          <w:i/>
        </w:rPr>
        <w:t xml:space="preserve"> </w:t>
      </w:r>
      <w:r w:rsidRPr="008704EE">
        <w:rPr>
          <w:rFonts w:ascii="Arial" w:hAnsi="Arial" w:cs="Arial"/>
          <w:iCs/>
        </w:rPr>
        <w:t xml:space="preserve">The proposed ordinance would convert 1.5 positions currently supporting programs for youth, such as internships for high school students, programs for at-risk youth, and similar services. For example, Wastewater currently offers an internship program for high school students to learn about local environmental issues, solutions, and careers.  The program is currently being offered on an on-line basis in light of Covid-19 precautions.  </w:t>
      </w:r>
    </w:p>
    <w:p w14:paraId="7FCC0356" w14:textId="77777777" w:rsidR="009B4F72" w:rsidRPr="008704EE" w:rsidRDefault="009B4F72" w:rsidP="009B4F72">
      <w:pPr>
        <w:pStyle w:val="ListParagraph0"/>
        <w:spacing w:line="264" w:lineRule="auto"/>
        <w:contextualSpacing/>
        <w:jc w:val="both"/>
        <w:rPr>
          <w:rFonts w:ascii="Arial" w:hAnsi="Arial" w:cs="Arial"/>
          <w:iCs/>
        </w:rPr>
      </w:pPr>
    </w:p>
    <w:p w14:paraId="50A8E58A" w14:textId="77777777" w:rsidR="009B4F72" w:rsidRPr="008704EE" w:rsidRDefault="009B4F72" w:rsidP="009B4F72">
      <w:pPr>
        <w:spacing w:line="264" w:lineRule="auto"/>
        <w:contextualSpacing/>
        <w:jc w:val="both"/>
        <w:rPr>
          <w:rFonts w:ascii="Arial" w:hAnsi="Arial" w:cs="Arial"/>
          <w:iCs/>
        </w:rPr>
      </w:pPr>
      <w:r w:rsidRPr="008704EE">
        <w:rPr>
          <w:rFonts w:ascii="Arial" w:hAnsi="Arial" w:cs="Arial"/>
          <w:b/>
          <w:i/>
        </w:rPr>
        <w:t>Capital Permitting/Property Management TLT Conversions Support [$0, 2</w:t>
      </w:r>
      <w:r>
        <w:rPr>
          <w:rFonts w:ascii="Arial" w:hAnsi="Arial" w:cs="Arial"/>
          <w:b/>
          <w:i/>
        </w:rPr>
        <w:t>.0</w:t>
      </w:r>
      <w:r w:rsidRPr="008704EE">
        <w:rPr>
          <w:rFonts w:ascii="Arial" w:hAnsi="Arial" w:cs="Arial"/>
          <w:b/>
          <w:i/>
        </w:rPr>
        <w:t xml:space="preserve"> FTE</w:t>
      </w:r>
      <w:r>
        <w:rPr>
          <w:rFonts w:ascii="Arial" w:hAnsi="Arial" w:cs="Arial"/>
          <w:b/>
          <w:i/>
        </w:rPr>
        <w:t>s</w:t>
      </w:r>
      <w:r w:rsidRPr="008704EE">
        <w:rPr>
          <w:rFonts w:ascii="Arial" w:hAnsi="Arial" w:cs="Arial"/>
          <w:b/>
          <w:i/>
        </w:rPr>
        <w:t xml:space="preserve">, ongoing].  </w:t>
      </w:r>
      <w:r w:rsidRPr="008704EE">
        <w:rPr>
          <w:rFonts w:ascii="Arial" w:hAnsi="Arial" w:cs="Arial"/>
          <w:iCs/>
        </w:rPr>
        <w:t xml:space="preserve">The proposed ordinance would convert one special-duty position and one term limited temporary position into two FTE positions in support of the Division’s capital development program.  These positions would support the permitting, property management and community services functions of the capital program.  </w:t>
      </w:r>
    </w:p>
    <w:p w14:paraId="7A7ABD2A" w14:textId="77777777" w:rsidR="009B4F72" w:rsidRPr="008704EE" w:rsidRDefault="009B4F72" w:rsidP="009B4F72">
      <w:pPr>
        <w:pStyle w:val="ListParagraph0"/>
        <w:spacing w:line="264" w:lineRule="auto"/>
        <w:contextualSpacing/>
        <w:jc w:val="both"/>
        <w:rPr>
          <w:rFonts w:ascii="Arial" w:hAnsi="Arial" w:cs="Arial"/>
          <w:iCs/>
        </w:rPr>
      </w:pPr>
    </w:p>
    <w:p w14:paraId="51B7F2E3" w14:textId="48B652A9" w:rsidR="009B4F72" w:rsidRPr="008704EE" w:rsidRDefault="009B4F72" w:rsidP="009B4F72">
      <w:pPr>
        <w:spacing w:line="264" w:lineRule="auto"/>
        <w:contextualSpacing/>
        <w:jc w:val="both"/>
        <w:rPr>
          <w:rFonts w:ascii="Arial" w:hAnsi="Arial" w:cs="Arial"/>
          <w:iCs/>
        </w:rPr>
      </w:pPr>
      <w:r w:rsidRPr="008704EE">
        <w:rPr>
          <w:rFonts w:ascii="Arial" w:hAnsi="Arial" w:cs="Arial"/>
          <w:b/>
          <w:i/>
        </w:rPr>
        <w:t>Project Planning and Delivery TLT Conversions [$0, 25</w:t>
      </w:r>
      <w:r>
        <w:rPr>
          <w:rFonts w:ascii="Arial" w:hAnsi="Arial" w:cs="Arial"/>
          <w:b/>
          <w:i/>
        </w:rPr>
        <w:t>.0</w:t>
      </w:r>
      <w:r w:rsidRPr="008704EE">
        <w:rPr>
          <w:rFonts w:ascii="Arial" w:hAnsi="Arial" w:cs="Arial"/>
          <w:b/>
          <w:i/>
        </w:rPr>
        <w:t xml:space="preserve"> FTE</w:t>
      </w:r>
      <w:r>
        <w:rPr>
          <w:rFonts w:ascii="Arial" w:hAnsi="Arial" w:cs="Arial"/>
          <w:b/>
          <w:i/>
        </w:rPr>
        <w:t>s</w:t>
      </w:r>
      <w:r w:rsidRPr="008704EE">
        <w:rPr>
          <w:rFonts w:ascii="Arial" w:hAnsi="Arial" w:cs="Arial"/>
          <w:b/>
          <w:i/>
        </w:rPr>
        <w:t xml:space="preserve">, ongoing].  </w:t>
      </w:r>
      <w:r w:rsidRPr="008704EE">
        <w:rPr>
          <w:rFonts w:ascii="Arial" w:hAnsi="Arial" w:cs="Arial"/>
          <w:iCs/>
        </w:rPr>
        <w:t xml:space="preserve">The proposed ordinance would convert 25 term-limited temporary positions currently supporting the Project Planning and Delivery section into permanent positions.  Project Planning and Delivery manages the capital development program for the Wastewater Treatment Division; with increasing capital development responsibilities for asset management, combined sewer overflow control systems, aging conveyance systems, and nutrient management systems, the capital program is projected to grow significantly.  This </w:t>
      </w:r>
      <w:r>
        <w:rPr>
          <w:rFonts w:ascii="Arial" w:hAnsi="Arial" w:cs="Arial"/>
          <w:iCs/>
        </w:rPr>
        <w:t>proposed appropriation</w:t>
      </w:r>
      <w:r w:rsidRPr="008704EE">
        <w:rPr>
          <w:rFonts w:ascii="Arial" w:hAnsi="Arial" w:cs="Arial"/>
          <w:iCs/>
        </w:rPr>
        <w:t xml:space="preserve"> would convert the existing temporary position supporting these services to career service FTEs.</w:t>
      </w:r>
    </w:p>
    <w:p w14:paraId="18EDC768" w14:textId="77777777" w:rsidR="009B4F72" w:rsidRDefault="009B4F72" w:rsidP="009B4F72">
      <w:pPr>
        <w:spacing w:line="264" w:lineRule="auto"/>
        <w:contextualSpacing/>
        <w:jc w:val="both"/>
        <w:rPr>
          <w:rFonts w:ascii="Arial" w:hAnsi="Arial" w:cs="Arial"/>
          <w:szCs w:val="24"/>
        </w:rPr>
      </w:pPr>
    </w:p>
    <w:p w14:paraId="7507AB8F" w14:textId="77777777" w:rsidR="009B4F72" w:rsidRDefault="009B4F72" w:rsidP="009B4F72">
      <w:pPr>
        <w:spacing w:line="264" w:lineRule="auto"/>
        <w:contextualSpacing/>
        <w:jc w:val="both"/>
        <w:rPr>
          <w:rFonts w:ascii="Arial" w:hAnsi="Arial" w:cs="Arial"/>
          <w:szCs w:val="24"/>
        </w:rPr>
      </w:pPr>
    </w:p>
    <w:p w14:paraId="424D716E" w14:textId="77777777" w:rsidR="009B4F72" w:rsidRPr="000E7446" w:rsidRDefault="009B4F72" w:rsidP="009B4F72">
      <w:pPr>
        <w:tabs>
          <w:tab w:val="left" w:pos="720"/>
          <w:tab w:val="right" w:pos="9360"/>
        </w:tabs>
        <w:spacing w:line="264" w:lineRule="auto"/>
        <w:contextualSpacing/>
        <w:jc w:val="both"/>
        <w:rPr>
          <w:rFonts w:ascii="Arial" w:hAnsi="Arial" w:cs="Arial"/>
          <w:b/>
          <w:u w:val="single"/>
        </w:rPr>
      </w:pPr>
      <w:r>
        <w:rPr>
          <w:rFonts w:ascii="Arial" w:hAnsi="Arial" w:cs="Arial"/>
          <w:b/>
          <w:u w:val="single"/>
        </w:rPr>
        <w:t>Water Quality Construction</w:t>
      </w:r>
      <w:r w:rsidRPr="000E7446">
        <w:rPr>
          <w:rFonts w:ascii="Arial" w:hAnsi="Arial" w:cs="Arial"/>
          <w:b/>
          <w:u w:val="single"/>
        </w:rPr>
        <w:tab/>
      </w:r>
      <w:r w:rsidRPr="006055F2">
        <w:rPr>
          <w:rFonts w:ascii="Arial" w:hAnsi="Arial" w:cs="Arial"/>
          <w:b/>
          <w:u w:val="single"/>
        </w:rPr>
        <w:t>$</w:t>
      </w:r>
      <w:r>
        <w:rPr>
          <w:rFonts w:ascii="Arial" w:hAnsi="Arial" w:cs="Arial"/>
          <w:b/>
          <w:u w:val="single"/>
        </w:rPr>
        <w:t>19,408,801</w:t>
      </w:r>
    </w:p>
    <w:p w14:paraId="300552C4" w14:textId="77777777" w:rsidR="009B4F72" w:rsidRDefault="009B4F72" w:rsidP="009B4F72">
      <w:pPr>
        <w:spacing w:line="264" w:lineRule="auto"/>
        <w:contextualSpacing/>
        <w:jc w:val="both"/>
        <w:rPr>
          <w:rFonts w:ascii="Arial" w:hAnsi="Arial" w:cs="Arial"/>
          <w:szCs w:val="24"/>
        </w:rPr>
      </w:pPr>
    </w:p>
    <w:p w14:paraId="5744FFD2" w14:textId="77777777" w:rsidR="009B4F72" w:rsidRDefault="009B4F72" w:rsidP="009B4F72">
      <w:pPr>
        <w:spacing w:line="264" w:lineRule="auto"/>
        <w:rPr>
          <w:rFonts w:ascii="Arial" w:hAnsi="Arial" w:cs="Arial"/>
          <w:b/>
          <w:bCs/>
        </w:rPr>
      </w:pPr>
      <w:r>
        <w:rPr>
          <w:rFonts w:ascii="Arial" w:hAnsi="Arial" w:cs="Arial"/>
          <w:b/>
          <w:bCs/>
        </w:rPr>
        <w:t xml:space="preserve">TECHNICAL </w:t>
      </w:r>
    </w:p>
    <w:p w14:paraId="0D16F43B" w14:textId="3C6B05E7" w:rsidR="009B4F72" w:rsidRDefault="009B4F72" w:rsidP="009B4F72">
      <w:pPr>
        <w:spacing w:line="264" w:lineRule="auto"/>
        <w:jc w:val="both"/>
        <w:rPr>
          <w:rFonts w:ascii="Arial" w:hAnsi="Arial" w:cs="Arial"/>
          <w:b/>
        </w:rPr>
      </w:pPr>
      <w:r>
        <w:rPr>
          <w:rFonts w:ascii="Arial" w:hAnsi="Arial" w:cs="Arial"/>
          <w:b/>
          <w:bCs/>
          <w:i/>
          <w:iCs/>
        </w:rPr>
        <w:t xml:space="preserve">Water Quality Construction Account—Capital Projects [$19,408,801].  </w:t>
      </w:r>
      <w:r>
        <w:rPr>
          <w:rFonts w:ascii="Arial" w:hAnsi="Arial" w:cs="Arial"/>
        </w:rPr>
        <w:t>The proposed ordinance would appropriate $19,408,801 for a variety of capital projects, including projects to improve operational systems at West Point and South treatment plants, upgrade pumping capacity at pump stations, upgrade information systems, and similar projects.  These projects are all funded through the Water Quality Construction Account, supported by bond funding.  Included among the projects is the Pretreatment Information Management System (PIMS) Replacement Project for the Wastewater Treatment Division’s Industrial Waste Program.  This project will allow industrial waste dischargers, local sewer agencies and the general public to use a web-based self-service portal to perform a variety of information submission and data access tasks.  This system will replace the current PIMS system.  A Benefit Achievement Plan has been provided for this project.</w:t>
      </w:r>
    </w:p>
    <w:p w14:paraId="44A44636" w14:textId="77777777" w:rsidR="009B4F72" w:rsidRDefault="009B4F72" w:rsidP="009B4F72">
      <w:pPr>
        <w:spacing w:line="264" w:lineRule="auto"/>
        <w:contextualSpacing/>
        <w:jc w:val="both"/>
        <w:rPr>
          <w:rFonts w:ascii="Arial" w:hAnsi="Arial" w:cs="Arial"/>
          <w:szCs w:val="24"/>
        </w:rPr>
      </w:pPr>
    </w:p>
    <w:p w14:paraId="6D266A18" w14:textId="70CE405D" w:rsidR="009B4F72" w:rsidRDefault="009B4F72" w:rsidP="009B4F72">
      <w:pPr>
        <w:spacing w:line="264" w:lineRule="auto"/>
        <w:contextualSpacing/>
        <w:jc w:val="both"/>
        <w:rPr>
          <w:rFonts w:ascii="Arial" w:hAnsi="Arial" w:cs="Arial"/>
          <w:szCs w:val="24"/>
        </w:rPr>
      </w:pPr>
    </w:p>
    <w:p w14:paraId="33881AA2" w14:textId="07729398" w:rsidR="00901A9C" w:rsidRDefault="00901A9C" w:rsidP="009B4F72">
      <w:pPr>
        <w:spacing w:line="264" w:lineRule="auto"/>
        <w:contextualSpacing/>
        <w:jc w:val="both"/>
        <w:rPr>
          <w:rFonts w:ascii="Arial" w:hAnsi="Arial" w:cs="Arial"/>
          <w:szCs w:val="24"/>
        </w:rPr>
      </w:pPr>
    </w:p>
    <w:p w14:paraId="75C10ACF" w14:textId="77777777" w:rsidR="009B4F72" w:rsidRPr="009A577B" w:rsidRDefault="009B4F72" w:rsidP="009B4F72">
      <w:pPr>
        <w:tabs>
          <w:tab w:val="left" w:pos="720"/>
          <w:tab w:val="right" w:pos="9360"/>
        </w:tabs>
        <w:spacing w:line="264" w:lineRule="auto"/>
        <w:contextualSpacing/>
        <w:jc w:val="both"/>
        <w:rPr>
          <w:rFonts w:ascii="Arial" w:hAnsi="Arial" w:cs="Arial"/>
          <w:b/>
          <w:u w:val="single"/>
        </w:rPr>
      </w:pPr>
      <w:r>
        <w:rPr>
          <w:rFonts w:ascii="Arial" w:hAnsi="Arial" w:cs="Arial"/>
          <w:b/>
          <w:u w:val="single"/>
        </w:rPr>
        <w:t>Transit</w:t>
      </w:r>
      <w:r w:rsidRPr="000E7446">
        <w:rPr>
          <w:rFonts w:ascii="Arial" w:hAnsi="Arial" w:cs="Arial"/>
          <w:b/>
          <w:u w:val="single"/>
        </w:rPr>
        <w:tab/>
      </w:r>
      <w:r>
        <w:rPr>
          <w:rFonts w:ascii="Arial" w:hAnsi="Arial" w:cs="Arial"/>
          <w:b/>
          <w:u w:val="single"/>
        </w:rPr>
        <w:t xml:space="preserve">Operating: </w:t>
      </w:r>
      <w:r w:rsidRPr="00381275">
        <w:rPr>
          <w:rFonts w:ascii="Arial" w:hAnsi="Arial" w:cs="Arial"/>
          <w:b/>
          <w:u w:val="single"/>
        </w:rPr>
        <w:t>$52,739,000, 242.1 FTEs</w:t>
      </w:r>
      <w:r>
        <w:rPr>
          <w:rFonts w:ascii="Arial" w:hAnsi="Arial" w:cs="Arial"/>
          <w:b/>
          <w:u w:val="single"/>
        </w:rPr>
        <w:t>; Capital:</w:t>
      </w:r>
      <w:r w:rsidRPr="00381275">
        <w:rPr>
          <w:rFonts w:ascii="Arial" w:hAnsi="Arial" w:cs="Arial"/>
          <w:b/>
          <w:u w:val="single"/>
        </w:rPr>
        <w:t xml:space="preserve"> $113,846,446</w:t>
      </w:r>
    </w:p>
    <w:p w14:paraId="09C89D37" w14:textId="77777777" w:rsidR="009B4F72" w:rsidRPr="000E7446" w:rsidRDefault="009B4F72" w:rsidP="009B4F72">
      <w:pPr>
        <w:tabs>
          <w:tab w:val="left" w:pos="720"/>
          <w:tab w:val="right" w:pos="9360"/>
        </w:tabs>
        <w:spacing w:line="264" w:lineRule="auto"/>
        <w:contextualSpacing/>
        <w:jc w:val="both"/>
        <w:rPr>
          <w:rFonts w:ascii="Arial" w:hAnsi="Arial" w:cs="Arial"/>
          <w:b/>
          <w:u w:val="single"/>
        </w:rPr>
      </w:pPr>
    </w:p>
    <w:p w14:paraId="7043FDC0" w14:textId="03851D0F" w:rsidR="009B4F72" w:rsidRDefault="009B4F72" w:rsidP="009B4F72">
      <w:pPr>
        <w:spacing w:line="264" w:lineRule="auto"/>
        <w:contextualSpacing/>
        <w:jc w:val="both"/>
        <w:rPr>
          <w:rFonts w:ascii="Arial" w:hAnsi="Arial" w:cs="Arial"/>
          <w:bCs/>
        </w:rPr>
      </w:pPr>
      <w:r>
        <w:rPr>
          <w:rFonts w:ascii="Arial" w:hAnsi="Arial" w:cs="Arial"/>
          <w:bCs/>
        </w:rPr>
        <w:t>For the Metro Transit Department budget, the proposed ordinance would make a net increase in appropriation authority of $52.7 million</w:t>
      </w:r>
      <w:r>
        <w:rPr>
          <w:rStyle w:val="FootnoteReference"/>
          <w:rFonts w:ascii="Arial" w:hAnsi="Arial" w:cs="Arial"/>
          <w:bCs/>
        </w:rPr>
        <w:footnoteReference w:id="45"/>
      </w:r>
      <w:r>
        <w:rPr>
          <w:rFonts w:ascii="Arial" w:hAnsi="Arial" w:cs="Arial"/>
          <w:bCs/>
        </w:rPr>
        <w:t xml:space="preserve"> for operational expenses and $113.8 million for capital investments. The proposed ordinance also includes 242.1 </w:t>
      </w:r>
      <w:r>
        <w:rPr>
          <w:rFonts w:ascii="Arial" w:hAnsi="Arial" w:cs="Arial"/>
          <w:bCs/>
        </w:rPr>
        <w:lastRenderedPageBreak/>
        <w:t>additional FTE and 136.0 TLT positions, which are proposed to be added to cover Metro’s additional pandemic-related vehicle cleaning and sanitization needs, to restore the staff capacity Metro cut in the originally adopted 2021-2022 budget</w:t>
      </w:r>
      <w:r>
        <w:rPr>
          <w:rStyle w:val="FootnoteReference"/>
          <w:rFonts w:ascii="Arial" w:hAnsi="Arial" w:cs="Arial"/>
          <w:bCs/>
        </w:rPr>
        <w:footnoteReference w:id="46"/>
      </w:r>
      <w:r>
        <w:rPr>
          <w:rFonts w:ascii="Arial" w:hAnsi="Arial" w:cs="Arial"/>
          <w:bCs/>
        </w:rPr>
        <w:t xml:space="preserve"> in response to the operational and financial impacts of the COVID-19 pandemic, and to allow Metro to prepare for the 2023 opening of Sound Transit’s East Link light rail line.</w:t>
      </w:r>
      <w:r>
        <w:rPr>
          <w:rStyle w:val="FootnoteReference"/>
          <w:rFonts w:ascii="Arial" w:hAnsi="Arial" w:cs="Arial"/>
          <w:bCs/>
        </w:rPr>
        <w:footnoteReference w:id="47"/>
      </w:r>
      <w:r>
        <w:rPr>
          <w:rFonts w:ascii="Arial" w:hAnsi="Arial" w:cs="Arial"/>
          <w:bCs/>
        </w:rPr>
        <w:t xml:space="preserve">  </w:t>
      </w:r>
    </w:p>
    <w:p w14:paraId="7B6AA67B" w14:textId="77777777" w:rsidR="009B4F72" w:rsidRDefault="009B4F72" w:rsidP="009B4F72">
      <w:pPr>
        <w:spacing w:line="264" w:lineRule="auto"/>
        <w:contextualSpacing/>
        <w:jc w:val="both"/>
        <w:rPr>
          <w:rFonts w:ascii="Arial" w:hAnsi="Arial" w:cs="Arial"/>
          <w:bCs/>
        </w:rPr>
      </w:pPr>
    </w:p>
    <w:p w14:paraId="4581C713" w14:textId="24B8891D" w:rsidR="009B4F72" w:rsidRDefault="009B4F72" w:rsidP="009B4F72">
      <w:pPr>
        <w:spacing w:line="264" w:lineRule="auto"/>
        <w:contextualSpacing/>
        <w:jc w:val="both"/>
        <w:rPr>
          <w:rFonts w:ascii="Arial" w:hAnsi="Arial" w:cs="Arial"/>
          <w:szCs w:val="24"/>
        </w:rPr>
      </w:pPr>
      <w:r>
        <w:rPr>
          <w:rFonts w:ascii="Arial" w:hAnsi="Arial" w:cs="Arial"/>
          <w:bCs/>
        </w:rPr>
        <w:t>In the 2021-2022 biennial adopted budget, Metro forecast its revenues to be $349 million lower than in pre-COVID projections. In response, the budget as adopted included $483 million more in expenditures than revenues, with undesignated fund balance drawn down over the next several biennia to cover the gap</w:t>
      </w:r>
      <w:r>
        <w:rPr>
          <w:rFonts w:ascii="Arial" w:hAnsi="Arial" w:cs="Arial"/>
          <w:szCs w:val="24"/>
        </w:rPr>
        <w:t>.  Metro predicted that this drawdown of reserves would lead to a “fiscal cliff” by 2025 that would require a cut of 500,000 annual transit service hours, or approximately 13 percent of the system.</w:t>
      </w:r>
    </w:p>
    <w:p w14:paraId="1EBF10A0" w14:textId="77777777" w:rsidR="009B4F72" w:rsidRDefault="009B4F72" w:rsidP="009B4F72">
      <w:pPr>
        <w:spacing w:line="264" w:lineRule="auto"/>
        <w:contextualSpacing/>
        <w:jc w:val="both"/>
        <w:rPr>
          <w:rFonts w:ascii="Arial" w:hAnsi="Arial" w:cs="Arial"/>
          <w:szCs w:val="24"/>
        </w:rPr>
      </w:pPr>
    </w:p>
    <w:p w14:paraId="22ED931B" w14:textId="45679FB6" w:rsidR="009B4F72" w:rsidRDefault="009B4F72" w:rsidP="009B4F72">
      <w:pPr>
        <w:spacing w:line="264" w:lineRule="auto"/>
        <w:contextualSpacing/>
        <w:jc w:val="both"/>
        <w:rPr>
          <w:rFonts w:ascii="Arial" w:hAnsi="Arial" w:cs="Arial"/>
          <w:bCs/>
        </w:rPr>
      </w:pPr>
      <w:r>
        <w:rPr>
          <w:rFonts w:ascii="Arial" w:hAnsi="Arial" w:cs="Arial"/>
          <w:bCs/>
        </w:rPr>
        <w:t>The revenue estimates in the proposed ordinance reflect the strengthening of the economy, as well as the federal relief Metro has been allocated.</w:t>
      </w:r>
      <w:r>
        <w:rPr>
          <w:rStyle w:val="FootnoteReference"/>
          <w:rFonts w:ascii="Arial" w:hAnsi="Arial" w:cs="Arial"/>
          <w:bCs/>
        </w:rPr>
        <w:footnoteReference w:id="48"/>
      </w:r>
      <w:r>
        <w:rPr>
          <w:rFonts w:ascii="Arial" w:hAnsi="Arial" w:cs="Arial"/>
          <w:bCs/>
        </w:rPr>
        <w:t xml:space="preserve"> Metro’s revenue estimates have </w:t>
      </w:r>
      <w:r w:rsidRPr="008A35B7">
        <w:rPr>
          <w:rFonts w:ascii="Arial" w:hAnsi="Arial" w:cs="Arial"/>
          <w:bCs/>
        </w:rPr>
        <w:t>increased by $</w:t>
      </w:r>
      <w:r w:rsidR="000445C5" w:rsidRPr="007F135D">
        <w:rPr>
          <w:rStyle w:val="IntenseEmphasis"/>
          <w:rFonts w:ascii="Arial" w:hAnsi="Arial" w:cs="Arial"/>
          <w:i w:val="0"/>
          <w:iCs w:val="0"/>
        </w:rPr>
        <w:t>527</w:t>
      </w:r>
      <w:r w:rsidR="003751B8">
        <w:rPr>
          <w:rStyle w:val="FootnoteReference"/>
          <w:rFonts w:ascii="Arial" w:hAnsi="Arial" w:cs="Arial"/>
          <w:color w:val="4F81BD" w:themeColor="accent1"/>
        </w:rPr>
        <w:footnoteReference w:id="49"/>
      </w:r>
      <w:r w:rsidRPr="008A35B7">
        <w:rPr>
          <w:rFonts w:ascii="Arial" w:hAnsi="Arial" w:cs="Arial"/>
          <w:bCs/>
        </w:rPr>
        <w:t xml:space="preserve"> million above the </w:t>
      </w:r>
      <w:r>
        <w:rPr>
          <w:rFonts w:ascii="Arial" w:hAnsi="Arial" w:cs="Arial"/>
          <w:bCs/>
        </w:rPr>
        <w:t xml:space="preserve">originally </w:t>
      </w:r>
      <w:r w:rsidRPr="008A35B7">
        <w:rPr>
          <w:rFonts w:ascii="Arial" w:hAnsi="Arial" w:cs="Arial"/>
          <w:bCs/>
        </w:rPr>
        <w:t>adopted budget, with the two largest sources of increased revenue being sales tax ($196 million increase) and grants</w:t>
      </w:r>
      <w:r>
        <w:rPr>
          <w:rFonts w:ascii="Arial" w:hAnsi="Arial" w:cs="Arial"/>
          <w:bCs/>
        </w:rPr>
        <w:t xml:space="preserve"> / federal aid</w:t>
      </w:r>
      <w:r w:rsidRPr="008A35B7">
        <w:rPr>
          <w:rFonts w:ascii="Arial" w:hAnsi="Arial" w:cs="Arial"/>
          <w:bCs/>
        </w:rPr>
        <w:t xml:space="preserve"> ($387 million increase</w:t>
      </w:r>
      <w:r>
        <w:rPr>
          <w:rFonts w:ascii="Arial" w:hAnsi="Arial" w:cs="Arial"/>
          <w:bCs/>
        </w:rPr>
        <w:t>)</w:t>
      </w:r>
      <w:r w:rsidRPr="008A35B7">
        <w:rPr>
          <w:rFonts w:ascii="Arial" w:hAnsi="Arial" w:cs="Arial"/>
          <w:bCs/>
        </w:rPr>
        <w:t>.</w:t>
      </w:r>
      <w:r>
        <w:rPr>
          <w:rFonts w:ascii="Arial" w:hAnsi="Arial" w:cs="Arial"/>
          <w:bCs/>
        </w:rPr>
        <w:t xml:space="preserve"> </w:t>
      </w:r>
      <w:r w:rsidRPr="008A35B7">
        <w:rPr>
          <w:rFonts w:ascii="Arial" w:hAnsi="Arial" w:cs="Arial"/>
          <w:bCs/>
        </w:rPr>
        <w:t>Metro’s</w:t>
      </w:r>
      <w:r>
        <w:rPr>
          <w:rFonts w:ascii="Arial" w:hAnsi="Arial" w:cs="Arial"/>
          <w:bCs/>
        </w:rPr>
        <w:t xml:space="preserve"> updated estimate for an increase in revenues includes a projected $53 million reduction in fare revenues for the biennium, as the originally adopted budget had assumed that </w:t>
      </w:r>
      <w:r w:rsidR="003751B8" w:rsidRPr="003751B8">
        <w:rPr>
          <w:rFonts w:ascii="Arial" w:hAnsi="Arial" w:cs="Arial"/>
          <w:bCs/>
          <w:color w:val="4F81BD" w:themeColor="accent1"/>
        </w:rPr>
        <w:t>bus service levels</w:t>
      </w:r>
      <w:r w:rsidRPr="003751B8">
        <w:rPr>
          <w:rFonts w:ascii="Arial" w:hAnsi="Arial" w:cs="Arial"/>
          <w:bCs/>
          <w:color w:val="4F81BD" w:themeColor="accent1"/>
        </w:rPr>
        <w:t xml:space="preserve"> </w:t>
      </w:r>
      <w:r>
        <w:rPr>
          <w:rFonts w:ascii="Arial" w:hAnsi="Arial" w:cs="Arial"/>
          <w:bCs/>
        </w:rPr>
        <w:t>would return to pre-pandemic levels by Fall 2021.</w:t>
      </w:r>
      <w:r>
        <w:rPr>
          <w:rStyle w:val="FootnoteReference"/>
          <w:rFonts w:ascii="Arial" w:hAnsi="Arial" w:cs="Arial"/>
          <w:bCs/>
        </w:rPr>
        <w:footnoteReference w:id="50"/>
      </w:r>
      <w:r w:rsidRPr="006768BD">
        <w:rPr>
          <w:rFonts w:ascii="Arial" w:hAnsi="Arial" w:cs="Arial"/>
          <w:bCs/>
          <w:vertAlign w:val="superscript"/>
        </w:rPr>
        <w:t>,</w:t>
      </w:r>
      <w:r>
        <w:rPr>
          <w:rStyle w:val="FootnoteReference"/>
          <w:rFonts w:ascii="Arial" w:hAnsi="Arial" w:cs="Arial"/>
          <w:bCs/>
        </w:rPr>
        <w:footnoteReference w:id="51"/>
      </w:r>
      <w:r>
        <w:rPr>
          <w:rFonts w:ascii="Arial" w:hAnsi="Arial" w:cs="Arial"/>
          <w:bCs/>
        </w:rPr>
        <w:t xml:space="preserve"> </w:t>
      </w:r>
    </w:p>
    <w:p w14:paraId="0F314981" w14:textId="77777777" w:rsidR="009B4F72" w:rsidRDefault="009B4F72" w:rsidP="009B4F72">
      <w:pPr>
        <w:spacing w:line="264" w:lineRule="auto"/>
        <w:contextualSpacing/>
        <w:jc w:val="both"/>
        <w:rPr>
          <w:rFonts w:ascii="Arial" w:hAnsi="Arial" w:cs="Arial"/>
          <w:bCs/>
        </w:rPr>
      </w:pPr>
    </w:p>
    <w:p w14:paraId="70DD9368" w14:textId="62082071" w:rsidR="009B4F72" w:rsidRDefault="009B4F72" w:rsidP="009B4F72">
      <w:pPr>
        <w:spacing w:line="264" w:lineRule="auto"/>
        <w:contextualSpacing/>
        <w:jc w:val="both"/>
        <w:rPr>
          <w:rFonts w:ascii="Arial" w:hAnsi="Arial" w:cs="Arial"/>
          <w:szCs w:val="24"/>
        </w:rPr>
      </w:pPr>
      <w:r>
        <w:rPr>
          <w:rFonts w:ascii="Arial" w:hAnsi="Arial" w:cs="Arial"/>
          <w:bCs/>
        </w:rPr>
        <w:t xml:space="preserve">Metro proposes to use the increased revenues to </w:t>
      </w:r>
      <w:r w:rsidR="00A659D2">
        <w:rPr>
          <w:rFonts w:ascii="Arial" w:hAnsi="Arial" w:cs="Arial"/>
          <w:bCs/>
          <w:color w:val="4F81BD" w:themeColor="accent1"/>
        </w:rPr>
        <w:t xml:space="preserve">set aside additional funding in </w:t>
      </w:r>
      <w:r w:rsidR="00A659D2" w:rsidRPr="00A659D2">
        <w:rPr>
          <w:rFonts w:ascii="Arial" w:hAnsi="Arial" w:cs="Arial"/>
          <w:bCs/>
          <w:color w:val="000000" w:themeColor="text1"/>
        </w:rPr>
        <w:t>reserves</w:t>
      </w:r>
      <w:r w:rsidRPr="00A659D2">
        <w:rPr>
          <w:rFonts w:ascii="Arial" w:hAnsi="Arial" w:cs="Arial"/>
          <w:bCs/>
          <w:color w:val="000000" w:themeColor="text1"/>
        </w:rPr>
        <w:t xml:space="preserve"> a</w:t>
      </w:r>
      <w:r>
        <w:rPr>
          <w:rFonts w:ascii="Arial" w:hAnsi="Arial" w:cs="Arial"/>
          <w:bCs/>
        </w:rPr>
        <w:t xml:space="preserve">nd support ongoing service and capital needs. </w:t>
      </w:r>
      <w:r w:rsidRPr="00D75342">
        <w:rPr>
          <w:rFonts w:ascii="Arial" w:hAnsi="Arial" w:cs="Arial"/>
          <w:szCs w:val="24"/>
        </w:rPr>
        <w:t xml:space="preserve">Metro staff indicate that the </w:t>
      </w:r>
      <w:r w:rsidRPr="00D75342">
        <w:rPr>
          <w:rFonts w:ascii="Arial" w:hAnsi="Arial" w:cs="Arial"/>
          <w:szCs w:val="24"/>
        </w:rPr>
        <w:lastRenderedPageBreak/>
        <w:t>“fiscal cliff” reduction in service is no longer anticipated in 2025, though</w:t>
      </w:r>
      <w:r>
        <w:rPr>
          <w:rFonts w:ascii="Arial" w:hAnsi="Arial" w:cs="Arial"/>
          <w:szCs w:val="24"/>
        </w:rPr>
        <w:t xml:space="preserve"> note that Metro’s long-range plan, Metro Connects,</w:t>
      </w:r>
      <w:r>
        <w:rPr>
          <w:rStyle w:val="FootnoteReference"/>
          <w:rFonts w:ascii="Arial" w:hAnsi="Arial" w:cs="Arial"/>
          <w:szCs w:val="24"/>
        </w:rPr>
        <w:footnoteReference w:id="52"/>
      </w:r>
      <w:r>
        <w:rPr>
          <w:rFonts w:ascii="Arial" w:hAnsi="Arial" w:cs="Arial"/>
          <w:szCs w:val="24"/>
        </w:rPr>
        <w:t xml:space="preserve"> is not fully funded, meaning that anticipated transit service levels are not achievable over the long term without additional sources of revenue. </w:t>
      </w:r>
    </w:p>
    <w:p w14:paraId="7F6CE9CC" w14:textId="77777777" w:rsidR="009B4F72" w:rsidRDefault="009B4F72" w:rsidP="009B4F72">
      <w:pPr>
        <w:spacing w:line="264" w:lineRule="auto"/>
        <w:contextualSpacing/>
        <w:jc w:val="both"/>
        <w:rPr>
          <w:rFonts w:ascii="Arial" w:hAnsi="Arial" w:cs="Arial"/>
          <w:szCs w:val="24"/>
        </w:rPr>
      </w:pPr>
    </w:p>
    <w:p w14:paraId="10524268" w14:textId="77777777" w:rsidR="009B4F72" w:rsidRDefault="009B4F72" w:rsidP="009B4F72">
      <w:pPr>
        <w:spacing w:line="264" w:lineRule="auto"/>
        <w:contextualSpacing/>
        <w:jc w:val="both"/>
        <w:rPr>
          <w:rFonts w:ascii="Arial" w:hAnsi="Arial" w:cs="Arial"/>
          <w:szCs w:val="24"/>
        </w:rPr>
      </w:pPr>
      <w:r>
        <w:rPr>
          <w:rFonts w:ascii="Arial" w:hAnsi="Arial" w:cs="Arial"/>
          <w:szCs w:val="24"/>
        </w:rPr>
        <w:t xml:space="preserve">Metro also proposes to reserve a total of $795 million this biennium in </w:t>
      </w:r>
      <w:r w:rsidRPr="000E608D">
        <w:rPr>
          <w:rFonts w:ascii="Arial" w:hAnsi="Arial" w:cs="Arial"/>
          <w:szCs w:val="24"/>
        </w:rPr>
        <w:t>Electrification &amp; Mobility Designations</w:t>
      </w:r>
      <w:r>
        <w:rPr>
          <w:rFonts w:ascii="Arial" w:hAnsi="Arial" w:cs="Arial"/>
          <w:szCs w:val="24"/>
        </w:rPr>
        <w:t xml:space="preserve"> to prepare for priorities in the next biennium, which Metro staff have indicated will include:</w:t>
      </w:r>
    </w:p>
    <w:p w14:paraId="3ECA36AB" w14:textId="77777777" w:rsidR="009B4F72" w:rsidRPr="00B01BF5" w:rsidRDefault="009B4F72" w:rsidP="009B4F72">
      <w:pPr>
        <w:pStyle w:val="ListParagraph0"/>
        <w:numPr>
          <w:ilvl w:val="0"/>
          <w:numId w:val="37"/>
        </w:numPr>
        <w:spacing w:line="264" w:lineRule="auto"/>
        <w:contextualSpacing/>
        <w:jc w:val="both"/>
        <w:rPr>
          <w:rFonts w:ascii="Arial" w:hAnsi="Arial" w:cs="Arial"/>
        </w:rPr>
      </w:pPr>
      <w:r w:rsidRPr="00B01BF5">
        <w:rPr>
          <w:rFonts w:ascii="Arial" w:hAnsi="Arial" w:cs="Arial"/>
        </w:rPr>
        <w:t>Maintain</w:t>
      </w:r>
      <w:r>
        <w:rPr>
          <w:rFonts w:ascii="Arial" w:hAnsi="Arial" w:cs="Arial"/>
        </w:rPr>
        <w:t>ing</w:t>
      </w:r>
      <w:r w:rsidRPr="00B01BF5">
        <w:rPr>
          <w:rFonts w:ascii="Arial" w:hAnsi="Arial" w:cs="Arial"/>
        </w:rPr>
        <w:t xml:space="preserve"> </w:t>
      </w:r>
      <w:r>
        <w:rPr>
          <w:rFonts w:ascii="Arial" w:hAnsi="Arial" w:cs="Arial"/>
        </w:rPr>
        <w:t xml:space="preserve">transit </w:t>
      </w:r>
      <w:r w:rsidRPr="00B01BF5">
        <w:rPr>
          <w:rFonts w:ascii="Arial" w:hAnsi="Arial" w:cs="Arial"/>
        </w:rPr>
        <w:t>service</w:t>
      </w:r>
      <w:r>
        <w:rPr>
          <w:rFonts w:ascii="Arial" w:hAnsi="Arial" w:cs="Arial"/>
        </w:rPr>
        <w:t xml:space="preserve"> to avoid the “fiscal cliff” service reductions that had been planned for 2025-2026, and making fleet replacement purchases sized to this restored level of </w:t>
      </w:r>
      <w:proofErr w:type="gramStart"/>
      <w:r>
        <w:rPr>
          <w:rFonts w:ascii="Arial" w:hAnsi="Arial" w:cs="Arial"/>
        </w:rPr>
        <w:t>service;</w:t>
      </w:r>
      <w:proofErr w:type="gramEnd"/>
    </w:p>
    <w:p w14:paraId="6EA0225F" w14:textId="77777777" w:rsidR="009B4F72" w:rsidRPr="00B01BF5" w:rsidRDefault="009B4F72" w:rsidP="009B4F72">
      <w:pPr>
        <w:pStyle w:val="ListParagraph0"/>
        <w:numPr>
          <w:ilvl w:val="0"/>
          <w:numId w:val="37"/>
        </w:numPr>
        <w:spacing w:line="264" w:lineRule="auto"/>
        <w:contextualSpacing/>
        <w:jc w:val="both"/>
        <w:rPr>
          <w:rFonts w:ascii="Arial" w:hAnsi="Arial" w:cs="Arial"/>
        </w:rPr>
      </w:pPr>
      <w:r w:rsidRPr="00B01BF5">
        <w:rPr>
          <w:rFonts w:ascii="Arial" w:hAnsi="Arial" w:cs="Arial"/>
        </w:rPr>
        <w:t>Invest</w:t>
      </w:r>
      <w:r>
        <w:rPr>
          <w:rFonts w:ascii="Arial" w:hAnsi="Arial" w:cs="Arial"/>
        </w:rPr>
        <w:t>ing in fleet</w:t>
      </w:r>
      <w:r w:rsidRPr="00B01BF5">
        <w:rPr>
          <w:rFonts w:ascii="Arial" w:hAnsi="Arial" w:cs="Arial"/>
        </w:rPr>
        <w:t xml:space="preserve"> </w:t>
      </w:r>
      <w:r w:rsidRPr="00554B3B">
        <w:rPr>
          <w:rFonts w:ascii="Arial" w:hAnsi="Arial" w:cs="Arial"/>
        </w:rPr>
        <w:t>electrification</w:t>
      </w:r>
      <w:r w:rsidRPr="001E2ED9">
        <w:rPr>
          <w:rFonts w:ascii="Arial" w:hAnsi="Arial" w:cs="Arial"/>
        </w:rPr>
        <w:t xml:space="preserve"> </w:t>
      </w:r>
      <w:r>
        <w:rPr>
          <w:rFonts w:ascii="Arial" w:hAnsi="Arial" w:cs="Arial"/>
        </w:rPr>
        <w:t>by</w:t>
      </w:r>
      <w:r w:rsidRPr="00B01BF5">
        <w:rPr>
          <w:rFonts w:ascii="Arial" w:hAnsi="Arial" w:cs="Arial"/>
        </w:rPr>
        <w:t xml:space="preserve"> 2035</w:t>
      </w:r>
      <w:r>
        <w:rPr>
          <w:rFonts w:ascii="Arial" w:hAnsi="Arial" w:cs="Arial"/>
        </w:rPr>
        <w:t xml:space="preserve"> per adopted county goals; and</w:t>
      </w:r>
    </w:p>
    <w:p w14:paraId="10539811" w14:textId="77777777" w:rsidR="009B4F72" w:rsidRPr="00B01BF5" w:rsidRDefault="009B4F72" w:rsidP="009B4F72">
      <w:pPr>
        <w:pStyle w:val="ListParagraph0"/>
        <w:numPr>
          <w:ilvl w:val="0"/>
          <w:numId w:val="37"/>
        </w:numPr>
        <w:spacing w:line="264" w:lineRule="auto"/>
        <w:contextualSpacing/>
        <w:jc w:val="both"/>
        <w:rPr>
          <w:rFonts w:ascii="Arial" w:hAnsi="Arial" w:cs="Arial"/>
        </w:rPr>
      </w:pPr>
      <w:r>
        <w:rPr>
          <w:rFonts w:ascii="Arial" w:hAnsi="Arial" w:cs="Arial"/>
        </w:rPr>
        <w:t>Implementing e</w:t>
      </w:r>
      <w:r w:rsidRPr="00B01BF5">
        <w:rPr>
          <w:rFonts w:ascii="Arial" w:hAnsi="Arial" w:cs="Arial"/>
        </w:rPr>
        <w:t>nterprise initiatives</w:t>
      </w:r>
      <w:r>
        <w:rPr>
          <w:rFonts w:ascii="Arial" w:hAnsi="Arial" w:cs="Arial"/>
        </w:rPr>
        <w:t xml:space="preserve"> and investing in equity-focused “where needs are greatest” capital projects.</w:t>
      </w:r>
      <w:r w:rsidRPr="00B01BF5">
        <w:rPr>
          <w:rFonts w:ascii="Arial" w:hAnsi="Arial" w:cs="Arial"/>
        </w:rPr>
        <w:t xml:space="preserve"> </w:t>
      </w:r>
    </w:p>
    <w:p w14:paraId="71FD79E6" w14:textId="77777777" w:rsidR="009B4F72" w:rsidRDefault="009B4F72" w:rsidP="009B4F72">
      <w:pPr>
        <w:spacing w:line="264" w:lineRule="auto"/>
        <w:rPr>
          <w:rFonts w:ascii="Arial" w:hAnsi="Arial" w:cs="Arial"/>
          <w:b/>
          <w:bCs/>
          <w:i/>
          <w:iCs/>
          <w:szCs w:val="24"/>
        </w:rPr>
      </w:pPr>
    </w:p>
    <w:p w14:paraId="243A4F76" w14:textId="77777777" w:rsidR="009B4F72" w:rsidRPr="009344C4" w:rsidRDefault="009B4F72" w:rsidP="009B4F72">
      <w:pPr>
        <w:spacing w:line="264" w:lineRule="auto"/>
        <w:rPr>
          <w:rFonts w:ascii="Arial" w:hAnsi="Arial" w:cs="Arial"/>
          <w:b/>
          <w:bCs/>
          <w:szCs w:val="24"/>
        </w:rPr>
      </w:pPr>
      <w:r>
        <w:rPr>
          <w:rFonts w:ascii="Arial" w:hAnsi="Arial" w:cs="Arial"/>
          <w:b/>
          <w:bCs/>
          <w:szCs w:val="24"/>
        </w:rPr>
        <w:t>BUS SERVICE</w:t>
      </w:r>
    </w:p>
    <w:p w14:paraId="6C0732B6" w14:textId="02ECCD94" w:rsidR="009B4F72" w:rsidRDefault="009B4F72" w:rsidP="009B4F72">
      <w:pPr>
        <w:spacing w:line="264" w:lineRule="auto"/>
        <w:jc w:val="both"/>
        <w:rPr>
          <w:rFonts w:ascii="Arial" w:hAnsi="Arial" w:cs="Arial"/>
          <w:bCs/>
        </w:rPr>
      </w:pPr>
      <w:r>
        <w:rPr>
          <w:rFonts w:ascii="Arial" w:hAnsi="Arial" w:cs="Arial"/>
          <w:b/>
          <w:bCs/>
          <w:i/>
          <w:iCs/>
          <w:szCs w:val="24"/>
        </w:rPr>
        <w:t xml:space="preserve">Operating: Bus Service Restorations and Flexible Services Increases </w:t>
      </w:r>
      <w:r w:rsidRPr="00A57531">
        <w:rPr>
          <w:rFonts w:ascii="Arial" w:hAnsi="Arial" w:cs="Arial"/>
          <w:b/>
          <w:i/>
          <w:iCs/>
        </w:rPr>
        <w:t>[$</w:t>
      </w:r>
      <w:r w:rsidRPr="003A0FB1">
        <w:rPr>
          <w:rFonts w:ascii="Arial" w:hAnsi="Arial" w:cs="Arial"/>
          <w:b/>
          <w:i/>
          <w:iCs/>
        </w:rPr>
        <w:t>18,579,271</w:t>
      </w:r>
      <w:r w:rsidRPr="00A57531">
        <w:rPr>
          <w:rFonts w:ascii="Arial" w:hAnsi="Arial" w:cs="Arial"/>
          <w:b/>
          <w:i/>
          <w:iCs/>
        </w:rPr>
        <w:t xml:space="preserve">, </w:t>
      </w:r>
      <w:r w:rsidRPr="000D043D">
        <w:rPr>
          <w:rFonts w:ascii="Arial" w:hAnsi="Arial" w:cs="Arial"/>
          <w:b/>
          <w:i/>
          <w:iCs/>
        </w:rPr>
        <w:t xml:space="preserve">145.1 </w:t>
      </w:r>
      <w:r w:rsidRPr="00A57531">
        <w:rPr>
          <w:rFonts w:ascii="Arial" w:hAnsi="Arial" w:cs="Arial"/>
          <w:b/>
          <w:i/>
          <w:iCs/>
        </w:rPr>
        <w:t xml:space="preserve">FTEs, </w:t>
      </w:r>
      <w:r>
        <w:rPr>
          <w:rFonts w:ascii="Arial" w:hAnsi="Arial" w:cs="Arial"/>
          <w:b/>
          <w:i/>
          <w:iCs/>
        </w:rPr>
        <w:t xml:space="preserve">3.0 TLTs, </w:t>
      </w:r>
      <w:r w:rsidRPr="00A57531">
        <w:rPr>
          <w:rFonts w:ascii="Arial" w:hAnsi="Arial" w:cs="Arial"/>
          <w:b/>
          <w:i/>
          <w:iCs/>
        </w:rPr>
        <w:t>ongoing]</w:t>
      </w:r>
      <w:r>
        <w:rPr>
          <w:rFonts w:ascii="Arial" w:hAnsi="Arial" w:cs="Arial"/>
          <w:b/>
          <w:i/>
          <w:iCs/>
        </w:rPr>
        <w:t xml:space="preserve">. </w:t>
      </w:r>
      <w:r>
        <w:rPr>
          <w:rFonts w:ascii="Arial" w:hAnsi="Arial" w:cs="Arial"/>
          <w:bCs/>
        </w:rPr>
        <w:t xml:space="preserve">The proposed ordinance would appropriate an additional $16.7 million in support of a net increase of 241,000 more transit service hours than planned for in the 2021-2022 Biennial Budget. This includes retaining 93,000 transit service hours that had been programmed to be cut in the </w:t>
      </w:r>
      <w:r w:rsidR="002C691E">
        <w:rPr>
          <w:rFonts w:ascii="Arial" w:hAnsi="Arial" w:cs="Arial"/>
          <w:bCs/>
        </w:rPr>
        <w:t>biennium and</w:t>
      </w:r>
      <w:r>
        <w:rPr>
          <w:rFonts w:ascii="Arial" w:hAnsi="Arial" w:cs="Arial"/>
          <w:bCs/>
        </w:rPr>
        <w:t xml:space="preserve"> adding funding from Seattle for the renewal of the Seattle Transportation Benefit District transit investments. Much of the resources to cover the costs of these increased services come from Metro adding back suspended transit service more slowly than programmed in the adopted budget, due to a slower than anticipated recovery from the COVID-19 pandemic. Additionally, the proposed ordinance would provide $1.8 million and 3.0 TLTs for additional flexible services projects in the rural and unincorporated communities.</w:t>
      </w:r>
    </w:p>
    <w:p w14:paraId="6B316FF1" w14:textId="77777777" w:rsidR="009B4F72" w:rsidRDefault="009B4F72" w:rsidP="009B4F72">
      <w:pPr>
        <w:spacing w:line="264" w:lineRule="auto"/>
        <w:jc w:val="both"/>
        <w:rPr>
          <w:rFonts w:ascii="Arial" w:hAnsi="Arial" w:cs="Arial"/>
          <w:bCs/>
        </w:rPr>
      </w:pPr>
    </w:p>
    <w:p w14:paraId="04451CF6" w14:textId="28D2476F" w:rsidR="002A0011" w:rsidRDefault="009B4F72" w:rsidP="009B4F72">
      <w:pPr>
        <w:spacing w:line="264" w:lineRule="auto"/>
        <w:jc w:val="both"/>
        <w:rPr>
          <w:rFonts w:ascii="Arial" w:hAnsi="Arial" w:cs="Arial"/>
          <w:bCs/>
        </w:rPr>
      </w:pPr>
      <w:r>
        <w:rPr>
          <w:rFonts w:ascii="Arial" w:hAnsi="Arial" w:cs="Arial"/>
          <w:bCs/>
        </w:rPr>
        <w:t xml:space="preserve">The table below shows the planned implementation schedule for transit service investments, as assumed in the proposed ordinance, and updated from what was assumed when the 2021-2022 budget was adopted. Metro is planning for all the transit service suspended due to COVID-19 to be restored by the end of the biennium. For Seattle-funded transit service hours, 55,000 hours of suspended service will be restored in 2022, while </w:t>
      </w:r>
      <w:r w:rsidRPr="0021068B">
        <w:rPr>
          <w:rFonts w:ascii="Arial" w:hAnsi="Arial" w:cs="Arial"/>
          <w:bCs/>
        </w:rPr>
        <w:t>15</w:t>
      </w:r>
      <w:r>
        <w:rPr>
          <w:rFonts w:ascii="Arial" w:hAnsi="Arial" w:cs="Arial"/>
          <w:bCs/>
        </w:rPr>
        <w:t>2</w:t>
      </w:r>
      <w:r w:rsidRPr="0021068B">
        <w:rPr>
          <w:rFonts w:ascii="Arial" w:hAnsi="Arial" w:cs="Arial"/>
          <w:bCs/>
        </w:rPr>
        <w:t>,</w:t>
      </w:r>
      <w:r>
        <w:rPr>
          <w:rFonts w:ascii="Arial" w:hAnsi="Arial" w:cs="Arial"/>
          <w:bCs/>
        </w:rPr>
        <w:t>0</w:t>
      </w:r>
      <w:r w:rsidRPr="0021068B">
        <w:rPr>
          <w:rFonts w:ascii="Arial" w:hAnsi="Arial" w:cs="Arial"/>
          <w:bCs/>
        </w:rPr>
        <w:t>00</w:t>
      </w:r>
      <w:r>
        <w:rPr>
          <w:rFonts w:ascii="Arial" w:hAnsi="Arial" w:cs="Arial"/>
          <w:bCs/>
        </w:rPr>
        <w:t xml:space="preserve"> of the currently suspended hours will be permanently deleted, as a result of a lower level of transit investment in the STBD renewal.</w:t>
      </w:r>
    </w:p>
    <w:p w14:paraId="3EDCD518" w14:textId="77777777" w:rsidR="009B4F72" w:rsidRDefault="009B4F72" w:rsidP="009B4F72">
      <w:pPr>
        <w:spacing w:line="264" w:lineRule="auto"/>
        <w:rPr>
          <w:rFonts w:ascii="Arial" w:hAnsi="Arial" w:cs="Arial"/>
          <w:b/>
          <w:szCs w:val="24"/>
        </w:rPr>
      </w:pPr>
    </w:p>
    <w:tbl>
      <w:tblPr>
        <w:tblW w:w="5000" w:type="pct"/>
        <w:tblLayout w:type="fixed"/>
        <w:tblLook w:val="04A0" w:firstRow="1" w:lastRow="0" w:firstColumn="1" w:lastColumn="0" w:noHBand="0" w:noVBand="1"/>
      </w:tblPr>
      <w:tblGrid>
        <w:gridCol w:w="4252"/>
        <w:gridCol w:w="1331"/>
        <w:gridCol w:w="1331"/>
        <w:gridCol w:w="1331"/>
        <w:gridCol w:w="1331"/>
      </w:tblGrid>
      <w:tr w:rsidR="009B4F72" w:rsidRPr="00EA3F2C" w14:paraId="2C4ED40F" w14:textId="77777777" w:rsidTr="00B23CCC">
        <w:trPr>
          <w:cantSplit/>
          <w:trHeight w:val="260"/>
          <w:tblHeader/>
        </w:trPr>
        <w:tc>
          <w:tcPr>
            <w:tcW w:w="2220" w:type="pct"/>
            <w:tcBorders>
              <w:top w:val="single" w:sz="12" w:space="0" w:color="auto"/>
              <w:left w:val="nil"/>
              <w:bottom w:val="single" w:sz="4" w:space="0" w:color="auto"/>
              <w:right w:val="nil"/>
            </w:tcBorders>
            <w:shd w:val="clear" w:color="auto" w:fill="auto"/>
            <w:vAlign w:val="bottom"/>
            <w:hideMark/>
          </w:tcPr>
          <w:p w14:paraId="38E7D954" w14:textId="77777777" w:rsidR="009B4F72" w:rsidRPr="00EA3F2C" w:rsidRDefault="009B4F72" w:rsidP="00E34BBA">
            <w:pPr>
              <w:rPr>
                <w:rFonts w:ascii="Arial" w:hAnsi="Arial" w:cs="Arial"/>
                <w:sz w:val="20"/>
              </w:rPr>
            </w:pPr>
          </w:p>
        </w:tc>
        <w:tc>
          <w:tcPr>
            <w:tcW w:w="695" w:type="pct"/>
            <w:tcBorders>
              <w:top w:val="single" w:sz="12" w:space="0" w:color="auto"/>
              <w:left w:val="nil"/>
              <w:bottom w:val="single" w:sz="4" w:space="0" w:color="auto"/>
              <w:right w:val="nil"/>
            </w:tcBorders>
            <w:shd w:val="clear" w:color="auto" w:fill="auto"/>
            <w:noWrap/>
            <w:vAlign w:val="center"/>
            <w:hideMark/>
          </w:tcPr>
          <w:p w14:paraId="31893CAA" w14:textId="77777777" w:rsidR="009B4F72" w:rsidRPr="00EA3F2C" w:rsidRDefault="009B4F72" w:rsidP="00E34BBA">
            <w:pPr>
              <w:jc w:val="center"/>
              <w:rPr>
                <w:rFonts w:ascii="Arial" w:hAnsi="Arial" w:cs="Arial"/>
                <w:b/>
                <w:bCs/>
                <w:sz w:val="20"/>
              </w:rPr>
            </w:pPr>
            <w:r w:rsidRPr="00EA3F2C">
              <w:rPr>
                <w:rFonts w:ascii="Arial" w:hAnsi="Arial" w:cs="Arial"/>
                <w:b/>
                <w:bCs/>
                <w:sz w:val="20"/>
              </w:rPr>
              <w:t>Spring 2021</w:t>
            </w:r>
          </w:p>
        </w:tc>
        <w:tc>
          <w:tcPr>
            <w:tcW w:w="695" w:type="pct"/>
            <w:tcBorders>
              <w:top w:val="single" w:sz="12" w:space="0" w:color="auto"/>
              <w:left w:val="nil"/>
              <w:bottom w:val="single" w:sz="4" w:space="0" w:color="auto"/>
              <w:right w:val="nil"/>
            </w:tcBorders>
            <w:shd w:val="clear" w:color="auto" w:fill="auto"/>
            <w:noWrap/>
            <w:vAlign w:val="center"/>
            <w:hideMark/>
          </w:tcPr>
          <w:p w14:paraId="78E914BB" w14:textId="77777777" w:rsidR="009B4F72" w:rsidRPr="00EA3F2C" w:rsidRDefault="009B4F72" w:rsidP="00E34BBA">
            <w:pPr>
              <w:jc w:val="center"/>
              <w:rPr>
                <w:rFonts w:ascii="Arial" w:hAnsi="Arial" w:cs="Arial"/>
                <w:b/>
                <w:bCs/>
                <w:sz w:val="20"/>
              </w:rPr>
            </w:pPr>
            <w:r w:rsidRPr="00EA3F2C">
              <w:rPr>
                <w:rFonts w:ascii="Arial" w:hAnsi="Arial" w:cs="Arial"/>
                <w:b/>
                <w:bCs/>
                <w:sz w:val="20"/>
              </w:rPr>
              <w:t xml:space="preserve">Fall </w:t>
            </w:r>
            <w:r w:rsidRPr="00EA3F2C">
              <w:rPr>
                <w:rFonts w:ascii="Arial" w:hAnsi="Arial" w:cs="Arial"/>
                <w:b/>
                <w:bCs/>
                <w:sz w:val="20"/>
              </w:rPr>
              <w:br/>
              <w:t>2021</w:t>
            </w:r>
          </w:p>
        </w:tc>
        <w:tc>
          <w:tcPr>
            <w:tcW w:w="695" w:type="pct"/>
            <w:tcBorders>
              <w:top w:val="single" w:sz="12" w:space="0" w:color="auto"/>
              <w:left w:val="nil"/>
              <w:bottom w:val="single" w:sz="4" w:space="0" w:color="auto"/>
              <w:right w:val="nil"/>
            </w:tcBorders>
            <w:shd w:val="clear" w:color="auto" w:fill="auto"/>
            <w:noWrap/>
            <w:vAlign w:val="center"/>
            <w:hideMark/>
          </w:tcPr>
          <w:p w14:paraId="20CD3502" w14:textId="77777777" w:rsidR="009B4F72" w:rsidRPr="00EA3F2C" w:rsidRDefault="009B4F72" w:rsidP="00E34BBA">
            <w:pPr>
              <w:jc w:val="center"/>
              <w:rPr>
                <w:rFonts w:ascii="Arial" w:hAnsi="Arial" w:cs="Arial"/>
                <w:b/>
                <w:bCs/>
                <w:sz w:val="20"/>
              </w:rPr>
            </w:pPr>
            <w:r w:rsidRPr="00EA3F2C">
              <w:rPr>
                <w:rFonts w:ascii="Arial" w:hAnsi="Arial" w:cs="Arial"/>
                <w:b/>
                <w:bCs/>
                <w:sz w:val="20"/>
              </w:rPr>
              <w:t>Spring 2022</w:t>
            </w:r>
          </w:p>
        </w:tc>
        <w:tc>
          <w:tcPr>
            <w:tcW w:w="695" w:type="pct"/>
            <w:tcBorders>
              <w:top w:val="single" w:sz="12" w:space="0" w:color="auto"/>
              <w:left w:val="nil"/>
              <w:bottom w:val="single" w:sz="4" w:space="0" w:color="auto"/>
              <w:right w:val="nil"/>
            </w:tcBorders>
            <w:shd w:val="clear" w:color="auto" w:fill="auto"/>
            <w:noWrap/>
            <w:vAlign w:val="center"/>
            <w:hideMark/>
          </w:tcPr>
          <w:p w14:paraId="7B7756EE" w14:textId="77777777" w:rsidR="009B4F72" w:rsidRPr="00EA3F2C" w:rsidRDefault="009B4F72" w:rsidP="00E34BBA">
            <w:pPr>
              <w:jc w:val="center"/>
              <w:rPr>
                <w:rFonts w:ascii="Arial" w:hAnsi="Arial" w:cs="Arial"/>
                <w:b/>
                <w:bCs/>
                <w:sz w:val="20"/>
              </w:rPr>
            </w:pPr>
            <w:r w:rsidRPr="00EA3F2C">
              <w:rPr>
                <w:rFonts w:ascii="Arial" w:hAnsi="Arial" w:cs="Arial"/>
                <w:b/>
                <w:bCs/>
                <w:sz w:val="20"/>
              </w:rPr>
              <w:t xml:space="preserve">Fall </w:t>
            </w:r>
            <w:r w:rsidRPr="00EA3F2C">
              <w:rPr>
                <w:rFonts w:ascii="Arial" w:hAnsi="Arial" w:cs="Arial"/>
                <w:b/>
                <w:bCs/>
                <w:sz w:val="20"/>
              </w:rPr>
              <w:br/>
              <w:t>2022</w:t>
            </w:r>
          </w:p>
        </w:tc>
      </w:tr>
      <w:tr w:rsidR="009B4F72" w:rsidRPr="00EA3F2C" w14:paraId="3D99765F" w14:textId="77777777" w:rsidTr="00EA3F2C">
        <w:trPr>
          <w:cantSplit/>
          <w:trHeight w:val="296"/>
        </w:trPr>
        <w:tc>
          <w:tcPr>
            <w:tcW w:w="2220" w:type="pct"/>
            <w:tcBorders>
              <w:top w:val="single" w:sz="4" w:space="0" w:color="auto"/>
              <w:bottom w:val="nil"/>
              <w:right w:val="nil"/>
            </w:tcBorders>
            <w:shd w:val="clear" w:color="auto" w:fill="auto"/>
            <w:vAlign w:val="center"/>
            <w:hideMark/>
          </w:tcPr>
          <w:p w14:paraId="672A16FE" w14:textId="77777777" w:rsidR="009B4F72" w:rsidRPr="00EA3F2C" w:rsidRDefault="009B4F72" w:rsidP="00EA3F2C">
            <w:pPr>
              <w:rPr>
                <w:rFonts w:ascii="Arial" w:hAnsi="Arial" w:cs="Arial"/>
                <w:sz w:val="20"/>
              </w:rPr>
            </w:pPr>
            <w:r w:rsidRPr="00EA3F2C">
              <w:rPr>
                <w:rFonts w:ascii="Arial" w:hAnsi="Arial" w:cs="Arial"/>
                <w:sz w:val="20"/>
              </w:rPr>
              <w:t>North Link Restructure Reduction</w:t>
            </w:r>
          </w:p>
        </w:tc>
        <w:tc>
          <w:tcPr>
            <w:tcW w:w="695" w:type="pct"/>
            <w:tcBorders>
              <w:top w:val="nil"/>
              <w:left w:val="nil"/>
              <w:bottom w:val="nil"/>
              <w:right w:val="nil"/>
            </w:tcBorders>
            <w:shd w:val="clear" w:color="auto" w:fill="auto"/>
            <w:noWrap/>
            <w:vAlign w:val="center"/>
            <w:hideMark/>
          </w:tcPr>
          <w:p w14:paraId="54C0FC6B"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vAlign w:val="center"/>
            <w:hideMark/>
          </w:tcPr>
          <w:p w14:paraId="0AA06F2A" w14:textId="77777777" w:rsidR="009B4F72" w:rsidRPr="00EA3F2C" w:rsidRDefault="009B4F72" w:rsidP="00E34BBA">
            <w:pPr>
              <w:jc w:val="right"/>
              <w:rPr>
                <w:rFonts w:ascii="Arial" w:hAnsi="Arial" w:cs="Arial"/>
                <w:sz w:val="20"/>
              </w:rPr>
            </w:pPr>
            <w:r w:rsidRPr="00EA3F2C">
              <w:rPr>
                <w:rFonts w:ascii="Arial" w:hAnsi="Arial" w:cs="Arial"/>
                <w:color w:val="C00000"/>
                <w:sz w:val="20"/>
              </w:rPr>
              <w:t>-47,000</w:t>
            </w:r>
          </w:p>
        </w:tc>
        <w:tc>
          <w:tcPr>
            <w:tcW w:w="695" w:type="pct"/>
            <w:tcBorders>
              <w:top w:val="nil"/>
              <w:left w:val="nil"/>
              <w:bottom w:val="nil"/>
              <w:right w:val="nil"/>
            </w:tcBorders>
            <w:shd w:val="clear" w:color="auto" w:fill="auto"/>
            <w:noWrap/>
            <w:vAlign w:val="center"/>
            <w:hideMark/>
          </w:tcPr>
          <w:p w14:paraId="47D54D03"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hideMark/>
          </w:tcPr>
          <w:p w14:paraId="5CF8531D"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r>
      <w:tr w:rsidR="009B4F72" w:rsidRPr="00EA3F2C" w14:paraId="47AEFE36" w14:textId="77777777" w:rsidTr="00EA3F2C">
        <w:trPr>
          <w:cantSplit/>
          <w:trHeight w:val="450"/>
        </w:trPr>
        <w:tc>
          <w:tcPr>
            <w:tcW w:w="2220" w:type="pct"/>
            <w:tcBorders>
              <w:top w:val="nil"/>
              <w:bottom w:val="nil"/>
              <w:right w:val="nil"/>
            </w:tcBorders>
            <w:shd w:val="clear" w:color="auto" w:fill="auto"/>
            <w:vAlign w:val="center"/>
          </w:tcPr>
          <w:p w14:paraId="435EF77F" w14:textId="77777777" w:rsidR="009B4F72" w:rsidRPr="00EA3F2C" w:rsidRDefault="009B4F72" w:rsidP="00EA3F2C">
            <w:pPr>
              <w:rPr>
                <w:rFonts w:ascii="Arial" w:hAnsi="Arial" w:cs="Arial"/>
                <w:sz w:val="20"/>
              </w:rPr>
            </w:pPr>
            <w:r w:rsidRPr="00EA3F2C">
              <w:rPr>
                <w:rFonts w:ascii="Arial" w:hAnsi="Arial" w:cs="Arial"/>
                <w:sz w:val="20"/>
              </w:rPr>
              <w:t>RapidRide H Line</w:t>
            </w:r>
          </w:p>
        </w:tc>
        <w:tc>
          <w:tcPr>
            <w:tcW w:w="695" w:type="pct"/>
            <w:tcBorders>
              <w:top w:val="nil"/>
              <w:left w:val="nil"/>
              <w:bottom w:val="nil"/>
              <w:right w:val="nil"/>
            </w:tcBorders>
            <w:shd w:val="clear" w:color="auto" w:fill="auto"/>
            <w:noWrap/>
            <w:vAlign w:val="center"/>
          </w:tcPr>
          <w:p w14:paraId="2D49ACF0"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tcPr>
          <w:p w14:paraId="7E7C38F1"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tcPr>
          <w:p w14:paraId="7EA179DF"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tcPr>
          <w:p w14:paraId="13CD57D3" w14:textId="77777777" w:rsidR="009B4F72" w:rsidRPr="00EA3F2C" w:rsidRDefault="009B4F72" w:rsidP="00E34BBA">
            <w:pPr>
              <w:jc w:val="right"/>
              <w:rPr>
                <w:rFonts w:ascii="Arial" w:hAnsi="Arial" w:cs="Arial"/>
                <w:sz w:val="20"/>
              </w:rPr>
            </w:pPr>
            <w:r w:rsidRPr="00EA3F2C">
              <w:rPr>
                <w:rFonts w:ascii="Arial" w:hAnsi="Arial" w:cs="Arial"/>
                <w:sz w:val="20"/>
              </w:rPr>
              <w:t xml:space="preserve">30,000 </w:t>
            </w:r>
          </w:p>
        </w:tc>
      </w:tr>
      <w:tr w:rsidR="009B4F72" w:rsidRPr="00EA3F2C" w14:paraId="693323AF" w14:textId="77777777" w:rsidTr="00EA3F2C">
        <w:trPr>
          <w:cantSplit/>
          <w:trHeight w:val="270"/>
        </w:trPr>
        <w:tc>
          <w:tcPr>
            <w:tcW w:w="2220" w:type="pct"/>
            <w:tcBorders>
              <w:top w:val="nil"/>
              <w:bottom w:val="nil"/>
              <w:right w:val="nil"/>
            </w:tcBorders>
            <w:shd w:val="clear" w:color="auto" w:fill="auto"/>
            <w:vAlign w:val="center"/>
            <w:hideMark/>
          </w:tcPr>
          <w:p w14:paraId="1F5B3F2D" w14:textId="77267852" w:rsidR="009B4F72" w:rsidRPr="00EA3F2C" w:rsidRDefault="009B4F72" w:rsidP="00EA3F2C">
            <w:pPr>
              <w:rPr>
                <w:rFonts w:ascii="Arial" w:hAnsi="Arial" w:cs="Arial"/>
                <w:sz w:val="20"/>
              </w:rPr>
            </w:pPr>
            <w:r w:rsidRPr="00EA3F2C">
              <w:rPr>
                <w:rFonts w:ascii="Arial" w:hAnsi="Arial" w:cs="Arial"/>
                <w:sz w:val="20"/>
              </w:rPr>
              <w:lastRenderedPageBreak/>
              <w:t>Restoration of COVID Service Suspensions</w:t>
            </w:r>
            <w:r w:rsidRPr="00EA3F2C">
              <w:rPr>
                <w:rStyle w:val="FootnoteReference"/>
                <w:rFonts w:ascii="Arial" w:hAnsi="Arial" w:cs="Arial"/>
                <w:sz w:val="20"/>
              </w:rPr>
              <w:footnoteReference w:id="53"/>
            </w:r>
          </w:p>
        </w:tc>
        <w:tc>
          <w:tcPr>
            <w:tcW w:w="695" w:type="pct"/>
            <w:tcBorders>
              <w:top w:val="nil"/>
              <w:left w:val="nil"/>
              <w:bottom w:val="nil"/>
              <w:right w:val="nil"/>
            </w:tcBorders>
            <w:shd w:val="clear" w:color="auto" w:fill="auto"/>
            <w:noWrap/>
            <w:hideMark/>
          </w:tcPr>
          <w:p w14:paraId="0A9367DC" w14:textId="77777777" w:rsidR="009B4F72" w:rsidRPr="00EA3F2C" w:rsidRDefault="009B4F72" w:rsidP="00E34BBA">
            <w:pPr>
              <w:jc w:val="right"/>
              <w:rPr>
                <w:rFonts w:ascii="Arial" w:hAnsi="Arial" w:cs="Arial"/>
                <w:sz w:val="20"/>
              </w:rPr>
            </w:pPr>
            <w:r w:rsidRPr="00EA3F2C">
              <w:rPr>
                <w:rFonts w:ascii="Arial" w:hAnsi="Arial" w:cs="Arial"/>
                <w:sz w:val="20"/>
              </w:rPr>
              <w:t xml:space="preserve">27,000 </w:t>
            </w:r>
          </w:p>
        </w:tc>
        <w:tc>
          <w:tcPr>
            <w:tcW w:w="695" w:type="pct"/>
            <w:tcBorders>
              <w:top w:val="nil"/>
              <w:left w:val="nil"/>
              <w:bottom w:val="nil"/>
              <w:right w:val="nil"/>
            </w:tcBorders>
            <w:shd w:val="clear" w:color="auto" w:fill="auto"/>
            <w:noWrap/>
            <w:hideMark/>
          </w:tcPr>
          <w:p w14:paraId="54041379" w14:textId="77777777" w:rsidR="009B4F72" w:rsidRPr="00EA3F2C" w:rsidRDefault="009B4F72" w:rsidP="00E34BBA">
            <w:pPr>
              <w:jc w:val="right"/>
              <w:rPr>
                <w:rFonts w:ascii="Arial" w:hAnsi="Arial" w:cs="Arial"/>
                <w:sz w:val="20"/>
              </w:rPr>
            </w:pPr>
            <w:r w:rsidRPr="00EA3F2C">
              <w:rPr>
                <w:rFonts w:ascii="Arial" w:hAnsi="Arial" w:cs="Arial"/>
                <w:sz w:val="20"/>
              </w:rPr>
              <w:t xml:space="preserve">219,600 </w:t>
            </w:r>
          </w:p>
        </w:tc>
        <w:tc>
          <w:tcPr>
            <w:tcW w:w="695" w:type="pct"/>
            <w:tcBorders>
              <w:top w:val="nil"/>
              <w:left w:val="nil"/>
              <w:bottom w:val="nil"/>
              <w:right w:val="nil"/>
            </w:tcBorders>
            <w:shd w:val="clear" w:color="auto" w:fill="auto"/>
            <w:noWrap/>
            <w:hideMark/>
          </w:tcPr>
          <w:p w14:paraId="3B6BFDC5" w14:textId="77777777" w:rsidR="009B4F72" w:rsidRPr="00EA3F2C" w:rsidRDefault="009B4F72" w:rsidP="00E34BBA">
            <w:pPr>
              <w:jc w:val="right"/>
              <w:rPr>
                <w:rFonts w:ascii="Arial" w:hAnsi="Arial" w:cs="Arial"/>
                <w:sz w:val="20"/>
              </w:rPr>
            </w:pPr>
            <w:r w:rsidRPr="00EA3F2C">
              <w:rPr>
                <w:rFonts w:ascii="Arial" w:hAnsi="Arial" w:cs="Arial"/>
                <w:sz w:val="20"/>
              </w:rPr>
              <w:t xml:space="preserve">150,000 </w:t>
            </w:r>
          </w:p>
        </w:tc>
        <w:tc>
          <w:tcPr>
            <w:tcW w:w="695" w:type="pct"/>
            <w:tcBorders>
              <w:top w:val="nil"/>
              <w:left w:val="nil"/>
              <w:bottom w:val="nil"/>
              <w:right w:val="nil"/>
            </w:tcBorders>
            <w:shd w:val="clear" w:color="auto" w:fill="auto"/>
            <w:noWrap/>
            <w:hideMark/>
          </w:tcPr>
          <w:p w14:paraId="38F34F3A" w14:textId="77777777" w:rsidR="009B4F72" w:rsidRPr="00EA3F2C" w:rsidRDefault="009B4F72" w:rsidP="00E34BBA">
            <w:pPr>
              <w:jc w:val="right"/>
              <w:rPr>
                <w:rFonts w:ascii="Arial" w:hAnsi="Arial" w:cs="Arial"/>
                <w:sz w:val="20"/>
              </w:rPr>
            </w:pPr>
            <w:r w:rsidRPr="00EA3F2C">
              <w:rPr>
                <w:rFonts w:ascii="Arial" w:hAnsi="Arial" w:cs="Arial"/>
                <w:sz w:val="20"/>
              </w:rPr>
              <w:t xml:space="preserve">26,000 </w:t>
            </w:r>
          </w:p>
        </w:tc>
      </w:tr>
      <w:tr w:rsidR="009B4F72" w:rsidRPr="00EA3F2C" w14:paraId="23CFADF1" w14:textId="77777777" w:rsidTr="00EA3F2C">
        <w:trPr>
          <w:cantSplit/>
          <w:trHeight w:val="360"/>
        </w:trPr>
        <w:tc>
          <w:tcPr>
            <w:tcW w:w="2220" w:type="pct"/>
            <w:tcBorders>
              <w:top w:val="nil"/>
              <w:bottom w:val="nil"/>
              <w:right w:val="nil"/>
            </w:tcBorders>
            <w:shd w:val="clear" w:color="auto" w:fill="auto"/>
            <w:vAlign w:val="center"/>
            <w:hideMark/>
          </w:tcPr>
          <w:p w14:paraId="69ECD294" w14:textId="77777777" w:rsidR="009B4F72" w:rsidRPr="00EA3F2C" w:rsidRDefault="009B4F72" w:rsidP="00EA3F2C">
            <w:pPr>
              <w:rPr>
                <w:rFonts w:ascii="Arial" w:hAnsi="Arial" w:cs="Arial"/>
                <w:sz w:val="20"/>
              </w:rPr>
            </w:pPr>
            <w:r w:rsidRPr="00EA3F2C">
              <w:rPr>
                <w:rFonts w:ascii="Arial" w:hAnsi="Arial" w:cs="Arial"/>
                <w:sz w:val="20"/>
              </w:rPr>
              <w:t>Traffic and Construction Impacts</w:t>
            </w:r>
          </w:p>
        </w:tc>
        <w:tc>
          <w:tcPr>
            <w:tcW w:w="695" w:type="pct"/>
            <w:tcBorders>
              <w:top w:val="nil"/>
              <w:left w:val="nil"/>
              <w:bottom w:val="nil"/>
              <w:right w:val="nil"/>
            </w:tcBorders>
            <w:shd w:val="clear" w:color="auto" w:fill="auto"/>
            <w:noWrap/>
            <w:vAlign w:val="center"/>
            <w:hideMark/>
          </w:tcPr>
          <w:p w14:paraId="3D576815" w14:textId="77777777" w:rsidR="009B4F72" w:rsidRPr="00EA3F2C" w:rsidRDefault="009B4F72" w:rsidP="00E34BBA">
            <w:pPr>
              <w:jc w:val="right"/>
              <w:rPr>
                <w:rFonts w:ascii="Arial" w:hAnsi="Arial" w:cs="Arial"/>
                <w:sz w:val="20"/>
              </w:rPr>
            </w:pPr>
            <w:r w:rsidRPr="00EA3F2C">
              <w:rPr>
                <w:rFonts w:ascii="Arial" w:hAnsi="Arial" w:cs="Arial"/>
                <w:color w:val="C00000"/>
                <w:sz w:val="20"/>
              </w:rPr>
              <w:t>-28,000</w:t>
            </w:r>
          </w:p>
        </w:tc>
        <w:tc>
          <w:tcPr>
            <w:tcW w:w="695" w:type="pct"/>
            <w:tcBorders>
              <w:top w:val="nil"/>
              <w:left w:val="nil"/>
              <w:bottom w:val="nil"/>
              <w:right w:val="nil"/>
            </w:tcBorders>
            <w:shd w:val="clear" w:color="auto" w:fill="auto"/>
            <w:noWrap/>
            <w:vAlign w:val="center"/>
            <w:hideMark/>
          </w:tcPr>
          <w:p w14:paraId="5D40D22E"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hideMark/>
          </w:tcPr>
          <w:p w14:paraId="1ACC25C6" w14:textId="77777777" w:rsidR="009B4F72" w:rsidRPr="00EA3F2C" w:rsidRDefault="009B4F72" w:rsidP="00E34BBA">
            <w:pPr>
              <w:jc w:val="right"/>
              <w:rPr>
                <w:rFonts w:ascii="Arial" w:hAnsi="Arial" w:cs="Arial"/>
                <w:sz w:val="20"/>
              </w:rPr>
            </w:pPr>
            <w:r w:rsidRPr="00EA3F2C">
              <w:rPr>
                <w:rFonts w:ascii="Arial" w:hAnsi="Arial" w:cs="Arial"/>
                <w:sz w:val="20"/>
              </w:rPr>
              <w:t xml:space="preserve">14,000 </w:t>
            </w:r>
          </w:p>
        </w:tc>
        <w:tc>
          <w:tcPr>
            <w:tcW w:w="695" w:type="pct"/>
            <w:tcBorders>
              <w:top w:val="nil"/>
              <w:left w:val="nil"/>
              <w:bottom w:val="nil"/>
              <w:right w:val="nil"/>
            </w:tcBorders>
            <w:shd w:val="clear" w:color="auto" w:fill="auto"/>
            <w:noWrap/>
            <w:vAlign w:val="center"/>
            <w:hideMark/>
          </w:tcPr>
          <w:p w14:paraId="24D1E876" w14:textId="77777777" w:rsidR="009B4F72" w:rsidRPr="00EA3F2C" w:rsidRDefault="009B4F72" w:rsidP="00E34BBA">
            <w:pPr>
              <w:jc w:val="right"/>
              <w:rPr>
                <w:rFonts w:ascii="Arial" w:hAnsi="Arial" w:cs="Arial"/>
                <w:sz w:val="20"/>
              </w:rPr>
            </w:pPr>
            <w:r w:rsidRPr="00EA3F2C">
              <w:rPr>
                <w:rFonts w:ascii="Arial" w:hAnsi="Arial" w:cs="Arial"/>
                <w:sz w:val="20"/>
              </w:rPr>
              <w:t xml:space="preserve">15,500 </w:t>
            </w:r>
          </w:p>
        </w:tc>
      </w:tr>
      <w:tr w:rsidR="009B4F72" w:rsidRPr="00EA3F2C" w14:paraId="1C6A8275" w14:textId="77777777" w:rsidTr="00B23CCC">
        <w:trPr>
          <w:cantSplit/>
          <w:trHeight w:val="431"/>
        </w:trPr>
        <w:tc>
          <w:tcPr>
            <w:tcW w:w="2220" w:type="pct"/>
            <w:tcBorders>
              <w:top w:val="single" w:sz="4" w:space="0" w:color="auto"/>
              <w:bottom w:val="single" w:sz="4" w:space="0" w:color="auto"/>
              <w:right w:val="nil"/>
            </w:tcBorders>
            <w:shd w:val="clear" w:color="auto" w:fill="F2F2F2" w:themeFill="background1" w:themeFillShade="F2"/>
            <w:vAlign w:val="center"/>
            <w:hideMark/>
          </w:tcPr>
          <w:p w14:paraId="7150BD6E" w14:textId="77777777" w:rsidR="009B4F72" w:rsidRPr="00EA3F2C" w:rsidRDefault="009B4F72" w:rsidP="00E34BBA">
            <w:pPr>
              <w:rPr>
                <w:rFonts w:ascii="Arial" w:hAnsi="Arial" w:cs="Arial"/>
                <w:b/>
                <w:bCs/>
                <w:sz w:val="20"/>
              </w:rPr>
            </w:pPr>
            <w:r w:rsidRPr="00EA3F2C">
              <w:rPr>
                <w:rFonts w:ascii="Arial" w:hAnsi="Arial" w:cs="Arial"/>
                <w:b/>
                <w:bCs/>
                <w:sz w:val="20"/>
              </w:rPr>
              <w:t>Subtotal Metro Funded</w:t>
            </w:r>
          </w:p>
        </w:tc>
        <w:tc>
          <w:tcPr>
            <w:tcW w:w="695" w:type="pct"/>
            <w:tcBorders>
              <w:top w:val="single" w:sz="4" w:space="0" w:color="auto"/>
              <w:left w:val="nil"/>
              <w:bottom w:val="single" w:sz="4" w:space="0" w:color="auto"/>
              <w:right w:val="nil"/>
            </w:tcBorders>
            <w:shd w:val="clear" w:color="auto" w:fill="F2F2F2" w:themeFill="background1" w:themeFillShade="F2"/>
            <w:noWrap/>
            <w:vAlign w:val="center"/>
            <w:hideMark/>
          </w:tcPr>
          <w:p w14:paraId="41801EB8" w14:textId="77777777" w:rsidR="009B4F72" w:rsidRPr="00EA3F2C" w:rsidRDefault="009B4F72" w:rsidP="00E34BBA">
            <w:pPr>
              <w:jc w:val="right"/>
              <w:rPr>
                <w:rFonts w:ascii="Arial" w:hAnsi="Arial" w:cs="Arial"/>
                <w:b/>
                <w:bCs/>
                <w:sz w:val="20"/>
              </w:rPr>
            </w:pPr>
            <w:r w:rsidRPr="00EA3F2C">
              <w:rPr>
                <w:rFonts w:ascii="Arial" w:hAnsi="Arial" w:cs="Arial"/>
                <w:b/>
                <w:bCs/>
                <w:color w:val="C00000"/>
                <w:sz w:val="20"/>
              </w:rPr>
              <w:t>-1,000</w:t>
            </w:r>
          </w:p>
        </w:tc>
        <w:tc>
          <w:tcPr>
            <w:tcW w:w="695" w:type="pct"/>
            <w:tcBorders>
              <w:top w:val="single" w:sz="4" w:space="0" w:color="auto"/>
              <w:left w:val="nil"/>
              <w:bottom w:val="single" w:sz="4" w:space="0" w:color="auto"/>
              <w:right w:val="nil"/>
            </w:tcBorders>
            <w:shd w:val="clear" w:color="auto" w:fill="F2F2F2" w:themeFill="background1" w:themeFillShade="F2"/>
            <w:noWrap/>
            <w:vAlign w:val="center"/>
            <w:hideMark/>
          </w:tcPr>
          <w:p w14:paraId="6B275920"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172,600 </w:t>
            </w:r>
          </w:p>
        </w:tc>
        <w:tc>
          <w:tcPr>
            <w:tcW w:w="695" w:type="pct"/>
            <w:tcBorders>
              <w:top w:val="single" w:sz="4" w:space="0" w:color="auto"/>
              <w:left w:val="nil"/>
              <w:bottom w:val="single" w:sz="4" w:space="0" w:color="auto"/>
              <w:right w:val="nil"/>
            </w:tcBorders>
            <w:shd w:val="clear" w:color="auto" w:fill="F2F2F2" w:themeFill="background1" w:themeFillShade="F2"/>
            <w:noWrap/>
            <w:vAlign w:val="center"/>
            <w:hideMark/>
          </w:tcPr>
          <w:p w14:paraId="5F930A1F"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164,000 </w:t>
            </w:r>
          </w:p>
        </w:tc>
        <w:tc>
          <w:tcPr>
            <w:tcW w:w="695" w:type="pct"/>
            <w:tcBorders>
              <w:top w:val="single" w:sz="4" w:space="0" w:color="auto"/>
              <w:left w:val="nil"/>
              <w:bottom w:val="single" w:sz="4" w:space="0" w:color="auto"/>
              <w:right w:val="nil"/>
            </w:tcBorders>
            <w:shd w:val="clear" w:color="auto" w:fill="F2F2F2" w:themeFill="background1" w:themeFillShade="F2"/>
            <w:noWrap/>
            <w:vAlign w:val="center"/>
            <w:hideMark/>
          </w:tcPr>
          <w:p w14:paraId="26F83DE0"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71,500 </w:t>
            </w:r>
          </w:p>
        </w:tc>
      </w:tr>
      <w:tr w:rsidR="009B4F72" w:rsidRPr="00EA3F2C" w14:paraId="6D054D02" w14:textId="77777777" w:rsidTr="00EA3F2C">
        <w:trPr>
          <w:cantSplit/>
          <w:trHeight w:val="296"/>
        </w:trPr>
        <w:tc>
          <w:tcPr>
            <w:tcW w:w="2220" w:type="pct"/>
            <w:tcBorders>
              <w:top w:val="single" w:sz="4" w:space="0" w:color="auto"/>
              <w:bottom w:val="nil"/>
              <w:right w:val="nil"/>
            </w:tcBorders>
            <w:shd w:val="clear" w:color="auto" w:fill="auto"/>
            <w:vAlign w:val="bottom"/>
            <w:hideMark/>
          </w:tcPr>
          <w:p w14:paraId="3D1B924E" w14:textId="77777777" w:rsidR="009B4F72" w:rsidRPr="00EA3F2C" w:rsidRDefault="009B4F72" w:rsidP="00E34BBA">
            <w:pPr>
              <w:rPr>
                <w:rFonts w:ascii="Arial" w:hAnsi="Arial" w:cs="Arial"/>
                <w:sz w:val="20"/>
              </w:rPr>
            </w:pPr>
            <w:r w:rsidRPr="00EA3F2C">
              <w:rPr>
                <w:rFonts w:ascii="Arial" w:hAnsi="Arial" w:cs="Arial"/>
                <w:sz w:val="20"/>
              </w:rPr>
              <w:t>Seattle Transportation Benefit District</w:t>
            </w:r>
          </w:p>
        </w:tc>
        <w:tc>
          <w:tcPr>
            <w:tcW w:w="695" w:type="pct"/>
            <w:tcBorders>
              <w:top w:val="single" w:sz="4" w:space="0" w:color="auto"/>
              <w:left w:val="nil"/>
              <w:bottom w:val="nil"/>
              <w:right w:val="nil"/>
            </w:tcBorders>
            <w:shd w:val="clear" w:color="auto" w:fill="auto"/>
            <w:noWrap/>
            <w:vAlign w:val="center"/>
            <w:hideMark/>
          </w:tcPr>
          <w:p w14:paraId="65C87EF8"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single" w:sz="4" w:space="0" w:color="auto"/>
              <w:left w:val="nil"/>
              <w:bottom w:val="nil"/>
              <w:right w:val="nil"/>
            </w:tcBorders>
            <w:shd w:val="clear" w:color="auto" w:fill="auto"/>
            <w:noWrap/>
            <w:vAlign w:val="center"/>
            <w:hideMark/>
          </w:tcPr>
          <w:p w14:paraId="57BBD89E" w14:textId="77777777" w:rsidR="009B4F72" w:rsidRPr="00EA3F2C" w:rsidRDefault="009B4F72" w:rsidP="00E34BBA">
            <w:pPr>
              <w:jc w:val="right"/>
              <w:rPr>
                <w:rFonts w:ascii="Arial" w:hAnsi="Arial" w:cs="Arial"/>
                <w:sz w:val="20"/>
              </w:rPr>
            </w:pPr>
            <w:r w:rsidRPr="00EA3F2C">
              <w:rPr>
                <w:rFonts w:ascii="Arial" w:hAnsi="Arial" w:cs="Arial"/>
                <w:color w:val="C00000"/>
                <w:sz w:val="20"/>
              </w:rPr>
              <w:t>-28,400</w:t>
            </w:r>
          </w:p>
        </w:tc>
        <w:tc>
          <w:tcPr>
            <w:tcW w:w="695" w:type="pct"/>
            <w:tcBorders>
              <w:top w:val="single" w:sz="4" w:space="0" w:color="auto"/>
              <w:left w:val="nil"/>
              <w:bottom w:val="nil"/>
              <w:right w:val="nil"/>
            </w:tcBorders>
            <w:shd w:val="clear" w:color="auto" w:fill="auto"/>
            <w:noWrap/>
            <w:vAlign w:val="center"/>
            <w:hideMark/>
          </w:tcPr>
          <w:p w14:paraId="5C720E26" w14:textId="77777777" w:rsidR="009B4F72" w:rsidRPr="00EA3F2C" w:rsidRDefault="009B4F72" w:rsidP="00E34BBA">
            <w:pPr>
              <w:jc w:val="right"/>
              <w:rPr>
                <w:rFonts w:ascii="Arial" w:hAnsi="Arial" w:cs="Arial"/>
                <w:sz w:val="20"/>
              </w:rPr>
            </w:pPr>
            <w:r w:rsidRPr="00EA3F2C">
              <w:rPr>
                <w:rFonts w:ascii="Arial" w:hAnsi="Arial" w:cs="Arial"/>
                <w:sz w:val="20"/>
              </w:rPr>
              <w:t xml:space="preserve">30,000 </w:t>
            </w:r>
          </w:p>
        </w:tc>
        <w:tc>
          <w:tcPr>
            <w:tcW w:w="695" w:type="pct"/>
            <w:tcBorders>
              <w:top w:val="single" w:sz="4" w:space="0" w:color="auto"/>
              <w:left w:val="nil"/>
              <w:bottom w:val="nil"/>
              <w:right w:val="nil"/>
            </w:tcBorders>
            <w:shd w:val="clear" w:color="auto" w:fill="auto"/>
            <w:noWrap/>
            <w:vAlign w:val="center"/>
            <w:hideMark/>
          </w:tcPr>
          <w:p w14:paraId="1E959F19" w14:textId="77777777" w:rsidR="009B4F72" w:rsidRPr="00EA3F2C" w:rsidRDefault="009B4F72" w:rsidP="00E34BBA">
            <w:pPr>
              <w:jc w:val="right"/>
              <w:rPr>
                <w:rFonts w:ascii="Arial" w:hAnsi="Arial" w:cs="Arial"/>
                <w:sz w:val="20"/>
              </w:rPr>
            </w:pPr>
            <w:r w:rsidRPr="00EA3F2C">
              <w:rPr>
                <w:rFonts w:ascii="Arial" w:hAnsi="Arial" w:cs="Arial"/>
                <w:sz w:val="20"/>
              </w:rPr>
              <w:t xml:space="preserve">25,000 </w:t>
            </w:r>
          </w:p>
        </w:tc>
      </w:tr>
      <w:tr w:rsidR="009B4F72" w:rsidRPr="00EA3F2C" w14:paraId="5A708B20" w14:textId="77777777" w:rsidTr="00B23CCC">
        <w:trPr>
          <w:cantSplit/>
          <w:trHeight w:val="360"/>
        </w:trPr>
        <w:tc>
          <w:tcPr>
            <w:tcW w:w="2220" w:type="pct"/>
            <w:tcBorders>
              <w:top w:val="nil"/>
              <w:bottom w:val="nil"/>
              <w:right w:val="nil"/>
            </w:tcBorders>
            <w:shd w:val="clear" w:color="auto" w:fill="auto"/>
            <w:vAlign w:val="bottom"/>
            <w:hideMark/>
          </w:tcPr>
          <w:p w14:paraId="7F683823" w14:textId="77777777" w:rsidR="009B4F72" w:rsidRPr="00EA3F2C" w:rsidRDefault="009B4F72" w:rsidP="00E34BBA">
            <w:pPr>
              <w:rPr>
                <w:rFonts w:ascii="Arial" w:hAnsi="Arial" w:cs="Arial"/>
                <w:sz w:val="20"/>
              </w:rPr>
            </w:pPr>
            <w:r w:rsidRPr="00EA3F2C">
              <w:rPr>
                <w:rFonts w:ascii="Arial" w:hAnsi="Arial" w:cs="Arial"/>
                <w:sz w:val="20"/>
              </w:rPr>
              <w:t>School Service</w:t>
            </w:r>
          </w:p>
        </w:tc>
        <w:tc>
          <w:tcPr>
            <w:tcW w:w="695" w:type="pct"/>
            <w:tcBorders>
              <w:top w:val="nil"/>
              <w:left w:val="nil"/>
              <w:bottom w:val="nil"/>
              <w:right w:val="nil"/>
            </w:tcBorders>
            <w:shd w:val="clear" w:color="auto" w:fill="auto"/>
            <w:noWrap/>
            <w:vAlign w:val="center"/>
            <w:hideMark/>
          </w:tcPr>
          <w:p w14:paraId="5C3EA501" w14:textId="77777777" w:rsidR="009B4F72" w:rsidRPr="00EA3F2C" w:rsidRDefault="009B4F72" w:rsidP="00E34BBA">
            <w:pPr>
              <w:jc w:val="right"/>
              <w:rPr>
                <w:rFonts w:ascii="Arial" w:hAnsi="Arial" w:cs="Arial"/>
                <w:sz w:val="20"/>
              </w:rPr>
            </w:pPr>
            <w:r w:rsidRPr="00EA3F2C">
              <w:rPr>
                <w:rFonts w:ascii="Arial" w:hAnsi="Arial" w:cs="Arial"/>
                <w:color w:val="C00000"/>
                <w:sz w:val="20"/>
              </w:rPr>
              <w:t>-9,000</w:t>
            </w:r>
          </w:p>
        </w:tc>
        <w:tc>
          <w:tcPr>
            <w:tcW w:w="695" w:type="pct"/>
            <w:tcBorders>
              <w:top w:val="nil"/>
              <w:left w:val="nil"/>
              <w:bottom w:val="nil"/>
              <w:right w:val="nil"/>
            </w:tcBorders>
            <w:shd w:val="clear" w:color="auto" w:fill="auto"/>
            <w:noWrap/>
            <w:vAlign w:val="center"/>
            <w:hideMark/>
          </w:tcPr>
          <w:p w14:paraId="6A4CEECD" w14:textId="77777777" w:rsidR="009B4F72" w:rsidRPr="00EA3F2C" w:rsidRDefault="009B4F72" w:rsidP="00E34BBA">
            <w:pPr>
              <w:jc w:val="right"/>
              <w:rPr>
                <w:rFonts w:ascii="Arial" w:hAnsi="Arial" w:cs="Arial"/>
                <w:sz w:val="20"/>
              </w:rPr>
            </w:pPr>
            <w:r w:rsidRPr="00EA3F2C">
              <w:rPr>
                <w:rFonts w:ascii="Arial" w:hAnsi="Arial" w:cs="Arial"/>
                <w:sz w:val="20"/>
              </w:rPr>
              <w:t xml:space="preserve">7,700 </w:t>
            </w:r>
          </w:p>
        </w:tc>
        <w:tc>
          <w:tcPr>
            <w:tcW w:w="695" w:type="pct"/>
            <w:tcBorders>
              <w:top w:val="nil"/>
              <w:left w:val="nil"/>
              <w:bottom w:val="nil"/>
              <w:right w:val="nil"/>
            </w:tcBorders>
            <w:shd w:val="clear" w:color="auto" w:fill="auto"/>
            <w:noWrap/>
            <w:vAlign w:val="center"/>
            <w:hideMark/>
          </w:tcPr>
          <w:p w14:paraId="24722DB4"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hideMark/>
          </w:tcPr>
          <w:p w14:paraId="4B501633"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r>
      <w:tr w:rsidR="009B4F72" w:rsidRPr="00EA3F2C" w14:paraId="21A96BDB" w14:textId="77777777" w:rsidTr="00B23CCC">
        <w:trPr>
          <w:cantSplit/>
          <w:trHeight w:val="360"/>
        </w:trPr>
        <w:tc>
          <w:tcPr>
            <w:tcW w:w="2220" w:type="pct"/>
            <w:tcBorders>
              <w:top w:val="nil"/>
              <w:bottom w:val="nil"/>
              <w:right w:val="nil"/>
            </w:tcBorders>
            <w:shd w:val="clear" w:color="auto" w:fill="auto"/>
            <w:vAlign w:val="bottom"/>
            <w:hideMark/>
          </w:tcPr>
          <w:p w14:paraId="2A963A58" w14:textId="77777777" w:rsidR="009B4F72" w:rsidRPr="00EA3F2C" w:rsidRDefault="009B4F72" w:rsidP="00E34BBA">
            <w:pPr>
              <w:rPr>
                <w:rFonts w:ascii="Arial" w:hAnsi="Arial" w:cs="Arial"/>
                <w:sz w:val="20"/>
              </w:rPr>
            </w:pPr>
            <w:r w:rsidRPr="00EA3F2C">
              <w:rPr>
                <w:rFonts w:ascii="Arial" w:hAnsi="Arial" w:cs="Arial"/>
                <w:sz w:val="20"/>
              </w:rPr>
              <w:t xml:space="preserve">Sound Transit Service </w:t>
            </w:r>
          </w:p>
        </w:tc>
        <w:tc>
          <w:tcPr>
            <w:tcW w:w="695" w:type="pct"/>
            <w:tcBorders>
              <w:top w:val="nil"/>
              <w:left w:val="nil"/>
              <w:bottom w:val="nil"/>
              <w:right w:val="nil"/>
            </w:tcBorders>
            <w:shd w:val="clear" w:color="auto" w:fill="auto"/>
            <w:noWrap/>
            <w:vAlign w:val="center"/>
            <w:hideMark/>
          </w:tcPr>
          <w:p w14:paraId="60491523" w14:textId="77777777" w:rsidR="009B4F72" w:rsidRPr="00EA3F2C" w:rsidRDefault="009B4F72" w:rsidP="00E34BBA">
            <w:pPr>
              <w:jc w:val="right"/>
              <w:rPr>
                <w:rFonts w:ascii="Arial" w:hAnsi="Arial" w:cs="Arial"/>
                <w:sz w:val="20"/>
              </w:rPr>
            </w:pPr>
            <w:r w:rsidRPr="00EA3F2C">
              <w:rPr>
                <w:rFonts w:ascii="Arial" w:hAnsi="Arial" w:cs="Arial"/>
                <w:sz w:val="20"/>
              </w:rPr>
              <w:t xml:space="preserve">500 </w:t>
            </w:r>
          </w:p>
        </w:tc>
        <w:tc>
          <w:tcPr>
            <w:tcW w:w="695" w:type="pct"/>
            <w:tcBorders>
              <w:top w:val="nil"/>
              <w:left w:val="nil"/>
              <w:bottom w:val="nil"/>
              <w:right w:val="nil"/>
            </w:tcBorders>
            <w:shd w:val="clear" w:color="auto" w:fill="auto"/>
            <w:noWrap/>
            <w:vAlign w:val="center"/>
            <w:hideMark/>
          </w:tcPr>
          <w:p w14:paraId="6EBCD161" w14:textId="77777777" w:rsidR="009B4F72" w:rsidRPr="00EA3F2C" w:rsidRDefault="009B4F72" w:rsidP="00E34BBA">
            <w:pPr>
              <w:jc w:val="right"/>
              <w:rPr>
                <w:rFonts w:ascii="Arial" w:hAnsi="Arial" w:cs="Arial"/>
                <w:sz w:val="20"/>
              </w:rPr>
            </w:pPr>
            <w:r w:rsidRPr="00EA3F2C">
              <w:rPr>
                <w:rFonts w:ascii="Arial" w:hAnsi="Arial" w:cs="Arial"/>
                <w:sz w:val="20"/>
              </w:rPr>
              <w:t xml:space="preserve">3,000 </w:t>
            </w:r>
          </w:p>
        </w:tc>
        <w:tc>
          <w:tcPr>
            <w:tcW w:w="695" w:type="pct"/>
            <w:tcBorders>
              <w:top w:val="nil"/>
              <w:left w:val="nil"/>
              <w:bottom w:val="nil"/>
              <w:right w:val="nil"/>
            </w:tcBorders>
            <w:shd w:val="clear" w:color="auto" w:fill="auto"/>
            <w:noWrap/>
            <w:vAlign w:val="center"/>
            <w:hideMark/>
          </w:tcPr>
          <w:p w14:paraId="5CB96521"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c>
          <w:tcPr>
            <w:tcW w:w="695" w:type="pct"/>
            <w:tcBorders>
              <w:top w:val="nil"/>
              <w:left w:val="nil"/>
              <w:bottom w:val="nil"/>
              <w:right w:val="nil"/>
            </w:tcBorders>
            <w:shd w:val="clear" w:color="auto" w:fill="auto"/>
            <w:noWrap/>
            <w:vAlign w:val="center"/>
            <w:hideMark/>
          </w:tcPr>
          <w:p w14:paraId="4F699C99" w14:textId="77777777" w:rsidR="009B4F72" w:rsidRPr="00EA3F2C" w:rsidRDefault="009B4F72" w:rsidP="00E34BBA">
            <w:pPr>
              <w:jc w:val="right"/>
              <w:rPr>
                <w:rFonts w:ascii="Arial" w:hAnsi="Arial" w:cs="Arial"/>
                <w:sz w:val="20"/>
              </w:rPr>
            </w:pPr>
            <w:r w:rsidRPr="00EA3F2C">
              <w:rPr>
                <w:rFonts w:ascii="Arial" w:hAnsi="Arial" w:cs="Arial"/>
                <w:sz w:val="20"/>
              </w:rPr>
              <w:t xml:space="preserve">0 </w:t>
            </w:r>
          </w:p>
        </w:tc>
      </w:tr>
      <w:tr w:rsidR="009B4F72" w:rsidRPr="00EA3F2C" w14:paraId="1B133E45" w14:textId="77777777" w:rsidTr="00EA3F2C">
        <w:trPr>
          <w:cantSplit/>
          <w:trHeight w:val="431"/>
        </w:trPr>
        <w:tc>
          <w:tcPr>
            <w:tcW w:w="2220" w:type="pct"/>
            <w:tcBorders>
              <w:top w:val="single" w:sz="4" w:space="0" w:color="auto"/>
              <w:bottom w:val="single" w:sz="8" w:space="0" w:color="auto"/>
              <w:right w:val="nil"/>
            </w:tcBorders>
            <w:shd w:val="clear" w:color="auto" w:fill="F2F2F2" w:themeFill="background1" w:themeFillShade="F2"/>
            <w:vAlign w:val="center"/>
            <w:hideMark/>
          </w:tcPr>
          <w:p w14:paraId="7B9B74F7" w14:textId="77777777" w:rsidR="009B4F72" w:rsidRPr="00EA3F2C" w:rsidRDefault="009B4F72" w:rsidP="00E34BBA">
            <w:pPr>
              <w:rPr>
                <w:rFonts w:ascii="Arial" w:hAnsi="Arial" w:cs="Arial"/>
                <w:b/>
                <w:bCs/>
                <w:sz w:val="20"/>
              </w:rPr>
            </w:pPr>
            <w:r w:rsidRPr="00EA3F2C">
              <w:rPr>
                <w:rFonts w:ascii="Arial" w:hAnsi="Arial" w:cs="Arial"/>
                <w:b/>
                <w:bCs/>
                <w:sz w:val="20"/>
              </w:rPr>
              <w:t>Subtotal Partner Funded</w:t>
            </w:r>
          </w:p>
        </w:tc>
        <w:tc>
          <w:tcPr>
            <w:tcW w:w="695" w:type="pct"/>
            <w:tcBorders>
              <w:top w:val="single" w:sz="4" w:space="0" w:color="auto"/>
              <w:left w:val="nil"/>
              <w:bottom w:val="single" w:sz="8" w:space="0" w:color="auto"/>
              <w:right w:val="nil"/>
            </w:tcBorders>
            <w:shd w:val="clear" w:color="auto" w:fill="F2F2F2" w:themeFill="background1" w:themeFillShade="F2"/>
            <w:noWrap/>
            <w:vAlign w:val="center"/>
            <w:hideMark/>
          </w:tcPr>
          <w:p w14:paraId="15E321B7" w14:textId="77777777" w:rsidR="009B4F72" w:rsidRPr="00EA3F2C" w:rsidRDefault="009B4F72" w:rsidP="00E34BBA">
            <w:pPr>
              <w:jc w:val="right"/>
              <w:rPr>
                <w:rFonts w:ascii="Arial" w:hAnsi="Arial" w:cs="Arial"/>
                <w:b/>
                <w:bCs/>
                <w:color w:val="C00000"/>
                <w:sz w:val="20"/>
              </w:rPr>
            </w:pPr>
            <w:r w:rsidRPr="00EA3F2C">
              <w:rPr>
                <w:rFonts w:ascii="Arial" w:hAnsi="Arial" w:cs="Arial"/>
                <w:b/>
                <w:bCs/>
                <w:color w:val="C00000"/>
                <w:sz w:val="20"/>
              </w:rPr>
              <w:t>-8,500</w:t>
            </w:r>
          </w:p>
        </w:tc>
        <w:tc>
          <w:tcPr>
            <w:tcW w:w="695" w:type="pct"/>
            <w:tcBorders>
              <w:top w:val="single" w:sz="4" w:space="0" w:color="auto"/>
              <w:left w:val="nil"/>
              <w:bottom w:val="single" w:sz="8" w:space="0" w:color="auto"/>
              <w:right w:val="nil"/>
            </w:tcBorders>
            <w:shd w:val="clear" w:color="auto" w:fill="F2F2F2" w:themeFill="background1" w:themeFillShade="F2"/>
            <w:noWrap/>
            <w:vAlign w:val="center"/>
            <w:hideMark/>
          </w:tcPr>
          <w:p w14:paraId="4591383B" w14:textId="77777777" w:rsidR="009B4F72" w:rsidRPr="00EA3F2C" w:rsidRDefault="009B4F72" w:rsidP="00E34BBA">
            <w:pPr>
              <w:jc w:val="right"/>
              <w:rPr>
                <w:rFonts w:ascii="Arial" w:hAnsi="Arial" w:cs="Arial"/>
                <w:b/>
                <w:bCs/>
                <w:color w:val="C00000"/>
                <w:sz w:val="20"/>
              </w:rPr>
            </w:pPr>
            <w:r w:rsidRPr="00EA3F2C">
              <w:rPr>
                <w:rFonts w:ascii="Arial" w:hAnsi="Arial" w:cs="Arial"/>
                <w:b/>
                <w:bCs/>
                <w:color w:val="C00000"/>
                <w:sz w:val="20"/>
              </w:rPr>
              <w:t>-17,700</w:t>
            </w:r>
          </w:p>
        </w:tc>
        <w:tc>
          <w:tcPr>
            <w:tcW w:w="695" w:type="pct"/>
            <w:tcBorders>
              <w:top w:val="single" w:sz="4" w:space="0" w:color="auto"/>
              <w:left w:val="nil"/>
              <w:bottom w:val="single" w:sz="8" w:space="0" w:color="auto"/>
              <w:right w:val="nil"/>
            </w:tcBorders>
            <w:shd w:val="clear" w:color="auto" w:fill="F2F2F2" w:themeFill="background1" w:themeFillShade="F2"/>
            <w:noWrap/>
            <w:vAlign w:val="center"/>
            <w:hideMark/>
          </w:tcPr>
          <w:p w14:paraId="6F270599"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30,000 </w:t>
            </w:r>
          </w:p>
        </w:tc>
        <w:tc>
          <w:tcPr>
            <w:tcW w:w="695" w:type="pct"/>
            <w:tcBorders>
              <w:top w:val="single" w:sz="4" w:space="0" w:color="auto"/>
              <w:left w:val="nil"/>
              <w:bottom w:val="single" w:sz="8" w:space="0" w:color="auto"/>
              <w:right w:val="nil"/>
            </w:tcBorders>
            <w:shd w:val="clear" w:color="auto" w:fill="F2F2F2" w:themeFill="background1" w:themeFillShade="F2"/>
            <w:noWrap/>
            <w:vAlign w:val="center"/>
            <w:hideMark/>
          </w:tcPr>
          <w:p w14:paraId="470EBA70"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25,000 </w:t>
            </w:r>
          </w:p>
        </w:tc>
      </w:tr>
      <w:tr w:rsidR="009B4F72" w:rsidRPr="00EA3F2C" w14:paraId="4A0D6D82" w14:textId="77777777" w:rsidTr="00EA3F2C">
        <w:trPr>
          <w:cantSplit/>
          <w:trHeight w:val="430"/>
        </w:trPr>
        <w:tc>
          <w:tcPr>
            <w:tcW w:w="2220" w:type="pct"/>
            <w:tcBorders>
              <w:top w:val="single" w:sz="8" w:space="0" w:color="auto"/>
              <w:left w:val="nil"/>
              <w:bottom w:val="single" w:sz="8" w:space="0" w:color="auto"/>
              <w:right w:val="nil"/>
            </w:tcBorders>
            <w:shd w:val="clear" w:color="auto" w:fill="D9D9D9" w:themeFill="background1" w:themeFillShade="D9"/>
            <w:vAlign w:val="center"/>
            <w:hideMark/>
          </w:tcPr>
          <w:p w14:paraId="4C489FE7" w14:textId="77777777" w:rsidR="009B4F72" w:rsidRPr="00EA3F2C" w:rsidRDefault="009B4F72" w:rsidP="00EA3F2C">
            <w:pPr>
              <w:rPr>
                <w:rFonts w:ascii="Arial" w:hAnsi="Arial" w:cs="Arial"/>
                <w:b/>
                <w:bCs/>
                <w:sz w:val="20"/>
              </w:rPr>
            </w:pPr>
            <w:r w:rsidRPr="00EA3F2C">
              <w:rPr>
                <w:rFonts w:ascii="Arial" w:hAnsi="Arial" w:cs="Arial"/>
                <w:b/>
                <w:bCs/>
                <w:sz w:val="20"/>
              </w:rPr>
              <w:t>Total Incremental Annual Service Hours</w:t>
            </w:r>
          </w:p>
        </w:tc>
        <w:tc>
          <w:tcPr>
            <w:tcW w:w="695" w:type="pct"/>
            <w:tcBorders>
              <w:top w:val="single" w:sz="8" w:space="0" w:color="auto"/>
              <w:left w:val="nil"/>
              <w:bottom w:val="single" w:sz="8" w:space="0" w:color="auto"/>
              <w:right w:val="nil"/>
            </w:tcBorders>
            <w:shd w:val="clear" w:color="auto" w:fill="D9D9D9" w:themeFill="background1" w:themeFillShade="D9"/>
            <w:noWrap/>
            <w:vAlign w:val="center"/>
            <w:hideMark/>
          </w:tcPr>
          <w:p w14:paraId="192B3BA9" w14:textId="77777777" w:rsidR="009B4F72" w:rsidRPr="00EA3F2C" w:rsidRDefault="009B4F72" w:rsidP="00E34BBA">
            <w:pPr>
              <w:jc w:val="right"/>
              <w:rPr>
                <w:rFonts w:ascii="Arial" w:hAnsi="Arial" w:cs="Arial"/>
                <w:b/>
                <w:bCs/>
                <w:sz w:val="20"/>
              </w:rPr>
            </w:pPr>
            <w:r w:rsidRPr="00EA3F2C">
              <w:rPr>
                <w:rFonts w:ascii="Arial" w:hAnsi="Arial" w:cs="Arial"/>
                <w:b/>
                <w:bCs/>
                <w:color w:val="C00000"/>
                <w:sz w:val="20"/>
              </w:rPr>
              <w:t>-9,500</w:t>
            </w:r>
          </w:p>
        </w:tc>
        <w:tc>
          <w:tcPr>
            <w:tcW w:w="695" w:type="pct"/>
            <w:tcBorders>
              <w:top w:val="single" w:sz="8" w:space="0" w:color="auto"/>
              <w:left w:val="nil"/>
              <w:bottom w:val="single" w:sz="8" w:space="0" w:color="auto"/>
              <w:right w:val="nil"/>
            </w:tcBorders>
            <w:shd w:val="clear" w:color="auto" w:fill="D9D9D9" w:themeFill="background1" w:themeFillShade="D9"/>
            <w:noWrap/>
            <w:vAlign w:val="center"/>
            <w:hideMark/>
          </w:tcPr>
          <w:p w14:paraId="2A9C7499"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154,900 </w:t>
            </w:r>
          </w:p>
        </w:tc>
        <w:tc>
          <w:tcPr>
            <w:tcW w:w="695" w:type="pct"/>
            <w:tcBorders>
              <w:top w:val="single" w:sz="8" w:space="0" w:color="auto"/>
              <w:left w:val="nil"/>
              <w:bottom w:val="single" w:sz="8" w:space="0" w:color="auto"/>
              <w:right w:val="nil"/>
            </w:tcBorders>
            <w:shd w:val="clear" w:color="auto" w:fill="D9D9D9" w:themeFill="background1" w:themeFillShade="D9"/>
            <w:noWrap/>
            <w:vAlign w:val="center"/>
            <w:hideMark/>
          </w:tcPr>
          <w:p w14:paraId="4F31DFE2"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194,000 </w:t>
            </w:r>
          </w:p>
        </w:tc>
        <w:tc>
          <w:tcPr>
            <w:tcW w:w="695" w:type="pct"/>
            <w:tcBorders>
              <w:top w:val="single" w:sz="8" w:space="0" w:color="auto"/>
              <w:left w:val="nil"/>
              <w:bottom w:val="single" w:sz="8" w:space="0" w:color="auto"/>
              <w:right w:val="nil"/>
            </w:tcBorders>
            <w:shd w:val="clear" w:color="auto" w:fill="D9D9D9" w:themeFill="background1" w:themeFillShade="D9"/>
            <w:noWrap/>
            <w:vAlign w:val="center"/>
            <w:hideMark/>
          </w:tcPr>
          <w:p w14:paraId="4766B3D3" w14:textId="77777777" w:rsidR="009B4F72" w:rsidRPr="00EA3F2C" w:rsidRDefault="009B4F72" w:rsidP="00E34BBA">
            <w:pPr>
              <w:jc w:val="right"/>
              <w:rPr>
                <w:rFonts w:ascii="Arial" w:hAnsi="Arial" w:cs="Arial"/>
                <w:b/>
                <w:bCs/>
                <w:sz w:val="20"/>
              </w:rPr>
            </w:pPr>
            <w:r w:rsidRPr="00EA3F2C">
              <w:rPr>
                <w:rFonts w:ascii="Arial" w:hAnsi="Arial" w:cs="Arial"/>
                <w:b/>
                <w:bCs/>
                <w:sz w:val="20"/>
              </w:rPr>
              <w:t xml:space="preserve">96,500 </w:t>
            </w:r>
          </w:p>
        </w:tc>
      </w:tr>
    </w:tbl>
    <w:p w14:paraId="488535FC" w14:textId="0F6102C5" w:rsidR="7236A96A" w:rsidRDefault="7236A96A"/>
    <w:p w14:paraId="248C670C" w14:textId="77777777" w:rsidR="009B4F72" w:rsidRPr="00D9446A" w:rsidRDefault="009B4F72" w:rsidP="009B4F72">
      <w:pPr>
        <w:spacing w:line="264" w:lineRule="auto"/>
        <w:jc w:val="both"/>
        <w:rPr>
          <w:rFonts w:ascii="Arial" w:hAnsi="Arial" w:cs="Arial"/>
          <w:b/>
          <w:i/>
          <w:iCs/>
        </w:rPr>
      </w:pPr>
      <w:r w:rsidRPr="00D9446A">
        <w:rPr>
          <w:rFonts w:ascii="Arial" w:hAnsi="Arial" w:cs="Arial"/>
          <w:b/>
          <w:bCs/>
          <w:caps/>
          <w:szCs w:val="24"/>
        </w:rPr>
        <w:t>COVID-19 Response</w:t>
      </w:r>
      <w:r w:rsidRPr="00D9446A">
        <w:rPr>
          <w:rFonts w:ascii="Arial" w:hAnsi="Arial" w:cs="Arial"/>
          <w:b/>
          <w:bCs/>
          <w:szCs w:val="24"/>
        </w:rPr>
        <w:t xml:space="preserve"> </w:t>
      </w:r>
    </w:p>
    <w:p w14:paraId="4B9B3C64" w14:textId="04AB3078" w:rsidR="009B4F72" w:rsidRDefault="009B4F72" w:rsidP="00264D33">
      <w:pPr>
        <w:spacing w:line="264" w:lineRule="auto"/>
        <w:jc w:val="both"/>
        <w:rPr>
          <w:rFonts w:ascii="Arial" w:hAnsi="Arial" w:cs="Arial"/>
          <w:bCs/>
        </w:rPr>
      </w:pPr>
      <w:r w:rsidRPr="00D9446A">
        <w:rPr>
          <w:rFonts w:ascii="Arial" w:hAnsi="Arial" w:cs="Arial"/>
          <w:b/>
          <w:i/>
          <w:iCs/>
        </w:rPr>
        <w:t xml:space="preserve">Operating: HVAC Upgrades, Transition to Hybrid Work, Operations Staffing and Impacts, and Rebuilding Ridership [$25,560,135, 3.0 FTEs, 98 TLTs].  </w:t>
      </w:r>
      <w:r w:rsidRPr="00D9446A">
        <w:rPr>
          <w:rFonts w:ascii="Arial" w:hAnsi="Arial" w:cs="Arial"/>
          <w:bCs/>
        </w:rPr>
        <w:t xml:space="preserve">The proposed ordinance would appropriate a total of $25.6 million towards COVID-19 response costs.  The requests would be used to improve air quality and safety by making HVAC upgrades at Metro facilities and on water taxi vehicles, support Metro's transition to hybrid work, increase staffing to address additional cleaning and bus operations needs due to COVID-19, and invest in research and marketing of programs to rebuild Metro's ridership. </w:t>
      </w:r>
      <w:r w:rsidR="00193989">
        <w:rPr>
          <w:rFonts w:ascii="Arial" w:hAnsi="Arial" w:cs="Arial"/>
          <w:bCs/>
        </w:rPr>
        <w:t xml:space="preserve"> </w:t>
      </w:r>
      <w:r w:rsidRPr="00D9446A">
        <w:rPr>
          <w:rFonts w:ascii="Arial" w:hAnsi="Arial" w:cs="Arial"/>
          <w:bCs/>
        </w:rPr>
        <w:t>The breakdown of the appropriation requests is provided in the table below.</w:t>
      </w:r>
    </w:p>
    <w:p w14:paraId="366F2058" w14:textId="77777777" w:rsidR="00EA3F2C" w:rsidRDefault="00EA3F2C" w:rsidP="00264D33">
      <w:pPr>
        <w:spacing w:line="264" w:lineRule="auto"/>
        <w:jc w:val="both"/>
        <w:rPr>
          <w:rFonts w:ascii="Arial" w:hAnsi="Arial" w:cs="Arial"/>
          <w:szCs w:val="24"/>
        </w:rPr>
      </w:pPr>
    </w:p>
    <w:tbl>
      <w:tblPr>
        <w:tblStyle w:val="TableGrid"/>
        <w:tblW w:w="9363" w:type="dxa"/>
        <w:tblLook w:val="04A0" w:firstRow="1" w:lastRow="0" w:firstColumn="1" w:lastColumn="0" w:noHBand="0" w:noVBand="1"/>
      </w:tblPr>
      <w:tblGrid>
        <w:gridCol w:w="4140"/>
        <w:gridCol w:w="267"/>
        <w:gridCol w:w="1803"/>
        <w:gridCol w:w="267"/>
        <w:gridCol w:w="1327"/>
        <w:gridCol w:w="236"/>
        <w:gridCol w:w="1323"/>
      </w:tblGrid>
      <w:tr w:rsidR="009B4F72" w:rsidRPr="00EA3F2C" w14:paraId="7333A5C1" w14:textId="77777777" w:rsidTr="00E34BBA">
        <w:trPr>
          <w:cantSplit/>
          <w:tblHeader/>
        </w:trPr>
        <w:tc>
          <w:tcPr>
            <w:tcW w:w="4140" w:type="dxa"/>
            <w:tcBorders>
              <w:top w:val="single" w:sz="12" w:space="0" w:color="auto"/>
              <w:left w:val="nil"/>
              <w:bottom w:val="single" w:sz="4" w:space="0" w:color="auto"/>
              <w:right w:val="nil"/>
            </w:tcBorders>
            <w:shd w:val="clear" w:color="auto" w:fill="auto"/>
            <w:vAlign w:val="bottom"/>
          </w:tcPr>
          <w:p w14:paraId="1EED8E21" w14:textId="77777777" w:rsidR="009B4F72" w:rsidRPr="00EA3F2C" w:rsidRDefault="009B4F72" w:rsidP="00E34BBA">
            <w:pPr>
              <w:keepNext/>
              <w:spacing w:line="264" w:lineRule="auto"/>
              <w:contextualSpacing/>
              <w:jc w:val="both"/>
              <w:rPr>
                <w:rFonts w:ascii="Arial" w:hAnsi="Arial" w:cs="Arial"/>
                <w:b/>
                <w:sz w:val="22"/>
                <w:szCs w:val="22"/>
              </w:rPr>
            </w:pPr>
          </w:p>
        </w:tc>
        <w:tc>
          <w:tcPr>
            <w:tcW w:w="267" w:type="dxa"/>
            <w:tcBorders>
              <w:top w:val="single" w:sz="12" w:space="0" w:color="auto"/>
              <w:left w:val="nil"/>
              <w:bottom w:val="nil"/>
              <w:right w:val="nil"/>
            </w:tcBorders>
          </w:tcPr>
          <w:p w14:paraId="1A725A0A" w14:textId="77777777" w:rsidR="009B4F72" w:rsidRPr="00EA3F2C" w:rsidRDefault="009B4F72" w:rsidP="00E34BBA">
            <w:pPr>
              <w:keepNext/>
              <w:spacing w:line="264" w:lineRule="auto"/>
              <w:contextualSpacing/>
              <w:jc w:val="center"/>
              <w:rPr>
                <w:rFonts w:ascii="Arial" w:hAnsi="Arial" w:cs="Arial"/>
                <w:b/>
                <w:sz w:val="22"/>
                <w:szCs w:val="22"/>
              </w:rPr>
            </w:pPr>
          </w:p>
        </w:tc>
        <w:tc>
          <w:tcPr>
            <w:tcW w:w="1803" w:type="dxa"/>
            <w:tcBorders>
              <w:top w:val="single" w:sz="12" w:space="0" w:color="auto"/>
              <w:left w:val="nil"/>
              <w:bottom w:val="single" w:sz="4" w:space="0" w:color="auto"/>
              <w:right w:val="nil"/>
            </w:tcBorders>
            <w:shd w:val="clear" w:color="auto" w:fill="auto"/>
            <w:vAlign w:val="bottom"/>
          </w:tcPr>
          <w:p w14:paraId="2FF4E123" w14:textId="77777777" w:rsidR="009B4F72" w:rsidRPr="00EA3F2C" w:rsidRDefault="009B4F72" w:rsidP="00E34BBA">
            <w:pPr>
              <w:keepNext/>
              <w:spacing w:line="264" w:lineRule="auto"/>
              <w:contextualSpacing/>
              <w:jc w:val="center"/>
              <w:rPr>
                <w:rFonts w:ascii="Arial" w:hAnsi="Arial" w:cs="Arial"/>
                <w:b/>
                <w:sz w:val="22"/>
                <w:szCs w:val="22"/>
              </w:rPr>
            </w:pPr>
            <w:r w:rsidRPr="00EA3F2C">
              <w:rPr>
                <w:rFonts w:ascii="Arial" w:hAnsi="Arial" w:cs="Arial"/>
                <w:b/>
                <w:sz w:val="22"/>
                <w:szCs w:val="22"/>
              </w:rPr>
              <w:t>Proposed Appropriation</w:t>
            </w:r>
          </w:p>
        </w:tc>
        <w:tc>
          <w:tcPr>
            <w:tcW w:w="267" w:type="dxa"/>
            <w:tcBorders>
              <w:top w:val="single" w:sz="12" w:space="0" w:color="auto"/>
              <w:left w:val="nil"/>
              <w:bottom w:val="nil"/>
              <w:right w:val="nil"/>
            </w:tcBorders>
          </w:tcPr>
          <w:p w14:paraId="606DDBB2" w14:textId="77777777" w:rsidR="009B4F72" w:rsidRPr="00EA3F2C" w:rsidRDefault="009B4F72" w:rsidP="00E34BBA">
            <w:pPr>
              <w:keepNext/>
              <w:spacing w:line="264" w:lineRule="auto"/>
              <w:contextualSpacing/>
              <w:jc w:val="center"/>
              <w:rPr>
                <w:rFonts w:ascii="Arial" w:hAnsi="Arial" w:cs="Arial"/>
                <w:b/>
                <w:sz w:val="22"/>
                <w:szCs w:val="22"/>
              </w:rPr>
            </w:pPr>
          </w:p>
        </w:tc>
        <w:tc>
          <w:tcPr>
            <w:tcW w:w="1327" w:type="dxa"/>
            <w:tcBorders>
              <w:top w:val="single" w:sz="12" w:space="0" w:color="auto"/>
              <w:left w:val="nil"/>
              <w:bottom w:val="single" w:sz="4" w:space="0" w:color="auto"/>
              <w:right w:val="nil"/>
            </w:tcBorders>
            <w:shd w:val="clear" w:color="auto" w:fill="auto"/>
          </w:tcPr>
          <w:p w14:paraId="71922FA6" w14:textId="77777777" w:rsidR="009B4F72" w:rsidRPr="00EA3F2C" w:rsidRDefault="009B4F72" w:rsidP="00E34BBA">
            <w:pPr>
              <w:keepNext/>
              <w:spacing w:line="264" w:lineRule="auto"/>
              <w:contextualSpacing/>
              <w:jc w:val="center"/>
              <w:rPr>
                <w:rFonts w:ascii="Arial" w:hAnsi="Arial" w:cs="Arial"/>
                <w:b/>
                <w:sz w:val="22"/>
                <w:szCs w:val="22"/>
              </w:rPr>
            </w:pPr>
            <w:r w:rsidRPr="00EA3F2C">
              <w:rPr>
                <w:rFonts w:ascii="Arial" w:hAnsi="Arial" w:cs="Arial"/>
                <w:b/>
                <w:sz w:val="22"/>
                <w:szCs w:val="22"/>
              </w:rPr>
              <w:t>Proposed FTEs</w:t>
            </w:r>
          </w:p>
        </w:tc>
        <w:tc>
          <w:tcPr>
            <w:tcW w:w="236" w:type="dxa"/>
            <w:tcBorders>
              <w:top w:val="single" w:sz="12" w:space="0" w:color="auto"/>
              <w:left w:val="nil"/>
              <w:bottom w:val="nil"/>
              <w:right w:val="nil"/>
            </w:tcBorders>
          </w:tcPr>
          <w:p w14:paraId="103AFA67" w14:textId="77777777" w:rsidR="009B4F72" w:rsidRPr="00EA3F2C" w:rsidRDefault="009B4F72" w:rsidP="00E34BBA">
            <w:pPr>
              <w:keepNext/>
              <w:spacing w:line="264" w:lineRule="auto"/>
              <w:contextualSpacing/>
              <w:jc w:val="center"/>
              <w:rPr>
                <w:rFonts w:ascii="Arial" w:hAnsi="Arial" w:cs="Arial"/>
                <w:b/>
                <w:sz w:val="22"/>
                <w:szCs w:val="22"/>
              </w:rPr>
            </w:pPr>
          </w:p>
        </w:tc>
        <w:tc>
          <w:tcPr>
            <w:tcW w:w="1323" w:type="dxa"/>
            <w:tcBorders>
              <w:top w:val="single" w:sz="12" w:space="0" w:color="auto"/>
              <w:left w:val="nil"/>
              <w:bottom w:val="single" w:sz="4" w:space="0" w:color="auto"/>
              <w:right w:val="nil"/>
            </w:tcBorders>
            <w:shd w:val="clear" w:color="auto" w:fill="auto"/>
          </w:tcPr>
          <w:p w14:paraId="41A50813" w14:textId="77777777" w:rsidR="009B4F72" w:rsidRPr="00EA3F2C" w:rsidRDefault="009B4F72" w:rsidP="00E34BBA">
            <w:pPr>
              <w:keepNext/>
              <w:spacing w:line="264" w:lineRule="auto"/>
              <w:contextualSpacing/>
              <w:jc w:val="center"/>
              <w:rPr>
                <w:rFonts w:ascii="Arial" w:hAnsi="Arial" w:cs="Arial"/>
                <w:b/>
                <w:sz w:val="22"/>
                <w:szCs w:val="22"/>
              </w:rPr>
            </w:pPr>
            <w:r w:rsidRPr="00EA3F2C">
              <w:rPr>
                <w:rFonts w:ascii="Arial" w:hAnsi="Arial" w:cs="Arial"/>
                <w:b/>
                <w:sz w:val="22"/>
                <w:szCs w:val="22"/>
              </w:rPr>
              <w:t>Proposed TLTs</w:t>
            </w:r>
          </w:p>
        </w:tc>
      </w:tr>
      <w:tr w:rsidR="009B4F72" w:rsidRPr="00EA3F2C" w14:paraId="328CFA39" w14:textId="77777777" w:rsidTr="00E34BBA">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1F6AC9B0" w14:textId="77777777" w:rsidR="009B4F72" w:rsidRPr="00EA3F2C" w:rsidRDefault="009B4F72" w:rsidP="00E34BBA">
            <w:pPr>
              <w:keepNext/>
              <w:spacing w:line="264" w:lineRule="auto"/>
              <w:contextualSpacing/>
              <w:rPr>
                <w:rFonts w:ascii="Arial" w:hAnsi="Arial" w:cs="Arial"/>
                <w:sz w:val="22"/>
                <w:szCs w:val="22"/>
              </w:rPr>
            </w:pPr>
            <w:r w:rsidRPr="00EA3F2C">
              <w:rPr>
                <w:rFonts w:ascii="Arial" w:hAnsi="Arial" w:cs="Arial"/>
                <w:sz w:val="22"/>
                <w:szCs w:val="22"/>
              </w:rPr>
              <w:t>HVAC Improvements</w:t>
            </w:r>
          </w:p>
        </w:tc>
        <w:tc>
          <w:tcPr>
            <w:tcW w:w="267" w:type="dxa"/>
            <w:tcBorders>
              <w:top w:val="nil"/>
              <w:left w:val="nil"/>
              <w:bottom w:val="nil"/>
              <w:right w:val="nil"/>
            </w:tcBorders>
          </w:tcPr>
          <w:p w14:paraId="5EC8200E" w14:textId="77777777" w:rsidR="009B4F72" w:rsidRPr="00EA3F2C" w:rsidRDefault="009B4F72" w:rsidP="00E34BBA">
            <w:pPr>
              <w:keepNext/>
              <w:spacing w:line="264" w:lineRule="auto"/>
              <w:contextualSpacing/>
              <w:jc w:val="right"/>
              <w:rPr>
                <w:rFonts w:ascii="Arial" w:hAnsi="Arial" w:cs="Arial"/>
                <w:sz w:val="22"/>
                <w:szCs w:val="22"/>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3E829EFD" w14:textId="77777777" w:rsidR="009B4F72" w:rsidRPr="00EA3F2C" w:rsidRDefault="009B4F72" w:rsidP="00E34BBA">
            <w:pPr>
              <w:keepNext/>
              <w:spacing w:line="264" w:lineRule="auto"/>
              <w:contextualSpacing/>
              <w:jc w:val="right"/>
              <w:rPr>
                <w:rFonts w:ascii="Arial" w:hAnsi="Arial" w:cs="Arial"/>
                <w:sz w:val="22"/>
                <w:szCs w:val="22"/>
              </w:rPr>
            </w:pPr>
            <w:r w:rsidRPr="00EA3F2C">
              <w:rPr>
                <w:rFonts w:ascii="Arial" w:hAnsi="Arial" w:cs="Arial"/>
                <w:sz w:val="22"/>
                <w:szCs w:val="22"/>
              </w:rPr>
              <w:t>$ 861,080</w:t>
            </w:r>
          </w:p>
        </w:tc>
        <w:tc>
          <w:tcPr>
            <w:tcW w:w="267" w:type="dxa"/>
            <w:tcBorders>
              <w:top w:val="nil"/>
              <w:left w:val="nil"/>
              <w:bottom w:val="nil"/>
              <w:right w:val="nil"/>
            </w:tcBorders>
          </w:tcPr>
          <w:p w14:paraId="341A2AF3"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7" w:type="dxa"/>
            <w:tcBorders>
              <w:top w:val="nil"/>
              <w:left w:val="nil"/>
              <w:bottom w:val="nil"/>
              <w:right w:val="nil"/>
            </w:tcBorders>
            <w:shd w:val="clear" w:color="auto" w:fill="auto"/>
          </w:tcPr>
          <w:p w14:paraId="6AEE7A5A"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0.0</w:t>
            </w:r>
          </w:p>
        </w:tc>
        <w:tc>
          <w:tcPr>
            <w:tcW w:w="236" w:type="dxa"/>
            <w:tcBorders>
              <w:top w:val="nil"/>
              <w:left w:val="nil"/>
              <w:bottom w:val="nil"/>
              <w:right w:val="nil"/>
            </w:tcBorders>
          </w:tcPr>
          <w:p w14:paraId="59D8B2E0"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3" w:type="dxa"/>
            <w:tcBorders>
              <w:top w:val="nil"/>
              <w:left w:val="nil"/>
              <w:bottom w:val="nil"/>
              <w:right w:val="nil"/>
            </w:tcBorders>
            <w:shd w:val="clear" w:color="auto" w:fill="auto"/>
            <w:tcMar>
              <w:top w:w="43" w:type="dxa"/>
              <w:bottom w:w="43" w:type="dxa"/>
            </w:tcMar>
          </w:tcPr>
          <w:p w14:paraId="69530FAB"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2.0</w:t>
            </w:r>
          </w:p>
        </w:tc>
      </w:tr>
      <w:tr w:rsidR="009B4F72" w:rsidRPr="00EA3F2C" w14:paraId="245C3D5A" w14:textId="77777777" w:rsidTr="00E34BBA">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65683425" w14:textId="77777777" w:rsidR="009B4F72" w:rsidRPr="00EA3F2C" w:rsidRDefault="009B4F72" w:rsidP="00E34BBA">
            <w:pPr>
              <w:keepNext/>
              <w:spacing w:line="264" w:lineRule="auto"/>
              <w:contextualSpacing/>
              <w:rPr>
                <w:rFonts w:ascii="Arial" w:hAnsi="Arial" w:cs="Arial"/>
                <w:sz w:val="22"/>
                <w:szCs w:val="22"/>
              </w:rPr>
            </w:pPr>
            <w:r w:rsidRPr="00EA3F2C">
              <w:rPr>
                <w:rFonts w:ascii="Arial" w:hAnsi="Arial" w:cs="Arial"/>
                <w:sz w:val="22"/>
                <w:szCs w:val="22"/>
              </w:rPr>
              <w:t>Hybrid Work &amp; Impacts</w:t>
            </w:r>
            <w:r w:rsidRPr="00EA3F2C">
              <w:rPr>
                <w:rStyle w:val="FootnoteReference"/>
                <w:rFonts w:ascii="Arial" w:hAnsi="Arial" w:cs="Arial"/>
                <w:sz w:val="22"/>
                <w:szCs w:val="22"/>
              </w:rPr>
              <w:footnoteReference w:id="54"/>
            </w:r>
          </w:p>
        </w:tc>
        <w:tc>
          <w:tcPr>
            <w:tcW w:w="267" w:type="dxa"/>
            <w:tcBorders>
              <w:top w:val="nil"/>
              <w:left w:val="nil"/>
              <w:bottom w:val="nil"/>
              <w:right w:val="nil"/>
            </w:tcBorders>
          </w:tcPr>
          <w:p w14:paraId="69A56EAB" w14:textId="77777777" w:rsidR="009B4F72" w:rsidRPr="00EA3F2C" w:rsidRDefault="009B4F72" w:rsidP="00E34BBA">
            <w:pPr>
              <w:keepNext/>
              <w:spacing w:line="264" w:lineRule="auto"/>
              <w:contextualSpacing/>
              <w:jc w:val="right"/>
              <w:rPr>
                <w:rFonts w:ascii="Arial" w:hAnsi="Arial" w:cs="Arial"/>
                <w:sz w:val="22"/>
                <w:szCs w:val="22"/>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0A93804C" w14:textId="77777777" w:rsidR="009B4F72" w:rsidRPr="00EA3F2C" w:rsidRDefault="009B4F72" w:rsidP="00E34BBA">
            <w:pPr>
              <w:keepNext/>
              <w:spacing w:line="264" w:lineRule="auto"/>
              <w:contextualSpacing/>
              <w:jc w:val="right"/>
              <w:rPr>
                <w:rFonts w:ascii="Arial" w:hAnsi="Arial" w:cs="Arial"/>
                <w:sz w:val="22"/>
                <w:szCs w:val="22"/>
              </w:rPr>
            </w:pPr>
            <w:r w:rsidRPr="00EA3F2C">
              <w:rPr>
                <w:rFonts w:ascii="Arial" w:hAnsi="Arial" w:cs="Arial"/>
                <w:sz w:val="22"/>
                <w:szCs w:val="22"/>
              </w:rPr>
              <w:t>$ 9,779,299</w:t>
            </w:r>
          </w:p>
        </w:tc>
        <w:tc>
          <w:tcPr>
            <w:tcW w:w="267" w:type="dxa"/>
            <w:tcBorders>
              <w:top w:val="nil"/>
              <w:left w:val="nil"/>
              <w:bottom w:val="nil"/>
              <w:right w:val="nil"/>
            </w:tcBorders>
          </w:tcPr>
          <w:p w14:paraId="57ADA5D8"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7" w:type="dxa"/>
            <w:tcBorders>
              <w:top w:val="nil"/>
              <w:left w:val="nil"/>
              <w:bottom w:val="nil"/>
              <w:right w:val="nil"/>
            </w:tcBorders>
            <w:shd w:val="clear" w:color="auto" w:fill="auto"/>
          </w:tcPr>
          <w:p w14:paraId="3BC03F30"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0.0</w:t>
            </w:r>
          </w:p>
        </w:tc>
        <w:tc>
          <w:tcPr>
            <w:tcW w:w="236" w:type="dxa"/>
            <w:tcBorders>
              <w:top w:val="nil"/>
              <w:left w:val="nil"/>
              <w:bottom w:val="nil"/>
              <w:right w:val="nil"/>
            </w:tcBorders>
          </w:tcPr>
          <w:p w14:paraId="5944E79B"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3" w:type="dxa"/>
            <w:tcBorders>
              <w:top w:val="nil"/>
              <w:left w:val="nil"/>
              <w:bottom w:val="nil"/>
              <w:right w:val="nil"/>
            </w:tcBorders>
            <w:shd w:val="clear" w:color="auto" w:fill="auto"/>
            <w:tcMar>
              <w:top w:w="43" w:type="dxa"/>
              <w:bottom w:w="43" w:type="dxa"/>
            </w:tcMar>
          </w:tcPr>
          <w:p w14:paraId="437616FA"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2.0</w:t>
            </w:r>
          </w:p>
        </w:tc>
      </w:tr>
      <w:tr w:rsidR="009B4F72" w:rsidRPr="00EA3F2C" w14:paraId="14C8C0CB" w14:textId="77777777" w:rsidTr="00E34BBA">
        <w:trPr>
          <w:cantSplit/>
        </w:trPr>
        <w:tc>
          <w:tcPr>
            <w:tcW w:w="4140" w:type="dxa"/>
            <w:tcBorders>
              <w:top w:val="nil"/>
              <w:left w:val="nil"/>
              <w:bottom w:val="nil"/>
              <w:right w:val="nil"/>
            </w:tcBorders>
            <w:shd w:val="clear" w:color="auto" w:fill="auto"/>
            <w:tcMar>
              <w:top w:w="43" w:type="dxa"/>
              <w:left w:w="115" w:type="dxa"/>
              <w:bottom w:w="43" w:type="dxa"/>
              <w:right w:w="115" w:type="dxa"/>
            </w:tcMar>
          </w:tcPr>
          <w:p w14:paraId="01AA78F2" w14:textId="77777777" w:rsidR="009B4F72" w:rsidRPr="00EA3F2C" w:rsidRDefault="009B4F72" w:rsidP="00E34BBA">
            <w:pPr>
              <w:keepNext/>
              <w:spacing w:line="264" w:lineRule="auto"/>
              <w:contextualSpacing/>
              <w:rPr>
                <w:rFonts w:ascii="Arial" w:hAnsi="Arial" w:cs="Arial"/>
                <w:sz w:val="22"/>
                <w:szCs w:val="22"/>
              </w:rPr>
            </w:pPr>
            <w:r w:rsidRPr="00EA3F2C">
              <w:rPr>
                <w:rFonts w:ascii="Arial" w:hAnsi="Arial" w:cs="Arial"/>
                <w:sz w:val="22"/>
                <w:szCs w:val="22"/>
              </w:rPr>
              <w:t>Operations Staffing &amp; Impacts</w:t>
            </w:r>
          </w:p>
        </w:tc>
        <w:tc>
          <w:tcPr>
            <w:tcW w:w="267" w:type="dxa"/>
            <w:tcBorders>
              <w:top w:val="nil"/>
              <w:left w:val="nil"/>
              <w:bottom w:val="nil"/>
              <w:right w:val="nil"/>
            </w:tcBorders>
          </w:tcPr>
          <w:p w14:paraId="03EE87D3" w14:textId="77777777" w:rsidR="009B4F72" w:rsidRPr="00EA3F2C" w:rsidRDefault="009B4F72" w:rsidP="00E34BBA">
            <w:pPr>
              <w:keepNext/>
              <w:spacing w:line="264" w:lineRule="auto"/>
              <w:contextualSpacing/>
              <w:jc w:val="right"/>
              <w:rPr>
                <w:rFonts w:ascii="Arial" w:hAnsi="Arial" w:cs="Arial"/>
                <w:sz w:val="22"/>
                <w:szCs w:val="22"/>
              </w:rPr>
            </w:pPr>
          </w:p>
        </w:tc>
        <w:tc>
          <w:tcPr>
            <w:tcW w:w="1803" w:type="dxa"/>
            <w:tcBorders>
              <w:top w:val="nil"/>
              <w:left w:val="nil"/>
              <w:bottom w:val="nil"/>
              <w:right w:val="nil"/>
            </w:tcBorders>
            <w:shd w:val="clear" w:color="auto" w:fill="auto"/>
            <w:tcMar>
              <w:top w:w="43" w:type="dxa"/>
              <w:left w:w="115" w:type="dxa"/>
              <w:bottom w:w="43" w:type="dxa"/>
              <w:right w:w="115" w:type="dxa"/>
            </w:tcMar>
          </w:tcPr>
          <w:p w14:paraId="70DD6E10" w14:textId="77777777" w:rsidR="009B4F72" w:rsidRPr="00EA3F2C" w:rsidRDefault="009B4F72" w:rsidP="00E34BBA">
            <w:pPr>
              <w:keepNext/>
              <w:spacing w:line="264" w:lineRule="auto"/>
              <w:contextualSpacing/>
              <w:jc w:val="right"/>
              <w:rPr>
                <w:rFonts w:ascii="Arial" w:hAnsi="Arial" w:cs="Arial"/>
                <w:sz w:val="22"/>
                <w:szCs w:val="22"/>
              </w:rPr>
            </w:pPr>
            <w:r w:rsidRPr="00EA3F2C">
              <w:rPr>
                <w:rFonts w:ascii="Arial" w:hAnsi="Arial" w:cs="Arial"/>
                <w:sz w:val="22"/>
                <w:szCs w:val="22"/>
              </w:rPr>
              <w:t>$12,789,756</w:t>
            </w:r>
          </w:p>
        </w:tc>
        <w:tc>
          <w:tcPr>
            <w:tcW w:w="267" w:type="dxa"/>
            <w:tcBorders>
              <w:top w:val="nil"/>
              <w:left w:val="nil"/>
              <w:bottom w:val="nil"/>
              <w:right w:val="nil"/>
            </w:tcBorders>
          </w:tcPr>
          <w:p w14:paraId="79D4466C"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7" w:type="dxa"/>
            <w:tcBorders>
              <w:top w:val="nil"/>
              <w:left w:val="nil"/>
              <w:bottom w:val="nil"/>
              <w:right w:val="nil"/>
            </w:tcBorders>
            <w:shd w:val="clear" w:color="auto" w:fill="auto"/>
          </w:tcPr>
          <w:p w14:paraId="5F9EA06F"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3.0</w:t>
            </w:r>
          </w:p>
        </w:tc>
        <w:tc>
          <w:tcPr>
            <w:tcW w:w="236" w:type="dxa"/>
            <w:tcBorders>
              <w:top w:val="nil"/>
              <w:left w:val="nil"/>
              <w:bottom w:val="nil"/>
              <w:right w:val="nil"/>
            </w:tcBorders>
          </w:tcPr>
          <w:p w14:paraId="637D9E42"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3" w:type="dxa"/>
            <w:tcBorders>
              <w:top w:val="nil"/>
              <w:left w:val="nil"/>
              <w:bottom w:val="nil"/>
              <w:right w:val="nil"/>
            </w:tcBorders>
            <w:shd w:val="clear" w:color="auto" w:fill="auto"/>
            <w:tcMar>
              <w:top w:w="43" w:type="dxa"/>
              <w:bottom w:w="43" w:type="dxa"/>
            </w:tcMar>
          </w:tcPr>
          <w:p w14:paraId="652D454E"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94.0</w:t>
            </w:r>
          </w:p>
        </w:tc>
      </w:tr>
      <w:tr w:rsidR="009B4F72" w:rsidRPr="00EA3F2C" w14:paraId="41634DD8" w14:textId="77777777" w:rsidTr="00E34BBA">
        <w:trPr>
          <w:cantSplit/>
        </w:trPr>
        <w:tc>
          <w:tcPr>
            <w:tcW w:w="4140" w:type="dxa"/>
            <w:tcBorders>
              <w:top w:val="nil"/>
              <w:left w:val="nil"/>
              <w:bottom w:val="single" w:sz="4" w:space="0" w:color="auto"/>
              <w:right w:val="nil"/>
            </w:tcBorders>
            <w:shd w:val="clear" w:color="auto" w:fill="auto"/>
            <w:tcMar>
              <w:top w:w="43" w:type="dxa"/>
              <w:left w:w="115" w:type="dxa"/>
              <w:bottom w:w="43" w:type="dxa"/>
              <w:right w:w="115" w:type="dxa"/>
            </w:tcMar>
          </w:tcPr>
          <w:p w14:paraId="7498DE18" w14:textId="77777777" w:rsidR="009B4F72" w:rsidRPr="00EA3F2C" w:rsidRDefault="009B4F72" w:rsidP="00E34BBA">
            <w:pPr>
              <w:keepNext/>
              <w:spacing w:line="264" w:lineRule="auto"/>
              <w:contextualSpacing/>
              <w:rPr>
                <w:rFonts w:ascii="Arial" w:hAnsi="Arial" w:cs="Arial"/>
                <w:sz w:val="22"/>
                <w:szCs w:val="22"/>
              </w:rPr>
            </w:pPr>
            <w:r w:rsidRPr="00EA3F2C">
              <w:rPr>
                <w:rFonts w:ascii="Arial" w:hAnsi="Arial" w:cs="Arial"/>
                <w:sz w:val="22"/>
                <w:szCs w:val="22"/>
              </w:rPr>
              <w:t>Rebuilding Ridership</w:t>
            </w:r>
          </w:p>
        </w:tc>
        <w:tc>
          <w:tcPr>
            <w:tcW w:w="267" w:type="dxa"/>
            <w:tcBorders>
              <w:top w:val="nil"/>
              <w:left w:val="nil"/>
              <w:bottom w:val="nil"/>
              <w:right w:val="nil"/>
            </w:tcBorders>
          </w:tcPr>
          <w:p w14:paraId="278D4152" w14:textId="77777777" w:rsidR="009B4F72" w:rsidRPr="00EA3F2C" w:rsidRDefault="009B4F72" w:rsidP="00E34BBA">
            <w:pPr>
              <w:keepNext/>
              <w:spacing w:line="264" w:lineRule="auto"/>
              <w:contextualSpacing/>
              <w:jc w:val="right"/>
              <w:rPr>
                <w:rFonts w:ascii="Arial" w:hAnsi="Arial" w:cs="Arial"/>
                <w:sz w:val="22"/>
                <w:szCs w:val="22"/>
              </w:rPr>
            </w:pPr>
          </w:p>
        </w:tc>
        <w:tc>
          <w:tcPr>
            <w:tcW w:w="1803" w:type="dxa"/>
            <w:tcBorders>
              <w:top w:val="nil"/>
              <w:left w:val="nil"/>
              <w:bottom w:val="single" w:sz="4" w:space="0" w:color="auto"/>
              <w:right w:val="nil"/>
            </w:tcBorders>
            <w:shd w:val="clear" w:color="auto" w:fill="auto"/>
            <w:tcMar>
              <w:top w:w="43" w:type="dxa"/>
              <w:left w:w="115" w:type="dxa"/>
              <w:bottom w:w="43" w:type="dxa"/>
              <w:right w:w="115" w:type="dxa"/>
            </w:tcMar>
          </w:tcPr>
          <w:p w14:paraId="710FB157" w14:textId="77777777" w:rsidR="009B4F72" w:rsidRPr="00EA3F2C" w:rsidRDefault="009B4F72" w:rsidP="00E34BBA">
            <w:pPr>
              <w:keepNext/>
              <w:spacing w:line="264" w:lineRule="auto"/>
              <w:contextualSpacing/>
              <w:jc w:val="right"/>
              <w:rPr>
                <w:rFonts w:ascii="Arial" w:hAnsi="Arial" w:cs="Arial"/>
                <w:sz w:val="22"/>
                <w:szCs w:val="22"/>
              </w:rPr>
            </w:pPr>
            <w:r w:rsidRPr="00EA3F2C">
              <w:rPr>
                <w:rFonts w:ascii="Arial" w:hAnsi="Arial" w:cs="Arial"/>
                <w:sz w:val="22"/>
                <w:szCs w:val="22"/>
              </w:rPr>
              <w:t>$ 2,130,000</w:t>
            </w:r>
          </w:p>
        </w:tc>
        <w:tc>
          <w:tcPr>
            <w:tcW w:w="267" w:type="dxa"/>
            <w:tcBorders>
              <w:top w:val="nil"/>
              <w:left w:val="nil"/>
              <w:bottom w:val="nil"/>
              <w:right w:val="nil"/>
            </w:tcBorders>
          </w:tcPr>
          <w:p w14:paraId="02134C8C"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7" w:type="dxa"/>
            <w:tcBorders>
              <w:top w:val="nil"/>
              <w:left w:val="nil"/>
              <w:bottom w:val="single" w:sz="4" w:space="0" w:color="auto"/>
              <w:right w:val="nil"/>
            </w:tcBorders>
            <w:shd w:val="clear" w:color="auto" w:fill="auto"/>
          </w:tcPr>
          <w:p w14:paraId="396C46BD"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0.0</w:t>
            </w:r>
          </w:p>
        </w:tc>
        <w:tc>
          <w:tcPr>
            <w:tcW w:w="236" w:type="dxa"/>
            <w:tcBorders>
              <w:top w:val="nil"/>
              <w:left w:val="nil"/>
              <w:bottom w:val="nil"/>
              <w:right w:val="nil"/>
            </w:tcBorders>
          </w:tcPr>
          <w:p w14:paraId="09E29D21" w14:textId="77777777" w:rsidR="009B4F72" w:rsidRPr="00EA3F2C" w:rsidRDefault="009B4F72" w:rsidP="00E34BBA">
            <w:pPr>
              <w:keepNext/>
              <w:spacing w:line="264" w:lineRule="auto"/>
              <w:contextualSpacing/>
              <w:jc w:val="right"/>
              <w:rPr>
                <w:rFonts w:ascii="Arial" w:hAnsi="Arial" w:cs="Arial"/>
                <w:bCs/>
                <w:sz w:val="22"/>
                <w:szCs w:val="22"/>
              </w:rPr>
            </w:pPr>
          </w:p>
        </w:tc>
        <w:tc>
          <w:tcPr>
            <w:tcW w:w="1323" w:type="dxa"/>
            <w:tcBorders>
              <w:top w:val="nil"/>
              <w:left w:val="nil"/>
              <w:bottom w:val="single" w:sz="4" w:space="0" w:color="auto"/>
              <w:right w:val="nil"/>
            </w:tcBorders>
            <w:shd w:val="clear" w:color="auto" w:fill="auto"/>
            <w:tcMar>
              <w:top w:w="43" w:type="dxa"/>
              <w:bottom w:w="43" w:type="dxa"/>
            </w:tcMar>
          </w:tcPr>
          <w:p w14:paraId="55B2A4A6" w14:textId="77777777" w:rsidR="009B4F72" w:rsidRPr="00EA3F2C" w:rsidRDefault="009B4F72" w:rsidP="00E34BBA">
            <w:pPr>
              <w:keepNext/>
              <w:spacing w:line="264" w:lineRule="auto"/>
              <w:contextualSpacing/>
              <w:jc w:val="right"/>
              <w:rPr>
                <w:rFonts w:ascii="Arial" w:hAnsi="Arial" w:cs="Arial"/>
                <w:bCs/>
                <w:sz w:val="22"/>
                <w:szCs w:val="22"/>
              </w:rPr>
            </w:pPr>
            <w:r w:rsidRPr="00EA3F2C">
              <w:rPr>
                <w:rFonts w:ascii="Arial" w:hAnsi="Arial" w:cs="Arial"/>
                <w:bCs/>
                <w:sz w:val="22"/>
                <w:szCs w:val="22"/>
              </w:rPr>
              <w:t>0.0</w:t>
            </w:r>
          </w:p>
        </w:tc>
      </w:tr>
      <w:tr w:rsidR="009B4F72" w:rsidRPr="00EA3F2C" w14:paraId="1BD78A81" w14:textId="77777777" w:rsidTr="00E34BBA">
        <w:trPr>
          <w:cantSplit/>
        </w:trPr>
        <w:tc>
          <w:tcPr>
            <w:tcW w:w="414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19AE33A2" w14:textId="77777777" w:rsidR="009B4F72" w:rsidRPr="00EA3F2C" w:rsidRDefault="009B4F72" w:rsidP="00E34BBA">
            <w:pPr>
              <w:keepNext/>
              <w:spacing w:line="264" w:lineRule="auto"/>
              <w:contextualSpacing/>
              <w:jc w:val="right"/>
              <w:rPr>
                <w:rFonts w:ascii="Arial" w:hAnsi="Arial" w:cs="Arial"/>
                <w:b/>
                <w:bCs/>
                <w:sz w:val="22"/>
                <w:szCs w:val="22"/>
              </w:rPr>
            </w:pPr>
            <w:r w:rsidRPr="00EA3F2C">
              <w:rPr>
                <w:rFonts w:ascii="Arial" w:hAnsi="Arial" w:cs="Arial"/>
                <w:b/>
                <w:bCs/>
                <w:sz w:val="22"/>
                <w:szCs w:val="22"/>
              </w:rPr>
              <w:t>TOTAL</w:t>
            </w:r>
          </w:p>
        </w:tc>
        <w:tc>
          <w:tcPr>
            <w:tcW w:w="267" w:type="dxa"/>
            <w:tcBorders>
              <w:top w:val="nil"/>
              <w:left w:val="nil"/>
              <w:bottom w:val="single" w:sz="12" w:space="0" w:color="auto"/>
              <w:right w:val="nil"/>
            </w:tcBorders>
          </w:tcPr>
          <w:p w14:paraId="4AFF915D" w14:textId="77777777" w:rsidR="009B4F72" w:rsidRPr="00EA3F2C" w:rsidRDefault="009B4F72" w:rsidP="00E34BBA">
            <w:pPr>
              <w:keepNext/>
              <w:spacing w:line="264" w:lineRule="auto"/>
              <w:contextualSpacing/>
              <w:jc w:val="right"/>
              <w:rPr>
                <w:rFonts w:ascii="Arial" w:hAnsi="Arial" w:cs="Arial"/>
                <w:b/>
                <w:bCs/>
                <w:sz w:val="22"/>
                <w:szCs w:val="22"/>
              </w:rPr>
            </w:pPr>
          </w:p>
        </w:tc>
        <w:tc>
          <w:tcPr>
            <w:tcW w:w="1803"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49786983" w14:textId="77777777" w:rsidR="009B4F72" w:rsidRPr="00EA3F2C" w:rsidRDefault="009B4F72" w:rsidP="00E34BBA">
            <w:pPr>
              <w:keepNext/>
              <w:spacing w:line="264" w:lineRule="auto"/>
              <w:contextualSpacing/>
              <w:jc w:val="right"/>
              <w:rPr>
                <w:rFonts w:ascii="Arial" w:hAnsi="Arial" w:cs="Arial"/>
                <w:b/>
                <w:bCs/>
                <w:sz w:val="22"/>
                <w:szCs w:val="22"/>
              </w:rPr>
            </w:pPr>
            <w:r w:rsidRPr="00EA3F2C">
              <w:rPr>
                <w:rFonts w:ascii="Arial" w:hAnsi="Arial" w:cs="Arial"/>
                <w:b/>
                <w:bCs/>
                <w:sz w:val="22"/>
                <w:szCs w:val="22"/>
              </w:rPr>
              <w:t xml:space="preserve"> $ 25,560,135</w:t>
            </w:r>
          </w:p>
        </w:tc>
        <w:tc>
          <w:tcPr>
            <w:tcW w:w="267" w:type="dxa"/>
            <w:tcBorders>
              <w:top w:val="nil"/>
              <w:left w:val="nil"/>
              <w:bottom w:val="single" w:sz="12" w:space="0" w:color="auto"/>
              <w:right w:val="nil"/>
            </w:tcBorders>
          </w:tcPr>
          <w:p w14:paraId="2B74A06E" w14:textId="77777777" w:rsidR="009B4F72" w:rsidRPr="00EA3F2C" w:rsidRDefault="009B4F72" w:rsidP="00E34BBA">
            <w:pPr>
              <w:keepNext/>
              <w:spacing w:line="264" w:lineRule="auto"/>
              <w:contextualSpacing/>
              <w:jc w:val="right"/>
              <w:rPr>
                <w:rFonts w:ascii="Arial" w:hAnsi="Arial" w:cs="Arial"/>
                <w:b/>
                <w:sz w:val="22"/>
                <w:szCs w:val="22"/>
              </w:rPr>
            </w:pPr>
          </w:p>
        </w:tc>
        <w:tc>
          <w:tcPr>
            <w:tcW w:w="1327" w:type="dxa"/>
            <w:tcBorders>
              <w:top w:val="single" w:sz="4" w:space="0" w:color="auto"/>
              <w:left w:val="nil"/>
              <w:bottom w:val="single" w:sz="12" w:space="0" w:color="auto"/>
              <w:right w:val="nil"/>
            </w:tcBorders>
            <w:shd w:val="clear" w:color="auto" w:fill="auto"/>
          </w:tcPr>
          <w:p w14:paraId="343B6DA2" w14:textId="77777777" w:rsidR="009B4F72" w:rsidRPr="00EA3F2C" w:rsidRDefault="009B4F72" w:rsidP="00E34BBA">
            <w:pPr>
              <w:keepNext/>
              <w:spacing w:line="264" w:lineRule="auto"/>
              <w:contextualSpacing/>
              <w:jc w:val="right"/>
              <w:rPr>
                <w:rFonts w:ascii="Arial" w:hAnsi="Arial" w:cs="Arial"/>
                <w:b/>
                <w:sz w:val="22"/>
                <w:szCs w:val="22"/>
              </w:rPr>
            </w:pPr>
            <w:r w:rsidRPr="00EA3F2C">
              <w:rPr>
                <w:rFonts w:ascii="Arial" w:hAnsi="Arial" w:cs="Arial"/>
                <w:b/>
                <w:sz w:val="22"/>
                <w:szCs w:val="22"/>
              </w:rPr>
              <w:t>3.0</w:t>
            </w:r>
          </w:p>
        </w:tc>
        <w:tc>
          <w:tcPr>
            <w:tcW w:w="236" w:type="dxa"/>
            <w:tcBorders>
              <w:top w:val="nil"/>
              <w:left w:val="nil"/>
              <w:bottom w:val="single" w:sz="12" w:space="0" w:color="auto"/>
              <w:right w:val="nil"/>
            </w:tcBorders>
          </w:tcPr>
          <w:p w14:paraId="66E9B93D" w14:textId="77777777" w:rsidR="009B4F72" w:rsidRPr="00EA3F2C" w:rsidRDefault="009B4F72" w:rsidP="00E34BBA">
            <w:pPr>
              <w:keepNext/>
              <w:spacing w:line="264" w:lineRule="auto"/>
              <w:contextualSpacing/>
              <w:jc w:val="right"/>
              <w:rPr>
                <w:rFonts w:ascii="Arial" w:hAnsi="Arial" w:cs="Arial"/>
                <w:b/>
                <w:sz w:val="22"/>
                <w:szCs w:val="22"/>
              </w:rPr>
            </w:pPr>
          </w:p>
        </w:tc>
        <w:tc>
          <w:tcPr>
            <w:tcW w:w="1323" w:type="dxa"/>
            <w:tcBorders>
              <w:top w:val="single" w:sz="4" w:space="0" w:color="auto"/>
              <w:left w:val="nil"/>
              <w:bottom w:val="single" w:sz="12" w:space="0" w:color="auto"/>
              <w:right w:val="nil"/>
            </w:tcBorders>
            <w:shd w:val="clear" w:color="auto" w:fill="auto"/>
            <w:tcMar>
              <w:top w:w="43" w:type="dxa"/>
              <w:bottom w:w="43" w:type="dxa"/>
            </w:tcMar>
          </w:tcPr>
          <w:p w14:paraId="2F744DC0" w14:textId="77777777" w:rsidR="009B4F72" w:rsidRPr="00EA3F2C" w:rsidRDefault="009B4F72" w:rsidP="00E34BBA">
            <w:pPr>
              <w:keepNext/>
              <w:spacing w:line="264" w:lineRule="auto"/>
              <w:contextualSpacing/>
              <w:jc w:val="right"/>
              <w:rPr>
                <w:rFonts w:ascii="Arial" w:hAnsi="Arial" w:cs="Arial"/>
                <w:b/>
                <w:sz w:val="22"/>
                <w:szCs w:val="22"/>
              </w:rPr>
            </w:pPr>
            <w:r w:rsidRPr="00EA3F2C">
              <w:rPr>
                <w:rFonts w:ascii="Arial" w:hAnsi="Arial" w:cs="Arial"/>
                <w:b/>
                <w:sz w:val="22"/>
                <w:szCs w:val="22"/>
              </w:rPr>
              <w:t>98.0</w:t>
            </w:r>
          </w:p>
        </w:tc>
      </w:tr>
    </w:tbl>
    <w:p w14:paraId="36E942D7" w14:textId="2B40BB3E" w:rsidR="009B4F72" w:rsidRDefault="009B4F72" w:rsidP="009B4F72">
      <w:pPr>
        <w:spacing w:line="264" w:lineRule="auto"/>
        <w:rPr>
          <w:rFonts w:ascii="Arial" w:hAnsi="Arial" w:cs="Arial"/>
          <w:szCs w:val="24"/>
        </w:rPr>
      </w:pPr>
    </w:p>
    <w:p w14:paraId="2DB612FD" w14:textId="77777777" w:rsidR="009B4F72" w:rsidRPr="009344C4" w:rsidRDefault="009B4F72" w:rsidP="009B4F72">
      <w:pPr>
        <w:spacing w:line="264" w:lineRule="auto"/>
        <w:jc w:val="both"/>
        <w:rPr>
          <w:rFonts w:ascii="Arial" w:hAnsi="Arial" w:cs="Arial"/>
          <w:b/>
          <w:bCs/>
          <w:szCs w:val="24"/>
        </w:rPr>
      </w:pPr>
      <w:r>
        <w:rPr>
          <w:rFonts w:ascii="Arial" w:hAnsi="Arial" w:cs="Arial"/>
          <w:b/>
          <w:bCs/>
          <w:szCs w:val="24"/>
        </w:rPr>
        <w:t>ELECTRIFICATION</w:t>
      </w:r>
    </w:p>
    <w:p w14:paraId="3D03486E" w14:textId="77777777" w:rsidR="009B4F72" w:rsidRDefault="009B4F72" w:rsidP="009B4F72">
      <w:pPr>
        <w:spacing w:line="264" w:lineRule="auto"/>
        <w:jc w:val="both"/>
        <w:rPr>
          <w:rFonts w:ascii="Arial" w:hAnsi="Arial" w:cs="Arial"/>
          <w:szCs w:val="24"/>
        </w:rPr>
      </w:pPr>
      <w:r>
        <w:rPr>
          <w:rFonts w:ascii="Arial" w:hAnsi="Arial" w:cs="Arial"/>
          <w:b/>
          <w:bCs/>
          <w:i/>
          <w:iCs/>
          <w:szCs w:val="24"/>
        </w:rPr>
        <w:t xml:space="preserve">Operating: </w:t>
      </w:r>
      <w:r w:rsidRPr="008F4CD1">
        <w:rPr>
          <w:rFonts w:ascii="Arial" w:hAnsi="Arial" w:cs="Arial"/>
          <w:b/>
          <w:bCs/>
          <w:i/>
          <w:iCs/>
          <w:szCs w:val="24"/>
        </w:rPr>
        <w:t xml:space="preserve">Battery Bus Implementation </w:t>
      </w:r>
      <w:r>
        <w:rPr>
          <w:rFonts w:ascii="Arial" w:hAnsi="Arial" w:cs="Arial"/>
          <w:b/>
          <w:bCs/>
          <w:i/>
          <w:iCs/>
          <w:szCs w:val="24"/>
        </w:rPr>
        <w:t>and</w:t>
      </w:r>
      <w:r w:rsidRPr="008F4CD1">
        <w:rPr>
          <w:rFonts w:ascii="Arial" w:hAnsi="Arial" w:cs="Arial"/>
          <w:b/>
          <w:bCs/>
          <w:i/>
          <w:iCs/>
          <w:szCs w:val="24"/>
        </w:rPr>
        <w:t xml:space="preserve"> Support</w:t>
      </w:r>
      <w:r>
        <w:rPr>
          <w:rFonts w:ascii="Arial" w:hAnsi="Arial" w:cs="Arial"/>
          <w:b/>
          <w:bCs/>
          <w:i/>
          <w:iCs/>
          <w:szCs w:val="24"/>
        </w:rPr>
        <w:t xml:space="preserve"> [$</w:t>
      </w:r>
      <w:r w:rsidRPr="008F4CD1">
        <w:rPr>
          <w:rFonts w:ascii="Arial" w:hAnsi="Arial" w:cs="Arial"/>
          <w:b/>
          <w:bCs/>
          <w:i/>
          <w:iCs/>
          <w:szCs w:val="24"/>
        </w:rPr>
        <w:t>451,031</w:t>
      </w:r>
      <w:r>
        <w:rPr>
          <w:rFonts w:ascii="Arial" w:hAnsi="Arial" w:cs="Arial"/>
          <w:b/>
          <w:bCs/>
          <w:i/>
          <w:iCs/>
          <w:szCs w:val="24"/>
        </w:rPr>
        <w:t xml:space="preserve">, 3.0 TLTs].  </w:t>
      </w:r>
      <w:r>
        <w:rPr>
          <w:rFonts w:ascii="Arial" w:hAnsi="Arial" w:cs="Arial"/>
          <w:szCs w:val="24"/>
        </w:rPr>
        <w:t>The proposed ordinance would prepare for the delivery of 40 battery operated buses in this biennium by appropriating $451,031 for 3.0 TLTs to support the different operating needs of battery operated buses.</w:t>
      </w:r>
    </w:p>
    <w:p w14:paraId="41FE799B" w14:textId="77777777" w:rsidR="009B4F72" w:rsidRDefault="009B4F72" w:rsidP="009B4F72">
      <w:pPr>
        <w:spacing w:line="264" w:lineRule="auto"/>
        <w:jc w:val="both"/>
        <w:rPr>
          <w:rFonts w:ascii="Arial" w:hAnsi="Arial" w:cs="Arial"/>
          <w:szCs w:val="24"/>
        </w:rPr>
      </w:pPr>
    </w:p>
    <w:p w14:paraId="5A8BFA63" w14:textId="77777777" w:rsidR="009B4F72" w:rsidRDefault="009B4F72" w:rsidP="009B4F72">
      <w:pPr>
        <w:spacing w:line="264" w:lineRule="auto"/>
        <w:jc w:val="both"/>
        <w:rPr>
          <w:rFonts w:ascii="Arial" w:hAnsi="Arial" w:cs="Arial"/>
          <w:szCs w:val="24"/>
        </w:rPr>
      </w:pPr>
      <w:r>
        <w:rPr>
          <w:rFonts w:ascii="Arial" w:hAnsi="Arial" w:cs="Arial"/>
          <w:b/>
          <w:bCs/>
          <w:i/>
          <w:iCs/>
          <w:szCs w:val="24"/>
        </w:rPr>
        <w:t xml:space="preserve">Capital: Interim Base Charging Infrastructure, Access Electric Vehicle Pilot, Zero Emission Infrastructure and Base Electrification Planning and Real Estate Acquisition [$80,098,376].  </w:t>
      </w:r>
      <w:r>
        <w:rPr>
          <w:rFonts w:ascii="Arial" w:hAnsi="Arial" w:cs="Arial"/>
          <w:szCs w:val="24"/>
        </w:rPr>
        <w:t>The proposed ordinance would appropriate a net total of $80 million for accelerating the planned appropriation for building electric bus charging capacity for 105 battery electric buses at Metro's Interim Base, an Access electric vehicle pilot, and base electrification planning.  The table below shows the breakdown of electrification capital project requests.</w:t>
      </w:r>
    </w:p>
    <w:p w14:paraId="05B34D41" w14:textId="7F963184" w:rsidR="009B4F72" w:rsidRDefault="009B4F72" w:rsidP="00F9596C">
      <w:pPr>
        <w:keepNext/>
        <w:spacing w:line="264" w:lineRule="auto"/>
        <w:rPr>
          <w:rFonts w:ascii="Arial" w:hAnsi="Arial" w:cs="Arial"/>
          <w:b/>
          <w:szCs w:val="24"/>
        </w:rPr>
      </w:pPr>
    </w:p>
    <w:tbl>
      <w:tblPr>
        <w:tblStyle w:val="TableGrid"/>
        <w:tblW w:w="0" w:type="auto"/>
        <w:jc w:val="center"/>
        <w:tblLook w:val="04A0" w:firstRow="1" w:lastRow="0" w:firstColumn="1" w:lastColumn="0" w:noHBand="0" w:noVBand="1"/>
      </w:tblPr>
      <w:tblGrid>
        <w:gridCol w:w="1188"/>
        <w:gridCol w:w="2195"/>
        <w:gridCol w:w="4277"/>
        <w:gridCol w:w="1916"/>
      </w:tblGrid>
      <w:tr w:rsidR="009B4F72" w:rsidRPr="008D0300" w14:paraId="642F95AB" w14:textId="77777777" w:rsidTr="00193989">
        <w:trPr>
          <w:cantSplit/>
          <w:trHeight w:val="411"/>
          <w:tblHeader/>
          <w:jc w:val="center"/>
        </w:trPr>
        <w:tc>
          <w:tcPr>
            <w:tcW w:w="1188" w:type="dxa"/>
            <w:tcBorders>
              <w:top w:val="single" w:sz="12" w:space="0" w:color="auto"/>
              <w:left w:val="nil"/>
              <w:bottom w:val="single" w:sz="4" w:space="0" w:color="auto"/>
              <w:right w:val="nil"/>
            </w:tcBorders>
            <w:vAlign w:val="center"/>
          </w:tcPr>
          <w:p w14:paraId="4AA76166" w14:textId="77777777" w:rsidR="009B4F72" w:rsidRPr="00F9596C" w:rsidRDefault="009B4F72" w:rsidP="00E34BBA">
            <w:pPr>
              <w:keepNext/>
              <w:jc w:val="center"/>
              <w:rPr>
                <w:rFonts w:ascii="Arial" w:hAnsi="Arial" w:cs="Arial"/>
                <w:b/>
                <w:sz w:val="22"/>
                <w:szCs w:val="22"/>
              </w:rPr>
            </w:pPr>
            <w:r w:rsidRPr="00F9596C">
              <w:rPr>
                <w:rFonts w:ascii="Arial" w:hAnsi="Arial" w:cs="Arial"/>
                <w:b/>
                <w:sz w:val="22"/>
                <w:szCs w:val="22"/>
              </w:rPr>
              <w:t>Project #</w:t>
            </w:r>
          </w:p>
        </w:tc>
        <w:tc>
          <w:tcPr>
            <w:tcW w:w="2195" w:type="dxa"/>
            <w:tcBorders>
              <w:top w:val="single" w:sz="12" w:space="0" w:color="auto"/>
              <w:left w:val="nil"/>
              <w:bottom w:val="single" w:sz="4" w:space="0" w:color="auto"/>
              <w:right w:val="nil"/>
            </w:tcBorders>
            <w:shd w:val="clear" w:color="auto" w:fill="auto"/>
            <w:vAlign w:val="center"/>
          </w:tcPr>
          <w:p w14:paraId="12505508" w14:textId="77777777" w:rsidR="009B4F72" w:rsidRPr="00F9596C" w:rsidRDefault="009B4F72" w:rsidP="00E34BBA">
            <w:pPr>
              <w:keepNext/>
              <w:jc w:val="center"/>
              <w:rPr>
                <w:rFonts w:ascii="Arial" w:hAnsi="Arial" w:cs="Arial"/>
                <w:b/>
                <w:sz w:val="22"/>
                <w:szCs w:val="22"/>
              </w:rPr>
            </w:pPr>
            <w:r w:rsidRPr="00F9596C">
              <w:rPr>
                <w:rFonts w:ascii="Arial" w:hAnsi="Arial" w:cs="Arial"/>
                <w:b/>
                <w:sz w:val="22"/>
                <w:szCs w:val="22"/>
              </w:rPr>
              <w:t>Project</w:t>
            </w:r>
          </w:p>
        </w:tc>
        <w:tc>
          <w:tcPr>
            <w:tcW w:w="0" w:type="auto"/>
            <w:tcBorders>
              <w:top w:val="single" w:sz="12" w:space="0" w:color="auto"/>
              <w:left w:val="nil"/>
              <w:bottom w:val="single" w:sz="4" w:space="0" w:color="auto"/>
              <w:right w:val="nil"/>
            </w:tcBorders>
            <w:vAlign w:val="center"/>
          </w:tcPr>
          <w:p w14:paraId="2EDAD89E" w14:textId="77777777" w:rsidR="009B4F72" w:rsidRPr="00F9596C" w:rsidRDefault="009B4F72" w:rsidP="00E34BBA">
            <w:pPr>
              <w:keepNext/>
              <w:jc w:val="center"/>
              <w:rPr>
                <w:rFonts w:ascii="Arial" w:hAnsi="Arial" w:cs="Arial"/>
                <w:b/>
                <w:sz w:val="22"/>
                <w:szCs w:val="22"/>
              </w:rPr>
            </w:pPr>
            <w:r w:rsidRPr="00F9596C">
              <w:rPr>
                <w:rFonts w:ascii="Arial" w:hAnsi="Arial" w:cs="Arial"/>
                <w:b/>
                <w:sz w:val="22"/>
                <w:szCs w:val="22"/>
              </w:rPr>
              <w:t>Description</w:t>
            </w:r>
          </w:p>
        </w:tc>
        <w:tc>
          <w:tcPr>
            <w:tcW w:w="0" w:type="auto"/>
            <w:tcBorders>
              <w:top w:val="single" w:sz="12" w:space="0" w:color="auto"/>
              <w:left w:val="nil"/>
              <w:bottom w:val="single" w:sz="4" w:space="0" w:color="auto"/>
              <w:right w:val="single" w:sz="2" w:space="0" w:color="FFFFFF" w:themeColor="background1"/>
            </w:tcBorders>
            <w:vAlign w:val="center"/>
          </w:tcPr>
          <w:p w14:paraId="1CB4EE88" w14:textId="77777777" w:rsidR="009B4F72" w:rsidRPr="00F9596C" w:rsidRDefault="009B4F72" w:rsidP="009B4F72">
            <w:pPr>
              <w:keepNext/>
              <w:jc w:val="center"/>
              <w:rPr>
                <w:rFonts w:ascii="Arial" w:hAnsi="Arial" w:cs="Arial"/>
                <w:b/>
                <w:sz w:val="22"/>
                <w:szCs w:val="22"/>
              </w:rPr>
            </w:pPr>
            <w:r w:rsidRPr="00F9596C">
              <w:rPr>
                <w:rFonts w:ascii="Arial" w:hAnsi="Arial" w:cs="Arial"/>
                <w:b/>
                <w:sz w:val="22"/>
                <w:szCs w:val="22"/>
              </w:rPr>
              <w:t>Appropriation Amount</w:t>
            </w:r>
          </w:p>
        </w:tc>
      </w:tr>
      <w:tr w:rsidR="009B4F72" w:rsidRPr="008D0300" w14:paraId="087F22C3" w14:textId="77777777" w:rsidTr="00193989">
        <w:trPr>
          <w:cantSplit/>
          <w:jc w:val="center"/>
        </w:trPr>
        <w:tc>
          <w:tcPr>
            <w:tcW w:w="1188" w:type="dxa"/>
            <w:tcBorders>
              <w:top w:val="single" w:sz="4" w:space="0" w:color="auto"/>
              <w:left w:val="nil"/>
              <w:bottom w:val="dotted" w:sz="4" w:space="0" w:color="auto"/>
              <w:right w:val="nil"/>
            </w:tcBorders>
          </w:tcPr>
          <w:p w14:paraId="108DBF27" w14:textId="77777777" w:rsidR="009B4F72" w:rsidRPr="00F9596C" w:rsidRDefault="009B4F72" w:rsidP="00E34BBA">
            <w:pPr>
              <w:keepNext/>
              <w:rPr>
                <w:rFonts w:ascii="Arial" w:hAnsi="Arial" w:cs="Arial"/>
                <w:sz w:val="22"/>
                <w:szCs w:val="22"/>
              </w:rPr>
            </w:pPr>
            <w:r w:rsidRPr="00F9596C">
              <w:rPr>
                <w:rFonts w:ascii="Arial" w:hAnsi="Arial" w:cs="Arial"/>
                <w:sz w:val="22"/>
                <w:szCs w:val="22"/>
              </w:rPr>
              <w:t>1134274</w:t>
            </w:r>
          </w:p>
        </w:tc>
        <w:tc>
          <w:tcPr>
            <w:tcW w:w="2195" w:type="dxa"/>
            <w:tcBorders>
              <w:top w:val="single" w:sz="4" w:space="0" w:color="auto"/>
              <w:left w:val="nil"/>
              <w:bottom w:val="dotted" w:sz="4" w:space="0" w:color="auto"/>
              <w:right w:val="nil"/>
            </w:tcBorders>
            <w:tcMar>
              <w:top w:w="72" w:type="dxa"/>
              <w:left w:w="115" w:type="dxa"/>
              <w:bottom w:w="72" w:type="dxa"/>
              <w:right w:w="115" w:type="dxa"/>
            </w:tcMar>
          </w:tcPr>
          <w:p w14:paraId="28EB0294"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Interim Base Battery Electric Bus Charging</w:t>
            </w:r>
          </w:p>
        </w:tc>
        <w:tc>
          <w:tcPr>
            <w:tcW w:w="0" w:type="auto"/>
            <w:tcBorders>
              <w:top w:val="single" w:sz="4" w:space="0" w:color="auto"/>
              <w:left w:val="nil"/>
              <w:bottom w:val="dotted" w:sz="4" w:space="0" w:color="auto"/>
              <w:right w:val="nil"/>
            </w:tcBorders>
          </w:tcPr>
          <w:p w14:paraId="5ACE9F36"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Accelerating the planned appropriation for building charging capacity for 105 BEBs at the Interim Base.  Note that this request does not change the currently planned scope or timing of the project.</w:t>
            </w:r>
          </w:p>
        </w:tc>
        <w:tc>
          <w:tcPr>
            <w:tcW w:w="0" w:type="auto"/>
            <w:tcBorders>
              <w:top w:val="single" w:sz="4" w:space="0" w:color="auto"/>
              <w:left w:val="nil"/>
              <w:bottom w:val="dotted" w:sz="4" w:space="0" w:color="auto"/>
              <w:right w:val="single" w:sz="2" w:space="0" w:color="FFFFFF" w:themeColor="background1"/>
            </w:tcBorders>
            <w:tcMar>
              <w:top w:w="72" w:type="dxa"/>
              <w:left w:w="115" w:type="dxa"/>
              <w:bottom w:w="72" w:type="dxa"/>
              <w:right w:w="115" w:type="dxa"/>
            </w:tcMar>
          </w:tcPr>
          <w:p w14:paraId="43BEC457" w14:textId="77777777" w:rsidR="009B4F72" w:rsidRPr="00F9596C" w:rsidRDefault="009B4F72" w:rsidP="00E34BBA">
            <w:pPr>
              <w:keepNext/>
              <w:ind w:left="360"/>
              <w:jc w:val="right"/>
              <w:rPr>
                <w:rFonts w:ascii="Arial" w:hAnsi="Arial" w:cs="Arial"/>
                <w:sz w:val="22"/>
                <w:szCs w:val="22"/>
              </w:rPr>
            </w:pPr>
            <w:r w:rsidRPr="00F9596C">
              <w:rPr>
                <w:rFonts w:ascii="Arial" w:hAnsi="Arial" w:cs="Arial"/>
                <w:sz w:val="22"/>
                <w:szCs w:val="22"/>
              </w:rPr>
              <w:t>$63,110,557</w:t>
            </w:r>
          </w:p>
        </w:tc>
      </w:tr>
      <w:tr w:rsidR="009B4F72" w:rsidRPr="008D0300" w14:paraId="2609D86B" w14:textId="77777777" w:rsidTr="00193989">
        <w:trPr>
          <w:cantSplit/>
          <w:jc w:val="center"/>
        </w:trPr>
        <w:tc>
          <w:tcPr>
            <w:tcW w:w="1188" w:type="dxa"/>
            <w:tcBorders>
              <w:top w:val="dotted" w:sz="4" w:space="0" w:color="auto"/>
              <w:left w:val="nil"/>
              <w:bottom w:val="dotted" w:sz="4" w:space="0" w:color="auto"/>
              <w:right w:val="nil"/>
            </w:tcBorders>
          </w:tcPr>
          <w:p w14:paraId="10654E90" w14:textId="77777777" w:rsidR="009B4F72" w:rsidRPr="00F9596C" w:rsidRDefault="009B4F72" w:rsidP="00E34BBA">
            <w:pPr>
              <w:keepNext/>
              <w:rPr>
                <w:rFonts w:ascii="Arial" w:hAnsi="Arial" w:cs="Arial"/>
                <w:sz w:val="22"/>
                <w:szCs w:val="22"/>
              </w:rPr>
            </w:pPr>
            <w:r w:rsidRPr="00F9596C">
              <w:rPr>
                <w:rFonts w:ascii="Arial" w:hAnsi="Arial" w:cs="Arial"/>
                <w:sz w:val="22"/>
                <w:szCs w:val="22"/>
              </w:rPr>
              <w:t>1142107</w:t>
            </w:r>
          </w:p>
        </w:tc>
        <w:tc>
          <w:tcPr>
            <w:tcW w:w="2195" w:type="dxa"/>
            <w:tcBorders>
              <w:top w:val="dotted" w:sz="4" w:space="0" w:color="auto"/>
              <w:left w:val="nil"/>
              <w:bottom w:val="dotted" w:sz="4" w:space="0" w:color="auto"/>
              <w:right w:val="nil"/>
            </w:tcBorders>
            <w:tcMar>
              <w:top w:w="72" w:type="dxa"/>
              <w:left w:w="115" w:type="dxa"/>
              <w:bottom w:w="72" w:type="dxa"/>
              <w:right w:w="115" w:type="dxa"/>
            </w:tcMar>
          </w:tcPr>
          <w:p w14:paraId="198394E0"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Real Estate Opportunities Budget</w:t>
            </w:r>
          </w:p>
        </w:tc>
        <w:tc>
          <w:tcPr>
            <w:tcW w:w="0" w:type="auto"/>
            <w:tcBorders>
              <w:top w:val="dotted" w:sz="4" w:space="0" w:color="auto"/>
              <w:left w:val="nil"/>
              <w:bottom w:val="dotted" w:sz="4" w:space="0" w:color="auto"/>
              <w:right w:val="nil"/>
            </w:tcBorders>
          </w:tcPr>
          <w:p w14:paraId="67F30F71"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A set-aside for strategic investments, as market opportunities arise, in real estate that may be beneficial for electrifying Metro's bases</w:t>
            </w:r>
          </w:p>
        </w:tc>
        <w:tc>
          <w:tcPr>
            <w:tcW w:w="0" w:type="auto"/>
            <w:tcBorders>
              <w:top w:val="dotted" w:sz="4" w:space="0" w:color="auto"/>
              <w:left w:val="nil"/>
              <w:bottom w:val="dotted" w:sz="4" w:space="0" w:color="auto"/>
              <w:right w:val="single" w:sz="2" w:space="0" w:color="FFFFFF" w:themeColor="background1"/>
            </w:tcBorders>
            <w:tcMar>
              <w:top w:w="72" w:type="dxa"/>
              <w:left w:w="115" w:type="dxa"/>
              <w:bottom w:w="72" w:type="dxa"/>
              <w:right w:w="115" w:type="dxa"/>
            </w:tcMar>
          </w:tcPr>
          <w:p w14:paraId="72A4597C" w14:textId="77777777" w:rsidR="009B4F72" w:rsidRPr="00F9596C" w:rsidRDefault="009B4F72" w:rsidP="00E34BBA">
            <w:pPr>
              <w:keepNext/>
              <w:ind w:left="360"/>
              <w:jc w:val="right"/>
              <w:rPr>
                <w:rFonts w:ascii="Arial" w:hAnsi="Arial" w:cs="Arial"/>
                <w:sz w:val="22"/>
                <w:szCs w:val="22"/>
              </w:rPr>
            </w:pPr>
            <w:r w:rsidRPr="00F9596C">
              <w:rPr>
                <w:rFonts w:ascii="Arial" w:hAnsi="Arial" w:cs="Arial"/>
                <w:sz w:val="22"/>
                <w:szCs w:val="22"/>
              </w:rPr>
              <w:t>$15,000,000</w:t>
            </w:r>
          </w:p>
        </w:tc>
      </w:tr>
      <w:tr w:rsidR="009B4F72" w:rsidRPr="008D0300" w14:paraId="0B9F75E5" w14:textId="77777777" w:rsidTr="00193989">
        <w:trPr>
          <w:cantSplit/>
          <w:trHeight w:val="13"/>
          <w:jc w:val="center"/>
        </w:trPr>
        <w:tc>
          <w:tcPr>
            <w:tcW w:w="1188" w:type="dxa"/>
            <w:tcBorders>
              <w:top w:val="dotted" w:sz="4" w:space="0" w:color="auto"/>
              <w:left w:val="nil"/>
              <w:bottom w:val="dotted" w:sz="4" w:space="0" w:color="auto"/>
              <w:right w:val="nil"/>
            </w:tcBorders>
          </w:tcPr>
          <w:p w14:paraId="62C049C6" w14:textId="77777777" w:rsidR="009B4F72" w:rsidRPr="00F9596C" w:rsidRDefault="009B4F72" w:rsidP="00E34BBA">
            <w:pPr>
              <w:keepNext/>
              <w:rPr>
                <w:rFonts w:ascii="Arial" w:hAnsi="Arial" w:cs="Arial"/>
                <w:b/>
                <w:sz w:val="22"/>
                <w:szCs w:val="22"/>
              </w:rPr>
            </w:pPr>
            <w:r w:rsidRPr="00F9596C">
              <w:rPr>
                <w:rFonts w:ascii="Arial" w:hAnsi="Arial" w:cs="Arial"/>
                <w:sz w:val="22"/>
                <w:szCs w:val="22"/>
              </w:rPr>
              <w:t>1141993</w:t>
            </w:r>
          </w:p>
        </w:tc>
        <w:tc>
          <w:tcPr>
            <w:tcW w:w="2195" w:type="dxa"/>
            <w:tcBorders>
              <w:top w:val="dotted" w:sz="4" w:space="0" w:color="auto"/>
              <w:left w:val="nil"/>
              <w:bottom w:val="dotted" w:sz="4" w:space="0" w:color="auto"/>
              <w:right w:val="nil"/>
            </w:tcBorders>
            <w:tcMar>
              <w:top w:w="72" w:type="dxa"/>
              <w:left w:w="115" w:type="dxa"/>
              <w:bottom w:w="72" w:type="dxa"/>
              <w:right w:w="115" w:type="dxa"/>
            </w:tcMar>
          </w:tcPr>
          <w:p w14:paraId="05DB2705" w14:textId="77777777" w:rsidR="009B4F72" w:rsidRPr="00F9596C" w:rsidRDefault="009B4F72" w:rsidP="00E34BBA">
            <w:pPr>
              <w:keepNext/>
              <w:ind w:left="360"/>
              <w:rPr>
                <w:rFonts w:ascii="Arial" w:hAnsi="Arial" w:cs="Arial"/>
                <w:b/>
                <w:sz w:val="22"/>
                <w:szCs w:val="22"/>
              </w:rPr>
            </w:pPr>
            <w:r w:rsidRPr="00F9596C">
              <w:rPr>
                <w:rFonts w:ascii="Arial" w:hAnsi="Arial" w:cs="Arial"/>
                <w:sz w:val="22"/>
                <w:szCs w:val="22"/>
              </w:rPr>
              <w:t>ADA Access Electric Vehicle Pilot</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Pr>
          <w:p w14:paraId="4374A87C"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Funding to support piloting an electric ADA Access vehicle</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6D706354" w14:textId="77777777" w:rsidR="009B4F72" w:rsidRPr="00F9596C" w:rsidRDefault="009B4F72" w:rsidP="00E34BBA">
            <w:pPr>
              <w:keepNext/>
              <w:ind w:left="360"/>
              <w:jc w:val="right"/>
              <w:rPr>
                <w:rFonts w:ascii="Arial" w:hAnsi="Arial" w:cs="Arial"/>
                <w:b/>
                <w:sz w:val="22"/>
                <w:szCs w:val="22"/>
              </w:rPr>
            </w:pPr>
            <w:r w:rsidRPr="00F9596C">
              <w:rPr>
                <w:rFonts w:ascii="Arial" w:hAnsi="Arial" w:cs="Arial"/>
                <w:sz w:val="22"/>
                <w:szCs w:val="22"/>
              </w:rPr>
              <w:t>$1,000,000</w:t>
            </w:r>
          </w:p>
        </w:tc>
      </w:tr>
      <w:tr w:rsidR="009B4F72" w:rsidRPr="008D0300" w14:paraId="6ECF039E" w14:textId="77777777" w:rsidTr="00193989">
        <w:trPr>
          <w:cantSplit/>
          <w:trHeight w:val="13"/>
          <w:jc w:val="center"/>
        </w:trPr>
        <w:tc>
          <w:tcPr>
            <w:tcW w:w="1188" w:type="dxa"/>
            <w:tcBorders>
              <w:top w:val="dotted" w:sz="4" w:space="0" w:color="auto"/>
              <w:left w:val="nil"/>
              <w:bottom w:val="dotted" w:sz="4" w:space="0" w:color="auto"/>
              <w:right w:val="nil"/>
            </w:tcBorders>
          </w:tcPr>
          <w:p w14:paraId="7F7A86B6" w14:textId="77777777" w:rsidR="009B4F72" w:rsidRPr="00F9596C" w:rsidRDefault="009B4F72" w:rsidP="00E34BBA">
            <w:pPr>
              <w:keepNext/>
              <w:rPr>
                <w:rFonts w:ascii="Arial" w:hAnsi="Arial" w:cs="Arial"/>
                <w:sz w:val="22"/>
                <w:szCs w:val="22"/>
              </w:rPr>
            </w:pPr>
            <w:r w:rsidRPr="00F9596C">
              <w:rPr>
                <w:rFonts w:ascii="Arial" w:hAnsi="Arial" w:cs="Arial"/>
                <w:sz w:val="22"/>
                <w:szCs w:val="22"/>
              </w:rPr>
              <w:t>1142163</w:t>
            </w:r>
          </w:p>
        </w:tc>
        <w:tc>
          <w:tcPr>
            <w:tcW w:w="2195" w:type="dxa"/>
            <w:tcBorders>
              <w:top w:val="dotted" w:sz="4" w:space="0" w:color="auto"/>
              <w:left w:val="nil"/>
              <w:bottom w:val="dotted" w:sz="4" w:space="0" w:color="auto"/>
              <w:right w:val="nil"/>
            </w:tcBorders>
            <w:tcMar>
              <w:top w:w="72" w:type="dxa"/>
              <w:left w:w="115" w:type="dxa"/>
              <w:bottom w:w="72" w:type="dxa"/>
              <w:right w:w="115" w:type="dxa"/>
            </w:tcMar>
          </w:tcPr>
          <w:p w14:paraId="1A8F00FC"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Base Electrification Planning</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Pr>
          <w:p w14:paraId="7B25899A"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Planning towards converting an existing Metro transit base to electric charging</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6A1CD2C7" w14:textId="77777777" w:rsidR="009B4F72" w:rsidRPr="00F9596C" w:rsidRDefault="009B4F72" w:rsidP="00E34BBA">
            <w:pPr>
              <w:keepNext/>
              <w:ind w:left="360"/>
              <w:jc w:val="right"/>
              <w:rPr>
                <w:rFonts w:ascii="Arial" w:hAnsi="Arial" w:cs="Arial"/>
                <w:sz w:val="22"/>
                <w:szCs w:val="22"/>
              </w:rPr>
            </w:pPr>
            <w:r w:rsidRPr="00F9596C">
              <w:rPr>
                <w:rFonts w:ascii="Arial" w:hAnsi="Arial" w:cs="Arial"/>
                <w:sz w:val="22"/>
                <w:szCs w:val="22"/>
              </w:rPr>
              <w:t>$500,000</w:t>
            </w:r>
          </w:p>
        </w:tc>
      </w:tr>
      <w:tr w:rsidR="009B4F72" w:rsidRPr="008D0300" w14:paraId="4B5835DD" w14:textId="77777777" w:rsidTr="00193989">
        <w:trPr>
          <w:cantSplit/>
          <w:trHeight w:val="21"/>
          <w:jc w:val="center"/>
        </w:trPr>
        <w:tc>
          <w:tcPr>
            <w:tcW w:w="1188" w:type="dxa"/>
            <w:tcBorders>
              <w:top w:val="dotted" w:sz="4" w:space="0" w:color="auto"/>
              <w:left w:val="nil"/>
              <w:bottom w:val="dotted" w:sz="4" w:space="0" w:color="auto"/>
              <w:right w:val="nil"/>
            </w:tcBorders>
          </w:tcPr>
          <w:p w14:paraId="16CAB0BF" w14:textId="77777777" w:rsidR="009B4F72" w:rsidRPr="00F9596C" w:rsidRDefault="009B4F72" w:rsidP="00E34BBA">
            <w:pPr>
              <w:keepNext/>
              <w:rPr>
                <w:rFonts w:ascii="Arial" w:hAnsi="Arial" w:cs="Arial"/>
                <w:b/>
                <w:sz w:val="22"/>
                <w:szCs w:val="22"/>
              </w:rPr>
            </w:pPr>
            <w:r w:rsidRPr="00F9596C">
              <w:rPr>
                <w:rFonts w:ascii="Arial" w:hAnsi="Arial" w:cs="Arial"/>
                <w:sz w:val="22"/>
                <w:szCs w:val="22"/>
              </w:rPr>
              <w:t>1142080</w:t>
            </w:r>
          </w:p>
        </w:tc>
        <w:tc>
          <w:tcPr>
            <w:tcW w:w="2195" w:type="dxa"/>
            <w:tcBorders>
              <w:top w:val="dotted" w:sz="4" w:space="0" w:color="auto"/>
              <w:left w:val="nil"/>
              <w:bottom w:val="dotted" w:sz="4" w:space="0" w:color="auto"/>
              <w:right w:val="nil"/>
            </w:tcBorders>
            <w:tcMar>
              <w:top w:w="72" w:type="dxa"/>
              <w:left w:w="115" w:type="dxa"/>
              <w:bottom w:w="72" w:type="dxa"/>
              <w:right w:w="115" w:type="dxa"/>
            </w:tcMar>
          </w:tcPr>
          <w:p w14:paraId="78EB5C09" w14:textId="77777777" w:rsidR="009B4F72" w:rsidRPr="00F9596C" w:rsidRDefault="009B4F72" w:rsidP="00E34BBA">
            <w:pPr>
              <w:keepNext/>
              <w:ind w:left="360"/>
              <w:rPr>
                <w:rFonts w:ascii="Arial" w:hAnsi="Arial" w:cs="Arial"/>
                <w:b/>
                <w:sz w:val="22"/>
                <w:szCs w:val="22"/>
              </w:rPr>
            </w:pPr>
            <w:r w:rsidRPr="00F9596C">
              <w:rPr>
                <w:rFonts w:ascii="Arial" w:hAnsi="Arial" w:cs="Arial"/>
                <w:sz w:val="22"/>
                <w:szCs w:val="22"/>
              </w:rPr>
              <w:t>Contracted Services Electric Base Planning</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Pr>
          <w:p w14:paraId="7836BE80"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 xml:space="preserve">Planning towards a base with electric charging for contracted services </w:t>
            </w:r>
          </w:p>
        </w:tc>
        <w:tc>
          <w:tcPr>
            <w:tcW w:w="0" w:type="auto"/>
            <w:tcBorders>
              <w:top w:val="dotted" w:sz="4" w:space="0" w:color="auto"/>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673730CE" w14:textId="77777777" w:rsidR="009B4F72" w:rsidRPr="00F9596C" w:rsidRDefault="009B4F72" w:rsidP="00E34BBA">
            <w:pPr>
              <w:keepNext/>
              <w:ind w:left="360"/>
              <w:jc w:val="right"/>
              <w:rPr>
                <w:rFonts w:ascii="Arial" w:hAnsi="Arial" w:cs="Arial"/>
                <w:b/>
                <w:sz w:val="22"/>
                <w:szCs w:val="22"/>
              </w:rPr>
            </w:pPr>
            <w:r w:rsidRPr="00F9596C">
              <w:rPr>
                <w:rFonts w:ascii="Arial" w:hAnsi="Arial" w:cs="Arial"/>
                <w:sz w:val="22"/>
                <w:szCs w:val="22"/>
              </w:rPr>
              <w:t>$333,333</w:t>
            </w:r>
          </w:p>
        </w:tc>
      </w:tr>
      <w:tr w:rsidR="009B4F72" w:rsidRPr="008D0300" w14:paraId="34BCA8B3" w14:textId="77777777" w:rsidTr="00193989">
        <w:trPr>
          <w:cantSplit/>
          <w:trHeight w:val="13"/>
          <w:jc w:val="center"/>
        </w:trPr>
        <w:tc>
          <w:tcPr>
            <w:tcW w:w="1188" w:type="dxa"/>
            <w:tcBorders>
              <w:top w:val="dotted" w:sz="4" w:space="0" w:color="auto"/>
              <w:left w:val="nil"/>
              <w:bottom w:val="single" w:sz="4" w:space="0" w:color="auto"/>
              <w:right w:val="nil"/>
            </w:tcBorders>
          </w:tcPr>
          <w:p w14:paraId="12172FC3" w14:textId="77777777" w:rsidR="009B4F72" w:rsidRPr="00F9596C" w:rsidRDefault="009B4F72" w:rsidP="00E34BBA">
            <w:pPr>
              <w:keepNext/>
              <w:rPr>
                <w:rFonts w:ascii="Arial" w:hAnsi="Arial" w:cs="Arial"/>
                <w:sz w:val="22"/>
                <w:szCs w:val="22"/>
              </w:rPr>
            </w:pPr>
            <w:r w:rsidRPr="00F9596C">
              <w:rPr>
                <w:rFonts w:ascii="Arial" w:hAnsi="Arial" w:cs="Arial"/>
                <w:sz w:val="22"/>
                <w:szCs w:val="22"/>
              </w:rPr>
              <w:t>1134223</w:t>
            </w:r>
          </w:p>
        </w:tc>
        <w:tc>
          <w:tcPr>
            <w:tcW w:w="2195" w:type="dxa"/>
            <w:tcBorders>
              <w:top w:val="dotted" w:sz="4" w:space="0" w:color="auto"/>
              <w:left w:val="nil"/>
              <w:bottom w:val="single" w:sz="4" w:space="0" w:color="auto"/>
              <w:right w:val="nil"/>
            </w:tcBorders>
            <w:tcMar>
              <w:top w:w="72" w:type="dxa"/>
              <w:left w:w="115" w:type="dxa"/>
              <w:bottom w:w="72" w:type="dxa"/>
              <w:right w:w="115" w:type="dxa"/>
            </w:tcMar>
          </w:tcPr>
          <w:p w14:paraId="1E900277"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South Annex Base</w:t>
            </w:r>
          </w:p>
        </w:tc>
        <w:tc>
          <w:tcPr>
            <w:tcW w:w="0" w:type="auto"/>
            <w:tcBorders>
              <w:top w:val="dotted" w:sz="4" w:space="0" w:color="auto"/>
              <w:left w:val="single" w:sz="2" w:space="0" w:color="FFFFFF" w:themeColor="background1"/>
              <w:bottom w:val="single" w:sz="4" w:space="0" w:color="auto"/>
              <w:right w:val="single" w:sz="2" w:space="0" w:color="FFFFFF" w:themeColor="background1"/>
            </w:tcBorders>
          </w:tcPr>
          <w:p w14:paraId="15BB52AB" w14:textId="77777777" w:rsidR="009B4F72" w:rsidRPr="00F9596C" w:rsidRDefault="009B4F72" w:rsidP="00E34BBA">
            <w:pPr>
              <w:keepNext/>
              <w:ind w:left="360"/>
              <w:rPr>
                <w:rFonts w:ascii="Arial" w:hAnsi="Arial" w:cs="Arial"/>
                <w:sz w:val="22"/>
                <w:szCs w:val="22"/>
              </w:rPr>
            </w:pPr>
            <w:r w:rsidRPr="00F9596C">
              <w:rPr>
                <w:rFonts w:ascii="Arial" w:hAnsi="Arial" w:cs="Arial"/>
                <w:sz w:val="22"/>
                <w:szCs w:val="22"/>
              </w:rPr>
              <w:t>Technical Adjustment</w:t>
            </w:r>
          </w:p>
        </w:tc>
        <w:tc>
          <w:tcPr>
            <w:tcW w:w="0" w:type="auto"/>
            <w:tcBorders>
              <w:top w:val="dotted" w:sz="4" w:space="0" w:color="auto"/>
              <w:left w:val="single" w:sz="2" w:space="0" w:color="FFFFFF" w:themeColor="background1"/>
              <w:bottom w:val="single" w:sz="4" w:space="0" w:color="auto"/>
              <w:right w:val="single" w:sz="2" w:space="0" w:color="FFFFFF" w:themeColor="background1"/>
            </w:tcBorders>
            <w:tcMar>
              <w:top w:w="72" w:type="dxa"/>
              <w:left w:w="115" w:type="dxa"/>
              <w:bottom w:w="72" w:type="dxa"/>
              <w:right w:w="115" w:type="dxa"/>
            </w:tcMar>
          </w:tcPr>
          <w:p w14:paraId="4E5F2FE1" w14:textId="77777777" w:rsidR="009B4F72" w:rsidRPr="00F9596C" w:rsidRDefault="009B4F72" w:rsidP="00E34BBA">
            <w:pPr>
              <w:keepNext/>
              <w:ind w:left="360"/>
              <w:jc w:val="right"/>
              <w:rPr>
                <w:rFonts w:ascii="Arial" w:hAnsi="Arial" w:cs="Arial"/>
                <w:sz w:val="22"/>
                <w:szCs w:val="22"/>
              </w:rPr>
            </w:pPr>
            <w:r w:rsidRPr="00F9596C">
              <w:rPr>
                <w:rFonts w:ascii="Arial" w:hAnsi="Arial" w:cs="Arial"/>
                <w:sz w:val="22"/>
                <w:szCs w:val="22"/>
              </w:rPr>
              <w:t>$154,486</w:t>
            </w:r>
            <w:r w:rsidRPr="00F9596C">
              <w:rPr>
                <w:rStyle w:val="FootnoteReference"/>
                <w:rFonts w:ascii="Arial" w:hAnsi="Arial" w:cs="Arial"/>
                <w:sz w:val="22"/>
                <w:szCs w:val="22"/>
              </w:rPr>
              <w:footnoteReference w:id="55"/>
            </w:r>
          </w:p>
        </w:tc>
      </w:tr>
      <w:tr w:rsidR="009B4F72" w:rsidRPr="008D0300" w14:paraId="376D61E0" w14:textId="77777777" w:rsidTr="00193989">
        <w:trPr>
          <w:cantSplit/>
          <w:trHeight w:val="13"/>
          <w:jc w:val="center"/>
        </w:trPr>
        <w:tc>
          <w:tcPr>
            <w:tcW w:w="1188" w:type="dxa"/>
            <w:tcBorders>
              <w:top w:val="single" w:sz="4" w:space="0" w:color="auto"/>
              <w:left w:val="nil"/>
              <w:bottom w:val="single" w:sz="12" w:space="0" w:color="auto"/>
              <w:right w:val="nil"/>
            </w:tcBorders>
          </w:tcPr>
          <w:p w14:paraId="44A0AC53" w14:textId="77777777" w:rsidR="009B4F72" w:rsidRPr="00F9596C" w:rsidRDefault="009B4F72" w:rsidP="00E34BBA">
            <w:pPr>
              <w:keepNext/>
              <w:ind w:left="360"/>
              <w:rPr>
                <w:rFonts w:ascii="Arial" w:hAnsi="Arial" w:cs="Arial"/>
                <w:b/>
                <w:sz w:val="22"/>
                <w:szCs w:val="22"/>
              </w:rPr>
            </w:pPr>
          </w:p>
        </w:tc>
        <w:tc>
          <w:tcPr>
            <w:tcW w:w="2195" w:type="dxa"/>
            <w:tcBorders>
              <w:top w:val="single" w:sz="4" w:space="0" w:color="auto"/>
              <w:left w:val="nil"/>
              <w:bottom w:val="single" w:sz="12" w:space="0" w:color="auto"/>
              <w:right w:val="nil"/>
            </w:tcBorders>
            <w:tcMar>
              <w:top w:w="72" w:type="dxa"/>
              <w:left w:w="115" w:type="dxa"/>
              <w:bottom w:w="72" w:type="dxa"/>
              <w:right w:w="115" w:type="dxa"/>
            </w:tcMar>
          </w:tcPr>
          <w:p w14:paraId="62FFC910" w14:textId="77777777" w:rsidR="009B4F72" w:rsidRPr="00F9596C" w:rsidRDefault="009B4F72" w:rsidP="00E34BBA">
            <w:pPr>
              <w:keepNext/>
              <w:ind w:left="360"/>
              <w:jc w:val="right"/>
              <w:rPr>
                <w:rFonts w:ascii="Arial" w:hAnsi="Arial" w:cs="Arial"/>
                <w:b/>
                <w:sz w:val="22"/>
                <w:szCs w:val="22"/>
              </w:rPr>
            </w:pPr>
          </w:p>
        </w:tc>
        <w:tc>
          <w:tcPr>
            <w:tcW w:w="0" w:type="auto"/>
            <w:tcBorders>
              <w:top w:val="single" w:sz="4" w:space="0" w:color="auto"/>
              <w:left w:val="single" w:sz="2" w:space="0" w:color="FFFFFF" w:themeColor="background1"/>
              <w:bottom w:val="single" w:sz="12" w:space="0" w:color="auto"/>
              <w:right w:val="single" w:sz="2" w:space="0" w:color="FFFFFF" w:themeColor="background1"/>
            </w:tcBorders>
          </w:tcPr>
          <w:p w14:paraId="09D14DA6" w14:textId="77777777" w:rsidR="009B4F72" w:rsidRPr="00F9596C" w:rsidRDefault="009B4F72" w:rsidP="00E34BBA">
            <w:pPr>
              <w:keepNext/>
              <w:ind w:left="360"/>
              <w:jc w:val="right"/>
              <w:rPr>
                <w:rFonts w:ascii="Arial" w:hAnsi="Arial" w:cs="Arial"/>
                <w:b/>
                <w:bCs/>
                <w:sz w:val="22"/>
                <w:szCs w:val="22"/>
              </w:rPr>
            </w:pPr>
            <w:r w:rsidRPr="00F9596C">
              <w:rPr>
                <w:rFonts w:ascii="Arial" w:hAnsi="Arial" w:cs="Arial"/>
                <w:b/>
                <w:sz w:val="22"/>
                <w:szCs w:val="22"/>
              </w:rPr>
              <w:t>TOTAL</w:t>
            </w:r>
          </w:p>
        </w:tc>
        <w:tc>
          <w:tcPr>
            <w:tcW w:w="0" w:type="auto"/>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3D9C7CD2" w14:textId="77777777" w:rsidR="009B4F72" w:rsidRPr="00F9596C" w:rsidRDefault="009B4F72" w:rsidP="00E34BBA">
            <w:pPr>
              <w:keepNext/>
              <w:ind w:left="360"/>
              <w:jc w:val="right"/>
              <w:rPr>
                <w:rFonts w:ascii="Arial" w:hAnsi="Arial" w:cs="Arial"/>
                <w:b/>
                <w:bCs/>
                <w:sz w:val="22"/>
                <w:szCs w:val="22"/>
              </w:rPr>
            </w:pPr>
            <w:r w:rsidRPr="00F9596C">
              <w:rPr>
                <w:rFonts w:ascii="Arial" w:hAnsi="Arial" w:cs="Arial"/>
                <w:b/>
                <w:bCs/>
                <w:sz w:val="22"/>
                <w:szCs w:val="22"/>
              </w:rPr>
              <w:t>$80,098,376</w:t>
            </w:r>
          </w:p>
        </w:tc>
      </w:tr>
    </w:tbl>
    <w:p w14:paraId="7A50A331" w14:textId="77777777" w:rsidR="009B4F72" w:rsidRPr="008F4CD1" w:rsidRDefault="009B4F72" w:rsidP="009B4F72">
      <w:pPr>
        <w:spacing w:line="264" w:lineRule="auto"/>
        <w:jc w:val="both"/>
        <w:rPr>
          <w:rFonts w:ascii="Arial" w:hAnsi="Arial" w:cs="Arial"/>
          <w:szCs w:val="24"/>
        </w:rPr>
      </w:pPr>
    </w:p>
    <w:p w14:paraId="02918052" w14:textId="77777777" w:rsidR="009B4F72" w:rsidRDefault="009B4F72" w:rsidP="009B4F72">
      <w:pPr>
        <w:spacing w:line="264" w:lineRule="auto"/>
        <w:rPr>
          <w:rFonts w:ascii="Arial" w:hAnsi="Arial" w:cs="Arial"/>
          <w:b/>
          <w:bCs/>
          <w:szCs w:val="24"/>
        </w:rPr>
      </w:pPr>
    </w:p>
    <w:p w14:paraId="22F48476" w14:textId="77777777" w:rsidR="009B4F72" w:rsidRPr="00DF4736" w:rsidDel="0030296F" w:rsidRDefault="009B4F72" w:rsidP="009B4F72">
      <w:pPr>
        <w:spacing w:line="264" w:lineRule="auto"/>
        <w:rPr>
          <w:rFonts w:ascii="Arial" w:hAnsi="Arial" w:cs="Arial"/>
          <w:b/>
          <w:bCs/>
          <w:szCs w:val="24"/>
        </w:rPr>
      </w:pPr>
      <w:r>
        <w:rPr>
          <w:rFonts w:ascii="Arial" w:hAnsi="Arial" w:cs="Arial"/>
          <w:b/>
          <w:bCs/>
          <w:szCs w:val="24"/>
        </w:rPr>
        <w:t>TARGETED CAPITAL</w:t>
      </w:r>
      <w:r w:rsidRPr="00DF4736" w:rsidDel="0030296F">
        <w:rPr>
          <w:rFonts w:ascii="Arial" w:hAnsi="Arial" w:cs="Arial"/>
          <w:b/>
          <w:bCs/>
          <w:szCs w:val="24"/>
        </w:rPr>
        <w:t xml:space="preserve"> </w:t>
      </w:r>
      <w:r w:rsidDel="0030296F">
        <w:rPr>
          <w:rFonts w:ascii="Arial" w:hAnsi="Arial" w:cs="Arial"/>
          <w:b/>
          <w:bCs/>
          <w:szCs w:val="24"/>
        </w:rPr>
        <w:t>INVESTMENTS</w:t>
      </w:r>
    </w:p>
    <w:p w14:paraId="198A5EF7" w14:textId="72156DA7" w:rsidR="009B4F72" w:rsidDel="0030296F" w:rsidRDefault="009B4F72" w:rsidP="009B4F72">
      <w:pPr>
        <w:spacing w:line="264" w:lineRule="auto"/>
        <w:jc w:val="both"/>
        <w:rPr>
          <w:rFonts w:ascii="Arial" w:hAnsi="Arial" w:cs="Arial"/>
        </w:rPr>
      </w:pPr>
      <w:r>
        <w:rPr>
          <w:rFonts w:ascii="Arial" w:hAnsi="Arial" w:cs="Arial"/>
          <w:b/>
          <w:bCs/>
          <w:i/>
          <w:iCs/>
          <w:szCs w:val="24"/>
        </w:rPr>
        <w:t xml:space="preserve">Operating: </w:t>
      </w:r>
      <w:r w:rsidDel="0030296F">
        <w:rPr>
          <w:rFonts w:ascii="Arial" w:hAnsi="Arial" w:cs="Arial"/>
          <w:b/>
          <w:i/>
          <w:iCs/>
        </w:rPr>
        <w:t>Capital Program Staffing and Support</w:t>
      </w:r>
      <w:r w:rsidRPr="00BE5E7E" w:rsidDel="0030296F">
        <w:rPr>
          <w:rFonts w:ascii="Arial" w:hAnsi="Arial" w:cs="Arial"/>
          <w:b/>
          <w:i/>
          <w:iCs/>
        </w:rPr>
        <w:t xml:space="preserve"> [</w:t>
      </w:r>
      <w:r w:rsidDel="0030296F">
        <w:rPr>
          <w:rFonts w:ascii="Arial" w:hAnsi="Arial" w:cs="Arial"/>
          <w:b/>
          <w:i/>
          <w:iCs/>
        </w:rPr>
        <w:t>$</w:t>
      </w:r>
      <w:r>
        <w:rPr>
          <w:rFonts w:ascii="Arial" w:hAnsi="Arial" w:cs="Arial"/>
          <w:b/>
          <w:i/>
          <w:iCs/>
        </w:rPr>
        <w:t>0</w:t>
      </w:r>
      <w:r>
        <w:rPr>
          <w:rStyle w:val="FootnoteReference"/>
          <w:rFonts w:ascii="Arial" w:hAnsi="Arial" w:cs="Arial"/>
          <w:b/>
          <w:i/>
          <w:iCs/>
        </w:rPr>
        <w:footnoteReference w:id="56"/>
      </w:r>
      <w:r w:rsidDel="0030296F">
        <w:rPr>
          <w:rFonts w:ascii="Arial" w:hAnsi="Arial" w:cs="Arial"/>
          <w:b/>
          <w:i/>
          <w:iCs/>
        </w:rPr>
        <w:t xml:space="preserve"> 7</w:t>
      </w:r>
      <w:r w:rsidRPr="00BE5E7E" w:rsidDel="0030296F">
        <w:rPr>
          <w:rFonts w:ascii="Arial" w:hAnsi="Arial" w:cs="Arial"/>
          <w:b/>
          <w:i/>
          <w:iCs/>
        </w:rPr>
        <w:t>.0 FTEs, ongoing</w:t>
      </w:r>
      <w:r w:rsidDel="0030296F">
        <w:rPr>
          <w:rFonts w:ascii="Arial" w:hAnsi="Arial" w:cs="Arial"/>
          <w:b/>
          <w:i/>
          <w:iCs/>
        </w:rPr>
        <w:t>, 1.0 TLT</w:t>
      </w:r>
      <w:r w:rsidRPr="00BE5E7E" w:rsidDel="0030296F">
        <w:rPr>
          <w:rFonts w:ascii="Arial" w:hAnsi="Arial" w:cs="Arial"/>
          <w:b/>
          <w:i/>
          <w:iCs/>
        </w:rPr>
        <w:t>].</w:t>
      </w:r>
      <w:r w:rsidRPr="00BE5E7E" w:rsidDel="0030296F">
        <w:rPr>
          <w:rFonts w:ascii="Arial" w:hAnsi="Arial" w:cs="Arial"/>
          <w:b/>
          <w:iCs/>
        </w:rPr>
        <w:t xml:space="preserve"> </w:t>
      </w:r>
      <w:r>
        <w:rPr>
          <w:rFonts w:ascii="Arial" w:hAnsi="Arial" w:cs="Arial"/>
          <w:b/>
          <w:iCs/>
        </w:rPr>
        <w:t xml:space="preserve"> </w:t>
      </w:r>
      <w:r w:rsidRPr="00BE5E7E" w:rsidDel="0030296F">
        <w:rPr>
          <w:rFonts w:ascii="Arial" w:hAnsi="Arial" w:cs="Arial"/>
        </w:rPr>
        <w:t xml:space="preserve">The </w:t>
      </w:r>
      <w:r>
        <w:rPr>
          <w:rFonts w:ascii="Arial" w:hAnsi="Arial" w:cs="Arial"/>
        </w:rPr>
        <w:t xml:space="preserve">2021-2022 biennial </w:t>
      </w:r>
      <w:r w:rsidDel="0030296F">
        <w:rPr>
          <w:rFonts w:ascii="Arial" w:hAnsi="Arial" w:cs="Arial"/>
        </w:rPr>
        <w:t xml:space="preserve">adopted budget responded to the uncertainty of the early months of the COVID-19 pandemic by deferring many planned capital projects, </w:t>
      </w:r>
      <w:r w:rsidDel="0030296F">
        <w:rPr>
          <w:rFonts w:ascii="Arial" w:hAnsi="Arial" w:cs="Arial"/>
        </w:rPr>
        <w:lastRenderedPageBreak/>
        <w:t>including limiting the planned rollout of RapidRide lines and slowing the proposed operating base expansion.</w:t>
      </w:r>
      <w:r>
        <w:rPr>
          <w:rFonts w:ascii="Arial" w:hAnsi="Arial" w:cs="Arial"/>
        </w:rPr>
        <w:t xml:space="preserve"> </w:t>
      </w:r>
      <w:r w:rsidDel="0030296F">
        <w:rPr>
          <w:rFonts w:ascii="Arial" w:hAnsi="Arial" w:cs="Arial"/>
        </w:rPr>
        <w:t xml:space="preserve"> </w:t>
      </w:r>
      <w:r>
        <w:rPr>
          <w:rFonts w:ascii="Arial" w:hAnsi="Arial" w:cs="Arial"/>
        </w:rPr>
        <w:t>The proposed ordinance would hire staff to support targeted capital investments.</w:t>
      </w:r>
    </w:p>
    <w:p w14:paraId="6C69E7C5" w14:textId="77777777" w:rsidR="009B4F72" w:rsidDel="0030296F" w:rsidRDefault="009B4F72" w:rsidP="009B4F72">
      <w:pPr>
        <w:spacing w:line="264" w:lineRule="auto"/>
        <w:jc w:val="both"/>
        <w:rPr>
          <w:rFonts w:ascii="Arial" w:hAnsi="Arial" w:cs="Arial"/>
        </w:rPr>
      </w:pPr>
    </w:p>
    <w:p w14:paraId="35ED59B1" w14:textId="551C9519" w:rsidR="009B4F72" w:rsidDel="0030296F" w:rsidRDefault="009B4F72" w:rsidP="009B4F72">
      <w:pPr>
        <w:spacing w:line="264" w:lineRule="auto"/>
        <w:jc w:val="both"/>
        <w:rPr>
          <w:rFonts w:ascii="Arial" w:hAnsi="Arial" w:cs="Arial"/>
        </w:rPr>
      </w:pPr>
      <w:r>
        <w:rPr>
          <w:rFonts w:ascii="Arial" w:hAnsi="Arial" w:cs="Arial"/>
          <w:b/>
          <w:bCs/>
          <w:i/>
          <w:iCs/>
          <w:szCs w:val="24"/>
        </w:rPr>
        <w:t xml:space="preserve">Capital: Targeted </w:t>
      </w:r>
      <w:r w:rsidDel="0030296F">
        <w:rPr>
          <w:rFonts w:ascii="Arial" w:hAnsi="Arial" w:cs="Arial"/>
          <w:b/>
          <w:i/>
          <w:iCs/>
        </w:rPr>
        <w:t xml:space="preserve">Capital </w:t>
      </w:r>
      <w:r>
        <w:rPr>
          <w:rFonts w:ascii="Arial" w:hAnsi="Arial" w:cs="Arial"/>
          <w:b/>
          <w:i/>
          <w:iCs/>
        </w:rPr>
        <w:t>Investments</w:t>
      </w:r>
      <w:r w:rsidRPr="00BE5E7E" w:rsidDel="0030296F">
        <w:rPr>
          <w:rFonts w:ascii="Arial" w:hAnsi="Arial" w:cs="Arial"/>
          <w:b/>
          <w:i/>
          <w:iCs/>
        </w:rPr>
        <w:t xml:space="preserve"> [</w:t>
      </w:r>
      <w:r w:rsidDel="0030296F">
        <w:rPr>
          <w:rFonts w:ascii="Arial" w:hAnsi="Arial" w:cs="Arial"/>
          <w:b/>
          <w:i/>
          <w:iCs/>
        </w:rPr>
        <w:t>$</w:t>
      </w:r>
      <w:r>
        <w:rPr>
          <w:rFonts w:ascii="Arial" w:hAnsi="Arial" w:cs="Arial"/>
          <w:b/>
          <w:i/>
          <w:iCs/>
        </w:rPr>
        <w:t>11,465,993</w:t>
      </w:r>
      <w:r w:rsidRPr="00BE5E7E" w:rsidDel="0030296F">
        <w:rPr>
          <w:rFonts w:ascii="Arial" w:hAnsi="Arial" w:cs="Arial"/>
          <w:b/>
          <w:i/>
          <w:iCs/>
        </w:rPr>
        <w:t>].</w:t>
      </w:r>
      <w:r w:rsidRPr="00BE5E7E" w:rsidDel="0030296F">
        <w:rPr>
          <w:rFonts w:ascii="Arial" w:hAnsi="Arial" w:cs="Arial"/>
          <w:b/>
          <w:iCs/>
        </w:rPr>
        <w:t xml:space="preserve"> </w:t>
      </w:r>
      <w:r>
        <w:rPr>
          <w:rFonts w:ascii="Arial" w:hAnsi="Arial" w:cs="Arial"/>
          <w:b/>
          <w:iCs/>
        </w:rPr>
        <w:t xml:space="preserve"> </w:t>
      </w:r>
      <w:r w:rsidDel="0030296F">
        <w:rPr>
          <w:rFonts w:ascii="Arial" w:hAnsi="Arial" w:cs="Arial"/>
        </w:rPr>
        <w:t xml:space="preserve">The proposed </w:t>
      </w:r>
      <w:r>
        <w:rPr>
          <w:rFonts w:ascii="Arial" w:hAnsi="Arial" w:cs="Arial"/>
        </w:rPr>
        <w:t>ordinance</w:t>
      </w:r>
      <w:r w:rsidDel="0030296F">
        <w:rPr>
          <w:rFonts w:ascii="Arial" w:hAnsi="Arial" w:cs="Arial"/>
        </w:rPr>
        <w:t xml:space="preserve"> would begin targeted capital investments, including several speed and reliability, pedestrian safety, and transit access improvements, </w:t>
      </w:r>
      <w:r w:rsidRPr="00BC7C71" w:rsidDel="0030296F">
        <w:rPr>
          <w:rFonts w:ascii="Arial" w:hAnsi="Arial" w:cs="Arial"/>
        </w:rPr>
        <w:t>focused on Metro’s “where needs are greatest” identification of projects in high-equity areas.</w:t>
      </w:r>
      <w:r w:rsidDel="0030296F">
        <w:rPr>
          <w:rFonts w:ascii="Arial" w:hAnsi="Arial" w:cs="Arial"/>
        </w:rPr>
        <w:t xml:space="preserve"> </w:t>
      </w:r>
      <w:r>
        <w:rPr>
          <w:rFonts w:ascii="Arial" w:hAnsi="Arial" w:cs="Arial"/>
        </w:rPr>
        <w:t xml:space="preserve"> </w:t>
      </w:r>
      <w:r w:rsidDel="0030296F">
        <w:rPr>
          <w:rFonts w:ascii="Arial" w:hAnsi="Arial" w:cs="Arial"/>
        </w:rPr>
        <w:t xml:space="preserve">The proposed </w:t>
      </w:r>
      <w:r>
        <w:rPr>
          <w:rFonts w:ascii="Arial" w:hAnsi="Arial" w:cs="Arial"/>
        </w:rPr>
        <w:t>ordinance</w:t>
      </w:r>
      <w:r w:rsidDel="0030296F">
        <w:rPr>
          <w:rFonts w:ascii="Arial" w:hAnsi="Arial" w:cs="Arial"/>
        </w:rPr>
        <w:t xml:space="preserve"> also includes funding for an IT project to update the phone system in the Transit Control Center (TCC) and to create stand-alone workstations at a backup TCC so that transit service could continue to operate if the TCC had to be evacuated during an emergency.</w:t>
      </w:r>
    </w:p>
    <w:p w14:paraId="6D96AF25" w14:textId="77777777" w:rsidR="009B4F72" w:rsidDel="0030296F" w:rsidRDefault="009B4F72" w:rsidP="009B4F72">
      <w:pPr>
        <w:spacing w:line="264" w:lineRule="auto"/>
        <w:jc w:val="both"/>
        <w:rPr>
          <w:rFonts w:ascii="Arial" w:hAnsi="Arial" w:cs="Arial"/>
        </w:rPr>
      </w:pPr>
    </w:p>
    <w:p w14:paraId="48CA0219" w14:textId="77777777" w:rsidR="009B4F72" w:rsidRDefault="009B4F72" w:rsidP="009B4F72">
      <w:pPr>
        <w:spacing w:line="264" w:lineRule="auto"/>
        <w:contextualSpacing/>
        <w:jc w:val="both"/>
        <w:rPr>
          <w:rFonts w:ascii="Arial" w:hAnsi="Arial" w:cs="Arial"/>
          <w:b/>
          <w:bCs/>
          <w:szCs w:val="24"/>
        </w:rPr>
      </w:pPr>
      <w:r>
        <w:rPr>
          <w:rFonts w:ascii="Arial" w:hAnsi="Arial" w:cs="Arial"/>
          <w:b/>
          <w:bCs/>
          <w:szCs w:val="24"/>
        </w:rPr>
        <w:t>RAPIDRIDE INVESTMENTS</w:t>
      </w:r>
    </w:p>
    <w:p w14:paraId="63928BAE" w14:textId="2581578F" w:rsidR="00BB3852" w:rsidRDefault="009B4F72" w:rsidP="00235E2C">
      <w:pPr>
        <w:spacing w:line="264" w:lineRule="auto"/>
        <w:contextualSpacing/>
        <w:jc w:val="both"/>
        <w:rPr>
          <w:rFonts w:ascii="Arial" w:hAnsi="Arial" w:cs="Arial"/>
          <w:szCs w:val="24"/>
        </w:rPr>
      </w:pPr>
      <w:r>
        <w:rPr>
          <w:rFonts w:ascii="Arial" w:hAnsi="Arial" w:cs="Arial"/>
          <w:b/>
          <w:bCs/>
          <w:i/>
          <w:iCs/>
          <w:szCs w:val="24"/>
        </w:rPr>
        <w:t>Capital: H Line Investments, J Line Staff Support, A Line upgrades, E Line extension study, Layover, and Safe Route to Transit Improvements [$</w:t>
      </w:r>
      <w:r w:rsidRPr="00791A9B">
        <w:rPr>
          <w:rFonts w:ascii="Arial" w:hAnsi="Arial" w:cs="Arial"/>
          <w:b/>
          <w:bCs/>
          <w:i/>
          <w:iCs/>
          <w:szCs w:val="24"/>
        </w:rPr>
        <w:t>14</w:t>
      </w:r>
      <w:r>
        <w:rPr>
          <w:rFonts w:ascii="Arial" w:hAnsi="Arial" w:cs="Arial"/>
          <w:b/>
          <w:bCs/>
          <w:i/>
          <w:iCs/>
          <w:szCs w:val="24"/>
        </w:rPr>
        <w:t>,</w:t>
      </w:r>
      <w:r w:rsidRPr="00791A9B">
        <w:rPr>
          <w:rFonts w:ascii="Arial" w:hAnsi="Arial" w:cs="Arial"/>
          <w:b/>
          <w:bCs/>
          <w:i/>
          <w:iCs/>
          <w:szCs w:val="24"/>
        </w:rPr>
        <w:t>629</w:t>
      </w:r>
      <w:r>
        <w:rPr>
          <w:rFonts w:ascii="Arial" w:hAnsi="Arial" w:cs="Arial"/>
          <w:b/>
          <w:bCs/>
          <w:i/>
          <w:iCs/>
          <w:szCs w:val="24"/>
        </w:rPr>
        <w:t>,</w:t>
      </w:r>
      <w:r w:rsidRPr="00791A9B">
        <w:rPr>
          <w:rFonts w:ascii="Arial" w:hAnsi="Arial" w:cs="Arial"/>
          <w:b/>
          <w:bCs/>
          <w:i/>
          <w:iCs/>
          <w:szCs w:val="24"/>
        </w:rPr>
        <w:t>972</w:t>
      </w:r>
      <w:r>
        <w:rPr>
          <w:rFonts w:ascii="Arial" w:hAnsi="Arial" w:cs="Arial"/>
          <w:b/>
          <w:bCs/>
          <w:i/>
          <w:iCs/>
          <w:szCs w:val="24"/>
        </w:rPr>
        <w:t xml:space="preserve">].  </w:t>
      </w:r>
      <w:r>
        <w:rPr>
          <w:rFonts w:ascii="Arial" w:hAnsi="Arial" w:cs="Arial"/>
          <w:szCs w:val="24"/>
        </w:rPr>
        <w:t>The proposed ordinance would make targeted investments in RapidRide routes already under construction or in operation, including $8.7 million to cover increased construction costs for RapidRide H Line (Downtown Seattle-Delridge-Burien).</w:t>
      </w:r>
      <w:r>
        <w:rPr>
          <w:rStyle w:val="FootnoteReference"/>
          <w:rFonts w:ascii="Arial" w:hAnsi="Arial" w:cs="Arial"/>
          <w:szCs w:val="24"/>
        </w:rPr>
        <w:footnoteReference w:id="57"/>
      </w:r>
      <w:r>
        <w:rPr>
          <w:rFonts w:ascii="Arial" w:hAnsi="Arial" w:cs="Arial"/>
          <w:szCs w:val="24"/>
        </w:rPr>
        <w:t xml:space="preserve"> No major new RapidRide investments are proposed for during the biennium.  The table below shows the breakdown of proposed investments in RapidRide.</w:t>
      </w:r>
    </w:p>
    <w:p w14:paraId="6E08D752" w14:textId="77777777" w:rsidR="00BB3852" w:rsidRPr="00BB3852" w:rsidRDefault="00BB3852" w:rsidP="00235E2C">
      <w:pPr>
        <w:spacing w:line="264" w:lineRule="auto"/>
        <w:contextualSpacing/>
        <w:jc w:val="both"/>
        <w:rPr>
          <w:rFonts w:ascii="Arial" w:hAnsi="Arial" w:cs="Arial"/>
          <w:szCs w:val="24"/>
        </w:rPr>
      </w:pPr>
    </w:p>
    <w:tbl>
      <w:tblPr>
        <w:tblStyle w:val="TableGrid"/>
        <w:tblpPr w:leftFromText="180" w:rightFromText="180" w:vertAnchor="text" w:horzAnchor="margin" w:tblpY="108"/>
        <w:tblW w:w="0" w:type="auto"/>
        <w:tblLayout w:type="fixed"/>
        <w:tblLook w:val="04A0" w:firstRow="1" w:lastRow="0" w:firstColumn="1" w:lastColumn="0" w:noHBand="0" w:noVBand="1"/>
      </w:tblPr>
      <w:tblGrid>
        <w:gridCol w:w="1151"/>
        <w:gridCol w:w="2737"/>
        <w:gridCol w:w="3690"/>
        <w:gridCol w:w="1998"/>
      </w:tblGrid>
      <w:tr w:rsidR="009B4F72" w:rsidRPr="008D0300" w14:paraId="353D9B11" w14:textId="77777777" w:rsidTr="00BB3852">
        <w:trPr>
          <w:cantSplit/>
          <w:trHeight w:val="411"/>
          <w:tblHeader/>
        </w:trPr>
        <w:tc>
          <w:tcPr>
            <w:tcW w:w="1151" w:type="dxa"/>
            <w:tcBorders>
              <w:top w:val="single" w:sz="12" w:space="0" w:color="auto"/>
              <w:left w:val="nil"/>
              <w:bottom w:val="single" w:sz="4" w:space="0" w:color="auto"/>
              <w:right w:val="nil"/>
            </w:tcBorders>
            <w:vAlign w:val="center"/>
          </w:tcPr>
          <w:p w14:paraId="2803CF3A" w14:textId="77777777" w:rsidR="009B4F72" w:rsidRPr="00F9596C" w:rsidRDefault="009B4F72" w:rsidP="00235E2C">
            <w:pPr>
              <w:jc w:val="center"/>
              <w:rPr>
                <w:rFonts w:ascii="Arial" w:hAnsi="Arial" w:cs="Arial"/>
                <w:b/>
                <w:sz w:val="22"/>
                <w:szCs w:val="22"/>
              </w:rPr>
            </w:pPr>
            <w:r w:rsidRPr="00F9596C">
              <w:rPr>
                <w:rFonts w:ascii="Arial" w:hAnsi="Arial" w:cs="Arial"/>
                <w:b/>
                <w:sz w:val="22"/>
                <w:szCs w:val="22"/>
              </w:rPr>
              <w:t>Project #</w:t>
            </w:r>
          </w:p>
        </w:tc>
        <w:tc>
          <w:tcPr>
            <w:tcW w:w="2737" w:type="dxa"/>
            <w:tcBorders>
              <w:top w:val="single" w:sz="12" w:space="0" w:color="auto"/>
              <w:left w:val="nil"/>
              <w:bottom w:val="single" w:sz="4" w:space="0" w:color="auto"/>
              <w:right w:val="nil"/>
            </w:tcBorders>
            <w:shd w:val="clear" w:color="auto" w:fill="auto"/>
            <w:vAlign w:val="center"/>
          </w:tcPr>
          <w:p w14:paraId="35319B25" w14:textId="77777777" w:rsidR="009B4F72" w:rsidRPr="00F9596C" w:rsidRDefault="009B4F72" w:rsidP="00235E2C">
            <w:pPr>
              <w:jc w:val="center"/>
              <w:rPr>
                <w:rFonts w:ascii="Arial" w:hAnsi="Arial" w:cs="Arial"/>
                <w:b/>
                <w:sz w:val="22"/>
                <w:szCs w:val="22"/>
              </w:rPr>
            </w:pPr>
            <w:r w:rsidRPr="00F9596C">
              <w:rPr>
                <w:rFonts w:ascii="Arial" w:hAnsi="Arial" w:cs="Arial"/>
                <w:b/>
                <w:sz w:val="22"/>
                <w:szCs w:val="22"/>
              </w:rPr>
              <w:t>Project</w:t>
            </w:r>
          </w:p>
        </w:tc>
        <w:tc>
          <w:tcPr>
            <w:tcW w:w="3690" w:type="dxa"/>
            <w:tcBorders>
              <w:top w:val="single" w:sz="12" w:space="0" w:color="auto"/>
              <w:left w:val="nil"/>
              <w:bottom w:val="single" w:sz="4" w:space="0" w:color="auto"/>
              <w:right w:val="nil"/>
            </w:tcBorders>
            <w:vAlign w:val="center"/>
          </w:tcPr>
          <w:p w14:paraId="4B19A153" w14:textId="77777777" w:rsidR="009B4F72" w:rsidRPr="00F9596C" w:rsidRDefault="009B4F72" w:rsidP="00235E2C">
            <w:pPr>
              <w:jc w:val="center"/>
              <w:rPr>
                <w:rFonts w:ascii="Arial" w:hAnsi="Arial" w:cs="Arial"/>
                <w:b/>
                <w:sz w:val="22"/>
                <w:szCs w:val="22"/>
              </w:rPr>
            </w:pPr>
            <w:r w:rsidRPr="00F9596C">
              <w:rPr>
                <w:rFonts w:ascii="Arial" w:hAnsi="Arial" w:cs="Arial"/>
                <w:b/>
                <w:sz w:val="22"/>
                <w:szCs w:val="22"/>
              </w:rPr>
              <w:t>Description</w:t>
            </w:r>
          </w:p>
        </w:tc>
        <w:tc>
          <w:tcPr>
            <w:tcW w:w="1998" w:type="dxa"/>
            <w:tcBorders>
              <w:top w:val="single" w:sz="12" w:space="0" w:color="auto"/>
              <w:left w:val="nil"/>
              <w:bottom w:val="single" w:sz="4" w:space="0" w:color="auto"/>
              <w:right w:val="single" w:sz="2" w:space="0" w:color="FFFFFF" w:themeColor="background1"/>
            </w:tcBorders>
            <w:vAlign w:val="center"/>
          </w:tcPr>
          <w:p w14:paraId="314EC08C" w14:textId="77777777" w:rsidR="009B4F72" w:rsidRPr="00F9596C" w:rsidRDefault="009B4F72" w:rsidP="00235E2C">
            <w:pPr>
              <w:jc w:val="center"/>
              <w:rPr>
                <w:rFonts w:ascii="Arial" w:hAnsi="Arial" w:cs="Arial"/>
                <w:b/>
                <w:sz w:val="22"/>
                <w:szCs w:val="22"/>
              </w:rPr>
            </w:pPr>
            <w:r w:rsidRPr="00F9596C">
              <w:rPr>
                <w:rFonts w:ascii="Arial" w:hAnsi="Arial" w:cs="Arial"/>
                <w:b/>
                <w:sz w:val="22"/>
                <w:szCs w:val="22"/>
              </w:rPr>
              <w:t>Appropriation Amount</w:t>
            </w:r>
          </w:p>
        </w:tc>
      </w:tr>
      <w:tr w:rsidR="009B4F72" w:rsidRPr="008D0300" w14:paraId="6F3049C4" w14:textId="77777777" w:rsidTr="00BB3852">
        <w:trPr>
          <w:cantSplit/>
        </w:trPr>
        <w:tc>
          <w:tcPr>
            <w:tcW w:w="1151" w:type="dxa"/>
            <w:tcBorders>
              <w:top w:val="single" w:sz="4" w:space="0" w:color="auto"/>
              <w:left w:val="nil"/>
              <w:bottom w:val="single" w:sz="4" w:space="0" w:color="auto"/>
              <w:right w:val="nil"/>
            </w:tcBorders>
          </w:tcPr>
          <w:p w14:paraId="1772BDB6" w14:textId="77777777" w:rsidR="009B4F72" w:rsidRPr="00F9596C" w:rsidRDefault="009B4F72" w:rsidP="00235E2C">
            <w:pPr>
              <w:rPr>
                <w:rFonts w:ascii="Arial" w:hAnsi="Arial" w:cs="Arial"/>
                <w:sz w:val="22"/>
                <w:szCs w:val="22"/>
              </w:rPr>
            </w:pPr>
            <w:r w:rsidRPr="00F9596C">
              <w:rPr>
                <w:rFonts w:ascii="Arial" w:hAnsi="Arial" w:cs="Arial"/>
                <w:color w:val="000000"/>
                <w:sz w:val="22"/>
                <w:szCs w:val="22"/>
              </w:rPr>
              <w:t>1132325</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27E49D20" w14:textId="77777777" w:rsidR="009B4F72" w:rsidRPr="00F9596C" w:rsidRDefault="009B4F72" w:rsidP="00235E2C">
            <w:pPr>
              <w:ind w:left="360"/>
              <w:rPr>
                <w:rFonts w:ascii="Arial" w:hAnsi="Arial" w:cs="Arial"/>
                <w:sz w:val="22"/>
                <w:szCs w:val="22"/>
              </w:rPr>
            </w:pPr>
            <w:r w:rsidRPr="00F9596C">
              <w:rPr>
                <w:rFonts w:ascii="Arial" w:hAnsi="Arial" w:cs="Arial"/>
                <w:color w:val="000000"/>
                <w:sz w:val="22"/>
                <w:szCs w:val="22"/>
              </w:rPr>
              <w:t>Delridge Burien RapidRide (H Line)</w:t>
            </w:r>
          </w:p>
        </w:tc>
        <w:tc>
          <w:tcPr>
            <w:tcW w:w="3690" w:type="dxa"/>
            <w:tcBorders>
              <w:top w:val="single" w:sz="4" w:space="0" w:color="auto"/>
              <w:left w:val="nil"/>
              <w:bottom w:val="single" w:sz="4" w:space="0" w:color="auto"/>
              <w:right w:val="nil"/>
            </w:tcBorders>
            <w:vAlign w:val="center"/>
          </w:tcPr>
          <w:p w14:paraId="086C9C56" w14:textId="77777777" w:rsidR="009B4F72" w:rsidRPr="00F9596C" w:rsidRDefault="009B4F72" w:rsidP="00235E2C">
            <w:pPr>
              <w:ind w:left="360"/>
              <w:rPr>
                <w:rFonts w:ascii="Arial" w:hAnsi="Arial" w:cs="Arial"/>
                <w:color w:val="000000"/>
                <w:sz w:val="22"/>
                <w:szCs w:val="22"/>
              </w:rPr>
            </w:pPr>
            <w:r w:rsidRPr="00F9596C">
              <w:rPr>
                <w:rFonts w:ascii="Arial" w:hAnsi="Arial" w:cs="Arial"/>
                <w:color w:val="000000"/>
                <w:sz w:val="22"/>
                <w:szCs w:val="22"/>
              </w:rPr>
              <w:t>Cover increased commodity prices and other construction cost increases</w:t>
            </w:r>
          </w:p>
        </w:tc>
        <w:tc>
          <w:tcPr>
            <w:tcW w:w="1998"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49B63C33" w14:textId="77777777" w:rsidR="009B4F72" w:rsidRPr="00F9596C" w:rsidRDefault="009B4F72" w:rsidP="00235E2C">
            <w:pPr>
              <w:ind w:left="360"/>
              <w:jc w:val="right"/>
              <w:rPr>
                <w:rFonts w:ascii="Arial" w:hAnsi="Arial" w:cs="Arial"/>
                <w:sz w:val="22"/>
                <w:szCs w:val="22"/>
              </w:rPr>
            </w:pPr>
            <w:r w:rsidRPr="00F9596C">
              <w:rPr>
                <w:rFonts w:ascii="Arial" w:hAnsi="Arial" w:cs="Arial"/>
                <w:color w:val="000000"/>
                <w:sz w:val="22"/>
                <w:szCs w:val="22"/>
              </w:rPr>
              <w:t>$8,690,124</w:t>
            </w:r>
          </w:p>
        </w:tc>
      </w:tr>
      <w:tr w:rsidR="009B4F72" w:rsidRPr="008D0300" w14:paraId="70F85F2E" w14:textId="77777777" w:rsidTr="00BB3852">
        <w:trPr>
          <w:cantSplit/>
        </w:trPr>
        <w:tc>
          <w:tcPr>
            <w:tcW w:w="1151" w:type="dxa"/>
            <w:tcBorders>
              <w:top w:val="single" w:sz="4" w:space="0" w:color="auto"/>
              <w:left w:val="nil"/>
              <w:bottom w:val="single" w:sz="4" w:space="0" w:color="auto"/>
              <w:right w:val="nil"/>
            </w:tcBorders>
          </w:tcPr>
          <w:p w14:paraId="2A8ACADB" w14:textId="77777777" w:rsidR="009B4F72" w:rsidRPr="00F9596C" w:rsidRDefault="009B4F72" w:rsidP="00E34BBA">
            <w:pPr>
              <w:keepNext/>
              <w:rPr>
                <w:rFonts w:ascii="Arial" w:hAnsi="Arial" w:cs="Arial"/>
                <w:sz w:val="22"/>
                <w:szCs w:val="22"/>
              </w:rPr>
            </w:pPr>
            <w:r w:rsidRPr="00F9596C">
              <w:rPr>
                <w:rFonts w:ascii="Arial" w:hAnsi="Arial" w:cs="Arial"/>
                <w:color w:val="000000"/>
                <w:sz w:val="22"/>
                <w:szCs w:val="22"/>
              </w:rPr>
              <w:t>1134206</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299507B4" w14:textId="77777777" w:rsidR="009B4F72" w:rsidRPr="00F9596C" w:rsidRDefault="009B4F72" w:rsidP="00E34BBA">
            <w:pPr>
              <w:keepNext/>
              <w:ind w:left="360"/>
              <w:rPr>
                <w:rFonts w:ascii="Arial" w:hAnsi="Arial" w:cs="Arial"/>
                <w:sz w:val="22"/>
                <w:szCs w:val="22"/>
              </w:rPr>
            </w:pPr>
            <w:proofErr w:type="spellStart"/>
            <w:r w:rsidRPr="00F9596C">
              <w:rPr>
                <w:rFonts w:ascii="Arial" w:hAnsi="Arial" w:cs="Arial"/>
                <w:color w:val="000000"/>
                <w:sz w:val="22"/>
                <w:szCs w:val="22"/>
              </w:rPr>
              <w:t>Dwnt</w:t>
            </w:r>
            <w:proofErr w:type="spellEnd"/>
            <w:r w:rsidRPr="00F9596C">
              <w:rPr>
                <w:rFonts w:ascii="Arial" w:hAnsi="Arial" w:cs="Arial"/>
                <w:color w:val="000000"/>
                <w:sz w:val="22"/>
                <w:szCs w:val="22"/>
              </w:rPr>
              <w:t xml:space="preserve"> Seattle Layover Facility Eastlake</w:t>
            </w:r>
          </w:p>
        </w:tc>
        <w:tc>
          <w:tcPr>
            <w:tcW w:w="3690" w:type="dxa"/>
            <w:tcBorders>
              <w:top w:val="single" w:sz="4" w:space="0" w:color="auto"/>
              <w:left w:val="nil"/>
              <w:bottom w:val="single" w:sz="4" w:space="0" w:color="auto"/>
              <w:right w:val="nil"/>
            </w:tcBorders>
          </w:tcPr>
          <w:p w14:paraId="55555D8E"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Construct a layover facility on Eastlake Ave. E</w:t>
            </w:r>
          </w:p>
        </w:tc>
        <w:tc>
          <w:tcPr>
            <w:tcW w:w="1998"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46F2F045" w14:textId="77777777" w:rsidR="009B4F72" w:rsidRPr="00F9596C" w:rsidRDefault="009B4F72" w:rsidP="00E34BBA">
            <w:pPr>
              <w:keepNext/>
              <w:ind w:left="360"/>
              <w:jc w:val="right"/>
              <w:rPr>
                <w:rFonts w:ascii="Arial" w:hAnsi="Arial" w:cs="Arial"/>
                <w:sz w:val="22"/>
                <w:szCs w:val="22"/>
              </w:rPr>
            </w:pPr>
            <w:r w:rsidRPr="00F9596C">
              <w:rPr>
                <w:rFonts w:ascii="Arial" w:hAnsi="Arial" w:cs="Arial"/>
                <w:color w:val="000000"/>
                <w:sz w:val="22"/>
                <w:szCs w:val="22"/>
              </w:rPr>
              <w:t>$2,700,000</w:t>
            </w:r>
          </w:p>
        </w:tc>
      </w:tr>
      <w:tr w:rsidR="009B4F72" w:rsidRPr="008D0300" w14:paraId="22445925" w14:textId="77777777" w:rsidTr="00BB3852">
        <w:trPr>
          <w:cantSplit/>
        </w:trPr>
        <w:tc>
          <w:tcPr>
            <w:tcW w:w="1151" w:type="dxa"/>
            <w:tcBorders>
              <w:top w:val="single" w:sz="4" w:space="0" w:color="auto"/>
              <w:left w:val="nil"/>
              <w:bottom w:val="single" w:sz="4" w:space="0" w:color="auto"/>
              <w:right w:val="nil"/>
            </w:tcBorders>
          </w:tcPr>
          <w:p w14:paraId="036858EE" w14:textId="77777777" w:rsidR="009B4F72" w:rsidRPr="00F9596C" w:rsidRDefault="009B4F72" w:rsidP="00E34BBA">
            <w:pPr>
              <w:keepNext/>
              <w:rPr>
                <w:rFonts w:ascii="Arial" w:hAnsi="Arial" w:cs="Arial"/>
                <w:color w:val="000000"/>
                <w:sz w:val="22"/>
                <w:szCs w:val="22"/>
              </w:rPr>
            </w:pPr>
            <w:r w:rsidRPr="00F9596C">
              <w:rPr>
                <w:rFonts w:ascii="Arial" w:hAnsi="Arial" w:cs="Arial"/>
                <w:color w:val="000000"/>
                <w:sz w:val="22"/>
                <w:szCs w:val="22"/>
              </w:rPr>
              <w:t>1142077</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5528679E"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RR E Line Upgrade Study</w:t>
            </w:r>
          </w:p>
        </w:tc>
        <w:tc>
          <w:tcPr>
            <w:tcW w:w="3690" w:type="dxa"/>
            <w:tcBorders>
              <w:top w:val="single" w:sz="4" w:space="0" w:color="auto"/>
              <w:left w:val="nil"/>
              <w:bottom w:val="single" w:sz="4" w:space="0" w:color="auto"/>
              <w:right w:val="nil"/>
            </w:tcBorders>
          </w:tcPr>
          <w:p w14:paraId="0A1C0B58"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Study E Line (Shoreline-Seattle via Hwy. 99) speed and reliability improvements and an extension to a light rail station</w:t>
            </w:r>
          </w:p>
        </w:tc>
        <w:tc>
          <w:tcPr>
            <w:tcW w:w="1998" w:type="dxa"/>
            <w:tcBorders>
              <w:top w:val="single" w:sz="4" w:space="0" w:color="auto"/>
              <w:left w:val="nil"/>
              <w:bottom w:val="single" w:sz="4" w:space="0" w:color="auto"/>
              <w:right w:val="single" w:sz="2" w:space="0" w:color="FFFFFF" w:themeColor="background1"/>
            </w:tcBorders>
            <w:tcMar>
              <w:top w:w="72" w:type="dxa"/>
              <w:left w:w="115" w:type="dxa"/>
              <w:bottom w:w="72" w:type="dxa"/>
              <w:right w:w="115" w:type="dxa"/>
            </w:tcMar>
          </w:tcPr>
          <w:p w14:paraId="70EBD481" w14:textId="77777777" w:rsidR="009B4F72" w:rsidRPr="00F9596C" w:rsidRDefault="009B4F72" w:rsidP="00E34BBA">
            <w:pPr>
              <w:keepNext/>
              <w:ind w:left="360"/>
              <w:jc w:val="right"/>
              <w:rPr>
                <w:rFonts w:ascii="Arial" w:hAnsi="Arial" w:cs="Arial"/>
                <w:color w:val="000000"/>
                <w:sz w:val="22"/>
                <w:szCs w:val="22"/>
              </w:rPr>
            </w:pPr>
            <w:r w:rsidRPr="00F9596C">
              <w:rPr>
                <w:rFonts w:ascii="Arial" w:hAnsi="Arial" w:cs="Arial"/>
                <w:color w:val="000000"/>
                <w:sz w:val="22"/>
                <w:szCs w:val="22"/>
              </w:rPr>
              <w:t>$1,000,000</w:t>
            </w:r>
          </w:p>
        </w:tc>
      </w:tr>
      <w:tr w:rsidR="009B4F72" w:rsidRPr="008D0300" w14:paraId="6AFF28A6" w14:textId="77777777" w:rsidTr="00BB3852">
        <w:trPr>
          <w:cantSplit/>
          <w:trHeight w:val="13"/>
        </w:trPr>
        <w:tc>
          <w:tcPr>
            <w:tcW w:w="1151" w:type="dxa"/>
            <w:tcBorders>
              <w:top w:val="single" w:sz="4" w:space="0" w:color="auto"/>
              <w:left w:val="nil"/>
              <w:bottom w:val="single" w:sz="4" w:space="0" w:color="auto"/>
              <w:right w:val="nil"/>
            </w:tcBorders>
          </w:tcPr>
          <w:p w14:paraId="331C92B8" w14:textId="77777777" w:rsidR="009B4F72" w:rsidRPr="00F9596C" w:rsidRDefault="009B4F72" w:rsidP="00E34BBA">
            <w:pPr>
              <w:keepNext/>
              <w:rPr>
                <w:rFonts w:ascii="Arial" w:hAnsi="Arial" w:cs="Arial"/>
                <w:b/>
                <w:sz w:val="22"/>
                <w:szCs w:val="22"/>
              </w:rPr>
            </w:pPr>
            <w:r w:rsidRPr="00F9596C">
              <w:rPr>
                <w:rFonts w:ascii="Arial" w:hAnsi="Arial" w:cs="Arial"/>
                <w:color w:val="000000"/>
                <w:sz w:val="22"/>
                <w:szCs w:val="22"/>
              </w:rPr>
              <w:t>1134197</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6A35721C" w14:textId="77777777" w:rsidR="009B4F72" w:rsidRPr="00F9596C" w:rsidRDefault="009B4F72" w:rsidP="00E34BBA">
            <w:pPr>
              <w:keepNext/>
              <w:ind w:left="360"/>
              <w:rPr>
                <w:rFonts w:ascii="Arial" w:hAnsi="Arial" w:cs="Arial"/>
                <w:b/>
                <w:sz w:val="22"/>
                <w:szCs w:val="22"/>
              </w:rPr>
            </w:pPr>
            <w:r w:rsidRPr="00F9596C">
              <w:rPr>
                <w:rFonts w:ascii="Arial" w:hAnsi="Arial" w:cs="Arial"/>
                <w:color w:val="000000"/>
                <w:sz w:val="22"/>
                <w:szCs w:val="22"/>
              </w:rPr>
              <w:t>Safe Routes to Transit Investments</w:t>
            </w:r>
          </w:p>
        </w:tc>
        <w:tc>
          <w:tcPr>
            <w:tcW w:w="3690" w:type="dxa"/>
            <w:tcBorders>
              <w:top w:val="single" w:sz="4" w:space="0" w:color="auto"/>
              <w:left w:val="single" w:sz="2" w:space="0" w:color="FFFFFF" w:themeColor="background1"/>
              <w:bottom w:val="single" w:sz="4" w:space="0" w:color="auto"/>
              <w:right w:val="single" w:sz="2" w:space="0" w:color="FFFFFF" w:themeColor="background1"/>
            </w:tcBorders>
          </w:tcPr>
          <w:p w14:paraId="1F679123"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 xml:space="preserve">Make pedestrian, ADA, and </w:t>
            </w:r>
            <w:proofErr w:type="spellStart"/>
            <w:r w:rsidRPr="00F9596C">
              <w:rPr>
                <w:rFonts w:ascii="Arial" w:hAnsi="Arial" w:cs="Arial"/>
                <w:color w:val="000000"/>
                <w:sz w:val="22"/>
                <w:szCs w:val="22"/>
              </w:rPr>
              <w:t>micromobility</w:t>
            </w:r>
            <w:proofErr w:type="spellEnd"/>
            <w:r w:rsidRPr="00F9596C">
              <w:rPr>
                <w:rStyle w:val="FootnoteReference"/>
                <w:rFonts w:ascii="Arial" w:hAnsi="Arial" w:cs="Arial"/>
                <w:color w:val="000000"/>
                <w:sz w:val="22"/>
                <w:szCs w:val="22"/>
              </w:rPr>
              <w:footnoteReference w:id="58"/>
            </w:r>
            <w:r w:rsidRPr="00F9596C">
              <w:rPr>
                <w:rFonts w:ascii="Arial" w:hAnsi="Arial" w:cs="Arial"/>
                <w:color w:val="000000"/>
                <w:sz w:val="22"/>
                <w:szCs w:val="22"/>
              </w:rPr>
              <w:t xml:space="preserve"> near the H Line and other targeted areas</w:t>
            </w:r>
          </w:p>
        </w:tc>
        <w:tc>
          <w:tcPr>
            <w:tcW w:w="1998" w:type="dxa"/>
            <w:tcBorders>
              <w:top w:val="single" w:sz="4" w:space="0" w:color="auto"/>
              <w:left w:val="single" w:sz="2" w:space="0" w:color="FFFFFF" w:themeColor="background1"/>
              <w:bottom w:val="single" w:sz="4" w:space="0" w:color="auto"/>
              <w:right w:val="single" w:sz="2" w:space="0" w:color="FFFFFF" w:themeColor="background1"/>
            </w:tcBorders>
            <w:tcMar>
              <w:top w:w="72" w:type="dxa"/>
              <w:left w:w="115" w:type="dxa"/>
              <w:bottom w:w="72" w:type="dxa"/>
              <w:right w:w="115" w:type="dxa"/>
            </w:tcMar>
          </w:tcPr>
          <w:p w14:paraId="6337B3F2" w14:textId="77777777" w:rsidR="009B4F72" w:rsidRPr="00F9596C" w:rsidRDefault="009B4F72" w:rsidP="00E34BBA">
            <w:pPr>
              <w:keepNext/>
              <w:ind w:left="360"/>
              <w:jc w:val="right"/>
              <w:rPr>
                <w:rFonts w:ascii="Arial" w:hAnsi="Arial" w:cs="Arial"/>
                <w:b/>
                <w:sz w:val="22"/>
                <w:szCs w:val="22"/>
              </w:rPr>
            </w:pPr>
            <w:r w:rsidRPr="00F9596C">
              <w:rPr>
                <w:rFonts w:ascii="Arial" w:hAnsi="Arial" w:cs="Arial"/>
                <w:color w:val="000000"/>
                <w:sz w:val="22"/>
                <w:szCs w:val="22"/>
              </w:rPr>
              <w:t>$899,848</w:t>
            </w:r>
          </w:p>
        </w:tc>
      </w:tr>
      <w:tr w:rsidR="009B4F72" w:rsidRPr="008D0300" w14:paraId="021AEF3A" w14:textId="77777777" w:rsidTr="00BB3852">
        <w:trPr>
          <w:cantSplit/>
          <w:trHeight w:val="21"/>
        </w:trPr>
        <w:tc>
          <w:tcPr>
            <w:tcW w:w="1151" w:type="dxa"/>
            <w:tcBorders>
              <w:top w:val="single" w:sz="4" w:space="0" w:color="auto"/>
              <w:left w:val="nil"/>
              <w:bottom w:val="single" w:sz="4" w:space="0" w:color="auto"/>
              <w:right w:val="nil"/>
            </w:tcBorders>
          </w:tcPr>
          <w:p w14:paraId="59C74B0F" w14:textId="77777777" w:rsidR="009B4F72" w:rsidRPr="00F9596C" w:rsidRDefault="009B4F72" w:rsidP="00E34BBA">
            <w:pPr>
              <w:keepNext/>
              <w:rPr>
                <w:rFonts w:ascii="Arial" w:hAnsi="Arial" w:cs="Arial"/>
                <w:b/>
                <w:sz w:val="22"/>
                <w:szCs w:val="22"/>
              </w:rPr>
            </w:pPr>
            <w:r w:rsidRPr="00F9596C">
              <w:rPr>
                <w:rFonts w:ascii="Arial" w:hAnsi="Arial" w:cs="Arial"/>
                <w:color w:val="000000"/>
                <w:sz w:val="22"/>
                <w:szCs w:val="22"/>
              </w:rPr>
              <w:t>1141994</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4D9767DF" w14:textId="77777777" w:rsidR="009B4F72" w:rsidRPr="00F9596C" w:rsidRDefault="009B4F72" w:rsidP="00E34BBA">
            <w:pPr>
              <w:keepNext/>
              <w:ind w:left="360"/>
              <w:rPr>
                <w:rFonts w:ascii="Arial" w:hAnsi="Arial" w:cs="Arial"/>
                <w:b/>
                <w:sz w:val="22"/>
                <w:szCs w:val="22"/>
              </w:rPr>
            </w:pPr>
            <w:r w:rsidRPr="00F9596C">
              <w:rPr>
                <w:rFonts w:ascii="Arial" w:hAnsi="Arial" w:cs="Arial"/>
                <w:color w:val="000000"/>
                <w:sz w:val="22"/>
                <w:szCs w:val="22"/>
              </w:rPr>
              <w:t>RR A Line Investments (Kent-Des Moines)</w:t>
            </w:r>
          </w:p>
        </w:tc>
        <w:tc>
          <w:tcPr>
            <w:tcW w:w="3690" w:type="dxa"/>
            <w:tcBorders>
              <w:top w:val="single" w:sz="4" w:space="0" w:color="auto"/>
              <w:left w:val="single" w:sz="2" w:space="0" w:color="FFFFFF" w:themeColor="background1"/>
              <w:bottom w:val="single" w:sz="4" w:space="0" w:color="auto"/>
              <w:right w:val="single" w:sz="2" w:space="0" w:color="FFFFFF" w:themeColor="background1"/>
            </w:tcBorders>
          </w:tcPr>
          <w:p w14:paraId="4478C5A8"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 xml:space="preserve">Make safety and access improvements to RapidRide </w:t>
            </w:r>
            <w:proofErr w:type="gramStart"/>
            <w:r w:rsidRPr="00F9596C">
              <w:rPr>
                <w:rFonts w:ascii="Arial" w:hAnsi="Arial" w:cs="Arial"/>
                <w:color w:val="000000"/>
                <w:sz w:val="22"/>
                <w:szCs w:val="22"/>
              </w:rPr>
              <w:t>A</w:t>
            </w:r>
            <w:proofErr w:type="gramEnd"/>
            <w:r w:rsidRPr="00F9596C">
              <w:rPr>
                <w:rFonts w:ascii="Arial" w:hAnsi="Arial" w:cs="Arial"/>
                <w:color w:val="000000"/>
                <w:sz w:val="22"/>
                <w:szCs w:val="22"/>
              </w:rPr>
              <w:t xml:space="preserve"> Line station areas, as well as potential speed and reliability improvements</w:t>
            </w:r>
          </w:p>
        </w:tc>
        <w:tc>
          <w:tcPr>
            <w:tcW w:w="1998" w:type="dxa"/>
            <w:tcBorders>
              <w:top w:val="single" w:sz="4" w:space="0" w:color="auto"/>
              <w:left w:val="single" w:sz="2" w:space="0" w:color="FFFFFF" w:themeColor="background1"/>
              <w:bottom w:val="single" w:sz="4" w:space="0" w:color="auto"/>
              <w:right w:val="single" w:sz="2" w:space="0" w:color="FFFFFF" w:themeColor="background1"/>
            </w:tcBorders>
            <w:tcMar>
              <w:top w:w="72" w:type="dxa"/>
              <w:left w:w="115" w:type="dxa"/>
              <w:bottom w:w="72" w:type="dxa"/>
              <w:right w:w="115" w:type="dxa"/>
            </w:tcMar>
          </w:tcPr>
          <w:p w14:paraId="68438A3B" w14:textId="77777777" w:rsidR="009B4F72" w:rsidRPr="00F9596C" w:rsidRDefault="009B4F72" w:rsidP="00E34BBA">
            <w:pPr>
              <w:keepNext/>
              <w:ind w:left="360"/>
              <w:jc w:val="right"/>
              <w:rPr>
                <w:rFonts w:ascii="Arial" w:hAnsi="Arial" w:cs="Arial"/>
                <w:b/>
                <w:sz w:val="22"/>
                <w:szCs w:val="22"/>
              </w:rPr>
            </w:pPr>
            <w:r w:rsidRPr="00F9596C">
              <w:rPr>
                <w:rFonts w:ascii="Arial" w:hAnsi="Arial" w:cs="Arial"/>
                <w:color w:val="000000"/>
                <w:sz w:val="22"/>
                <w:szCs w:val="22"/>
              </w:rPr>
              <w:t>$740,000</w:t>
            </w:r>
          </w:p>
        </w:tc>
      </w:tr>
      <w:tr w:rsidR="009B4F72" w:rsidRPr="008D0300" w14:paraId="1E5D6D59" w14:textId="77777777" w:rsidTr="00BB3852">
        <w:trPr>
          <w:cantSplit/>
          <w:trHeight w:val="13"/>
        </w:trPr>
        <w:tc>
          <w:tcPr>
            <w:tcW w:w="1151" w:type="dxa"/>
            <w:tcBorders>
              <w:top w:val="single" w:sz="4" w:space="0" w:color="auto"/>
              <w:left w:val="nil"/>
              <w:bottom w:val="single" w:sz="4" w:space="0" w:color="auto"/>
              <w:right w:val="nil"/>
            </w:tcBorders>
          </w:tcPr>
          <w:p w14:paraId="5E5825DD" w14:textId="77777777" w:rsidR="009B4F72" w:rsidRPr="00F9596C" w:rsidRDefault="009B4F72" w:rsidP="00E34BBA">
            <w:pPr>
              <w:keepNext/>
              <w:rPr>
                <w:rFonts w:ascii="Arial" w:hAnsi="Arial" w:cs="Arial"/>
                <w:sz w:val="22"/>
                <w:szCs w:val="22"/>
              </w:rPr>
            </w:pPr>
            <w:r w:rsidRPr="00F9596C">
              <w:rPr>
                <w:rFonts w:ascii="Arial" w:hAnsi="Arial" w:cs="Arial"/>
                <w:color w:val="000000"/>
                <w:sz w:val="22"/>
                <w:szCs w:val="22"/>
              </w:rPr>
              <w:lastRenderedPageBreak/>
              <w:t>1132327</w:t>
            </w:r>
          </w:p>
        </w:tc>
        <w:tc>
          <w:tcPr>
            <w:tcW w:w="2737" w:type="dxa"/>
            <w:tcBorders>
              <w:top w:val="single" w:sz="4" w:space="0" w:color="auto"/>
              <w:left w:val="nil"/>
              <w:bottom w:val="single" w:sz="4" w:space="0" w:color="auto"/>
              <w:right w:val="nil"/>
            </w:tcBorders>
            <w:tcMar>
              <w:top w:w="72" w:type="dxa"/>
              <w:left w:w="115" w:type="dxa"/>
              <w:bottom w:w="72" w:type="dxa"/>
              <w:right w:w="115" w:type="dxa"/>
            </w:tcMar>
          </w:tcPr>
          <w:p w14:paraId="76B1660D" w14:textId="77777777" w:rsidR="009B4F72" w:rsidRPr="00F9596C" w:rsidRDefault="009B4F72" w:rsidP="00E34BBA">
            <w:pPr>
              <w:keepNext/>
              <w:ind w:left="360"/>
              <w:rPr>
                <w:rFonts w:ascii="Arial" w:hAnsi="Arial" w:cs="Arial"/>
                <w:sz w:val="22"/>
                <w:szCs w:val="22"/>
              </w:rPr>
            </w:pPr>
            <w:r w:rsidRPr="00F9596C">
              <w:rPr>
                <w:rFonts w:ascii="Arial" w:hAnsi="Arial" w:cs="Arial"/>
                <w:color w:val="000000"/>
                <w:sz w:val="22"/>
                <w:szCs w:val="22"/>
              </w:rPr>
              <w:t>J Line Support (Eastlake)</w:t>
            </w:r>
          </w:p>
        </w:tc>
        <w:tc>
          <w:tcPr>
            <w:tcW w:w="3690" w:type="dxa"/>
            <w:tcBorders>
              <w:top w:val="single" w:sz="4" w:space="0" w:color="auto"/>
              <w:left w:val="single" w:sz="2" w:space="0" w:color="FFFFFF" w:themeColor="background1"/>
              <w:bottom w:val="single" w:sz="4" w:space="0" w:color="auto"/>
              <w:right w:val="single" w:sz="2" w:space="0" w:color="FFFFFF" w:themeColor="background1"/>
            </w:tcBorders>
          </w:tcPr>
          <w:p w14:paraId="0EA4FE9B" w14:textId="77777777" w:rsidR="009B4F72" w:rsidRPr="00F9596C" w:rsidRDefault="009B4F72" w:rsidP="00E34BBA">
            <w:pPr>
              <w:keepNext/>
              <w:ind w:left="360"/>
              <w:rPr>
                <w:rFonts w:ascii="Arial" w:hAnsi="Arial" w:cs="Arial"/>
                <w:color w:val="000000"/>
                <w:sz w:val="22"/>
                <w:szCs w:val="22"/>
              </w:rPr>
            </w:pPr>
            <w:r w:rsidRPr="00F9596C">
              <w:rPr>
                <w:rFonts w:ascii="Arial" w:hAnsi="Arial" w:cs="Arial"/>
                <w:color w:val="000000"/>
                <w:sz w:val="22"/>
                <w:szCs w:val="22"/>
              </w:rPr>
              <w:t>Provide funding for Metro capital staff support for this Seattle-funded RapidRide line</w:t>
            </w:r>
          </w:p>
        </w:tc>
        <w:tc>
          <w:tcPr>
            <w:tcW w:w="1998" w:type="dxa"/>
            <w:tcBorders>
              <w:top w:val="single" w:sz="4" w:space="0" w:color="auto"/>
              <w:left w:val="single" w:sz="2" w:space="0" w:color="FFFFFF" w:themeColor="background1"/>
              <w:bottom w:val="single" w:sz="4" w:space="0" w:color="auto"/>
              <w:right w:val="single" w:sz="2" w:space="0" w:color="FFFFFF" w:themeColor="background1"/>
            </w:tcBorders>
            <w:tcMar>
              <w:top w:w="72" w:type="dxa"/>
              <w:left w:w="115" w:type="dxa"/>
              <w:bottom w:w="72" w:type="dxa"/>
              <w:right w:w="115" w:type="dxa"/>
            </w:tcMar>
          </w:tcPr>
          <w:p w14:paraId="6AC839C7" w14:textId="77777777" w:rsidR="009B4F72" w:rsidRPr="00F9596C" w:rsidRDefault="009B4F72" w:rsidP="00E34BBA">
            <w:pPr>
              <w:keepNext/>
              <w:ind w:left="360"/>
              <w:jc w:val="right"/>
              <w:rPr>
                <w:rFonts w:ascii="Arial" w:hAnsi="Arial" w:cs="Arial"/>
                <w:sz w:val="22"/>
                <w:szCs w:val="22"/>
              </w:rPr>
            </w:pPr>
            <w:r w:rsidRPr="00F9596C">
              <w:rPr>
                <w:rFonts w:ascii="Arial" w:hAnsi="Arial" w:cs="Arial"/>
                <w:color w:val="000000"/>
                <w:sz w:val="22"/>
                <w:szCs w:val="22"/>
              </w:rPr>
              <w:t>$600,000</w:t>
            </w:r>
          </w:p>
        </w:tc>
      </w:tr>
      <w:tr w:rsidR="009B4F72" w:rsidRPr="008D0300" w14:paraId="5C5BADFF" w14:textId="77777777" w:rsidTr="00BB3852">
        <w:trPr>
          <w:cantSplit/>
          <w:trHeight w:val="13"/>
        </w:trPr>
        <w:tc>
          <w:tcPr>
            <w:tcW w:w="1151" w:type="dxa"/>
            <w:tcBorders>
              <w:top w:val="single" w:sz="4" w:space="0" w:color="auto"/>
              <w:left w:val="nil"/>
              <w:bottom w:val="single" w:sz="12" w:space="0" w:color="auto"/>
              <w:right w:val="nil"/>
            </w:tcBorders>
            <w:vAlign w:val="bottom"/>
          </w:tcPr>
          <w:p w14:paraId="0138B219" w14:textId="77777777" w:rsidR="009B4F72" w:rsidRPr="00F9596C" w:rsidRDefault="009B4F72" w:rsidP="00E34BBA">
            <w:pPr>
              <w:keepNext/>
              <w:ind w:left="360"/>
              <w:rPr>
                <w:rFonts w:ascii="Arial" w:hAnsi="Arial" w:cs="Arial"/>
                <w:b/>
                <w:sz w:val="22"/>
                <w:szCs w:val="22"/>
              </w:rPr>
            </w:pPr>
          </w:p>
        </w:tc>
        <w:tc>
          <w:tcPr>
            <w:tcW w:w="2737" w:type="dxa"/>
            <w:tcBorders>
              <w:top w:val="single" w:sz="4" w:space="0" w:color="auto"/>
              <w:left w:val="nil"/>
              <w:bottom w:val="single" w:sz="12" w:space="0" w:color="auto"/>
              <w:right w:val="nil"/>
            </w:tcBorders>
            <w:tcMar>
              <w:top w:w="72" w:type="dxa"/>
              <w:left w:w="115" w:type="dxa"/>
              <w:bottom w:w="72" w:type="dxa"/>
              <w:right w:w="115" w:type="dxa"/>
            </w:tcMar>
            <w:vAlign w:val="bottom"/>
          </w:tcPr>
          <w:p w14:paraId="7715167C" w14:textId="77777777" w:rsidR="009B4F72" w:rsidRPr="00F9596C" w:rsidRDefault="009B4F72" w:rsidP="00E34BBA">
            <w:pPr>
              <w:keepNext/>
              <w:ind w:left="360"/>
              <w:jc w:val="right"/>
              <w:rPr>
                <w:rFonts w:ascii="Arial" w:hAnsi="Arial" w:cs="Arial"/>
                <w:b/>
                <w:sz w:val="22"/>
                <w:szCs w:val="22"/>
              </w:rPr>
            </w:pPr>
          </w:p>
        </w:tc>
        <w:tc>
          <w:tcPr>
            <w:tcW w:w="3690" w:type="dxa"/>
            <w:tcBorders>
              <w:top w:val="single" w:sz="4" w:space="0" w:color="auto"/>
              <w:left w:val="single" w:sz="2" w:space="0" w:color="FFFFFF" w:themeColor="background1"/>
              <w:bottom w:val="single" w:sz="12" w:space="0" w:color="auto"/>
              <w:right w:val="single" w:sz="2" w:space="0" w:color="FFFFFF" w:themeColor="background1"/>
            </w:tcBorders>
          </w:tcPr>
          <w:p w14:paraId="7F0C9618" w14:textId="77777777" w:rsidR="009B4F72" w:rsidRPr="00F9596C" w:rsidRDefault="009B4F72" w:rsidP="00E34BBA">
            <w:pPr>
              <w:keepNext/>
              <w:ind w:left="360"/>
              <w:jc w:val="right"/>
              <w:rPr>
                <w:rFonts w:ascii="Arial" w:hAnsi="Arial" w:cs="Arial"/>
                <w:b/>
                <w:bCs/>
                <w:color w:val="000000"/>
                <w:sz w:val="22"/>
                <w:szCs w:val="22"/>
              </w:rPr>
            </w:pPr>
            <w:r w:rsidRPr="00F9596C">
              <w:rPr>
                <w:rFonts w:ascii="Arial" w:hAnsi="Arial" w:cs="Arial"/>
                <w:b/>
                <w:bCs/>
                <w:color w:val="000000"/>
                <w:sz w:val="22"/>
                <w:szCs w:val="22"/>
              </w:rPr>
              <w:t>TOTAL</w:t>
            </w:r>
          </w:p>
        </w:tc>
        <w:tc>
          <w:tcPr>
            <w:tcW w:w="1998" w:type="dxa"/>
            <w:tcBorders>
              <w:top w:val="single" w:sz="4"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20E716A0" w14:textId="77777777" w:rsidR="009B4F72" w:rsidRPr="00F9596C" w:rsidRDefault="009B4F72" w:rsidP="00E34BBA">
            <w:pPr>
              <w:keepNext/>
              <w:ind w:left="360"/>
              <w:jc w:val="right"/>
              <w:rPr>
                <w:rFonts w:ascii="Arial" w:hAnsi="Arial" w:cs="Arial"/>
                <w:b/>
                <w:bCs/>
                <w:sz w:val="22"/>
                <w:szCs w:val="22"/>
              </w:rPr>
            </w:pPr>
            <w:r w:rsidRPr="00F9596C">
              <w:rPr>
                <w:rFonts w:ascii="Arial" w:hAnsi="Arial" w:cs="Arial"/>
                <w:b/>
                <w:bCs/>
                <w:color w:val="000000"/>
                <w:sz w:val="22"/>
                <w:szCs w:val="22"/>
              </w:rPr>
              <w:t>$14,629,972</w:t>
            </w:r>
          </w:p>
        </w:tc>
      </w:tr>
    </w:tbl>
    <w:p w14:paraId="442F007B" w14:textId="77777777" w:rsidR="009B4F72" w:rsidRDefault="009B4F72" w:rsidP="009B4F72">
      <w:pPr>
        <w:spacing w:line="264" w:lineRule="auto"/>
        <w:contextualSpacing/>
        <w:jc w:val="both"/>
        <w:rPr>
          <w:rFonts w:ascii="Arial" w:hAnsi="Arial" w:cs="Arial"/>
          <w:szCs w:val="24"/>
        </w:rPr>
      </w:pPr>
    </w:p>
    <w:p w14:paraId="5A32374A" w14:textId="5B247557" w:rsidR="009B4F72" w:rsidRPr="00D43968" w:rsidRDefault="009B4F72" w:rsidP="009B4F72">
      <w:pPr>
        <w:spacing w:line="264" w:lineRule="auto"/>
        <w:contextualSpacing/>
        <w:jc w:val="both"/>
        <w:rPr>
          <w:rFonts w:ascii="Arial" w:hAnsi="Arial" w:cs="Arial"/>
          <w:b/>
          <w:bCs/>
          <w:szCs w:val="24"/>
        </w:rPr>
      </w:pPr>
      <w:r w:rsidRPr="00D43968">
        <w:rPr>
          <w:rFonts w:ascii="Arial" w:hAnsi="Arial" w:cs="Arial"/>
          <w:b/>
          <w:bCs/>
          <w:szCs w:val="24"/>
        </w:rPr>
        <w:t>SOUND TRANSIT EXPANSION SUPPORT</w:t>
      </w:r>
    </w:p>
    <w:p w14:paraId="537FEC18" w14:textId="672400C9" w:rsidR="009B4F72" w:rsidDel="0030296F" w:rsidRDefault="009B4F72" w:rsidP="009B4F72">
      <w:pPr>
        <w:spacing w:line="264" w:lineRule="auto"/>
        <w:jc w:val="both"/>
        <w:rPr>
          <w:rFonts w:ascii="Arial" w:hAnsi="Arial" w:cs="Arial"/>
          <w:szCs w:val="24"/>
        </w:rPr>
      </w:pPr>
      <w:r>
        <w:rPr>
          <w:rFonts w:ascii="Arial" w:hAnsi="Arial" w:cs="Arial"/>
          <w:b/>
          <w:i/>
          <w:iCs/>
        </w:rPr>
        <w:t xml:space="preserve">Operating: </w:t>
      </w:r>
      <w:r w:rsidDel="0030296F">
        <w:rPr>
          <w:rFonts w:ascii="Arial" w:hAnsi="Arial" w:cs="Arial"/>
          <w:b/>
          <w:i/>
          <w:iCs/>
        </w:rPr>
        <w:t>Sound Transit Expansion and Support</w:t>
      </w:r>
      <w:r w:rsidRPr="00BE5E7E" w:rsidDel="0030296F">
        <w:rPr>
          <w:rFonts w:ascii="Arial" w:hAnsi="Arial" w:cs="Arial"/>
          <w:b/>
          <w:i/>
          <w:iCs/>
        </w:rPr>
        <w:t xml:space="preserve"> [</w:t>
      </w:r>
      <w:r w:rsidDel="0030296F">
        <w:rPr>
          <w:rFonts w:ascii="Arial" w:hAnsi="Arial" w:cs="Arial"/>
          <w:b/>
          <w:i/>
          <w:iCs/>
        </w:rPr>
        <w:t>$5,980,963, 48</w:t>
      </w:r>
      <w:r w:rsidRPr="00BE5E7E" w:rsidDel="0030296F">
        <w:rPr>
          <w:rFonts w:ascii="Arial" w:hAnsi="Arial" w:cs="Arial"/>
          <w:b/>
          <w:i/>
          <w:iCs/>
        </w:rPr>
        <w:t>.0 FTEs, ongoing].</w:t>
      </w:r>
      <w:r w:rsidRPr="00BE5E7E" w:rsidDel="0030296F">
        <w:rPr>
          <w:rFonts w:ascii="Arial" w:hAnsi="Arial" w:cs="Arial"/>
          <w:b/>
          <w:iCs/>
        </w:rPr>
        <w:t xml:space="preserve"> </w:t>
      </w:r>
      <w:r>
        <w:rPr>
          <w:rFonts w:ascii="Arial" w:hAnsi="Arial" w:cs="Arial"/>
          <w:b/>
          <w:iCs/>
        </w:rPr>
        <w:t xml:space="preserve"> </w:t>
      </w:r>
      <w:r w:rsidRPr="00BE5E7E" w:rsidDel="0030296F">
        <w:rPr>
          <w:rFonts w:ascii="Arial" w:hAnsi="Arial" w:cs="Arial"/>
        </w:rPr>
        <w:t xml:space="preserve">The </w:t>
      </w:r>
      <w:r w:rsidDel="0030296F">
        <w:rPr>
          <w:rFonts w:ascii="Arial" w:hAnsi="Arial" w:cs="Arial"/>
        </w:rPr>
        <w:t xml:space="preserve">proposed </w:t>
      </w:r>
      <w:r>
        <w:rPr>
          <w:rFonts w:ascii="Arial" w:hAnsi="Arial" w:cs="Arial"/>
        </w:rPr>
        <w:t>ordinance</w:t>
      </w:r>
      <w:r w:rsidDel="0030296F">
        <w:rPr>
          <w:rFonts w:ascii="Arial" w:hAnsi="Arial" w:cs="Arial"/>
        </w:rPr>
        <w:t xml:space="preserve"> continues Metro’s support for Sound Transit in anticipation of the opening of the East Link light rail line in 2023. </w:t>
      </w:r>
      <w:r>
        <w:rPr>
          <w:rFonts w:ascii="Arial" w:hAnsi="Arial" w:cs="Arial"/>
        </w:rPr>
        <w:t xml:space="preserve"> </w:t>
      </w:r>
      <w:r w:rsidRPr="00502C56" w:rsidDel="0030296F">
        <w:rPr>
          <w:rFonts w:ascii="Arial" w:hAnsi="Arial" w:cs="Arial"/>
          <w:bCs/>
          <w:szCs w:val="24"/>
        </w:rPr>
        <w:t>Metro operates Link light rail service under an intergovernmental agreement with Sound Transit,</w:t>
      </w:r>
      <w:r w:rsidRPr="00502C56" w:rsidDel="0030296F">
        <w:rPr>
          <w:rStyle w:val="FootnoteReference"/>
          <w:rFonts w:ascii="Arial" w:hAnsi="Arial" w:cs="Arial"/>
          <w:bCs/>
          <w:szCs w:val="24"/>
        </w:rPr>
        <w:footnoteReference w:id="59"/>
      </w:r>
      <w:r w:rsidRPr="00502C56" w:rsidDel="0030296F">
        <w:rPr>
          <w:rFonts w:ascii="Arial" w:hAnsi="Arial" w:cs="Arial"/>
          <w:bCs/>
          <w:szCs w:val="24"/>
        </w:rPr>
        <w:t xml:space="preserve"> which covers Metro’s operations and maintenance costs, as well as some overhead expenses. </w:t>
      </w:r>
      <w:r>
        <w:rPr>
          <w:rFonts w:ascii="Arial" w:hAnsi="Arial" w:cs="Arial"/>
          <w:bCs/>
          <w:szCs w:val="24"/>
        </w:rPr>
        <w:t xml:space="preserve"> </w:t>
      </w:r>
      <w:r w:rsidRPr="00502C56" w:rsidDel="0030296F">
        <w:rPr>
          <w:rFonts w:ascii="Arial" w:hAnsi="Arial" w:cs="Arial"/>
          <w:bCs/>
          <w:szCs w:val="24"/>
        </w:rPr>
        <w:t>A</w:t>
      </w:r>
      <w:r w:rsidDel="0030296F">
        <w:rPr>
          <w:rFonts w:ascii="Arial" w:hAnsi="Arial" w:cs="Arial"/>
          <w:bCs/>
          <w:szCs w:val="24"/>
        </w:rPr>
        <w:t>dditional a</w:t>
      </w:r>
      <w:r w:rsidRPr="00502C56" w:rsidDel="0030296F">
        <w:rPr>
          <w:rFonts w:ascii="Arial" w:hAnsi="Arial" w:cs="Arial"/>
          <w:bCs/>
          <w:szCs w:val="24"/>
        </w:rPr>
        <w:t xml:space="preserve">dministrative, maintenance, and operational support for </w:t>
      </w:r>
      <w:r w:rsidDel="0030296F">
        <w:rPr>
          <w:rFonts w:ascii="Arial" w:hAnsi="Arial" w:cs="Arial"/>
          <w:bCs/>
          <w:szCs w:val="24"/>
        </w:rPr>
        <w:t xml:space="preserve">East </w:t>
      </w:r>
      <w:r w:rsidRPr="00502C56" w:rsidDel="0030296F">
        <w:rPr>
          <w:rFonts w:ascii="Arial" w:hAnsi="Arial" w:cs="Arial"/>
          <w:bCs/>
          <w:szCs w:val="24"/>
        </w:rPr>
        <w:t>Link expansion during 2021-2022</w:t>
      </w:r>
      <w:r w:rsidDel="0030296F">
        <w:rPr>
          <w:rFonts w:ascii="Arial" w:hAnsi="Arial" w:cs="Arial"/>
          <w:bCs/>
          <w:szCs w:val="24"/>
        </w:rPr>
        <w:t xml:space="preserve">, above and beyond what was approved in the </w:t>
      </w:r>
      <w:r>
        <w:rPr>
          <w:rFonts w:ascii="Arial" w:hAnsi="Arial" w:cs="Arial"/>
          <w:bCs/>
          <w:szCs w:val="24"/>
        </w:rPr>
        <w:t xml:space="preserve">2021-2022 biennial </w:t>
      </w:r>
      <w:r w:rsidDel="0030296F">
        <w:rPr>
          <w:rFonts w:ascii="Arial" w:hAnsi="Arial" w:cs="Arial"/>
          <w:bCs/>
          <w:szCs w:val="24"/>
        </w:rPr>
        <w:t>adopted budget,</w:t>
      </w:r>
      <w:r w:rsidRPr="00502C56" w:rsidDel="0030296F">
        <w:rPr>
          <w:rFonts w:ascii="Arial" w:hAnsi="Arial" w:cs="Arial"/>
          <w:bCs/>
          <w:szCs w:val="24"/>
        </w:rPr>
        <w:t xml:space="preserve"> is proposed as an increase of $</w:t>
      </w:r>
      <w:r w:rsidDel="0030296F">
        <w:rPr>
          <w:rFonts w:ascii="Arial" w:hAnsi="Arial" w:cs="Arial"/>
          <w:bCs/>
          <w:szCs w:val="24"/>
        </w:rPr>
        <w:t>5.98</w:t>
      </w:r>
      <w:r w:rsidRPr="00502C56" w:rsidDel="0030296F">
        <w:rPr>
          <w:rFonts w:ascii="Arial" w:hAnsi="Arial" w:cs="Arial"/>
          <w:bCs/>
          <w:szCs w:val="24"/>
        </w:rPr>
        <w:t xml:space="preserve"> million and </w:t>
      </w:r>
      <w:r w:rsidDel="0030296F">
        <w:rPr>
          <w:rFonts w:ascii="Arial" w:hAnsi="Arial" w:cs="Arial"/>
          <w:bCs/>
          <w:szCs w:val="24"/>
        </w:rPr>
        <w:t>48</w:t>
      </w:r>
      <w:r>
        <w:rPr>
          <w:rFonts w:ascii="Arial" w:hAnsi="Arial" w:cs="Arial"/>
          <w:bCs/>
          <w:szCs w:val="24"/>
        </w:rPr>
        <w:t>.0</w:t>
      </w:r>
      <w:r w:rsidRPr="00502C56" w:rsidDel="0030296F">
        <w:rPr>
          <w:rFonts w:ascii="Arial" w:hAnsi="Arial" w:cs="Arial"/>
          <w:bCs/>
          <w:szCs w:val="24"/>
        </w:rPr>
        <w:t xml:space="preserve"> FTEs to Metro’s budget (all revenue-backed</w:t>
      </w:r>
      <w:r>
        <w:rPr>
          <w:rFonts w:ascii="Arial" w:hAnsi="Arial" w:cs="Arial"/>
          <w:bCs/>
          <w:szCs w:val="24"/>
        </w:rPr>
        <w:t xml:space="preserve"> by Sound Transit</w:t>
      </w:r>
      <w:r w:rsidRPr="00502C56" w:rsidDel="0030296F">
        <w:rPr>
          <w:rFonts w:ascii="Arial" w:hAnsi="Arial" w:cs="Arial"/>
          <w:bCs/>
          <w:szCs w:val="24"/>
        </w:rPr>
        <w:t>).</w:t>
      </w:r>
    </w:p>
    <w:p w14:paraId="6D91493B" w14:textId="77777777" w:rsidR="009B4F72" w:rsidDel="0030296F" w:rsidRDefault="009B4F72" w:rsidP="009B4F72">
      <w:pPr>
        <w:spacing w:line="264" w:lineRule="auto"/>
        <w:rPr>
          <w:rFonts w:ascii="Arial" w:hAnsi="Arial" w:cs="Arial"/>
          <w:szCs w:val="24"/>
        </w:rPr>
      </w:pPr>
    </w:p>
    <w:p w14:paraId="79B34794" w14:textId="77777777" w:rsidR="009B4F72" w:rsidDel="0030296F" w:rsidRDefault="009B4F72" w:rsidP="009B4F72">
      <w:pPr>
        <w:spacing w:line="264" w:lineRule="auto"/>
        <w:jc w:val="both"/>
        <w:rPr>
          <w:rFonts w:ascii="Arial" w:hAnsi="Arial" w:cs="Arial"/>
          <w:szCs w:val="24"/>
        </w:rPr>
      </w:pPr>
      <w:r w:rsidRPr="00B74925">
        <w:rPr>
          <w:rFonts w:ascii="Arial" w:hAnsi="Arial" w:cs="Arial"/>
          <w:b/>
          <w:bCs/>
          <w:i/>
          <w:iCs/>
          <w:szCs w:val="24"/>
        </w:rPr>
        <w:t>Capital: East Link passenger improvements [$2,720,450].</w:t>
      </w:r>
      <w:r>
        <w:rPr>
          <w:rFonts w:ascii="Arial" w:hAnsi="Arial" w:cs="Arial"/>
          <w:b/>
          <w:bCs/>
          <w:i/>
          <w:iCs/>
          <w:szCs w:val="24"/>
        </w:rPr>
        <w:t xml:space="preserve"> </w:t>
      </w:r>
      <w:r>
        <w:rPr>
          <w:rFonts w:ascii="Arial" w:hAnsi="Arial" w:cs="Arial"/>
          <w:szCs w:val="24"/>
        </w:rPr>
        <w:t xml:space="preserve"> </w:t>
      </w:r>
      <w:r w:rsidDel="0030296F">
        <w:rPr>
          <w:rFonts w:ascii="Arial" w:hAnsi="Arial" w:cs="Arial"/>
          <w:szCs w:val="24"/>
        </w:rPr>
        <w:t>In addition to operational support for Link light rail, the proposed ordinance includes a net of $2.7 million in additional capital expenditures to be funded by Metro (not revenue-backed by Sound Transit), to make passenger improvements to improve the transfer experience for customers navigating between new East Link rail stations and connecting Metro bus routes.</w:t>
      </w:r>
      <w:r w:rsidDel="0030296F">
        <w:rPr>
          <w:rStyle w:val="FootnoteReference"/>
          <w:rFonts w:ascii="Arial" w:hAnsi="Arial" w:cs="Arial"/>
          <w:szCs w:val="24"/>
        </w:rPr>
        <w:footnoteReference w:id="60"/>
      </w:r>
    </w:p>
    <w:p w14:paraId="6DCDEF60" w14:textId="77777777" w:rsidR="009B4F72" w:rsidRDefault="009B4F72" w:rsidP="009B4F72">
      <w:pPr>
        <w:spacing w:line="264" w:lineRule="auto"/>
        <w:rPr>
          <w:rFonts w:ascii="Arial" w:hAnsi="Arial" w:cs="Arial"/>
          <w:szCs w:val="24"/>
        </w:rPr>
      </w:pPr>
    </w:p>
    <w:p w14:paraId="10652466" w14:textId="77777777" w:rsidR="009B4F72" w:rsidRPr="00DF4736" w:rsidRDefault="009B4F72" w:rsidP="009B4F72">
      <w:pPr>
        <w:spacing w:line="264" w:lineRule="auto"/>
        <w:rPr>
          <w:rFonts w:ascii="Arial" w:hAnsi="Arial" w:cs="Arial"/>
          <w:b/>
          <w:bCs/>
          <w:szCs w:val="24"/>
        </w:rPr>
      </w:pPr>
      <w:r>
        <w:rPr>
          <w:rFonts w:ascii="Arial" w:hAnsi="Arial" w:cs="Arial"/>
          <w:b/>
          <w:bCs/>
          <w:szCs w:val="24"/>
        </w:rPr>
        <w:t>SAFETY &amp; SECURITY</w:t>
      </w:r>
    </w:p>
    <w:p w14:paraId="13320D89" w14:textId="77777777" w:rsidR="009B4F72" w:rsidRDefault="009B4F72" w:rsidP="009B4F72">
      <w:pPr>
        <w:spacing w:line="264" w:lineRule="auto"/>
        <w:jc w:val="both"/>
        <w:rPr>
          <w:rFonts w:ascii="Arial" w:hAnsi="Arial" w:cs="Arial"/>
        </w:rPr>
      </w:pPr>
      <w:r>
        <w:rPr>
          <w:rFonts w:ascii="Arial" w:hAnsi="Arial" w:cs="Arial"/>
          <w:b/>
          <w:i/>
          <w:iCs/>
        </w:rPr>
        <w:t>Operating:  Safety, security, and Fare Enforcement (</w:t>
      </w:r>
      <w:proofErr w:type="spellStart"/>
      <w:r>
        <w:rPr>
          <w:rFonts w:ascii="Arial" w:hAnsi="Arial" w:cs="Arial"/>
          <w:b/>
          <w:i/>
          <w:iCs/>
        </w:rPr>
        <w:t>SaFE</w:t>
      </w:r>
      <w:proofErr w:type="spellEnd"/>
      <w:r>
        <w:rPr>
          <w:rFonts w:ascii="Arial" w:hAnsi="Arial" w:cs="Arial"/>
          <w:b/>
          <w:i/>
          <w:iCs/>
        </w:rPr>
        <w:t>) Reform Initiative Support</w:t>
      </w:r>
      <w:r w:rsidRPr="00BE5E7E">
        <w:rPr>
          <w:rFonts w:ascii="Arial" w:hAnsi="Arial" w:cs="Arial"/>
          <w:b/>
          <w:i/>
          <w:iCs/>
        </w:rPr>
        <w:t xml:space="preserve"> [</w:t>
      </w:r>
      <w:r>
        <w:rPr>
          <w:rFonts w:ascii="Arial" w:hAnsi="Arial" w:cs="Arial"/>
          <w:b/>
          <w:i/>
          <w:iCs/>
        </w:rPr>
        <w:t>$4,872,100</w:t>
      </w:r>
      <w:r w:rsidRPr="00BE5E7E">
        <w:rPr>
          <w:rFonts w:ascii="Arial" w:hAnsi="Arial" w:cs="Arial"/>
          <w:b/>
          <w:i/>
          <w:iCs/>
        </w:rPr>
        <w:t>].</w:t>
      </w:r>
      <w:r w:rsidRPr="00BE5E7E">
        <w:rPr>
          <w:rFonts w:ascii="Arial" w:hAnsi="Arial" w:cs="Arial"/>
          <w:b/>
          <w:iCs/>
        </w:rPr>
        <w:t xml:space="preserve"> </w:t>
      </w:r>
      <w:r>
        <w:rPr>
          <w:rFonts w:ascii="Arial" w:hAnsi="Arial" w:cs="Arial"/>
          <w:b/>
          <w:iCs/>
        </w:rPr>
        <w:t xml:space="preserve"> </w:t>
      </w:r>
      <w:r w:rsidRPr="00BE5E7E">
        <w:rPr>
          <w:rFonts w:ascii="Arial" w:hAnsi="Arial" w:cs="Arial"/>
        </w:rPr>
        <w:t xml:space="preserve">The </w:t>
      </w:r>
      <w:r>
        <w:rPr>
          <w:rFonts w:ascii="Arial" w:hAnsi="Arial" w:cs="Arial"/>
        </w:rPr>
        <w:t>adopted budget included a proviso</w:t>
      </w:r>
      <w:r>
        <w:rPr>
          <w:rStyle w:val="FootnoteReference"/>
          <w:rFonts w:ascii="Arial" w:hAnsi="Arial" w:cs="Arial"/>
        </w:rPr>
        <w:footnoteReference w:id="61"/>
      </w:r>
      <w:r>
        <w:rPr>
          <w:rFonts w:ascii="Arial" w:hAnsi="Arial" w:cs="Arial"/>
        </w:rPr>
        <w:t xml:space="preserve"> requiring Metro to work with the King County Sheriff’s Office, employees, community members, and stakeholders to reimagine and reform safety and security functions with the goal of advancing Metro’s commitment to become an antiracist mobility agency.  In response, Metro transmitted a scoping report earlier this year that proposed a timeline and processes for internal and external co-creation and engagement for this effort, which Metro has named the </w:t>
      </w:r>
      <w:proofErr w:type="spellStart"/>
      <w:r>
        <w:rPr>
          <w:rFonts w:ascii="Arial" w:hAnsi="Arial" w:cs="Arial"/>
        </w:rPr>
        <w:t>SaFE</w:t>
      </w:r>
      <w:proofErr w:type="spellEnd"/>
      <w:r>
        <w:rPr>
          <w:rFonts w:ascii="Arial" w:hAnsi="Arial" w:cs="Arial"/>
        </w:rPr>
        <w:t xml:space="preserve"> Reform Initiative.</w:t>
      </w:r>
      <w:r>
        <w:rPr>
          <w:rStyle w:val="FootnoteReference"/>
          <w:rFonts w:ascii="Arial" w:hAnsi="Arial" w:cs="Arial"/>
        </w:rPr>
        <w:footnoteReference w:id="62"/>
      </w:r>
      <w:r>
        <w:rPr>
          <w:rFonts w:ascii="Arial" w:hAnsi="Arial" w:cs="Arial"/>
        </w:rPr>
        <w:t xml:space="preserve"> </w:t>
      </w:r>
    </w:p>
    <w:p w14:paraId="023E0841" w14:textId="77777777" w:rsidR="009B4F72" w:rsidRDefault="009B4F72" w:rsidP="009B4F72">
      <w:pPr>
        <w:spacing w:line="264" w:lineRule="auto"/>
        <w:jc w:val="both"/>
        <w:rPr>
          <w:rFonts w:ascii="Arial" w:hAnsi="Arial" w:cs="Arial"/>
        </w:rPr>
      </w:pPr>
    </w:p>
    <w:p w14:paraId="20CF6408" w14:textId="77777777" w:rsidR="009B4F72" w:rsidRDefault="009B4F72" w:rsidP="009B4F72">
      <w:pPr>
        <w:spacing w:line="264" w:lineRule="auto"/>
        <w:jc w:val="both"/>
        <w:rPr>
          <w:rFonts w:ascii="Arial" w:hAnsi="Arial" w:cs="Arial"/>
          <w:szCs w:val="24"/>
        </w:rPr>
      </w:pPr>
      <w:r>
        <w:rPr>
          <w:rFonts w:ascii="Arial" w:hAnsi="Arial" w:cs="Arial"/>
        </w:rPr>
        <w:t xml:space="preserve">The proposed budget would request a delay in the due date for the proviso-required </w:t>
      </w:r>
      <w:proofErr w:type="spellStart"/>
      <w:r>
        <w:rPr>
          <w:rFonts w:ascii="Arial" w:hAnsi="Arial" w:cs="Arial"/>
        </w:rPr>
        <w:t>SaFE</w:t>
      </w:r>
      <w:proofErr w:type="spellEnd"/>
      <w:r>
        <w:rPr>
          <w:rFonts w:ascii="Arial" w:hAnsi="Arial" w:cs="Arial"/>
        </w:rPr>
        <w:t xml:space="preserve"> Reform Initiative’s implementation report from September 30, 2021, to December 1, 2021.  It would also allocate an additional $4.87 million to support pilot projects and consulting efforts related to the initiative’s implementation.  Metro staff note that these </w:t>
      </w:r>
      <w:r>
        <w:rPr>
          <w:rFonts w:ascii="Arial" w:hAnsi="Arial" w:cs="Arial"/>
        </w:rPr>
        <w:lastRenderedPageBreak/>
        <w:t>pilot projects will be described in the implementation report, when it is transmitted in December.</w:t>
      </w:r>
    </w:p>
    <w:p w14:paraId="4F3D4626" w14:textId="77777777" w:rsidR="009B4F72" w:rsidRPr="000C2CC7" w:rsidRDefault="009B4F72" w:rsidP="009B4F72">
      <w:pPr>
        <w:spacing w:line="264" w:lineRule="auto"/>
        <w:rPr>
          <w:rFonts w:ascii="Arial" w:hAnsi="Arial" w:cs="Arial"/>
          <w:szCs w:val="24"/>
        </w:rPr>
      </w:pPr>
    </w:p>
    <w:p w14:paraId="7CB8F5F8" w14:textId="6B3F1A6D" w:rsidR="009B4F72" w:rsidRDefault="009B4F72" w:rsidP="009B4F72">
      <w:pPr>
        <w:spacing w:line="264" w:lineRule="auto"/>
        <w:contextualSpacing/>
        <w:jc w:val="both"/>
        <w:rPr>
          <w:rFonts w:ascii="Arial" w:hAnsi="Arial" w:cs="Arial"/>
          <w:szCs w:val="24"/>
        </w:rPr>
      </w:pPr>
      <w:r>
        <w:rPr>
          <w:rFonts w:ascii="Arial" w:hAnsi="Arial" w:cs="Arial"/>
          <w:b/>
          <w:bCs/>
          <w:i/>
          <w:iCs/>
          <w:szCs w:val="24"/>
        </w:rPr>
        <w:t xml:space="preserve">Operating: </w:t>
      </w:r>
      <w:r w:rsidRPr="00391B4C">
        <w:rPr>
          <w:rFonts w:ascii="Arial" w:hAnsi="Arial" w:cs="Arial"/>
          <w:b/>
          <w:bCs/>
          <w:i/>
          <w:iCs/>
          <w:szCs w:val="24"/>
        </w:rPr>
        <w:t xml:space="preserve">Security </w:t>
      </w:r>
      <w:r>
        <w:rPr>
          <w:rFonts w:ascii="Arial" w:hAnsi="Arial" w:cs="Arial"/>
          <w:b/>
          <w:bCs/>
          <w:i/>
          <w:iCs/>
          <w:szCs w:val="24"/>
        </w:rPr>
        <w:t xml:space="preserve">camera recording retrieval </w:t>
      </w:r>
      <w:r w:rsidRPr="00391B4C">
        <w:rPr>
          <w:rFonts w:ascii="Arial" w:hAnsi="Arial" w:cs="Arial"/>
          <w:b/>
          <w:bCs/>
          <w:i/>
          <w:iCs/>
          <w:szCs w:val="24"/>
        </w:rPr>
        <w:t>[$266,674, 2.0 TLTs].</w:t>
      </w:r>
      <w:r>
        <w:rPr>
          <w:rFonts w:ascii="Arial" w:hAnsi="Arial" w:cs="Arial"/>
          <w:szCs w:val="24"/>
        </w:rPr>
        <w:t xml:space="preserve">  The proposed ordinance would add temporary staffing to support increased requests for retrieval of on-board bus camera recordings until Metro’s Video Management System and Next Gen Wireless projects are fully operational in 2024. </w:t>
      </w:r>
    </w:p>
    <w:p w14:paraId="2421044A" w14:textId="77777777" w:rsidR="009B4F72" w:rsidRDefault="009B4F72" w:rsidP="009B4F72">
      <w:pPr>
        <w:spacing w:line="264" w:lineRule="auto"/>
        <w:contextualSpacing/>
        <w:jc w:val="both"/>
        <w:rPr>
          <w:rFonts w:ascii="Arial" w:hAnsi="Arial" w:cs="Arial"/>
          <w:szCs w:val="24"/>
        </w:rPr>
      </w:pPr>
    </w:p>
    <w:p w14:paraId="33001BDC" w14:textId="6EE5BEA8" w:rsidR="009B4F72" w:rsidRDefault="009B4F72" w:rsidP="009B4F72">
      <w:pPr>
        <w:spacing w:line="264" w:lineRule="auto"/>
        <w:contextualSpacing/>
        <w:jc w:val="both"/>
        <w:rPr>
          <w:rFonts w:ascii="Arial" w:hAnsi="Arial" w:cs="Arial"/>
          <w:szCs w:val="24"/>
        </w:rPr>
      </w:pPr>
      <w:r>
        <w:rPr>
          <w:rFonts w:ascii="Arial" w:hAnsi="Arial" w:cs="Arial"/>
          <w:b/>
          <w:bCs/>
          <w:i/>
          <w:iCs/>
          <w:szCs w:val="24"/>
        </w:rPr>
        <w:t xml:space="preserve">Capital: </w:t>
      </w:r>
      <w:r w:rsidRPr="00391B4C">
        <w:rPr>
          <w:rFonts w:ascii="Arial" w:hAnsi="Arial" w:cs="Arial"/>
          <w:b/>
          <w:bCs/>
          <w:i/>
          <w:iCs/>
          <w:szCs w:val="24"/>
        </w:rPr>
        <w:t>Security improvements [$1,711,415].</w:t>
      </w:r>
      <w:r>
        <w:rPr>
          <w:rFonts w:ascii="Arial" w:hAnsi="Arial" w:cs="Arial"/>
          <w:b/>
          <w:bCs/>
          <w:i/>
          <w:iCs/>
          <w:szCs w:val="24"/>
        </w:rPr>
        <w:t xml:space="preserve"> </w:t>
      </w:r>
      <w:r>
        <w:rPr>
          <w:rFonts w:ascii="Arial" w:hAnsi="Arial" w:cs="Arial"/>
          <w:szCs w:val="24"/>
        </w:rPr>
        <w:t xml:space="preserve"> The proposed ordinance would support capital improvements to increase security at the exterior of Metro’s seven existing transit bases, with vehicle gates, pedestrian gates, access control, and fencing.</w:t>
      </w:r>
    </w:p>
    <w:p w14:paraId="3EAFDC0E" w14:textId="77777777" w:rsidR="006B2F3A" w:rsidRDefault="006B2F3A" w:rsidP="009B4F72">
      <w:pPr>
        <w:spacing w:line="264" w:lineRule="auto"/>
        <w:contextualSpacing/>
        <w:jc w:val="both"/>
        <w:rPr>
          <w:rFonts w:ascii="Arial" w:hAnsi="Arial" w:cs="Arial"/>
          <w:b/>
          <w:bCs/>
        </w:rPr>
      </w:pPr>
    </w:p>
    <w:p w14:paraId="0866B238" w14:textId="4845F409" w:rsidR="009B4F72" w:rsidRDefault="009B4F72" w:rsidP="009B4F72">
      <w:pPr>
        <w:spacing w:line="264" w:lineRule="auto"/>
        <w:contextualSpacing/>
        <w:jc w:val="both"/>
        <w:rPr>
          <w:rFonts w:ascii="Arial" w:hAnsi="Arial" w:cs="Arial"/>
          <w:b/>
          <w:bCs/>
        </w:rPr>
      </w:pPr>
      <w:r>
        <w:rPr>
          <w:rFonts w:ascii="Arial" w:hAnsi="Arial" w:cs="Arial"/>
          <w:b/>
          <w:bCs/>
        </w:rPr>
        <w:t>SUPPORT FOR THOSE IN NEED</w:t>
      </w:r>
    </w:p>
    <w:p w14:paraId="66CFC08B" w14:textId="77777777" w:rsidR="009B4F72" w:rsidRDefault="009B4F72" w:rsidP="009B4F72">
      <w:pPr>
        <w:spacing w:line="264" w:lineRule="auto"/>
        <w:contextualSpacing/>
        <w:jc w:val="both"/>
        <w:rPr>
          <w:rFonts w:ascii="Arial" w:hAnsi="Arial" w:cs="Arial"/>
        </w:rPr>
      </w:pPr>
      <w:r>
        <w:rPr>
          <w:rFonts w:ascii="Arial" w:hAnsi="Arial" w:cs="Arial"/>
          <w:b/>
          <w:bCs/>
          <w:i/>
          <w:iCs/>
        </w:rPr>
        <w:t>Operating: Subsidized Annual Pass Program Reduction and Health Through Housing Investments [</w:t>
      </w:r>
      <w:r w:rsidRPr="005578A6">
        <w:rPr>
          <w:rFonts w:ascii="Arial" w:hAnsi="Arial" w:cs="Arial"/>
          <w:b/>
          <w:bCs/>
          <w:i/>
          <w:iCs/>
          <w:color w:val="C00000"/>
        </w:rPr>
        <w:t>-$40,060,433</w:t>
      </w:r>
      <w:r>
        <w:rPr>
          <w:rFonts w:ascii="Arial" w:hAnsi="Arial" w:cs="Arial"/>
          <w:b/>
          <w:bCs/>
          <w:i/>
          <w:iCs/>
        </w:rPr>
        <w:t xml:space="preserve">].  </w:t>
      </w:r>
      <w:r>
        <w:rPr>
          <w:rFonts w:ascii="Arial" w:hAnsi="Arial" w:cs="Arial"/>
        </w:rPr>
        <w:t>The proposed ordinance would disappropriate</w:t>
      </w:r>
      <w:r w:rsidRPr="005578A6">
        <w:rPr>
          <w:rFonts w:ascii="Arial" w:hAnsi="Arial" w:cs="Arial"/>
        </w:rPr>
        <w:t xml:space="preserve"> </w:t>
      </w:r>
      <w:r>
        <w:rPr>
          <w:rFonts w:ascii="Arial" w:hAnsi="Arial" w:cs="Arial"/>
        </w:rPr>
        <w:t>$</w:t>
      </w:r>
      <w:r w:rsidRPr="005578A6">
        <w:rPr>
          <w:rFonts w:ascii="Arial" w:hAnsi="Arial" w:cs="Arial"/>
        </w:rPr>
        <w:t>48</w:t>
      </w:r>
      <w:r>
        <w:rPr>
          <w:rFonts w:ascii="Arial" w:hAnsi="Arial" w:cs="Arial"/>
        </w:rPr>
        <w:t>.6 million from the Subsidized Annual Pass Program due to lower than anticipated demand for the program, and reduced partner capacity to support the program.  To date, 6,000 people have been enrolled in the program.</w:t>
      </w:r>
    </w:p>
    <w:p w14:paraId="4B1A8929" w14:textId="77777777" w:rsidR="009B4F72" w:rsidRDefault="009B4F72" w:rsidP="009B4F72">
      <w:pPr>
        <w:spacing w:line="264" w:lineRule="auto"/>
        <w:contextualSpacing/>
        <w:jc w:val="both"/>
        <w:rPr>
          <w:rFonts w:ascii="Arial" w:hAnsi="Arial" w:cs="Arial"/>
        </w:rPr>
      </w:pPr>
    </w:p>
    <w:p w14:paraId="540CBC9D" w14:textId="444097E6" w:rsidR="009B4F72" w:rsidRPr="005578A6" w:rsidRDefault="009B4F72" w:rsidP="009B4F72">
      <w:pPr>
        <w:spacing w:line="264" w:lineRule="auto"/>
        <w:contextualSpacing/>
        <w:jc w:val="both"/>
        <w:rPr>
          <w:rFonts w:ascii="Arial" w:hAnsi="Arial" w:cs="Arial"/>
        </w:rPr>
      </w:pPr>
      <w:r>
        <w:rPr>
          <w:rFonts w:ascii="Arial" w:hAnsi="Arial" w:cs="Arial"/>
        </w:rPr>
        <w:t xml:space="preserve">The proposed ordinance would also appropriate $8.5 million for targeted transit investments to support that Health Through Housing Program.  The nature of these investments </w:t>
      </w:r>
      <w:r w:rsidR="002C691E">
        <w:rPr>
          <w:rFonts w:ascii="Arial" w:hAnsi="Arial" w:cs="Arial"/>
        </w:rPr>
        <w:t>is</w:t>
      </w:r>
      <w:r>
        <w:rPr>
          <w:rFonts w:ascii="Arial" w:hAnsi="Arial" w:cs="Arial"/>
        </w:rPr>
        <w:t xml:space="preserve"> proposed to be determined in partnership between Metro, the Department of Community and Human Services, </w:t>
      </w:r>
      <w:r w:rsidRPr="0029786C">
        <w:rPr>
          <w:rFonts w:ascii="Arial" w:hAnsi="Arial" w:cs="Arial"/>
        </w:rPr>
        <w:t>community-based organizations and other stakeholders, and community members</w:t>
      </w:r>
      <w:r>
        <w:rPr>
          <w:rFonts w:ascii="Arial" w:hAnsi="Arial" w:cs="Arial"/>
        </w:rPr>
        <w:t>.</w:t>
      </w:r>
    </w:p>
    <w:p w14:paraId="07ACC142" w14:textId="77777777" w:rsidR="009B4F72" w:rsidRDefault="009B4F72" w:rsidP="009B4F72">
      <w:pPr>
        <w:spacing w:line="264" w:lineRule="auto"/>
        <w:contextualSpacing/>
        <w:jc w:val="both"/>
        <w:rPr>
          <w:rFonts w:ascii="Arial" w:hAnsi="Arial" w:cs="Arial"/>
          <w:b/>
          <w:bCs/>
          <w:szCs w:val="24"/>
        </w:rPr>
      </w:pPr>
    </w:p>
    <w:p w14:paraId="097EBBE0" w14:textId="77777777" w:rsidR="009B4F72" w:rsidRPr="007B09AA" w:rsidRDefault="009B4F72" w:rsidP="009B4F72">
      <w:pPr>
        <w:spacing w:line="264" w:lineRule="auto"/>
        <w:contextualSpacing/>
        <w:jc w:val="both"/>
        <w:rPr>
          <w:rFonts w:ascii="Arial" w:hAnsi="Arial" w:cs="Arial"/>
          <w:b/>
          <w:bCs/>
          <w:szCs w:val="24"/>
        </w:rPr>
      </w:pPr>
      <w:r w:rsidRPr="007B09AA">
        <w:rPr>
          <w:rFonts w:ascii="Arial" w:hAnsi="Arial" w:cs="Arial"/>
          <w:b/>
          <w:bCs/>
          <w:szCs w:val="24"/>
        </w:rPr>
        <w:t>BUSINESS TRANSFORMATION</w:t>
      </w:r>
    </w:p>
    <w:p w14:paraId="141396EF" w14:textId="6C29A2C0" w:rsidR="009B4F72" w:rsidRDefault="009B4F72" w:rsidP="00235E2C">
      <w:pPr>
        <w:spacing w:line="264" w:lineRule="auto"/>
        <w:contextualSpacing/>
        <w:jc w:val="both"/>
        <w:rPr>
          <w:rFonts w:ascii="Arial" w:hAnsi="Arial" w:cs="Arial"/>
          <w:szCs w:val="24"/>
        </w:rPr>
      </w:pPr>
      <w:r>
        <w:rPr>
          <w:rFonts w:ascii="Arial" w:hAnsi="Arial" w:cs="Arial"/>
          <w:b/>
          <w:bCs/>
          <w:i/>
          <w:iCs/>
          <w:szCs w:val="24"/>
        </w:rPr>
        <w:t>Operating:  Organizational Health, Employee Services, Business Transformation, Process Improvement</w:t>
      </w:r>
      <w:r w:rsidRPr="00391B4C">
        <w:rPr>
          <w:rFonts w:ascii="Arial" w:hAnsi="Arial" w:cs="Arial"/>
          <w:b/>
          <w:bCs/>
          <w:i/>
          <w:iCs/>
          <w:szCs w:val="24"/>
        </w:rPr>
        <w:t xml:space="preserve"> [$2</w:t>
      </w:r>
      <w:r>
        <w:rPr>
          <w:rFonts w:ascii="Arial" w:hAnsi="Arial" w:cs="Arial"/>
          <w:b/>
          <w:bCs/>
          <w:i/>
          <w:iCs/>
          <w:szCs w:val="24"/>
        </w:rPr>
        <w:t>8,798,382</w:t>
      </w:r>
      <w:r w:rsidRPr="00391B4C">
        <w:rPr>
          <w:rFonts w:ascii="Arial" w:hAnsi="Arial" w:cs="Arial"/>
          <w:b/>
          <w:bCs/>
          <w:i/>
          <w:iCs/>
          <w:szCs w:val="24"/>
        </w:rPr>
        <w:t xml:space="preserve">, </w:t>
      </w:r>
      <w:r>
        <w:rPr>
          <w:rFonts w:ascii="Arial" w:hAnsi="Arial" w:cs="Arial"/>
          <w:b/>
          <w:bCs/>
          <w:i/>
          <w:iCs/>
          <w:szCs w:val="24"/>
        </w:rPr>
        <w:t>32 FTEs, 21</w:t>
      </w:r>
      <w:r w:rsidRPr="00391B4C">
        <w:rPr>
          <w:rFonts w:ascii="Arial" w:hAnsi="Arial" w:cs="Arial"/>
          <w:b/>
          <w:bCs/>
          <w:i/>
          <w:iCs/>
          <w:szCs w:val="24"/>
        </w:rPr>
        <w:t>.0 TLTs].</w:t>
      </w:r>
      <w:r>
        <w:rPr>
          <w:rFonts w:ascii="Arial" w:hAnsi="Arial" w:cs="Arial"/>
          <w:b/>
          <w:bCs/>
          <w:i/>
          <w:iCs/>
          <w:szCs w:val="24"/>
        </w:rPr>
        <w:t xml:space="preserve">  </w:t>
      </w:r>
      <w:r>
        <w:rPr>
          <w:rFonts w:ascii="Arial" w:hAnsi="Arial" w:cs="Arial"/>
          <w:szCs w:val="24"/>
        </w:rPr>
        <w:t>The proposed ordinance would add funding and staff to support Metro’s emergence from the pandemic, as well as the business transformation and organizational health initiatives Metro has been addressing since it became a stand-alone department in 2019.</w:t>
      </w:r>
      <w:r>
        <w:rPr>
          <w:rStyle w:val="FootnoteReference"/>
          <w:rFonts w:ascii="Arial" w:hAnsi="Arial" w:cs="Arial"/>
          <w:szCs w:val="24"/>
        </w:rPr>
        <w:footnoteReference w:id="63"/>
      </w:r>
      <w:r>
        <w:rPr>
          <w:rFonts w:ascii="Arial" w:hAnsi="Arial" w:cs="Arial"/>
          <w:szCs w:val="24"/>
        </w:rPr>
        <w:t xml:space="preserve">  Efforts proposed to be funded in this ordinance are summarized in the following table.</w:t>
      </w:r>
    </w:p>
    <w:p w14:paraId="1455A01B" w14:textId="16D63C6C" w:rsidR="004A2CD7" w:rsidRDefault="004A2CD7" w:rsidP="00235E2C">
      <w:pPr>
        <w:spacing w:line="264" w:lineRule="auto"/>
        <w:contextualSpacing/>
        <w:jc w:val="both"/>
        <w:rPr>
          <w:rFonts w:ascii="Arial" w:hAnsi="Arial" w:cs="Arial"/>
          <w:szCs w:val="24"/>
        </w:rPr>
      </w:pPr>
    </w:p>
    <w:p w14:paraId="33D8C11B" w14:textId="1D74FE0B" w:rsidR="00235E2C" w:rsidRDefault="00235E2C" w:rsidP="00235E2C">
      <w:pPr>
        <w:spacing w:line="264" w:lineRule="auto"/>
        <w:contextualSpacing/>
        <w:jc w:val="both"/>
        <w:rPr>
          <w:rFonts w:ascii="Arial" w:hAnsi="Arial" w:cs="Arial"/>
          <w:szCs w:val="24"/>
        </w:rPr>
      </w:pPr>
    </w:p>
    <w:p w14:paraId="2C42A3EE" w14:textId="1397BEF0" w:rsidR="00235E2C" w:rsidRDefault="00235E2C" w:rsidP="00235E2C">
      <w:pPr>
        <w:spacing w:line="264" w:lineRule="auto"/>
        <w:contextualSpacing/>
        <w:jc w:val="both"/>
        <w:rPr>
          <w:rFonts w:ascii="Arial" w:hAnsi="Arial" w:cs="Arial"/>
          <w:szCs w:val="24"/>
        </w:rPr>
      </w:pPr>
    </w:p>
    <w:p w14:paraId="3F84B45F" w14:textId="61088507" w:rsidR="00235E2C" w:rsidRDefault="00235E2C" w:rsidP="00235E2C">
      <w:pPr>
        <w:spacing w:line="264" w:lineRule="auto"/>
        <w:contextualSpacing/>
        <w:jc w:val="both"/>
        <w:rPr>
          <w:rFonts w:ascii="Arial" w:hAnsi="Arial" w:cs="Arial"/>
          <w:szCs w:val="24"/>
        </w:rPr>
      </w:pPr>
    </w:p>
    <w:p w14:paraId="1EE43DE7" w14:textId="77777777" w:rsidR="00235E2C" w:rsidRPr="007C54FA" w:rsidRDefault="00235E2C" w:rsidP="00235E2C">
      <w:pPr>
        <w:spacing w:line="264" w:lineRule="auto"/>
        <w:contextualSpacing/>
        <w:jc w:val="both"/>
        <w:rPr>
          <w:rFonts w:ascii="Arial" w:hAnsi="Arial" w:cs="Arial"/>
          <w:szCs w:val="24"/>
        </w:rPr>
      </w:pPr>
    </w:p>
    <w:tbl>
      <w:tblPr>
        <w:tblStyle w:val="TableGrid"/>
        <w:tblW w:w="9255" w:type="dxa"/>
        <w:tblInd w:w="108" w:type="dxa"/>
        <w:tblLook w:val="04A0" w:firstRow="1" w:lastRow="0" w:firstColumn="1" w:lastColumn="0" w:noHBand="0" w:noVBand="1"/>
      </w:tblPr>
      <w:tblGrid>
        <w:gridCol w:w="4230"/>
        <w:gridCol w:w="270"/>
        <w:gridCol w:w="1710"/>
        <w:gridCol w:w="262"/>
        <w:gridCol w:w="1231"/>
        <w:gridCol w:w="308"/>
        <w:gridCol w:w="1244"/>
      </w:tblGrid>
      <w:tr w:rsidR="009B4F72" w:rsidRPr="00783E86" w14:paraId="34D23E45" w14:textId="77777777" w:rsidTr="007C54FA">
        <w:trPr>
          <w:cantSplit/>
          <w:tblHeader/>
        </w:trPr>
        <w:tc>
          <w:tcPr>
            <w:tcW w:w="4230" w:type="dxa"/>
            <w:tcBorders>
              <w:top w:val="single" w:sz="12" w:space="0" w:color="auto"/>
              <w:left w:val="nil"/>
              <w:bottom w:val="single" w:sz="4" w:space="0" w:color="auto"/>
              <w:right w:val="nil"/>
            </w:tcBorders>
            <w:shd w:val="clear" w:color="auto" w:fill="auto"/>
            <w:vAlign w:val="bottom"/>
          </w:tcPr>
          <w:p w14:paraId="4E921448" w14:textId="77777777" w:rsidR="009B4F72" w:rsidRPr="00392147" w:rsidRDefault="009B4F72" w:rsidP="00235E2C">
            <w:pPr>
              <w:spacing w:line="264" w:lineRule="auto"/>
              <w:contextualSpacing/>
              <w:jc w:val="both"/>
              <w:rPr>
                <w:rFonts w:ascii="Arial" w:hAnsi="Arial" w:cs="Arial"/>
                <w:b/>
                <w:sz w:val="22"/>
                <w:szCs w:val="22"/>
              </w:rPr>
            </w:pPr>
            <w:r w:rsidRPr="00392147">
              <w:rPr>
                <w:rFonts w:ascii="Arial" w:hAnsi="Arial" w:cs="Arial"/>
                <w:b/>
                <w:sz w:val="22"/>
                <w:szCs w:val="22"/>
              </w:rPr>
              <w:t>Efforts</w:t>
            </w:r>
          </w:p>
        </w:tc>
        <w:tc>
          <w:tcPr>
            <w:tcW w:w="270" w:type="dxa"/>
            <w:tcBorders>
              <w:top w:val="single" w:sz="12" w:space="0" w:color="auto"/>
              <w:left w:val="nil"/>
              <w:bottom w:val="nil"/>
              <w:right w:val="nil"/>
            </w:tcBorders>
          </w:tcPr>
          <w:p w14:paraId="5520F69B" w14:textId="77777777" w:rsidR="009B4F72" w:rsidRPr="00392147" w:rsidRDefault="009B4F72" w:rsidP="00235E2C">
            <w:pPr>
              <w:spacing w:line="264" w:lineRule="auto"/>
              <w:contextualSpacing/>
              <w:jc w:val="center"/>
              <w:rPr>
                <w:rFonts w:ascii="Arial" w:hAnsi="Arial" w:cs="Arial"/>
                <w:b/>
                <w:sz w:val="22"/>
                <w:szCs w:val="22"/>
              </w:rPr>
            </w:pPr>
          </w:p>
        </w:tc>
        <w:tc>
          <w:tcPr>
            <w:tcW w:w="1710" w:type="dxa"/>
            <w:tcBorders>
              <w:top w:val="single" w:sz="12" w:space="0" w:color="auto"/>
              <w:left w:val="nil"/>
              <w:bottom w:val="single" w:sz="4" w:space="0" w:color="auto"/>
              <w:right w:val="nil"/>
            </w:tcBorders>
            <w:shd w:val="clear" w:color="auto" w:fill="auto"/>
            <w:vAlign w:val="bottom"/>
          </w:tcPr>
          <w:p w14:paraId="6CA17A16" w14:textId="77777777" w:rsidR="009B4F72" w:rsidRPr="00392147" w:rsidRDefault="009B4F72" w:rsidP="00235E2C">
            <w:pPr>
              <w:spacing w:line="264" w:lineRule="auto"/>
              <w:contextualSpacing/>
              <w:jc w:val="center"/>
              <w:rPr>
                <w:rFonts w:ascii="Arial" w:hAnsi="Arial" w:cs="Arial"/>
                <w:b/>
                <w:sz w:val="22"/>
                <w:szCs w:val="22"/>
              </w:rPr>
            </w:pPr>
            <w:r w:rsidRPr="00392147">
              <w:rPr>
                <w:rFonts w:ascii="Arial" w:hAnsi="Arial" w:cs="Arial"/>
                <w:b/>
                <w:sz w:val="22"/>
                <w:szCs w:val="22"/>
              </w:rPr>
              <w:t>Proposed Appropriation</w:t>
            </w:r>
          </w:p>
        </w:tc>
        <w:tc>
          <w:tcPr>
            <w:tcW w:w="262" w:type="dxa"/>
            <w:tcBorders>
              <w:top w:val="single" w:sz="12" w:space="0" w:color="auto"/>
              <w:left w:val="nil"/>
              <w:bottom w:val="nil"/>
              <w:right w:val="nil"/>
            </w:tcBorders>
          </w:tcPr>
          <w:p w14:paraId="09D59FC6" w14:textId="77777777" w:rsidR="009B4F72" w:rsidRPr="00392147" w:rsidRDefault="009B4F72" w:rsidP="00235E2C">
            <w:pPr>
              <w:spacing w:line="264" w:lineRule="auto"/>
              <w:contextualSpacing/>
              <w:jc w:val="center"/>
              <w:rPr>
                <w:rFonts w:ascii="Arial" w:hAnsi="Arial" w:cs="Arial"/>
                <w:b/>
                <w:sz w:val="22"/>
                <w:szCs w:val="22"/>
              </w:rPr>
            </w:pPr>
          </w:p>
        </w:tc>
        <w:tc>
          <w:tcPr>
            <w:tcW w:w="1231" w:type="dxa"/>
            <w:tcBorders>
              <w:top w:val="single" w:sz="12" w:space="0" w:color="auto"/>
              <w:left w:val="nil"/>
              <w:bottom w:val="single" w:sz="4" w:space="0" w:color="auto"/>
              <w:right w:val="nil"/>
            </w:tcBorders>
            <w:shd w:val="clear" w:color="auto" w:fill="auto"/>
          </w:tcPr>
          <w:p w14:paraId="635F131E" w14:textId="77777777" w:rsidR="009B4F72" w:rsidRPr="00392147" w:rsidRDefault="009B4F72" w:rsidP="00235E2C">
            <w:pPr>
              <w:spacing w:line="264" w:lineRule="auto"/>
              <w:contextualSpacing/>
              <w:jc w:val="center"/>
              <w:rPr>
                <w:rFonts w:ascii="Arial" w:hAnsi="Arial" w:cs="Arial"/>
                <w:b/>
                <w:sz w:val="22"/>
                <w:szCs w:val="22"/>
              </w:rPr>
            </w:pPr>
            <w:r w:rsidRPr="00392147">
              <w:rPr>
                <w:rFonts w:ascii="Arial" w:hAnsi="Arial" w:cs="Arial"/>
                <w:b/>
                <w:sz w:val="22"/>
                <w:szCs w:val="22"/>
              </w:rPr>
              <w:t>Proposed FTEs</w:t>
            </w:r>
          </w:p>
        </w:tc>
        <w:tc>
          <w:tcPr>
            <w:tcW w:w="308" w:type="dxa"/>
            <w:tcBorders>
              <w:top w:val="single" w:sz="12" w:space="0" w:color="auto"/>
              <w:left w:val="nil"/>
              <w:bottom w:val="nil"/>
              <w:right w:val="nil"/>
            </w:tcBorders>
          </w:tcPr>
          <w:p w14:paraId="516D5BD6" w14:textId="77777777" w:rsidR="009B4F72" w:rsidRPr="00392147" w:rsidRDefault="009B4F72" w:rsidP="00235E2C">
            <w:pPr>
              <w:spacing w:line="264" w:lineRule="auto"/>
              <w:contextualSpacing/>
              <w:jc w:val="center"/>
              <w:rPr>
                <w:rFonts w:ascii="Arial" w:hAnsi="Arial" w:cs="Arial"/>
                <w:b/>
                <w:sz w:val="22"/>
                <w:szCs w:val="22"/>
              </w:rPr>
            </w:pPr>
          </w:p>
        </w:tc>
        <w:tc>
          <w:tcPr>
            <w:tcW w:w="1244" w:type="dxa"/>
            <w:tcBorders>
              <w:top w:val="single" w:sz="12" w:space="0" w:color="auto"/>
              <w:left w:val="nil"/>
              <w:bottom w:val="single" w:sz="4" w:space="0" w:color="auto"/>
              <w:right w:val="nil"/>
            </w:tcBorders>
            <w:shd w:val="clear" w:color="auto" w:fill="auto"/>
          </w:tcPr>
          <w:p w14:paraId="6B68F6D5" w14:textId="77777777" w:rsidR="009B4F72" w:rsidRPr="00392147" w:rsidRDefault="009B4F72" w:rsidP="00235E2C">
            <w:pPr>
              <w:spacing w:line="264" w:lineRule="auto"/>
              <w:contextualSpacing/>
              <w:jc w:val="center"/>
              <w:rPr>
                <w:rFonts w:ascii="Arial" w:hAnsi="Arial" w:cs="Arial"/>
                <w:b/>
                <w:sz w:val="22"/>
                <w:szCs w:val="22"/>
              </w:rPr>
            </w:pPr>
            <w:r w:rsidRPr="00392147">
              <w:rPr>
                <w:rFonts w:ascii="Arial" w:hAnsi="Arial" w:cs="Arial"/>
                <w:b/>
                <w:sz w:val="22"/>
                <w:szCs w:val="22"/>
              </w:rPr>
              <w:t>Proposed TLTs</w:t>
            </w:r>
          </w:p>
        </w:tc>
      </w:tr>
      <w:tr w:rsidR="009B4F72" w:rsidRPr="00783E86" w14:paraId="4B82EF44" w14:textId="77777777" w:rsidTr="00235E2C">
        <w:trPr>
          <w:cantSplit/>
          <w:trHeight w:val="37"/>
        </w:trPr>
        <w:tc>
          <w:tcPr>
            <w:tcW w:w="4230" w:type="dxa"/>
            <w:tcBorders>
              <w:top w:val="nil"/>
              <w:left w:val="nil"/>
              <w:bottom w:val="nil"/>
              <w:right w:val="nil"/>
            </w:tcBorders>
            <w:shd w:val="clear" w:color="auto" w:fill="auto"/>
            <w:tcMar>
              <w:top w:w="43" w:type="dxa"/>
              <w:left w:w="115" w:type="dxa"/>
              <w:bottom w:w="43" w:type="dxa"/>
              <w:right w:w="115" w:type="dxa"/>
            </w:tcMar>
          </w:tcPr>
          <w:p w14:paraId="00AB9E55" w14:textId="77777777" w:rsidR="009B4F72" w:rsidRPr="00392147" w:rsidRDefault="009B4F72" w:rsidP="00235E2C">
            <w:pPr>
              <w:spacing w:line="264" w:lineRule="auto"/>
              <w:contextualSpacing/>
              <w:rPr>
                <w:rFonts w:ascii="Arial" w:hAnsi="Arial" w:cs="Arial"/>
                <w:sz w:val="22"/>
                <w:szCs w:val="22"/>
              </w:rPr>
            </w:pPr>
            <w:r w:rsidRPr="00392147">
              <w:rPr>
                <w:rFonts w:ascii="Arial" w:hAnsi="Arial" w:cs="Arial"/>
                <w:sz w:val="22"/>
                <w:szCs w:val="22"/>
              </w:rPr>
              <w:t>Employee training, development, and wellbeing</w:t>
            </w:r>
          </w:p>
        </w:tc>
        <w:tc>
          <w:tcPr>
            <w:tcW w:w="270" w:type="dxa"/>
            <w:tcBorders>
              <w:top w:val="nil"/>
              <w:left w:val="nil"/>
              <w:bottom w:val="nil"/>
              <w:right w:val="nil"/>
            </w:tcBorders>
          </w:tcPr>
          <w:p w14:paraId="52E5DE5F" w14:textId="77777777" w:rsidR="009B4F72" w:rsidRPr="00392147" w:rsidRDefault="009B4F72" w:rsidP="00235E2C">
            <w:pPr>
              <w:spacing w:line="264" w:lineRule="auto"/>
              <w:contextualSpacing/>
              <w:jc w:val="right"/>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5790C4E5" w14:textId="77777777" w:rsidR="009B4F72" w:rsidRPr="00392147" w:rsidRDefault="009B4F72" w:rsidP="00235E2C">
            <w:pPr>
              <w:spacing w:line="264" w:lineRule="auto"/>
              <w:contextualSpacing/>
              <w:jc w:val="right"/>
              <w:rPr>
                <w:rFonts w:ascii="Arial" w:hAnsi="Arial" w:cs="Arial"/>
                <w:sz w:val="22"/>
                <w:szCs w:val="22"/>
              </w:rPr>
            </w:pPr>
            <w:r w:rsidRPr="00392147">
              <w:rPr>
                <w:rFonts w:ascii="Arial" w:hAnsi="Arial" w:cs="Arial"/>
                <w:sz w:val="22"/>
                <w:szCs w:val="22"/>
              </w:rPr>
              <w:t>$4,248,738</w:t>
            </w:r>
          </w:p>
        </w:tc>
        <w:tc>
          <w:tcPr>
            <w:tcW w:w="262" w:type="dxa"/>
            <w:tcBorders>
              <w:top w:val="nil"/>
              <w:left w:val="nil"/>
              <w:bottom w:val="nil"/>
              <w:right w:val="nil"/>
            </w:tcBorders>
          </w:tcPr>
          <w:p w14:paraId="67DE5716" w14:textId="77777777" w:rsidR="009B4F72" w:rsidRPr="00392147" w:rsidRDefault="009B4F72" w:rsidP="00235E2C">
            <w:pPr>
              <w:spacing w:line="264" w:lineRule="auto"/>
              <w:contextualSpacing/>
              <w:jc w:val="right"/>
              <w:rPr>
                <w:rFonts w:ascii="Arial" w:hAnsi="Arial" w:cs="Arial"/>
                <w:bCs/>
                <w:sz w:val="22"/>
                <w:szCs w:val="22"/>
              </w:rPr>
            </w:pPr>
          </w:p>
        </w:tc>
        <w:tc>
          <w:tcPr>
            <w:tcW w:w="1231" w:type="dxa"/>
            <w:tcBorders>
              <w:top w:val="nil"/>
              <w:left w:val="nil"/>
              <w:bottom w:val="nil"/>
              <w:right w:val="nil"/>
            </w:tcBorders>
            <w:shd w:val="clear" w:color="auto" w:fill="auto"/>
          </w:tcPr>
          <w:p w14:paraId="57BFD549"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26.0</w:t>
            </w:r>
          </w:p>
        </w:tc>
        <w:tc>
          <w:tcPr>
            <w:tcW w:w="308" w:type="dxa"/>
            <w:tcBorders>
              <w:top w:val="nil"/>
              <w:left w:val="nil"/>
              <w:bottom w:val="nil"/>
              <w:right w:val="nil"/>
            </w:tcBorders>
          </w:tcPr>
          <w:p w14:paraId="756639BE" w14:textId="77777777" w:rsidR="009B4F72" w:rsidRPr="00392147" w:rsidRDefault="009B4F72" w:rsidP="00235E2C">
            <w:pPr>
              <w:spacing w:line="264" w:lineRule="auto"/>
              <w:contextualSpacing/>
              <w:jc w:val="right"/>
              <w:rPr>
                <w:rFonts w:ascii="Arial" w:hAnsi="Arial" w:cs="Arial"/>
                <w:bCs/>
                <w:sz w:val="22"/>
                <w:szCs w:val="22"/>
              </w:rPr>
            </w:pPr>
          </w:p>
        </w:tc>
        <w:tc>
          <w:tcPr>
            <w:tcW w:w="1244" w:type="dxa"/>
            <w:tcBorders>
              <w:top w:val="nil"/>
              <w:left w:val="nil"/>
              <w:bottom w:val="nil"/>
              <w:right w:val="nil"/>
            </w:tcBorders>
            <w:shd w:val="clear" w:color="auto" w:fill="auto"/>
            <w:tcMar>
              <w:top w:w="43" w:type="dxa"/>
              <w:bottom w:w="43" w:type="dxa"/>
            </w:tcMar>
          </w:tcPr>
          <w:p w14:paraId="6DC22143"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n/a</w:t>
            </w:r>
          </w:p>
        </w:tc>
      </w:tr>
      <w:tr w:rsidR="009B4F72" w:rsidRPr="00783E86" w14:paraId="746C2714" w14:textId="77777777" w:rsidTr="007C54FA">
        <w:trPr>
          <w:cantSplit/>
        </w:trPr>
        <w:tc>
          <w:tcPr>
            <w:tcW w:w="4230" w:type="dxa"/>
            <w:tcBorders>
              <w:top w:val="nil"/>
              <w:left w:val="nil"/>
              <w:bottom w:val="nil"/>
              <w:right w:val="nil"/>
            </w:tcBorders>
            <w:shd w:val="clear" w:color="auto" w:fill="auto"/>
            <w:tcMar>
              <w:top w:w="43" w:type="dxa"/>
              <w:left w:w="115" w:type="dxa"/>
              <w:bottom w:w="43" w:type="dxa"/>
              <w:right w:w="115" w:type="dxa"/>
            </w:tcMar>
          </w:tcPr>
          <w:p w14:paraId="7921DB24" w14:textId="77777777" w:rsidR="009B4F72" w:rsidRPr="00392147" w:rsidRDefault="009B4F72" w:rsidP="00235E2C">
            <w:pPr>
              <w:spacing w:line="264" w:lineRule="auto"/>
              <w:contextualSpacing/>
              <w:rPr>
                <w:rFonts w:ascii="Arial" w:hAnsi="Arial" w:cs="Arial"/>
                <w:sz w:val="22"/>
                <w:szCs w:val="22"/>
              </w:rPr>
            </w:pPr>
            <w:r w:rsidRPr="00392147">
              <w:rPr>
                <w:rFonts w:ascii="Arial" w:hAnsi="Arial" w:cs="Arial"/>
                <w:sz w:val="22"/>
                <w:szCs w:val="22"/>
              </w:rPr>
              <w:lastRenderedPageBreak/>
              <w:t>Employee Services support for recruiting and communication</w:t>
            </w:r>
          </w:p>
        </w:tc>
        <w:tc>
          <w:tcPr>
            <w:tcW w:w="270" w:type="dxa"/>
            <w:tcBorders>
              <w:top w:val="nil"/>
              <w:left w:val="nil"/>
              <w:bottom w:val="nil"/>
              <w:right w:val="nil"/>
            </w:tcBorders>
          </w:tcPr>
          <w:p w14:paraId="22E0F34F" w14:textId="77777777" w:rsidR="009B4F72" w:rsidRPr="00392147" w:rsidRDefault="009B4F72" w:rsidP="00235E2C">
            <w:pPr>
              <w:spacing w:line="264" w:lineRule="auto"/>
              <w:contextualSpacing/>
              <w:jc w:val="right"/>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2AE2E1A9" w14:textId="77777777" w:rsidR="009B4F72" w:rsidRPr="00392147" w:rsidRDefault="009B4F72" w:rsidP="00235E2C">
            <w:pPr>
              <w:spacing w:line="264" w:lineRule="auto"/>
              <w:contextualSpacing/>
              <w:jc w:val="right"/>
              <w:rPr>
                <w:rFonts w:ascii="Arial" w:hAnsi="Arial" w:cs="Arial"/>
                <w:sz w:val="22"/>
                <w:szCs w:val="22"/>
              </w:rPr>
            </w:pPr>
            <w:r w:rsidRPr="00392147">
              <w:rPr>
                <w:rFonts w:ascii="Arial" w:hAnsi="Arial" w:cs="Arial"/>
                <w:sz w:val="22"/>
                <w:szCs w:val="22"/>
              </w:rPr>
              <w:t>$2,485,447</w:t>
            </w:r>
          </w:p>
        </w:tc>
        <w:tc>
          <w:tcPr>
            <w:tcW w:w="262" w:type="dxa"/>
            <w:tcBorders>
              <w:top w:val="nil"/>
              <w:left w:val="nil"/>
              <w:bottom w:val="nil"/>
              <w:right w:val="nil"/>
            </w:tcBorders>
          </w:tcPr>
          <w:p w14:paraId="5CF7E091" w14:textId="77777777" w:rsidR="009B4F72" w:rsidRPr="00392147" w:rsidRDefault="009B4F72" w:rsidP="00235E2C">
            <w:pPr>
              <w:spacing w:line="264" w:lineRule="auto"/>
              <w:contextualSpacing/>
              <w:jc w:val="right"/>
              <w:rPr>
                <w:rFonts w:ascii="Arial" w:hAnsi="Arial" w:cs="Arial"/>
                <w:bCs/>
                <w:sz w:val="22"/>
                <w:szCs w:val="22"/>
              </w:rPr>
            </w:pPr>
          </w:p>
        </w:tc>
        <w:tc>
          <w:tcPr>
            <w:tcW w:w="1231" w:type="dxa"/>
            <w:tcBorders>
              <w:top w:val="nil"/>
              <w:left w:val="nil"/>
              <w:bottom w:val="nil"/>
              <w:right w:val="nil"/>
            </w:tcBorders>
            <w:shd w:val="clear" w:color="auto" w:fill="auto"/>
          </w:tcPr>
          <w:p w14:paraId="2C6F0227"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6.0</w:t>
            </w:r>
          </w:p>
        </w:tc>
        <w:tc>
          <w:tcPr>
            <w:tcW w:w="308" w:type="dxa"/>
            <w:tcBorders>
              <w:top w:val="nil"/>
              <w:left w:val="nil"/>
              <w:bottom w:val="nil"/>
              <w:right w:val="nil"/>
            </w:tcBorders>
          </w:tcPr>
          <w:p w14:paraId="39B26617" w14:textId="77777777" w:rsidR="009B4F72" w:rsidRPr="00392147" w:rsidRDefault="009B4F72" w:rsidP="00235E2C">
            <w:pPr>
              <w:spacing w:line="264" w:lineRule="auto"/>
              <w:contextualSpacing/>
              <w:jc w:val="right"/>
              <w:rPr>
                <w:rFonts w:ascii="Arial" w:hAnsi="Arial" w:cs="Arial"/>
                <w:bCs/>
                <w:sz w:val="22"/>
                <w:szCs w:val="22"/>
              </w:rPr>
            </w:pPr>
          </w:p>
        </w:tc>
        <w:tc>
          <w:tcPr>
            <w:tcW w:w="1244" w:type="dxa"/>
            <w:tcBorders>
              <w:top w:val="nil"/>
              <w:left w:val="nil"/>
              <w:bottom w:val="nil"/>
              <w:right w:val="nil"/>
            </w:tcBorders>
            <w:shd w:val="clear" w:color="auto" w:fill="auto"/>
            <w:tcMar>
              <w:top w:w="43" w:type="dxa"/>
              <w:bottom w:w="43" w:type="dxa"/>
            </w:tcMar>
          </w:tcPr>
          <w:p w14:paraId="0C03449E"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8.0</w:t>
            </w:r>
          </w:p>
        </w:tc>
      </w:tr>
      <w:tr w:rsidR="009B4F72" w:rsidRPr="00783E86" w14:paraId="0B707320" w14:textId="77777777" w:rsidTr="007C54FA">
        <w:trPr>
          <w:cantSplit/>
        </w:trPr>
        <w:tc>
          <w:tcPr>
            <w:tcW w:w="4230" w:type="dxa"/>
            <w:tcBorders>
              <w:top w:val="nil"/>
              <w:left w:val="nil"/>
              <w:bottom w:val="nil"/>
              <w:right w:val="nil"/>
            </w:tcBorders>
            <w:shd w:val="clear" w:color="auto" w:fill="auto"/>
            <w:tcMar>
              <w:top w:w="43" w:type="dxa"/>
              <w:left w:w="115" w:type="dxa"/>
              <w:bottom w:w="43" w:type="dxa"/>
              <w:right w:w="115" w:type="dxa"/>
            </w:tcMar>
          </w:tcPr>
          <w:p w14:paraId="7424279E" w14:textId="77777777" w:rsidR="009B4F72" w:rsidRPr="00392147" w:rsidRDefault="009B4F72" w:rsidP="00235E2C">
            <w:pPr>
              <w:spacing w:line="264" w:lineRule="auto"/>
              <w:contextualSpacing/>
              <w:rPr>
                <w:rFonts w:ascii="Arial" w:hAnsi="Arial" w:cs="Arial"/>
                <w:sz w:val="22"/>
                <w:szCs w:val="22"/>
              </w:rPr>
            </w:pPr>
            <w:r w:rsidRPr="00392147">
              <w:rPr>
                <w:rFonts w:ascii="Arial" w:hAnsi="Arial" w:cs="Arial"/>
                <w:sz w:val="22"/>
                <w:szCs w:val="22"/>
              </w:rPr>
              <w:t>Business Transformation (through 2024) to support new processes, tools, and techniques</w:t>
            </w:r>
          </w:p>
        </w:tc>
        <w:tc>
          <w:tcPr>
            <w:tcW w:w="270" w:type="dxa"/>
            <w:tcBorders>
              <w:top w:val="nil"/>
              <w:left w:val="nil"/>
              <w:bottom w:val="nil"/>
              <w:right w:val="nil"/>
            </w:tcBorders>
          </w:tcPr>
          <w:p w14:paraId="2A10D442" w14:textId="77777777" w:rsidR="009B4F72" w:rsidRPr="00392147" w:rsidRDefault="009B4F72" w:rsidP="00235E2C">
            <w:pPr>
              <w:spacing w:line="264" w:lineRule="auto"/>
              <w:contextualSpacing/>
              <w:jc w:val="right"/>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62ABA531" w14:textId="77777777" w:rsidR="009B4F72" w:rsidRPr="00392147" w:rsidRDefault="009B4F72" w:rsidP="00235E2C">
            <w:pPr>
              <w:spacing w:line="264" w:lineRule="auto"/>
              <w:contextualSpacing/>
              <w:jc w:val="right"/>
              <w:rPr>
                <w:rFonts w:ascii="Arial" w:hAnsi="Arial" w:cs="Arial"/>
                <w:sz w:val="22"/>
                <w:szCs w:val="22"/>
              </w:rPr>
            </w:pPr>
            <w:r w:rsidRPr="00392147">
              <w:rPr>
                <w:rFonts w:ascii="Arial" w:hAnsi="Arial" w:cs="Arial"/>
                <w:sz w:val="22"/>
                <w:szCs w:val="22"/>
              </w:rPr>
              <w:t>$6,242,574</w:t>
            </w:r>
          </w:p>
        </w:tc>
        <w:tc>
          <w:tcPr>
            <w:tcW w:w="262" w:type="dxa"/>
            <w:tcBorders>
              <w:top w:val="nil"/>
              <w:left w:val="nil"/>
              <w:bottom w:val="nil"/>
              <w:right w:val="nil"/>
            </w:tcBorders>
          </w:tcPr>
          <w:p w14:paraId="6DED31FF" w14:textId="77777777" w:rsidR="009B4F72" w:rsidRPr="00392147" w:rsidRDefault="009B4F72" w:rsidP="00235E2C">
            <w:pPr>
              <w:spacing w:line="264" w:lineRule="auto"/>
              <w:contextualSpacing/>
              <w:jc w:val="right"/>
              <w:rPr>
                <w:rFonts w:ascii="Arial" w:hAnsi="Arial" w:cs="Arial"/>
                <w:bCs/>
                <w:sz w:val="22"/>
                <w:szCs w:val="22"/>
              </w:rPr>
            </w:pPr>
          </w:p>
        </w:tc>
        <w:tc>
          <w:tcPr>
            <w:tcW w:w="1231" w:type="dxa"/>
            <w:tcBorders>
              <w:top w:val="nil"/>
              <w:left w:val="nil"/>
              <w:bottom w:val="nil"/>
              <w:right w:val="nil"/>
            </w:tcBorders>
            <w:shd w:val="clear" w:color="auto" w:fill="auto"/>
          </w:tcPr>
          <w:p w14:paraId="3FA404BD"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n/a</w:t>
            </w:r>
          </w:p>
        </w:tc>
        <w:tc>
          <w:tcPr>
            <w:tcW w:w="308" w:type="dxa"/>
            <w:tcBorders>
              <w:top w:val="nil"/>
              <w:left w:val="nil"/>
              <w:bottom w:val="nil"/>
              <w:right w:val="nil"/>
            </w:tcBorders>
          </w:tcPr>
          <w:p w14:paraId="12569F4E" w14:textId="77777777" w:rsidR="009B4F72" w:rsidRPr="00392147" w:rsidRDefault="009B4F72" w:rsidP="00235E2C">
            <w:pPr>
              <w:spacing w:line="264" w:lineRule="auto"/>
              <w:contextualSpacing/>
              <w:jc w:val="right"/>
              <w:rPr>
                <w:rFonts w:ascii="Arial" w:hAnsi="Arial" w:cs="Arial"/>
                <w:bCs/>
                <w:sz w:val="22"/>
                <w:szCs w:val="22"/>
              </w:rPr>
            </w:pPr>
          </w:p>
        </w:tc>
        <w:tc>
          <w:tcPr>
            <w:tcW w:w="1244" w:type="dxa"/>
            <w:tcBorders>
              <w:top w:val="nil"/>
              <w:left w:val="nil"/>
              <w:bottom w:val="nil"/>
              <w:right w:val="nil"/>
            </w:tcBorders>
            <w:shd w:val="clear" w:color="auto" w:fill="auto"/>
            <w:tcMar>
              <w:top w:w="43" w:type="dxa"/>
              <w:bottom w:w="43" w:type="dxa"/>
            </w:tcMar>
          </w:tcPr>
          <w:p w14:paraId="202A223E" w14:textId="77777777" w:rsidR="009B4F72" w:rsidRPr="00392147" w:rsidRDefault="009B4F72" w:rsidP="00235E2C">
            <w:pPr>
              <w:spacing w:line="264" w:lineRule="auto"/>
              <w:contextualSpacing/>
              <w:jc w:val="right"/>
              <w:rPr>
                <w:rFonts w:ascii="Arial" w:hAnsi="Arial" w:cs="Arial"/>
                <w:bCs/>
                <w:sz w:val="22"/>
                <w:szCs w:val="22"/>
              </w:rPr>
            </w:pPr>
            <w:r w:rsidRPr="00392147">
              <w:rPr>
                <w:rFonts w:ascii="Arial" w:hAnsi="Arial" w:cs="Arial"/>
                <w:bCs/>
                <w:sz w:val="22"/>
                <w:szCs w:val="22"/>
              </w:rPr>
              <w:t>6.0</w:t>
            </w:r>
          </w:p>
        </w:tc>
      </w:tr>
      <w:tr w:rsidR="009B4F72" w:rsidRPr="00783E86" w14:paraId="3DB55225" w14:textId="77777777" w:rsidTr="007C54FA">
        <w:trPr>
          <w:cantSplit/>
        </w:trPr>
        <w:tc>
          <w:tcPr>
            <w:tcW w:w="4230" w:type="dxa"/>
            <w:tcBorders>
              <w:top w:val="nil"/>
              <w:left w:val="nil"/>
              <w:bottom w:val="nil"/>
              <w:right w:val="nil"/>
            </w:tcBorders>
            <w:shd w:val="clear" w:color="auto" w:fill="auto"/>
            <w:tcMar>
              <w:top w:w="43" w:type="dxa"/>
              <w:left w:w="115" w:type="dxa"/>
              <w:bottom w:w="43" w:type="dxa"/>
              <w:right w:w="115" w:type="dxa"/>
            </w:tcMar>
          </w:tcPr>
          <w:p w14:paraId="73FD5ADA" w14:textId="77777777" w:rsidR="009B4F72" w:rsidRPr="00392147" w:rsidRDefault="009B4F72" w:rsidP="00E34BBA">
            <w:pPr>
              <w:keepNext/>
              <w:spacing w:line="264" w:lineRule="auto"/>
              <w:contextualSpacing/>
              <w:rPr>
                <w:rFonts w:ascii="Arial" w:hAnsi="Arial" w:cs="Arial"/>
                <w:sz w:val="22"/>
                <w:szCs w:val="22"/>
              </w:rPr>
            </w:pPr>
            <w:r w:rsidRPr="00392147">
              <w:rPr>
                <w:rFonts w:ascii="Arial" w:hAnsi="Arial" w:cs="Arial"/>
                <w:sz w:val="22"/>
                <w:szCs w:val="22"/>
              </w:rPr>
              <w:t>Process improvements in asset management, financial services, IT, performance monitoring</w:t>
            </w:r>
          </w:p>
        </w:tc>
        <w:tc>
          <w:tcPr>
            <w:tcW w:w="270" w:type="dxa"/>
            <w:tcBorders>
              <w:top w:val="nil"/>
              <w:left w:val="nil"/>
              <w:bottom w:val="nil"/>
              <w:right w:val="nil"/>
            </w:tcBorders>
          </w:tcPr>
          <w:p w14:paraId="5993614B" w14:textId="77777777" w:rsidR="009B4F72" w:rsidRPr="00392147" w:rsidRDefault="009B4F72" w:rsidP="00E34BBA">
            <w:pPr>
              <w:keepNext/>
              <w:spacing w:line="264" w:lineRule="auto"/>
              <w:contextualSpacing/>
              <w:jc w:val="right"/>
              <w:rPr>
                <w:rFonts w:ascii="Arial" w:hAnsi="Arial" w:cs="Arial"/>
                <w:sz w:val="22"/>
                <w:szCs w:val="22"/>
              </w:rPr>
            </w:pPr>
          </w:p>
        </w:tc>
        <w:tc>
          <w:tcPr>
            <w:tcW w:w="1710" w:type="dxa"/>
            <w:tcBorders>
              <w:top w:val="nil"/>
              <w:left w:val="nil"/>
              <w:bottom w:val="nil"/>
              <w:right w:val="nil"/>
            </w:tcBorders>
            <w:shd w:val="clear" w:color="auto" w:fill="auto"/>
            <w:tcMar>
              <w:top w:w="43" w:type="dxa"/>
              <w:left w:w="115" w:type="dxa"/>
              <w:bottom w:w="43" w:type="dxa"/>
              <w:right w:w="115" w:type="dxa"/>
            </w:tcMar>
          </w:tcPr>
          <w:p w14:paraId="06085D15" w14:textId="77777777" w:rsidR="009B4F72" w:rsidRPr="00392147" w:rsidRDefault="009B4F72" w:rsidP="00E34BBA">
            <w:pPr>
              <w:keepNext/>
              <w:spacing w:line="264" w:lineRule="auto"/>
              <w:contextualSpacing/>
              <w:jc w:val="right"/>
              <w:rPr>
                <w:rFonts w:ascii="Arial" w:hAnsi="Arial" w:cs="Arial"/>
                <w:sz w:val="22"/>
                <w:szCs w:val="22"/>
              </w:rPr>
            </w:pPr>
            <w:r w:rsidRPr="00392147">
              <w:rPr>
                <w:rFonts w:ascii="Arial" w:hAnsi="Arial" w:cs="Arial"/>
                <w:sz w:val="22"/>
                <w:szCs w:val="22"/>
              </w:rPr>
              <w:t>$2,838,890</w:t>
            </w:r>
          </w:p>
        </w:tc>
        <w:tc>
          <w:tcPr>
            <w:tcW w:w="262" w:type="dxa"/>
            <w:tcBorders>
              <w:top w:val="nil"/>
              <w:left w:val="nil"/>
              <w:bottom w:val="nil"/>
              <w:right w:val="nil"/>
            </w:tcBorders>
          </w:tcPr>
          <w:p w14:paraId="09E79226" w14:textId="77777777" w:rsidR="009B4F72" w:rsidRPr="00392147" w:rsidRDefault="009B4F72" w:rsidP="00E34BBA">
            <w:pPr>
              <w:keepNext/>
              <w:spacing w:line="264" w:lineRule="auto"/>
              <w:contextualSpacing/>
              <w:jc w:val="right"/>
              <w:rPr>
                <w:rFonts w:ascii="Arial" w:hAnsi="Arial" w:cs="Arial"/>
                <w:bCs/>
                <w:sz w:val="22"/>
                <w:szCs w:val="22"/>
              </w:rPr>
            </w:pPr>
          </w:p>
        </w:tc>
        <w:tc>
          <w:tcPr>
            <w:tcW w:w="1231" w:type="dxa"/>
            <w:tcBorders>
              <w:top w:val="nil"/>
              <w:left w:val="nil"/>
              <w:bottom w:val="nil"/>
              <w:right w:val="nil"/>
            </w:tcBorders>
            <w:shd w:val="clear" w:color="auto" w:fill="auto"/>
          </w:tcPr>
          <w:p w14:paraId="13DE7308" w14:textId="77777777" w:rsidR="009B4F72" w:rsidRPr="00392147" w:rsidRDefault="009B4F72" w:rsidP="00E34BBA">
            <w:pPr>
              <w:keepNext/>
              <w:spacing w:line="264" w:lineRule="auto"/>
              <w:contextualSpacing/>
              <w:jc w:val="right"/>
              <w:rPr>
                <w:rFonts w:ascii="Arial" w:hAnsi="Arial" w:cs="Arial"/>
                <w:bCs/>
                <w:sz w:val="22"/>
                <w:szCs w:val="22"/>
              </w:rPr>
            </w:pPr>
            <w:r w:rsidRPr="00392147">
              <w:rPr>
                <w:rFonts w:ascii="Arial" w:hAnsi="Arial" w:cs="Arial"/>
                <w:bCs/>
                <w:sz w:val="22"/>
                <w:szCs w:val="22"/>
              </w:rPr>
              <w:t>n/a</w:t>
            </w:r>
          </w:p>
        </w:tc>
        <w:tc>
          <w:tcPr>
            <w:tcW w:w="308" w:type="dxa"/>
            <w:tcBorders>
              <w:top w:val="nil"/>
              <w:left w:val="nil"/>
              <w:bottom w:val="nil"/>
              <w:right w:val="nil"/>
            </w:tcBorders>
          </w:tcPr>
          <w:p w14:paraId="57EFA85C" w14:textId="77777777" w:rsidR="009B4F72" w:rsidRPr="00392147" w:rsidRDefault="009B4F72" w:rsidP="00E34BBA">
            <w:pPr>
              <w:keepNext/>
              <w:spacing w:line="264" w:lineRule="auto"/>
              <w:contextualSpacing/>
              <w:jc w:val="right"/>
              <w:rPr>
                <w:rFonts w:ascii="Arial" w:hAnsi="Arial" w:cs="Arial"/>
                <w:bCs/>
                <w:sz w:val="22"/>
                <w:szCs w:val="22"/>
              </w:rPr>
            </w:pPr>
          </w:p>
        </w:tc>
        <w:tc>
          <w:tcPr>
            <w:tcW w:w="1244" w:type="dxa"/>
            <w:tcBorders>
              <w:top w:val="nil"/>
              <w:left w:val="nil"/>
              <w:bottom w:val="nil"/>
              <w:right w:val="nil"/>
            </w:tcBorders>
            <w:shd w:val="clear" w:color="auto" w:fill="auto"/>
            <w:tcMar>
              <w:top w:w="43" w:type="dxa"/>
              <w:bottom w:w="43" w:type="dxa"/>
            </w:tcMar>
          </w:tcPr>
          <w:p w14:paraId="201AC2F1" w14:textId="77777777" w:rsidR="009B4F72" w:rsidRPr="00392147" w:rsidRDefault="009B4F72" w:rsidP="00E34BBA">
            <w:pPr>
              <w:keepNext/>
              <w:spacing w:line="264" w:lineRule="auto"/>
              <w:contextualSpacing/>
              <w:jc w:val="right"/>
              <w:rPr>
                <w:rFonts w:ascii="Arial" w:hAnsi="Arial" w:cs="Arial"/>
                <w:bCs/>
                <w:sz w:val="22"/>
                <w:szCs w:val="22"/>
              </w:rPr>
            </w:pPr>
            <w:r w:rsidRPr="00392147">
              <w:rPr>
                <w:rFonts w:ascii="Arial" w:hAnsi="Arial" w:cs="Arial"/>
                <w:bCs/>
                <w:sz w:val="22"/>
                <w:szCs w:val="22"/>
              </w:rPr>
              <w:t>7.0</w:t>
            </w:r>
          </w:p>
        </w:tc>
      </w:tr>
      <w:tr w:rsidR="009B4F72" w:rsidRPr="00783E86" w14:paraId="1B8B8C83" w14:textId="77777777" w:rsidTr="007C54FA">
        <w:trPr>
          <w:cantSplit/>
        </w:trPr>
        <w:tc>
          <w:tcPr>
            <w:tcW w:w="4230" w:type="dxa"/>
            <w:tcBorders>
              <w:top w:val="nil"/>
              <w:left w:val="nil"/>
              <w:bottom w:val="single" w:sz="4" w:space="0" w:color="auto"/>
              <w:right w:val="nil"/>
            </w:tcBorders>
            <w:shd w:val="clear" w:color="auto" w:fill="auto"/>
            <w:tcMar>
              <w:top w:w="43" w:type="dxa"/>
              <w:left w:w="115" w:type="dxa"/>
              <w:bottom w:w="43" w:type="dxa"/>
              <w:right w:w="115" w:type="dxa"/>
            </w:tcMar>
          </w:tcPr>
          <w:p w14:paraId="701D30ED" w14:textId="77777777" w:rsidR="009B4F72" w:rsidRPr="00392147" w:rsidRDefault="009B4F72" w:rsidP="00E34BBA">
            <w:pPr>
              <w:keepNext/>
              <w:spacing w:line="264" w:lineRule="auto"/>
              <w:contextualSpacing/>
              <w:rPr>
                <w:rFonts w:ascii="Arial" w:hAnsi="Arial" w:cs="Arial"/>
                <w:sz w:val="22"/>
                <w:szCs w:val="22"/>
              </w:rPr>
            </w:pPr>
            <w:r w:rsidRPr="00392147">
              <w:rPr>
                <w:rFonts w:ascii="Arial" w:hAnsi="Arial" w:cs="Arial"/>
                <w:sz w:val="22"/>
                <w:szCs w:val="22"/>
              </w:rPr>
              <w:t>Ongoing operations and maintenance of capital technology projects, contract adjustments</w:t>
            </w:r>
          </w:p>
        </w:tc>
        <w:tc>
          <w:tcPr>
            <w:tcW w:w="270" w:type="dxa"/>
            <w:tcBorders>
              <w:top w:val="nil"/>
              <w:left w:val="nil"/>
              <w:bottom w:val="nil"/>
              <w:right w:val="nil"/>
            </w:tcBorders>
          </w:tcPr>
          <w:p w14:paraId="2AEAEBFC" w14:textId="77777777" w:rsidR="009B4F72" w:rsidRPr="00392147" w:rsidRDefault="009B4F72" w:rsidP="00E34BBA">
            <w:pPr>
              <w:keepNext/>
              <w:spacing w:line="264" w:lineRule="auto"/>
              <w:contextualSpacing/>
              <w:jc w:val="right"/>
              <w:rPr>
                <w:rFonts w:ascii="Arial" w:hAnsi="Arial" w:cs="Arial"/>
                <w:sz w:val="22"/>
                <w:szCs w:val="22"/>
              </w:rPr>
            </w:pPr>
          </w:p>
        </w:tc>
        <w:tc>
          <w:tcPr>
            <w:tcW w:w="1710" w:type="dxa"/>
            <w:tcBorders>
              <w:top w:val="nil"/>
              <w:left w:val="nil"/>
              <w:bottom w:val="single" w:sz="4" w:space="0" w:color="auto"/>
              <w:right w:val="nil"/>
            </w:tcBorders>
            <w:shd w:val="clear" w:color="auto" w:fill="auto"/>
            <w:tcMar>
              <w:top w:w="43" w:type="dxa"/>
              <w:left w:w="115" w:type="dxa"/>
              <w:bottom w:w="43" w:type="dxa"/>
              <w:right w:w="115" w:type="dxa"/>
            </w:tcMar>
          </w:tcPr>
          <w:p w14:paraId="116BEE01" w14:textId="77777777" w:rsidR="009B4F72" w:rsidRPr="00392147" w:rsidRDefault="009B4F72" w:rsidP="00E34BBA">
            <w:pPr>
              <w:keepNext/>
              <w:spacing w:line="264" w:lineRule="auto"/>
              <w:contextualSpacing/>
              <w:jc w:val="right"/>
              <w:rPr>
                <w:rFonts w:ascii="Arial" w:hAnsi="Arial" w:cs="Arial"/>
                <w:sz w:val="22"/>
                <w:szCs w:val="22"/>
              </w:rPr>
            </w:pPr>
            <w:r w:rsidRPr="00392147">
              <w:rPr>
                <w:rFonts w:ascii="Arial" w:hAnsi="Arial" w:cs="Arial"/>
                <w:sz w:val="22"/>
                <w:szCs w:val="22"/>
              </w:rPr>
              <w:t>$12,982,733</w:t>
            </w:r>
          </w:p>
        </w:tc>
        <w:tc>
          <w:tcPr>
            <w:tcW w:w="262" w:type="dxa"/>
            <w:tcBorders>
              <w:top w:val="nil"/>
              <w:left w:val="nil"/>
              <w:bottom w:val="nil"/>
              <w:right w:val="nil"/>
            </w:tcBorders>
          </w:tcPr>
          <w:p w14:paraId="74964C77" w14:textId="77777777" w:rsidR="009B4F72" w:rsidRPr="00392147" w:rsidRDefault="009B4F72" w:rsidP="00E34BBA">
            <w:pPr>
              <w:keepNext/>
              <w:spacing w:line="264" w:lineRule="auto"/>
              <w:contextualSpacing/>
              <w:jc w:val="right"/>
              <w:rPr>
                <w:rFonts w:ascii="Arial" w:hAnsi="Arial" w:cs="Arial"/>
                <w:bCs/>
                <w:sz w:val="22"/>
                <w:szCs w:val="22"/>
              </w:rPr>
            </w:pPr>
          </w:p>
        </w:tc>
        <w:tc>
          <w:tcPr>
            <w:tcW w:w="1231" w:type="dxa"/>
            <w:tcBorders>
              <w:top w:val="nil"/>
              <w:left w:val="nil"/>
              <w:bottom w:val="single" w:sz="4" w:space="0" w:color="auto"/>
              <w:right w:val="nil"/>
            </w:tcBorders>
            <w:shd w:val="clear" w:color="auto" w:fill="auto"/>
          </w:tcPr>
          <w:p w14:paraId="45006299" w14:textId="77777777" w:rsidR="009B4F72" w:rsidRPr="00392147" w:rsidRDefault="009B4F72" w:rsidP="00E34BBA">
            <w:pPr>
              <w:keepNext/>
              <w:spacing w:line="264" w:lineRule="auto"/>
              <w:contextualSpacing/>
              <w:jc w:val="right"/>
              <w:rPr>
                <w:rFonts w:ascii="Arial" w:hAnsi="Arial" w:cs="Arial"/>
                <w:bCs/>
                <w:sz w:val="22"/>
                <w:szCs w:val="22"/>
              </w:rPr>
            </w:pPr>
            <w:r w:rsidRPr="00392147">
              <w:rPr>
                <w:rFonts w:ascii="Arial" w:hAnsi="Arial" w:cs="Arial"/>
                <w:bCs/>
                <w:sz w:val="22"/>
                <w:szCs w:val="22"/>
              </w:rPr>
              <w:t>n/a</w:t>
            </w:r>
          </w:p>
        </w:tc>
        <w:tc>
          <w:tcPr>
            <w:tcW w:w="308" w:type="dxa"/>
            <w:tcBorders>
              <w:top w:val="nil"/>
              <w:left w:val="nil"/>
              <w:bottom w:val="nil"/>
              <w:right w:val="nil"/>
            </w:tcBorders>
          </w:tcPr>
          <w:p w14:paraId="3AD35AAE" w14:textId="77777777" w:rsidR="009B4F72" w:rsidRPr="00392147" w:rsidRDefault="009B4F72" w:rsidP="00E34BBA">
            <w:pPr>
              <w:keepNext/>
              <w:spacing w:line="264" w:lineRule="auto"/>
              <w:contextualSpacing/>
              <w:jc w:val="right"/>
              <w:rPr>
                <w:rFonts w:ascii="Arial" w:hAnsi="Arial" w:cs="Arial"/>
                <w:bCs/>
                <w:sz w:val="22"/>
                <w:szCs w:val="22"/>
              </w:rPr>
            </w:pPr>
          </w:p>
        </w:tc>
        <w:tc>
          <w:tcPr>
            <w:tcW w:w="1244" w:type="dxa"/>
            <w:tcBorders>
              <w:top w:val="nil"/>
              <w:left w:val="nil"/>
              <w:bottom w:val="single" w:sz="4" w:space="0" w:color="auto"/>
              <w:right w:val="nil"/>
            </w:tcBorders>
            <w:shd w:val="clear" w:color="auto" w:fill="auto"/>
            <w:tcMar>
              <w:top w:w="43" w:type="dxa"/>
              <w:bottom w:w="43" w:type="dxa"/>
            </w:tcMar>
          </w:tcPr>
          <w:p w14:paraId="594A898B" w14:textId="77777777" w:rsidR="009B4F72" w:rsidRPr="00392147" w:rsidRDefault="009B4F72" w:rsidP="00E34BBA">
            <w:pPr>
              <w:keepNext/>
              <w:spacing w:line="264" w:lineRule="auto"/>
              <w:contextualSpacing/>
              <w:jc w:val="right"/>
              <w:rPr>
                <w:rFonts w:ascii="Arial" w:hAnsi="Arial" w:cs="Arial"/>
                <w:bCs/>
                <w:sz w:val="22"/>
                <w:szCs w:val="22"/>
              </w:rPr>
            </w:pPr>
            <w:r w:rsidRPr="00392147">
              <w:rPr>
                <w:rFonts w:ascii="Arial" w:hAnsi="Arial" w:cs="Arial"/>
                <w:bCs/>
                <w:sz w:val="22"/>
                <w:szCs w:val="22"/>
              </w:rPr>
              <w:t>n/a</w:t>
            </w:r>
          </w:p>
        </w:tc>
      </w:tr>
      <w:tr w:rsidR="009B4F72" w:rsidRPr="00DE384D" w14:paraId="66E27994" w14:textId="77777777" w:rsidTr="007C54FA">
        <w:trPr>
          <w:cantSplit/>
        </w:trPr>
        <w:tc>
          <w:tcPr>
            <w:tcW w:w="423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539A5076" w14:textId="77777777" w:rsidR="009B4F72" w:rsidRPr="00DE384D" w:rsidRDefault="009B4F72" w:rsidP="00E34BBA">
            <w:pPr>
              <w:keepNext/>
              <w:spacing w:line="264" w:lineRule="auto"/>
              <w:contextualSpacing/>
              <w:jc w:val="right"/>
              <w:rPr>
                <w:rFonts w:ascii="Arial" w:hAnsi="Arial" w:cs="Arial"/>
                <w:b/>
                <w:bCs/>
                <w:sz w:val="22"/>
                <w:szCs w:val="22"/>
              </w:rPr>
            </w:pPr>
            <w:r w:rsidRPr="00DE384D">
              <w:rPr>
                <w:rFonts w:ascii="Arial" w:hAnsi="Arial" w:cs="Arial"/>
                <w:b/>
                <w:bCs/>
                <w:sz w:val="22"/>
                <w:szCs w:val="22"/>
              </w:rPr>
              <w:t>TOTAL</w:t>
            </w:r>
          </w:p>
        </w:tc>
        <w:tc>
          <w:tcPr>
            <w:tcW w:w="270" w:type="dxa"/>
            <w:tcBorders>
              <w:top w:val="nil"/>
              <w:left w:val="nil"/>
              <w:bottom w:val="single" w:sz="12" w:space="0" w:color="auto"/>
              <w:right w:val="nil"/>
            </w:tcBorders>
          </w:tcPr>
          <w:p w14:paraId="620D94A9" w14:textId="77777777" w:rsidR="009B4F72" w:rsidRPr="00DE384D" w:rsidRDefault="009B4F72" w:rsidP="00E34BBA">
            <w:pPr>
              <w:keepNext/>
              <w:spacing w:line="264" w:lineRule="auto"/>
              <w:contextualSpacing/>
              <w:jc w:val="right"/>
              <w:rPr>
                <w:rFonts w:ascii="Arial" w:hAnsi="Arial" w:cs="Arial"/>
                <w:b/>
                <w:bCs/>
                <w:sz w:val="22"/>
                <w:szCs w:val="22"/>
              </w:rPr>
            </w:pPr>
          </w:p>
        </w:tc>
        <w:tc>
          <w:tcPr>
            <w:tcW w:w="1710" w:type="dxa"/>
            <w:tcBorders>
              <w:top w:val="single" w:sz="4" w:space="0" w:color="auto"/>
              <w:left w:val="nil"/>
              <w:bottom w:val="single" w:sz="12" w:space="0" w:color="auto"/>
              <w:right w:val="nil"/>
            </w:tcBorders>
            <w:shd w:val="clear" w:color="auto" w:fill="auto"/>
            <w:tcMar>
              <w:top w:w="43" w:type="dxa"/>
              <w:left w:w="115" w:type="dxa"/>
              <w:bottom w:w="43" w:type="dxa"/>
              <w:right w:w="115" w:type="dxa"/>
            </w:tcMar>
          </w:tcPr>
          <w:p w14:paraId="3E0CF069" w14:textId="77777777" w:rsidR="009B4F72" w:rsidRPr="00DE384D" w:rsidRDefault="009B4F72" w:rsidP="00E34BBA">
            <w:pPr>
              <w:keepNext/>
              <w:spacing w:line="264" w:lineRule="auto"/>
              <w:contextualSpacing/>
              <w:jc w:val="right"/>
              <w:rPr>
                <w:rFonts w:ascii="Arial" w:hAnsi="Arial" w:cs="Arial"/>
                <w:b/>
                <w:bCs/>
                <w:sz w:val="22"/>
                <w:szCs w:val="22"/>
              </w:rPr>
            </w:pPr>
            <w:r w:rsidRPr="00DE384D">
              <w:rPr>
                <w:rFonts w:ascii="Arial" w:hAnsi="Arial" w:cs="Arial"/>
                <w:b/>
                <w:bCs/>
                <w:sz w:val="22"/>
                <w:szCs w:val="22"/>
              </w:rPr>
              <w:t>$28,798,382</w:t>
            </w:r>
          </w:p>
        </w:tc>
        <w:tc>
          <w:tcPr>
            <w:tcW w:w="262" w:type="dxa"/>
            <w:tcBorders>
              <w:top w:val="nil"/>
              <w:left w:val="nil"/>
              <w:bottom w:val="single" w:sz="12" w:space="0" w:color="auto"/>
              <w:right w:val="nil"/>
            </w:tcBorders>
          </w:tcPr>
          <w:p w14:paraId="116FBDE5" w14:textId="77777777" w:rsidR="009B4F72" w:rsidRPr="00DE384D" w:rsidRDefault="009B4F72" w:rsidP="00E34BBA">
            <w:pPr>
              <w:keepNext/>
              <w:spacing w:line="264" w:lineRule="auto"/>
              <w:contextualSpacing/>
              <w:jc w:val="right"/>
              <w:rPr>
                <w:rFonts w:ascii="Arial" w:hAnsi="Arial" w:cs="Arial"/>
                <w:b/>
                <w:sz w:val="22"/>
                <w:szCs w:val="22"/>
              </w:rPr>
            </w:pPr>
          </w:p>
        </w:tc>
        <w:tc>
          <w:tcPr>
            <w:tcW w:w="1231" w:type="dxa"/>
            <w:tcBorders>
              <w:top w:val="single" w:sz="4" w:space="0" w:color="auto"/>
              <w:left w:val="nil"/>
              <w:bottom w:val="single" w:sz="12" w:space="0" w:color="auto"/>
              <w:right w:val="nil"/>
            </w:tcBorders>
            <w:shd w:val="clear" w:color="auto" w:fill="auto"/>
          </w:tcPr>
          <w:p w14:paraId="06D4B431" w14:textId="77777777" w:rsidR="009B4F72" w:rsidRPr="00DE384D" w:rsidRDefault="009B4F72" w:rsidP="00E34BBA">
            <w:pPr>
              <w:keepNext/>
              <w:spacing w:line="264" w:lineRule="auto"/>
              <w:contextualSpacing/>
              <w:jc w:val="right"/>
              <w:rPr>
                <w:rFonts w:ascii="Arial" w:hAnsi="Arial" w:cs="Arial"/>
                <w:b/>
                <w:sz w:val="22"/>
                <w:szCs w:val="22"/>
              </w:rPr>
            </w:pPr>
            <w:r w:rsidRPr="00DE384D">
              <w:rPr>
                <w:rFonts w:ascii="Arial" w:hAnsi="Arial" w:cs="Arial"/>
                <w:b/>
                <w:sz w:val="22"/>
                <w:szCs w:val="22"/>
              </w:rPr>
              <w:t>32.0</w:t>
            </w:r>
          </w:p>
        </w:tc>
        <w:tc>
          <w:tcPr>
            <w:tcW w:w="308" w:type="dxa"/>
            <w:tcBorders>
              <w:top w:val="nil"/>
              <w:left w:val="nil"/>
              <w:bottom w:val="single" w:sz="12" w:space="0" w:color="auto"/>
              <w:right w:val="nil"/>
            </w:tcBorders>
          </w:tcPr>
          <w:p w14:paraId="29115F8B" w14:textId="77777777" w:rsidR="009B4F72" w:rsidRPr="00DE384D" w:rsidRDefault="009B4F72" w:rsidP="00E34BBA">
            <w:pPr>
              <w:keepNext/>
              <w:spacing w:line="264" w:lineRule="auto"/>
              <w:contextualSpacing/>
              <w:jc w:val="right"/>
              <w:rPr>
                <w:rFonts w:ascii="Arial" w:hAnsi="Arial" w:cs="Arial"/>
                <w:b/>
                <w:sz w:val="22"/>
                <w:szCs w:val="22"/>
              </w:rPr>
            </w:pPr>
          </w:p>
        </w:tc>
        <w:tc>
          <w:tcPr>
            <w:tcW w:w="1244" w:type="dxa"/>
            <w:tcBorders>
              <w:top w:val="single" w:sz="4" w:space="0" w:color="auto"/>
              <w:left w:val="nil"/>
              <w:bottom w:val="single" w:sz="12" w:space="0" w:color="auto"/>
              <w:right w:val="nil"/>
            </w:tcBorders>
            <w:shd w:val="clear" w:color="auto" w:fill="auto"/>
            <w:tcMar>
              <w:top w:w="43" w:type="dxa"/>
              <w:bottom w:w="43" w:type="dxa"/>
            </w:tcMar>
          </w:tcPr>
          <w:p w14:paraId="1A8B23A0" w14:textId="77777777" w:rsidR="009B4F72" w:rsidRPr="00DE384D" w:rsidRDefault="009B4F72" w:rsidP="00E34BBA">
            <w:pPr>
              <w:keepNext/>
              <w:spacing w:line="264" w:lineRule="auto"/>
              <w:contextualSpacing/>
              <w:jc w:val="right"/>
              <w:rPr>
                <w:rFonts w:ascii="Arial" w:hAnsi="Arial" w:cs="Arial"/>
                <w:b/>
                <w:sz w:val="22"/>
                <w:szCs w:val="22"/>
              </w:rPr>
            </w:pPr>
            <w:r w:rsidRPr="00DE384D">
              <w:rPr>
                <w:rFonts w:ascii="Arial" w:hAnsi="Arial" w:cs="Arial"/>
                <w:b/>
                <w:sz w:val="22"/>
                <w:szCs w:val="22"/>
              </w:rPr>
              <w:t>21.0</w:t>
            </w:r>
          </w:p>
        </w:tc>
      </w:tr>
    </w:tbl>
    <w:p w14:paraId="195F1569" w14:textId="77777777" w:rsidR="009B4F72" w:rsidRPr="00DE384D" w:rsidRDefault="009B4F72" w:rsidP="009B4F72">
      <w:pPr>
        <w:spacing w:line="264" w:lineRule="auto"/>
        <w:contextualSpacing/>
        <w:jc w:val="both"/>
        <w:rPr>
          <w:rFonts w:ascii="Arial" w:hAnsi="Arial" w:cs="Arial"/>
          <w:sz w:val="22"/>
          <w:szCs w:val="22"/>
        </w:rPr>
      </w:pPr>
    </w:p>
    <w:p w14:paraId="6FC50D2C" w14:textId="77777777" w:rsidR="009B4F72" w:rsidRPr="00F15F86" w:rsidRDefault="009B4F72" w:rsidP="009B4F72">
      <w:pPr>
        <w:spacing w:line="264" w:lineRule="auto"/>
        <w:jc w:val="both"/>
        <w:rPr>
          <w:rFonts w:ascii="Arial" w:hAnsi="Arial" w:cs="Arial"/>
          <w:b/>
          <w:bCs/>
          <w:caps/>
          <w:szCs w:val="24"/>
        </w:rPr>
      </w:pPr>
      <w:r w:rsidRPr="00F15F86">
        <w:rPr>
          <w:rFonts w:ascii="Arial" w:hAnsi="Arial" w:cs="Arial"/>
          <w:b/>
          <w:bCs/>
          <w:caps/>
          <w:szCs w:val="24"/>
        </w:rPr>
        <w:t>Marine</w:t>
      </w:r>
    </w:p>
    <w:p w14:paraId="75973B61" w14:textId="77777777" w:rsidR="009B4F72" w:rsidRPr="00F15F86" w:rsidRDefault="009B4F72" w:rsidP="009B4F72">
      <w:pPr>
        <w:spacing w:line="264" w:lineRule="auto"/>
        <w:jc w:val="both"/>
        <w:rPr>
          <w:rFonts w:ascii="Arial" w:hAnsi="Arial" w:cs="Arial"/>
          <w:szCs w:val="24"/>
        </w:rPr>
      </w:pPr>
      <w:r w:rsidRPr="00F15F86">
        <w:rPr>
          <w:rFonts w:ascii="Arial" w:hAnsi="Arial" w:cs="Arial"/>
          <w:b/>
          <w:bCs/>
          <w:i/>
          <w:iCs/>
          <w:szCs w:val="24"/>
        </w:rPr>
        <w:t xml:space="preserve">Operating: West Seattle Service, Electrification Planning, and Facility and Vessel Repairs [$2,039,000, 6.0 FTE].  </w:t>
      </w:r>
      <w:r w:rsidRPr="00F15F86">
        <w:rPr>
          <w:rFonts w:ascii="Arial" w:hAnsi="Arial" w:cs="Arial"/>
          <w:szCs w:val="24"/>
        </w:rPr>
        <w:t>The proposed ordinance would appropriate $1,051,000 of revenue-backed money to operate the West Seattle Water Taxi at summer service levels year-round, paid for by the City of Seattle as mitigation for the West Seattle Bridge.  The proposed ordinance would also appropriate $350,000 for planning towards applying for grant funding to convert to electric water taxi vehicles, and $638,000 for various minor facility repairs and replacement of vessel generators.</w:t>
      </w:r>
    </w:p>
    <w:p w14:paraId="007DAC31" w14:textId="77777777" w:rsidR="006B2F3A" w:rsidRDefault="006B2F3A" w:rsidP="009B4F72">
      <w:pPr>
        <w:spacing w:line="264" w:lineRule="auto"/>
        <w:contextualSpacing/>
        <w:jc w:val="both"/>
        <w:rPr>
          <w:rFonts w:ascii="Arial" w:hAnsi="Arial" w:cs="Arial"/>
        </w:rPr>
      </w:pPr>
    </w:p>
    <w:p w14:paraId="32BCBF58" w14:textId="5F7CDBA2" w:rsidR="23E30FAD" w:rsidRDefault="23E30FAD" w:rsidP="7236A96A">
      <w:pPr>
        <w:spacing w:line="257" w:lineRule="auto"/>
        <w:jc w:val="both"/>
      </w:pPr>
      <w:r w:rsidRPr="7236A96A">
        <w:rPr>
          <w:rFonts w:ascii="Arial" w:eastAsia="Arial" w:hAnsi="Arial" w:cs="Arial"/>
          <w:b/>
          <w:bCs/>
          <w:color w:val="4472C4"/>
          <w:szCs w:val="24"/>
          <w:u w:val="single"/>
        </w:rPr>
        <w:t>Responses to Councilmember Questions:</w:t>
      </w:r>
    </w:p>
    <w:p w14:paraId="0C238433" w14:textId="0D9F1461" w:rsidR="23E30FAD" w:rsidRDefault="23E30FAD" w:rsidP="7236A96A">
      <w:pPr>
        <w:spacing w:line="257" w:lineRule="auto"/>
        <w:jc w:val="both"/>
      </w:pPr>
      <w:r w:rsidRPr="7236A96A">
        <w:rPr>
          <w:rFonts w:ascii="Arial" w:eastAsia="Arial" w:hAnsi="Arial" w:cs="Arial"/>
          <w:b/>
          <w:bCs/>
          <w:color w:val="4472C4"/>
          <w:szCs w:val="24"/>
        </w:rPr>
        <w:t xml:space="preserve"> </w:t>
      </w:r>
    </w:p>
    <w:p w14:paraId="23855EE2" w14:textId="70363D62" w:rsidR="23E30FAD" w:rsidRPr="00AA5101" w:rsidRDefault="00AA5101" w:rsidP="00AA5101">
      <w:pPr>
        <w:spacing w:line="257" w:lineRule="auto"/>
        <w:jc w:val="both"/>
        <w:rPr>
          <w:rFonts w:ascii="Arial" w:eastAsia="Arial" w:hAnsi="Arial" w:cs="Arial"/>
          <w:b/>
          <w:bCs/>
          <w:color w:val="4472C4"/>
        </w:rPr>
      </w:pPr>
      <w:r>
        <w:rPr>
          <w:rFonts w:ascii="Arial" w:eastAsia="Arial" w:hAnsi="Arial" w:cs="Arial"/>
          <w:b/>
          <w:bCs/>
          <w:color w:val="4472C4"/>
        </w:rPr>
        <w:t>1</w:t>
      </w:r>
      <w:r w:rsidR="00A36DB2">
        <w:rPr>
          <w:rFonts w:ascii="Arial" w:eastAsia="Arial" w:hAnsi="Arial" w:cs="Arial"/>
          <w:b/>
          <w:bCs/>
          <w:color w:val="4472C4"/>
        </w:rPr>
        <w:t>.</w:t>
      </w:r>
      <w:r>
        <w:rPr>
          <w:rFonts w:ascii="Arial" w:eastAsia="Arial" w:hAnsi="Arial" w:cs="Arial"/>
          <w:b/>
          <w:bCs/>
          <w:color w:val="4472C4"/>
        </w:rPr>
        <w:t xml:space="preserve"> </w:t>
      </w:r>
      <w:r w:rsidR="23E30FAD" w:rsidRPr="00AA5101">
        <w:rPr>
          <w:rFonts w:ascii="Arial" w:eastAsia="Arial" w:hAnsi="Arial" w:cs="Arial"/>
          <w:b/>
          <w:bCs/>
          <w:color w:val="4472C4"/>
        </w:rPr>
        <w:t>What is the current status of transit ridership and farebox?</w:t>
      </w:r>
    </w:p>
    <w:p w14:paraId="492998B7" w14:textId="4E9BA78F" w:rsidR="23E30FAD" w:rsidRDefault="23E30FAD" w:rsidP="7236A96A">
      <w:pPr>
        <w:spacing w:line="257" w:lineRule="auto"/>
        <w:jc w:val="both"/>
      </w:pPr>
      <w:r w:rsidRPr="7236A96A">
        <w:rPr>
          <w:rFonts w:ascii="Arial" w:eastAsia="Arial" w:hAnsi="Arial" w:cs="Arial"/>
          <w:color w:val="4472C4"/>
          <w:szCs w:val="24"/>
        </w:rPr>
        <w:t xml:space="preserve"> </w:t>
      </w:r>
    </w:p>
    <w:p w14:paraId="53F3686E" w14:textId="4A1AA601" w:rsidR="23E30FAD" w:rsidRDefault="23E30FAD" w:rsidP="7236A96A">
      <w:pPr>
        <w:spacing w:line="257" w:lineRule="auto"/>
        <w:jc w:val="both"/>
      </w:pPr>
      <w:r w:rsidRPr="7236A96A">
        <w:rPr>
          <w:rFonts w:ascii="Arial" w:eastAsia="Arial" w:hAnsi="Arial" w:cs="Arial"/>
          <w:color w:val="4472C4"/>
          <w:szCs w:val="24"/>
        </w:rPr>
        <w:t xml:space="preserve">See the following </w:t>
      </w:r>
      <w:r w:rsidR="00797042">
        <w:rPr>
          <w:rFonts w:ascii="Arial" w:eastAsia="Arial" w:hAnsi="Arial" w:cs="Arial"/>
          <w:color w:val="4472C4"/>
          <w:szCs w:val="24"/>
        </w:rPr>
        <w:t>tables</w:t>
      </w:r>
      <w:r w:rsidRPr="7236A96A">
        <w:rPr>
          <w:rFonts w:ascii="Arial" w:eastAsia="Arial" w:hAnsi="Arial" w:cs="Arial"/>
          <w:color w:val="4472C4"/>
          <w:szCs w:val="24"/>
        </w:rPr>
        <w:t xml:space="preserve"> provided by Metro.</w:t>
      </w:r>
    </w:p>
    <w:p w14:paraId="4C312E27" w14:textId="5D66945C" w:rsidR="23E30FAD" w:rsidRDefault="23E30FAD" w:rsidP="7236A96A">
      <w:pPr>
        <w:spacing w:line="257" w:lineRule="auto"/>
        <w:jc w:val="both"/>
      </w:pPr>
      <w:r w:rsidRPr="7236A96A">
        <w:rPr>
          <w:rFonts w:ascii="Arial" w:eastAsia="Arial" w:hAnsi="Arial" w:cs="Arial"/>
          <w:color w:val="4472C4"/>
          <w:sz w:val="22"/>
          <w:szCs w:val="22"/>
        </w:rPr>
        <w:t xml:space="preserve"> </w:t>
      </w:r>
    </w:p>
    <w:tbl>
      <w:tblPr>
        <w:tblW w:w="9541" w:type="dxa"/>
        <w:tblInd w:w="108" w:type="dxa"/>
        <w:tblLayout w:type="fixed"/>
        <w:tblLook w:val="04A0" w:firstRow="1" w:lastRow="0" w:firstColumn="1" w:lastColumn="0" w:noHBand="0" w:noVBand="1"/>
      </w:tblPr>
      <w:tblGrid>
        <w:gridCol w:w="2700"/>
        <w:gridCol w:w="1350"/>
        <w:gridCol w:w="1278"/>
        <w:gridCol w:w="1422"/>
        <w:gridCol w:w="1440"/>
        <w:gridCol w:w="1351"/>
      </w:tblGrid>
      <w:tr w:rsidR="00263EF2" w14:paraId="474844F3"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9C1A919" w14:textId="06DD5C59" w:rsidR="00531A13" w:rsidRPr="005C75BB" w:rsidRDefault="00A36DB2" w:rsidP="004E589D">
            <w:pPr>
              <w:spacing w:line="257" w:lineRule="auto"/>
              <w:rPr>
                <w:b/>
                <w:bCs/>
              </w:rPr>
            </w:pPr>
            <w:r w:rsidRPr="005C75BB">
              <w:rPr>
                <w:rFonts w:ascii="Arial" w:eastAsia="Arial" w:hAnsi="Arial" w:cs="Arial"/>
                <w:b/>
                <w:bCs/>
                <w:color w:val="4472C4"/>
                <w:szCs w:val="24"/>
              </w:rPr>
              <w:t xml:space="preserve"> </w:t>
            </w:r>
            <w:r w:rsidR="008D7D4F" w:rsidRPr="005C75BB">
              <w:rPr>
                <w:rFonts w:ascii="Arial" w:eastAsia="Arial" w:hAnsi="Arial" w:cs="Arial"/>
                <w:b/>
                <w:bCs/>
                <w:color w:val="4472C4"/>
                <w:szCs w:val="24"/>
              </w:rPr>
              <w:t xml:space="preserve"> </w:t>
            </w:r>
            <w:r w:rsidR="00531A13" w:rsidRPr="005C75BB">
              <w:rPr>
                <w:rFonts w:ascii="Arial" w:eastAsia="Arial" w:hAnsi="Arial" w:cs="Arial"/>
                <w:b/>
                <w:bCs/>
                <w:color w:val="4472C4"/>
                <w:sz w:val="20"/>
              </w:rPr>
              <w:t>Bus Ridership</w:t>
            </w:r>
          </w:p>
        </w:tc>
        <w:tc>
          <w:tcPr>
            <w:tcW w:w="135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14:paraId="28C17C1E" w14:textId="0A8E8122" w:rsidR="00531A13" w:rsidRPr="005C75BB" w:rsidRDefault="00531A13" w:rsidP="7236A96A">
            <w:pPr>
              <w:spacing w:line="257" w:lineRule="auto"/>
              <w:jc w:val="center"/>
              <w:rPr>
                <w:b/>
                <w:bCs/>
              </w:rPr>
            </w:pPr>
            <w:r w:rsidRPr="005C75BB">
              <w:rPr>
                <w:rFonts w:ascii="Arial" w:eastAsia="Arial" w:hAnsi="Arial" w:cs="Arial"/>
                <w:b/>
                <w:bCs/>
                <w:color w:val="4472C4"/>
                <w:sz w:val="20"/>
              </w:rPr>
              <w:t>2019 Actuals</w:t>
            </w:r>
          </w:p>
        </w:tc>
        <w:tc>
          <w:tcPr>
            <w:tcW w:w="1278"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14:paraId="2847EF2B" w14:textId="0C4D0D57" w:rsidR="00531A13" w:rsidRPr="005C75BB" w:rsidRDefault="00531A13" w:rsidP="7236A96A">
            <w:pPr>
              <w:spacing w:line="257" w:lineRule="auto"/>
              <w:jc w:val="center"/>
              <w:rPr>
                <w:b/>
                <w:bCs/>
              </w:rPr>
            </w:pPr>
            <w:r w:rsidRPr="005C75BB">
              <w:rPr>
                <w:rFonts w:ascii="Arial" w:eastAsia="Arial" w:hAnsi="Arial" w:cs="Arial"/>
                <w:b/>
                <w:bCs/>
                <w:color w:val="4472C4"/>
                <w:sz w:val="20"/>
              </w:rPr>
              <w:t>2020 Actuals</w:t>
            </w:r>
          </w:p>
        </w:tc>
        <w:tc>
          <w:tcPr>
            <w:tcW w:w="142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14:paraId="5428C872" w14:textId="10992599" w:rsidR="00531A13" w:rsidRPr="005C75BB" w:rsidRDefault="00531A13" w:rsidP="7236A96A">
            <w:pPr>
              <w:spacing w:line="257" w:lineRule="auto"/>
              <w:jc w:val="center"/>
              <w:rPr>
                <w:b/>
                <w:bCs/>
              </w:rPr>
            </w:pPr>
            <w:r w:rsidRPr="005C75BB">
              <w:rPr>
                <w:rFonts w:ascii="Arial" w:eastAsia="Arial" w:hAnsi="Arial" w:cs="Arial"/>
                <w:b/>
                <w:bCs/>
                <w:color w:val="4472C4"/>
                <w:sz w:val="20"/>
              </w:rPr>
              <w:t>2021</w:t>
            </w:r>
          </w:p>
          <w:p w14:paraId="7383C9AC" w14:textId="0AB40AAD" w:rsidR="00531A13" w:rsidRPr="005C75BB" w:rsidRDefault="00531A13" w:rsidP="7236A96A">
            <w:pPr>
              <w:spacing w:line="257" w:lineRule="auto"/>
              <w:jc w:val="center"/>
              <w:rPr>
                <w:b/>
                <w:bCs/>
              </w:rPr>
            </w:pPr>
            <w:r w:rsidRPr="005C75BB">
              <w:rPr>
                <w:rFonts w:ascii="Arial" w:eastAsia="Arial" w:hAnsi="Arial" w:cs="Arial"/>
                <w:b/>
                <w:bCs/>
                <w:color w:val="4472C4"/>
                <w:sz w:val="20"/>
              </w:rPr>
              <w:t>Projected</w:t>
            </w:r>
          </w:p>
        </w:tc>
        <w:tc>
          <w:tcPr>
            <w:tcW w:w="1440" w:type="dxa"/>
            <w:tcBorders>
              <w:top w:val="single" w:sz="8" w:space="0" w:color="auto"/>
              <w:left w:val="nil"/>
              <w:bottom w:val="single" w:sz="8" w:space="0" w:color="auto"/>
              <w:right w:val="single" w:sz="8" w:space="0" w:color="auto"/>
            </w:tcBorders>
            <w:shd w:val="clear" w:color="auto" w:fill="DBE5F1" w:themeFill="accent1" w:themeFillTint="33"/>
            <w:vAlign w:val="bottom"/>
          </w:tcPr>
          <w:p w14:paraId="2A58EE87" w14:textId="6B20554D" w:rsidR="00531A13" w:rsidRPr="005C75BB" w:rsidRDefault="00531A13" w:rsidP="7236A96A">
            <w:pPr>
              <w:spacing w:line="257" w:lineRule="auto"/>
              <w:jc w:val="center"/>
              <w:rPr>
                <w:b/>
                <w:bCs/>
              </w:rPr>
            </w:pPr>
            <w:r w:rsidRPr="005C75BB">
              <w:rPr>
                <w:rFonts w:ascii="Arial" w:eastAsia="Arial" w:hAnsi="Arial" w:cs="Arial"/>
                <w:b/>
                <w:bCs/>
                <w:color w:val="4472C4"/>
                <w:sz w:val="20"/>
              </w:rPr>
              <w:t>2022 Projected</w:t>
            </w:r>
          </w:p>
        </w:tc>
        <w:tc>
          <w:tcPr>
            <w:tcW w:w="1351" w:type="dxa"/>
            <w:tcBorders>
              <w:top w:val="single" w:sz="8" w:space="0" w:color="auto"/>
              <w:left w:val="nil"/>
              <w:bottom w:val="single" w:sz="8" w:space="0" w:color="auto"/>
              <w:right w:val="single" w:sz="8" w:space="0" w:color="auto"/>
            </w:tcBorders>
            <w:shd w:val="clear" w:color="auto" w:fill="DBE5F1" w:themeFill="accent1" w:themeFillTint="33"/>
            <w:vAlign w:val="bottom"/>
          </w:tcPr>
          <w:p w14:paraId="438CF465" w14:textId="2C90E513" w:rsidR="00531A13" w:rsidRPr="005C75BB" w:rsidRDefault="00531A13" w:rsidP="7236A96A">
            <w:pPr>
              <w:spacing w:line="257" w:lineRule="auto"/>
              <w:jc w:val="center"/>
              <w:rPr>
                <w:b/>
                <w:bCs/>
              </w:rPr>
            </w:pPr>
            <w:r w:rsidRPr="005C75BB">
              <w:rPr>
                <w:rFonts w:ascii="Arial" w:eastAsia="Arial" w:hAnsi="Arial" w:cs="Arial"/>
                <w:b/>
                <w:bCs/>
                <w:color w:val="4472C4"/>
                <w:sz w:val="20"/>
              </w:rPr>
              <w:t>2021-2022 Total</w:t>
            </w:r>
          </w:p>
        </w:tc>
      </w:tr>
      <w:tr w:rsidR="00366ED6" w14:paraId="18D1633A"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55719D69" w14:textId="0C2613A4" w:rsidR="00531A13" w:rsidRPr="005C75BB" w:rsidRDefault="00531A13" w:rsidP="7236A96A">
            <w:pPr>
              <w:spacing w:line="257" w:lineRule="auto"/>
              <w:rPr>
                <w:b/>
                <w:bCs/>
              </w:rPr>
            </w:pPr>
            <w:r w:rsidRPr="005C75BB">
              <w:rPr>
                <w:rFonts w:ascii="Arial" w:eastAsia="Arial" w:hAnsi="Arial" w:cs="Arial"/>
                <w:b/>
                <w:bCs/>
                <w:color w:val="4472C4"/>
                <w:sz w:val="20"/>
              </w:rPr>
              <w:t>2</w:t>
            </w:r>
            <w:r w:rsidR="002639A4" w:rsidRPr="002639A4">
              <w:rPr>
                <w:rFonts w:ascii="Arial" w:eastAsia="Arial" w:hAnsi="Arial" w:cs="Arial"/>
                <w:b/>
                <w:bCs/>
                <w:color w:val="4472C4"/>
                <w:sz w:val="20"/>
                <w:vertAlign w:val="superscript"/>
              </w:rPr>
              <w:t>nd</w:t>
            </w:r>
            <w:r w:rsidRPr="005C75BB">
              <w:rPr>
                <w:rFonts w:ascii="Arial" w:eastAsia="Arial" w:hAnsi="Arial" w:cs="Arial"/>
                <w:b/>
                <w:bCs/>
                <w:color w:val="4472C4"/>
                <w:sz w:val="20"/>
              </w:rPr>
              <w:t xml:space="preserve"> Omnibus Projection</w:t>
            </w:r>
          </w:p>
        </w:tc>
        <w:tc>
          <w:tcPr>
            <w:tcW w:w="1350" w:type="dxa"/>
            <w:vMerge w:val="restart"/>
            <w:tcBorders>
              <w:top w:val="single" w:sz="8" w:space="0" w:color="auto"/>
              <w:left w:val="single" w:sz="8" w:space="0" w:color="auto"/>
              <w:bottom w:val="nil"/>
              <w:right w:val="single" w:sz="8" w:space="0" w:color="auto"/>
            </w:tcBorders>
            <w:shd w:val="clear" w:color="auto" w:fill="auto"/>
          </w:tcPr>
          <w:p w14:paraId="6D8F1E66" w14:textId="77777777" w:rsidR="00635A37" w:rsidRDefault="00531A13" w:rsidP="00635A37">
            <w:pPr>
              <w:spacing w:line="257" w:lineRule="auto"/>
              <w:jc w:val="right"/>
              <w:rPr>
                <w:rFonts w:ascii="Arial" w:eastAsia="Arial" w:hAnsi="Arial" w:cs="Arial"/>
                <w:color w:val="4472C4"/>
                <w:sz w:val="20"/>
              </w:rPr>
            </w:pPr>
            <w:r w:rsidRPr="005C75BB">
              <w:rPr>
                <w:rFonts w:ascii="Arial" w:eastAsia="Arial" w:hAnsi="Arial" w:cs="Arial"/>
                <w:color w:val="4472C4"/>
                <w:sz w:val="20"/>
              </w:rPr>
              <w:t>120,836,294</w:t>
            </w:r>
          </w:p>
          <w:p w14:paraId="33C9B5FD" w14:textId="77777777" w:rsidR="00635A37" w:rsidRDefault="00635A37" w:rsidP="00635A37">
            <w:pPr>
              <w:spacing w:line="257" w:lineRule="auto"/>
              <w:jc w:val="right"/>
              <w:rPr>
                <w:rFonts w:ascii="Arial" w:eastAsia="Arial" w:hAnsi="Arial" w:cs="Arial"/>
                <w:color w:val="4472C4"/>
                <w:sz w:val="20"/>
              </w:rPr>
            </w:pPr>
          </w:p>
          <w:p w14:paraId="23367AD0" w14:textId="77777777" w:rsidR="00635A37" w:rsidRDefault="00635A37" w:rsidP="00635A37">
            <w:pPr>
              <w:spacing w:line="257" w:lineRule="auto"/>
              <w:jc w:val="right"/>
              <w:rPr>
                <w:rFonts w:ascii="Arial" w:eastAsia="Arial" w:hAnsi="Arial" w:cs="Arial"/>
                <w:color w:val="4472C4"/>
                <w:sz w:val="20"/>
              </w:rPr>
            </w:pPr>
          </w:p>
          <w:p w14:paraId="74A126F7" w14:textId="5C577BD5" w:rsidR="00531A13" w:rsidRPr="005C75BB" w:rsidRDefault="00531A13" w:rsidP="00635A37">
            <w:pPr>
              <w:spacing w:line="257" w:lineRule="auto"/>
              <w:jc w:val="right"/>
            </w:pPr>
            <w:r w:rsidRPr="005C75BB">
              <w:rPr>
                <w:rFonts w:ascii="Arial" w:eastAsia="Arial" w:hAnsi="Arial" w:cs="Arial"/>
                <w:color w:val="4472C4"/>
                <w:sz w:val="20"/>
              </w:rPr>
              <w:t xml:space="preserve"> </w:t>
            </w:r>
          </w:p>
        </w:tc>
        <w:tc>
          <w:tcPr>
            <w:tcW w:w="1278" w:type="dxa"/>
            <w:vMerge w:val="restart"/>
            <w:tcBorders>
              <w:top w:val="single" w:sz="8" w:space="0" w:color="auto"/>
              <w:left w:val="single" w:sz="8" w:space="0" w:color="auto"/>
              <w:bottom w:val="nil"/>
              <w:right w:val="single" w:sz="8" w:space="0" w:color="auto"/>
            </w:tcBorders>
            <w:shd w:val="clear" w:color="auto" w:fill="auto"/>
          </w:tcPr>
          <w:p w14:paraId="0401A5F1" w14:textId="77777777" w:rsidR="00635A37" w:rsidRDefault="00531A13" w:rsidP="00635A37">
            <w:pPr>
              <w:spacing w:line="257" w:lineRule="auto"/>
              <w:jc w:val="right"/>
              <w:rPr>
                <w:rFonts w:ascii="Arial" w:eastAsia="Arial" w:hAnsi="Arial" w:cs="Arial"/>
                <w:color w:val="4472C4"/>
                <w:sz w:val="20"/>
              </w:rPr>
            </w:pPr>
            <w:r w:rsidRPr="005C75BB">
              <w:rPr>
                <w:rFonts w:ascii="Arial" w:eastAsia="Arial" w:hAnsi="Arial" w:cs="Arial"/>
                <w:color w:val="4472C4"/>
                <w:sz w:val="20"/>
              </w:rPr>
              <w:t>57,250,971</w:t>
            </w:r>
          </w:p>
          <w:p w14:paraId="33CB629E" w14:textId="77777777" w:rsidR="00635A37" w:rsidRDefault="00635A37" w:rsidP="00635A37">
            <w:pPr>
              <w:spacing w:line="257" w:lineRule="auto"/>
              <w:jc w:val="right"/>
              <w:rPr>
                <w:rFonts w:ascii="Arial" w:eastAsia="Arial" w:hAnsi="Arial" w:cs="Arial"/>
                <w:color w:val="4472C4"/>
                <w:sz w:val="20"/>
              </w:rPr>
            </w:pPr>
          </w:p>
          <w:p w14:paraId="53B6CF99" w14:textId="77777777" w:rsidR="00635A37" w:rsidRDefault="00635A37" w:rsidP="00635A37">
            <w:pPr>
              <w:spacing w:line="257" w:lineRule="auto"/>
              <w:jc w:val="right"/>
              <w:rPr>
                <w:rFonts w:ascii="Arial" w:eastAsia="Arial" w:hAnsi="Arial" w:cs="Arial"/>
                <w:color w:val="4472C4"/>
                <w:sz w:val="20"/>
              </w:rPr>
            </w:pPr>
          </w:p>
          <w:p w14:paraId="12C37DBF" w14:textId="1C93231D" w:rsidR="00531A13" w:rsidRPr="005C75BB" w:rsidRDefault="00531A13" w:rsidP="00635A37">
            <w:pPr>
              <w:spacing w:line="257" w:lineRule="auto"/>
              <w:jc w:val="right"/>
            </w:pPr>
            <w:r w:rsidRPr="005C75BB">
              <w:rPr>
                <w:rFonts w:ascii="Arial" w:eastAsia="Arial" w:hAnsi="Arial" w:cs="Arial"/>
                <w:color w:val="4472C4"/>
                <w:sz w:val="20"/>
              </w:rPr>
              <w:t xml:space="preserve"> </w:t>
            </w: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75A2BFA6" w14:textId="240F6CED" w:rsidR="00531A13" w:rsidRPr="005C75BB" w:rsidRDefault="00531A13" w:rsidP="008D7D4F">
            <w:pPr>
              <w:spacing w:line="257" w:lineRule="auto"/>
              <w:jc w:val="right"/>
            </w:pPr>
            <w:r w:rsidRPr="005C75BB">
              <w:rPr>
                <w:rFonts w:ascii="Arial" w:eastAsia="Arial" w:hAnsi="Arial" w:cs="Arial"/>
                <w:color w:val="4472C4"/>
                <w:sz w:val="20"/>
              </w:rPr>
              <w:t xml:space="preserve">44,407,338 </w:t>
            </w:r>
          </w:p>
        </w:tc>
        <w:tc>
          <w:tcPr>
            <w:tcW w:w="1440" w:type="dxa"/>
            <w:tcBorders>
              <w:top w:val="single" w:sz="8" w:space="0" w:color="auto"/>
              <w:left w:val="nil"/>
              <w:bottom w:val="single" w:sz="8" w:space="0" w:color="auto"/>
              <w:right w:val="single" w:sz="8" w:space="0" w:color="auto"/>
            </w:tcBorders>
            <w:shd w:val="clear" w:color="auto" w:fill="auto"/>
            <w:vAlign w:val="bottom"/>
          </w:tcPr>
          <w:p w14:paraId="7B39E01C" w14:textId="4BC3459A" w:rsidR="00531A13" w:rsidRPr="005C75BB" w:rsidRDefault="00531A13" w:rsidP="008D7D4F">
            <w:pPr>
              <w:spacing w:line="257" w:lineRule="auto"/>
              <w:jc w:val="right"/>
            </w:pPr>
            <w:r w:rsidRPr="005C75BB">
              <w:rPr>
                <w:rFonts w:ascii="Arial" w:eastAsia="Arial" w:hAnsi="Arial" w:cs="Arial"/>
                <w:color w:val="4472C4"/>
                <w:sz w:val="20"/>
              </w:rPr>
              <w:t xml:space="preserve">58,605,603 </w:t>
            </w:r>
          </w:p>
        </w:tc>
        <w:tc>
          <w:tcPr>
            <w:tcW w:w="1351" w:type="dxa"/>
            <w:tcBorders>
              <w:top w:val="single" w:sz="8" w:space="0" w:color="auto"/>
              <w:left w:val="nil"/>
              <w:bottom w:val="single" w:sz="8" w:space="0" w:color="auto"/>
              <w:right w:val="single" w:sz="8" w:space="0" w:color="auto"/>
            </w:tcBorders>
            <w:shd w:val="clear" w:color="auto" w:fill="auto"/>
            <w:vAlign w:val="bottom"/>
          </w:tcPr>
          <w:p w14:paraId="2D09E0A1" w14:textId="7058F92E" w:rsidR="00531A13" w:rsidRPr="005C75BB" w:rsidRDefault="00531A13" w:rsidP="008D7D4F">
            <w:pPr>
              <w:spacing w:line="257" w:lineRule="auto"/>
              <w:jc w:val="right"/>
            </w:pPr>
            <w:r w:rsidRPr="005C75BB">
              <w:rPr>
                <w:rFonts w:ascii="Arial" w:eastAsia="Arial" w:hAnsi="Arial" w:cs="Arial"/>
                <w:color w:val="4472C4"/>
                <w:sz w:val="20"/>
              </w:rPr>
              <w:t xml:space="preserve">103,012,941 </w:t>
            </w:r>
          </w:p>
        </w:tc>
      </w:tr>
      <w:tr w:rsidR="00263EF2" w14:paraId="0CB9C6A7"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1BD4EBEF" w14:textId="7828DA25" w:rsidR="00531A13" w:rsidRPr="005C75BB" w:rsidRDefault="00531A13" w:rsidP="7236A96A">
            <w:pPr>
              <w:spacing w:line="257" w:lineRule="auto"/>
              <w:rPr>
                <w:b/>
                <w:bCs/>
              </w:rPr>
            </w:pPr>
            <w:r w:rsidRPr="005C75BB">
              <w:rPr>
                <w:rFonts w:ascii="Arial" w:eastAsia="Arial" w:hAnsi="Arial" w:cs="Arial"/>
                <w:b/>
                <w:bCs/>
                <w:color w:val="4472C4"/>
                <w:sz w:val="20"/>
              </w:rPr>
              <w:t>% of 2019 Baseline</w:t>
            </w:r>
          </w:p>
        </w:tc>
        <w:tc>
          <w:tcPr>
            <w:tcW w:w="1350" w:type="dxa"/>
            <w:vMerge/>
            <w:tcBorders>
              <w:left w:val="single" w:sz="0" w:space="0" w:color="auto"/>
              <w:right w:val="single" w:sz="0" w:space="0" w:color="auto"/>
            </w:tcBorders>
            <w:shd w:val="clear" w:color="auto" w:fill="auto"/>
            <w:vAlign w:val="center"/>
          </w:tcPr>
          <w:p w14:paraId="02354203" w14:textId="77777777" w:rsidR="00531A13" w:rsidRPr="005C75BB" w:rsidRDefault="00531A13" w:rsidP="008D7D4F">
            <w:pPr>
              <w:jc w:val="right"/>
            </w:pPr>
          </w:p>
        </w:tc>
        <w:tc>
          <w:tcPr>
            <w:tcW w:w="1278" w:type="dxa"/>
            <w:vMerge/>
            <w:tcBorders>
              <w:left w:val="single" w:sz="0" w:space="0" w:color="auto"/>
              <w:right w:val="single" w:sz="0" w:space="0" w:color="auto"/>
            </w:tcBorders>
            <w:shd w:val="clear" w:color="auto" w:fill="auto"/>
            <w:vAlign w:val="center"/>
          </w:tcPr>
          <w:p w14:paraId="1DC7C4FD" w14:textId="77777777" w:rsidR="00531A13" w:rsidRPr="005C75BB" w:rsidRDefault="00531A13" w:rsidP="008D7D4F">
            <w:pPr>
              <w:jc w:val="right"/>
            </w:pPr>
          </w:p>
        </w:tc>
        <w:tc>
          <w:tcPr>
            <w:tcW w:w="1422" w:type="dxa"/>
            <w:tcBorders>
              <w:top w:val="single" w:sz="8" w:space="0" w:color="auto"/>
              <w:left w:val="nil"/>
              <w:bottom w:val="single" w:sz="8" w:space="0" w:color="auto"/>
              <w:right w:val="single" w:sz="8" w:space="0" w:color="auto"/>
            </w:tcBorders>
            <w:shd w:val="clear" w:color="auto" w:fill="auto"/>
            <w:vAlign w:val="bottom"/>
          </w:tcPr>
          <w:p w14:paraId="012EE6B3" w14:textId="50484CD6" w:rsidR="00531A13" w:rsidRPr="005C75BB" w:rsidRDefault="00531A13" w:rsidP="008D7D4F">
            <w:pPr>
              <w:spacing w:line="257" w:lineRule="auto"/>
              <w:jc w:val="right"/>
            </w:pPr>
            <w:r w:rsidRPr="005C75BB">
              <w:rPr>
                <w:rFonts w:ascii="Arial" w:eastAsia="Arial" w:hAnsi="Arial" w:cs="Arial"/>
                <w:color w:val="4472C4"/>
                <w:sz w:val="20"/>
              </w:rPr>
              <w:t>37%</w:t>
            </w:r>
          </w:p>
        </w:tc>
        <w:tc>
          <w:tcPr>
            <w:tcW w:w="1440" w:type="dxa"/>
            <w:tcBorders>
              <w:top w:val="single" w:sz="8" w:space="0" w:color="auto"/>
              <w:left w:val="nil"/>
              <w:bottom w:val="single" w:sz="8" w:space="0" w:color="auto"/>
              <w:right w:val="single" w:sz="8" w:space="0" w:color="auto"/>
            </w:tcBorders>
            <w:shd w:val="clear" w:color="auto" w:fill="auto"/>
            <w:vAlign w:val="bottom"/>
          </w:tcPr>
          <w:p w14:paraId="489EB0A1" w14:textId="0736B12D" w:rsidR="00531A13" w:rsidRPr="005C75BB" w:rsidRDefault="00531A13" w:rsidP="008D7D4F">
            <w:pPr>
              <w:spacing w:line="257" w:lineRule="auto"/>
              <w:jc w:val="right"/>
            </w:pPr>
            <w:r w:rsidRPr="005C75BB">
              <w:rPr>
                <w:rFonts w:ascii="Arial" w:eastAsia="Arial" w:hAnsi="Arial" w:cs="Arial"/>
                <w:color w:val="4472C4"/>
                <w:sz w:val="20"/>
              </w:rPr>
              <w:t>48%</w:t>
            </w:r>
          </w:p>
        </w:tc>
        <w:tc>
          <w:tcPr>
            <w:tcW w:w="1351" w:type="dxa"/>
            <w:tcBorders>
              <w:top w:val="single" w:sz="8" w:space="0" w:color="auto"/>
              <w:left w:val="nil"/>
              <w:bottom w:val="single" w:sz="8" w:space="0" w:color="auto"/>
              <w:right w:val="single" w:sz="8" w:space="0" w:color="auto"/>
            </w:tcBorders>
            <w:shd w:val="clear" w:color="auto" w:fill="auto"/>
            <w:vAlign w:val="bottom"/>
          </w:tcPr>
          <w:p w14:paraId="0927439B" w14:textId="241E292A" w:rsidR="00531A13" w:rsidRPr="005C75BB" w:rsidRDefault="00531A13" w:rsidP="008D7D4F">
            <w:pPr>
              <w:spacing w:line="257" w:lineRule="auto"/>
              <w:jc w:val="right"/>
            </w:pPr>
            <w:r w:rsidRPr="005C75BB">
              <w:rPr>
                <w:rFonts w:ascii="Arial" w:eastAsia="Arial" w:hAnsi="Arial" w:cs="Arial"/>
                <w:color w:val="4472C4"/>
                <w:sz w:val="20"/>
              </w:rPr>
              <w:t xml:space="preserve"> </w:t>
            </w:r>
          </w:p>
        </w:tc>
      </w:tr>
      <w:tr w:rsidR="00366ED6" w14:paraId="6D979CF4"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169E45BC" w14:textId="6CA11098" w:rsidR="00531A13" w:rsidRPr="005C75BB" w:rsidRDefault="00531A13" w:rsidP="7236A96A">
            <w:pPr>
              <w:spacing w:line="257" w:lineRule="auto"/>
            </w:pPr>
            <w:r w:rsidRPr="005C75BB">
              <w:rPr>
                <w:rFonts w:ascii="Arial" w:eastAsia="Arial" w:hAnsi="Arial" w:cs="Arial"/>
                <w:color w:val="4472C4"/>
                <w:sz w:val="20"/>
              </w:rPr>
              <w:t xml:space="preserve"> </w:t>
            </w:r>
          </w:p>
        </w:tc>
        <w:tc>
          <w:tcPr>
            <w:tcW w:w="1350" w:type="dxa"/>
            <w:vMerge/>
            <w:tcBorders>
              <w:left w:val="single" w:sz="0" w:space="0" w:color="auto"/>
              <w:right w:val="single" w:sz="0" w:space="0" w:color="auto"/>
            </w:tcBorders>
            <w:shd w:val="clear" w:color="auto" w:fill="auto"/>
            <w:vAlign w:val="center"/>
          </w:tcPr>
          <w:p w14:paraId="024080CB" w14:textId="77777777" w:rsidR="00531A13" w:rsidRPr="005C75BB" w:rsidRDefault="00531A13" w:rsidP="008D7D4F">
            <w:pPr>
              <w:jc w:val="right"/>
            </w:pPr>
          </w:p>
        </w:tc>
        <w:tc>
          <w:tcPr>
            <w:tcW w:w="1278" w:type="dxa"/>
            <w:vMerge/>
            <w:tcBorders>
              <w:left w:val="single" w:sz="0" w:space="0" w:color="auto"/>
              <w:right w:val="single" w:sz="2" w:space="0" w:color="auto"/>
            </w:tcBorders>
            <w:shd w:val="clear" w:color="auto" w:fill="auto"/>
            <w:vAlign w:val="center"/>
          </w:tcPr>
          <w:p w14:paraId="600F0EA8" w14:textId="77777777" w:rsidR="00531A13" w:rsidRPr="005C75BB" w:rsidRDefault="00531A13" w:rsidP="008D7D4F">
            <w:pPr>
              <w:jc w:val="right"/>
            </w:pPr>
          </w:p>
        </w:tc>
        <w:tc>
          <w:tcPr>
            <w:tcW w:w="1422" w:type="dxa"/>
            <w:tcBorders>
              <w:top w:val="single" w:sz="8" w:space="0" w:color="auto"/>
              <w:left w:val="single" w:sz="2" w:space="0" w:color="auto"/>
              <w:bottom w:val="single" w:sz="8" w:space="0" w:color="auto"/>
            </w:tcBorders>
            <w:shd w:val="clear" w:color="auto" w:fill="auto"/>
            <w:vAlign w:val="bottom"/>
          </w:tcPr>
          <w:p w14:paraId="33382674" w14:textId="03AC94C2" w:rsidR="00531A13" w:rsidRPr="005C75BB" w:rsidRDefault="00531A13" w:rsidP="008D7D4F">
            <w:pPr>
              <w:spacing w:line="257" w:lineRule="auto"/>
              <w:jc w:val="right"/>
            </w:pPr>
            <w:r w:rsidRPr="005C75BB">
              <w:rPr>
                <w:rFonts w:ascii="Arial" w:eastAsia="Arial" w:hAnsi="Arial" w:cs="Arial"/>
                <w:color w:val="4472C4"/>
                <w:sz w:val="20"/>
              </w:rPr>
              <w:t xml:space="preserve"> </w:t>
            </w:r>
          </w:p>
        </w:tc>
        <w:tc>
          <w:tcPr>
            <w:tcW w:w="1440" w:type="dxa"/>
            <w:tcBorders>
              <w:top w:val="single" w:sz="8" w:space="0" w:color="auto"/>
              <w:bottom w:val="single" w:sz="8" w:space="0" w:color="auto"/>
            </w:tcBorders>
            <w:shd w:val="clear" w:color="auto" w:fill="auto"/>
            <w:vAlign w:val="bottom"/>
          </w:tcPr>
          <w:p w14:paraId="19C9F076" w14:textId="406D71D1" w:rsidR="00531A13" w:rsidRPr="005C75BB" w:rsidRDefault="00531A13" w:rsidP="008D7D4F">
            <w:pPr>
              <w:spacing w:line="257" w:lineRule="auto"/>
              <w:jc w:val="right"/>
            </w:pPr>
            <w:r w:rsidRPr="005C75BB">
              <w:rPr>
                <w:rFonts w:ascii="Arial" w:eastAsia="Arial" w:hAnsi="Arial" w:cs="Arial"/>
                <w:color w:val="4472C4"/>
                <w:sz w:val="20"/>
              </w:rPr>
              <w:t xml:space="preserve"> </w:t>
            </w:r>
          </w:p>
        </w:tc>
        <w:tc>
          <w:tcPr>
            <w:tcW w:w="1351" w:type="dxa"/>
            <w:tcBorders>
              <w:top w:val="single" w:sz="8" w:space="0" w:color="auto"/>
              <w:bottom w:val="single" w:sz="8" w:space="0" w:color="auto"/>
              <w:right w:val="single" w:sz="8" w:space="0" w:color="auto"/>
            </w:tcBorders>
            <w:shd w:val="clear" w:color="auto" w:fill="auto"/>
            <w:vAlign w:val="bottom"/>
          </w:tcPr>
          <w:p w14:paraId="35B2A946" w14:textId="043B2256" w:rsidR="00531A13" w:rsidRPr="005C75BB" w:rsidRDefault="00531A13" w:rsidP="008D7D4F">
            <w:pPr>
              <w:spacing w:line="257" w:lineRule="auto"/>
              <w:jc w:val="right"/>
            </w:pPr>
            <w:r w:rsidRPr="005C75BB">
              <w:rPr>
                <w:rFonts w:ascii="Arial" w:eastAsia="Arial" w:hAnsi="Arial" w:cs="Arial"/>
                <w:color w:val="4472C4"/>
                <w:sz w:val="20"/>
              </w:rPr>
              <w:t xml:space="preserve"> </w:t>
            </w:r>
          </w:p>
        </w:tc>
      </w:tr>
      <w:tr w:rsidR="00263EF2" w14:paraId="014C52C1"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08676BC7" w14:textId="79A4A44E" w:rsidR="00531A13" w:rsidRPr="00631182" w:rsidRDefault="00531A13" w:rsidP="7236A96A">
            <w:pPr>
              <w:spacing w:line="257" w:lineRule="auto"/>
              <w:rPr>
                <w:b/>
                <w:bCs/>
              </w:rPr>
            </w:pPr>
            <w:r w:rsidRPr="00631182">
              <w:rPr>
                <w:rFonts w:ascii="Arial" w:eastAsia="Arial" w:hAnsi="Arial" w:cs="Arial"/>
                <w:b/>
                <w:bCs/>
                <w:color w:val="4472C4"/>
                <w:sz w:val="20"/>
              </w:rPr>
              <w:t>21-22 Budget Model</w:t>
            </w:r>
          </w:p>
        </w:tc>
        <w:tc>
          <w:tcPr>
            <w:tcW w:w="1350" w:type="dxa"/>
            <w:vMerge/>
            <w:tcBorders>
              <w:left w:val="single" w:sz="0" w:space="0" w:color="auto"/>
              <w:right w:val="single" w:sz="0" w:space="0" w:color="auto"/>
            </w:tcBorders>
            <w:shd w:val="clear" w:color="auto" w:fill="auto"/>
            <w:vAlign w:val="center"/>
          </w:tcPr>
          <w:p w14:paraId="3070D643" w14:textId="77777777" w:rsidR="00531A13" w:rsidRPr="005C75BB" w:rsidRDefault="00531A13" w:rsidP="008D7D4F">
            <w:pPr>
              <w:jc w:val="right"/>
            </w:pPr>
          </w:p>
        </w:tc>
        <w:tc>
          <w:tcPr>
            <w:tcW w:w="1278" w:type="dxa"/>
            <w:vMerge/>
            <w:tcBorders>
              <w:left w:val="single" w:sz="0" w:space="0" w:color="auto"/>
              <w:right w:val="single" w:sz="0" w:space="0" w:color="auto"/>
            </w:tcBorders>
            <w:shd w:val="clear" w:color="auto" w:fill="auto"/>
            <w:vAlign w:val="center"/>
          </w:tcPr>
          <w:p w14:paraId="1E1E8D18" w14:textId="77777777" w:rsidR="00531A13" w:rsidRPr="005C75BB" w:rsidRDefault="00531A13" w:rsidP="008D7D4F">
            <w:pPr>
              <w:jc w:val="right"/>
            </w:pPr>
          </w:p>
        </w:tc>
        <w:tc>
          <w:tcPr>
            <w:tcW w:w="1422" w:type="dxa"/>
            <w:tcBorders>
              <w:top w:val="single" w:sz="8" w:space="0" w:color="auto"/>
              <w:left w:val="nil"/>
              <w:bottom w:val="single" w:sz="8" w:space="0" w:color="auto"/>
              <w:right w:val="single" w:sz="8" w:space="0" w:color="auto"/>
            </w:tcBorders>
            <w:shd w:val="clear" w:color="auto" w:fill="auto"/>
            <w:vAlign w:val="bottom"/>
          </w:tcPr>
          <w:p w14:paraId="007336E6" w14:textId="5C48F426" w:rsidR="00531A13" w:rsidRPr="005C75BB" w:rsidRDefault="00531A13" w:rsidP="008D7D4F">
            <w:pPr>
              <w:spacing w:line="257" w:lineRule="auto"/>
              <w:jc w:val="right"/>
            </w:pPr>
            <w:r w:rsidRPr="005C75BB">
              <w:rPr>
                <w:rFonts w:ascii="Arial" w:eastAsia="Arial" w:hAnsi="Arial" w:cs="Arial"/>
                <w:color w:val="4472C4"/>
                <w:sz w:val="20"/>
              </w:rPr>
              <w:t xml:space="preserve">62,743,867 </w:t>
            </w:r>
          </w:p>
        </w:tc>
        <w:tc>
          <w:tcPr>
            <w:tcW w:w="1440" w:type="dxa"/>
            <w:tcBorders>
              <w:top w:val="single" w:sz="8" w:space="0" w:color="auto"/>
              <w:left w:val="nil"/>
              <w:bottom w:val="single" w:sz="8" w:space="0" w:color="auto"/>
              <w:right w:val="single" w:sz="8" w:space="0" w:color="auto"/>
            </w:tcBorders>
            <w:shd w:val="clear" w:color="auto" w:fill="auto"/>
            <w:vAlign w:val="bottom"/>
          </w:tcPr>
          <w:p w14:paraId="7E65A009" w14:textId="49C508A5" w:rsidR="00531A13" w:rsidRPr="005C75BB" w:rsidRDefault="00531A13" w:rsidP="008D7D4F">
            <w:pPr>
              <w:spacing w:line="257" w:lineRule="auto"/>
              <w:jc w:val="right"/>
            </w:pPr>
            <w:r w:rsidRPr="005C75BB">
              <w:rPr>
                <w:rFonts w:ascii="Arial" w:eastAsia="Arial" w:hAnsi="Arial" w:cs="Arial"/>
                <w:color w:val="4472C4"/>
                <w:sz w:val="20"/>
              </w:rPr>
              <w:t xml:space="preserve">75,837,514 </w:t>
            </w:r>
          </w:p>
        </w:tc>
        <w:tc>
          <w:tcPr>
            <w:tcW w:w="1351" w:type="dxa"/>
            <w:tcBorders>
              <w:top w:val="single" w:sz="8" w:space="0" w:color="auto"/>
              <w:left w:val="nil"/>
              <w:bottom w:val="single" w:sz="8" w:space="0" w:color="auto"/>
              <w:right w:val="single" w:sz="8" w:space="0" w:color="auto"/>
            </w:tcBorders>
            <w:shd w:val="clear" w:color="auto" w:fill="auto"/>
            <w:vAlign w:val="bottom"/>
          </w:tcPr>
          <w:p w14:paraId="56B2D605" w14:textId="4D9705A1" w:rsidR="00531A13" w:rsidRPr="005C75BB" w:rsidRDefault="00531A13" w:rsidP="008D7D4F">
            <w:pPr>
              <w:spacing w:line="257" w:lineRule="auto"/>
              <w:jc w:val="right"/>
            </w:pPr>
            <w:r w:rsidRPr="005C75BB">
              <w:rPr>
                <w:rFonts w:ascii="Arial" w:eastAsia="Arial" w:hAnsi="Arial" w:cs="Arial"/>
                <w:color w:val="4472C4"/>
                <w:sz w:val="20"/>
              </w:rPr>
              <w:t xml:space="preserve">138,581,381 </w:t>
            </w:r>
          </w:p>
        </w:tc>
      </w:tr>
      <w:tr w:rsidR="00270282" w14:paraId="1C114EE2"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39111275" w14:textId="48325469" w:rsidR="00531A13" w:rsidRPr="00631182" w:rsidRDefault="00531A13" w:rsidP="7236A96A">
            <w:pPr>
              <w:spacing w:line="257" w:lineRule="auto"/>
              <w:rPr>
                <w:b/>
                <w:bCs/>
              </w:rPr>
            </w:pPr>
            <w:r w:rsidRPr="00631182">
              <w:rPr>
                <w:rFonts w:ascii="Arial" w:eastAsia="Arial" w:hAnsi="Arial" w:cs="Arial"/>
                <w:b/>
                <w:bCs/>
                <w:color w:val="4472C4"/>
                <w:sz w:val="20"/>
              </w:rPr>
              <w:t>% of 2019 Baseline</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14:paraId="1B8285E0" w14:textId="10E766AF" w:rsidR="00531A13" w:rsidRPr="005C75BB" w:rsidRDefault="00531A13" w:rsidP="008D7D4F">
            <w:pPr>
              <w:spacing w:line="257" w:lineRule="auto"/>
              <w:jc w:val="right"/>
            </w:pPr>
            <w:r w:rsidRPr="005C75BB">
              <w:rPr>
                <w:rFonts w:ascii="Arial" w:eastAsia="Arial" w:hAnsi="Arial" w:cs="Arial"/>
                <w:color w:val="4472C4"/>
                <w:sz w:val="20"/>
              </w:rPr>
              <w:t xml:space="preserve"> </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center"/>
          </w:tcPr>
          <w:p w14:paraId="47A5BD7A" w14:textId="71555D1B" w:rsidR="00531A13" w:rsidRPr="005C75BB" w:rsidRDefault="00531A13" w:rsidP="008D7D4F">
            <w:pPr>
              <w:spacing w:line="257" w:lineRule="auto"/>
              <w:jc w:val="right"/>
            </w:pPr>
            <w:r w:rsidRPr="005C75BB">
              <w:rPr>
                <w:rFonts w:ascii="Arial" w:eastAsia="Arial" w:hAnsi="Arial" w:cs="Arial"/>
                <w:color w:val="4472C4"/>
                <w:sz w:val="20"/>
              </w:rPr>
              <w:t>47%</w:t>
            </w: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4CEF62F9" w14:textId="2D7273EC" w:rsidR="00531A13" w:rsidRPr="005C75BB" w:rsidRDefault="00531A13" w:rsidP="008D7D4F">
            <w:pPr>
              <w:spacing w:line="257" w:lineRule="auto"/>
              <w:jc w:val="right"/>
            </w:pPr>
            <w:r w:rsidRPr="005C75BB">
              <w:rPr>
                <w:rFonts w:ascii="Arial" w:eastAsia="Arial" w:hAnsi="Arial" w:cs="Arial"/>
                <w:color w:val="4472C4"/>
                <w:sz w:val="20"/>
              </w:rPr>
              <w:t>52%</w:t>
            </w:r>
          </w:p>
        </w:tc>
        <w:tc>
          <w:tcPr>
            <w:tcW w:w="1440" w:type="dxa"/>
            <w:tcBorders>
              <w:top w:val="single" w:sz="8" w:space="0" w:color="auto"/>
              <w:left w:val="nil"/>
              <w:bottom w:val="single" w:sz="8" w:space="0" w:color="auto"/>
              <w:right w:val="single" w:sz="8" w:space="0" w:color="auto"/>
            </w:tcBorders>
            <w:shd w:val="clear" w:color="auto" w:fill="auto"/>
            <w:vAlign w:val="bottom"/>
          </w:tcPr>
          <w:p w14:paraId="04C10D9E" w14:textId="3D5EE18F" w:rsidR="00531A13" w:rsidRPr="005C75BB" w:rsidRDefault="00531A13" w:rsidP="008D7D4F">
            <w:pPr>
              <w:spacing w:line="257" w:lineRule="auto"/>
              <w:jc w:val="right"/>
            </w:pPr>
            <w:r w:rsidRPr="005C75BB">
              <w:rPr>
                <w:rFonts w:ascii="Arial" w:eastAsia="Arial" w:hAnsi="Arial" w:cs="Arial"/>
                <w:color w:val="4472C4"/>
                <w:sz w:val="20"/>
              </w:rPr>
              <w:t>63%</w:t>
            </w:r>
          </w:p>
        </w:tc>
        <w:tc>
          <w:tcPr>
            <w:tcW w:w="1351" w:type="dxa"/>
            <w:tcBorders>
              <w:top w:val="single" w:sz="8" w:space="0" w:color="auto"/>
              <w:left w:val="nil"/>
              <w:bottom w:val="single" w:sz="8" w:space="0" w:color="auto"/>
              <w:right w:val="single" w:sz="8" w:space="0" w:color="auto"/>
            </w:tcBorders>
            <w:shd w:val="clear" w:color="auto" w:fill="auto"/>
            <w:vAlign w:val="bottom"/>
          </w:tcPr>
          <w:p w14:paraId="2BB19DE6" w14:textId="658D9463" w:rsidR="00531A13" w:rsidRPr="005C75BB" w:rsidRDefault="00531A13" w:rsidP="008D7D4F">
            <w:pPr>
              <w:spacing w:line="257" w:lineRule="auto"/>
              <w:jc w:val="right"/>
            </w:pPr>
            <w:r w:rsidRPr="005C75BB">
              <w:rPr>
                <w:rFonts w:ascii="Arial" w:eastAsia="Arial" w:hAnsi="Arial" w:cs="Arial"/>
                <w:color w:val="4472C4"/>
                <w:sz w:val="20"/>
              </w:rPr>
              <w:t xml:space="preserve"> </w:t>
            </w:r>
          </w:p>
        </w:tc>
      </w:tr>
      <w:tr w:rsidR="00531A13" w14:paraId="7FBEB7C5"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15A900A6" w14:textId="76837BF6" w:rsidR="00531A13" w:rsidRPr="00114FCD" w:rsidRDefault="00531A13" w:rsidP="7236A96A">
            <w:pPr>
              <w:spacing w:line="257" w:lineRule="auto"/>
              <w:rPr>
                <w:b/>
                <w:bCs/>
              </w:rPr>
            </w:pPr>
            <w:r w:rsidRPr="00114FCD">
              <w:rPr>
                <w:rFonts w:ascii="Arial" w:eastAsia="Arial" w:hAnsi="Arial" w:cs="Arial"/>
                <w:b/>
                <w:bCs/>
                <w:color w:val="4472C4"/>
                <w:sz w:val="20"/>
              </w:rPr>
              <w:t>Variance</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0CC320B3" w14:textId="1F3E86F2" w:rsidR="00531A13" w:rsidRPr="005C75BB" w:rsidRDefault="00531A13" w:rsidP="008D7D4F">
            <w:pPr>
              <w:spacing w:line="257" w:lineRule="auto"/>
              <w:jc w:val="right"/>
            </w:pPr>
            <w:r w:rsidRPr="005C75BB">
              <w:rPr>
                <w:rFonts w:ascii="Arial" w:eastAsia="Arial" w:hAnsi="Arial" w:cs="Arial"/>
                <w:color w:val="4472C4"/>
                <w:sz w:val="20"/>
              </w:rPr>
              <w:t xml:space="preserve"> </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bottom"/>
          </w:tcPr>
          <w:p w14:paraId="0655DBEC" w14:textId="1AF633EB" w:rsidR="00531A13" w:rsidRPr="005C75BB" w:rsidRDefault="00531A13" w:rsidP="008D7D4F">
            <w:pPr>
              <w:spacing w:line="257" w:lineRule="auto"/>
              <w:jc w:val="right"/>
            </w:pPr>
            <w:r w:rsidRPr="005C75BB">
              <w:rPr>
                <w:rFonts w:ascii="Arial" w:eastAsia="Arial" w:hAnsi="Arial" w:cs="Arial"/>
                <w:color w:val="4472C4"/>
                <w:sz w:val="20"/>
              </w:rPr>
              <w:t xml:space="preserve"> </w:t>
            </w: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49F66B34" w14:textId="2E834E7C" w:rsidR="00531A13" w:rsidRPr="00D95A0B" w:rsidRDefault="00531A13" w:rsidP="00D95A0B">
            <w:pPr>
              <w:spacing w:line="257" w:lineRule="auto"/>
              <w:jc w:val="right"/>
              <w:rPr>
                <w:color w:val="C00000"/>
              </w:rPr>
            </w:pPr>
            <w:r w:rsidRPr="00D95A0B">
              <w:rPr>
                <w:rFonts w:ascii="Arial" w:eastAsia="Arial" w:hAnsi="Arial" w:cs="Arial"/>
                <w:color w:val="C00000"/>
                <w:sz w:val="20"/>
              </w:rPr>
              <w:t>(18,336,529)</w:t>
            </w:r>
          </w:p>
        </w:tc>
        <w:tc>
          <w:tcPr>
            <w:tcW w:w="1440" w:type="dxa"/>
            <w:tcBorders>
              <w:top w:val="single" w:sz="8" w:space="0" w:color="auto"/>
              <w:left w:val="nil"/>
              <w:bottom w:val="single" w:sz="8" w:space="0" w:color="auto"/>
              <w:right w:val="single" w:sz="8" w:space="0" w:color="auto"/>
            </w:tcBorders>
            <w:shd w:val="clear" w:color="auto" w:fill="auto"/>
            <w:vAlign w:val="bottom"/>
          </w:tcPr>
          <w:p w14:paraId="180B2B14" w14:textId="28235E83" w:rsidR="00531A13" w:rsidRPr="00D95A0B" w:rsidRDefault="00531A13" w:rsidP="00D95A0B">
            <w:pPr>
              <w:spacing w:line="257" w:lineRule="auto"/>
              <w:jc w:val="right"/>
              <w:rPr>
                <w:color w:val="C00000"/>
              </w:rPr>
            </w:pPr>
            <w:r w:rsidRPr="00D95A0B">
              <w:rPr>
                <w:rFonts w:ascii="Arial" w:eastAsia="Arial" w:hAnsi="Arial" w:cs="Arial"/>
                <w:color w:val="C00000"/>
                <w:sz w:val="20"/>
              </w:rPr>
              <w:t>(17,231,912)</w:t>
            </w:r>
          </w:p>
        </w:tc>
        <w:tc>
          <w:tcPr>
            <w:tcW w:w="1351" w:type="dxa"/>
            <w:tcBorders>
              <w:top w:val="single" w:sz="8" w:space="0" w:color="auto"/>
              <w:left w:val="nil"/>
              <w:bottom w:val="single" w:sz="8" w:space="0" w:color="auto"/>
              <w:right w:val="single" w:sz="8" w:space="0" w:color="auto"/>
            </w:tcBorders>
            <w:shd w:val="clear" w:color="auto" w:fill="auto"/>
            <w:vAlign w:val="bottom"/>
          </w:tcPr>
          <w:p w14:paraId="3D77CD00" w14:textId="26F8EFDF" w:rsidR="00531A13" w:rsidRPr="00D95A0B" w:rsidRDefault="00531A13" w:rsidP="00D95A0B">
            <w:pPr>
              <w:spacing w:line="257" w:lineRule="auto"/>
              <w:jc w:val="right"/>
              <w:rPr>
                <w:color w:val="C00000"/>
              </w:rPr>
            </w:pPr>
            <w:r w:rsidRPr="00D95A0B">
              <w:rPr>
                <w:rFonts w:ascii="Arial" w:eastAsia="Arial" w:hAnsi="Arial" w:cs="Arial"/>
                <w:color w:val="C00000"/>
                <w:sz w:val="20"/>
              </w:rPr>
              <w:t>(35,568,441)</w:t>
            </w:r>
          </w:p>
        </w:tc>
      </w:tr>
      <w:tr w:rsidR="00531A13" w14:paraId="6B705774" w14:textId="77777777" w:rsidTr="006B2F3A">
        <w:trPr>
          <w:trHeight w:val="300"/>
        </w:trPr>
        <w:tc>
          <w:tcPr>
            <w:tcW w:w="2700" w:type="dxa"/>
            <w:tcBorders>
              <w:top w:val="single" w:sz="8" w:space="0" w:color="auto"/>
            </w:tcBorders>
            <w:shd w:val="clear" w:color="auto" w:fill="auto"/>
            <w:vAlign w:val="bottom"/>
          </w:tcPr>
          <w:p w14:paraId="61243DF8" w14:textId="77777777" w:rsidR="00531A13" w:rsidRPr="005C75BB" w:rsidRDefault="00531A13" w:rsidP="7236A96A">
            <w:pPr>
              <w:spacing w:line="257" w:lineRule="auto"/>
              <w:rPr>
                <w:rFonts w:ascii="Arial" w:eastAsia="Arial" w:hAnsi="Arial" w:cs="Arial"/>
                <w:color w:val="4472C4"/>
                <w:sz w:val="20"/>
              </w:rPr>
            </w:pPr>
          </w:p>
        </w:tc>
        <w:tc>
          <w:tcPr>
            <w:tcW w:w="1350" w:type="dxa"/>
            <w:tcBorders>
              <w:top w:val="single" w:sz="8" w:space="0" w:color="auto"/>
            </w:tcBorders>
            <w:shd w:val="clear" w:color="auto" w:fill="auto"/>
            <w:vAlign w:val="bottom"/>
          </w:tcPr>
          <w:p w14:paraId="466A2E35" w14:textId="77777777" w:rsidR="00531A13" w:rsidRPr="005C75BB" w:rsidRDefault="00531A13" w:rsidP="008D7D4F">
            <w:pPr>
              <w:spacing w:line="257" w:lineRule="auto"/>
              <w:jc w:val="right"/>
              <w:rPr>
                <w:rFonts w:ascii="Arial" w:eastAsia="Arial" w:hAnsi="Arial" w:cs="Arial"/>
                <w:color w:val="4472C4"/>
                <w:sz w:val="20"/>
              </w:rPr>
            </w:pPr>
          </w:p>
        </w:tc>
        <w:tc>
          <w:tcPr>
            <w:tcW w:w="1278" w:type="dxa"/>
            <w:tcBorders>
              <w:top w:val="single" w:sz="8" w:space="0" w:color="auto"/>
            </w:tcBorders>
            <w:shd w:val="clear" w:color="auto" w:fill="auto"/>
            <w:vAlign w:val="bottom"/>
          </w:tcPr>
          <w:p w14:paraId="727B7C4B" w14:textId="77777777" w:rsidR="00531A13" w:rsidRPr="005C75BB" w:rsidRDefault="00531A13" w:rsidP="008D7D4F">
            <w:pPr>
              <w:spacing w:line="257" w:lineRule="auto"/>
              <w:jc w:val="right"/>
              <w:rPr>
                <w:rFonts w:ascii="Arial" w:eastAsia="Arial" w:hAnsi="Arial" w:cs="Arial"/>
                <w:color w:val="4472C4"/>
                <w:sz w:val="20"/>
              </w:rPr>
            </w:pPr>
          </w:p>
        </w:tc>
        <w:tc>
          <w:tcPr>
            <w:tcW w:w="1422" w:type="dxa"/>
            <w:tcBorders>
              <w:top w:val="single" w:sz="8" w:space="0" w:color="auto"/>
            </w:tcBorders>
            <w:shd w:val="clear" w:color="auto" w:fill="auto"/>
            <w:vAlign w:val="bottom"/>
          </w:tcPr>
          <w:p w14:paraId="065C4FAC" w14:textId="77777777" w:rsidR="00531A13" w:rsidRPr="005C75BB" w:rsidRDefault="00531A13" w:rsidP="008D7D4F">
            <w:pPr>
              <w:spacing w:line="257" w:lineRule="auto"/>
              <w:jc w:val="right"/>
              <w:rPr>
                <w:rFonts w:ascii="Arial" w:eastAsia="Arial" w:hAnsi="Arial" w:cs="Arial"/>
                <w:color w:val="4472C4"/>
                <w:sz w:val="20"/>
              </w:rPr>
            </w:pPr>
          </w:p>
        </w:tc>
        <w:tc>
          <w:tcPr>
            <w:tcW w:w="1440" w:type="dxa"/>
            <w:tcBorders>
              <w:top w:val="single" w:sz="8" w:space="0" w:color="auto"/>
            </w:tcBorders>
            <w:shd w:val="clear" w:color="auto" w:fill="auto"/>
            <w:vAlign w:val="bottom"/>
          </w:tcPr>
          <w:p w14:paraId="1E6927DE" w14:textId="77777777" w:rsidR="00531A13" w:rsidRPr="005C75BB" w:rsidRDefault="00531A13" w:rsidP="008D7D4F">
            <w:pPr>
              <w:spacing w:line="257" w:lineRule="auto"/>
              <w:jc w:val="right"/>
              <w:rPr>
                <w:rFonts w:ascii="Arial" w:eastAsia="Arial" w:hAnsi="Arial" w:cs="Arial"/>
                <w:color w:val="4472C4"/>
                <w:sz w:val="20"/>
              </w:rPr>
            </w:pPr>
          </w:p>
        </w:tc>
        <w:tc>
          <w:tcPr>
            <w:tcW w:w="1351" w:type="dxa"/>
            <w:tcBorders>
              <w:top w:val="single" w:sz="8" w:space="0" w:color="auto"/>
            </w:tcBorders>
            <w:shd w:val="clear" w:color="auto" w:fill="auto"/>
            <w:vAlign w:val="bottom"/>
          </w:tcPr>
          <w:p w14:paraId="432B33D5" w14:textId="77777777" w:rsidR="00531A13" w:rsidRPr="005C75BB" w:rsidRDefault="00531A13" w:rsidP="008D7D4F">
            <w:pPr>
              <w:spacing w:line="257" w:lineRule="auto"/>
              <w:jc w:val="right"/>
              <w:rPr>
                <w:rFonts w:ascii="Arial" w:eastAsia="Arial" w:hAnsi="Arial" w:cs="Arial"/>
                <w:color w:val="4472C4"/>
                <w:sz w:val="20"/>
              </w:rPr>
            </w:pPr>
          </w:p>
        </w:tc>
      </w:tr>
      <w:tr w:rsidR="006B2F3A" w14:paraId="2B876336" w14:textId="77777777" w:rsidTr="006B2F3A">
        <w:trPr>
          <w:trHeight w:val="738"/>
        </w:trPr>
        <w:tc>
          <w:tcPr>
            <w:tcW w:w="2700" w:type="dxa"/>
            <w:shd w:val="clear" w:color="auto" w:fill="auto"/>
            <w:vAlign w:val="bottom"/>
          </w:tcPr>
          <w:p w14:paraId="7237B74D" w14:textId="77777777" w:rsidR="006B2F3A" w:rsidRPr="005C75BB" w:rsidRDefault="006B2F3A" w:rsidP="7236A96A">
            <w:pPr>
              <w:spacing w:line="257" w:lineRule="auto"/>
              <w:rPr>
                <w:rFonts w:ascii="Arial" w:eastAsia="Arial" w:hAnsi="Arial" w:cs="Arial"/>
                <w:color w:val="4472C4"/>
                <w:sz w:val="20"/>
              </w:rPr>
            </w:pPr>
          </w:p>
        </w:tc>
        <w:tc>
          <w:tcPr>
            <w:tcW w:w="1350" w:type="dxa"/>
            <w:shd w:val="clear" w:color="auto" w:fill="auto"/>
            <w:vAlign w:val="bottom"/>
          </w:tcPr>
          <w:p w14:paraId="5E80003A" w14:textId="77777777" w:rsidR="006B2F3A" w:rsidRPr="005C75BB" w:rsidRDefault="006B2F3A" w:rsidP="008D7D4F">
            <w:pPr>
              <w:spacing w:line="257" w:lineRule="auto"/>
              <w:jc w:val="right"/>
              <w:rPr>
                <w:rFonts w:ascii="Arial" w:eastAsia="Arial" w:hAnsi="Arial" w:cs="Arial"/>
                <w:color w:val="4472C4"/>
                <w:sz w:val="20"/>
              </w:rPr>
            </w:pPr>
          </w:p>
        </w:tc>
        <w:tc>
          <w:tcPr>
            <w:tcW w:w="1278" w:type="dxa"/>
            <w:shd w:val="clear" w:color="auto" w:fill="auto"/>
            <w:vAlign w:val="bottom"/>
          </w:tcPr>
          <w:p w14:paraId="6F95A9A1" w14:textId="77777777" w:rsidR="006B2F3A" w:rsidRPr="005C75BB" w:rsidRDefault="006B2F3A" w:rsidP="008D7D4F">
            <w:pPr>
              <w:spacing w:line="257" w:lineRule="auto"/>
              <w:jc w:val="right"/>
              <w:rPr>
                <w:rFonts w:ascii="Arial" w:eastAsia="Arial" w:hAnsi="Arial" w:cs="Arial"/>
                <w:color w:val="4472C4"/>
                <w:sz w:val="20"/>
              </w:rPr>
            </w:pPr>
          </w:p>
        </w:tc>
        <w:tc>
          <w:tcPr>
            <w:tcW w:w="1422" w:type="dxa"/>
            <w:shd w:val="clear" w:color="auto" w:fill="auto"/>
            <w:vAlign w:val="bottom"/>
          </w:tcPr>
          <w:p w14:paraId="5B99694B" w14:textId="77777777" w:rsidR="006B2F3A" w:rsidRPr="005C75BB" w:rsidRDefault="006B2F3A" w:rsidP="008D7D4F">
            <w:pPr>
              <w:spacing w:line="257" w:lineRule="auto"/>
              <w:jc w:val="right"/>
              <w:rPr>
                <w:rFonts w:ascii="Arial" w:eastAsia="Arial" w:hAnsi="Arial" w:cs="Arial"/>
                <w:color w:val="4472C4"/>
                <w:sz w:val="20"/>
              </w:rPr>
            </w:pPr>
          </w:p>
        </w:tc>
        <w:tc>
          <w:tcPr>
            <w:tcW w:w="1440" w:type="dxa"/>
            <w:shd w:val="clear" w:color="auto" w:fill="auto"/>
            <w:vAlign w:val="bottom"/>
          </w:tcPr>
          <w:p w14:paraId="276939FD" w14:textId="77777777" w:rsidR="006B2F3A" w:rsidRPr="005C75BB" w:rsidRDefault="006B2F3A" w:rsidP="008D7D4F">
            <w:pPr>
              <w:spacing w:line="257" w:lineRule="auto"/>
              <w:jc w:val="right"/>
              <w:rPr>
                <w:rFonts w:ascii="Arial" w:eastAsia="Arial" w:hAnsi="Arial" w:cs="Arial"/>
                <w:color w:val="4472C4"/>
                <w:sz w:val="20"/>
              </w:rPr>
            </w:pPr>
          </w:p>
        </w:tc>
        <w:tc>
          <w:tcPr>
            <w:tcW w:w="1351" w:type="dxa"/>
            <w:shd w:val="clear" w:color="auto" w:fill="auto"/>
            <w:vAlign w:val="bottom"/>
          </w:tcPr>
          <w:p w14:paraId="0AE26D4A" w14:textId="77777777" w:rsidR="006B2F3A" w:rsidRPr="005C75BB" w:rsidRDefault="006B2F3A" w:rsidP="008D7D4F">
            <w:pPr>
              <w:spacing w:line="257" w:lineRule="auto"/>
              <w:jc w:val="right"/>
              <w:rPr>
                <w:rFonts w:ascii="Arial" w:eastAsia="Arial" w:hAnsi="Arial" w:cs="Arial"/>
                <w:color w:val="4472C4"/>
                <w:sz w:val="20"/>
              </w:rPr>
            </w:pPr>
          </w:p>
        </w:tc>
      </w:tr>
      <w:tr w:rsidR="006B2F3A" w14:paraId="47AF94A4" w14:textId="77777777" w:rsidTr="006B2F3A">
        <w:trPr>
          <w:trHeight w:val="300"/>
        </w:trPr>
        <w:tc>
          <w:tcPr>
            <w:tcW w:w="2700" w:type="dxa"/>
            <w:shd w:val="clear" w:color="auto" w:fill="auto"/>
            <w:vAlign w:val="bottom"/>
          </w:tcPr>
          <w:p w14:paraId="3231166B" w14:textId="77777777" w:rsidR="006B2F3A" w:rsidRPr="005C75BB" w:rsidRDefault="006B2F3A" w:rsidP="7236A96A">
            <w:pPr>
              <w:spacing w:line="257" w:lineRule="auto"/>
              <w:rPr>
                <w:rFonts w:ascii="Arial" w:eastAsia="Arial" w:hAnsi="Arial" w:cs="Arial"/>
                <w:color w:val="4472C4"/>
                <w:sz w:val="20"/>
              </w:rPr>
            </w:pPr>
          </w:p>
        </w:tc>
        <w:tc>
          <w:tcPr>
            <w:tcW w:w="1350" w:type="dxa"/>
            <w:shd w:val="clear" w:color="auto" w:fill="auto"/>
            <w:vAlign w:val="bottom"/>
          </w:tcPr>
          <w:p w14:paraId="2035CFC7" w14:textId="77777777" w:rsidR="006B2F3A" w:rsidRPr="005C75BB" w:rsidRDefault="006B2F3A" w:rsidP="008D7D4F">
            <w:pPr>
              <w:spacing w:line="257" w:lineRule="auto"/>
              <w:jc w:val="right"/>
              <w:rPr>
                <w:rFonts w:ascii="Arial" w:eastAsia="Arial" w:hAnsi="Arial" w:cs="Arial"/>
                <w:color w:val="4472C4"/>
                <w:sz w:val="20"/>
              </w:rPr>
            </w:pPr>
          </w:p>
        </w:tc>
        <w:tc>
          <w:tcPr>
            <w:tcW w:w="1278" w:type="dxa"/>
            <w:shd w:val="clear" w:color="auto" w:fill="auto"/>
            <w:vAlign w:val="bottom"/>
          </w:tcPr>
          <w:p w14:paraId="4B70D504" w14:textId="77777777" w:rsidR="006B2F3A" w:rsidRPr="005C75BB" w:rsidRDefault="006B2F3A" w:rsidP="008D7D4F">
            <w:pPr>
              <w:spacing w:line="257" w:lineRule="auto"/>
              <w:jc w:val="right"/>
              <w:rPr>
                <w:rFonts w:ascii="Arial" w:eastAsia="Arial" w:hAnsi="Arial" w:cs="Arial"/>
                <w:color w:val="4472C4"/>
                <w:sz w:val="20"/>
              </w:rPr>
            </w:pPr>
          </w:p>
        </w:tc>
        <w:tc>
          <w:tcPr>
            <w:tcW w:w="1422" w:type="dxa"/>
            <w:shd w:val="clear" w:color="auto" w:fill="auto"/>
            <w:vAlign w:val="bottom"/>
          </w:tcPr>
          <w:p w14:paraId="42A8DE7C" w14:textId="77777777" w:rsidR="006B2F3A" w:rsidRPr="005C75BB" w:rsidRDefault="006B2F3A" w:rsidP="008D7D4F">
            <w:pPr>
              <w:spacing w:line="257" w:lineRule="auto"/>
              <w:jc w:val="right"/>
              <w:rPr>
                <w:rFonts w:ascii="Arial" w:eastAsia="Arial" w:hAnsi="Arial" w:cs="Arial"/>
                <w:color w:val="4472C4"/>
                <w:sz w:val="20"/>
              </w:rPr>
            </w:pPr>
          </w:p>
        </w:tc>
        <w:tc>
          <w:tcPr>
            <w:tcW w:w="1440" w:type="dxa"/>
            <w:shd w:val="clear" w:color="auto" w:fill="auto"/>
            <w:vAlign w:val="bottom"/>
          </w:tcPr>
          <w:p w14:paraId="636C0154" w14:textId="77777777" w:rsidR="006B2F3A" w:rsidRPr="005C75BB" w:rsidRDefault="006B2F3A" w:rsidP="008D7D4F">
            <w:pPr>
              <w:spacing w:line="257" w:lineRule="auto"/>
              <w:jc w:val="right"/>
              <w:rPr>
                <w:rFonts w:ascii="Arial" w:eastAsia="Arial" w:hAnsi="Arial" w:cs="Arial"/>
                <w:color w:val="4472C4"/>
                <w:sz w:val="20"/>
              </w:rPr>
            </w:pPr>
          </w:p>
        </w:tc>
        <w:tc>
          <w:tcPr>
            <w:tcW w:w="1351" w:type="dxa"/>
            <w:shd w:val="clear" w:color="auto" w:fill="auto"/>
            <w:vAlign w:val="bottom"/>
          </w:tcPr>
          <w:p w14:paraId="417BDBE4" w14:textId="77777777" w:rsidR="006B2F3A" w:rsidRPr="005C75BB" w:rsidRDefault="006B2F3A" w:rsidP="008D7D4F">
            <w:pPr>
              <w:spacing w:line="257" w:lineRule="auto"/>
              <w:jc w:val="right"/>
              <w:rPr>
                <w:rFonts w:ascii="Arial" w:eastAsia="Arial" w:hAnsi="Arial" w:cs="Arial"/>
                <w:color w:val="4472C4"/>
                <w:sz w:val="20"/>
              </w:rPr>
            </w:pPr>
          </w:p>
        </w:tc>
      </w:tr>
      <w:tr w:rsidR="00531A13" w14:paraId="4278BA14" w14:textId="77777777" w:rsidTr="006B2F3A">
        <w:trPr>
          <w:trHeight w:val="300"/>
        </w:trPr>
        <w:tc>
          <w:tcPr>
            <w:tcW w:w="2700" w:type="dxa"/>
            <w:tcBorders>
              <w:bottom w:val="single" w:sz="4" w:space="0" w:color="auto"/>
            </w:tcBorders>
            <w:shd w:val="clear" w:color="auto" w:fill="auto"/>
            <w:vAlign w:val="bottom"/>
          </w:tcPr>
          <w:p w14:paraId="49C72E85" w14:textId="77777777" w:rsidR="00531A13" w:rsidRPr="005C75BB" w:rsidRDefault="00531A13" w:rsidP="7236A96A">
            <w:pPr>
              <w:spacing w:line="257" w:lineRule="auto"/>
              <w:rPr>
                <w:rFonts w:ascii="Arial" w:eastAsia="Arial" w:hAnsi="Arial" w:cs="Arial"/>
                <w:color w:val="4472C4"/>
                <w:sz w:val="20"/>
              </w:rPr>
            </w:pPr>
          </w:p>
        </w:tc>
        <w:tc>
          <w:tcPr>
            <w:tcW w:w="1350" w:type="dxa"/>
            <w:tcBorders>
              <w:bottom w:val="single" w:sz="4" w:space="0" w:color="auto"/>
            </w:tcBorders>
            <w:shd w:val="clear" w:color="auto" w:fill="auto"/>
            <w:vAlign w:val="bottom"/>
          </w:tcPr>
          <w:p w14:paraId="7950863F" w14:textId="77777777" w:rsidR="00531A13" w:rsidRPr="005C75BB" w:rsidRDefault="00531A13" w:rsidP="008D7D4F">
            <w:pPr>
              <w:spacing w:line="257" w:lineRule="auto"/>
              <w:jc w:val="right"/>
              <w:rPr>
                <w:rFonts w:ascii="Arial" w:eastAsia="Arial" w:hAnsi="Arial" w:cs="Arial"/>
                <w:color w:val="4472C4"/>
                <w:sz w:val="20"/>
              </w:rPr>
            </w:pPr>
          </w:p>
        </w:tc>
        <w:tc>
          <w:tcPr>
            <w:tcW w:w="1278" w:type="dxa"/>
            <w:tcBorders>
              <w:bottom w:val="single" w:sz="4" w:space="0" w:color="auto"/>
            </w:tcBorders>
            <w:shd w:val="clear" w:color="auto" w:fill="auto"/>
            <w:vAlign w:val="bottom"/>
          </w:tcPr>
          <w:p w14:paraId="213B083D" w14:textId="77777777" w:rsidR="00531A13" w:rsidRPr="005C75BB" w:rsidRDefault="00531A13" w:rsidP="008D7D4F">
            <w:pPr>
              <w:spacing w:line="257" w:lineRule="auto"/>
              <w:jc w:val="right"/>
              <w:rPr>
                <w:rFonts w:ascii="Arial" w:eastAsia="Arial" w:hAnsi="Arial" w:cs="Arial"/>
                <w:color w:val="4472C4"/>
                <w:sz w:val="20"/>
              </w:rPr>
            </w:pPr>
          </w:p>
        </w:tc>
        <w:tc>
          <w:tcPr>
            <w:tcW w:w="1422" w:type="dxa"/>
            <w:tcBorders>
              <w:bottom w:val="single" w:sz="4" w:space="0" w:color="auto"/>
            </w:tcBorders>
            <w:shd w:val="clear" w:color="auto" w:fill="auto"/>
            <w:vAlign w:val="bottom"/>
          </w:tcPr>
          <w:p w14:paraId="70B7CE9E" w14:textId="77777777" w:rsidR="00531A13" w:rsidRPr="005C75BB" w:rsidRDefault="00531A13" w:rsidP="008D7D4F">
            <w:pPr>
              <w:spacing w:line="257" w:lineRule="auto"/>
              <w:jc w:val="right"/>
              <w:rPr>
                <w:rFonts w:ascii="Arial" w:eastAsia="Arial" w:hAnsi="Arial" w:cs="Arial"/>
                <w:color w:val="4472C4"/>
                <w:sz w:val="20"/>
              </w:rPr>
            </w:pPr>
          </w:p>
        </w:tc>
        <w:tc>
          <w:tcPr>
            <w:tcW w:w="1440" w:type="dxa"/>
            <w:tcBorders>
              <w:bottom w:val="single" w:sz="4" w:space="0" w:color="auto"/>
            </w:tcBorders>
            <w:shd w:val="clear" w:color="auto" w:fill="auto"/>
            <w:vAlign w:val="bottom"/>
          </w:tcPr>
          <w:p w14:paraId="567E8805" w14:textId="77777777" w:rsidR="00531A13" w:rsidRPr="005C75BB" w:rsidRDefault="00531A13" w:rsidP="008D7D4F">
            <w:pPr>
              <w:spacing w:line="257" w:lineRule="auto"/>
              <w:jc w:val="right"/>
              <w:rPr>
                <w:rFonts w:ascii="Arial" w:eastAsia="Arial" w:hAnsi="Arial" w:cs="Arial"/>
                <w:color w:val="4472C4"/>
                <w:sz w:val="20"/>
              </w:rPr>
            </w:pPr>
          </w:p>
        </w:tc>
        <w:tc>
          <w:tcPr>
            <w:tcW w:w="1351" w:type="dxa"/>
            <w:tcBorders>
              <w:bottom w:val="single" w:sz="4" w:space="0" w:color="auto"/>
            </w:tcBorders>
            <w:shd w:val="clear" w:color="auto" w:fill="auto"/>
            <w:vAlign w:val="bottom"/>
          </w:tcPr>
          <w:p w14:paraId="4F351523" w14:textId="77777777" w:rsidR="00531A13" w:rsidRPr="005C75BB" w:rsidRDefault="00531A13" w:rsidP="008D7D4F">
            <w:pPr>
              <w:spacing w:line="257" w:lineRule="auto"/>
              <w:jc w:val="right"/>
              <w:rPr>
                <w:rFonts w:ascii="Arial" w:eastAsia="Arial" w:hAnsi="Arial" w:cs="Arial"/>
                <w:color w:val="4472C4"/>
                <w:sz w:val="20"/>
              </w:rPr>
            </w:pPr>
          </w:p>
        </w:tc>
      </w:tr>
      <w:tr w:rsidR="00263EF2" w14:paraId="39A4C2C6" w14:textId="77777777" w:rsidTr="006B2F3A">
        <w:trPr>
          <w:trHeight w:val="300"/>
        </w:trPr>
        <w:tc>
          <w:tcPr>
            <w:tcW w:w="2700"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center"/>
          </w:tcPr>
          <w:p w14:paraId="2170DFDD" w14:textId="0CF2AC00" w:rsidR="00531A13" w:rsidRPr="00114FCD" w:rsidRDefault="00531A13" w:rsidP="00114FCD">
            <w:pPr>
              <w:spacing w:line="257" w:lineRule="auto"/>
              <w:rPr>
                <w:rFonts w:ascii="Arial" w:eastAsia="Arial" w:hAnsi="Arial" w:cs="Arial"/>
                <w:b/>
                <w:bCs/>
                <w:color w:val="4472C4"/>
                <w:sz w:val="20"/>
              </w:rPr>
            </w:pPr>
            <w:r w:rsidRPr="00114FCD">
              <w:rPr>
                <w:rFonts w:ascii="Arial" w:eastAsia="Arial" w:hAnsi="Arial" w:cs="Arial"/>
                <w:b/>
                <w:bCs/>
                <w:color w:val="4472C4"/>
                <w:sz w:val="20"/>
              </w:rPr>
              <w:t>Farebox Recovery Rate</w:t>
            </w:r>
          </w:p>
        </w:tc>
        <w:tc>
          <w:tcPr>
            <w:tcW w:w="1350"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bottom"/>
          </w:tcPr>
          <w:p w14:paraId="0248EDA4" w14:textId="54BD3FF6" w:rsidR="00531A13" w:rsidRPr="00114FCD" w:rsidRDefault="00531A13" w:rsidP="00114FCD">
            <w:pPr>
              <w:spacing w:line="257" w:lineRule="auto"/>
              <w:jc w:val="center"/>
              <w:rPr>
                <w:rFonts w:ascii="Arial" w:eastAsia="Arial" w:hAnsi="Arial" w:cs="Arial"/>
                <w:b/>
                <w:bCs/>
                <w:color w:val="4472C4"/>
                <w:sz w:val="20"/>
              </w:rPr>
            </w:pPr>
            <w:r w:rsidRPr="00114FCD">
              <w:rPr>
                <w:rFonts w:ascii="Arial" w:eastAsia="Arial" w:hAnsi="Arial" w:cs="Arial"/>
                <w:b/>
                <w:bCs/>
                <w:color w:val="4472C4"/>
                <w:sz w:val="20"/>
              </w:rPr>
              <w:t xml:space="preserve">2019 </w:t>
            </w:r>
            <w:r w:rsidRPr="00114FCD">
              <w:rPr>
                <w:rFonts w:ascii="Arial" w:eastAsia="Arial" w:hAnsi="Arial" w:cs="Arial"/>
                <w:b/>
                <w:bCs/>
                <w:color w:val="4472C4"/>
                <w:sz w:val="20"/>
              </w:rPr>
              <w:lastRenderedPageBreak/>
              <w:t>Actuals</w:t>
            </w:r>
          </w:p>
        </w:tc>
        <w:tc>
          <w:tcPr>
            <w:tcW w:w="1278"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bottom"/>
          </w:tcPr>
          <w:p w14:paraId="42D16393" w14:textId="7B4B908A" w:rsidR="00531A13" w:rsidRPr="00114FCD" w:rsidRDefault="00531A13" w:rsidP="00114FCD">
            <w:pPr>
              <w:spacing w:line="257" w:lineRule="auto"/>
              <w:jc w:val="center"/>
              <w:rPr>
                <w:rFonts w:ascii="Arial" w:eastAsia="Arial" w:hAnsi="Arial" w:cs="Arial"/>
                <w:b/>
                <w:bCs/>
                <w:color w:val="4472C4"/>
                <w:sz w:val="20"/>
              </w:rPr>
            </w:pPr>
            <w:r w:rsidRPr="00114FCD">
              <w:rPr>
                <w:rFonts w:ascii="Arial" w:eastAsia="Arial" w:hAnsi="Arial" w:cs="Arial"/>
                <w:b/>
                <w:bCs/>
                <w:color w:val="4472C4"/>
                <w:sz w:val="20"/>
              </w:rPr>
              <w:lastRenderedPageBreak/>
              <w:t xml:space="preserve">2020 </w:t>
            </w:r>
            <w:r w:rsidRPr="00114FCD">
              <w:rPr>
                <w:rFonts w:ascii="Arial" w:eastAsia="Arial" w:hAnsi="Arial" w:cs="Arial"/>
                <w:b/>
                <w:bCs/>
                <w:color w:val="4472C4"/>
                <w:sz w:val="20"/>
              </w:rPr>
              <w:lastRenderedPageBreak/>
              <w:t>Actuals</w:t>
            </w:r>
          </w:p>
        </w:tc>
        <w:tc>
          <w:tcPr>
            <w:tcW w:w="1422" w:type="dxa"/>
            <w:tcBorders>
              <w:top w:val="single" w:sz="4" w:space="0" w:color="auto"/>
              <w:left w:val="single" w:sz="8" w:space="0" w:color="auto"/>
              <w:bottom w:val="single" w:sz="8" w:space="0" w:color="auto"/>
              <w:right w:val="single" w:sz="8" w:space="0" w:color="auto"/>
            </w:tcBorders>
            <w:shd w:val="clear" w:color="auto" w:fill="DBE5F1" w:themeFill="accent1" w:themeFillTint="33"/>
            <w:vAlign w:val="bottom"/>
          </w:tcPr>
          <w:p w14:paraId="1CF4E59C" w14:textId="77777777" w:rsidR="00531A13" w:rsidRPr="00114FCD" w:rsidRDefault="00531A13" w:rsidP="00114FCD">
            <w:pPr>
              <w:spacing w:line="257" w:lineRule="auto"/>
              <w:jc w:val="center"/>
              <w:rPr>
                <w:b/>
                <w:bCs/>
              </w:rPr>
            </w:pPr>
            <w:r w:rsidRPr="00114FCD">
              <w:rPr>
                <w:rFonts w:ascii="Arial" w:eastAsia="Arial" w:hAnsi="Arial" w:cs="Arial"/>
                <w:b/>
                <w:bCs/>
                <w:color w:val="4472C4"/>
                <w:sz w:val="20"/>
              </w:rPr>
              <w:lastRenderedPageBreak/>
              <w:t>2021</w:t>
            </w:r>
          </w:p>
          <w:p w14:paraId="75E5E4AE" w14:textId="7A1965AA" w:rsidR="00531A13" w:rsidRPr="00114FCD" w:rsidRDefault="00531A13" w:rsidP="00114FCD">
            <w:pPr>
              <w:spacing w:line="257" w:lineRule="auto"/>
              <w:jc w:val="center"/>
              <w:rPr>
                <w:rFonts w:ascii="Arial" w:eastAsia="Arial" w:hAnsi="Arial" w:cs="Arial"/>
                <w:b/>
                <w:bCs/>
                <w:color w:val="4472C4"/>
                <w:sz w:val="20"/>
              </w:rPr>
            </w:pPr>
            <w:r w:rsidRPr="00114FCD">
              <w:rPr>
                <w:rFonts w:ascii="Arial" w:eastAsia="Arial" w:hAnsi="Arial" w:cs="Arial"/>
                <w:b/>
                <w:bCs/>
                <w:color w:val="4472C4"/>
                <w:sz w:val="20"/>
              </w:rPr>
              <w:lastRenderedPageBreak/>
              <w:t>Projected</w:t>
            </w:r>
          </w:p>
        </w:tc>
        <w:tc>
          <w:tcPr>
            <w:tcW w:w="1440" w:type="dxa"/>
            <w:tcBorders>
              <w:top w:val="single" w:sz="4" w:space="0" w:color="auto"/>
              <w:left w:val="nil"/>
              <w:bottom w:val="single" w:sz="8" w:space="0" w:color="auto"/>
              <w:right w:val="single" w:sz="8" w:space="0" w:color="auto"/>
            </w:tcBorders>
            <w:shd w:val="clear" w:color="auto" w:fill="DBE5F1" w:themeFill="accent1" w:themeFillTint="33"/>
            <w:vAlign w:val="bottom"/>
          </w:tcPr>
          <w:p w14:paraId="3B5E1C5A" w14:textId="77777777" w:rsidR="00531A13" w:rsidRPr="00114FCD" w:rsidRDefault="00531A13" w:rsidP="00114FCD">
            <w:pPr>
              <w:spacing w:line="257" w:lineRule="auto"/>
              <w:jc w:val="center"/>
              <w:rPr>
                <w:b/>
                <w:bCs/>
              </w:rPr>
            </w:pPr>
            <w:r w:rsidRPr="00114FCD">
              <w:rPr>
                <w:rFonts w:ascii="Arial" w:eastAsia="Arial" w:hAnsi="Arial" w:cs="Arial"/>
                <w:b/>
                <w:bCs/>
                <w:color w:val="4472C4"/>
                <w:sz w:val="20"/>
              </w:rPr>
              <w:lastRenderedPageBreak/>
              <w:t>2022</w:t>
            </w:r>
          </w:p>
          <w:p w14:paraId="0F82D5BC" w14:textId="24726A42" w:rsidR="00531A13" w:rsidRPr="00114FCD" w:rsidRDefault="00531A13" w:rsidP="00114FCD">
            <w:pPr>
              <w:spacing w:line="257" w:lineRule="auto"/>
              <w:jc w:val="center"/>
              <w:rPr>
                <w:rFonts w:ascii="Arial" w:eastAsia="Arial" w:hAnsi="Arial" w:cs="Arial"/>
                <w:b/>
                <w:bCs/>
                <w:color w:val="4472C4"/>
                <w:sz w:val="20"/>
              </w:rPr>
            </w:pPr>
            <w:r w:rsidRPr="00114FCD">
              <w:rPr>
                <w:rFonts w:ascii="Arial" w:eastAsia="Arial" w:hAnsi="Arial" w:cs="Arial"/>
                <w:b/>
                <w:bCs/>
                <w:color w:val="4472C4"/>
                <w:sz w:val="20"/>
              </w:rPr>
              <w:lastRenderedPageBreak/>
              <w:t>Projected</w:t>
            </w:r>
          </w:p>
        </w:tc>
        <w:tc>
          <w:tcPr>
            <w:tcW w:w="1351" w:type="dxa"/>
            <w:tcBorders>
              <w:top w:val="single" w:sz="4" w:space="0" w:color="auto"/>
              <w:left w:val="nil"/>
              <w:bottom w:val="single" w:sz="8" w:space="0" w:color="auto"/>
              <w:right w:val="single" w:sz="8" w:space="0" w:color="auto"/>
            </w:tcBorders>
            <w:shd w:val="clear" w:color="auto" w:fill="DBE5F1" w:themeFill="accent1" w:themeFillTint="33"/>
            <w:vAlign w:val="bottom"/>
          </w:tcPr>
          <w:p w14:paraId="294E3DC7" w14:textId="77777777" w:rsidR="00531A13" w:rsidRPr="00114FCD" w:rsidRDefault="00531A13" w:rsidP="00114FCD">
            <w:pPr>
              <w:spacing w:line="257" w:lineRule="auto"/>
              <w:jc w:val="center"/>
              <w:rPr>
                <w:rFonts w:ascii="Arial" w:eastAsia="Arial" w:hAnsi="Arial" w:cs="Arial"/>
                <w:b/>
                <w:bCs/>
                <w:color w:val="4472C4"/>
                <w:sz w:val="20"/>
              </w:rPr>
            </w:pPr>
          </w:p>
        </w:tc>
      </w:tr>
      <w:tr w:rsidR="00531A13" w14:paraId="778BDA57"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1FD4A7A7" w14:textId="79BF8360" w:rsidR="00531A13" w:rsidRPr="00520CD4" w:rsidRDefault="00531A13" w:rsidP="008A564D">
            <w:pPr>
              <w:spacing w:line="257" w:lineRule="auto"/>
              <w:rPr>
                <w:rFonts w:ascii="Arial" w:eastAsia="Arial" w:hAnsi="Arial" w:cs="Arial"/>
                <w:b/>
                <w:bCs/>
                <w:color w:val="4472C4"/>
                <w:sz w:val="20"/>
              </w:rPr>
            </w:pPr>
            <w:r w:rsidRPr="00520CD4">
              <w:rPr>
                <w:rFonts w:ascii="Arial" w:eastAsia="Arial" w:hAnsi="Arial" w:cs="Arial"/>
                <w:b/>
                <w:bCs/>
                <w:color w:val="4472C4"/>
                <w:sz w:val="20"/>
              </w:rPr>
              <w:t>2</w:t>
            </w:r>
            <w:r w:rsidR="00520CD4" w:rsidRPr="00520CD4">
              <w:rPr>
                <w:rFonts w:ascii="Arial" w:eastAsia="Arial" w:hAnsi="Arial" w:cs="Arial"/>
                <w:b/>
                <w:bCs/>
                <w:color w:val="4472C4"/>
                <w:sz w:val="20"/>
                <w:vertAlign w:val="superscript"/>
              </w:rPr>
              <w:t>nd</w:t>
            </w:r>
            <w:r w:rsidRPr="00520CD4">
              <w:rPr>
                <w:rFonts w:ascii="Arial" w:eastAsia="Arial" w:hAnsi="Arial" w:cs="Arial"/>
                <w:b/>
                <w:bCs/>
                <w:color w:val="4472C4"/>
                <w:sz w:val="20"/>
              </w:rPr>
              <w:t xml:space="preserve"> Omnibus Projection</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3C3086B6" w14:textId="23305D46"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23.8%</w:t>
            </w:r>
          </w:p>
        </w:tc>
        <w:tc>
          <w:tcPr>
            <w:tcW w:w="1278" w:type="dxa"/>
            <w:tcBorders>
              <w:top w:val="single" w:sz="8" w:space="0" w:color="auto"/>
              <w:left w:val="single" w:sz="8" w:space="0" w:color="auto"/>
              <w:bottom w:val="single" w:sz="8" w:space="0" w:color="auto"/>
              <w:right w:val="single" w:sz="8" w:space="0" w:color="auto"/>
            </w:tcBorders>
            <w:shd w:val="clear" w:color="auto" w:fill="auto"/>
            <w:vAlign w:val="bottom"/>
          </w:tcPr>
          <w:p w14:paraId="2CACD42D" w14:textId="4692E7A0"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6.9%</w:t>
            </w: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7D5496F0" w14:textId="339A941B"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7.4%</w:t>
            </w:r>
          </w:p>
        </w:tc>
        <w:tc>
          <w:tcPr>
            <w:tcW w:w="1440" w:type="dxa"/>
            <w:tcBorders>
              <w:top w:val="single" w:sz="8" w:space="0" w:color="auto"/>
              <w:left w:val="nil"/>
              <w:bottom w:val="single" w:sz="8" w:space="0" w:color="auto"/>
              <w:right w:val="single" w:sz="8" w:space="0" w:color="auto"/>
            </w:tcBorders>
            <w:shd w:val="clear" w:color="auto" w:fill="auto"/>
            <w:vAlign w:val="bottom"/>
          </w:tcPr>
          <w:p w14:paraId="312F782A" w14:textId="4C308F46"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9.7%</w:t>
            </w:r>
          </w:p>
        </w:tc>
        <w:tc>
          <w:tcPr>
            <w:tcW w:w="1351" w:type="dxa"/>
            <w:tcBorders>
              <w:top w:val="single" w:sz="8" w:space="0" w:color="auto"/>
              <w:left w:val="nil"/>
              <w:bottom w:val="single" w:sz="8" w:space="0" w:color="auto"/>
              <w:right w:val="single" w:sz="8" w:space="0" w:color="auto"/>
            </w:tcBorders>
            <w:shd w:val="clear" w:color="auto" w:fill="auto"/>
            <w:vAlign w:val="bottom"/>
          </w:tcPr>
          <w:p w14:paraId="0521AA38" w14:textId="77777777" w:rsidR="00531A13" w:rsidRPr="005C75BB" w:rsidRDefault="00531A13" w:rsidP="008A564D">
            <w:pPr>
              <w:spacing w:line="257" w:lineRule="auto"/>
              <w:jc w:val="right"/>
              <w:rPr>
                <w:rFonts w:ascii="Arial" w:eastAsia="Arial" w:hAnsi="Arial" w:cs="Arial"/>
                <w:color w:val="4472C4"/>
                <w:sz w:val="20"/>
              </w:rPr>
            </w:pPr>
          </w:p>
        </w:tc>
      </w:tr>
      <w:tr w:rsidR="00531A13" w14:paraId="46F5CE04"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140D8212" w14:textId="16A81B02" w:rsidR="00531A13" w:rsidRPr="00520CD4" w:rsidRDefault="00531A13" w:rsidP="008A564D">
            <w:pPr>
              <w:spacing w:line="257" w:lineRule="auto"/>
              <w:rPr>
                <w:rFonts w:ascii="Arial" w:eastAsia="Arial" w:hAnsi="Arial" w:cs="Arial"/>
                <w:b/>
                <w:bCs/>
                <w:color w:val="4472C4"/>
                <w:sz w:val="20"/>
              </w:rPr>
            </w:pPr>
            <w:r w:rsidRPr="00520CD4">
              <w:rPr>
                <w:rFonts w:ascii="Arial" w:eastAsia="Arial" w:hAnsi="Arial" w:cs="Arial"/>
                <w:b/>
                <w:bCs/>
                <w:color w:val="4472C4"/>
                <w:sz w:val="20"/>
              </w:rPr>
              <w:t>21-22 Budget Model</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65439DFD" w14:textId="77777777" w:rsidR="00531A13" w:rsidRPr="005C75BB" w:rsidRDefault="00531A13" w:rsidP="008A564D">
            <w:pPr>
              <w:spacing w:line="257" w:lineRule="auto"/>
              <w:jc w:val="right"/>
              <w:rPr>
                <w:rFonts w:ascii="Arial" w:eastAsia="Arial" w:hAnsi="Arial" w:cs="Arial"/>
                <w:color w:val="4472C4"/>
                <w:sz w:val="20"/>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bottom"/>
          </w:tcPr>
          <w:p w14:paraId="6E10EE9D" w14:textId="77777777" w:rsidR="00531A13" w:rsidRPr="005C75BB" w:rsidRDefault="00531A13" w:rsidP="008A564D">
            <w:pPr>
              <w:spacing w:line="257" w:lineRule="auto"/>
              <w:jc w:val="right"/>
              <w:rPr>
                <w:rFonts w:ascii="Arial" w:eastAsia="Arial" w:hAnsi="Arial" w:cs="Arial"/>
                <w:color w:val="4472C4"/>
                <w:sz w:val="20"/>
              </w:rPr>
            </w:pP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1A9EF8F8" w14:textId="7DF5447F"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11.8%</w:t>
            </w:r>
          </w:p>
        </w:tc>
        <w:tc>
          <w:tcPr>
            <w:tcW w:w="1440" w:type="dxa"/>
            <w:tcBorders>
              <w:top w:val="single" w:sz="8" w:space="0" w:color="auto"/>
              <w:left w:val="nil"/>
              <w:bottom w:val="single" w:sz="8" w:space="0" w:color="auto"/>
              <w:right w:val="single" w:sz="8" w:space="0" w:color="auto"/>
            </w:tcBorders>
            <w:shd w:val="clear" w:color="auto" w:fill="auto"/>
            <w:vAlign w:val="bottom"/>
          </w:tcPr>
          <w:p w14:paraId="5FC2065A" w14:textId="4551B4B2" w:rsidR="00531A13" w:rsidRPr="005C75BB" w:rsidRDefault="00531A13" w:rsidP="008A564D">
            <w:pPr>
              <w:spacing w:line="257" w:lineRule="auto"/>
              <w:jc w:val="right"/>
              <w:rPr>
                <w:rFonts w:ascii="Arial" w:eastAsia="Arial" w:hAnsi="Arial" w:cs="Arial"/>
                <w:color w:val="4472C4"/>
                <w:sz w:val="20"/>
              </w:rPr>
            </w:pPr>
            <w:r w:rsidRPr="005C75BB">
              <w:rPr>
                <w:rFonts w:ascii="Arial" w:eastAsia="Arial" w:hAnsi="Arial" w:cs="Arial"/>
                <w:color w:val="4472C4"/>
                <w:sz w:val="20"/>
              </w:rPr>
              <w:t>13.8%</w:t>
            </w:r>
          </w:p>
        </w:tc>
        <w:tc>
          <w:tcPr>
            <w:tcW w:w="1351" w:type="dxa"/>
            <w:tcBorders>
              <w:top w:val="single" w:sz="8" w:space="0" w:color="auto"/>
              <w:left w:val="nil"/>
              <w:bottom w:val="single" w:sz="8" w:space="0" w:color="auto"/>
              <w:right w:val="single" w:sz="8" w:space="0" w:color="auto"/>
            </w:tcBorders>
            <w:shd w:val="clear" w:color="auto" w:fill="auto"/>
            <w:vAlign w:val="bottom"/>
          </w:tcPr>
          <w:p w14:paraId="317A96BE" w14:textId="77777777" w:rsidR="00531A13" w:rsidRPr="005C75BB" w:rsidRDefault="00531A13" w:rsidP="008A564D">
            <w:pPr>
              <w:spacing w:line="257" w:lineRule="auto"/>
              <w:jc w:val="right"/>
              <w:rPr>
                <w:rFonts w:ascii="Arial" w:eastAsia="Arial" w:hAnsi="Arial" w:cs="Arial"/>
                <w:color w:val="4472C4"/>
                <w:sz w:val="20"/>
              </w:rPr>
            </w:pPr>
          </w:p>
        </w:tc>
      </w:tr>
      <w:tr w:rsidR="0042472B" w14:paraId="2A304534" w14:textId="77777777" w:rsidTr="006B2F3A">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tcPr>
          <w:p w14:paraId="0F0F4E79" w14:textId="3A783923" w:rsidR="0042472B" w:rsidRPr="00520CD4" w:rsidRDefault="0042472B" w:rsidP="008A564D">
            <w:pPr>
              <w:spacing w:line="257" w:lineRule="auto"/>
              <w:rPr>
                <w:rFonts w:ascii="Arial" w:eastAsia="Arial" w:hAnsi="Arial" w:cs="Arial"/>
                <w:b/>
                <w:bCs/>
                <w:color w:val="4472C4"/>
                <w:sz w:val="20"/>
              </w:rPr>
            </w:pPr>
            <w:r>
              <w:rPr>
                <w:rFonts w:ascii="Arial" w:eastAsia="Arial" w:hAnsi="Arial" w:cs="Arial"/>
                <w:b/>
                <w:bCs/>
                <w:color w:val="4472C4"/>
                <w:sz w:val="20"/>
              </w:rPr>
              <w:t>Variance</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bottom"/>
          </w:tcPr>
          <w:p w14:paraId="5942431C" w14:textId="77777777" w:rsidR="0042472B" w:rsidRPr="005C75BB" w:rsidRDefault="0042472B" w:rsidP="008A564D">
            <w:pPr>
              <w:spacing w:line="257" w:lineRule="auto"/>
              <w:jc w:val="right"/>
              <w:rPr>
                <w:rFonts w:ascii="Arial" w:eastAsia="Arial" w:hAnsi="Arial" w:cs="Arial"/>
                <w:color w:val="4472C4"/>
                <w:sz w:val="20"/>
              </w:rPr>
            </w:pPr>
          </w:p>
        </w:tc>
        <w:tc>
          <w:tcPr>
            <w:tcW w:w="1278" w:type="dxa"/>
            <w:tcBorders>
              <w:top w:val="single" w:sz="8" w:space="0" w:color="auto"/>
              <w:left w:val="single" w:sz="8" w:space="0" w:color="auto"/>
              <w:bottom w:val="single" w:sz="8" w:space="0" w:color="auto"/>
              <w:right w:val="single" w:sz="8" w:space="0" w:color="auto"/>
            </w:tcBorders>
            <w:shd w:val="clear" w:color="auto" w:fill="auto"/>
            <w:vAlign w:val="bottom"/>
          </w:tcPr>
          <w:p w14:paraId="5E156A21" w14:textId="77777777" w:rsidR="0042472B" w:rsidRPr="005C75BB" w:rsidRDefault="0042472B" w:rsidP="008A564D">
            <w:pPr>
              <w:spacing w:line="257" w:lineRule="auto"/>
              <w:jc w:val="right"/>
              <w:rPr>
                <w:rFonts w:ascii="Arial" w:eastAsia="Arial" w:hAnsi="Arial" w:cs="Arial"/>
                <w:color w:val="4472C4"/>
                <w:sz w:val="20"/>
              </w:rPr>
            </w:pPr>
          </w:p>
        </w:tc>
        <w:tc>
          <w:tcPr>
            <w:tcW w:w="1422" w:type="dxa"/>
            <w:tcBorders>
              <w:top w:val="single" w:sz="8" w:space="0" w:color="auto"/>
              <w:left w:val="single" w:sz="8" w:space="0" w:color="auto"/>
              <w:bottom w:val="single" w:sz="8" w:space="0" w:color="auto"/>
              <w:right w:val="single" w:sz="8" w:space="0" w:color="auto"/>
            </w:tcBorders>
            <w:shd w:val="clear" w:color="auto" w:fill="auto"/>
            <w:vAlign w:val="bottom"/>
          </w:tcPr>
          <w:p w14:paraId="76954F79" w14:textId="69A66A22" w:rsidR="0042472B" w:rsidRPr="0042472B" w:rsidRDefault="0042472B" w:rsidP="008A564D">
            <w:pPr>
              <w:spacing w:line="257" w:lineRule="auto"/>
              <w:jc w:val="right"/>
              <w:rPr>
                <w:rFonts w:ascii="Arial" w:eastAsia="Arial" w:hAnsi="Arial" w:cs="Arial"/>
                <w:color w:val="C00000"/>
                <w:sz w:val="20"/>
              </w:rPr>
            </w:pPr>
            <w:r w:rsidRPr="0042472B">
              <w:rPr>
                <w:rFonts w:ascii="Arial" w:eastAsia="Arial" w:hAnsi="Arial" w:cs="Arial"/>
                <w:color w:val="C00000"/>
                <w:sz w:val="20"/>
              </w:rPr>
              <w:t>(4.4%)</w:t>
            </w:r>
          </w:p>
        </w:tc>
        <w:tc>
          <w:tcPr>
            <w:tcW w:w="1440" w:type="dxa"/>
            <w:tcBorders>
              <w:top w:val="single" w:sz="8" w:space="0" w:color="auto"/>
              <w:left w:val="nil"/>
              <w:bottom w:val="single" w:sz="8" w:space="0" w:color="auto"/>
              <w:right w:val="single" w:sz="8" w:space="0" w:color="auto"/>
            </w:tcBorders>
            <w:shd w:val="clear" w:color="auto" w:fill="auto"/>
            <w:vAlign w:val="bottom"/>
          </w:tcPr>
          <w:p w14:paraId="5916CCD7" w14:textId="7448AC9B" w:rsidR="0042472B" w:rsidRPr="0042472B" w:rsidRDefault="0042472B" w:rsidP="008A564D">
            <w:pPr>
              <w:spacing w:line="257" w:lineRule="auto"/>
              <w:jc w:val="right"/>
              <w:rPr>
                <w:rFonts w:ascii="Arial" w:eastAsia="Arial" w:hAnsi="Arial" w:cs="Arial"/>
                <w:color w:val="C00000"/>
                <w:sz w:val="20"/>
              </w:rPr>
            </w:pPr>
            <w:r w:rsidRPr="0042472B">
              <w:rPr>
                <w:rFonts w:ascii="Arial" w:eastAsia="Arial" w:hAnsi="Arial" w:cs="Arial"/>
                <w:color w:val="C00000"/>
                <w:sz w:val="20"/>
              </w:rPr>
              <w:t>(4.1%)</w:t>
            </w:r>
          </w:p>
        </w:tc>
        <w:tc>
          <w:tcPr>
            <w:tcW w:w="1351" w:type="dxa"/>
            <w:tcBorders>
              <w:top w:val="single" w:sz="8" w:space="0" w:color="auto"/>
              <w:left w:val="nil"/>
              <w:bottom w:val="single" w:sz="8" w:space="0" w:color="auto"/>
              <w:right w:val="single" w:sz="8" w:space="0" w:color="auto"/>
            </w:tcBorders>
            <w:shd w:val="clear" w:color="auto" w:fill="auto"/>
            <w:vAlign w:val="bottom"/>
          </w:tcPr>
          <w:p w14:paraId="5ABD45EC" w14:textId="77777777" w:rsidR="0042472B" w:rsidRPr="005C75BB" w:rsidRDefault="0042472B" w:rsidP="008A564D">
            <w:pPr>
              <w:spacing w:line="257" w:lineRule="auto"/>
              <w:jc w:val="right"/>
              <w:rPr>
                <w:rFonts w:ascii="Arial" w:eastAsia="Arial" w:hAnsi="Arial" w:cs="Arial"/>
                <w:color w:val="4472C4"/>
                <w:sz w:val="20"/>
              </w:rPr>
            </w:pPr>
          </w:p>
        </w:tc>
      </w:tr>
    </w:tbl>
    <w:p w14:paraId="1F817D07" w14:textId="1C30E61D" w:rsidR="23E30FAD" w:rsidRDefault="23E30FAD" w:rsidP="7236A96A">
      <w:pPr>
        <w:spacing w:line="257" w:lineRule="auto"/>
        <w:jc w:val="both"/>
      </w:pPr>
    </w:p>
    <w:p w14:paraId="1AB24608" w14:textId="575A9F2C" w:rsidR="23E30FAD" w:rsidRDefault="23E30FAD" w:rsidP="7236A96A">
      <w:pPr>
        <w:spacing w:line="257" w:lineRule="auto"/>
        <w:jc w:val="both"/>
      </w:pPr>
      <w:r w:rsidRPr="7236A96A">
        <w:rPr>
          <w:rFonts w:ascii="Arial" w:eastAsia="Arial" w:hAnsi="Arial" w:cs="Arial"/>
          <w:color w:val="4472C4"/>
          <w:sz w:val="22"/>
          <w:szCs w:val="22"/>
        </w:rPr>
        <w:t xml:space="preserve"> </w:t>
      </w:r>
    </w:p>
    <w:p w14:paraId="7ACBF117" w14:textId="0402870F" w:rsidR="23E30FAD" w:rsidRPr="00AA5101" w:rsidRDefault="00AA5101" w:rsidP="008B238E">
      <w:pPr>
        <w:spacing w:line="264" w:lineRule="auto"/>
        <w:jc w:val="both"/>
        <w:rPr>
          <w:rFonts w:ascii="Arial" w:eastAsia="Arial" w:hAnsi="Arial" w:cs="Arial"/>
          <w:b/>
          <w:bCs/>
          <w:color w:val="4472C4"/>
        </w:rPr>
      </w:pPr>
      <w:r>
        <w:rPr>
          <w:rFonts w:ascii="Arial" w:eastAsia="Arial" w:hAnsi="Arial" w:cs="Arial"/>
          <w:b/>
          <w:bCs/>
          <w:color w:val="4472C4"/>
        </w:rPr>
        <w:t xml:space="preserve">2. </w:t>
      </w:r>
      <w:r w:rsidR="23E30FAD" w:rsidRPr="00AA5101">
        <w:rPr>
          <w:rFonts w:ascii="Arial" w:eastAsia="Arial" w:hAnsi="Arial" w:cs="Arial"/>
          <w:b/>
          <w:bCs/>
          <w:color w:val="4472C4"/>
        </w:rPr>
        <w:t>How can Metro be helpful in partnering with school districts facing with student transportation (yellow buses) and distributing youth ORCA cards?</w:t>
      </w:r>
    </w:p>
    <w:p w14:paraId="088AA509" w14:textId="1BE83B2E" w:rsidR="23E30FAD" w:rsidRDefault="23E30FAD" w:rsidP="008B238E">
      <w:pPr>
        <w:spacing w:line="264" w:lineRule="auto"/>
        <w:jc w:val="both"/>
      </w:pPr>
      <w:r w:rsidRPr="7236A96A">
        <w:rPr>
          <w:rFonts w:ascii="Arial" w:eastAsia="Arial" w:hAnsi="Arial" w:cs="Arial"/>
          <w:b/>
          <w:bCs/>
          <w:color w:val="4472C4"/>
          <w:szCs w:val="24"/>
        </w:rPr>
        <w:t xml:space="preserve"> </w:t>
      </w:r>
    </w:p>
    <w:p w14:paraId="73FFDD22" w14:textId="2B006CBE" w:rsidR="23E30FAD" w:rsidRDefault="23E30FAD" w:rsidP="008B238E">
      <w:pPr>
        <w:spacing w:line="264" w:lineRule="auto"/>
        <w:jc w:val="both"/>
      </w:pPr>
      <w:r w:rsidRPr="7236A96A">
        <w:rPr>
          <w:rFonts w:ascii="Arial" w:eastAsia="Arial" w:hAnsi="Arial" w:cs="Arial"/>
          <w:color w:val="4472C4"/>
          <w:szCs w:val="24"/>
        </w:rPr>
        <w:t xml:space="preserve">According to Metro, Metro is engaged with school districts across King County to help address both emergent and long-term issues related to student transportation. </w:t>
      </w:r>
      <w:r w:rsidR="006B2F3A">
        <w:rPr>
          <w:rFonts w:ascii="Arial" w:eastAsia="Arial" w:hAnsi="Arial" w:cs="Arial"/>
          <w:color w:val="4472C4"/>
          <w:szCs w:val="24"/>
        </w:rPr>
        <w:t xml:space="preserve"> </w:t>
      </w:r>
      <w:r w:rsidRPr="7236A96A">
        <w:rPr>
          <w:rFonts w:ascii="Arial" w:eastAsia="Arial" w:hAnsi="Arial" w:cs="Arial"/>
          <w:color w:val="4472C4"/>
          <w:szCs w:val="24"/>
        </w:rPr>
        <w:t xml:space="preserve">School districts have had major transportation challenges this year and Metro is trying to creatively help while also recognizing its own challenges. </w:t>
      </w:r>
      <w:r w:rsidR="006B2F3A">
        <w:rPr>
          <w:rFonts w:ascii="Arial" w:eastAsia="Arial" w:hAnsi="Arial" w:cs="Arial"/>
          <w:color w:val="4472C4"/>
          <w:szCs w:val="24"/>
        </w:rPr>
        <w:t xml:space="preserve"> </w:t>
      </w:r>
      <w:r w:rsidRPr="7236A96A">
        <w:rPr>
          <w:rFonts w:ascii="Arial" w:eastAsia="Arial" w:hAnsi="Arial" w:cs="Arial"/>
          <w:color w:val="4472C4"/>
          <w:szCs w:val="24"/>
        </w:rPr>
        <w:t xml:space="preserve">Metro actions have included adding additional trips to bus routes where more students are trying to ride, working with Seattle Public Schools </w:t>
      </w:r>
      <w:r w:rsidR="00FB640B">
        <w:rPr>
          <w:rFonts w:ascii="Arial" w:eastAsia="Arial" w:hAnsi="Arial" w:cs="Arial"/>
          <w:color w:val="4472C4"/>
          <w:szCs w:val="24"/>
        </w:rPr>
        <w:t>(SPS)</w:t>
      </w:r>
      <w:r w:rsidRPr="7236A96A">
        <w:rPr>
          <w:rFonts w:ascii="Arial" w:eastAsia="Arial" w:hAnsi="Arial" w:cs="Arial"/>
          <w:color w:val="4472C4"/>
          <w:szCs w:val="24"/>
        </w:rPr>
        <w:t xml:space="preserve"> on potential van-based transportation, supporting City of Seattle programs to distribute ORCA cards, and piloting ORCA card distribution in Skyway.  </w:t>
      </w:r>
    </w:p>
    <w:p w14:paraId="77280C8D" w14:textId="6FFB6B73" w:rsidR="23E30FAD" w:rsidRDefault="23E30FAD" w:rsidP="008B238E">
      <w:pPr>
        <w:spacing w:line="264" w:lineRule="auto"/>
        <w:jc w:val="both"/>
      </w:pPr>
      <w:r w:rsidRPr="7236A96A">
        <w:rPr>
          <w:rFonts w:ascii="Arial" w:eastAsia="Arial" w:hAnsi="Arial" w:cs="Arial"/>
          <w:color w:val="4472C4"/>
          <w:szCs w:val="24"/>
        </w:rPr>
        <w:t xml:space="preserve"> </w:t>
      </w:r>
    </w:p>
    <w:p w14:paraId="3E4A2883" w14:textId="79E3DDDC" w:rsidR="23E30FAD" w:rsidRDefault="23E30FAD" w:rsidP="008B238E">
      <w:pPr>
        <w:spacing w:line="264" w:lineRule="auto"/>
        <w:jc w:val="both"/>
      </w:pPr>
      <w:r w:rsidRPr="7236A96A">
        <w:rPr>
          <w:rFonts w:ascii="Arial" w:eastAsia="Arial" w:hAnsi="Arial" w:cs="Arial"/>
          <w:color w:val="4472C4"/>
          <w:szCs w:val="24"/>
        </w:rPr>
        <w:t>Metro states that other highlights include:</w:t>
      </w:r>
    </w:p>
    <w:p w14:paraId="558B74E4" w14:textId="3BD21069" w:rsidR="23E30FAD" w:rsidRDefault="0090718C" w:rsidP="008B238E">
      <w:pPr>
        <w:pStyle w:val="ListParagraph0"/>
        <w:numPr>
          <w:ilvl w:val="0"/>
          <w:numId w:val="41"/>
        </w:numPr>
        <w:spacing w:line="264" w:lineRule="auto"/>
        <w:jc w:val="both"/>
        <w:rPr>
          <w:rFonts w:ascii="Arial" w:eastAsia="Arial" w:hAnsi="Arial" w:cs="Arial"/>
          <w:color w:val="4472C4"/>
        </w:rPr>
      </w:pPr>
      <w:r>
        <w:rPr>
          <w:rFonts w:ascii="Arial" w:eastAsia="Arial" w:hAnsi="Arial" w:cs="Arial"/>
          <w:color w:val="4472C4"/>
        </w:rPr>
        <w:t>D</w:t>
      </w:r>
      <w:r w:rsidR="23E30FAD" w:rsidRPr="7236A96A">
        <w:rPr>
          <w:rFonts w:ascii="Arial" w:eastAsia="Arial" w:hAnsi="Arial" w:cs="Arial"/>
          <w:color w:val="4472C4"/>
        </w:rPr>
        <w:t xml:space="preserve">eveloping student-specific communications to support people taking transit, as people may now be taking Metro for the first time at new schools or because of other transportation </w:t>
      </w:r>
      <w:proofErr w:type="gramStart"/>
      <w:r w:rsidR="23E30FAD" w:rsidRPr="7236A96A">
        <w:rPr>
          <w:rFonts w:ascii="Arial" w:eastAsia="Arial" w:hAnsi="Arial" w:cs="Arial"/>
          <w:color w:val="4472C4"/>
        </w:rPr>
        <w:t>challenges;</w:t>
      </w:r>
      <w:proofErr w:type="gramEnd"/>
    </w:p>
    <w:p w14:paraId="315FDB7C" w14:textId="77777777" w:rsidR="0090718C" w:rsidRDefault="0090718C" w:rsidP="0090718C">
      <w:pPr>
        <w:pStyle w:val="ListParagraph0"/>
        <w:spacing w:line="264" w:lineRule="auto"/>
        <w:jc w:val="both"/>
        <w:rPr>
          <w:rFonts w:ascii="Arial" w:eastAsia="Arial" w:hAnsi="Arial" w:cs="Arial"/>
          <w:color w:val="4472C4"/>
        </w:rPr>
      </w:pPr>
    </w:p>
    <w:p w14:paraId="018A7CD5" w14:textId="23842BAA" w:rsidR="23E30FAD" w:rsidRDefault="23E30FAD" w:rsidP="008B238E">
      <w:pPr>
        <w:pStyle w:val="ListParagraph0"/>
        <w:numPr>
          <w:ilvl w:val="0"/>
          <w:numId w:val="41"/>
        </w:numPr>
        <w:spacing w:line="264" w:lineRule="auto"/>
        <w:jc w:val="both"/>
        <w:rPr>
          <w:rFonts w:ascii="Arial" w:eastAsia="Arial" w:hAnsi="Arial" w:cs="Arial"/>
          <w:color w:val="4472C4"/>
        </w:rPr>
      </w:pPr>
      <w:r w:rsidRPr="7236A96A">
        <w:rPr>
          <w:rFonts w:ascii="Arial" w:eastAsia="Arial" w:hAnsi="Arial" w:cs="Arial"/>
          <w:color w:val="4472C4"/>
        </w:rPr>
        <w:t xml:space="preserve">Providing paper tickets for SPS to distribute to students impacted by yellow bus service cancellations, giving SPS time to distribute ORCA </w:t>
      </w:r>
      <w:proofErr w:type="gramStart"/>
      <w:r w:rsidRPr="7236A96A">
        <w:rPr>
          <w:rFonts w:ascii="Arial" w:eastAsia="Arial" w:hAnsi="Arial" w:cs="Arial"/>
          <w:color w:val="4472C4"/>
        </w:rPr>
        <w:t>cards;</w:t>
      </w:r>
      <w:proofErr w:type="gramEnd"/>
    </w:p>
    <w:p w14:paraId="0E4A1A5B" w14:textId="77777777" w:rsidR="0090718C" w:rsidRPr="0090718C" w:rsidRDefault="0090718C" w:rsidP="0090718C">
      <w:pPr>
        <w:spacing w:line="264" w:lineRule="auto"/>
        <w:jc w:val="both"/>
        <w:rPr>
          <w:rFonts w:ascii="Arial" w:eastAsia="Arial" w:hAnsi="Arial" w:cs="Arial"/>
          <w:color w:val="4472C4"/>
        </w:rPr>
      </w:pPr>
    </w:p>
    <w:p w14:paraId="661ED322" w14:textId="1F72FB54" w:rsidR="23E30FAD" w:rsidRDefault="23E30FAD" w:rsidP="008B238E">
      <w:pPr>
        <w:pStyle w:val="ListParagraph0"/>
        <w:numPr>
          <w:ilvl w:val="0"/>
          <w:numId w:val="41"/>
        </w:numPr>
        <w:spacing w:line="264" w:lineRule="auto"/>
        <w:jc w:val="both"/>
        <w:rPr>
          <w:rFonts w:ascii="Arial" w:eastAsia="Arial" w:hAnsi="Arial" w:cs="Arial"/>
          <w:color w:val="4472C4"/>
        </w:rPr>
      </w:pPr>
      <w:r w:rsidRPr="7236A96A">
        <w:rPr>
          <w:rFonts w:ascii="Arial" w:eastAsia="Arial" w:hAnsi="Arial" w:cs="Arial"/>
          <w:color w:val="4472C4"/>
        </w:rPr>
        <w:t xml:space="preserve">Engaging in strategic planning by Metro’s Business and Transportation Demand Management programs to identify and address both near and long-term barriers to mobility access for students and to promote and enable ORCA Passport adoption by school districts throughout King </w:t>
      </w:r>
      <w:proofErr w:type="gramStart"/>
      <w:r w:rsidRPr="7236A96A">
        <w:rPr>
          <w:rFonts w:ascii="Arial" w:eastAsia="Arial" w:hAnsi="Arial" w:cs="Arial"/>
          <w:color w:val="4472C4"/>
        </w:rPr>
        <w:t>County;</w:t>
      </w:r>
      <w:proofErr w:type="gramEnd"/>
    </w:p>
    <w:p w14:paraId="7E811F61" w14:textId="77777777" w:rsidR="0090718C" w:rsidRPr="0090718C" w:rsidRDefault="0090718C" w:rsidP="0090718C">
      <w:pPr>
        <w:spacing w:line="264" w:lineRule="auto"/>
        <w:jc w:val="both"/>
        <w:rPr>
          <w:rFonts w:ascii="Arial" w:eastAsia="Arial" w:hAnsi="Arial" w:cs="Arial"/>
          <w:color w:val="4472C4"/>
        </w:rPr>
      </w:pPr>
    </w:p>
    <w:p w14:paraId="26D699E6" w14:textId="04ECF1DF" w:rsidR="23E30FAD" w:rsidRDefault="23E30FAD" w:rsidP="008B238E">
      <w:pPr>
        <w:pStyle w:val="ListParagraph0"/>
        <w:numPr>
          <w:ilvl w:val="0"/>
          <w:numId w:val="41"/>
        </w:numPr>
        <w:spacing w:line="264" w:lineRule="auto"/>
        <w:jc w:val="both"/>
        <w:rPr>
          <w:rFonts w:ascii="Arial" w:eastAsia="Arial" w:hAnsi="Arial" w:cs="Arial"/>
          <w:color w:val="4472C4"/>
        </w:rPr>
      </w:pPr>
      <w:r w:rsidRPr="7236A96A">
        <w:rPr>
          <w:rFonts w:ascii="Arial" w:eastAsia="Arial" w:hAnsi="Arial" w:cs="Arial"/>
          <w:color w:val="4472C4"/>
        </w:rPr>
        <w:t>Launching the first fully subsidized annual school pass pilot project for the 2021-2022 school year with Renton High School, Talley High School, and Dimmit Middle School 8th graders in Renton/Skyway;</w:t>
      </w:r>
      <w:r w:rsidR="0090718C">
        <w:rPr>
          <w:rFonts w:ascii="Arial" w:eastAsia="Arial" w:hAnsi="Arial" w:cs="Arial"/>
          <w:color w:val="4472C4"/>
        </w:rPr>
        <w:t xml:space="preserve"> and</w:t>
      </w:r>
    </w:p>
    <w:p w14:paraId="6C596274" w14:textId="77777777" w:rsidR="0090718C" w:rsidRPr="0090718C" w:rsidRDefault="0090718C" w:rsidP="0090718C">
      <w:pPr>
        <w:spacing w:line="264" w:lineRule="auto"/>
        <w:jc w:val="both"/>
        <w:rPr>
          <w:rFonts w:ascii="Arial" w:eastAsia="Arial" w:hAnsi="Arial" w:cs="Arial"/>
          <w:color w:val="4472C4"/>
        </w:rPr>
      </w:pPr>
    </w:p>
    <w:p w14:paraId="6702A767" w14:textId="21D918FB" w:rsidR="23E30FAD" w:rsidRDefault="23E30FAD" w:rsidP="008B238E">
      <w:pPr>
        <w:pStyle w:val="ListParagraph0"/>
        <w:numPr>
          <w:ilvl w:val="0"/>
          <w:numId w:val="41"/>
        </w:numPr>
        <w:spacing w:line="264" w:lineRule="auto"/>
        <w:jc w:val="both"/>
        <w:rPr>
          <w:rFonts w:ascii="Arial" w:eastAsia="Arial" w:hAnsi="Arial" w:cs="Arial"/>
          <w:color w:val="4472C4"/>
        </w:rPr>
      </w:pPr>
      <w:r w:rsidRPr="7236A96A">
        <w:rPr>
          <w:rFonts w:ascii="Arial" w:eastAsia="Arial" w:hAnsi="Arial" w:cs="Arial"/>
          <w:color w:val="4472C4"/>
        </w:rPr>
        <w:t>Increasing eligibility to a Summer Youth ORCA pass for low-income students in South King County school districts.</w:t>
      </w:r>
    </w:p>
    <w:p w14:paraId="7B2279D3" w14:textId="38A82964" w:rsidR="23E30FAD" w:rsidRDefault="23E30FAD" w:rsidP="008B238E">
      <w:pPr>
        <w:spacing w:line="264" w:lineRule="auto"/>
        <w:jc w:val="both"/>
      </w:pPr>
      <w:r w:rsidRPr="7236A96A">
        <w:rPr>
          <w:rFonts w:ascii="Arial" w:eastAsia="Arial" w:hAnsi="Arial" w:cs="Arial"/>
          <w:color w:val="4472C4"/>
          <w:szCs w:val="24"/>
        </w:rPr>
        <w:t xml:space="preserve"> </w:t>
      </w:r>
    </w:p>
    <w:p w14:paraId="75268EEE" w14:textId="38E78F89" w:rsidR="23E30FAD" w:rsidRDefault="23E30FAD" w:rsidP="008B238E">
      <w:pPr>
        <w:spacing w:line="264" w:lineRule="auto"/>
        <w:jc w:val="both"/>
      </w:pPr>
      <w:r w:rsidRPr="7236A96A">
        <w:rPr>
          <w:rFonts w:ascii="Arial" w:eastAsia="Arial" w:hAnsi="Arial" w:cs="Arial"/>
          <w:color w:val="4472C4"/>
          <w:szCs w:val="24"/>
        </w:rPr>
        <w:t>Metro further states that the agency hopes to partner on outreach events and ORCA card distribution with about 50 percent of school districts in King County and provide ORCA cards to over 25,000 students through school contracts, Summer Pass, and additional ORCA card distribution.  Additionally, Metro is funding development of a youth-based curriculum that will be used in schools to promote understanding, awareness and build capacity among youth for access to mobility options.</w:t>
      </w:r>
    </w:p>
    <w:p w14:paraId="1DE71E70" w14:textId="363C03B9" w:rsidR="23E30FAD" w:rsidRDefault="23E30FAD" w:rsidP="008B238E">
      <w:pPr>
        <w:spacing w:line="264" w:lineRule="auto"/>
        <w:jc w:val="both"/>
      </w:pPr>
      <w:r w:rsidRPr="7236A96A">
        <w:rPr>
          <w:rFonts w:ascii="Arial" w:eastAsia="Arial" w:hAnsi="Arial" w:cs="Arial"/>
          <w:color w:val="4472C4"/>
          <w:szCs w:val="24"/>
        </w:rPr>
        <w:lastRenderedPageBreak/>
        <w:t xml:space="preserve"> </w:t>
      </w:r>
    </w:p>
    <w:p w14:paraId="4000C29C" w14:textId="38E8293E" w:rsidR="23E30FAD" w:rsidRDefault="23E30FAD" w:rsidP="008B238E">
      <w:pPr>
        <w:spacing w:line="264" w:lineRule="auto"/>
        <w:jc w:val="both"/>
      </w:pPr>
      <w:r w:rsidRPr="7236A96A">
        <w:rPr>
          <w:rFonts w:ascii="Arial" w:eastAsia="Arial" w:hAnsi="Arial" w:cs="Arial"/>
          <w:color w:val="4472C4"/>
          <w:szCs w:val="24"/>
        </w:rPr>
        <w:t xml:space="preserve">As far as partnering with schools on the administrative costs of distributing youth ORCA cards, Metro states that the agency phased out youth card issuance fees as of June 2021.  Metro currently has standard Passport contracts with the Lake Washington, Highline, Bellevue and Seattle Public School Districts, as well as the private Lakeside School in the North end of Seattle.  Metro states that passport contract service fees are low and have not been cited as a barrier. </w:t>
      </w:r>
      <w:r w:rsidR="008B238E">
        <w:rPr>
          <w:rFonts w:ascii="Arial" w:eastAsia="Arial" w:hAnsi="Arial" w:cs="Arial"/>
          <w:color w:val="4472C4"/>
          <w:szCs w:val="24"/>
        </w:rPr>
        <w:t xml:space="preserve"> </w:t>
      </w:r>
      <w:r w:rsidRPr="7236A96A">
        <w:rPr>
          <w:rFonts w:ascii="Arial" w:eastAsia="Arial" w:hAnsi="Arial" w:cs="Arial"/>
          <w:color w:val="4472C4"/>
          <w:szCs w:val="24"/>
        </w:rPr>
        <w:t xml:space="preserve">According to Metro, based on the agency’s work with school districts, the administrative barriers facing schools are mostly related to card distribution and management, particularly near the start of a new school year. City of Seattle provides Seattle Public Schools with administrative support resources for this purpose, using funding from the Seattle Transportation Benefit District Levy. </w:t>
      </w:r>
      <w:r w:rsidR="00E86523">
        <w:rPr>
          <w:rFonts w:ascii="Arial" w:eastAsia="Arial" w:hAnsi="Arial" w:cs="Arial"/>
          <w:color w:val="4472C4"/>
          <w:szCs w:val="24"/>
        </w:rPr>
        <w:t xml:space="preserve"> </w:t>
      </w:r>
      <w:r w:rsidRPr="7236A96A">
        <w:rPr>
          <w:rFonts w:ascii="Arial" w:eastAsia="Arial" w:hAnsi="Arial" w:cs="Arial"/>
          <w:color w:val="4472C4"/>
          <w:szCs w:val="24"/>
        </w:rPr>
        <w:t>Metro states that the agency is also reviewing how school districts can use state transportation funds to support ORCA Passport contracts.</w:t>
      </w:r>
    </w:p>
    <w:p w14:paraId="45B4DBE7" w14:textId="59F5510A" w:rsidR="009B4F72" w:rsidRDefault="009B4F72" w:rsidP="008D62F5">
      <w:pPr>
        <w:tabs>
          <w:tab w:val="left" w:pos="720"/>
          <w:tab w:val="right" w:pos="9360"/>
        </w:tabs>
        <w:spacing w:line="264" w:lineRule="auto"/>
        <w:contextualSpacing/>
        <w:jc w:val="both"/>
        <w:rPr>
          <w:rFonts w:ascii="Arial" w:hAnsi="Arial" w:cs="Arial"/>
          <w:b/>
          <w:szCs w:val="24"/>
          <w:u w:val="single"/>
        </w:rPr>
      </w:pPr>
    </w:p>
    <w:p w14:paraId="3332D5AF" w14:textId="77777777" w:rsidR="006B2F3A" w:rsidRDefault="006B2F3A" w:rsidP="008D62F5">
      <w:pPr>
        <w:tabs>
          <w:tab w:val="left" w:pos="720"/>
          <w:tab w:val="right" w:pos="9360"/>
        </w:tabs>
        <w:spacing w:line="264" w:lineRule="auto"/>
        <w:contextualSpacing/>
        <w:jc w:val="both"/>
        <w:rPr>
          <w:rFonts w:ascii="Arial" w:hAnsi="Arial" w:cs="Arial"/>
          <w:b/>
          <w:szCs w:val="24"/>
          <w:u w:val="single"/>
        </w:rPr>
      </w:pPr>
    </w:p>
    <w:p w14:paraId="0552A417" w14:textId="77777777" w:rsidR="008D62F5" w:rsidRPr="00E64512" w:rsidRDefault="008D62F5" w:rsidP="008D62F5">
      <w:pPr>
        <w:tabs>
          <w:tab w:val="left" w:pos="720"/>
          <w:tab w:val="right" w:pos="9360"/>
        </w:tabs>
        <w:spacing w:line="264" w:lineRule="auto"/>
        <w:contextualSpacing/>
        <w:jc w:val="both"/>
        <w:rPr>
          <w:rFonts w:ascii="Arial" w:hAnsi="Arial" w:cs="Arial"/>
          <w:b/>
          <w:szCs w:val="24"/>
          <w:u w:val="single"/>
        </w:rPr>
      </w:pPr>
      <w:r w:rsidRPr="00E64512">
        <w:rPr>
          <w:rFonts w:ascii="Arial" w:hAnsi="Arial" w:cs="Arial"/>
          <w:b/>
          <w:szCs w:val="24"/>
          <w:u w:val="single"/>
        </w:rPr>
        <w:t>Safety and Claims Management</w:t>
      </w:r>
      <w:r w:rsidRPr="00E64512">
        <w:rPr>
          <w:rFonts w:ascii="Arial" w:hAnsi="Arial" w:cs="Arial"/>
          <w:b/>
          <w:szCs w:val="24"/>
          <w:u w:val="single"/>
        </w:rPr>
        <w:tab/>
        <w:t>$554,000, 3.0 FTEs</w:t>
      </w:r>
    </w:p>
    <w:p w14:paraId="4E6DAC6B" w14:textId="77777777" w:rsidR="008D62F5" w:rsidRPr="00E64512" w:rsidRDefault="008D62F5" w:rsidP="008D62F5">
      <w:pPr>
        <w:spacing w:line="264" w:lineRule="auto"/>
        <w:contextualSpacing/>
        <w:jc w:val="both"/>
        <w:rPr>
          <w:rFonts w:ascii="Arial" w:hAnsi="Arial" w:cs="Arial"/>
          <w:b/>
          <w:szCs w:val="24"/>
        </w:rPr>
      </w:pPr>
    </w:p>
    <w:p w14:paraId="1FDCABB0" w14:textId="6C84B6F1" w:rsidR="008D62F5" w:rsidRPr="00E64512" w:rsidRDefault="00BA322D" w:rsidP="008D62F5">
      <w:pPr>
        <w:spacing w:line="264" w:lineRule="auto"/>
        <w:contextualSpacing/>
        <w:jc w:val="both"/>
        <w:rPr>
          <w:rFonts w:ascii="Arial" w:hAnsi="Arial" w:cs="Arial"/>
          <w:color w:val="FF0000"/>
          <w:szCs w:val="24"/>
        </w:rPr>
      </w:pPr>
      <w:r w:rsidRPr="0058171D">
        <w:rPr>
          <w:rFonts w:ascii="Arial" w:hAnsi="Arial" w:cs="Arial"/>
          <w:b/>
          <w:i/>
          <w:iCs/>
          <w:szCs w:val="24"/>
        </w:rPr>
        <w:t>New Posi</w:t>
      </w:r>
      <w:r w:rsidR="0058171D" w:rsidRPr="0058171D">
        <w:rPr>
          <w:rFonts w:ascii="Arial" w:hAnsi="Arial" w:cs="Arial"/>
          <w:b/>
          <w:i/>
          <w:iCs/>
          <w:szCs w:val="24"/>
        </w:rPr>
        <w:t>tions [554,000, 3.0 FTEs, ongoing].</w:t>
      </w:r>
      <w:r w:rsidR="0058171D">
        <w:rPr>
          <w:rFonts w:ascii="Arial" w:hAnsi="Arial" w:cs="Arial"/>
          <w:b/>
          <w:szCs w:val="24"/>
        </w:rPr>
        <w:t xml:space="preserve">  </w:t>
      </w:r>
      <w:r w:rsidR="008D62F5" w:rsidRPr="00E64512">
        <w:rPr>
          <w:rFonts w:ascii="Arial" w:hAnsi="Arial" w:cs="Arial"/>
          <w:szCs w:val="24"/>
        </w:rPr>
        <w:t>The 2021-22 biennial budget removed four positions, and a corresponding $1.3 million, in the Safety and Claims budget to meet target reductions</w:t>
      </w:r>
      <w:r w:rsidR="008D62F5">
        <w:rPr>
          <w:rFonts w:ascii="Arial" w:hAnsi="Arial" w:cs="Arial"/>
          <w:szCs w:val="24"/>
        </w:rPr>
        <w:t xml:space="preserve"> due to the recession</w:t>
      </w:r>
      <w:r w:rsidR="008D62F5" w:rsidRPr="00E64512">
        <w:rPr>
          <w:rFonts w:ascii="Arial" w:hAnsi="Arial" w:cs="Arial"/>
          <w:szCs w:val="24"/>
        </w:rPr>
        <w:t xml:space="preserve">. Those positions included a Claims Manager, a Nurse Case Manager, a Safety and Health Professional, and a Labor Relations Representative. The proposed ordinance would add the Safety and Health Professional position back as well as a new Safety and Claims Manager and a Safety Supervisor. The following table provides a summary of each position, all of which </w:t>
      </w:r>
      <w:r w:rsidR="008D62F5">
        <w:rPr>
          <w:rFonts w:ascii="Arial" w:hAnsi="Arial" w:cs="Arial"/>
          <w:szCs w:val="24"/>
        </w:rPr>
        <w:t>would be</w:t>
      </w:r>
      <w:r w:rsidR="008D62F5" w:rsidRPr="00E64512">
        <w:rPr>
          <w:rFonts w:ascii="Arial" w:hAnsi="Arial" w:cs="Arial"/>
          <w:szCs w:val="24"/>
        </w:rPr>
        <w:t xml:space="preserve"> ongoing costs funded from the </w:t>
      </w:r>
      <w:r w:rsidR="008D62F5">
        <w:rPr>
          <w:rFonts w:ascii="Arial" w:hAnsi="Arial" w:cs="Arial"/>
          <w:szCs w:val="24"/>
        </w:rPr>
        <w:t>S</w:t>
      </w:r>
      <w:r w:rsidR="008D62F5" w:rsidRPr="00E64512">
        <w:rPr>
          <w:rFonts w:ascii="Arial" w:hAnsi="Arial" w:cs="Arial"/>
          <w:szCs w:val="24"/>
        </w:rPr>
        <w:t>elf-</w:t>
      </w:r>
      <w:r w:rsidR="008D62F5">
        <w:rPr>
          <w:rFonts w:ascii="Arial" w:hAnsi="Arial" w:cs="Arial"/>
          <w:szCs w:val="24"/>
        </w:rPr>
        <w:t>I</w:t>
      </w:r>
      <w:r w:rsidR="008D62F5" w:rsidRPr="00E64512">
        <w:rPr>
          <w:rFonts w:ascii="Arial" w:hAnsi="Arial" w:cs="Arial"/>
          <w:szCs w:val="24"/>
        </w:rPr>
        <w:t xml:space="preserve">nsurance </w:t>
      </w:r>
      <w:r w:rsidR="008D62F5">
        <w:rPr>
          <w:rFonts w:ascii="Arial" w:hAnsi="Arial" w:cs="Arial"/>
          <w:szCs w:val="24"/>
        </w:rPr>
        <w:t>R</w:t>
      </w:r>
      <w:r w:rsidR="008D62F5" w:rsidRPr="00E64512">
        <w:rPr>
          <w:rFonts w:ascii="Arial" w:hAnsi="Arial" w:cs="Arial"/>
          <w:szCs w:val="24"/>
        </w:rPr>
        <w:t>eserve fund.</w:t>
      </w:r>
      <w:r w:rsidR="008D62F5" w:rsidRPr="00E64512">
        <w:rPr>
          <w:rFonts w:ascii="Arial" w:hAnsi="Arial" w:cs="Arial"/>
          <w:color w:val="FF0000"/>
          <w:szCs w:val="24"/>
        </w:rPr>
        <w:t xml:space="preserve"> </w:t>
      </w:r>
    </w:p>
    <w:p w14:paraId="6FB33076" w14:textId="77777777" w:rsidR="008D62F5" w:rsidRPr="00E64512" w:rsidRDefault="008D62F5" w:rsidP="008D62F5">
      <w:pPr>
        <w:rPr>
          <w:rFonts w:ascii="Arial" w:hAnsi="Arial" w:cs="Arial"/>
          <w:sz w:val="22"/>
        </w:rPr>
      </w:pPr>
    </w:p>
    <w:tbl>
      <w:tblPr>
        <w:tblStyle w:val="TableGrid"/>
        <w:tblW w:w="9081" w:type="dxa"/>
        <w:jc w:val="center"/>
        <w:tblLook w:val="04A0" w:firstRow="1" w:lastRow="0" w:firstColumn="1" w:lastColumn="0" w:noHBand="0" w:noVBand="1"/>
      </w:tblPr>
      <w:tblGrid>
        <w:gridCol w:w="760"/>
        <w:gridCol w:w="6388"/>
        <w:gridCol w:w="632"/>
        <w:gridCol w:w="1301"/>
      </w:tblGrid>
      <w:tr w:rsidR="008D62F5" w:rsidRPr="00E64512" w14:paraId="32F0AD92" w14:textId="77777777" w:rsidTr="00E34BBA">
        <w:trPr>
          <w:cantSplit/>
          <w:trHeight w:val="411"/>
          <w:tblHeader/>
          <w:jc w:val="center"/>
        </w:trPr>
        <w:tc>
          <w:tcPr>
            <w:tcW w:w="760" w:type="dxa"/>
            <w:tcBorders>
              <w:top w:val="single" w:sz="12" w:space="0" w:color="auto"/>
              <w:left w:val="nil"/>
              <w:bottom w:val="single" w:sz="4" w:space="0" w:color="auto"/>
              <w:right w:val="nil"/>
            </w:tcBorders>
            <w:vAlign w:val="center"/>
          </w:tcPr>
          <w:p w14:paraId="4857218B" w14:textId="77777777" w:rsidR="008D62F5" w:rsidRPr="00E64512" w:rsidRDefault="008D62F5" w:rsidP="00E34BBA">
            <w:pPr>
              <w:keepNext/>
              <w:rPr>
                <w:rFonts w:ascii="Arial" w:hAnsi="Arial" w:cs="Arial"/>
                <w:b/>
                <w:sz w:val="22"/>
                <w:szCs w:val="22"/>
              </w:rPr>
            </w:pPr>
            <w:r w:rsidRPr="00E64512">
              <w:rPr>
                <w:rFonts w:ascii="Arial" w:hAnsi="Arial" w:cs="Arial"/>
                <w:b/>
                <w:sz w:val="22"/>
                <w:szCs w:val="22"/>
              </w:rPr>
              <w:t>No.</w:t>
            </w:r>
          </w:p>
        </w:tc>
        <w:tc>
          <w:tcPr>
            <w:tcW w:w="6388" w:type="dxa"/>
            <w:tcBorders>
              <w:top w:val="single" w:sz="12" w:space="0" w:color="auto"/>
              <w:left w:val="nil"/>
              <w:bottom w:val="single" w:sz="4" w:space="0" w:color="auto"/>
              <w:right w:val="nil"/>
            </w:tcBorders>
            <w:shd w:val="clear" w:color="auto" w:fill="auto"/>
            <w:vAlign w:val="center"/>
          </w:tcPr>
          <w:p w14:paraId="51AEA2F1" w14:textId="77777777" w:rsidR="008D62F5" w:rsidRPr="00E64512" w:rsidRDefault="008D62F5" w:rsidP="00E34BBA">
            <w:pPr>
              <w:keepNext/>
              <w:rPr>
                <w:rFonts w:ascii="Arial" w:hAnsi="Arial" w:cs="Arial"/>
                <w:b/>
                <w:sz w:val="22"/>
                <w:szCs w:val="22"/>
              </w:rPr>
            </w:pPr>
            <w:r w:rsidRPr="00E64512">
              <w:rPr>
                <w:rFonts w:ascii="Arial" w:hAnsi="Arial" w:cs="Arial"/>
                <w:b/>
                <w:sz w:val="22"/>
                <w:szCs w:val="22"/>
              </w:rPr>
              <w:t>Position Description</w:t>
            </w:r>
          </w:p>
        </w:tc>
        <w:tc>
          <w:tcPr>
            <w:tcW w:w="632" w:type="dxa"/>
            <w:tcBorders>
              <w:top w:val="single" w:sz="12" w:space="0" w:color="auto"/>
              <w:left w:val="nil"/>
              <w:bottom w:val="single" w:sz="4" w:space="0" w:color="auto"/>
              <w:right w:val="nil"/>
            </w:tcBorders>
            <w:vAlign w:val="center"/>
          </w:tcPr>
          <w:p w14:paraId="33ADE266" w14:textId="77777777" w:rsidR="008D62F5" w:rsidRPr="00E64512" w:rsidRDefault="008D62F5" w:rsidP="00E34BBA">
            <w:pPr>
              <w:keepNext/>
              <w:rPr>
                <w:rFonts w:ascii="Arial" w:hAnsi="Arial" w:cs="Arial"/>
                <w:b/>
                <w:sz w:val="22"/>
                <w:szCs w:val="22"/>
              </w:rPr>
            </w:pPr>
            <w:r w:rsidRPr="00E64512">
              <w:rPr>
                <w:rFonts w:ascii="Arial" w:hAnsi="Arial" w:cs="Arial"/>
                <w:b/>
                <w:sz w:val="22"/>
                <w:szCs w:val="22"/>
              </w:rPr>
              <w:t>FTE</w:t>
            </w:r>
          </w:p>
        </w:tc>
        <w:tc>
          <w:tcPr>
            <w:tcW w:w="1301" w:type="dxa"/>
            <w:tcBorders>
              <w:top w:val="single" w:sz="12" w:space="0" w:color="auto"/>
              <w:left w:val="nil"/>
              <w:bottom w:val="single" w:sz="4" w:space="0" w:color="auto"/>
              <w:right w:val="single" w:sz="2" w:space="0" w:color="FFFFFF" w:themeColor="background1"/>
            </w:tcBorders>
            <w:vAlign w:val="center"/>
          </w:tcPr>
          <w:p w14:paraId="30D33DA5" w14:textId="77777777" w:rsidR="008D62F5" w:rsidRPr="00E64512" w:rsidRDefault="008D62F5" w:rsidP="00E34BBA">
            <w:pPr>
              <w:keepNext/>
              <w:jc w:val="center"/>
              <w:rPr>
                <w:rFonts w:ascii="Arial" w:hAnsi="Arial" w:cs="Arial"/>
                <w:b/>
                <w:sz w:val="22"/>
                <w:szCs w:val="22"/>
              </w:rPr>
            </w:pPr>
            <w:r w:rsidRPr="00E64512">
              <w:rPr>
                <w:rFonts w:ascii="Arial" w:hAnsi="Arial" w:cs="Arial"/>
                <w:b/>
                <w:sz w:val="22"/>
                <w:szCs w:val="22"/>
              </w:rPr>
              <w:t>Amount</w:t>
            </w:r>
          </w:p>
        </w:tc>
      </w:tr>
      <w:tr w:rsidR="008D62F5" w:rsidRPr="00E64512" w14:paraId="7FB68C26" w14:textId="77777777" w:rsidTr="00E34BBA">
        <w:trPr>
          <w:cantSplit/>
          <w:jc w:val="center"/>
        </w:trPr>
        <w:tc>
          <w:tcPr>
            <w:tcW w:w="760" w:type="dxa"/>
            <w:tcBorders>
              <w:top w:val="single" w:sz="4" w:space="0" w:color="auto"/>
              <w:left w:val="nil"/>
              <w:bottom w:val="nil"/>
              <w:right w:val="nil"/>
            </w:tcBorders>
          </w:tcPr>
          <w:p w14:paraId="563F9095" w14:textId="77777777" w:rsidR="008D62F5" w:rsidRPr="00E64512" w:rsidRDefault="008D62F5" w:rsidP="00E34BBA">
            <w:pPr>
              <w:rPr>
                <w:rFonts w:ascii="Arial" w:hAnsi="Arial" w:cs="Arial"/>
                <w:sz w:val="22"/>
                <w:szCs w:val="22"/>
              </w:rPr>
            </w:pPr>
            <w:r w:rsidRPr="00E64512">
              <w:rPr>
                <w:rFonts w:ascii="Arial" w:hAnsi="Arial" w:cs="Arial"/>
                <w:sz w:val="22"/>
                <w:szCs w:val="22"/>
              </w:rPr>
              <w:t>1</w:t>
            </w:r>
          </w:p>
        </w:tc>
        <w:tc>
          <w:tcPr>
            <w:tcW w:w="6388" w:type="dxa"/>
            <w:tcBorders>
              <w:top w:val="single" w:sz="4" w:space="0" w:color="auto"/>
              <w:left w:val="nil"/>
              <w:bottom w:val="nil"/>
              <w:right w:val="nil"/>
            </w:tcBorders>
            <w:tcMar>
              <w:top w:w="72" w:type="dxa"/>
              <w:left w:w="115" w:type="dxa"/>
              <w:bottom w:w="72" w:type="dxa"/>
              <w:right w:w="115" w:type="dxa"/>
            </w:tcMar>
          </w:tcPr>
          <w:p w14:paraId="5F9A7619" w14:textId="77777777" w:rsidR="008D62F5" w:rsidRPr="00E64512" w:rsidRDefault="008D62F5" w:rsidP="00E34BBA">
            <w:pPr>
              <w:spacing w:line="264" w:lineRule="auto"/>
              <w:rPr>
                <w:rFonts w:ascii="Arial" w:hAnsi="Arial" w:cs="Arial"/>
                <w:color w:val="FF0000"/>
                <w:sz w:val="22"/>
                <w:szCs w:val="22"/>
              </w:rPr>
            </w:pPr>
            <w:r w:rsidRPr="00E64512">
              <w:rPr>
                <w:rFonts w:ascii="Arial" w:hAnsi="Arial" w:cs="Arial"/>
                <w:sz w:val="22"/>
                <w:szCs w:val="22"/>
                <w:u w:val="single"/>
              </w:rPr>
              <w:t>Safety Supervisor</w:t>
            </w:r>
            <w:r w:rsidRPr="00E64512">
              <w:rPr>
                <w:rFonts w:ascii="Arial" w:hAnsi="Arial" w:cs="Arial"/>
                <w:sz w:val="22"/>
                <w:szCs w:val="22"/>
              </w:rPr>
              <w:t>. This position would oversee King County’s Health and Safety Officers and the Occupational Education and Training tea</w:t>
            </w:r>
            <w:r w:rsidRPr="00E71E58">
              <w:rPr>
                <w:rFonts w:ascii="Arial" w:hAnsi="Arial" w:cs="Arial"/>
                <w:sz w:val="22"/>
                <w:szCs w:val="22"/>
              </w:rPr>
              <w:t xml:space="preserve">m. It would add expertise in worker safety and ensure appropriate implementation of the Accident Prevention Program. It </w:t>
            </w:r>
            <w:r w:rsidRPr="00E64512">
              <w:rPr>
                <w:rFonts w:ascii="Arial" w:hAnsi="Arial" w:cs="Arial"/>
                <w:sz w:val="22"/>
                <w:szCs w:val="22"/>
              </w:rPr>
              <w:t xml:space="preserve">would also provide consultation and establish an overall workplan in collaboration with departmental teams and King County’s worker’s compensation program. </w:t>
            </w:r>
          </w:p>
        </w:tc>
        <w:tc>
          <w:tcPr>
            <w:tcW w:w="632" w:type="dxa"/>
            <w:tcBorders>
              <w:top w:val="single" w:sz="4" w:space="0" w:color="auto"/>
              <w:left w:val="nil"/>
              <w:bottom w:val="nil"/>
              <w:right w:val="nil"/>
            </w:tcBorders>
          </w:tcPr>
          <w:p w14:paraId="43B19258" w14:textId="77777777" w:rsidR="008D62F5" w:rsidRPr="00E64512" w:rsidRDefault="008D62F5" w:rsidP="00E34BBA">
            <w:pPr>
              <w:jc w:val="right"/>
              <w:rPr>
                <w:rFonts w:ascii="Arial" w:hAnsi="Arial" w:cs="Arial"/>
                <w:sz w:val="22"/>
                <w:szCs w:val="22"/>
              </w:rPr>
            </w:pPr>
            <w:r w:rsidRPr="00E64512">
              <w:rPr>
                <w:rFonts w:ascii="Arial" w:hAnsi="Arial" w:cs="Arial"/>
                <w:sz w:val="22"/>
                <w:szCs w:val="22"/>
              </w:rPr>
              <w:t>1</w:t>
            </w:r>
            <w:r>
              <w:rPr>
                <w:rFonts w:ascii="Arial" w:hAnsi="Arial" w:cs="Arial"/>
                <w:sz w:val="22"/>
                <w:szCs w:val="22"/>
              </w:rPr>
              <w:t>.0</w:t>
            </w:r>
          </w:p>
        </w:tc>
        <w:tc>
          <w:tcPr>
            <w:tcW w:w="1301"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0E481E14" w14:textId="77777777" w:rsidR="008D62F5" w:rsidRPr="00E64512" w:rsidRDefault="008D62F5" w:rsidP="00E34BBA">
            <w:pPr>
              <w:jc w:val="right"/>
              <w:rPr>
                <w:rFonts w:ascii="Arial" w:hAnsi="Arial" w:cs="Arial"/>
                <w:sz w:val="22"/>
                <w:szCs w:val="22"/>
              </w:rPr>
            </w:pPr>
            <w:r w:rsidRPr="00E64512">
              <w:rPr>
                <w:rFonts w:ascii="Arial" w:hAnsi="Arial" w:cs="Arial"/>
                <w:sz w:val="22"/>
                <w:szCs w:val="22"/>
              </w:rPr>
              <w:t>$186,139</w:t>
            </w:r>
          </w:p>
        </w:tc>
      </w:tr>
      <w:tr w:rsidR="008D62F5" w:rsidRPr="00E64512" w14:paraId="44339D07" w14:textId="77777777" w:rsidTr="00992690">
        <w:trPr>
          <w:cantSplit/>
          <w:jc w:val="center"/>
        </w:trPr>
        <w:tc>
          <w:tcPr>
            <w:tcW w:w="760" w:type="dxa"/>
            <w:tcBorders>
              <w:top w:val="nil"/>
              <w:left w:val="nil"/>
              <w:bottom w:val="nil"/>
              <w:right w:val="nil"/>
            </w:tcBorders>
          </w:tcPr>
          <w:p w14:paraId="192B986D" w14:textId="77777777" w:rsidR="008D62F5" w:rsidRPr="00E64512" w:rsidRDefault="008D62F5" w:rsidP="00E34BBA">
            <w:pPr>
              <w:rPr>
                <w:rFonts w:ascii="Arial" w:hAnsi="Arial" w:cs="Arial"/>
                <w:sz w:val="22"/>
                <w:szCs w:val="22"/>
              </w:rPr>
            </w:pPr>
            <w:r w:rsidRPr="00E64512">
              <w:rPr>
                <w:rFonts w:ascii="Arial" w:hAnsi="Arial" w:cs="Arial"/>
                <w:sz w:val="22"/>
                <w:szCs w:val="22"/>
              </w:rPr>
              <w:t>2</w:t>
            </w:r>
          </w:p>
        </w:tc>
        <w:tc>
          <w:tcPr>
            <w:tcW w:w="6388" w:type="dxa"/>
            <w:tcBorders>
              <w:top w:val="nil"/>
              <w:left w:val="nil"/>
              <w:bottom w:val="nil"/>
              <w:right w:val="nil"/>
            </w:tcBorders>
            <w:tcMar>
              <w:top w:w="72" w:type="dxa"/>
              <w:left w:w="115" w:type="dxa"/>
              <w:bottom w:w="72" w:type="dxa"/>
              <w:right w:w="115" w:type="dxa"/>
            </w:tcMar>
          </w:tcPr>
          <w:p w14:paraId="38834293" w14:textId="77777777" w:rsidR="008D62F5" w:rsidRPr="00E64512" w:rsidRDefault="008D62F5" w:rsidP="00E34BBA">
            <w:pPr>
              <w:spacing w:line="264" w:lineRule="auto"/>
              <w:rPr>
                <w:rFonts w:ascii="Arial" w:hAnsi="Arial" w:cs="Arial"/>
                <w:color w:val="FF0000"/>
                <w:szCs w:val="24"/>
              </w:rPr>
            </w:pPr>
            <w:r w:rsidRPr="00E64512">
              <w:rPr>
                <w:rFonts w:ascii="Arial" w:hAnsi="Arial" w:cs="Arial"/>
                <w:sz w:val="22"/>
                <w:szCs w:val="22"/>
                <w:u w:val="single"/>
              </w:rPr>
              <w:t>Safety and Claims Manager</w:t>
            </w:r>
            <w:r w:rsidRPr="00E64512">
              <w:rPr>
                <w:rFonts w:ascii="Arial" w:hAnsi="Arial" w:cs="Arial"/>
                <w:sz w:val="22"/>
                <w:szCs w:val="22"/>
              </w:rPr>
              <w:t xml:space="preserve">. This position would provide leadership in the development of injury prevention programs for employees. </w:t>
            </w:r>
            <w:r w:rsidRPr="00E71E58">
              <w:rPr>
                <w:rFonts w:ascii="Arial" w:hAnsi="Arial" w:cs="Arial"/>
                <w:sz w:val="22"/>
                <w:szCs w:val="22"/>
              </w:rPr>
              <w:t>Goals of this position would include increase injury prevention, decrease demand on the worker compensation program, and ensure coordination between DHR staff and various departments.</w:t>
            </w:r>
            <w:r w:rsidRPr="00E71E58">
              <w:rPr>
                <w:rFonts w:ascii="Arial" w:hAnsi="Arial" w:cs="Arial"/>
                <w:szCs w:val="24"/>
              </w:rPr>
              <w:t xml:space="preserve"> </w:t>
            </w:r>
          </w:p>
        </w:tc>
        <w:tc>
          <w:tcPr>
            <w:tcW w:w="632" w:type="dxa"/>
            <w:tcBorders>
              <w:top w:val="nil"/>
              <w:left w:val="nil"/>
              <w:bottom w:val="nil"/>
              <w:right w:val="nil"/>
            </w:tcBorders>
          </w:tcPr>
          <w:p w14:paraId="1E9DC4FD" w14:textId="77777777" w:rsidR="008D62F5" w:rsidRPr="00E64512" w:rsidRDefault="008D62F5" w:rsidP="00E34BBA">
            <w:pPr>
              <w:jc w:val="right"/>
              <w:rPr>
                <w:rFonts w:ascii="Arial" w:hAnsi="Arial" w:cs="Arial"/>
                <w:color w:val="C0504D" w:themeColor="accent2"/>
                <w:sz w:val="22"/>
                <w:szCs w:val="22"/>
              </w:rPr>
            </w:pPr>
            <w:r w:rsidRPr="00E64512">
              <w:rPr>
                <w:rFonts w:ascii="Arial" w:hAnsi="Arial" w:cs="Arial"/>
                <w:sz w:val="22"/>
                <w:szCs w:val="22"/>
              </w:rPr>
              <w:t>1</w:t>
            </w:r>
            <w:r>
              <w:rPr>
                <w:rFonts w:ascii="Arial" w:hAnsi="Arial" w:cs="Arial"/>
                <w:sz w:val="22"/>
                <w:szCs w:val="22"/>
              </w:rPr>
              <w:t>.0</w:t>
            </w:r>
          </w:p>
        </w:tc>
        <w:tc>
          <w:tcPr>
            <w:tcW w:w="1301" w:type="dxa"/>
            <w:tcBorders>
              <w:top w:val="nil"/>
              <w:left w:val="nil"/>
              <w:bottom w:val="nil"/>
              <w:right w:val="single" w:sz="2" w:space="0" w:color="FFFFFF" w:themeColor="background1"/>
            </w:tcBorders>
            <w:tcMar>
              <w:top w:w="72" w:type="dxa"/>
              <w:left w:w="115" w:type="dxa"/>
              <w:bottom w:w="72" w:type="dxa"/>
              <w:right w:w="115" w:type="dxa"/>
            </w:tcMar>
          </w:tcPr>
          <w:p w14:paraId="259AF19B" w14:textId="77777777" w:rsidR="008D62F5" w:rsidRPr="00E64512" w:rsidRDefault="008D62F5" w:rsidP="00E34BBA">
            <w:pPr>
              <w:jc w:val="right"/>
              <w:rPr>
                <w:rFonts w:ascii="Arial" w:hAnsi="Arial" w:cs="Arial"/>
                <w:sz w:val="22"/>
                <w:szCs w:val="22"/>
              </w:rPr>
            </w:pPr>
            <w:r w:rsidRPr="00E64512">
              <w:rPr>
                <w:rFonts w:ascii="Arial" w:hAnsi="Arial" w:cs="Arial"/>
                <w:sz w:val="22"/>
                <w:szCs w:val="22"/>
              </w:rPr>
              <w:t>$196,822</w:t>
            </w:r>
          </w:p>
        </w:tc>
      </w:tr>
      <w:tr w:rsidR="008D62F5" w:rsidRPr="00E64512" w14:paraId="0B5BAD55" w14:textId="77777777" w:rsidTr="00992690">
        <w:trPr>
          <w:cantSplit/>
          <w:jc w:val="center"/>
        </w:trPr>
        <w:tc>
          <w:tcPr>
            <w:tcW w:w="760" w:type="dxa"/>
            <w:tcBorders>
              <w:top w:val="nil"/>
              <w:left w:val="nil"/>
              <w:bottom w:val="nil"/>
              <w:right w:val="nil"/>
            </w:tcBorders>
          </w:tcPr>
          <w:p w14:paraId="0B1BE798" w14:textId="77777777" w:rsidR="008D62F5" w:rsidRPr="00E64512" w:rsidRDefault="008D62F5" w:rsidP="00E34BBA">
            <w:pPr>
              <w:rPr>
                <w:rFonts w:ascii="Arial" w:hAnsi="Arial" w:cs="Arial"/>
                <w:sz w:val="22"/>
                <w:szCs w:val="22"/>
              </w:rPr>
            </w:pPr>
            <w:r w:rsidRPr="00E64512">
              <w:rPr>
                <w:rFonts w:ascii="Arial" w:hAnsi="Arial" w:cs="Arial"/>
                <w:sz w:val="22"/>
                <w:szCs w:val="22"/>
              </w:rPr>
              <w:lastRenderedPageBreak/>
              <w:t>3</w:t>
            </w:r>
          </w:p>
        </w:tc>
        <w:tc>
          <w:tcPr>
            <w:tcW w:w="6388" w:type="dxa"/>
            <w:tcBorders>
              <w:top w:val="nil"/>
              <w:left w:val="nil"/>
              <w:bottom w:val="single" w:sz="8" w:space="0" w:color="auto"/>
              <w:right w:val="nil"/>
            </w:tcBorders>
            <w:tcMar>
              <w:top w:w="72" w:type="dxa"/>
              <w:left w:w="115" w:type="dxa"/>
              <w:bottom w:w="72" w:type="dxa"/>
              <w:right w:w="115" w:type="dxa"/>
            </w:tcMar>
          </w:tcPr>
          <w:p w14:paraId="489061B9" w14:textId="77777777" w:rsidR="008D62F5" w:rsidRPr="00E64512" w:rsidRDefault="008D62F5" w:rsidP="00E34BBA">
            <w:pPr>
              <w:spacing w:line="264" w:lineRule="auto"/>
              <w:rPr>
                <w:rFonts w:ascii="Arial" w:hAnsi="Arial" w:cs="Arial"/>
                <w:sz w:val="22"/>
                <w:szCs w:val="22"/>
              </w:rPr>
            </w:pPr>
            <w:r w:rsidRPr="00E64512">
              <w:rPr>
                <w:rFonts w:ascii="Arial" w:hAnsi="Arial" w:cs="Arial"/>
                <w:sz w:val="22"/>
                <w:szCs w:val="22"/>
                <w:u w:val="single"/>
              </w:rPr>
              <w:t>Safety and Health Professional</w:t>
            </w:r>
            <w:r w:rsidRPr="00E64512">
              <w:rPr>
                <w:rFonts w:ascii="Arial" w:hAnsi="Arial" w:cs="Arial"/>
                <w:sz w:val="22"/>
                <w:szCs w:val="22"/>
              </w:rPr>
              <w:t xml:space="preserve">. This position would support King County’s safety program. According to executive staff, ongoing safety issues such as workplace injuries, fires, and a heightened awareness of </w:t>
            </w:r>
            <w:r w:rsidRPr="00E71E58">
              <w:rPr>
                <w:rFonts w:ascii="Arial" w:hAnsi="Arial" w:cs="Arial"/>
                <w:sz w:val="22"/>
                <w:szCs w:val="22"/>
              </w:rPr>
              <w:t>the role of safety require a position to support this growing body of work.</w:t>
            </w:r>
          </w:p>
        </w:tc>
        <w:tc>
          <w:tcPr>
            <w:tcW w:w="632" w:type="dxa"/>
            <w:tcBorders>
              <w:top w:val="nil"/>
              <w:left w:val="nil"/>
              <w:bottom w:val="single" w:sz="8" w:space="0" w:color="auto"/>
              <w:right w:val="nil"/>
            </w:tcBorders>
          </w:tcPr>
          <w:p w14:paraId="6601D630" w14:textId="77777777" w:rsidR="008D62F5" w:rsidRPr="00E64512" w:rsidRDefault="008D62F5" w:rsidP="00E34BBA">
            <w:pPr>
              <w:jc w:val="right"/>
              <w:rPr>
                <w:rFonts w:ascii="Arial" w:hAnsi="Arial" w:cs="Arial"/>
                <w:color w:val="C0504D" w:themeColor="accent2"/>
                <w:sz w:val="22"/>
                <w:szCs w:val="22"/>
              </w:rPr>
            </w:pPr>
            <w:r w:rsidRPr="00E64512">
              <w:rPr>
                <w:rFonts w:ascii="Arial" w:hAnsi="Arial" w:cs="Arial"/>
                <w:sz w:val="22"/>
                <w:szCs w:val="22"/>
              </w:rPr>
              <w:t>1</w:t>
            </w:r>
            <w:r>
              <w:rPr>
                <w:rFonts w:ascii="Arial" w:hAnsi="Arial" w:cs="Arial"/>
                <w:sz w:val="22"/>
                <w:szCs w:val="22"/>
              </w:rPr>
              <w:t>.0</w:t>
            </w:r>
          </w:p>
        </w:tc>
        <w:tc>
          <w:tcPr>
            <w:tcW w:w="1301" w:type="dxa"/>
            <w:tcBorders>
              <w:top w:val="nil"/>
              <w:left w:val="nil"/>
              <w:bottom w:val="single" w:sz="8" w:space="0" w:color="auto"/>
              <w:right w:val="nil"/>
            </w:tcBorders>
            <w:tcMar>
              <w:top w:w="72" w:type="dxa"/>
              <w:left w:w="115" w:type="dxa"/>
              <w:bottom w:w="72" w:type="dxa"/>
              <w:right w:w="115" w:type="dxa"/>
            </w:tcMar>
          </w:tcPr>
          <w:p w14:paraId="6F82E36D" w14:textId="77777777" w:rsidR="008D62F5" w:rsidRPr="00E64512" w:rsidRDefault="008D62F5" w:rsidP="00E34BBA">
            <w:pPr>
              <w:jc w:val="right"/>
              <w:rPr>
                <w:rFonts w:ascii="Arial" w:hAnsi="Arial" w:cs="Arial"/>
                <w:sz w:val="22"/>
                <w:szCs w:val="22"/>
              </w:rPr>
            </w:pPr>
            <w:r w:rsidRPr="00E64512">
              <w:rPr>
                <w:rFonts w:ascii="Arial" w:hAnsi="Arial" w:cs="Arial"/>
                <w:sz w:val="22"/>
                <w:szCs w:val="22"/>
              </w:rPr>
              <w:t>$170,477</w:t>
            </w:r>
          </w:p>
        </w:tc>
      </w:tr>
      <w:tr w:rsidR="00992690" w:rsidRPr="00E64512" w14:paraId="3333CA15" w14:textId="77777777" w:rsidTr="00992690">
        <w:trPr>
          <w:cantSplit/>
          <w:jc w:val="center"/>
        </w:trPr>
        <w:tc>
          <w:tcPr>
            <w:tcW w:w="760" w:type="dxa"/>
            <w:tcBorders>
              <w:top w:val="nil"/>
              <w:left w:val="nil"/>
              <w:bottom w:val="single" w:sz="12" w:space="0" w:color="auto"/>
              <w:right w:val="nil"/>
            </w:tcBorders>
          </w:tcPr>
          <w:p w14:paraId="75DD4CD3" w14:textId="77777777" w:rsidR="00992690" w:rsidRPr="00E64512" w:rsidRDefault="00992690" w:rsidP="00E34BBA">
            <w:pPr>
              <w:rPr>
                <w:rFonts w:ascii="Arial" w:hAnsi="Arial" w:cs="Arial"/>
                <w:sz w:val="22"/>
                <w:szCs w:val="22"/>
              </w:rPr>
            </w:pPr>
          </w:p>
        </w:tc>
        <w:tc>
          <w:tcPr>
            <w:tcW w:w="6388" w:type="dxa"/>
            <w:tcBorders>
              <w:top w:val="single" w:sz="8" w:space="0" w:color="auto"/>
              <w:left w:val="nil"/>
              <w:bottom w:val="single" w:sz="12" w:space="0" w:color="auto"/>
              <w:right w:val="nil"/>
            </w:tcBorders>
            <w:tcMar>
              <w:top w:w="72" w:type="dxa"/>
              <w:left w:w="115" w:type="dxa"/>
              <w:bottom w:w="72" w:type="dxa"/>
              <w:right w:w="115" w:type="dxa"/>
            </w:tcMar>
          </w:tcPr>
          <w:p w14:paraId="45D93AEE" w14:textId="6C23426E" w:rsidR="00992690" w:rsidRPr="00992690" w:rsidRDefault="00992690" w:rsidP="00992690">
            <w:pPr>
              <w:spacing w:line="264" w:lineRule="auto"/>
              <w:jc w:val="right"/>
              <w:rPr>
                <w:rFonts w:ascii="Arial" w:hAnsi="Arial" w:cs="Arial"/>
                <w:b/>
                <w:bCs/>
                <w:sz w:val="22"/>
                <w:szCs w:val="22"/>
              </w:rPr>
            </w:pPr>
            <w:r w:rsidRPr="00992690">
              <w:rPr>
                <w:rFonts w:ascii="Arial" w:hAnsi="Arial" w:cs="Arial"/>
                <w:b/>
                <w:bCs/>
                <w:sz w:val="22"/>
                <w:szCs w:val="22"/>
              </w:rPr>
              <w:t>TOTAL</w:t>
            </w:r>
          </w:p>
        </w:tc>
        <w:tc>
          <w:tcPr>
            <w:tcW w:w="632" w:type="dxa"/>
            <w:tcBorders>
              <w:top w:val="single" w:sz="8" w:space="0" w:color="auto"/>
              <w:left w:val="nil"/>
              <w:bottom w:val="single" w:sz="12" w:space="0" w:color="auto"/>
              <w:right w:val="nil"/>
            </w:tcBorders>
          </w:tcPr>
          <w:p w14:paraId="39B6951A" w14:textId="10B777CA" w:rsidR="00992690" w:rsidRPr="00992690" w:rsidRDefault="00992690" w:rsidP="00E34BBA">
            <w:pPr>
              <w:jc w:val="right"/>
              <w:rPr>
                <w:rFonts w:ascii="Arial" w:hAnsi="Arial" w:cs="Arial"/>
                <w:b/>
                <w:bCs/>
                <w:sz w:val="22"/>
                <w:szCs w:val="22"/>
              </w:rPr>
            </w:pPr>
            <w:r w:rsidRPr="00992690">
              <w:rPr>
                <w:rFonts w:ascii="Arial" w:hAnsi="Arial" w:cs="Arial"/>
                <w:b/>
                <w:bCs/>
                <w:sz w:val="22"/>
                <w:szCs w:val="22"/>
              </w:rPr>
              <w:t>3.0</w:t>
            </w:r>
          </w:p>
        </w:tc>
        <w:tc>
          <w:tcPr>
            <w:tcW w:w="1301" w:type="dxa"/>
            <w:tcBorders>
              <w:top w:val="single" w:sz="8" w:space="0" w:color="auto"/>
              <w:left w:val="nil"/>
              <w:bottom w:val="single" w:sz="12" w:space="0" w:color="auto"/>
              <w:right w:val="nil"/>
            </w:tcBorders>
            <w:tcMar>
              <w:top w:w="72" w:type="dxa"/>
              <w:left w:w="115" w:type="dxa"/>
              <w:bottom w:w="72" w:type="dxa"/>
              <w:right w:w="115" w:type="dxa"/>
            </w:tcMar>
          </w:tcPr>
          <w:p w14:paraId="2C82DBB7" w14:textId="265DEBCC" w:rsidR="00992690" w:rsidRPr="00992690" w:rsidRDefault="00992690" w:rsidP="00E34BBA">
            <w:pPr>
              <w:jc w:val="right"/>
              <w:rPr>
                <w:rFonts w:ascii="Arial" w:hAnsi="Arial" w:cs="Arial"/>
                <w:b/>
                <w:bCs/>
                <w:sz w:val="22"/>
                <w:szCs w:val="22"/>
              </w:rPr>
            </w:pPr>
            <w:r w:rsidRPr="00992690">
              <w:rPr>
                <w:rFonts w:ascii="Arial" w:hAnsi="Arial" w:cs="Arial"/>
                <w:b/>
                <w:bCs/>
                <w:sz w:val="22"/>
                <w:szCs w:val="22"/>
              </w:rPr>
              <w:t>$553,438</w:t>
            </w:r>
          </w:p>
        </w:tc>
      </w:tr>
    </w:tbl>
    <w:p w14:paraId="57155C89" w14:textId="190627E7" w:rsidR="008D62F5" w:rsidRPr="00E64512" w:rsidRDefault="008D62F5" w:rsidP="008D62F5">
      <w:pPr>
        <w:rPr>
          <w:rFonts w:ascii="Arial" w:hAnsi="Arial" w:cs="Arial"/>
          <w:sz w:val="22"/>
          <w:szCs w:val="22"/>
        </w:rPr>
      </w:pPr>
    </w:p>
    <w:p w14:paraId="4C157716" w14:textId="190627E7" w:rsidR="00727514" w:rsidRDefault="00727514" w:rsidP="00727514">
      <w:pPr>
        <w:tabs>
          <w:tab w:val="left" w:pos="720"/>
          <w:tab w:val="right" w:pos="9360"/>
        </w:tabs>
        <w:spacing w:line="264" w:lineRule="auto"/>
        <w:contextualSpacing/>
        <w:jc w:val="both"/>
        <w:rPr>
          <w:rFonts w:ascii="Arial" w:hAnsi="Arial" w:cs="Arial"/>
          <w:b/>
          <w:u w:val="single"/>
        </w:rPr>
      </w:pPr>
    </w:p>
    <w:p w14:paraId="5520915E" w14:textId="77777777" w:rsidR="007064F3" w:rsidRDefault="007064F3" w:rsidP="00727514">
      <w:pPr>
        <w:tabs>
          <w:tab w:val="left" w:pos="720"/>
          <w:tab w:val="right" w:pos="9360"/>
        </w:tabs>
        <w:spacing w:line="264" w:lineRule="auto"/>
        <w:contextualSpacing/>
        <w:jc w:val="both"/>
        <w:rPr>
          <w:rFonts w:ascii="Arial" w:hAnsi="Arial" w:cs="Arial"/>
          <w:b/>
          <w:u w:val="single"/>
        </w:rPr>
      </w:pPr>
    </w:p>
    <w:p w14:paraId="05CC43A2" w14:textId="190627E7" w:rsidR="00AB45DE" w:rsidRPr="006B2F3A" w:rsidRDefault="00AB45DE" w:rsidP="00727514">
      <w:pPr>
        <w:tabs>
          <w:tab w:val="left" w:pos="720"/>
          <w:tab w:val="right" w:pos="9360"/>
        </w:tabs>
        <w:spacing w:line="264" w:lineRule="auto"/>
        <w:contextualSpacing/>
        <w:jc w:val="both"/>
        <w:rPr>
          <w:rFonts w:ascii="Arial" w:hAnsi="Arial" w:cs="Arial"/>
          <w:b/>
          <w:u w:val="thick"/>
        </w:rPr>
      </w:pPr>
      <w:r w:rsidRPr="006B2F3A">
        <w:rPr>
          <w:rFonts w:ascii="Arial" w:hAnsi="Arial" w:cs="Arial"/>
          <w:b/>
          <w:u w:val="thick"/>
        </w:rPr>
        <w:t>Finance and Business Operations Division (FBOD)</w:t>
      </w:r>
      <w:r w:rsidRPr="006B2F3A">
        <w:rPr>
          <w:u w:val="thick"/>
        </w:rPr>
        <w:tab/>
      </w:r>
      <w:r w:rsidRPr="006B2F3A">
        <w:rPr>
          <w:rFonts w:ascii="Arial" w:hAnsi="Arial" w:cs="Arial"/>
          <w:b/>
          <w:u w:val="thick"/>
        </w:rPr>
        <w:t>$4,064,000, 13.0 FTEs</w:t>
      </w:r>
    </w:p>
    <w:p w14:paraId="084B5288" w14:textId="190627E7" w:rsidR="00AB45DE" w:rsidRDefault="00AB45DE" w:rsidP="00727514">
      <w:pPr>
        <w:spacing w:line="264" w:lineRule="auto"/>
        <w:contextualSpacing/>
        <w:jc w:val="both"/>
        <w:rPr>
          <w:b/>
        </w:rPr>
      </w:pPr>
    </w:p>
    <w:p w14:paraId="2A150A14" w14:textId="77777777" w:rsidR="00AB45DE" w:rsidRPr="008C3864" w:rsidRDefault="00AB45DE" w:rsidP="00727514">
      <w:pPr>
        <w:spacing w:line="264" w:lineRule="auto"/>
        <w:contextualSpacing/>
        <w:jc w:val="both"/>
        <w:rPr>
          <w:rFonts w:ascii="Arial" w:hAnsi="Arial" w:cs="Arial"/>
          <w:bCs/>
        </w:rPr>
      </w:pPr>
      <w:r>
        <w:rPr>
          <w:rFonts w:ascii="Arial" w:hAnsi="Arial" w:cs="Arial"/>
          <w:b/>
          <w:i/>
          <w:iCs/>
        </w:rPr>
        <w:t>Pro-Equity Contracting [</w:t>
      </w:r>
      <w:r w:rsidRPr="0054665B">
        <w:rPr>
          <w:rFonts w:ascii="Arial" w:hAnsi="Arial" w:cs="Arial"/>
          <w:b/>
          <w:i/>
          <w:iCs/>
        </w:rPr>
        <w:t>$</w:t>
      </w:r>
      <w:r>
        <w:rPr>
          <w:rFonts w:ascii="Arial" w:hAnsi="Arial" w:cs="Arial"/>
          <w:b/>
          <w:i/>
          <w:iCs/>
        </w:rPr>
        <w:t xml:space="preserve">1,707,000, 4.0 FTEs, ongoing].  </w:t>
      </w:r>
      <w:r>
        <w:rPr>
          <w:rFonts w:ascii="Arial" w:hAnsi="Arial" w:cs="Arial"/>
          <w:bCs/>
        </w:rPr>
        <w:t xml:space="preserve">This proposed appropriation would use fund balance and internal cost sharing to support the implementation of </w:t>
      </w:r>
      <w:r w:rsidRPr="003B2346">
        <w:rPr>
          <w:rFonts w:ascii="Arial" w:hAnsi="Arial" w:cs="Arial"/>
          <w:bCs/>
        </w:rPr>
        <w:t xml:space="preserve">executive order CON-7-28-EO entitled </w:t>
      </w:r>
      <w:r w:rsidRPr="00452624">
        <w:rPr>
          <w:rFonts w:ascii="Arial" w:hAnsi="Arial" w:cs="Arial"/>
          <w:bCs/>
          <w:i/>
          <w:iCs/>
        </w:rPr>
        <w:t>Pro-equity Contracting</w:t>
      </w:r>
      <w:r>
        <w:rPr>
          <w:rStyle w:val="FootnoteReference"/>
          <w:rFonts w:ascii="Arial" w:hAnsi="Arial" w:cs="Arial"/>
          <w:bCs/>
        </w:rPr>
        <w:footnoteReference w:id="64"/>
      </w:r>
      <w:r w:rsidRPr="00297C9E">
        <w:rPr>
          <w:rFonts w:ascii="Arial" w:hAnsi="Arial" w:cs="Arial"/>
          <w:bCs/>
        </w:rPr>
        <w:t>.</w:t>
      </w:r>
      <w:r w:rsidRPr="003B2346">
        <w:rPr>
          <w:rFonts w:ascii="Arial" w:hAnsi="Arial" w:cs="Arial"/>
          <w:bCs/>
        </w:rPr>
        <w:t xml:space="preserve"> </w:t>
      </w:r>
      <w:r>
        <w:rPr>
          <w:rFonts w:ascii="Arial" w:hAnsi="Arial" w:cs="Arial"/>
          <w:bCs/>
        </w:rPr>
        <w:t xml:space="preserve">The executive order </w:t>
      </w:r>
      <w:r w:rsidRPr="003B2346">
        <w:rPr>
          <w:rFonts w:ascii="Arial" w:hAnsi="Arial" w:cs="Arial"/>
          <w:bCs/>
        </w:rPr>
        <w:t>direct</w:t>
      </w:r>
      <w:r>
        <w:rPr>
          <w:rFonts w:ascii="Arial" w:hAnsi="Arial" w:cs="Arial"/>
          <w:bCs/>
        </w:rPr>
        <w:t>s</w:t>
      </w:r>
      <w:r w:rsidRPr="003B2346">
        <w:rPr>
          <w:rFonts w:ascii="Arial" w:hAnsi="Arial" w:cs="Arial"/>
          <w:bCs/>
        </w:rPr>
        <w:t xml:space="preserve"> the implementation of most of the recommendations included in the </w:t>
      </w:r>
      <w:r>
        <w:rPr>
          <w:rFonts w:ascii="Arial" w:hAnsi="Arial" w:cs="Arial"/>
          <w:bCs/>
        </w:rPr>
        <w:t xml:space="preserve">June 2021 county auditor report entitled </w:t>
      </w:r>
      <w:r w:rsidRPr="00452624">
        <w:rPr>
          <w:rFonts w:ascii="Arial" w:hAnsi="Arial" w:cs="Arial"/>
          <w:bCs/>
          <w:i/>
          <w:iCs/>
        </w:rPr>
        <w:t>Contracting Inequities Persist in Race-Neutral Environment</w:t>
      </w:r>
      <w:r>
        <w:rPr>
          <w:rStyle w:val="FootnoteReference"/>
          <w:rFonts w:ascii="Arial" w:hAnsi="Arial" w:cs="Arial"/>
          <w:bCs/>
          <w:i/>
          <w:iCs/>
        </w:rPr>
        <w:footnoteReference w:id="65"/>
      </w:r>
      <w:r w:rsidRPr="00452624">
        <w:rPr>
          <w:rFonts w:ascii="Arial" w:hAnsi="Arial" w:cs="Arial"/>
          <w:bCs/>
        </w:rPr>
        <w:t xml:space="preserve"> which concluded that contracting inequities persist in the county and provided fourteen recommendations to reduce racial disparities in awarding county contracts</w:t>
      </w:r>
      <w:r>
        <w:rPr>
          <w:rFonts w:ascii="Arial" w:hAnsi="Arial" w:cs="Arial"/>
          <w:bCs/>
        </w:rPr>
        <w:t>. The following table provides a summary of the items that would be funded by this appropriation to support the Business Development and Contract Compliance (BDCC) unit.</w:t>
      </w:r>
    </w:p>
    <w:p w14:paraId="0430757D" w14:textId="77777777" w:rsidR="00AB45DE" w:rsidRPr="003626AA" w:rsidRDefault="00AB45DE" w:rsidP="00727514">
      <w:pPr>
        <w:spacing w:line="264" w:lineRule="auto"/>
        <w:contextualSpacing/>
        <w:jc w:val="both"/>
        <w:rPr>
          <w:rFonts w:ascii="Arial" w:hAnsi="Arial" w:cs="Arial"/>
        </w:rPr>
      </w:pPr>
    </w:p>
    <w:tbl>
      <w:tblPr>
        <w:tblStyle w:val="TableGrid"/>
        <w:tblW w:w="9360" w:type="dxa"/>
        <w:tblInd w:w="108" w:type="dxa"/>
        <w:tblLayout w:type="fixed"/>
        <w:tblLook w:val="04A0" w:firstRow="1" w:lastRow="0" w:firstColumn="1" w:lastColumn="0" w:noHBand="0" w:noVBand="1"/>
      </w:tblPr>
      <w:tblGrid>
        <w:gridCol w:w="571"/>
        <w:gridCol w:w="252"/>
        <w:gridCol w:w="6107"/>
        <w:gridCol w:w="270"/>
        <w:gridCol w:w="1080"/>
        <w:gridCol w:w="270"/>
        <w:gridCol w:w="810"/>
      </w:tblGrid>
      <w:tr w:rsidR="00AB45DE" w:rsidRPr="000B01DA" w14:paraId="6D337CEF" w14:textId="77777777" w:rsidTr="00E34BBA">
        <w:trPr>
          <w:cantSplit/>
          <w:trHeight w:val="375"/>
          <w:tblHeader/>
        </w:trPr>
        <w:tc>
          <w:tcPr>
            <w:tcW w:w="571" w:type="dxa"/>
            <w:tcBorders>
              <w:top w:val="single" w:sz="12" w:space="0" w:color="auto"/>
              <w:left w:val="nil"/>
              <w:bottom w:val="single" w:sz="4" w:space="0" w:color="auto"/>
              <w:right w:val="nil"/>
            </w:tcBorders>
            <w:vAlign w:val="bottom"/>
          </w:tcPr>
          <w:p w14:paraId="5217F62E"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No.</w:t>
            </w:r>
          </w:p>
        </w:tc>
        <w:tc>
          <w:tcPr>
            <w:tcW w:w="252" w:type="dxa"/>
            <w:tcBorders>
              <w:top w:val="single" w:sz="12" w:space="0" w:color="auto"/>
              <w:left w:val="nil"/>
              <w:bottom w:val="nil"/>
              <w:right w:val="nil"/>
            </w:tcBorders>
          </w:tcPr>
          <w:p w14:paraId="7C4C1E45" w14:textId="77777777" w:rsidR="00AB45DE" w:rsidRPr="000B01DA" w:rsidRDefault="00AB45DE" w:rsidP="00727514">
            <w:pPr>
              <w:spacing w:line="264" w:lineRule="auto"/>
              <w:contextualSpacing/>
              <w:jc w:val="both"/>
              <w:rPr>
                <w:rFonts w:ascii="Arial" w:hAnsi="Arial" w:cs="Arial"/>
                <w:b/>
                <w:sz w:val="22"/>
                <w:szCs w:val="22"/>
              </w:rPr>
            </w:pPr>
          </w:p>
        </w:tc>
        <w:tc>
          <w:tcPr>
            <w:tcW w:w="6107" w:type="dxa"/>
            <w:tcBorders>
              <w:top w:val="single" w:sz="12" w:space="0" w:color="auto"/>
              <w:left w:val="nil"/>
              <w:bottom w:val="single" w:sz="4" w:space="0" w:color="auto"/>
              <w:right w:val="nil"/>
            </w:tcBorders>
            <w:shd w:val="clear" w:color="auto" w:fill="auto"/>
            <w:vAlign w:val="bottom"/>
          </w:tcPr>
          <w:p w14:paraId="0F323BEC" w14:textId="77777777" w:rsidR="00AB45DE" w:rsidRPr="000B01DA" w:rsidRDefault="00AB45DE" w:rsidP="00727514">
            <w:pPr>
              <w:spacing w:line="264" w:lineRule="auto"/>
              <w:contextualSpacing/>
              <w:jc w:val="both"/>
              <w:rPr>
                <w:rFonts w:ascii="Arial" w:hAnsi="Arial" w:cs="Arial"/>
                <w:b/>
                <w:sz w:val="22"/>
                <w:szCs w:val="22"/>
              </w:rPr>
            </w:pPr>
            <w:r>
              <w:rPr>
                <w:rFonts w:ascii="Arial" w:hAnsi="Arial" w:cs="Arial"/>
                <w:b/>
                <w:sz w:val="22"/>
                <w:szCs w:val="22"/>
              </w:rPr>
              <w:t>Description</w:t>
            </w:r>
          </w:p>
        </w:tc>
        <w:tc>
          <w:tcPr>
            <w:tcW w:w="270" w:type="dxa"/>
            <w:tcBorders>
              <w:top w:val="single" w:sz="12" w:space="0" w:color="auto"/>
              <w:left w:val="nil"/>
              <w:bottom w:val="nil"/>
              <w:right w:val="nil"/>
            </w:tcBorders>
          </w:tcPr>
          <w:p w14:paraId="15319425" w14:textId="77777777" w:rsidR="00AB45DE" w:rsidRPr="000B01DA" w:rsidRDefault="00AB45DE" w:rsidP="00727514">
            <w:pPr>
              <w:spacing w:line="264" w:lineRule="auto"/>
              <w:contextualSpacing/>
              <w:jc w:val="center"/>
              <w:rPr>
                <w:rFonts w:ascii="Arial" w:hAnsi="Arial" w:cs="Arial"/>
                <w:b/>
                <w:sz w:val="22"/>
                <w:szCs w:val="22"/>
              </w:rPr>
            </w:pPr>
          </w:p>
        </w:tc>
        <w:tc>
          <w:tcPr>
            <w:tcW w:w="1080" w:type="dxa"/>
            <w:tcBorders>
              <w:top w:val="single" w:sz="12" w:space="0" w:color="auto"/>
              <w:left w:val="nil"/>
              <w:bottom w:val="single" w:sz="4" w:space="0" w:color="auto"/>
              <w:right w:val="nil"/>
            </w:tcBorders>
            <w:shd w:val="clear" w:color="auto" w:fill="auto"/>
            <w:vAlign w:val="bottom"/>
          </w:tcPr>
          <w:p w14:paraId="2A0D06E4"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Amount</w:t>
            </w:r>
          </w:p>
        </w:tc>
        <w:tc>
          <w:tcPr>
            <w:tcW w:w="270" w:type="dxa"/>
            <w:tcBorders>
              <w:top w:val="single" w:sz="12" w:space="0" w:color="auto"/>
              <w:left w:val="nil"/>
              <w:bottom w:val="nil"/>
              <w:right w:val="nil"/>
            </w:tcBorders>
            <w:vAlign w:val="bottom"/>
          </w:tcPr>
          <w:p w14:paraId="50CE1C30" w14:textId="77777777" w:rsidR="00AB45DE" w:rsidRPr="000B01DA" w:rsidRDefault="00AB45DE" w:rsidP="00727514">
            <w:pPr>
              <w:spacing w:line="264" w:lineRule="auto"/>
              <w:contextualSpacing/>
              <w:jc w:val="center"/>
              <w:rPr>
                <w:rFonts w:ascii="Arial" w:hAnsi="Arial" w:cs="Arial"/>
                <w:b/>
                <w:sz w:val="22"/>
                <w:szCs w:val="22"/>
              </w:rPr>
            </w:pPr>
          </w:p>
        </w:tc>
        <w:tc>
          <w:tcPr>
            <w:tcW w:w="810" w:type="dxa"/>
            <w:tcBorders>
              <w:top w:val="single" w:sz="12" w:space="0" w:color="auto"/>
              <w:left w:val="nil"/>
              <w:bottom w:val="single" w:sz="4" w:space="0" w:color="auto"/>
              <w:right w:val="nil"/>
            </w:tcBorders>
            <w:shd w:val="clear" w:color="auto" w:fill="auto"/>
            <w:vAlign w:val="bottom"/>
          </w:tcPr>
          <w:p w14:paraId="0E1C4298"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FTEs</w:t>
            </w:r>
          </w:p>
        </w:tc>
      </w:tr>
      <w:tr w:rsidR="00AB45DE" w:rsidRPr="000B01DA" w14:paraId="493E0456" w14:textId="77777777" w:rsidTr="00E34BBA">
        <w:trPr>
          <w:cantSplit/>
        </w:trPr>
        <w:tc>
          <w:tcPr>
            <w:tcW w:w="571" w:type="dxa"/>
            <w:tcBorders>
              <w:top w:val="nil"/>
              <w:left w:val="nil"/>
              <w:bottom w:val="nil"/>
              <w:right w:val="nil"/>
            </w:tcBorders>
          </w:tcPr>
          <w:p w14:paraId="6B4CD41C"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1</w:t>
            </w:r>
          </w:p>
        </w:tc>
        <w:tc>
          <w:tcPr>
            <w:tcW w:w="252" w:type="dxa"/>
            <w:tcBorders>
              <w:top w:val="nil"/>
              <w:left w:val="nil"/>
              <w:bottom w:val="nil"/>
              <w:right w:val="nil"/>
            </w:tcBorders>
          </w:tcPr>
          <w:p w14:paraId="7D72169A" w14:textId="77777777" w:rsidR="00AB45DE" w:rsidRDefault="00AB45DE" w:rsidP="00727514">
            <w:pPr>
              <w:spacing w:line="264" w:lineRule="auto"/>
              <w:contextualSpacing/>
              <w:rPr>
                <w:rFonts w:ascii="Arial" w:hAnsi="Arial" w:cs="Arial"/>
                <w:sz w:val="22"/>
                <w:szCs w:val="22"/>
              </w:rPr>
            </w:pPr>
          </w:p>
        </w:tc>
        <w:tc>
          <w:tcPr>
            <w:tcW w:w="6107" w:type="dxa"/>
            <w:tcBorders>
              <w:top w:val="nil"/>
              <w:left w:val="nil"/>
              <w:bottom w:val="nil"/>
              <w:right w:val="nil"/>
            </w:tcBorders>
            <w:shd w:val="clear" w:color="auto" w:fill="auto"/>
            <w:tcMar>
              <w:top w:w="43" w:type="dxa"/>
              <w:left w:w="115" w:type="dxa"/>
              <w:bottom w:w="43" w:type="dxa"/>
              <w:right w:w="115" w:type="dxa"/>
            </w:tcMar>
          </w:tcPr>
          <w:p w14:paraId="1CDA0975"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Disparity Study</w:t>
            </w:r>
            <w:r>
              <w:rPr>
                <w:rFonts w:ascii="Arial" w:hAnsi="Arial" w:cs="Arial"/>
                <w:sz w:val="22"/>
                <w:szCs w:val="22"/>
              </w:rPr>
              <w:t xml:space="preserve"> – To</w:t>
            </w:r>
            <w:r w:rsidRPr="00005819">
              <w:rPr>
                <w:rFonts w:ascii="Arial" w:hAnsi="Arial" w:cs="Arial"/>
                <w:sz w:val="22"/>
                <w:szCs w:val="22"/>
              </w:rPr>
              <w:t xml:space="preserve"> analyze the availability of </w:t>
            </w:r>
            <w:r>
              <w:rPr>
                <w:rFonts w:ascii="Arial" w:hAnsi="Arial" w:cs="Arial"/>
                <w:sz w:val="22"/>
                <w:szCs w:val="22"/>
              </w:rPr>
              <w:t>M</w:t>
            </w:r>
            <w:r w:rsidRPr="00005819">
              <w:rPr>
                <w:rFonts w:ascii="Arial" w:hAnsi="Arial" w:cs="Arial"/>
                <w:sz w:val="22"/>
                <w:szCs w:val="22"/>
              </w:rPr>
              <w:t xml:space="preserve">inority and </w:t>
            </w:r>
            <w:r>
              <w:rPr>
                <w:rFonts w:ascii="Arial" w:hAnsi="Arial" w:cs="Arial"/>
                <w:sz w:val="22"/>
                <w:szCs w:val="22"/>
              </w:rPr>
              <w:t>W</w:t>
            </w:r>
            <w:r w:rsidRPr="00005819">
              <w:rPr>
                <w:rFonts w:ascii="Arial" w:hAnsi="Arial" w:cs="Arial"/>
                <w:sz w:val="22"/>
                <w:szCs w:val="22"/>
              </w:rPr>
              <w:t xml:space="preserve">omen-owned </w:t>
            </w:r>
            <w:r>
              <w:rPr>
                <w:rFonts w:ascii="Arial" w:hAnsi="Arial" w:cs="Arial"/>
                <w:sz w:val="22"/>
                <w:szCs w:val="22"/>
              </w:rPr>
              <w:t>Enterprises (MWBE)</w:t>
            </w:r>
            <w:r w:rsidRPr="00005819">
              <w:rPr>
                <w:rFonts w:ascii="Arial" w:hAnsi="Arial" w:cs="Arial"/>
                <w:sz w:val="22"/>
                <w:szCs w:val="22"/>
              </w:rPr>
              <w:t xml:space="preserve"> able and willing to perform work for </w:t>
            </w:r>
            <w:r>
              <w:rPr>
                <w:rFonts w:ascii="Arial" w:hAnsi="Arial" w:cs="Arial"/>
                <w:sz w:val="22"/>
                <w:szCs w:val="22"/>
              </w:rPr>
              <w:t>the county, t</w:t>
            </w:r>
            <w:r w:rsidRPr="00005819">
              <w:rPr>
                <w:rFonts w:ascii="Arial" w:hAnsi="Arial" w:cs="Arial"/>
                <w:sz w:val="22"/>
                <w:szCs w:val="22"/>
              </w:rPr>
              <w:t>h</w:t>
            </w:r>
            <w:r>
              <w:rPr>
                <w:rFonts w:ascii="Arial" w:hAnsi="Arial" w:cs="Arial"/>
                <w:sz w:val="22"/>
                <w:szCs w:val="22"/>
              </w:rPr>
              <w:t xml:space="preserve">e county’s </w:t>
            </w:r>
            <w:r w:rsidRPr="00005819">
              <w:rPr>
                <w:rFonts w:ascii="Arial" w:hAnsi="Arial" w:cs="Arial"/>
                <w:sz w:val="22"/>
                <w:szCs w:val="22"/>
              </w:rPr>
              <w:t xml:space="preserve">utilization of </w:t>
            </w:r>
            <w:r>
              <w:rPr>
                <w:rFonts w:ascii="Arial" w:hAnsi="Arial" w:cs="Arial"/>
                <w:sz w:val="22"/>
                <w:szCs w:val="22"/>
              </w:rPr>
              <w:t>MWBEs</w:t>
            </w:r>
            <w:r w:rsidRPr="00005819">
              <w:rPr>
                <w:rFonts w:ascii="Arial" w:hAnsi="Arial" w:cs="Arial"/>
                <w:sz w:val="22"/>
                <w:szCs w:val="22"/>
              </w:rPr>
              <w:t xml:space="preserve">, </w:t>
            </w:r>
            <w:r>
              <w:rPr>
                <w:rFonts w:ascii="Arial" w:hAnsi="Arial" w:cs="Arial"/>
                <w:sz w:val="22"/>
                <w:szCs w:val="22"/>
              </w:rPr>
              <w:t xml:space="preserve">disparities between </w:t>
            </w:r>
            <w:r w:rsidRPr="00005819">
              <w:rPr>
                <w:rFonts w:ascii="Arial" w:hAnsi="Arial" w:cs="Arial"/>
                <w:sz w:val="22"/>
                <w:szCs w:val="22"/>
              </w:rPr>
              <w:t xml:space="preserve">availability and utilization rates, and the factors contributing to </w:t>
            </w:r>
            <w:r>
              <w:rPr>
                <w:rFonts w:ascii="Arial" w:hAnsi="Arial" w:cs="Arial"/>
                <w:sz w:val="22"/>
                <w:szCs w:val="22"/>
              </w:rPr>
              <w:t xml:space="preserve">any identified </w:t>
            </w:r>
            <w:r w:rsidRPr="00005819">
              <w:rPr>
                <w:rFonts w:ascii="Arial" w:hAnsi="Arial" w:cs="Arial"/>
                <w:sz w:val="22"/>
                <w:szCs w:val="22"/>
              </w:rPr>
              <w:t xml:space="preserve">disparities. The study </w:t>
            </w:r>
            <w:r>
              <w:rPr>
                <w:rFonts w:ascii="Arial" w:hAnsi="Arial" w:cs="Arial"/>
                <w:sz w:val="22"/>
                <w:szCs w:val="22"/>
              </w:rPr>
              <w:t>would</w:t>
            </w:r>
            <w:r w:rsidRPr="00005819">
              <w:rPr>
                <w:rFonts w:ascii="Arial" w:hAnsi="Arial" w:cs="Arial"/>
                <w:sz w:val="22"/>
                <w:szCs w:val="22"/>
              </w:rPr>
              <w:t xml:space="preserve"> also assess race and gender-neutral strategies used by </w:t>
            </w:r>
            <w:r>
              <w:rPr>
                <w:rFonts w:ascii="Arial" w:hAnsi="Arial" w:cs="Arial"/>
                <w:sz w:val="22"/>
                <w:szCs w:val="22"/>
              </w:rPr>
              <w:t>the county</w:t>
            </w:r>
            <w:r w:rsidRPr="00005819">
              <w:rPr>
                <w:rFonts w:ascii="Arial" w:hAnsi="Arial" w:cs="Arial"/>
                <w:sz w:val="22"/>
                <w:szCs w:val="22"/>
              </w:rPr>
              <w:t xml:space="preserve"> to reduce disparities and identify procurement process improvements.</w:t>
            </w:r>
          </w:p>
        </w:tc>
        <w:tc>
          <w:tcPr>
            <w:tcW w:w="270" w:type="dxa"/>
            <w:tcBorders>
              <w:top w:val="nil"/>
              <w:left w:val="nil"/>
              <w:bottom w:val="nil"/>
              <w:right w:val="nil"/>
            </w:tcBorders>
          </w:tcPr>
          <w:p w14:paraId="73A99C8D"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4CE7BF43"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$960K</w:t>
            </w:r>
          </w:p>
        </w:tc>
        <w:tc>
          <w:tcPr>
            <w:tcW w:w="270" w:type="dxa"/>
            <w:tcBorders>
              <w:top w:val="nil"/>
              <w:left w:val="nil"/>
              <w:bottom w:val="nil"/>
              <w:right w:val="nil"/>
            </w:tcBorders>
          </w:tcPr>
          <w:p w14:paraId="71A158DC"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55DAE2DC"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n/a</w:t>
            </w:r>
          </w:p>
        </w:tc>
      </w:tr>
      <w:tr w:rsidR="00AB45DE" w:rsidRPr="000B01DA" w14:paraId="3E66AC8C" w14:textId="77777777" w:rsidTr="00E34BBA">
        <w:trPr>
          <w:cantSplit/>
        </w:trPr>
        <w:tc>
          <w:tcPr>
            <w:tcW w:w="571" w:type="dxa"/>
            <w:tcBorders>
              <w:top w:val="nil"/>
              <w:left w:val="nil"/>
              <w:bottom w:val="nil"/>
              <w:right w:val="nil"/>
            </w:tcBorders>
          </w:tcPr>
          <w:p w14:paraId="6B393F17" w14:textId="77777777" w:rsidR="00AB45DE" w:rsidRPr="00BB14A0" w:rsidRDefault="00AB45DE" w:rsidP="00727514">
            <w:pPr>
              <w:spacing w:line="264" w:lineRule="auto"/>
              <w:contextualSpacing/>
              <w:jc w:val="center"/>
              <w:rPr>
                <w:rFonts w:ascii="Arial" w:hAnsi="Arial" w:cs="Arial"/>
                <w:sz w:val="22"/>
                <w:szCs w:val="22"/>
              </w:rPr>
            </w:pPr>
            <w:r>
              <w:rPr>
                <w:rFonts w:ascii="Arial" w:hAnsi="Arial" w:cs="Arial"/>
                <w:sz w:val="22"/>
                <w:szCs w:val="22"/>
              </w:rPr>
              <w:t>2</w:t>
            </w:r>
          </w:p>
        </w:tc>
        <w:tc>
          <w:tcPr>
            <w:tcW w:w="252" w:type="dxa"/>
            <w:tcBorders>
              <w:top w:val="nil"/>
              <w:left w:val="nil"/>
              <w:bottom w:val="nil"/>
              <w:right w:val="nil"/>
            </w:tcBorders>
          </w:tcPr>
          <w:p w14:paraId="0E364C1F" w14:textId="77777777" w:rsidR="00AB45DE" w:rsidRPr="00BB14A0" w:rsidRDefault="00AB45DE" w:rsidP="00727514">
            <w:pPr>
              <w:spacing w:line="264" w:lineRule="auto"/>
              <w:contextualSpacing/>
              <w:rPr>
                <w:rFonts w:ascii="Arial" w:hAnsi="Arial" w:cs="Arial"/>
                <w:sz w:val="22"/>
                <w:szCs w:val="22"/>
              </w:rPr>
            </w:pPr>
          </w:p>
        </w:tc>
        <w:tc>
          <w:tcPr>
            <w:tcW w:w="6107" w:type="dxa"/>
            <w:tcBorders>
              <w:top w:val="nil"/>
              <w:left w:val="nil"/>
              <w:bottom w:val="nil"/>
              <w:right w:val="nil"/>
            </w:tcBorders>
            <w:shd w:val="clear" w:color="auto" w:fill="auto"/>
            <w:tcMar>
              <w:top w:w="43" w:type="dxa"/>
              <w:left w:w="115" w:type="dxa"/>
              <w:bottom w:w="43" w:type="dxa"/>
              <w:right w:w="115" w:type="dxa"/>
            </w:tcMar>
          </w:tcPr>
          <w:p w14:paraId="5412F0FD"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MWBE Program Coordinator</w:t>
            </w:r>
            <w:r>
              <w:rPr>
                <w:rFonts w:ascii="Arial" w:hAnsi="Arial" w:cs="Arial"/>
                <w:sz w:val="22"/>
                <w:szCs w:val="22"/>
              </w:rPr>
              <w:t xml:space="preserve"> – D</w:t>
            </w:r>
            <w:r w:rsidRPr="00AC4F7D">
              <w:rPr>
                <w:rFonts w:ascii="Arial" w:hAnsi="Arial" w:cs="Arial"/>
                <w:sz w:val="22"/>
                <w:szCs w:val="22"/>
              </w:rPr>
              <w:t xml:space="preserve">evelop and implement pro-equity strategies to amplify MWBE </w:t>
            </w:r>
            <w:r>
              <w:rPr>
                <w:rFonts w:ascii="Arial" w:hAnsi="Arial" w:cs="Arial"/>
                <w:sz w:val="22"/>
                <w:szCs w:val="22"/>
              </w:rPr>
              <w:t>participation</w:t>
            </w:r>
            <w:r w:rsidRPr="00AC4F7D">
              <w:rPr>
                <w:rFonts w:ascii="Arial" w:hAnsi="Arial" w:cs="Arial"/>
                <w:sz w:val="22"/>
                <w:szCs w:val="22"/>
              </w:rPr>
              <w:t xml:space="preserve">. </w:t>
            </w:r>
          </w:p>
        </w:tc>
        <w:tc>
          <w:tcPr>
            <w:tcW w:w="270" w:type="dxa"/>
            <w:tcBorders>
              <w:top w:val="nil"/>
              <w:left w:val="nil"/>
              <w:bottom w:val="nil"/>
              <w:right w:val="nil"/>
            </w:tcBorders>
          </w:tcPr>
          <w:p w14:paraId="75B40ECC"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17A88FBD"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$194K</w:t>
            </w:r>
          </w:p>
        </w:tc>
        <w:tc>
          <w:tcPr>
            <w:tcW w:w="270" w:type="dxa"/>
            <w:tcBorders>
              <w:top w:val="nil"/>
              <w:left w:val="nil"/>
              <w:bottom w:val="nil"/>
              <w:right w:val="nil"/>
            </w:tcBorders>
          </w:tcPr>
          <w:p w14:paraId="389F013B"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46FEF76B"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1.0</w:t>
            </w:r>
          </w:p>
        </w:tc>
      </w:tr>
      <w:tr w:rsidR="00AB45DE" w:rsidRPr="000B01DA" w14:paraId="77C53FDA" w14:textId="77777777" w:rsidTr="00E34BBA">
        <w:trPr>
          <w:cantSplit/>
        </w:trPr>
        <w:tc>
          <w:tcPr>
            <w:tcW w:w="571" w:type="dxa"/>
            <w:tcBorders>
              <w:top w:val="nil"/>
              <w:left w:val="nil"/>
              <w:bottom w:val="nil"/>
              <w:right w:val="nil"/>
            </w:tcBorders>
          </w:tcPr>
          <w:p w14:paraId="03F64730"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3</w:t>
            </w:r>
          </w:p>
        </w:tc>
        <w:tc>
          <w:tcPr>
            <w:tcW w:w="252" w:type="dxa"/>
            <w:tcBorders>
              <w:top w:val="nil"/>
              <w:left w:val="nil"/>
              <w:bottom w:val="nil"/>
              <w:right w:val="nil"/>
            </w:tcBorders>
          </w:tcPr>
          <w:p w14:paraId="1A15A520" w14:textId="77777777" w:rsidR="00AB45DE" w:rsidRDefault="00AB45DE" w:rsidP="00727514">
            <w:pPr>
              <w:spacing w:line="264" w:lineRule="auto"/>
              <w:contextualSpacing/>
              <w:rPr>
                <w:rFonts w:ascii="Arial" w:hAnsi="Arial" w:cs="Arial"/>
                <w:sz w:val="22"/>
                <w:szCs w:val="22"/>
              </w:rPr>
            </w:pPr>
          </w:p>
        </w:tc>
        <w:tc>
          <w:tcPr>
            <w:tcW w:w="6107" w:type="dxa"/>
            <w:tcBorders>
              <w:top w:val="nil"/>
              <w:left w:val="nil"/>
              <w:bottom w:val="nil"/>
              <w:right w:val="nil"/>
            </w:tcBorders>
            <w:shd w:val="clear" w:color="auto" w:fill="auto"/>
            <w:tcMar>
              <w:top w:w="43" w:type="dxa"/>
              <w:left w:w="115" w:type="dxa"/>
              <w:bottom w:w="43" w:type="dxa"/>
              <w:right w:w="115" w:type="dxa"/>
            </w:tcMar>
          </w:tcPr>
          <w:p w14:paraId="4B6C884D"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MWBE Communications Specialist/Trainer</w:t>
            </w:r>
            <w:r>
              <w:rPr>
                <w:rFonts w:ascii="Arial" w:hAnsi="Arial" w:cs="Arial"/>
                <w:sz w:val="22"/>
                <w:szCs w:val="22"/>
              </w:rPr>
              <w:t xml:space="preserve"> – D</w:t>
            </w:r>
            <w:r w:rsidRPr="00AC4F7D">
              <w:rPr>
                <w:rFonts w:ascii="Arial" w:hAnsi="Arial" w:cs="Arial"/>
                <w:sz w:val="22"/>
                <w:szCs w:val="22"/>
              </w:rPr>
              <w:t>evelop and implement tools, trainings, and competency on</w:t>
            </w:r>
            <w:r>
              <w:rPr>
                <w:rFonts w:ascii="Arial" w:hAnsi="Arial" w:cs="Arial"/>
                <w:sz w:val="22"/>
                <w:szCs w:val="22"/>
              </w:rPr>
              <w:t xml:space="preserve"> </w:t>
            </w:r>
            <w:r w:rsidRPr="00AC4F7D">
              <w:rPr>
                <w:rFonts w:ascii="Arial" w:hAnsi="Arial" w:cs="Arial"/>
                <w:sz w:val="22"/>
                <w:szCs w:val="22"/>
              </w:rPr>
              <w:t xml:space="preserve">contracting policies and practices </w:t>
            </w:r>
            <w:r>
              <w:rPr>
                <w:rFonts w:ascii="Arial" w:hAnsi="Arial" w:cs="Arial"/>
                <w:sz w:val="22"/>
                <w:szCs w:val="22"/>
              </w:rPr>
              <w:t xml:space="preserve">to </w:t>
            </w:r>
            <w:r w:rsidRPr="00AC4F7D">
              <w:rPr>
                <w:rFonts w:ascii="Arial" w:hAnsi="Arial" w:cs="Arial"/>
                <w:sz w:val="22"/>
                <w:szCs w:val="22"/>
              </w:rPr>
              <w:t xml:space="preserve">increase contracting opportunities for </w:t>
            </w:r>
            <w:r>
              <w:rPr>
                <w:rFonts w:ascii="Arial" w:hAnsi="Arial" w:cs="Arial"/>
                <w:sz w:val="22"/>
                <w:szCs w:val="22"/>
              </w:rPr>
              <w:t>MWBEs.</w:t>
            </w:r>
          </w:p>
        </w:tc>
        <w:tc>
          <w:tcPr>
            <w:tcW w:w="270" w:type="dxa"/>
            <w:tcBorders>
              <w:top w:val="nil"/>
              <w:left w:val="nil"/>
              <w:bottom w:val="nil"/>
              <w:right w:val="nil"/>
            </w:tcBorders>
          </w:tcPr>
          <w:p w14:paraId="1DB5DD59"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64F95DF8"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$194K</w:t>
            </w:r>
          </w:p>
        </w:tc>
        <w:tc>
          <w:tcPr>
            <w:tcW w:w="270" w:type="dxa"/>
            <w:tcBorders>
              <w:top w:val="nil"/>
              <w:left w:val="nil"/>
              <w:bottom w:val="nil"/>
              <w:right w:val="nil"/>
            </w:tcBorders>
          </w:tcPr>
          <w:p w14:paraId="4D96ED9A"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3226061C"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1.0</w:t>
            </w:r>
          </w:p>
        </w:tc>
      </w:tr>
      <w:tr w:rsidR="00AB45DE" w:rsidRPr="000B01DA" w14:paraId="2BA17B48" w14:textId="77777777" w:rsidTr="00E34BBA">
        <w:trPr>
          <w:cantSplit/>
        </w:trPr>
        <w:tc>
          <w:tcPr>
            <w:tcW w:w="571" w:type="dxa"/>
            <w:tcBorders>
              <w:top w:val="nil"/>
              <w:left w:val="nil"/>
              <w:bottom w:val="nil"/>
              <w:right w:val="nil"/>
            </w:tcBorders>
          </w:tcPr>
          <w:p w14:paraId="652F8CAC"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lastRenderedPageBreak/>
              <w:t>4</w:t>
            </w:r>
          </w:p>
        </w:tc>
        <w:tc>
          <w:tcPr>
            <w:tcW w:w="252" w:type="dxa"/>
            <w:tcBorders>
              <w:top w:val="nil"/>
              <w:left w:val="nil"/>
              <w:bottom w:val="nil"/>
              <w:right w:val="nil"/>
            </w:tcBorders>
          </w:tcPr>
          <w:p w14:paraId="6C3493B3" w14:textId="77777777" w:rsidR="00AB45DE" w:rsidRDefault="00AB45DE" w:rsidP="00727514">
            <w:pPr>
              <w:spacing w:line="264" w:lineRule="auto"/>
              <w:contextualSpacing/>
              <w:rPr>
                <w:rFonts w:ascii="Arial" w:hAnsi="Arial" w:cs="Arial"/>
                <w:sz w:val="22"/>
                <w:szCs w:val="22"/>
              </w:rPr>
            </w:pPr>
          </w:p>
        </w:tc>
        <w:tc>
          <w:tcPr>
            <w:tcW w:w="6107" w:type="dxa"/>
            <w:tcBorders>
              <w:top w:val="nil"/>
              <w:left w:val="nil"/>
              <w:bottom w:val="nil"/>
              <w:right w:val="nil"/>
            </w:tcBorders>
            <w:shd w:val="clear" w:color="auto" w:fill="auto"/>
            <w:tcMar>
              <w:top w:w="43" w:type="dxa"/>
              <w:left w:w="115" w:type="dxa"/>
              <w:bottom w:w="43" w:type="dxa"/>
              <w:right w:w="115" w:type="dxa"/>
            </w:tcMar>
          </w:tcPr>
          <w:p w14:paraId="3813257A" w14:textId="77777777" w:rsidR="00AB45DE" w:rsidRPr="0087779B"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Field Compliance Specialist</w:t>
            </w:r>
            <w:r>
              <w:rPr>
                <w:rFonts w:ascii="Arial" w:hAnsi="Arial" w:cs="Arial"/>
                <w:sz w:val="22"/>
                <w:szCs w:val="22"/>
              </w:rPr>
              <w:t xml:space="preserve"> – Conduct </w:t>
            </w:r>
            <w:r w:rsidRPr="0087779B">
              <w:rPr>
                <w:rFonts w:ascii="Arial" w:hAnsi="Arial" w:cs="Arial"/>
                <w:sz w:val="22"/>
                <w:szCs w:val="22"/>
              </w:rPr>
              <w:t xml:space="preserve">field site visits on county public works project to ensure priority hire </w:t>
            </w:r>
            <w:r>
              <w:rPr>
                <w:rFonts w:ascii="Arial" w:hAnsi="Arial" w:cs="Arial"/>
                <w:sz w:val="22"/>
                <w:szCs w:val="22"/>
              </w:rPr>
              <w:t>compliance and s</w:t>
            </w:r>
            <w:r w:rsidRPr="0087779B">
              <w:rPr>
                <w:rFonts w:ascii="Arial" w:hAnsi="Arial" w:cs="Arial"/>
                <w:sz w:val="22"/>
                <w:szCs w:val="22"/>
              </w:rPr>
              <w:t>mall contractor participation</w:t>
            </w:r>
            <w:r>
              <w:rPr>
                <w:rFonts w:ascii="Arial" w:hAnsi="Arial" w:cs="Arial"/>
                <w:sz w:val="22"/>
                <w:szCs w:val="22"/>
              </w:rPr>
              <w:t>.</w:t>
            </w:r>
            <w:r w:rsidRPr="0087779B">
              <w:rPr>
                <w:rFonts w:ascii="Arial" w:hAnsi="Arial" w:cs="Arial"/>
                <w:sz w:val="22"/>
                <w:szCs w:val="22"/>
              </w:rPr>
              <w:t xml:space="preserve"> This </w:t>
            </w:r>
            <w:r>
              <w:rPr>
                <w:rFonts w:ascii="Arial" w:hAnsi="Arial" w:cs="Arial"/>
                <w:sz w:val="22"/>
                <w:szCs w:val="22"/>
              </w:rPr>
              <w:t xml:space="preserve">position would </w:t>
            </w:r>
            <w:r w:rsidRPr="0087779B">
              <w:rPr>
                <w:rFonts w:ascii="Arial" w:hAnsi="Arial" w:cs="Arial"/>
                <w:sz w:val="22"/>
                <w:szCs w:val="22"/>
              </w:rPr>
              <w:t>support an existing FTE that is at full workload capacity</w:t>
            </w:r>
            <w:r>
              <w:rPr>
                <w:rFonts w:ascii="Arial" w:hAnsi="Arial" w:cs="Arial"/>
                <w:sz w:val="22"/>
                <w:szCs w:val="22"/>
              </w:rPr>
              <w:t>.</w:t>
            </w:r>
          </w:p>
        </w:tc>
        <w:tc>
          <w:tcPr>
            <w:tcW w:w="270" w:type="dxa"/>
            <w:tcBorders>
              <w:top w:val="nil"/>
              <w:left w:val="nil"/>
              <w:bottom w:val="nil"/>
              <w:right w:val="nil"/>
            </w:tcBorders>
          </w:tcPr>
          <w:p w14:paraId="51917F14"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55C5003A"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$180K</w:t>
            </w:r>
          </w:p>
        </w:tc>
        <w:tc>
          <w:tcPr>
            <w:tcW w:w="270" w:type="dxa"/>
            <w:tcBorders>
              <w:top w:val="nil"/>
              <w:left w:val="nil"/>
              <w:bottom w:val="nil"/>
              <w:right w:val="nil"/>
            </w:tcBorders>
          </w:tcPr>
          <w:p w14:paraId="01A6825F"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6BE42D0F"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1.0</w:t>
            </w:r>
          </w:p>
        </w:tc>
      </w:tr>
      <w:tr w:rsidR="00AB45DE" w:rsidRPr="000B01DA" w14:paraId="26C57FDC" w14:textId="77777777" w:rsidTr="00E34BBA">
        <w:trPr>
          <w:cantSplit/>
        </w:trPr>
        <w:tc>
          <w:tcPr>
            <w:tcW w:w="571" w:type="dxa"/>
            <w:tcBorders>
              <w:top w:val="nil"/>
              <w:left w:val="nil"/>
              <w:bottom w:val="nil"/>
              <w:right w:val="nil"/>
            </w:tcBorders>
          </w:tcPr>
          <w:p w14:paraId="6D034EA6"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5</w:t>
            </w:r>
          </w:p>
        </w:tc>
        <w:tc>
          <w:tcPr>
            <w:tcW w:w="252" w:type="dxa"/>
            <w:tcBorders>
              <w:top w:val="nil"/>
              <w:left w:val="nil"/>
              <w:bottom w:val="nil"/>
              <w:right w:val="nil"/>
            </w:tcBorders>
          </w:tcPr>
          <w:p w14:paraId="32ED19D0" w14:textId="77777777" w:rsidR="00AB45DE" w:rsidRDefault="00AB45DE" w:rsidP="00727514">
            <w:pPr>
              <w:spacing w:line="264" w:lineRule="auto"/>
              <w:contextualSpacing/>
              <w:rPr>
                <w:rFonts w:ascii="Arial" w:hAnsi="Arial" w:cs="Arial"/>
                <w:sz w:val="22"/>
                <w:szCs w:val="22"/>
              </w:rPr>
            </w:pPr>
          </w:p>
        </w:tc>
        <w:tc>
          <w:tcPr>
            <w:tcW w:w="6107" w:type="dxa"/>
            <w:tcBorders>
              <w:top w:val="nil"/>
              <w:left w:val="nil"/>
              <w:bottom w:val="single" w:sz="8" w:space="0" w:color="auto"/>
              <w:right w:val="nil"/>
            </w:tcBorders>
            <w:shd w:val="clear" w:color="auto" w:fill="auto"/>
            <w:tcMar>
              <w:top w:w="43" w:type="dxa"/>
              <w:left w:w="115" w:type="dxa"/>
              <w:bottom w:w="43" w:type="dxa"/>
              <w:right w:w="115" w:type="dxa"/>
            </w:tcMar>
          </w:tcPr>
          <w:p w14:paraId="4D03FC6E" w14:textId="220E080F" w:rsidR="00AB45DE" w:rsidRPr="001071FB"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Contract Compliance Specialist</w:t>
            </w:r>
            <w:r w:rsidRPr="0087779B">
              <w:rPr>
                <w:rFonts w:ascii="Arial" w:hAnsi="Arial" w:cs="Arial"/>
                <w:sz w:val="22"/>
                <w:szCs w:val="22"/>
              </w:rPr>
              <w:t xml:space="preserve"> </w:t>
            </w:r>
            <w:r>
              <w:rPr>
                <w:rFonts w:ascii="Arial" w:hAnsi="Arial" w:cs="Arial"/>
                <w:sz w:val="22"/>
                <w:szCs w:val="22"/>
              </w:rPr>
              <w:t xml:space="preserve">– Perform </w:t>
            </w:r>
            <w:r w:rsidRPr="0087779B">
              <w:rPr>
                <w:rFonts w:ascii="Arial" w:hAnsi="Arial" w:cs="Arial"/>
                <w:sz w:val="22"/>
                <w:szCs w:val="22"/>
              </w:rPr>
              <w:t xml:space="preserve">contract administration and compliance monitoring </w:t>
            </w:r>
            <w:r>
              <w:rPr>
                <w:rFonts w:ascii="Arial" w:hAnsi="Arial" w:cs="Arial"/>
                <w:sz w:val="22"/>
                <w:szCs w:val="22"/>
              </w:rPr>
              <w:t>for anti</w:t>
            </w:r>
            <w:r w:rsidRPr="0087779B">
              <w:rPr>
                <w:rFonts w:ascii="Arial" w:hAnsi="Arial" w:cs="Arial"/>
                <w:sz w:val="22"/>
                <w:szCs w:val="22"/>
              </w:rPr>
              <w:t>discrimination</w:t>
            </w:r>
            <w:r>
              <w:rPr>
                <w:rFonts w:ascii="Arial" w:hAnsi="Arial" w:cs="Arial"/>
                <w:sz w:val="22"/>
                <w:szCs w:val="22"/>
              </w:rPr>
              <w:t xml:space="preserve">, </w:t>
            </w:r>
            <w:r w:rsidRPr="0087779B">
              <w:rPr>
                <w:rFonts w:ascii="Arial" w:hAnsi="Arial" w:cs="Arial"/>
                <w:sz w:val="22"/>
                <w:szCs w:val="22"/>
              </w:rPr>
              <w:t>E</w:t>
            </w:r>
            <w:r>
              <w:rPr>
                <w:rFonts w:ascii="Arial" w:hAnsi="Arial" w:cs="Arial"/>
                <w:sz w:val="22"/>
                <w:szCs w:val="22"/>
              </w:rPr>
              <w:t xml:space="preserve">qual </w:t>
            </w:r>
            <w:r w:rsidRPr="0087779B">
              <w:rPr>
                <w:rFonts w:ascii="Arial" w:hAnsi="Arial" w:cs="Arial"/>
                <w:sz w:val="22"/>
                <w:szCs w:val="22"/>
              </w:rPr>
              <w:t>E</w:t>
            </w:r>
            <w:r>
              <w:rPr>
                <w:rFonts w:ascii="Arial" w:hAnsi="Arial" w:cs="Arial"/>
                <w:sz w:val="22"/>
                <w:szCs w:val="22"/>
              </w:rPr>
              <w:t xml:space="preserve">mployment </w:t>
            </w:r>
            <w:r w:rsidRPr="0087779B">
              <w:rPr>
                <w:rFonts w:ascii="Arial" w:hAnsi="Arial" w:cs="Arial"/>
                <w:sz w:val="22"/>
                <w:szCs w:val="22"/>
              </w:rPr>
              <w:t>O</w:t>
            </w:r>
            <w:r>
              <w:rPr>
                <w:rFonts w:ascii="Arial" w:hAnsi="Arial" w:cs="Arial"/>
                <w:sz w:val="22"/>
                <w:szCs w:val="22"/>
              </w:rPr>
              <w:t>pportunity</w:t>
            </w:r>
            <w:r w:rsidRPr="0087779B">
              <w:rPr>
                <w:rFonts w:ascii="Arial" w:hAnsi="Arial" w:cs="Arial"/>
                <w:sz w:val="22"/>
                <w:szCs w:val="22"/>
              </w:rPr>
              <w:t xml:space="preserve"> policies, and prevailing wages. This </w:t>
            </w:r>
            <w:r>
              <w:rPr>
                <w:rFonts w:ascii="Arial" w:hAnsi="Arial" w:cs="Arial"/>
                <w:sz w:val="22"/>
                <w:szCs w:val="22"/>
              </w:rPr>
              <w:t>position would alleviate increase volume of work.</w:t>
            </w:r>
          </w:p>
        </w:tc>
        <w:tc>
          <w:tcPr>
            <w:tcW w:w="270" w:type="dxa"/>
            <w:tcBorders>
              <w:top w:val="nil"/>
              <w:left w:val="nil"/>
              <w:bottom w:val="nil"/>
              <w:right w:val="nil"/>
            </w:tcBorders>
          </w:tcPr>
          <w:p w14:paraId="2CF7E6D2"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single" w:sz="8" w:space="0" w:color="auto"/>
              <w:right w:val="nil"/>
            </w:tcBorders>
            <w:shd w:val="clear" w:color="auto" w:fill="auto"/>
          </w:tcPr>
          <w:p w14:paraId="3D5EDE7B"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$180K</w:t>
            </w:r>
          </w:p>
        </w:tc>
        <w:tc>
          <w:tcPr>
            <w:tcW w:w="270" w:type="dxa"/>
            <w:tcBorders>
              <w:top w:val="nil"/>
              <w:left w:val="nil"/>
              <w:bottom w:val="nil"/>
              <w:right w:val="nil"/>
            </w:tcBorders>
          </w:tcPr>
          <w:p w14:paraId="7B89E681"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single" w:sz="8" w:space="0" w:color="auto"/>
              <w:right w:val="nil"/>
            </w:tcBorders>
            <w:shd w:val="clear" w:color="auto" w:fill="auto"/>
            <w:tcMar>
              <w:top w:w="43" w:type="dxa"/>
              <w:bottom w:w="43" w:type="dxa"/>
            </w:tcMar>
          </w:tcPr>
          <w:p w14:paraId="745CCA30"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1.0</w:t>
            </w:r>
          </w:p>
        </w:tc>
      </w:tr>
      <w:tr w:rsidR="00AB45DE" w:rsidRPr="000B01DA" w14:paraId="5307F724" w14:textId="77777777" w:rsidTr="00E34BBA">
        <w:trPr>
          <w:cantSplit/>
        </w:trPr>
        <w:tc>
          <w:tcPr>
            <w:tcW w:w="571" w:type="dxa"/>
            <w:tcBorders>
              <w:top w:val="nil"/>
              <w:left w:val="nil"/>
              <w:bottom w:val="single" w:sz="12" w:space="0" w:color="auto"/>
              <w:right w:val="nil"/>
            </w:tcBorders>
          </w:tcPr>
          <w:p w14:paraId="01C6EE79" w14:textId="77777777" w:rsidR="00AB45DE" w:rsidRPr="000B01DA" w:rsidRDefault="00AB45DE" w:rsidP="00727514">
            <w:pPr>
              <w:spacing w:line="264" w:lineRule="auto"/>
              <w:contextualSpacing/>
              <w:jc w:val="right"/>
              <w:rPr>
                <w:rFonts w:ascii="Arial" w:hAnsi="Arial" w:cs="Arial"/>
                <w:b/>
                <w:bCs/>
                <w:sz w:val="22"/>
                <w:szCs w:val="22"/>
              </w:rPr>
            </w:pPr>
          </w:p>
        </w:tc>
        <w:tc>
          <w:tcPr>
            <w:tcW w:w="252" w:type="dxa"/>
            <w:tcBorders>
              <w:top w:val="nil"/>
              <w:left w:val="nil"/>
              <w:bottom w:val="single" w:sz="12" w:space="0" w:color="auto"/>
              <w:right w:val="nil"/>
            </w:tcBorders>
          </w:tcPr>
          <w:p w14:paraId="47B73960" w14:textId="77777777" w:rsidR="00AB45DE" w:rsidRPr="000B01DA" w:rsidRDefault="00AB45DE" w:rsidP="00727514">
            <w:pPr>
              <w:spacing w:line="264" w:lineRule="auto"/>
              <w:contextualSpacing/>
              <w:jc w:val="right"/>
              <w:rPr>
                <w:rFonts w:ascii="Arial" w:hAnsi="Arial" w:cs="Arial"/>
                <w:b/>
                <w:bCs/>
                <w:sz w:val="22"/>
                <w:szCs w:val="22"/>
              </w:rPr>
            </w:pPr>
          </w:p>
        </w:tc>
        <w:tc>
          <w:tcPr>
            <w:tcW w:w="6107" w:type="dxa"/>
            <w:tcBorders>
              <w:top w:val="single" w:sz="8" w:space="0" w:color="auto"/>
              <w:left w:val="nil"/>
              <w:bottom w:val="single" w:sz="12" w:space="0" w:color="auto"/>
              <w:right w:val="nil"/>
            </w:tcBorders>
            <w:shd w:val="clear" w:color="auto" w:fill="auto"/>
            <w:tcMar>
              <w:top w:w="43" w:type="dxa"/>
              <w:left w:w="115" w:type="dxa"/>
              <w:bottom w:w="43" w:type="dxa"/>
              <w:right w:w="115" w:type="dxa"/>
            </w:tcMar>
          </w:tcPr>
          <w:p w14:paraId="5B20F22A" w14:textId="77777777" w:rsidR="00AB45DE" w:rsidRPr="000B01DA" w:rsidRDefault="00AB45DE" w:rsidP="00727514">
            <w:pPr>
              <w:spacing w:line="264" w:lineRule="auto"/>
              <w:contextualSpacing/>
              <w:jc w:val="right"/>
              <w:rPr>
                <w:rFonts w:ascii="Arial" w:hAnsi="Arial" w:cs="Arial"/>
                <w:b/>
                <w:bCs/>
                <w:sz w:val="22"/>
                <w:szCs w:val="22"/>
              </w:rPr>
            </w:pPr>
          </w:p>
        </w:tc>
        <w:tc>
          <w:tcPr>
            <w:tcW w:w="270" w:type="dxa"/>
            <w:tcBorders>
              <w:top w:val="nil"/>
              <w:left w:val="nil"/>
              <w:bottom w:val="single" w:sz="12" w:space="0" w:color="auto"/>
              <w:right w:val="nil"/>
            </w:tcBorders>
          </w:tcPr>
          <w:p w14:paraId="19F72162" w14:textId="77777777" w:rsidR="00AB45DE" w:rsidRPr="000B01DA" w:rsidRDefault="00AB45DE" w:rsidP="00727514">
            <w:pPr>
              <w:spacing w:line="264" w:lineRule="auto"/>
              <w:contextualSpacing/>
              <w:jc w:val="right"/>
              <w:rPr>
                <w:rFonts w:ascii="Arial" w:hAnsi="Arial" w:cs="Arial"/>
                <w:b/>
                <w:sz w:val="22"/>
                <w:szCs w:val="22"/>
              </w:rPr>
            </w:pPr>
          </w:p>
        </w:tc>
        <w:tc>
          <w:tcPr>
            <w:tcW w:w="1080" w:type="dxa"/>
            <w:tcBorders>
              <w:top w:val="single" w:sz="8" w:space="0" w:color="auto"/>
              <w:left w:val="nil"/>
              <w:bottom w:val="single" w:sz="12" w:space="0" w:color="auto"/>
              <w:right w:val="nil"/>
            </w:tcBorders>
            <w:shd w:val="clear" w:color="auto" w:fill="auto"/>
          </w:tcPr>
          <w:p w14:paraId="38C86433" w14:textId="77777777" w:rsidR="00AB45DE" w:rsidRPr="000B01DA" w:rsidRDefault="00AB45DE" w:rsidP="00727514">
            <w:pPr>
              <w:spacing w:line="264" w:lineRule="auto"/>
              <w:contextualSpacing/>
              <w:jc w:val="right"/>
              <w:rPr>
                <w:rFonts w:ascii="Arial" w:hAnsi="Arial" w:cs="Arial"/>
                <w:b/>
                <w:sz w:val="22"/>
                <w:szCs w:val="22"/>
              </w:rPr>
            </w:pPr>
            <w:r>
              <w:rPr>
                <w:rFonts w:ascii="Arial" w:hAnsi="Arial" w:cs="Arial"/>
                <w:b/>
                <w:sz w:val="22"/>
                <w:szCs w:val="22"/>
              </w:rPr>
              <w:t>$1.7 mil</w:t>
            </w:r>
          </w:p>
        </w:tc>
        <w:tc>
          <w:tcPr>
            <w:tcW w:w="270" w:type="dxa"/>
            <w:tcBorders>
              <w:top w:val="nil"/>
              <w:left w:val="nil"/>
              <w:bottom w:val="single" w:sz="12" w:space="0" w:color="auto"/>
              <w:right w:val="nil"/>
            </w:tcBorders>
          </w:tcPr>
          <w:p w14:paraId="7AB8C9D2" w14:textId="77777777" w:rsidR="00AB45DE" w:rsidRPr="000B01DA" w:rsidRDefault="00AB45DE" w:rsidP="00727514">
            <w:pPr>
              <w:spacing w:line="264" w:lineRule="auto"/>
              <w:contextualSpacing/>
              <w:jc w:val="right"/>
              <w:rPr>
                <w:rFonts w:ascii="Arial" w:hAnsi="Arial" w:cs="Arial"/>
                <w:b/>
                <w:sz w:val="22"/>
                <w:szCs w:val="22"/>
              </w:rPr>
            </w:pPr>
          </w:p>
        </w:tc>
        <w:tc>
          <w:tcPr>
            <w:tcW w:w="810" w:type="dxa"/>
            <w:tcBorders>
              <w:top w:val="single" w:sz="8" w:space="0" w:color="auto"/>
              <w:left w:val="nil"/>
              <w:bottom w:val="single" w:sz="12" w:space="0" w:color="auto"/>
              <w:right w:val="nil"/>
            </w:tcBorders>
            <w:shd w:val="clear" w:color="auto" w:fill="auto"/>
            <w:tcMar>
              <w:top w:w="43" w:type="dxa"/>
              <w:bottom w:w="43" w:type="dxa"/>
            </w:tcMar>
          </w:tcPr>
          <w:p w14:paraId="1E238091" w14:textId="77777777" w:rsidR="00AB45DE" w:rsidRPr="000B01DA" w:rsidRDefault="00AB45DE" w:rsidP="00727514">
            <w:pPr>
              <w:spacing w:line="264" w:lineRule="auto"/>
              <w:contextualSpacing/>
              <w:jc w:val="right"/>
              <w:rPr>
                <w:rFonts w:ascii="Arial" w:hAnsi="Arial" w:cs="Arial"/>
                <w:b/>
                <w:sz w:val="22"/>
                <w:szCs w:val="22"/>
              </w:rPr>
            </w:pPr>
            <w:r>
              <w:rPr>
                <w:rFonts w:ascii="Arial" w:hAnsi="Arial" w:cs="Arial"/>
                <w:b/>
                <w:sz w:val="22"/>
                <w:szCs w:val="22"/>
              </w:rPr>
              <w:t>4.0</w:t>
            </w:r>
          </w:p>
        </w:tc>
      </w:tr>
    </w:tbl>
    <w:p w14:paraId="73A11051" w14:textId="77777777" w:rsidR="00AB45DE" w:rsidRDefault="00AB45DE" w:rsidP="00727514">
      <w:pPr>
        <w:tabs>
          <w:tab w:val="left" w:pos="720"/>
          <w:tab w:val="right" w:pos="9360"/>
        </w:tabs>
        <w:spacing w:line="264" w:lineRule="auto"/>
        <w:contextualSpacing/>
        <w:jc w:val="both"/>
        <w:rPr>
          <w:rFonts w:ascii="Arial" w:hAnsi="Arial" w:cs="Arial"/>
          <w:b/>
          <w:u w:val="single"/>
        </w:rPr>
      </w:pPr>
    </w:p>
    <w:p w14:paraId="04FBF761" w14:textId="77777777" w:rsidR="00AB45DE" w:rsidRDefault="00AB45DE" w:rsidP="00727514">
      <w:pPr>
        <w:tabs>
          <w:tab w:val="left" w:pos="720"/>
          <w:tab w:val="right" w:pos="9360"/>
        </w:tabs>
        <w:spacing w:line="264" w:lineRule="auto"/>
        <w:contextualSpacing/>
        <w:jc w:val="both"/>
        <w:rPr>
          <w:rFonts w:ascii="Arial" w:hAnsi="Arial" w:cs="Arial"/>
          <w:b/>
          <w:u w:val="single"/>
        </w:rPr>
      </w:pPr>
    </w:p>
    <w:p w14:paraId="514DF2C5" w14:textId="297D5B8F" w:rsidR="00AB45DE" w:rsidRDefault="00AB45DE" w:rsidP="00727514">
      <w:pPr>
        <w:tabs>
          <w:tab w:val="left" w:pos="720"/>
          <w:tab w:val="right" w:pos="9360"/>
        </w:tabs>
        <w:spacing w:line="264" w:lineRule="auto"/>
        <w:contextualSpacing/>
        <w:jc w:val="both"/>
        <w:rPr>
          <w:rFonts w:ascii="Arial" w:hAnsi="Arial" w:cs="Arial"/>
          <w:bCs/>
        </w:rPr>
      </w:pPr>
      <w:r>
        <w:rPr>
          <w:rFonts w:ascii="Arial" w:hAnsi="Arial" w:cs="Arial"/>
          <w:b/>
          <w:i/>
          <w:iCs/>
        </w:rPr>
        <w:t>Increase Capacity for Increased Workload [</w:t>
      </w:r>
      <w:r w:rsidRPr="0054665B">
        <w:rPr>
          <w:rFonts w:ascii="Arial" w:hAnsi="Arial" w:cs="Arial"/>
          <w:b/>
          <w:i/>
          <w:iCs/>
        </w:rPr>
        <w:t>$</w:t>
      </w:r>
      <w:r>
        <w:rPr>
          <w:rFonts w:ascii="Arial" w:hAnsi="Arial" w:cs="Arial"/>
          <w:b/>
          <w:i/>
          <w:iCs/>
        </w:rPr>
        <w:t xml:space="preserve">1,635,000, 9.0 FTEs, ongoing].  </w:t>
      </w:r>
      <w:r>
        <w:rPr>
          <w:rFonts w:ascii="Arial" w:hAnsi="Arial" w:cs="Arial"/>
          <w:bCs/>
        </w:rPr>
        <w:t xml:space="preserve">This proposed appropriation would support additional capacity to support increased workload mostly due to new programming supported by COVID federal grants. </w:t>
      </w:r>
      <w:r w:rsidR="00727514">
        <w:rPr>
          <w:rFonts w:ascii="Arial" w:hAnsi="Arial" w:cs="Arial"/>
          <w:bCs/>
        </w:rPr>
        <w:t xml:space="preserve"> </w:t>
      </w:r>
      <w:r>
        <w:rPr>
          <w:rFonts w:ascii="Arial" w:hAnsi="Arial" w:cs="Arial"/>
          <w:bCs/>
        </w:rPr>
        <w:t>The following table provides a summary of the proposed new positions.</w:t>
      </w:r>
    </w:p>
    <w:p w14:paraId="56090F1B" w14:textId="77777777" w:rsidR="00727514" w:rsidRDefault="00727514" w:rsidP="00727514">
      <w:pPr>
        <w:tabs>
          <w:tab w:val="left" w:pos="720"/>
          <w:tab w:val="right" w:pos="9360"/>
        </w:tabs>
        <w:spacing w:line="264" w:lineRule="auto"/>
        <w:contextualSpacing/>
        <w:jc w:val="both"/>
        <w:rPr>
          <w:rFonts w:ascii="Arial" w:hAnsi="Arial" w:cs="Arial"/>
          <w:bCs/>
        </w:rPr>
      </w:pPr>
    </w:p>
    <w:tbl>
      <w:tblPr>
        <w:tblStyle w:val="TableGrid"/>
        <w:tblW w:w="9360" w:type="dxa"/>
        <w:tblInd w:w="108" w:type="dxa"/>
        <w:tblLayout w:type="fixed"/>
        <w:tblLook w:val="04A0" w:firstRow="1" w:lastRow="0" w:firstColumn="1" w:lastColumn="0" w:noHBand="0" w:noVBand="1"/>
      </w:tblPr>
      <w:tblGrid>
        <w:gridCol w:w="572"/>
        <w:gridCol w:w="252"/>
        <w:gridCol w:w="6106"/>
        <w:gridCol w:w="270"/>
        <w:gridCol w:w="1080"/>
        <w:gridCol w:w="270"/>
        <w:gridCol w:w="810"/>
      </w:tblGrid>
      <w:tr w:rsidR="00AB45DE" w:rsidRPr="000B01DA" w14:paraId="1AB739A8" w14:textId="77777777" w:rsidTr="00E34BBA">
        <w:trPr>
          <w:cantSplit/>
          <w:trHeight w:val="375"/>
          <w:tblHeader/>
        </w:trPr>
        <w:tc>
          <w:tcPr>
            <w:tcW w:w="572" w:type="dxa"/>
            <w:tcBorders>
              <w:top w:val="single" w:sz="12" w:space="0" w:color="auto"/>
              <w:left w:val="nil"/>
              <w:bottom w:val="single" w:sz="4" w:space="0" w:color="auto"/>
              <w:right w:val="nil"/>
            </w:tcBorders>
            <w:vAlign w:val="bottom"/>
          </w:tcPr>
          <w:p w14:paraId="324FD9C6"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No.</w:t>
            </w:r>
          </w:p>
        </w:tc>
        <w:tc>
          <w:tcPr>
            <w:tcW w:w="252" w:type="dxa"/>
            <w:tcBorders>
              <w:top w:val="single" w:sz="12" w:space="0" w:color="auto"/>
              <w:left w:val="nil"/>
              <w:bottom w:val="nil"/>
              <w:right w:val="nil"/>
            </w:tcBorders>
          </w:tcPr>
          <w:p w14:paraId="3C625CCB" w14:textId="77777777" w:rsidR="00AB45DE" w:rsidRPr="000B01DA" w:rsidRDefault="00AB45DE" w:rsidP="00727514">
            <w:pPr>
              <w:spacing w:line="264" w:lineRule="auto"/>
              <w:contextualSpacing/>
              <w:jc w:val="both"/>
              <w:rPr>
                <w:rFonts w:ascii="Arial" w:hAnsi="Arial" w:cs="Arial"/>
                <w:b/>
                <w:sz w:val="22"/>
                <w:szCs w:val="22"/>
              </w:rPr>
            </w:pPr>
          </w:p>
        </w:tc>
        <w:tc>
          <w:tcPr>
            <w:tcW w:w="6106" w:type="dxa"/>
            <w:tcBorders>
              <w:top w:val="single" w:sz="12" w:space="0" w:color="auto"/>
              <w:left w:val="nil"/>
              <w:bottom w:val="single" w:sz="4" w:space="0" w:color="auto"/>
              <w:right w:val="nil"/>
            </w:tcBorders>
            <w:shd w:val="clear" w:color="auto" w:fill="auto"/>
            <w:vAlign w:val="bottom"/>
          </w:tcPr>
          <w:p w14:paraId="248EA5C0" w14:textId="77777777" w:rsidR="00AB45DE" w:rsidRPr="000B01DA" w:rsidRDefault="00AB45DE" w:rsidP="00727514">
            <w:pPr>
              <w:spacing w:line="264" w:lineRule="auto"/>
              <w:contextualSpacing/>
              <w:jc w:val="both"/>
              <w:rPr>
                <w:rFonts w:ascii="Arial" w:hAnsi="Arial" w:cs="Arial"/>
                <w:b/>
                <w:sz w:val="22"/>
                <w:szCs w:val="22"/>
              </w:rPr>
            </w:pPr>
            <w:r>
              <w:rPr>
                <w:rFonts w:ascii="Arial" w:hAnsi="Arial" w:cs="Arial"/>
                <w:b/>
                <w:sz w:val="22"/>
                <w:szCs w:val="22"/>
              </w:rPr>
              <w:t>Description</w:t>
            </w:r>
          </w:p>
        </w:tc>
        <w:tc>
          <w:tcPr>
            <w:tcW w:w="270" w:type="dxa"/>
            <w:tcBorders>
              <w:top w:val="single" w:sz="12" w:space="0" w:color="auto"/>
              <w:left w:val="nil"/>
              <w:bottom w:val="nil"/>
              <w:right w:val="nil"/>
            </w:tcBorders>
          </w:tcPr>
          <w:p w14:paraId="0F796D9A" w14:textId="77777777" w:rsidR="00AB45DE" w:rsidRPr="000B01DA" w:rsidRDefault="00AB45DE" w:rsidP="00727514">
            <w:pPr>
              <w:spacing w:line="264" w:lineRule="auto"/>
              <w:contextualSpacing/>
              <w:jc w:val="center"/>
              <w:rPr>
                <w:rFonts w:ascii="Arial" w:hAnsi="Arial" w:cs="Arial"/>
                <w:b/>
                <w:sz w:val="22"/>
                <w:szCs w:val="22"/>
              </w:rPr>
            </w:pPr>
          </w:p>
        </w:tc>
        <w:tc>
          <w:tcPr>
            <w:tcW w:w="1080" w:type="dxa"/>
            <w:tcBorders>
              <w:top w:val="single" w:sz="12" w:space="0" w:color="auto"/>
              <w:left w:val="nil"/>
              <w:bottom w:val="single" w:sz="4" w:space="0" w:color="auto"/>
              <w:right w:val="nil"/>
            </w:tcBorders>
            <w:shd w:val="clear" w:color="auto" w:fill="auto"/>
            <w:vAlign w:val="bottom"/>
          </w:tcPr>
          <w:p w14:paraId="406E5EEC"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Amount</w:t>
            </w:r>
          </w:p>
        </w:tc>
        <w:tc>
          <w:tcPr>
            <w:tcW w:w="270" w:type="dxa"/>
            <w:tcBorders>
              <w:top w:val="single" w:sz="12" w:space="0" w:color="auto"/>
              <w:left w:val="nil"/>
              <w:bottom w:val="nil"/>
              <w:right w:val="nil"/>
            </w:tcBorders>
            <w:vAlign w:val="bottom"/>
          </w:tcPr>
          <w:p w14:paraId="653C637E" w14:textId="77777777" w:rsidR="00AB45DE" w:rsidRPr="000B01DA" w:rsidRDefault="00AB45DE" w:rsidP="00727514">
            <w:pPr>
              <w:spacing w:line="264" w:lineRule="auto"/>
              <w:contextualSpacing/>
              <w:jc w:val="center"/>
              <w:rPr>
                <w:rFonts w:ascii="Arial" w:hAnsi="Arial" w:cs="Arial"/>
                <w:b/>
                <w:sz w:val="22"/>
                <w:szCs w:val="22"/>
              </w:rPr>
            </w:pPr>
          </w:p>
        </w:tc>
        <w:tc>
          <w:tcPr>
            <w:tcW w:w="810" w:type="dxa"/>
            <w:tcBorders>
              <w:top w:val="single" w:sz="12" w:space="0" w:color="auto"/>
              <w:left w:val="nil"/>
              <w:bottom w:val="single" w:sz="4" w:space="0" w:color="auto"/>
              <w:right w:val="nil"/>
            </w:tcBorders>
            <w:shd w:val="clear" w:color="auto" w:fill="auto"/>
            <w:vAlign w:val="bottom"/>
          </w:tcPr>
          <w:p w14:paraId="58C1B7DB" w14:textId="77777777" w:rsidR="00AB45DE" w:rsidRPr="000B01DA" w:rsidRDefault="00AB45DE" w:rsidP="00727514">
            <w:pPr>
              <w:spacing w:line="264" w:lineRule="auto"/>
              <w:contextualSpacing/>
              <w:jc w:val="center"/>
              <w:rPr>
                <w:rFonts w:ascii="Arial" w:hAnsi="Arial" w:cs="Arial"/>
                <w:b/>
                <w:sz w:val="22"/>
                <w:szCs w:val="22"/>
              </w:rPr>
            </w:pPr>
            <w:r>
              <w:rPr>
                <w:rFonts w:ascii="Arial" w:hAnsi="Arial" w:cs="Arial"/>
                <w:b/>
                <w:sz w:val="22"/>
                <w:szCs w:val="22"/>
              </w:rPr>
              <w:t>FTEs</w:t>
            </w:r>
          </w:p>
        </w:tc>
      </w:tr>
      <w:tr w:rsidR="00AB45DE" w:rsidRPr="000B01DA" w14:paraId="5F3AF2E5" w14:textId="77777777" w:rsidTr="00E34BBA">
        <w:trPr>
          <w:cantSplit/>
        </w:trPr>
        <w:tc>
          <w:tcPr>
            <w:tcW w:w="572" w:type="dxa"/>
            <w:tcBorders>
              <w:top w:val="nil"/>
              <w:left w:val="nil"/>
              <w:bottom w:val="nil"/>
              <w:right w:val="nil"/>
            </w:tcBorders>
          </w:tcPr>
          <w:p w14:paraId="022BA77E"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1</w:t>
            </w:r>
          </w:p>
        </w:tc>
        <w:tc>
          <w:tcPr>
            <w:tcW w:w="252" w:type="dxa"/>
            <w:tcBorders>
              <w:top w:val="nil"/>
              <w:left w:val="nil"/>
              <w:bottom w:val="nil"/>
              <w:right w:val="nil"/>
            </w:tcBorders>
          </w:tcPr>
          <w:p w14:paraId="5FC54EDC" w14:textId="77777777" w:rsidR="00AB45DE" w:rsidRDefault="00AB45DE" w:rsidP="00727514">
            <w:pPr>
              <w:spacing w:line="264" w:lineRule="auto"/>
              <w:contextualSpacing/>
              <w:rPr>
                <w:rFonts w:ascii="Arial" w:hAnsi="Arial" w:cs="Arial"/>
                <w:sz w:val="22"/>
                <w:szCs w:val="22"/>
              </w:rPr>
            </w:pPr>
          </w:p>
        </w:tc>
        <w:tc>
          <w:tcPr>
            <w:tcW w:w="6106" w:type="dxa"/>
            <w:tcBorders>
              <w:top w:val="nil"/>
              <w:left w:val="nil"/>
              <w:bottom w:val="nil"/>
              <w:right w:val="nil"/>
            </w:tcBorders>
            <w:shd w:val="clear" w:color="auto" w:fill="auto"/>
            <w:tcMar>
              <w:top w:w="43" w:type="dxa"/>
              <w:left w:w="115" w:type="dxa"/>
              <w:bottom w:w="43" w:type="dxa"/>
              <w:right w:w="115" w:type="dxa"/>
            </w:tcMar>
          </w:tcPr>
          <w:p w14:paraId="2F6F2FB5"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Procurement staff</w:t>
            </w:r>
            <w:r>
              <w:rPr>
                <w:rFonts w:ascii="Arial" w:hAnsi="Arial" w:cs="Arial"/>
                <w:sz w:val="22"/>
                <w:szCs w:val="22"/>
              </w:rPr>
              <w:t xml:space="preserve"> – Additional staff to alleviate on average 52% increase in service requests since 2019. New staff would support</w:t>
            </w:r>
            <w:r w:rsidRPr="00FC41EE">
              <w:rPr>
                <w:rFonts w:ascii="Arial" w:hAnsi="Arial" w:cs="Arial"/>
                <w:sz w:val="22"/>
                <w:szCs w:val="22"/>
              </w:rPr>
              <w:t xml:space="preserve"> a dedicated “Fast Track” team to expedite the procurement process for </w:t>
            </w:r>
            <w:r>
              <w:rPr>
                <w:rFonts w:ascii="Arial" w:hAnsi="Arial" w:cs="Arial"/>
                <w:sz w:val="22"/>
                <w:szCs w:val="22"/>
              </w:rPr>
              <w:t>American Rescue Plan Act Coronavirus Local Fiscal Recovery Fund f</w:t>
            </w:r>
            <w:r w:rsidRPr="00FC41EE">
              <w:rPr>
                <w:rFonts w:ascii="Arial" w:hAnsi="Arial" w:cs="Arial"/>
                <w:sz w:val="22"/>
                <w:szCs w:val="22"/>
              </w:rPr>
              <w:t>unded projects</w:t>
            </w:r>
            <w:r>
              <w:rPr>
                <w:rFonts w:ascii="Arial" w:hAnsi="Arial" w:cs="Arial"/>
                <w:sz w:val="22"/>
                <w:szCs w:val="22"/>
              </w:rPr>
              <w:t>.</w:t>
            </w:r>
          </w:p>
        </w:tc>
        <w:tc>
          <w:tcPr>
            <w:tcW w:w="270" w:type="dxa"/>
            <w:tcBorders>
              <w:top w:val="nil"/>
              <w:left w:val="nil"/>
              <w:bottom w:val="nil"/>
              <w:right w:val="nil"/>
            </w:tcBorders>
          </w:tcPr>
          <w:p w14:paraId="5785FECE"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4A8D0CB0"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$960K</w:t>
            </w:r>
          </w:p>
        </w:tc>
        <w:tc>
          <w:tcPr>
            <w:tcW w:w="270" w:type="dxa"/>
            <w:tcBorders>
              <w:top w:val="nil"/>
              <w:left w:val="nil"/>
              <w:bottom w:val="nil"/>
              <w:right w:val="nil"/>
            </w:tcBorders>
          </w:tcPr>
          <w:p w14:paraId="202C8C56"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68109542"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6.0</w:t>
            </w:r>
          </w:p>
        </w:tc>
      </w:tr>
      <w:tr w:rsidR="00AB45DE" w:rsidRPr="000B01DA" w14:paraId="0D66D269" w14:textId="77777777" w:rsidTr="00E34BBA">
        <w:trPr>
          <w:cantSplit/>
        </w:trPr>
        <w:tc>
          <w:tcPr>
            <w:tcW w:w="572" w:type="dxa"/>
            <w:tcBorders>
              <w:top w:val="nil"/>
              <w:left w:val="nil"/>
              <w:bottom w:val="nil"/>
              <w:right w:val="nil"/>
            </w:tcBorders>
          </w:tcPr>
          <w:p w14:paraId="738526EF" w14:textId="77777777" w:rsidR="00AB45DE" w:rsidRPr="00BB14A0" w:rsidRDefault="00AB45DE" w:rsidP="00727514">
            <w:pPr>
              <w:spacing w:line="264" w:lineRule="auto"/>
              <w:contextualSpacing/>
              <w:jc w:val="center"/>
              <w:rPr>
                <w:rFonts w:ascii="Arial" w:hAnsi="Arial" w:cs="Arial"/>
                <w:sz w:val="22"/>
                <w:szCs w:val="22"/>
              </w:rPr>
            </w:pPr>
            <w:r>
              <w:rPr>
                <w:rFonts w:ascii="Arial" w:hAnsi="Arial" w:cs="Arial"/>
                <w:sz w:val="22"/>
                <w:szCs w:val="22"/>
              </w:rPr>
              <w:t>2</w:t>
            </w:r>
          </w:p>
        </w:tc>
        <w:tc>
          <w:tcPr>
            <w:tcW w:w="252" w:type="dxa"/>
            <w:tcBorders>
              <w:top w:val="nil"/>
              <w:left w:val="nil"/>
              <w:bottom w:val="nil"/>
              <w:right w:val="nil"/>
            </w:tcBorders>
          </w:tcPr>
          <w:p w14:paraId="5633A6AB" w14:textId="77777777" w:rsidR="00AB45DE" w:rsidRPr="00BB14A0" w:rsidRDefault="00AB45DE" w:rsidP="00727514">
            <w:pPr>
              <w:spacing w:line="264" w:lineRule="auto"/>
              <w:contextualSpacing/>
              <w:rPr>
                <w:rFonts w:ascii="Arial" w:hAnsi="Arial" w:cs="Arial"/>
                <w:sz w:val="22"/>
                <w:szCs w:val="22"/>
              </w:rPr>
            </w:pPr>
          </w:p>
        </w:tc>
        <w:tc>
          <w:tcPr>
            <w:tcW w:w="6106" w:type="dxa"/>
            <w:tcBorders>
              <w:top w:val="nil"/>
              <w:left w:val="nil"/>
              <w:bottom w:val="nil"/>
              <w:right w:val="nil"/>
            </w:tcBorders>
            <w:shd w:val="clear" w:color="auto" w:fill="auto"/>
            <w:tcMar>
              <w:top w:w="43" w:type="dxa"/>
              <w:left w:w="115" w:type="dxa"/>
              <w:bottom w:w="43" w:type="dxa"/>
              <w:right w:w="115" w:type="dxa"/>
            </w:tcMar>
          </w:tcPr>
          <w:p w14:paraId="168DD41A"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Reporting and Training staff</w:t>
            </w:r>
            <w:r>
              <w:rPr>
                <w:rFonts w:ascii="Arial" w:hAnsi="Arial" w:cs="Arial"/>
                <w:sz w:val="22"/>
                <w:szCs w:val="22"/>
              </w:rPr>
              <w:t xml:space="preserve"> – S</w:t>
            </w:r>
            <w:r w:rsidRPr="00501477">
              <w:rPr>
                <w:rFonts w:ascii="Arial" w:hAnsi="Arial" w:cs="Arial"/>
                <w:sz w:val="22"/>
                <w:szCs w:val="22"/>
              </w:rPr>
              <w:t xml:space="preserve">upport </w:t>
            </w:r>
            <w:r>
              <w:rPr>
                <w:rFonts w:ascii="Arial" w:hAnsi="Arial" w:cs="Arial"/>
                <w:sz w:val="22"/>
                <w:szCs w:val="22"/>
              </w:rPr>
              <w:t xml:space="preserve">compliance, training and reporting </w:t>
            </w:r>
            <w:r w:rsidRPr="00501477">
              <w:rPr>
                <w:rFonts w:ascii="Arial" w:hAnsi="Arial" w:cs="Arial"/>
                <w:sz w:val="22"/>
                <w:szCs w:val="22"/>
              </w:rPr>
              <w:t>activities</w:t>
            </w:r>
            <w:r>
              <w:rPr>
                <w:rFonts w:ascii="Arial" w:hAnsi="Arial" w:cs="Arial"/>
                <w:sz w:val="22"/>
                <w:szCs w:val="22"/>
              </w:rPr>
              <w:t xml:space="preserve"> related</w:t>
            </w:r>
            <w:r w:rsidRPr="00501477">
              <w:rPr>
                <w:rFonts w:ascii="Arial" w:hAnsi="Arial" w:cs="Arial"/>
                <w:sz w:val="22"/>
                <w:szCs w:val="22"/>
              </w:rPr>
              <w:t xml:space="preserve"> to the increased volume of </w:t>
            </w:r>
            <w:r>
              <w:rPr>
                <w:rFonts w:ascii="Arial" w:hAnsi="Arial" w:cs="Arial"/>
                <w:sz w:val="22"/>
                <w:szCs w:val="22"/>
              </w:rPr>
              <w:t>contracts due to ARPA CLFRF f</w:t>
            </w:r>
            <w:r w:rsidRPr="00FC41EE">
              <w:rPr>
                <w:rFonts w:ascii="Arial" w:hAnsi="Arial" w:cs="Arial"/>
                <w:sz w:val="22"/>
                <w:szCs w:val="22"/>
              </w:rPr>
              <w:t>unded projects</w:t>
            </w:r>
            <w:r>
              <w:rPr>
                <w:rFonts w:ascii="Arial" w:hAnsi="Arial" w:cs="Arial"/>
                <w:sz w:val="22"/>
                <w:szCs w:val="22"/>
              </w:rPr>
              <w:t>.</w:t>
            </w:r>
          </w:p>
        </w:tc>
        <w:tc>
          <w:tcPr>
            <w:tcW w:w="270" w:type="dxa"/>
            <w:tcBorders>
              <w:top w:val="nil"/>
              <w:left w:val="nil"/>
              <w:bottom w:val="nil"/>
              <w:right w:val="nil"/>
            </w:tcBorders>
          </w:tcPr>
          <w:p w14:paraId="5A0EA516"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7EE02D4E"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$350K</w:t>
            </w:r>
          </w:p>
        </w:tc>
        <w:tc>
          <w:tcPr>
            <w:tcW w:w="270" w:type="dxa"/>
            <w:tcBorders>
              <w:top w:val="nil"/>
              <w:left w:val="nil"/>
              <w:bottom w:val="nil"/>
              <w:right w:val="nil"/>
            </w:tcBorders>
          </w:tcPr>
          <w:p w14:paraId="79371440"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5110D276"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2.0</w:t>
            </w:r>
          </w:p>
        </w:tc>
      </w:tr>
      <w:tr w:rsidR="00AB45DE" w:rsidRPr="000B01DA" w14:paraId="44843CD9" w14:textId="77777777" w:rsidTr="006B2F3A">
        <w:trPr>
          <w:cantSplit/>
        </w:trPr>
        <w:tc>
          <w:tcPr>
            <w:tcW w:w="572" w:type="dxa"/>
            <w:tcBorders>
              <w:top w:val="nil"/>
              <w:left w:val="nil"/>
              <w:bottom w:val="nil"/>
              <w:right w:val="nil"/>
            </w:tcBorders>
          </w:tcPr>
          <w:p w14:paraId="3CA2BBF2"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3</w:t>
            </w:r>
          </w:p>
        </w:tc>
        <w:tc>
          <w:tcPr>
            <w:tcW w:w="252" w:type="dxa"/>
            <w:tcBorders>
              <w:top w:val="nil"/>
              <w:left w:val="nil"/>
              <w:bottom w:val="nil"/>
              <w:right w:val="nil"/>
            </w:tcBorders>
          </w:tcPr>
          <w:p w14:paraId="4A10F66D" w14:textId="77777777" w:rsidR="00AB45DE" w:rsidRDefault="00AB45DE" w:rsidP="00727514">
            <w:pPr>
              <w:spacing w:line="264" w:lineRule="auto"/>
              <w:contextualSpacing/>
              <w:rPr>
                <w:rFonts w:ascii="Arial" w:hAnsi="Arial" w:cs="Arial"/>
                <w:sz w:val="22"/>
                <w:szCs w:val="22"/>
              </w:rPr>
            </w:pPr>
          </w:p>
        </w:tc>
        <w:tc>
          <w:tcPr>
            <w:tcW w:w="6106" w:type="dxa"/>
            <w:tcBorders>
              <w:top w:val="nil"/>
              <w:left w:val="nil"/>
              <w:bottom w:val="nil"/>
              <w:right w:val="nil"/>
            </w:tcBorders>
            <w:shd w:val="clear" w:color="auto" w:fill="auto"/>
            <w:tcMar>
              <w:top w:w="43" w:type="dxa"/>
              <w:left w:w="115" w:type="dxa"/>
              <w:bottom w:w="43" w:type="dxa"/>
              <w:right w:w="115" w:type="dxa"/>
            </w:tcMar>
          </w:tcPr>
          <w:p w14:paraId="07CA8054" w14:textId="77777777" w:rsidR="00AB45DE" w:rsidRPr="000B01DA"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Treasury Investment Management Support</w:t>
            </w:r>
            <w:r>
              <w:rPr>
                <w:rFonts w:ascii="Arial" w:hAnsi="Arial" w:cs="Arial"/>
                <w:sz w:val="22"/>
                <w:szCs w:val="22"/>
              </w:rPr>
              <w:t xml:space="preserve"> – Senior accountant to support the growing workload of the county’s </w:t>
            </w:r>
            <w:r w:rsidRPr="001062E9">
              <w:rPr>
                <w:rFonts w:ascii="Arial" w:hAnsi="Arial" w:cs="Arial"/>
                <w:sz w:val="22"/>
                <w:szCs w:val="22"/>
              </w:rPr>
              <w:t>investment pool and debt management team</w:t>
            </w:r>
            <w:r>
              <w:rPr>
                <w:rFonts w:ascii="Arial" w:hAnsi="Arial" w:cs="Arial"/>
                <w:sz w:val="22"/>
                <w:szCs w:val="22"/>
              </w:rPr>
              <w:t xml:space="preserve"> due to 25% increase in the county’s portfolio balance since 2019 and the new “self-liquidity” program for wastewater debt</w:t>
            </w:r>
            <w:r>
              <w:rPr>
                <w:rStyle w:val="FootnoteReference"/>
                <w:rFonts w:ascii="Arial" w:hAnsi="Arial" w:cs="Arial"/>
                <w:sz w:val="22"/>
                <w:szCs w:val="22"/>
              </w:rPr>
              <w:footnoteReference w:id="66"/>
            </w:r>
            <w:r>
              <w:rPr>
                <w:rFonts w:ascii="Arial" w:hAnsi="Arial" w:cs="Arial"/>
                <w:sz w:val="22"/>
                <w:szCs w:val="22"/>
              </w:rPr>
              <w:t>. This would be funded by investment pool earnings and wastewater revenues.</w:t>
            </w:r>
          </w:p>
        </w:tc>
        <w:tc>
          <w:tcPr>
            <w:tcW w:w="270" w:type="dxa"/>
            <w:tcBorders>
              <w:top w:val="nil"/>
              <w:left w:val="nil"/>
              <w:bottom w:val="nil"/>
              <w:right w:val="nil"/>
            </w:tcBorders>
          </w:tcPr>
          <w:p w14:paraId="7EA9C9FD"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nil"/>
              <w:right w:val="nil"/>
            </w:tcBorders>
            <w:shd w:val="clear" w:color="auto" w:fill="auto"/>
          </w:tcPr>
          <w:p w14:paraId="52B6E6F2"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$210K</w:t>
            </w:r>
          </w:p>
        </w:tc>
        <w:tc>
          <w:tcPr>
            <w:tcW w:w="270" w:type="dxa"/>
            <w:tcBorders>
              <w:top w:val="nil"/>
              <w:left w:val="nil"/>
              <w:bottom w:val="nil"/>
              <w:right w:val="nil"/>
            </w:tcBorders>
          </w:tcPr>
          <w:p w14:paraId="4DC6AB74"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nil"/>
              <w:right w:val="nil"/>
            </w:tcBorders>
            <w:shd w:val="clear" w:color="auto" w:fill="auto"/>
            <w:tcMar>
              <w:top w:w="43" w:type="dxa"/>
              <w:bottom w:w="43" w:type="dxa"/>
            </w:tcMar>
          </w:tcPr>
          <w:p w14:paraId="59AC5D4D" w14:textId="77777777" w:rsidR="00AB45DE" w:rsidRPr="000B01DA" w:rsidRDefault="00AB45DE" w:rsidP="00727514">
            <w:pPr>
              <w:spacing w:line="264" w:lineRule="auto"/>
              <w:contextualSpacing/>
              <w:jc w:val="right"/>
              <w:rPr>
                <w:rFonts w:ascii="Arial" w:hAnsi="Arial" w:cs="Arial"/>
                <w:bCs/>
                <w:sz w:val="22"/>
                <w:szCs w:val="22"/>
              </w:rPr>
            </w:pPr>
            <w:r>
              <w:rPr>
                <w:rFonts w:ascii="Arial" w:hAnsi="Arial" w:cs="Arial"/>
                <w:bCs/>
                <w:sz w:val="22"/>
                <w:szCs w:val="22"/>
              </w:rPr>
              <w:t>1.0</w:t>
            </w:r>
          </w:p>
        </w:tc>
      </w:tr>
      <w:tr w:rsidR="00AB45DE" w:rsidRPr="000B01DA" w14:paraId="2CF28BF9" w14:textId="77777777" w:rsidTr="006B2F3A">
        <w:trPr>
          <w:cantSplit/>
        </w:trPr>
        <w:tc>
          <w:tcPr>
            <w:tcW w:w="572" w:type="dxa"/>
            <w:tcBorders>
              <w:top w:val="nil"/>
              <w:left w:val="nil"/>
              <w:bottom w:val="nil"/>
              <w:right w:val="nil"/>
            </w:tcBorders>
          </w:tcPr>
          <w:p w14:paraId="201F1D90" w14:textId="77777777" w:rsidR="00AB45DE" w:rsidRDefault="00AB45DE" w:rsidP="00727514">
            <w:pPr>
              <w:spacing w:line="264" w:lineRule="auto"/>
              <w:contextualSpacing/>
              <w:jc w:val="center"/>
              <w:rPr>
                <w:rFonts w:ascii="Arial" w:hAnsi="Arial" w:cs="Arial"/>
                <w:sz w:val="22"/>
                <w:szCs w:val="22"/>
              </w:rPr>
            </w:pPr>
            <w:r>
              <w:rPr>
                <w:rFonts w:ascii="Arial" w:hAnsi="Arial" w:cs="Arial"/>
                <w:sz w:val="22"/>
                <w:szCs w:val="22"/>
              </w:rPr>
              <w:t>4</w:t>
            </w:r>
          </w:p>
        </w:tc>
        <w:tc>
          <w:tcPr>
            <w:tcW w:w="252" w:type="dxa"/>
            <w:tcBorders>
              <w:top w:val="nil"/>
              <w:left w:val="nil"/>
              <w:bottom w:val="nil"/>
              <w:right w:val="nil"/>
            </w:tcBorders>
          </w:tcPr>
          <w:p w14:paraId="64BDD0C9" w14:textId="77777777" w:rsidR="00AB45DE" w:rsidRDefault="00AB45DE" w:rsidP="00727514">
            <w:pPr>
              <w:spacing w:line="264" w:lineRule="auto"/>
              <w:contextualSpacing/>
              <w:rPr>
                <w:rFonts w:ascii="Arial" w:hAnsi="Arial" w:cs="Arial"/>
                <w:sz w:val="22"/>
                <w:szCs w:val="22"/>
              </w:rPr>
            </w:pPr>
          </w:p>
        </w:tc>
        <w:tc>
          <w:tcPr>
            <w:tcW w:w="6106" w:type="dxa"/>
            <w:tcBorders>
              <w:top w:val="nil"/>
              <w:left w:val="nil"/>
              <w:bottom w:val="nil"/>
              <w:right w:val="nil"/>
            </w:tcBorders>
            <w:shd w:val="clear" w:color="auto" w:fill="auto"/>
            <w:tcMar>
              <w:top w:w="43" w:type="dxa"/>
              <w:left w:w="115" w:type="dxa"/>
              <w:bottom w:w="43" w:type="dxa"/>
              <w:right w:w="115" w:type="dxa"/>
            </w:tcMar>
          </w:tcPr>
          <w:p w14:paraId="60FFA70E" w14:textId="77777777" w:rsidR="00AB45DE" w:rsidRPr="0087779B" w:rsidRDefault="00AB45DE" w:rsidP="00727514">
            <w:pPr>
              <w:spacing w:line="264" w:lineRule="auto"/>
              <w:contextualSpacing/>
              <w:rPr>
                <w:rFonts w:ascii="Arial" w:hAnsi="Arial" w:cs="Arial"/>
                <w:sz w:val="22"/>
                <w:szCs w:val="22"/>
              </w:rPr>
            </w:pPr>
            <w:r w:rsidRPr="005E6790">
              <w:rPr>
                <w:rFonts w:ascii="Arial" w:hAnsi="Arial" w:cs="Arial"/>
                <w:sz w:val="22"/>
                <w:szCs w:val="22"/>
                <w:u w:val="single"/>
              </w:rPr>
              <w:t>HR Support</w:t>
            </w:r>
            <w:r>
              <w:rPr>
                <w:rFonts w:ascii="Arial" w:hAnsi="Arial" w:cs="Arial"/>
                <w:sz w:val="22"/>
                <w:szCs w:val="22"/>
              </w:rPr>
              <w:t xml:space="preserve"> – On</w:t>
            </w:r>
            <w:r w:rsidRPr="00DC7826">
              <w:rPr>
                <w:rFonts w:ascii="Arial" w:hAnsi="Arial" w:cs="Arial"/>
                <w:sz w:val="22"/>
                <w:szCs w:val="22"/>
              </w:rPr>
              <w:t xml:space="preserve">e TLT for recruitment support due to </w:t>
            </w:r>
            <w:r>
              <w:rPr>
                <w:rFonts w:ascii="Arial" w:hAnsi="Arial" w:cs="Arial"/>
                <w:sz w:val="22"/>
                <w:szCs w:val="22"/>
              </w:rPr>
              <w:t>increasing number of new positions.</w:t>
            </w:r>
          </w:p>
        </w:tc>
        <w:tc>
          <w:tcPr>
            <w:tcW w:w="270" w:type="dxa"/>
            <w:tcBorders>
              <w:top w:val="nil"/>
              <w:left w:val="nil"/>
              <w:bottom w:val="nil"/>
              <w:right w:val="nil"/>
            </w:tcBorders>
          </w:tcPr>
          <w:p w14:paraId="4AB89D7A" w14:textId="77777777" w:rsidR="00AB45DE" w:rsidRPr="000B01DA" w:rsidRDefault="00AB45DE" w:rsidP="00727514">
            <w:pPr>
              <w:spacing w:line="264" w:lineRule="auto"/>
              <w:contextualSpacing/>
              <w:jc w:val="right"/>
              <w:rPr>
                <w:rFonts w:ascii="Arial" w:hAnsi="Arial" w:cs="Arial"/>
                <w:bCs/>
                <w:sz w:val="22"/>
                <w:szCs w:val="22"/>
              </w:rPr>
            </w:pPr>
          </w:p>
        </w:tc>
        <w:tc>
          <w:tcPr>
            <w:tcW w:w="1080" w:type="dxa"/>
            <w:tcBorders>
              <w:top w:val="nil"/>
              <w:left w:val="nil"/>
              <w:bottom w:val="single" w:sz="8" w:space="0" w:color="auto"/>
              <w:right w:val="nil"/>
            </w:tcBorders>
            <w:shd w:val="clear" w:color="auto" w:fill="auto"/>
          </w:tcPr>
          <w:p w14:paraId="277E1F8C"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$115K</w:t>
            </w:r>
          </w:p>
        </w:tc>
        <w:tc>
          <w:tcPr>
            <w:tcW w:w="270" w:type="dxa"/>
            <w:tcBorders>
              <w:top w:val="nil"/>
              <w:left w:val="nil"/>
              <w:bottom w:val="nil"/>
              <w:right w:val="nil"/>
            </w:tcBorders>
          </w:tcPr>
          <w:p w14:paraId="2C8D099D" w14:textId="77777777" w:rsidR="00AB45DE" w:rsidRPr="000B01DA" w:rsidRDefault="00AB45DE" w:rsidP="00727514">
            <w:pPr>
              <w:spacing w:line="264" w:lineRule="auto"/>
              <w:contextualSpacing/>
              <w:jc w:val="right"/>
              <w:rPr>
                <w:rFonts w:ascii="Arial" w:hAnsi="Arial" w:cs="Arial"/>
                <w:bCs/>
                <w:sz w:val="22"/>
                <w:szCs w:val="22"/>
              </w:rPr>
            </w:pPr>
          </w:p>
        </w:tc>
        <w:tc>
          <w:tcPr>
            <w:tcW w:w="810" w:type="dxa"/>
            <w:tcBorders>
              <w:top w:val="nil"/>
              <w:left w:val="nil"/>
              <w:bottom w:val="single" w:sz="8" w:space="0" w:color="auto"/>
              <w:right w:val="nil"/>
            </w:tcBorders>
            <w:shd w:val="clear" w:color="auto" w:fill="auto"/>
            <w:tcMar>
              <w:top w:w="43" w:type="dxa"/>
              <w:bottom w:w="43" w:type="dxa"/>
            </w:tcMar>
          </w:tcPr>
          <w:p w14:paraId="39B69803" w14:textId="77777777" w:rsidR="00AB45DE" w:rsidRDefault="00AB45DE" w:rsidP="00727514">
            <w:pPr>
              <w:spacing w:line="264" w:lineRule="auto"/>
              <w:contextualSpacing/>
              <w:jc w:val="right"/>
              <w:rPr>
                <w:rFonts w:ascii="Arial" w:hAnsi="Arial" w:cs="Arial"/>
                <w:bCs/>
                <w:sz w:val="22"/>
                <w:szCs w:val="22"/>
              </w:rPr>
            </w:pPr>
            <w:r>
              <w:rPr>
                <w:rFonts w:ascii="Arial" w:hAnsi="Arial" w:cs="Arial"/>
                <w:bCs/>
                <w:sz w:val="22"/>
                <w:szCs w:val="22"/>
              </w:rPr>
              <w:t>0.0</w:t>
            </w:r>
          </w:p>
        </w:tc>
      </w:tr>
      <w:tr w:rsidR="00AB45DE" w:rsidRPr="000B01DA" w14:paraId="1C9AA961" w14:textId="77777777" w:rsidTr="006B2F3A">
        <w:trPr>
          <w:cantSplit/>
        </w:trPr>
        <w:tc>
          <w:tcPr>
            <w:tcW w:w="572" w:type="dxa"/>
            <w:tcBorders>
              <w:top w:val="nil"/>
              <w:left w:val="nil"/>
              <w:bottom w:val="single" w:sz="12" w:space="0" w:color="auto"/>
              <w:right w:val="nil"/>
            </w:tcBorders>
          </w:tcPr>
          <w:p w14:paraId="6FF0A3F9" w14:textId="77777777" w:rsidR="00AB45DE" w:rsidRPr="000B01DA" w:rsidRDefault="00AB45DE" w:rsidP="00727514">
            <w:pPr>
              <w:spacing w:line="264" w:lineRule="auto"/>
              <w:contextualSpacing/>
              <w:jc w:val="right"/>
              <w:rPr>
                <w:rFonts w:ascii="Arial" w:hAnsi="Arial" w:cs="Arial"/>
                <w:b/>
                <w:bCs/>
                <w:sz w:val="22"/>
                <w:szCs w:val="22"/>
              </w:rPr>
            </w:pPr>
          </w:p>
        </w:tc>
        <w:tc>
          <w:tcPr>
            <w:tcW w:w="252" w:type="dxa"/>
            <w:tcBorders>
              <w:top w:val="nil"/>
              <w:left w:val="nil"/>
              <w:bottom w:val="single" w:sz="12" w:space="0" w:color="auto"/>
              <w:right w:val="nil"/>
            </w:tcBorders>
          </w:tcPr>
          <w:p w14:paraId="7DCF8376" w14:textId="77777777" w:rsidR="00AB45DE" w:rsidRPr="000B01DA" w:rsidRDefault="00AB45DE" w:rsidP="00727514">
            <w:pPr>
              <w:spacing w:line="264" w:lineRule="auto"/>
              <w:contextualSpacing/>
              <w:jc w:val="right"/>
              <w:rPr>
                <w:rFonts w:ascii="Arial" w:hAnsi="Arial" w:cs="Arial"/>
                <w:b/>
                <w:bCs/>
                <w:sz w:val="22"/>
                <w:szCs w:val="22"/>
              </w:rPr>
            </w:pPr>
          </w:p>
        </w:tc>
        <w:tc>
          <w:tcPr>
            <w:tcW w:w="6106" w:type="dxa"/>
            <w:tcBorders>
              <w:top w:val="nil"/>
              <w:left w:val="nil"/>
              <w:bottom w:val="single" w:sz="12" w:space="0" w:color="auto"/>
              <w:right w:val="nil"/>
            </w:tcBorders>
            <w:shd w:val="clear" w:color="auto" w:fill="auto"/>
            <w:tcMar>
              <w:top w:w="43" w:type="dxa"/>
              <w:left w:w="115" w:type="dxa"/>
              <w:bottom w:w="43" w:type="dxa"/>
              <w:right w:w="115" w:type="dxa"/>
            </w:tcMar>
          </w:tcPr>
          <w:p w14:paraId="1CF33763" w14:textId="77777777" w:rsidR="00AB45DE" w:rsidRPr="000B01DA" w:rsidRDefault="00AB45DE" w:rsidP="00727514">
            <w:pPr>
              <w:spacing w:line="264" w:lineRule="auto"/>
              <w:contextualSpacing/>
              <w:jc w:val="right"/>
              <w:rPr>
                <w:rFonts w:ascii="Arial" w:hAnsi="Arial" w:cs="Arial"/>
                <w:b/>
                <w:bCs/>
                <w:sz w:val="22"/>
                <w:szCs w:val="22"/>
              </w:rPr>
            </w:pPr>
          </w:p>
        </w:tc>
        <w:tc>
          <w:tcPr>
            <w:tcW w:w="270" w:type="dxa"/>
            <w:tcBorders>
              <w:top w:val="nil"/>
              <w:left w:val="nil"/>
              <w:bottom w:val="single" w:sz="12" w:space="0" w:color="auto"/>
              <w:right w:val="nil"/>
            </w:tcBorders>
          </w:tcPr>
          <w:p w14:paraId="39A08BA2" w14:textId="77777777" w:rsidR="00AB45DE" w:rsidRPr="000B01DA" w:rsidRDefault="00AB45DE" w:rsidP="00727514">
            <w:pPr>
              <w:spacing w:line="264" w:lineRule="auto"/>
              <w:contextualSpacing/>
              <w:jc w:val="right"/>
              <w:rPr>
                <w:rFonts w:ascii="Arial" w:hAnsi="Arial" w:cs="Arial"/>
                <w:b/>
                <w:sz w:val="22"/>
                <w:szCs w:val="22"/>
              </w:rPr>
            </w:pPr>
          </w:p>
        </w:tc>
        <w:tc>
          <w:tcPr>
            <w:tcW w:w="1080" w:type="dxa"/>
            <w:tcBorders>
              <w:top w:val="single" w:sz="8" w:space="0" w:color="auto"/>
              <w:left w:val="nil"/>
              <w:bottom w:val="single" w:sz="12" w:space="0" w:color="auto"/>
              <w:right w:val="nil"/>
            </w:tcBorders>
            <w:shd w:val="clear" w:color="auto" w:fill="auto"/>
          </w:tcPr>
          <w:p w14:paraId="5F19A84E" w14:textId="77777777" w:rsidR="00AB45DE" w:rsidRPr="000B01DA" w:rsidRDefault="00AB45DE" w:rsidP="00727514">
            <w:pPr>
              <w:spacing w:line="264" w:lineRule="auto"/>
              <w:contextualSpacing/>
              <w:jc w:val="right"/>
              <w:rPr>
                <w:rFonts w:ascii="Arial" w:hAnsi="Arial" w:cs="Arial"/>
                <w:b/>
                <w:sz w:val="22"/>
                <w:szCs w:val="22"/>
              </w:rPr>
            </w:pPr>
            <w:r>
              <w:rPr>
                <w:rFonts w:ascii="Arial" w:hAnsi="Arial" w:cs="Arial"/>
                <w:b/>
                <w:sz w:val="22"/>
                <w:szCs w:val="22"/>
              </w:rPr>
              <w:t>$1.6 mil</w:t>
            </w:r>
          </w:p>
        </w:tc>
        <w:tc>
          <w:tcPr>
            <w:tcW w:w="270" w:type="dxa"/>
            <w:tcBorders>
              <w:top w:val="nil"/>
              <w:left w:val="nil"/>
              <w:bottom w:val="single" w:sz="12" w:space="0" w:color="auto"/>
              <w:right w:val="nil"/>
            </w:tcBorders>
          </w:tcPr>
          <w:p w14:paraId="765AAC19" w14:textId="77777777" w:rsidR="00AB45DE" w:rsidRPr="000B01DA" w:rsidRDefault="00AB45DE" w:rsidP="00727514">
            <w:pPr>
              <w:spacing w:line="264" w:lineRule="auto"/>
              <w:contextualSpacing/>
              <w:jc w:val="right"/>
              <w:rPr>
                <w:rFonts w:ascii="Arial" w:hAnsi="Arial" w:cs="Arial"/>
                <w:b/>
                <w:sz w:val="22"/>
                <w:szCs w:val="22"/>
              </w:rPr>
            </w:pPr>
          </w:p>
        </w:tc>
        <w:tc>
          <w:tcPr>
            <w:tcW w:w="810" w:type="dxa"/>
            <w:tcBorders>
              <w:top w:val="single" w:sz="8" w:space="0" w:color="auto"/>
              <w:left w:val="nil"/>
              <w:bottom w:val="single" w:sz="12" w:space="0" w:color="auto"/>
              <w:right w:val="nil"/>
            </w:tcBorders>
            <w:shd w:val="clear" w:color="auto" w:fill="auto"/>
            <w:tcMar>
              <w:top w:w="43" w:type="dxa"/>
              <w:bottom w:w="43" w:type="dxa"/>
            </w:tcMar>
          </w:tcPr>
          <w:p w14:paraId="0F892D47" w14:textId="77777777" w:rsidR="00AB45DE" w:rsidRPr="000B01DA" w:rsidRDefault="00AB45DE" w:rsidP="00727514">
            <w:pPr>
              <w:spacing w:line="264" w:lineRule="auto"/>
              <w:contextualSpacing/>
              <w:jc w:val="right"/>
              <w:rPr>
                <w:rFonts w:ascii="Arial" w:hAnsi="Arial" w:cs="Arial"/>
                <w:b/>
                <w:sz w:val="22"/>
                <w:szCs w:val="22"/>
              </w:rPr>
            </w:pPr>
            <w:r>
              <w:rPr>
                <w:rFonts w:ascii="Arial" w:hAnsi="Arial" w:cs="Arial"/>
                <w:b/>
                <w:sz w:val="22"/>
                <w:szCs w:val="22"/>
              </w:rPr>
              <w:t>4.0</w:t>
            </w:r>
          </w:p>
        </w:tc>
      </w:tr>
    </w:tbl>
    <w:p w14:paraId="7460A4A2" w14:textId="77777777" w:rsidR="00AB45DE" w:rsidRDefault="00AB45DE" w:rsidP="00727514">
      <w:pPr>
        <w:tabs>
          <w:tab w:val="left" w:pos="720"/>
          <w:tab w:val="right" w:pos="9360"/>
        </w:tabs>
        <w:spacing w:line="264" w:lineRule="auto"/>
        <w:contextualSpacing/>
        <w:jc w:val="both"/>
        <w:rPr>
          <w:rFonts w:ascii="Arial" w:hAnsi="Arial" w:cs="Arial"/>
          <w:bCs/>
        </w:rPr>
      </w:pPr>
    </w:p>
    <w:p w14:paraId="3A98D61C" w14:textId="77777777" w:rsidR="00AB45DE" w:rsidRDefault="00AB45DE" w:rsidP="00727514">
      <w:pPr>
        <w:tabs>
          <w:tab w:val="left" w:pos="720"/>
          <w:tab w:val="right" w:pos="9360"/>
        </w:tabs>
        <w:spacing w:line="264" w:lineRule="auto"/>
        <w:contextualSpacing/>
        <w:jc w:val="both"/>
        <w:rPr>
          <w:rFonts w:ascii="Arial" w:hAnsi="Arial" w:cs="Arial"/>
          <w:b/>
          <w:u w:val="single"/>
        </w:rPr>
      </w:pPr>
    </w:p>
    <w:p w14:paraId="145AC25F" w14:textId="102387CF" w:rsidR="00AB45DE" w:rsidRDefault="00AB45DE" w:rsidP="00AB45DE">
      <w:pPr>
        <w:tabs>
          <w:tab w:val="left" w:pos="720"/>
          <w:tab w:val="right" w:pos="9360"/>
        </w:tabs>
        <w:spacing w:line="264" w:lineRule="auto"/>
        <w:contextualSpacing/>
        <w:jc w:val="both"/>
        <w:rPr>
          <w:rFonts w:ascii="Arial" w:hAnsi="Arial" w:cs="Arial"/>
          <w:bCs/>
        </w:rPr>
      </w:pPr>
      <w:r>
        <w:rPr>
          <w:rFonts w:ascii="Arial" w:hAnsi="Arial" w:cs="Arial"/>
          <w:b/>
          <w:i/>
          <w:iCs/>
        </w:rPr>
        <w:lastRenderedPageBreak/>
        <w:t>KCIT Support for PTAS Delay [</w:t>
      </w:r>
      <w:r w:rsidRPr="0054665B">
        <w:rPr>
          <w:rFonts w:ascii="Arial" w:hAnsi="Arial" w:cs="Arial"/>
          <w:b/>
          <w:i/>
          <w:iCs/>
        </w:rPr>
        <w:t>$</w:t>
      </w:r>
      <w:r>
        <w:rPr>
          <w:rFonts w:ascii="Arial" w:hAnsi="Arial" w:cs="Arial"/>
          <w:b/>
          <w:i/>
          <w:iCs/>
        </w:rPr>
        <w:t xml:space="preserve">722,000].  </w:t>
      </w:r>
      <w:r>
        <w:rPr>
          <w:rFonts w:ascii="Arial" w:hAnsi="Arial" w:cs="Arial"/>
          <w:bCs/>
        </w:rPr>
        <w:t xml:space="preserve">This proposed appropriation would support </w:t>
      </w:r>
      <w:r w:rsidRPr="00B36091">
        <w:rPr>
          <w:rFonts w:ascii="Arial" w:hAnsi="Arial" w:cs="Arial"/>
          <w:bCs/>
        </w:rPr>
        <w:t>standard application hosting, maintenance, and minor enhancement / bug fixing support to the suite of applications</w:t>
      </w:r>
      <w:r>
        <w:rPr>
          <w:rFonts w:ascii="Arial" w:hAnsi="Arial" w:cs="Arial"/>
          <w:bCs/>
        </w:rPr>
        <w:t xml:space="preserve"> for the Treasury unit’s use of the current (legacy) Assessment system. </w:t>
      </w:r>
      <w:r w:rsidR="00727514">
        <w:rPr>
          <w:rFonts w:ascii="Arial" w:hAnsi="Arial" w:cs="Arial"/>
          <w:bCs/>
        </w:rPr>
        <w:t xml:space="preserve"> </w:t>
      </w:r>
      <w:r>
        <w:rPr>
          <w:rFonts w:ascii="Arial" w:hAnsi="Arial" w:cs="Arial"/>
          <w:bCs/>
        </w:rPr>
        <w:t xml:space="preserve">FBOD did not include these costs to the 2021-2022 biennial budget due to the estimated completion of the Property Tax Administration System (PTAS) in 2020. </w:t>
      </w:r>
      <w:r w:rsidR="00727514">
        <w:rPr>
          <w:rFonts w:ascii="Arial" w:hAnsi="Arial" w:cs="Arial"/>
          <w:bCs/>
        </w:rPr>
        <w:t xml:space="preserve"> </w:t>
      </w:r>
      <w:r>
        <w:rPr>
          <w:rFonts w:ascii="Arial" w:hAnsi="Arial" w:cs="Arial"/>
          <w:bCs/>
        </w:rPr>
        <w:t xml:space="preserve">PTAS would replace the existing mainframe system to assess, bill, and collect property taxes for the county, </w:t>
      </w:r>
      <w:r w:rsidRPr="00F95C7D">
        <w:rPr>
          <w:rFonts w:ascii="Arial" w:hAnsi="Arial" w:cs="Arial"/>
          <w:bCs/>
        </w:rPr>
        <w:t>cities, school districts, and other taxing districts</w:t>
      </w:r>
      <w:r>
        <w:rPr>
          <w:rFonts w:ascii="Arial" w:hAnsi="Arial" w:cs="Arial"/>
          <w:bCs/>
        </w:rPr>
        <w:t xml:space="preserve">. </w:t>
      </w:r>
    </w:p>
    <w:p w14:paraId="78DF73F3" w14:textId="77777777" w:rsidR="00AB45DE" w:rsidRDefault="00AB45DE" w:rsidP="00AB45DE">
      <w:pPr>
        <w:tabs>
          <w:tab w:val="left" w:pos="720"/>
          <w:tab w:val="right" w:pos="9360"/>
        </w:tabs>
        <w:spacing w:line="264" w:lineRule="auto"/>
        <w:contextualSpacing/>
        <w:jc w:val="both"/>
        <w:rPr>
          <w:rFonts w:ascii="Arial" w:hAnsi="Arial" w:cs="Arial"/>
          <w:bCs/>
        </w:rPr>
      </w:pPr>
    </w:p>
    <w:p w14:paraId="2F702F62" w14:textId="713A731B" w:rsidR="00AB45DE" w:rsidRDefault="00AB45DE" w:rsidP="00AB45DE">
      <w:pPr>
        <w:tabs>
          <w:tab w:val="left" w:pos="720"/>
          <w:tab w:val="right" w:pos="9360"/>
        </w:tabs>
        <w:spacing w:line="264" w:lineRule="auto"/>
        <w:contextualSpacing/>
        <w:jc w:val="both"/>
        <w:rPr>
          <w:rFonts w:ascii="Arial" w:hAnsi="Arial" w:cs="Arial"/>
          <w:bCs/>
        </w:rPr>
      </w:pPr>
      <w:r>
        <w:rPr>
          <w:rFonts w:ascii="Arial" w:hAnsi="Arial" w:cs="Arial"/>
          <w:bCs/>
        </w:rPr>
        <w:t xml:space="preserve">Currently, the project is delayed due to </w:t>
      </w:r>
      <w:r w:rsidRPr="003F3478">
        <w:rPr>
          <w:rFonts w:ascii="Arial" w:hAnsi="Arial" w:cs="Arial"/>
          <w:bCs/>
        </w:rPr>
        <w:t>significant scope, schedule</w:t>
      </w:r>
      <w:r>
        <w:rPr>
          <w:rFonts w:ascii="Arial" w:hAnsi="Arial" w:cs="Arial"/>
          <w:bCs/>
        </w:rPr>
        <w:t>,</w:t>
      </w:r>
      <w:r w:rsidRPr="003F3478">
        <w:rPr>
          <w:rFonts w:ascii="Arial" w:hAnsi="Arial" w:cs="Arial"/>
          <w:bCs/>
        </w:rPr>
        <w:t xml:space="preserve"> and budget challenges</w:t>
      </w:r>
      <w:r>
        <w:rPr>
          <w:rFonts w:ascii="Arial" w:hAnsi="Arial" w:cs="Arial"/>
          <w:bCs/>
        </w:rPr>
        <w:t xml:space="preserve">. </w:t>
      </w:r>
      <w:r w:rsidR="00727514">
        <w:rPr>
          <w:rFonts w:ascii="Arial" w:hAnsi="Arial" w:cs="Arial"/>
          <w:bCs/>
        </w:rPr>
        <w:t xml:space="preserve"> </w:t>
      </w:r>
      <w:r>
        <w:rPr>
          <w:rFonts w:ascii="Arial" w:hAnsi="Arial" w:cs="Arial"/>
          <w:bCs/>
        </w:rPr>
        <w:t>Since February 2021 the project s</w:t>
      </w:r>
      <w:r w:rsidRPr="003F3478">
        <w:rPr>
          <w:rFonts w:ascii="Arial" w:hAnsi="Arial" w:cs="Arial"/>
          <w:bCs/>
        </w:rPr>
        <w:t xml:space="preserve">teering committee established a new Project Management Office, hired a director with IT development expertise, implemented a new governance structure to enhance project management and accountability, and started daily project management meetings between </w:t>
      </w:r>
      <w:r>
        <w:rPr>
          <w:rFonts w:ascii="Arial" w:hAnsi="Arial" w:cs="Arial"/>
          <w:bCs/>
        </w:rPr>
        <w:t>c</w:t>
      </w:r>
      <w:r w:rsidRPr="003F3478">
        <w:rPr>
          <w:rFonts w:ascii="Arial" w:hAnsi="Arial" w:cs="Arial"/>
          <w:bCs/>
        </w:rPr>
        <w:t xml:space="preserve">ounty leadership and </w:t>
      </w:r>
      <w:r>
        <w:rPr>
          <w:rFonts w:ascii="Arial" w:hAnsi="Arial" w:cs="Arial"/>
          <w:bCs/>
        </w:rPr>
        <w:t>v</w:t>
      </w:r>
      <w:r w:rsidRPr="003F3478">
        <w:rPr>
          <w:rFonts w:ascii="Arial" w:hAnsi="Arial" w:cs="Arial"/>
          <w:bCs/>
        </w:rPr>
        <w:t>endor leadership.</w:t>
      </w:r>
      <w:r>
        <w:rPr>
          <w:rFonts w:ascii="Arial" w:hAnsi="Arial" w:cs="Arial"/>
          <w:bCs/>
        </w:rPr>
        <w:t xml:space="preserve"> </w:t>
      </w:r>
      <w:r w:rsidR="00727514">
        <w:rPr>
          <w:rFonts w:ascii="Arial" w:hAnsi="Arial" w:cs="Arial"/>
          <w:bCs/>
        </w:rPr>
        <w:t xml:space="preserve"> </w:t>
      </w:r>
      <w:r>
        <w:rPr>
          <w:rFonts w:ascii="Arial" w:hAnsi="Arial" w:cs="Arial"/>
          <w:bCs/>
        </w:rPr>
        <w:t>The project is undergoing</w:t>
      </w:r>
      <w:r w:rsidRPr="003F3478">
        <w:rPr>
          <w:rFonts w:ascii="Arial" w:hAnsi="Arial" w:cs="Arial"/>
          <w:bCs/>
        </w:rPr>
        <w:t xml:space="preserve"> a third party review with </w:t>
      </w:r>
      <w:r>
        <w:rPr>
          <w:rFonts w:ascii="Arial" w:hAnsi="Arial" w:cs="Arial"/>
          <w:bCs/>
        </w:rPr>
        <w:t>the county’s</w:t>
      </w:r>
      <w:r w:rsidRPr="003F3478">
        <w:rPr>
          <w:rFonts w:ascii="Arial" w:hAnsi="Arial" w:cs="Arial"/>
          <w:bCs/>
        </w:rPr>
        <w:t xml:space="preserve"> </w:t>
      </w:r>
      <w:r>
        <w:rPr>
          <w:rFonts w:ascii="Arial" w:hAnsi="Arial" w:cs="Arial"/>
          <w:bCs/>
        </w:rPr>
        <w:t>quality assurance</w:t>
      </w:r>
      <w:r w:rsidRPr="003F3478">
        <w:rPr>
          <w:rFonts w:ascii="Arial" w:hAnsi="Arial" w:cs="Arial"/>
          <w:bCs/>
        </w:rPr>
        <w:t xml:space="preserve"> subcontractor, Grant Thornton, before the </w:t>
      </w:r>
      <w:r>
        <w:rPr>
          <w:rFonts w:ascii="Arial" w:hAnsi="Arial" w:cs="Arial"/>
          <w:bCs/>
        </w:rPr>
        <w:t>s</w:t>
      </w:r>
      <w:r w:rsidRPr="003F3478">
        <w:rPr>
          <w:rFonts w:ascii="Arial" w:hAnsi="Arial" w:cs="Arial"/>
          <w:bCs/>
        </w:rPr>
        <w:t xml:space="preserve">teering </w:t>
      </w:r>
      <w:r>
        <w:rPr>
          <w:rFonts w:ascii="Arial" w:hAnsi="Arial" w:cs="Arial"/>
          <w:bCs/>
        </w:rPr>
        <w:t>c</w:t>
      </w:r>
      <w:r w:rsidRPr="003F3478">
        <w:rPr>
          <w:rFonts w:ascii="Arial" w:hAnsi="Arial" w:cs="Arial"/>
          <w:bCs/>
        </w:rPr>
        <w:t xml:space="preserve">ommittee selects an option to bring forward to the </w:t>
      </w:r>
      <w:r>
        <w:rPr>
          <w:rFonts w:ascii="Arial" w:hAnsi="Arial" w:cs="Arial"/>
          <w:bCs/>
        </w:rPr>
        <w:t>e</w:t>
      </w:r>
      <w:r w:rsidRPr="003F3478">
        <w:rPr>
          <w:rFonts w:ascii="Arial" w:hAnsi="Arial" w:cs="Arial"/>
          <w:bCs/>
        </w:rPr>
        <w:t xml:space="preserve">xecutive and </w:t>
      </w:r>
      <w:r>
        <w:rPr>
          <w:rFonts w:ascii="Arial" w:hAnsi="Arial" w:cs="Arial"/>
          <w:bCs/>
        </w:rPr>
        <w:t>c</w:t>
      </w:r>
      <w:r w:rsidRPr="003F3478">
        <w:rPr>
          <w:rFonts w:ascii="Arial" w:hAnsi="Arial" w:cs="Arial"/>
          <w:bCs/>
        </w:rPr>
        <w:t>ouncil for further consideration and funding.</w:t>
      </w:r>
      <w:r>
        <w:rPr>
          <w:rFonts w:ascii="Arial" w:hAnsi="Arial" w:cs="Arial"/>
          <w:bCs/>
        </w:rPr>
        <w:t xml:space="preserve"> </w:t>
      </w:r>
      <w:r w:rsidR="00727514">
        <w:rPr>
          <w:rFonts w:ascii="Arial" w:hAnsi="Arial" w:cs="Arial"/>
          <w:bCs/>
        </w:rPr>
        <w:t xml:space="preserve"> </w:t>
      </w:r>
      <w:r>
        <w:rPr>
          <w:rFonts w:ascii="Arial" w:hAnsi="Arial" w:cs="Arial"/>
          <w:bCs/>
        </w:rPr>
        <w:t>Executive staff states that a funding proposal may be presented to the council for consideration as amendment to the 2</w:t>
      </w:r>
      <w:r w:rsidRPr="00496276">
        <w:rPr>
          <w:rFonts w:ascii="Arial" w:hAnsi="Arial" w:cs="Arial"/>
          <w:bCs/>
          <w:vertAlign w:val="superscript"/>
        </w:rPr>
        <w:t>nd</w:t>
      </w:r>
      <w:r>
        <w:rPr>
          <w:rFonts w:ascii="Arial" w:hAnsi="Arial" w:cs="Arial"/>
          <w:bCs/>
        </w:rPr>
        <w:t xml:space="preserve"> Omnibus.</w:t>
      </w:r>
    </w:p>
    <w:p w14:paraId="7DD6910C" w14:textId="77777777" w:rsidR="00AB45DE" w:rsidRDefault="00AB45DE" w:rsidP="00AB45DE">
      <w:pPr>
        <w:tabs>
          <w:tab w:val="left" w:pos="720"/>
          <w:tab w:val="right" w:pos="9360"/>
        </w:tabs>
        <w:spacing w:line="264" w:lineRule="auto"/>
        <w:contextualSpacing/>
        <w:jc w:val="both"/>
        <w:rPr>
          <w:rFonts w:ascii="Arial" w:hAnsi="Arial" w:cs="Arial"/>
          <w:b/>
          <w:u w:val="single"/>
        </w:rPr>
      </w:pPr>
    </w:p>
    <w:p w14:paraId="2B878062" w14:textId="01C16EE2" w:rsidR="00AB45DE" w:rsidRDefault="00AB45DE" w:rsidP="00AB45DE">
      <w:pPr>
        <w:tabs>
          <w:tab w:val="left" w:pos="720"/>
          <w:tab w:val="right" w:pos="9360"/>
        </w:tabs>
        <w:spacing w:line="264" w:lineRule="auto"/>
        <w:contextualSpacing/>
        <w:jc w:val="both"/>
        <w:rPr>
          <w:rFonts w:ascii="Arial" w:hAnsi="Arial" w:cs="Arial"/>
          <w:b/>
          <w:u w:val="single"/>
        </w:rPr>
      </w:pPr>
    </w:p>
    <w:p w14:paraId="22FFC918" w14:textId="77777777" w:rsidR="005B0ABB" w:rsidRPr="000E7446" w:rsidRDefault="005B0ABB" w:rsidP="005B0ABB">
      <w:pPr>
        <w:tabs>
          <w:tab w:val="left" w:pos="720"/>
          <w:tab w:val="right" w:pos="9360"/>
        </w:tabs>
        <w:spacing w:line="264" w:lineRule="auto"/>
        <w:contextualSpacing/>
        <w:jc w:val="both"/>
        <w:rPr>
          <w:rFonts w:ascii="Arial" w:hAnsi="Arial" w:cs="Arial"/>
          <w:b/>
          <w:u w:val="single"/>
        </w:rPr>
      </w:pPr>
      <w:r>
        <w:rPr>
          <w:rFonts w:ascii="Arial" w:hAnsi="Arial" w:cs="Arial"/>
          <w:b/>
          <w:u w:val="single"/>
        </w:rPr>
        <w:t>Business Resource Center</w:t>
      </w:r>
      <w:r w:rsidRPr="000E7446">
        <w:rPr>
          <w:rFonts w:ascii="Arial" w:hAnsi="Arial" w:cs="Arial"/>
          <w:b/>
          <w:u w:val="single"/>
        </w:rPr>
        <w:tab/>
        <w:t>$</w:t>
      </w:r>
      <w:r>
        <w:rPr>
          <w:rFonts w:ascii="Arial" w:hAnsi="Arial" w:cs="Arial"/>
          <w:b/>
          <w:u w:val="single"/>
        </w:rPr>
        <w:t>945,000, 6.0 FTEs</w:t>
      </w:r>
    </w:p>
    <w:p w14:paraId="49D252FE" w14:textId="77777777" w:rsidR="005B0ABB" w:rsidRDefault="005B0ABB" w:rsidP="005B0ABB">
      <w:pPr>
        <w:spacing w:line="264" w:lineRule="auto"/>
        <w:contextualSpacing/>
        <w:jc w:val="both"/>
        <w:rPr>
          <w:b/>
        </w:rPr>
      </w:pPr>
    </w:p>
    <w:p w14:paraId="76D02481" w14:textId="77777777" w:rsidR="005B0ABB" w:rsidRDefault="005B0ABB" w:rsidP="005B0ABB">
      <w:pPr>
        <w:spacing w:line="264" w:lineRule="auto"/>
        <w:contextualSpacing/>
        <w:jc w:val="both"/>
        <w:rPr>
          <w:rFonts w:ascii="Arial" w:hAnsi="Arial" w:cs="Arial"/>
        </w:rPr>
      </w:pPr>
      <w:r>
        <w:rPr>
          <w:rFonts w:ascii="Arial" w:hAnsi="Arial" w:cs="Arial"/>
          <w:b/>
          <w:i/>
          <w:iCs/>
        </w:rPr>
        <w:t>Conversion of Temporary Staff to FTE</w:t>
      </w:r>
      <w:r w:rsidRPr="0054665B">
        <w:rPr>
          <w:rFonts w:ascii="Arial" w:hAnsi="Arial" w:cs="Arial"/>
          <w:b/>
          <w:i/>
          <w:iCs/>
        </w:rPr>
        <w:t xml:space="preserve"> </w:t>
      </w:r>
      <w:r>
        <w:rPr>
          <w:rFonts w:ascii="Arial" w:hAnsi="Arial" w:cs="Arial"/>
          <w:b/>
          <w:i/>
          <w:iCs/>
        </w:rPr>
        <w:t>for BI Insights Services [$824,170, 6.0 FTEs, ongoing]</w:t>
      </w:r>
      <w:r w:rsidRPr="0054665B">
        <w:rPr>
          <w:rFonts w:ascii="Arial" w:hAnsi="Arial" w:cs="Arial"/>
          <w:b/>
          <w:i/>
          <w:iCs/>
        </w:rPr>
        <w:t>.</w:t>
      </w:r>
      <w:r>
        <w:rPr>
          <w:rFonts w:ascii="Arial" w:hAnsi="Arial" w:cs="Arial"/>
          <w:b/>
        </w:rPr>
        <w:t xml:space="preserve">  </w:t>
      </w:r>
      <w:r w:rsidRPr="003D194D">
        <w:rPr>
          <w:rFonts w:ascii="Arial" w:hAnsi="Arial" w:cs="Arial"/>
        </w:rPr>
        <w:t>The proposed ordinance would</w:t>
      </w:r>
      <w:r>
        <w:rPr>
          <w:rFonts w:ascii="Arial" w:hAnsi="Arial" w:cs="Arial"/>
        </w:rPr>
        <w:t xml:space="preserve"> appropriate $824,170, as well as convert six temporary positions to 6.0 FTEs, to support the BI Insights Service.  Executive staff indicate that the BI Insights Service provides business intelligence analytics and reporting services focused on enterprise financial, budget, and human resources data and producing a variety of dashboards for specific agencies, as well as countywide use (e.g., COVID Spend dashboard providing visibility to COVID-related expenditures, missing information and verification of Federal Emergency Management Agency and CARES expenditures). </w:t>
      </w:r>
    </w:p>
    <w:p w14:paraId="2A156672" w14:textId="77777777" w:rsidR="005B0ABB" w:rsidRDefault="005B0ABB" w:rsidP="005B0ABB">
      <w:pPr>
        <w:spacing w:line="264" w:lineRule="auto"/>
        <w:contextualSpacing/>
        <w:jc w:val="both"/>
        <w:rPr>
          <w:rFonts w:ascii="Arial" w:hAnsi="Arial" w:cs="Arial"/>
        </w:rPr>
      </w:pPr>
    </w:p>
    <w:p w14:paraId="1207E761" w14:textId="77777777" w:rsidR="005B0ABB" w:rsidRDefault="005B0ABB" w:rsidP="005B0ABB">
      <w:pPr>
        <w:spacing w:line="264" w:lineRule="auto"/>
        <w:contextualSpacing/>
        <w:jc w:val="both"/>
        <w:rPr>
          <w:rFonts w:ascii="Arial" w:hAnsi="Arial" w:cs="Arial"/>
        </w:rPr>
      </w:pPr>
      <w:r>
        <w:rPr>
          <w:rFonts w:ascii="Arial" w:hAnsi="Arial" w:cs="Arial"/>
        </w:rPr>
        <w:t xml:space="preserve">Budget documentation indicates that the Business Resource Center (BRC) currently relies on one-time funding for contracting and TLT positions for these duties.  Executive staff note the body of work performed by these resources has continued to expand since the BI Insights tools have been implemented and the demand for support, training, guidance, addition of new data content areas and analytics, and enhancements of existing content areas keeps the current BI team of both FTE and temporary resources at full capacity.  They further state that the existing TLT resources are funded by one-time budget requests and the TLT positions are coming upon the five year maximum such that BRC is not able to extend the positions on a temporary basis going forward.  According to Executive staff, without these ongoing resources, the BI Insights Service would not be resourced to support agency customer needs. </w:t>
      </w:r>
    </w:p>
    <w:p w14:paraId="54441E0C" w14:textId="77777777" w:rsidR="005B0ABB" w:rsidRDefault="005B0ABB" w:rsidP="005B0ABB">
      <w:pPr>
        <w:spacing w:line="264" w:lineRule="auto"/>
        <w:contextualSpacing/>
        <w:jc w:val="both"/>
        <w:rPr>
          <w:rFonts w:ascii="Arial" w:hAnsi="Arial" w:cs="Arial"/>
        </w:rPr>
      </w:pPr>
    </w:p>
    <w:p w14:paraId="544199D6" w14:textId="77777777" w:rsidR="005B0ABB" w:rsidRDefault="005B0ABB" w:rsidP="005B0ABB">
      <w:pPr>
        <w:spacing w:line="264" w:lineRule="auto"/>
        <w:contextualSpacing/>
        <w:jc w:val="both"/>
        <w:rPr>
          <w:rFonts w:ascii="Arial" w:hAnsi="Arial" w:cs="Arial"/>
        </w:rPr>
      </w:pPr>
      <w:r>
        <w:rPr>
          <w:rFonts w:ascii="Arial" w:hAnsi="Arial" w:cs="Arial"/>
        </w:rPr>
        <w:lastRenderedPageBreak/>
        <w:t xml:space="preserve">The estimated total cost of the wages and benefits for these positions for the remainder of the biennium is approximately $1.074 million, which would be offset by a $250,000 reduction in consulting services that would no longer be needed if these positions were converted.  The fiscal note states that this appropriation would be funded by fund balance in the 2021-2022 biennium and then would become part of the ongoing central rate model. </w:t>
      </w:r>
    </w:p>
    <w:p w14:paraId="73B77AA9" w14:textId="77777777" w:rsidR="005B0ABB" w:rsidRDefault="005B0ABB" w:rsidP="005B0ABB">
      <w:pPr>
        <w:spacing w:line="264" w:lineRule="auto"/>
        <w:contextualSpacing/>
        <w:jc w:val="both"/>
        <w:rPr>
          <w:rFonts w:ascii="Arial" w:hAnsi="Arial" w:cs="Arial"/>
        </w:rPr>
      </w:pPr>
    </w:p>
    <w:p w14:paraId="60E99004" w14:textId="4B68DEFF" w:rsidR="005B0ABB" w:rsidRDefault="005B0ABB" w:rsidP="005B0ABB">
      <w:pPr>
        <w:spacing w:line="264" w:lineRule="auto"/>
        <w:contextualSpacing/>
        <w:jc w:val="both"/>
        <w:rPr>
          <w:rFonts w:ascii="Arial" w:hAnsi="Arial" w:cs="Arial"/>
        </w:rPr>
      </w:pPr>
      <w:r>
        <w:rPr>
          <w:rFonts w:ascii="Arial" w:hAnsi="Arial" w:cs="Arial"/>
          <w:b/>
          <w:i/>
          <w:iCs/>
        </w:rPr>
        <w:t>FBOD Procurement and Payable Analytics and Dashboards</w:t>
      </w:r>
      <w:r w:rsidRPr="0054665B">
        <w:rPr>
          <w:rFonts w:ascii="Arial" w:hAnsi="Arial" w:cs="Arial"/>
          <w:b/>
          <w:i/>
          <w:iCs/>
        </w:rPr>
        <w:t xml:space="preserve"> </w:t>
      </w:r>
      <w:r>
        <w:rPr>
          <w:rFonts w:ascii="Arial" w:hAnsi="Arial" w:cs="Arial"/>
          <w:b/>
          <w:i/>
          <w:iCs/>
        </w:rPr>
        <w:t>[</w:t>
      </w:r>
      <w:r w:rsidRPr="0054665B">
        <w:rPr>
          <w:rFonts w:ascii="Arial" w:hAnsi="Arial" w:cs="Arial"/>
          <w:b/>
          <w:i/>
          <w:iCs/>
        </w:rPr>
        <w:t>$1</w:t>
      </w:r>
      <w:r>
        <w:rPr>
          <w:rFonts w:ascii="Arial" w:hAnsi="Arial" w:cs="Arial"/>
          <w:b/>
          <w:i/>
          <w:iCs/>
        </w:rPr>
        <w:t>2</w:t>
      </w:r>
      <w:r w:rsidRPr="0054665B">
        <w:rPr>
          <w:rFonts w:ascii="Arial" w:hAnsi="Arial" w:cs="Arial"/>
          <w:b/>
          <w:i/>
          <w:iCs/>
        </w:rPr>
        <w:t>0,000</w:t>
      </w:r>
      <w:r>
        <w:rPr>
          <w:rFonts w:ascii="Arial" w:hAnsi="Arial" w:cs="Arial"/>
          <w:b/>
          <w:i/>
          <w:iCs/>
        </w:rPr>
        <w:t>]</w:t>
      </w:r>
      <w:r w:rsidRPr="0054665B">
        <w:rPr>
          <w:rFonts w:ascii="Arial" w:hAnsi="Arial" w:cs="Arial"/>
          <w:b/>
          <w:i/>
          <w:iCs/>
        </w:rPr>
        <w:t>.</w:t>
      </w:r>
      <w:r>
        <w:rPr>
          <w:rFonts w:ascii="Arial" w:hAnsi="Arial" w:cs="Arial"/>
          <w:b/>
          <w:iCs/>
        </w:rPr>
        <w:t xml:space="preserve">  </w:t>
      </w:r>
      <w:r w:rsidRPr="003D194D">
        <w:rPr>
          <w:rFonts w:ascii="Arial" w:hAnsi="Arial" w:cs="Arial"/>
        </w:rPr>
        <w:t xml:space="preserve">The proposed ordinance would appropriate </w:t>
      </w:r>
      <w:r>
        <w:rPr>
          <w:rFonts w:ascii="Arial" w:hAnsi="Arial" w:cs="Arial"/>
        </w:rPr>
        <w:t>$120,000 to support BI Insights analytics and dashboards for Finance and Business Operations Division (FBOD) services.  Executive staff indicate this request would fund one contract resource for five months to work with the BI team to produce additional analytics and dashboards needed to support FBOD Procurement operations, as they manage increased service demand as a result of COVID relief, American Rescue Plan Act funded grant programs, and ramp up of Harborview construction.  This one-time appropriation would be funded with fund balance and is not expected to continue into future biennia.</w:t>
      </w:r>
    </w:p>
    <w:p w14:paraId="74C775D1" w14:textId="7B46D592" w:rsidR="005B0ABB" w:rsidRDefault="005B0ABB" w:rsidP="00AB45DE">
      <w:pPr>
        <w:tabs>
          <w:tab w:val="left" w:pos="720"/>
          <w:tab w:val="right" w:pos="9360"/>
        </w:tabs>
        <w:spacing w:line="264" w:lineRule="auto"/>
        <w:contextualSpacing/>
        <w:jc w:val="both"/>
        <w:rPr>
          <w:rFonts w:ascii="Arial" w:hAnsi="Arial" w:cs="Arial"/>
          <w:b/>
          <w:u w:val="single"/>
        </w:rPr>
      </w:pPr>
    </w:p>
    <w:p w14:paraId="677C465C" w14:textId="77777777" w:rsidR="005B0ABB" w:rsidRDefault="005B0ABB" w:rsidP="00AB45DE">
      <w:pPr>
        <w:tabs>
          <w:tab w:val="left" w:pos="720"/>
          <w:tab w:val="right" w:pos="9360"/>
        </w:tabs>
        <w:spacing w:line="264" w:lineRule="auto"/>
        <w:contextualSpacing/>
        <w:jc w:val="both"/>
        <w:rPr>
          <w:rFonts w:ascii="Arial" w:hAnsi="Arial" w:cs="Arial"/>
          <w:b/>
          <w:u w:val="single"/>
        </w:rPr>
      </w:pPr>
    </w:p>
    <w:p w14:paraId="68A0B511" w14:textId="77777777" w:rsidR="00AD1FCD" w:rsidRPr="00E64512" w:rsidRDefault="00AD1FCD" w:rsidP="00AD1FCD">
      <w:pPr>
        <w:tabs>
          <w:tab w:val="left" w:pos="720"/>
          <w:tab w:val="right" w:pos="9360"/>
        </w:tabs>
        <w:spacing w:line="264" w:lineRule="auto"/>
        <w:contextualSpacing/>
        <w:jc w:val="both"/>
        <w:rPr>
          <w:rFonts w:ascii="Arial" w:hAnsi="Arial" w:cs="Arial"/>
          <w:b/>
          <w:u w:val="single"/>
        </w:rPr>
      </w:pPr>
      <w:r w:rsidRPr="00E64512">
        <w:rPr>
          <w:rFonts w:ascii="Arial" w:hAnsi="Arial" w:cs="Arial"/>
          <w:b/>
          <w:u w:val="single"/>
        </w:rPr>
        <w:t xml:space="preserve">Employee Benefits </w:t>
      </w:r>
      <w:r w:rsidRPr="00E64512">
        <w:rPr>
          <w:rFonts w:ascii="Arial" w:hAnsi="Arial" w:cs="Arial"/>
          <w:b/>
          <w:u w:val="single"/>
        </w:rPr>
        <w:tab/>
        <w:t xml:space="preserve">      $333,000, 2.0 FTEs</w:t>
      </w:r>
    </w:p>
    <w:p w14:paraId="784F479B" w14:textId="77777777" w:rsidR="00AD1FCD" w:rsidRPr="00E64512" w:rsidRDefault="00AD1FCD" w:rsidP="00AD1FCD">
      <w:pPr>
        <w:spacing w:line="264" w:lineRule="auto"/>
        <w:contextualSpacing/>
        <w:jc w:val="both"/>
        <w:rPr>
          <w:rFonts w:ascii="Arial" w:hAnsi="Arial" w:cs="Arial"/>
          <w:b/>
        </w:rPr>
      </w:pPr>
    </w:p>
    <w:p w14:paraId="4D6A1187" w14:textId="1E3703D7" w:rsidR="00AD1FCD" w:rsidRPr="00E64512" w:rsidRDefault="0058171D" w:rsidP="00AD1FCD">
      <w:pPr>
        <w:spacing w:line="264" w:lineRule="auto"/>
        <w:contextualSpacing/>
        <w:jc w:val="both"/>
        <w:rPr>
          <w:rFonts w:ascii="Arial" w:hAnsi="Arial" w:cs="Arial"/>
          <w:i/>
          <w:iCs/>
          <w:color w:val="FF0000"/>
          <w:szCs w:val="24"/>
        </w:rPr>
      </w:pPr>
      <w:r w:rsidRPr="007B1BC2">
        <w:rPr>
          <w:rFonts w:ascii="Arial" w:hAnsi="Arial" w:cs="Arial"/>
          <w:b/>
          <w:bCs/>
          <w:i/>
          <w:iCs/>
          <w:szCs w:val="24"/>
        </w:rPr>
        <w:t>New P</w:t>
      </w:r>
      <w:r w:rsidR="007B1BC2" w:rsidRPr="007B1BC2">
        <w:rPr>
          <w:rFonts w:ascii="Arial" w:hAnsi="Arial" w:cs="Arial"/>
          <w:b/>
          <w:bCs/>
          <w:i/>
          <w:iCs/>
          <w:szCs w:val="24"/>
        </w:rPr>
        <w:t>ositions [$333,000, 2.0 FTEs, ongoing].</w:t>
      </w:r>
      <w:r w:rsidR="007B1BC2">
        <w:rPr>
          <w:rFonts w:ascii="Arial" w:hAnsi="Arial" w:cs="Arial"/>
          <w:szCs w:val="24"/>
        </w:rPr>
        <w:t xml:space="preserve">  </w:t>
      </w:r>
      <w:r w:rsidR="00AD1FCD" w:rsidRPr="00E64512">
        <w:rPr>
          <w:rFonts w:ascii="Arial" w:hAnsi="Arial" w:cs="Arial"/>
          <w:szCs w:val="24"/>
        </w:rPr>
        <w:t xml:space="preserve">The proposed ordinance would add two FTE positions, both ongoing costs, using the </w:t>
      </w:r>
      <w:r w:rsidR="00AD1FCD">
        <w:rPr>
          <w:rFonts w:ascii="Arial" w:hAnsi="Arial" w:cs="Arial"/>
          <w:szCs w:val="24"/>
        </w:rPr>
        <w:t>E</w:t>
      </w:r>
      <w:r w:rsidR="00AD1FCD" w:rsidRPr="00E64512">
        <w:rPr>
          <w:rFonts w:ascii="Arial" w:hAnsi="Arial" w:cs="Arial"/>
          <w:szCs w:val="24"/>
        </w:rPr>
        <w:t xml:space="preserve">mployee </w:t>
      </w:r>
      <w:r w:rsidR="00AD1FCD">
        <w:rPr>
          <w:rFonts w:ascii="Arial" w:hAnsi="Arial" w:cs="Arial"/>
          <w:szCs w:val="24"/>
        </w:rPr>
        <w:t>B</w:t>
      </w:r>
      <w:r w:rsidR="00AD1FCD" w:rsidRPr="00E64512">
        <w:rPr>
          <w:rFonts w:ascii="Arial" w:hAnsi="Arial" w:cs="Arial"/>
          <w:szCs w:val="24"/>
        </w:rPr>
        <w:t xml:space="preserve">enefits </w:t>
      </w:r>
      <w:r w:rsidR="00AD1FCD">
        <w:rPr>
          <w:rFonts w:ascii="Arial" w:hAnsi="Arial" w:cs="Arial"/>
          <w:szCs w:val="24"/>
        </w:rPr>
        <w:t>P</w:t>
      </w:r>
      <w:r w:rsidR="00AD1FCD" w:rsidRPr="00E64512">
        <w:rPr>
          <w:rFonts w:ascii="Arial" w:hAnsi="Arial" w:cs="Arial"/>
          <w:szCs w:val="24"/>
        </w:rPr>
        <w:t xml:space="preserve">rogram fund. </w:t>
      </w:r>
      <w:r w:rsidR="005437EE">
        <w:rPr>
          <w:rFonts w:ascii="Arial" w:hAnsi="Arial" w:cs="Arial"/>
          <w:szCs w:val="24"/>
        </w:rPr>
        <w:t xml:space="preserve"> </w:t>
      </w:r>
      <w:r w:rsidR="00AD1FCD" w:rsidRPr="00E64512">
        <w:rPr>
          <w:rFonts w:ascii="Arial" w:hAnsi="Arial" w:cs="Arial"/>
          <w:szCs w:val="24"/>
        </w:rPr>
        <w:t xml:space="preserve">The table below provides a summary of each position. </w:t>
      </w:r>
    </w:p>
    <w:p w14:paraId="792F46C0" w14:textId="77777777" w:rsidR="00AD1FCD" w:rsidRPr="00E64512" w:rsidRDefault="00AD1FCD" w:rsidP="00AD1FCD">
      <w:pPr>
        <w:spacing w:line="264" w:lineRule="auto"/>
        <w:contextualSpacing/>
        <w:jc w:val="both"/>
        <w:rPr>
          <w:rFonts w:ascii="Arial" w:hAnsi="Arial" w:cs="Arial"/>
          <w:sz w:val="22"/>
          <w:szCs w:val="22"/>
        </w:rPr>
      </w:pPr>
    </w:p>
    <w:tbl>
      <w:tblPr>
        <w:tblStyle w:val="TableGrid"/>
        <w:tblW w:w="9314" w:type="dxa"/>
        <w:jc w:val="center"/>
        <w:tblLook w:val="04A0" w:firstRow="1" w:lastRow="0" w:firstColumn="1" w:lastColumn="0" w:noHBand="0" w:noVBand="1"/>
      </w:tblPr>
      <w:tblGrid>
        <w:gridCol w:w="854"/>
        <w:gridCol w:w="233"/>
        <w:gridCol w:w="6298"/>
        <w:gridCol w:w="632"/>
        <w:gridCol w:w="1297"/>
      </w:tblGrid>
      <w:tr w:rsidR="00AD1FCD" w:rsidRPr="00E64512" w14:paraId="5CD48C81" w14:textId="77777777" w:rsidTr="00E34BBA">
        <w:trPr>
          <w:cantSplit/>
          <w:trHeight w:val="411"/>
          <w:tblHeader/>
          <w:jc w:val="center"/>
        </w:trPr>
        <w:tc>
          <w:tcPr>
            <w:tcW w:w="854" w:type="dxa"/>
            <w:tcBorders>
              <w:top w:val="single" w:sz="12" w:space="0" w:color="auto"/>
              <w:left w:val="nil"/>
              <w:bottom w:val="single" w:sz="4" w:space="0" w:color="auto"/>
              <w:right w:val="nil"/>
            </w:tcBorders>
            <w:vAlign w:val="center"/>
          </w:tcPr>
          <w:p w14:paraId="25BA245F" w14:textId="77777777" w:rsidR="00AD1FCD" w:rsidRPr="00E64512" w:rsidRDefault="00AD1FCD" w:rsidP="00E34BBA">
            <w:pPr>
              <w:keepNext/>
              <w:rPr>
                <w:rFonts w:ascii="Arial" w:hAnsi="Arial" w:cs="Arial"/>
                <w:b/>
                <w:sz w:val="22"/>
                <w:szCs w:val="22"/>
              </w:rPr>
            </w:pPr>
            <w:r w:rsidRPr="00E64512">
              <w:rPr>
                <w:rFonts w:ascii="Arial" w:hAnsi="Arial" w:cs="Arial"/>
                <w:b/>
                <w:sz w:val="22"/>
                <w:szCs w:val="22"/>
              </w:rPr>
              <w:t>No.</w:t>
            </w:r>
          </w:p>
        </w:tc>
        <w:tc>
          <w:tcPr>
            <w:tcW w:w="233" w:type="dxa"/>
            <w:tcBorders>
              <w:top w:val="single" w:sz="12" w:space="0" w:color="auto"/>
              <w:left w:val="nil"/>
              <w:bottom w:val="single" w:sz="4" w:space="0" w:color="auto"/>
              <w:right w:val="nil"/>
            </w:tcBorders>
          </w:tcPr>
          <w:p w14:paraId="71120449" w14:textId="77777777" w:rsidR="00AD1FCD" w:rsidRPr="00E64512" w:rsidRDefault="00AD1FCD" w:rsidP="00E34BBA">
            <w:pPr>
              <w:keepNext/>
              <w:rPr>
                <w:rFonts w:ascii="Arial" w:hAnsi="Arial" w:cs="Arial"/>
                <w:b/>
                <w:sz w:val="22"/>
                <w:szCs w:val="22"/>
              </w:rPr>
            </w:pPr>
          </w:p>
        </w:tc>
        <w:tc>
          <w:tcPr>
            <w:tcW w:w="6298" w:type="dxa"/>
            <w:tcBorders>
              <w:top w:val="single" w:sz="12" w:space="0" w:color="auto"/>
              <w:left w:val="nil"/>
              <w:bottom w:val="single" w:sz="4" w:space="0" w:color="auto"/>
              <w:right w:val="nil"/>
            </w:tcBorders>
            <w:shd w:val="clear" w:color="auto" w:fill="auto"/>
            <w:vAlign w:val="center"/>
          </w:tcPr>
          <w:p w14:paraId="5B3B5210" w14:textId="77777777" w:rsidR="00AD1FCD" w:rsidRPr="00E64512" w:rsidRDefault="00AD1FCD" w:rsidP="00E34BBA">
            <w:pPr>
              <w:keepNext/>
              <w:rPr>
                <w:rFonts w:ascii="Arial" w:hAnsi="Arial" w:cs="Arial"/>
                <w:b/>
                <w:sz w:val="22"/>
                <w:szCs w:val="22"/>
              </w:rPr>
            </w:pPr>
            <w:r w:rsidRPr="00E64512">
              <w:rPr>
                <w:rFonts w:ascii="Arial" w:hAnsi="Arial" w:cs="Arial"/>
                <w:b/>
                <w:sz w:val="22"/>
                <w:szCs w:val="22"/>
              </w:rPr>
              <w:t>Position Description</w:t>
            </w:r>
          </w:p>
        </w:tc>
        <w:tc>
          <w:tcPr>
            <w:tcW w:w="632" w:type="dxa"/>
            <w:tcBorders>
              <w:top w:val="single" w:sz="12" w:space="0" w:color="auto"/>
              <w:left w:val="nil"/>
              <w:bottom w:val="single" w:sz="4" w:space="0" w:color="auto"/>
              <w:right w:val="nil"/>
            </w:tcBorders>
            <w:vAlign w:val="center"/>
          </w:tcPr>
          <w:p w14:paraId="0DC81F3C" w14:textId="77777777" w:rsidR="00AD1FCD" w:rsidRPr="00E64512" w:rsidRDefault="00AD1FCD" w:rsidP="00E34BBA">
            <w:pPr>
              <w:keepNext/>
              <w:rPr>
                <w:rFonts w:ascii="Arial" w:hAnsi="Arial" w:cs="Arial"/>
                <w:b/>
                <w:sz w:val="22"/>
                <w:szCs w:val="22"/>
              </w:rPr>
            </w:pPr>
            <w:r w:rsidRPr="00E64512">
              <w:rPr>
                <w:rFonts w:ascii="Arial" w:hAnsi="Arial" w:cs="Arial"/>
                <w:b/>
                <w:sz w:val="22"/>
                <w:szCs w:val="22"/>
              </w:rPr>
              <w:t>FTE</w:t>
            </w:r>
          </w:p>
        </w:tc>
        <w:tc>
          <w:tcPr>
            <w:tcW w:w="1297" w:type="dxa"/>
            <w:tcBorders>
              <w:top w:val="single" w:sz="12" w:space="0" w:color="auto"/>
              <w:left w:val="nil"/>
              <w:bottom w:val="single" w:sz="4" w:space="0" w:color="auto"/>
              <w:right w:val="single" w:sz="2" w:space="0" w:color="FFFFFF" w:themeColor="background1"/>
            </w:tcBorders>
            <w:vAlign w:val="center"/>
          </w:tcPr>
          <w:p w14:paraId="5162F818" w14:textId="77777777" w:rsidR="00AD1FCD" w:rsidRPr="00E64512" w:rsidRDefault="00AD1FCD" w:rsidP="00E34BBA">
            <w:pPr>
              <w:keepNext/>
              <w:jc w:val="center"/>
              <w:rPr>
                <w:rFonts w:ascii="Arial" w:hAnsi="Arial" w:cs="Arial"/>
                <w:b/>
                <w:sz w:val="22"/>
                <w:szCs w:val="22"/>
              </w:rPr>
            </w:pPr>
            <w:r w:rsidRPr="00E64512">
              <w:rPr>
                <w:rFonts w:ascii="Arial" w:hAnsi="Arial" w:cs="Arial"/>
                <w:b/>
                <w:sz w:val="22"/>
                <w:szCs w:val="22"/>
              </w:rPr>
              <w:t>Amount</w:t>
            </w:r>
          </w:p>
        </w:tc>
      </w:tr>
      <w:tr w:rsidR="00AD1FCD" w:rsidRPr="00E64512" w14:paraId="6101BC86" w14:textId="77777777" w:rsidTr="00E34BBA">
        <w:trPr>
          <w:cantSplit/>
          <w:jc w:val="center"/>
        </w:trPr>
        <w:tc>
          <w:tcPr>
            <w:tcW w:w="854" w:type="dxa"/>
            <w:tcBorders>
              <w:top w:val="single" w:sz="4" w:space="0" w:color="auto"/>
              <w:left w:val="nil"/>
              <w:bottom w:val="nil"/>
              <w:right w:val="nil"/>
            </w:tcBorders>
          </w:tcPr>
          <w:p w14:paraId="611F1E42" w14:textId="77777777" w:rsidR="00AD1FCD" w:rsidRPr="00E64512" w:rsidRDefault="00AD1FCD" w:rsidP="00E34BBA">
            <w:pPr>
              <w:rPr>
                <w:rFonts w:ascii="Arial" w:hAnsi="Arial" w:cs="Arial"/>
                <w:sz w:val="22"/>
                <w:szCs w:val="22"/>
              </w:rPr>
            </w:pPr>
            <w:r w:rsidRPr="00E64512">
              <w:rPr>
                <w:rFonts w:ascii="Arial" w:hAnsi="Arial" w:cs="Arial"/>
                <w:sz w:val="22"/>
                <w:szCs w:val="22"/>
              </w:rPr>
              <w:t>1</w:t>
            </w:r>
          </w:p>
        </w:tc>
        <w:tc>
          <w:tcPr>
            <w:tcW w:w="233" w:type="dxa"/>
            <w:tcBorders>
              <w:top w:val="single" w:sz="4" w:space="0" w:color="auto"/>
              <w:left w:val="nil"/>
              <w:bottom w:val="nil"/>
              <w:right w:val="nil"/>
            </w:tcBorders>
          </w:tcPr>
          <w:p w14:paraId="01D8AB50" w14:textId="77777777" w:rsidR="00AD1FCD" w:rsidRPr="00E64512" w:rsidRDefault="00AD1FCD" w:rsidP="00E34BBA">
            <w:pPr>
              <w:rPr>
                <w:rFonts w:ascii="Arial" w:hAnsi="Arial" w:cs="Arial"/>
                <w:sz w:val="22"/>
                <w:szCs w:val="22"/>
              </w:rPr>
            </w:pPr>
          </w:p>
        </w:tc>
        <w:tc>
          <w:tcPr>
            <w:tcW w:w="6298" w:type="dxa"/>
            <w:tcBorders>
              <w:top w:val="single" w:sz="4" w:space="0" w:color="auto"/>
              <w:left w:val="nil"/>
              <w:bottom w:val="nil"/>
              <w:right w:val="nil"/>
            </w:tcBorders>
            <w:tcMar>
              <w:top w:w="72" w:type="dxa"/>
              <w:left w:w="115" w:type="dxa"/>
              <w:bottom w:w="72" w:type="dxa"/>
              <w:right w:w="115" w:type="dxa"/>
            </w:tcMar>
          </w:tcPr>
          <w:p w14:paraId="7030CDAA" w14:textId="77777777" w:rsidR="00AD1FCD" w:rsidRPr="00203EFB" w:rsidRDefault="00AD1FCD" w:rsidP="00E34BBA">
            <w:pPr>
              <w:spacing w:line="264" w:lineRule="auto"/>
              <w:rPr>
                <w:rFonts w:ascii="Arial" w:hAnsi="Arial" w:cs="Arial"/>
                <w:color w:val="FF0000"/>
                <w:sz w:val="22"/>
                <w:szCs w:val="22"/>
              </w:rPr>
            </w:pPr>
            <w:r w:rsidRPr="00203EFB">
              <w:rPr>
                <w:rFonts w:ascii="Arial" w:hAnsi="Arial" w:cs="Arial"/>
                <w:sz w:val="22"/>
                <w:szCs w:val="22"/>
                <w:u w:val="single"/>
              </w:rPr>
              <w:t>Employee Leaves Strategist/Lead</w:t>
            </w:r>
            <w:r w:rsidRPr="00203EFB">
              <w:rPr>
                <w:rFonts w:ascii="Arial" w:hAnsi="Arial" w:cs="Arial"/>
                <w:sz w:val="22"/>
                <w:szCs w:val="22"/>
              </w:rPr>
              <w:t>. This position would oversee the strategy, policy, and implementation of various employee leave programs in partnership with King County agencies and union representatives.</w:t>
            </w:r>
            <w:r w:rsidRPr="00203EFB">
              <w:rPr>
                <w:rFonts w:ascii="Arial" w:hAnsi="Arial" w:cs="Arial"/>
                <w:bCs/>
                <w:color w:val="FF0000"/>
                <w:sz w:val="22"/>
                <w:szCs w:val="22"/>
              </w:rPr>
              <w:t xml:space="preserve"> </w:t>
            </w:r>
            <w:r w:rsidRPr="00203EFB">
              <w:rPr>
                <w:rFonts w:ascii="Arial" w:hAnsi="Arial" w:cs="Arial"/>
                <w:bCs/>
                <w:sz w:val="22"/>
                <w:szCs w:val="22"/>
              </w:rPr>
              <w:t xml:space="preserve">According to Executive staff, this request would help DHR address concerns raised in the 2015 and 2021 King County Auditor reports related to family and medical leave administration.   </w:t>
            </w:r>
          </w:p>
        </w:tc>
        <w:tc>
          <w:tcPr>
            <w:tcW w:w="632" w:type="dxa"/>
            <w:tcBorders>
              <w:top w:val="single" w:sz="4" w:space="0" w:color="auto"/>
              <w:left w:val="nil"/>
              <w:bottom w:val="nil"/>
              <w:right w:val="nil"/>
            </w:tcBorders>
          </w:tcPr>
          <w:p w14:paraId="1B4ED60B" w14:textId="77777777" w:rsidR="00AD1FCD" w:rsidRPr="00E64512" w:rsidRDefault="00AD1FCD" w:rsidP="00E34BBA">
            <w:pPr>
              <w:jc w:val="right"/>
              <w:rPr>
                <w:rFonts w:ascii="Arial" w:hAnsi="Arial" w:cs="Arial"/>
                <w:sz w:val="22"/>
                <w:szCs w:val="22"/>
              </w:rPr>
            </w:pPr>
            <w:r w:rsidRPr="00E64512">
              <w:rPr>
                <w:rFonts w:ascii="Arial" w:hAnsi="Arial" w:cs="Arial"/>
                <w:sz w:val="22"/>
                <w:szCs w:val="22"/>
              </w:rPr>
              <w:t>1</w:t>
            </w:r>
            <w:r>
              <w:rPr>
                <w:rFonts w:ascii="Arial" w:hAnsi="Arial" w:cs="Arial"/>
                <w:sz w:val="22"/>
                <w:szCs w:val="22"/>
              </w:rPr>
              <w:t>.0</w:t>
            </w:r>
          </w:p>
        </w:tc>
        <w:tc>
          <w:tcPr>
            <w:tcW w:w="1297"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3A7621F6" w14:textId="77777777" w:rsidR="00AD1FCD" w:rsidRPr="00E64512" w:rsidRDefault="00AD1FCD" w:rsidP="00E34BBA">
            <w:pPr>
              <w:jc w:val="right"/>
              <w:rPr>
                <w:rFonts w:ascii="Arial" w:hAnsi="Arial" w:cs="Arial"/>
                <w:sz w:val="22"/>
                <w:szCs w:val="22"/>
              </w:rPr>
            </w:pPr>
            <w:r w:rsidRPr="00E64512">
              <w:rPr>
                <w:rFonts w:ascii="Arial" w:hAnsi="Arial" w:cs="Arial"/>
                <w:sz w:val="22"/>
                <w:szCs w:val="22"/>
              </w:rPr>
              <w:t>$186,139</w:t>
            </w:r>
          </w:p>
        </w:tc>
      </w:tr>
      <w:tr w:rsidR="00AD1FCD" w:rsidRPr="00E64512" w14:paraId="40F11992" w14:textId="77777777" w:rsidTr="00E34BBA">
        <w:trPr>
          <w:cantSplit/>
          <w:jc w:val="center"/>
        </w:trPr>
        <w:tc>
          <w:tcPr>
            <w:tcW w:w="854" w:type="dxa"/>
            <w:tcBorders>
              <w:top w:val="nil"/>
              <w:left w:val="nil"/>
              <w:bottom w:val="single" w:sz="12" w:space="0" w:color="auto"/>
              <w:right w:val="nil"/>
            </w:tcBorders>
          </w:tcPr>
          <w:p w14:paraId="1AAA3893" w14:textId="77777777" w:rsidR="00AD1FCD" w:rsidRPr="00E64512" w:rsidRDefault="00AD1FCD" w:rsidP="00E34BBA">
            <w:pPr>
              <w:rPr>
                <w:rFonts w:ascii="Arial" w:hAnsi="Arial" w:cs="Arial"/>
                <w:sz w:val="22"/>
                <w:szCs w:val="22"/>
              </w:rPr>
            </w:pPr>
            <w:r w:rsidRPr="00E64512">
              <w:rPr>
                <w:rFonts w:ascii="Arial" w:hAnsi="Arial" w:cs="Arial"/>
                <w:sz w:val="22"/>
                <w:szCs w:val="22"/>
              </w:rPr>
              <w:t>2</w:t>
            </w:r>
          </w:p>
        </w:tc>
        <w:tc>
          <w:tcPr>
            <w:tcW w:w="233" w:type="dxa"/>
            <w:tcBorders>
              <w:top w:val="nil"/>
              <w:left w:val="nil"/>
              <w:bottom w:val="single" w:sz="12" w:space="0" w:color="auto"/>
              <w:right w:val="nil"/>
            </w:tcBorders>
          </w:tcPr>
          <w:p w14:paraId="0F49155B" w14:textId="77777777" w:rsidR="00AD1FCD" w:rsidRPr="00E64512" w:rsidRDefault="00AD1FCD" w:rsidP="00E34BBA">
            <w:pPr>
              <w:rPr>
                <w:rFonts w:ascii="Arial" w:hAnsi="Arial" w:cs="Arial"/>
                <w:sz w:val="22"/>
                <w:szCs w:val="22"/>
              </w:rPr>
            </w:pPr>
          </w:p>
        </w:tc>
        <w:tc>
          <w:tcPr>
            <w:tcW w:w="6298" w:type="dxa"/>
            <w:tcBorders>
              <w:top w:val="nil"/>
              <w:left w:val="nil"/>
              <w:bottom w:val="single" w:sz="12" w:space="0" w:color="auto"/>
              <w:right w:val="nil"/>
            </w:tcBorders>
            <w:tcMar>
              <w:top w:w="72" w:type="dxa"/>
              <w:left w:w="115" w:type="dxa"/>
              <w:bottom w:w="72" w:type="dxa"/>
              <w:right w:w="115" w:type="dxa"/>
            </w:tcMar>
          </w:tcPr>
          <w:p w14:paraId="01C4EF26" w14:textId="77777777" w:rsidR="00AD1FCD" w:rsidRPr="00E64512" w:rsidRDefault="00AD1FCD" w:rsidP="00E34BBA">
            <w:pPr>
              <w:spacing w:line="264" w:lineRule="auto"/>
              <w:rPr>
                <w:rFonts w:ascii="Arial" w:hAnsi="Arial" w:cs="Arial"/>
                <w:color w:val="FF0000"/>
                <w:szCs w:val="24"/>
              </w:rPr>
            </w:pPr>
            <w:r w:rsidRPr="00E64512">
              <w:rPr>
                <w:rFonts w:ascii="Arial" w:hAnsi="Arial" w:cs="Arial"/>
                <w:sz w:val="22"/>
                <w:szCs w:val="22"/>
                <w:u w:val="single"/>
              </w:rPr>
              <w:t>Benefits Contracts Administrator</w:t>
            </w:r>
            <w:r w:rsidRPr="00E64512">
              <w:rPr>
                <w:rFonts w:ascii="Arial" w:hAnsi="Arial" w:cs="Arial"/>
                <w:sz w:val="22"/>
                <w:szCs w:val="22"/>
              </w:rPr>
              <w:t xml:space="preserve">. </w:t>
            </w:r>
            <w:r>
              <w:rPr>
                <w:rFonts w:ascii="Arial" w:hAnsi="Arial" w:cs="Arial"/>
                <w:sz w:val="22"/>
                <w:szCs w:val="22"/>
              </w:rPr>
              <w:t>T</w:t>
            </w:r>
            <w:r w:rsidRPr="00E64512">
              <w:rPr>
                <w:rFonts w:ascii="Arial" w:hAnsi="Arial" w:cs="Arial"/>
                <w:sz w:val="22"/>
                <w:szCs w:val="22"/>
              </w:rPr>
              <w:t xml:space="preserve">his position would help meet a growing need related to the administration of employee benefits and human resource contracts. </w:t>
            </w:r>
            <w:r>
              <w:rPr>
                <w:rFonts w:ascii="Arial" w:hAnsi="Arial" w:cs="Arial"/>
                <w:sz w:val="22"/>
                <w:szCs w:val="22"/>
              </w:rPr>
              <w:t xml:space="preserve">Executive staff state this work has become increasingly complex and more support is needed to achieve desired results and provide vendor oversight.  </w:t>
            </w:r>
          </w:p>
        </w:tc>
        <w:tc>
          <w:tcPr>
            <w:tcW w:w="632" w:type="dxa"/>
            <w:tcBorders>
              <w:top w:val="nil"/>
              <w:left w:val="nil"/>
              <w:bottom w:val="single" w:sz="12" w:space="0" w:color="auto"/>
              <w:right w:val="nil"/>
            </w:tcBorders>
          </w:tcPr>
          <w:p w14:paraId="7B1722EC" w14:textId="77777777" w:rsidR="00AD1FCD" w:rsidRPr="00E64512" w:rsidRDefault="00AD1FCD" w:rsidP="00E34BBA">
            <w:pPr>
              <w:jc w:val="right"/>
              <w:rPr>
                <w:rFonts w:ascii="Arial" w:hAnsi="Arial" w:cs="Arial"/>
                <w:color w:val="C0504D" w:themeColor="accent2"/>
                <w:sz w:val="22"/>
                <w:szCs w:val="22"/>
              </w:rPr>
            </w:pPr>
            <w:r w:rsidRPr="00E64512">
              <w:rPr>
                <w:rFonts w:ascii="Arial" w:hAnsi="Arial" w:cs="Arial"/>
                <w:sz w:val="22"/>
                <w:szCs w:val="22"/>
              </w:rPr>
              <w:t>1</w:t>
            </w:r>
            <w:r>
              <w:rPr>
                <w:rFonts w:ascii="Arial" w:hAnsi="Arial" w:cs="Arial"/>
                <w:sz w:val="22"/>
                <w:szCs w:val="22"/>
              </w:rPr>
              <w:t>.0</w:t>
            </w:r>
          </w:p>
        </w:tc>
        <w:tc>
          <w:tcPr>
            <w:tcW w:w="1297" w:type="dxa"/>
            <w:tcBorders>
              <w:top w:val="nil"/>
              <w:left w:val="nil"/>
              <w:bottom w:val="single" w:sz="12" w:space="0" w:color="auto"/>
              <w:right w:val="single" w:sz="2" w:space="0" w:color="FFFFFF" w:themeColor="background1"/>
            </w:tcBorders>
            <w:tcMar>
              <w:top w:w="72" w:type="dxa"/>
              <w:left w:w="115" w:type="dxa"/>
              <w:bottom w:w="72" w:type="dxa"/>
              <w:right w:w="115" w:type="dxa"/>
            </w:tcMar>
          </w:tcPr>
          <w:p w14:paraId="41A3B8B0" w14:textId="77777777" w:rsidR="00AD1FCD" w:rsidRPr="00E64512" w:rsidRDefault="00AD1FCD" w:rsidP="00E34BBA">
            <w:pPr>
              <w:jc w:val="right"/>
              <w:rPr>
                <w:rFonts w:ascii="Arial" w:hAnsi="Arial" w:cs="Arial"/>
                <w:sz w:val="22"/>
                <w:szCs w:val="22"/>
              </w:rPr>
            </w:pPr>
            <w:r w:rsidRPr="00E64512">
              <w:rPr>
                <w:rFonts w:ascii="Arial" w:hAnsi="Arial" w:cs="Arial"/>
                <w:sz w:val="22"/>
                <w:szCs w:val="22"/>
              </w:rPr>
              <w:t>$146,391</w:t>
            </w:r>
          </w:p>
        </w:tc>
      </w:tr>
    </w:tbl>
    <w:p w14:paraId="7C6EC383" w14:textId="77777777" w:rsidR="00AD1FCD" w:rsidRPr="00E64512" w:rsidRDefault="00AD1FCD" w:rsidP="00AD1FCD">
      <w:pPr>
        <w:spacing w:line="264" w:lineRule="auto"/>
        <w:contextualSpacing/>
        <w:jc w:val="both"/>
        <w:rPr>
          <w:rFonts w:ascii="Arial" w:hAnsi="Arial" w:cs="Arial"/>
          <w:bCs/>
          <w:color w:val="FF0000"/>
        </w:rPr>
      </w:pPr>
    </w:p>
    <w:p w14:paraId="17DBDC57" w14:textId="194B8A79" w:rsidR="00AD1FCD" w:rsidRDefault="00AD1FCD" w:rsidP="00AB45DE">
      <w:pPr>
        <w:tabs>
          <w:tab w:val="left" w:pos="720"/>
          <w:tab w:val="right" w:pos="9360"/>
        </w:tabs>
        <w:spacing w:line="264" w:lineRule="auto"/>
        <w:contextualSpacing/>
        <w:jc w:val="both"/>
        <w:rPr>
          <w:rFonts w:ascii="Arial" w:hAnsi="Arial" w:cs="Arial"/>
          <w:b/>
          <w:u w:val="single"/>
        </w:rPr>
      </w:pPr>
    </w:p>
    <w:p w14:paraId="020BF916" w14:textId="205F6C27" w:rsidR="006B2F3A" w:rsidRDefault="006B2F3A" w:rsidP="00AB45DE">
      <w:pPr>
        <w:tabs>
          <w:tab w:val="left" w:pos="720"/>
          <w:tab w:val="right" w:pos="9360"/>
        </w:tabs>
        <w:spacing w:line="264" w:lineRule="auto"/>
        <w:contextualSpacing/>
        <w:jc w:val="both"/>
        <w:rPr>
          <w:rFonts w:ascii="Arial" w:hAnsi="Arial" w:cs="Arial"/>
          <w:b/>
          <w:u w:val="single"/>
        </w:rPr>
      </w:pPr>
    </w:p>
    <w:p w14:paraId="07C4DFA0" w14:textId="26C3C43C" w:rsidR="006B2F3A" w:rsidRDefault="006B2F3A" w:rsidP="00AB45DE">
      <w:pPr>
        <w:tabs>
          <w:tab w:val="left" w:pos="720"/>
          <w:tab w:val="right" w:pos="9360"/>
        </w:tabs>
        <w:spacing w:line="264" w:lineRule="auto"/>
        <w:contextualSpacing/>
        <w:jc w:val="both"/>
        <w:rPr>
          <w:rFonts w:ascii="Arial" w:hAnsi="Arial" w:cs="Arial"/>
          <w:b/>
          <w:u w:val="single"/>
        </w:rPr>
      </w:pPr>
    </w:p>
    <w:p w14:paraId="3F4BF3BC" w14:textId="5FD24724" w:rsidR="006B2F3A" w:rsidRDefault="006B2F3A" w:rsidP="00AB45DE">
      <w:pPr>
        <w:tabs>
          <w:tab w:val="left" w:pos="720"/>
          <w:tab w:val="right" w:pos="9360"/>
        </w:tabs>
        <w:spacing w:line="264" w:lineRule="auto"/>
        <w:contextualSpacing/>
        <w:jc w:val="both"/>
        <w:rPr>
          <w:rFonts w:ascii="Arial" w:hAnsi="Arial" w:cs="Arial"/>
          <w:b/>
          <w:u w:val="single"/>
        </w:rPr>
      </w:pPr>
    </w:p>
    <w:p w14:paraId="210013BC" w14:textId="1B01DD1B" w:rsidR="006B2F3A" w:rsidRDefault="006B2F3A" w:rsidP="00AB45DE">
      <w:pPr>
        <w:tabs>
          <w:tab w:val="left" w:pos="720"/>
          <w:tab w:val="right" w:pos="9360"/>
        </w:tabs>
        <w:spacing w:line="264" w:lineRule="auto"/>
        <w:contextualSpacing/>
        <w:jc w:val="both"/>
        <w:rPr>
          <w:rFonts w:ascii="Arial" w:hAnsi="Arial" w:cs="Arial"/>
          <w:b/>
          <w:u w:val="single"/>
        </w:rPr>
      </w:pPr>
    </w:p>
    <w:p w14:paraId="318C0510" w14:textId="77777777" w:rsidR="006B2F3A" w:rsidRDefault="006B2F3A" w:rsidP="00AB45DE">
      <w:pPr>
        <w:tabs>
          <w:tab w:val="left" w:pos="720"/>
          <w:tab w:val="right" w:pos="9360"/>
        </w:tabs>
        <w:spacing w:line="264" w:lineRule="auto"/>
        <w:contextualSpacing/>
        <w:jc w:val="both"/>
        <w:rPr>
          <w:rFonts w:ascii="Arial" w:hAnsi="Arial" w:cs="Arial"/>
          <w:b/>
          <w:u w:val="single"/>
        </w:rPr>
      </w:pPr>
    </w:p>
    <w:p w14:paraId="0854EF5F"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Facilities Management Division (FMD) Operating</w:t>
      </w:r>
      <w:r w:rsidRPr="000E7446">
        <w:rPr>
          <w:rFonts w:ascii="Arial" w:hAnsi="Arial" w:cs="Arial"/>
          <w:b/>
          <w:u w:val="single"/>
        </w:rPr>
        <w:tab/>
        <w:t>$</w:t>
      </w:r>
      <w:r>
        <w:rPr>
          <w:rFonts w:ascii="Arial" w:hAnsi="Arial" w:cs="Arial"/>
          <w:b/>
          <w:u w:val="single"/>
        </w:rPr>
        <w:t>2,898,000, 8.0 FTEs</w:t>
      </w:r>
    </w:p>
    <w:p w14:paraId="3D6FB2BA" w14:textId="77777777" w:rsidR="00AB45DE" w:rsidRDefault="00AB45DE" w:rsidP="00AB45DE">
      <w:pPr>
        <w:spacing w:line="264" w:lineRule="auto"/>
        <w:contextualSpacing/>
        <w:jc w:val="both"/>
        <w:rPr>
          <w:b/>
        </w:rPr>
      </w:pPr>
    </w:p>
    <w:p w14:paraId="079CAC40" w14:textId="6A5EC094" w:rsidR="00AB45DE" w:rsidRDefault="00AB45DE" w:rsidP="00AB45DE">
      <w:pPr>
        <w:spacing w:line="264" w:lineRule="auto"/>
        <w:contextualSpacing/>
        <w:jc w:val="both"/>
        <w:rPr>
          <w:rFonts w:ascii="Arial" w:hAnsi="Arial" w:cs="Arial"/>
        </w:rPr>
      </w:pPr>
      <w:r>
        <w:rPr>
          <w:rFonts w:ascii="Arial" w:hAnsi="Arial" w:cs="Arial"/>
          <w:b/>
          <w:i/>
          <w:iCs/>
        </w:rPr>
        <w:t>Health through Housing Hotels/Motels Support</w:t>
      </w:r>
      <w:r w:rsidRPr="0054665B">
        <w:rPr>
          <w:rFonts w:ascii="Arial" w:hAnsi="Arial" w:cs="Arial"/>
          <w:b/>
          <w:i/>
          <w:iCs/>
        </w:rPr>
        <w:t xml:space="preserve"> </w:t>
      </w:r>
      <w:r>
        <w:rPr>
          <w:rFonts w:ascii="Arial" w:hAnsi="Arial" w:cs="Arial"/>
          <w:b/>
          <w:i/>
          <w:iCs/>
        </w:rPr>
        <w:t>[</w:t>
      </w:r>
      <w:r w:rsidRPr="0054665B">
        <w:rPr>
          <w:rFonts w:ascii="Arial" w:hAnsi="Arial" w:cs="Arial"/>
          <w:b/>
          <w:i/>
          <w:iCs/>
        </w:rPr>
        <w:t>$</w:t>
      </w:r>
      <w:r w:rsidRPr="00353A80">
        <w:rPr>
          <w:rFonts w:ascii="Arial" w:hAnsi="Arial" w:cs="Arial"/>
          <w:b/>
          <w:i/>
          <w:iCs/>
        </w:rPr>
        <w:t>1</w:t>
      </w:r>
      <w:r>
        <w:rPr>
          <w:rFonts w:ascii="Arial" w:hAnsi="Arial" w:cs="Arial"/>
          <w:b/>
          <w:i/>
          <w:iCs/>
        </w:rPr>
        <w:t>,</w:t>
      </w:r>
      <w:r w:rsidRPr="00353A80">
        <w:rPr>
          <w:rFonts w:ascii="Arial" w:hAnsi="Arial" w:cs="Arial"/>
          <w:b/>
          <w:i/>
          <w:iCs/>
        </w:rPr>
        <w:t>810</w:t>
      </w:r>
      <w:r>
        <w:rPr>
          <w:rFonts w:ascii="Arial" w:hAnsi="Arial" w:cs="Arial"/>
          <w:b/>
          <w:i/>
          <w:iCs/>
        </w:rPr>
        <w:t>,</w:t>
      </w:r>
      <w:r w:rsidRPr="00353A80">
        <w:rPr>
          <w:rFonts w:ascii="Arial" w:hAnsi="Arial" w:cs="Arial"/>
          <w:b/>
          <w:i/>
          <w:iCs/>
        </w:rPr>
        <w:t>752</w:t>
      </w:r>
      <w:r>
        <w:rPr>
          <w:rFonts w:ascii="Arial" w:hAnsi="Arial" w:cs="Arial"/>
          <w:b/>
          <w:i/>
          <w:iCs/>
        </w:rPr>
        <w:t>, ongoing]</w:t>
      </w:r>
      <w:r w:rsidRPr="0054665B">
        <w:rPr>
          <w:rFonts w:ascii="Arial" w:hAnsi="Arial" w:cs="Arial"/>
          <w:b/>
          <w:i/>
          <w:iCs/>
        </w:rPr>
        <w:t>.</w:t>
      </w:r>
      <w:r>
        <w:rPr>
          <w:rFonts w:ascii="Arial" w:hAnsi="Arial" w:cs="Arial"/>
          <w:b/>
        </w:rPr>
        <w:t xml:space="preserve">  </w:t>
      </w:r>
      <w:r>
        <w:rPr>
          <w:rFonts w:ascii="Arial" w:hAnsi="Arial" w:cs="Arial"/>
        </w:rPr>
        <w:t>This proposed appropriation would use Health through Housing levy revenues to support 24/7 s</w:t>
      </w:r>
      <w:r w:rsidRPr="00585522">
        <w:rPr>
          <w:rFonts w:ascii="Arial" w:hAnsi="Arial" w:cs="Arial"/>
        </w:rPr>
        <w:t>ecurity services</w:t>
      </w:r>
      <w:r>
        <w:rPr>
          <w:rFonts w:ascii="Arial" w:hAnsi="Arial" w:cs="Arial"/>
        </w:rPr>
        <w:t xml:space="preserve">, </w:t>
      </w:r>
      <w:r w:rsidRPr="00585522">
        <w:rPr>
          <w:rFonts w:ascii="Arial" w:hAnsi="Arial" w:cs="Arial"/>
        </w:rPr>
        <w:t>maintenance</w:t>
      </w:r>
      <w:r>
        <w:rPr>
          <w:rFonts w:ascii="Arial" w:hAnsi="Arial" w:cs="Arial"/>
        </w:rPr>
        <w:t xml:space="preserve"> support</w:t>
      </w:r>
      <w:r w:rsidRPr="00585522">
        <w:rPr>
          <w:rFonts w:ascii="Arial" w:hAnsi="Arial" w:cs="Arial"/>
        </w:rPr>
        <w:t>,</w:t>
      </w:r>
      <w:r>
        <w:rPr>
          <w:rFonts w:ascii="Arial" w:hAnsi="Arial" w:cs="Arial"/>
        </w:rPr>
        <w:t xml:space="preserve"> and related </w:t>
      </w:r>
      <w:r w:rsidRPr="00585522">
        <w:rPr>
          <w:rFonts w:ascii="Arial" w:hAnsi="Arial" w:cs="Arial"/>
        </w:rPr>
        <w:t xml:space="preserve">supplies </w:t>
      </w:r>
      <w:r>
        <w:rPr>
          <w:rFonts w:ascii="Arial" w:hAnsi="Arial" w:cs="Arial"/>
        </w:rPr>
        <w:t xml:space="preserve">for the recently purchased hotels/motels through the Health through Housing program. </w:t>
      </w:r>
      <w:r w:rsidR="00727514">
        <w:rPr>
          <w:rFonts w:ascii="Arial" w:hAnsi="Arial" w:cs="Arial"/>
        </w:rPr>
        <w:t xml:space="preserve"> </w:t>
      </w:r>
      <w:r>
        <w:rPr>
          <w:rFonts w:ascii="Arial" w:hAnsi="Arial" w:cs="Arial"/>
        </w:rPr>
        <w:t>County supported services would end as each site transitions to a service provider. The hotels/motels were purchased by the county to provide e</w:t>
      </w:r>
      <w:r w:rsidRPr="002D4B9A">
        <w:rPr>
          <w:rFonts w:ascii="Arial" w:hAnsi="Arial" w:cs="Arial"/>
        </w:rPr>
        <w:t xml:space="preserve">mergency and permanent supportive housing for </w:t>
      </w:r>
      <w:r>
        <w:rPr>
          <w:rFonts w:ascii="Arial" w:hAnsi="Arial" w:cs="Arial"/>
        </w:rPr>
        <w:t>individuals</w:t>
      </w:r>
      <w:r w:rsidRPr="002D4B9A">
        <w:rPr>
          <w:rFonts w:ascii="Arial" w:hAnsi="Arial" w:cs="Arial"/>
        </w:rPr>
        <w:t xml:space="preserve"> experiencing chronic homelessness.</w:t>
      </w:r>
      <w:r>
        <w:rPr>
          <w:rStyle w:val="FootnoteReference"/>
          <w:rFonts w:ascii="Arial" w:hAnsi="Arial" w:cs="Arial"/>
        </w:rPr>
        <w:footnoteReference w:id="67"/>
      </w:r>
      <w:r>
        <w:rPr>
          <w:rFonts w:ascii="Arial" w:hAnsi="Arial" w:cs="Arial"/>
        </w:rPr>
        <w:t xml:space="preserve"> The appropriation would support expenditures from September 1, 2021 through the end of the biennium.</w:t>
      </w:r>
    </w:p>
    <w:p w14:paraId="2088B68B" w14:textId="77777777" w:rsidR="00AB45DE" w:rsidRDefault="00AB45DE" w:rsidP="00AB45DE">
      <w:pPr>
        <w:spacing w:line="264" w:lineRule="auto"/>
        <w:ind w:left="720"/>
        <w:contextualSpacing/>
        <w:jc w:val="both"/>
        <w:rPr>
          <w:rFonts w:ascii="Arial" w:hAnsi="Arial" w:cs="Arial"/>
        </w:rPr>
      </w:pPr>
    </w:p>
    <w:p w14:paraId="37CFC6AE" w14:textId="0BB228B8" w:rsidR="00AB45DE" w:rsidRDefault="00AB45DE" w:rsidP="00AB45DE">
      <w:pPr>
        <w:spacing w:line="264" w:lineRule="auto"/>
        <w:contextualSpacing/>
        <w:jc w:val="both"/>
        <w:rPr>
          <w:rFonts w:ascii="Arial" w:hAnsi="Arial" w:cs="Arial"/>
        </w:rPr>
      </w:pPr>
      <w:r>
        <w:rPr>
          <w:rFonts w:ascii="Arial" w:hAnsi="Arial" w:cs="Arial"/>
          <w:b/>
          <w:i/>
          <w:iCs/>
        </w:rPr>
        <w:t>King County Courthouse (KCCH) Security [$1,087,058, 8.0 FTEs, ongoing]</w:t>
      </w:r>
      <w:r w:rsidRPr="0054665B">
        <w:rPr>
          <w:rFonts w:ascii="Arial" w:hAnsi="Arial" w:cs="Arial"/>
          <w:b/>
          <w:i/>
          <w:iCs/>
        </w:rPr>
        <w:t>.</w:t>
      </w:r>
      <w:r>
        <w:rPr>
          <w:rFonts w:ascii="Arial" w:hAnsi="Arial" w:cs="Arial"/>
          <w:b/>
          <w:iCs/>
        </w:rPr>
        <w:t xml:space="preserve">  </w:t>
      </w:r>
      <w:r w:rsidRPr="003D194D">
        <w:rPr>
          <w:rFonts w:ascii="Arial" w:hAnsi="Arial" w:cs="Arial"/>
        </w:rPr>
        <w:t>Th</w:t>
      </w:r>
      <w:r>
        <w:rPr>
          <w:rFonts w:ascii="Arial" w:hAnsi="Arial" w:cs="Arial"/>
        </w:rPr>
        <w:t xml:space="preserve">is proposed </w:t>
      </w:r>
      <w:r w:rsidRPr="003D194D">
        <w:rPr>
          <w:rFonts w:ascii="Arial" w:hAnsi="Arial" w:cs="Arial"/>
        </w:rPr>
        <w:t>appr</w:t>
      </w:r>
      <w:r>
        <w:rPr>
          <w:rFonts w:ascii="Arial" w:hAnsi="Arial" w:cs="Arial"/>
        </w:rPr>
        <w:t xml:space="preserve">opriation would use the General Fund to add 6 security officers and 1 sergeant to the FMD Security Team to enhance security at the KCCH. </w:t>
      </w:r>
      <w:r w:rsidR="00CC2CE8">
        <w:rPr>
          <w:rFonts w:ascii="Arial" w:hAnsi="Arial" w:cs="Arial"/>
        </w:rPr>
        <w:t xml:space="preserve"> </w:t>
      </w:r>
      <w:r>
        <w:rPr>
          <w:rFonts w:ascii="Arial" w:hAnsi="Arial" w:cs="Arial"/>
        </w:rPr>
        <w:t xml:space="preserve">Executive staff has stated that the enhanced security is in response to the July 29, 2021 assault of a county employee at the KCCH. </w:t>
      </w:r>
      <w:r w:rsidR="00CC2CE8">
        <w:rPr>
          <w:rFonts w:ascii="Arial" w:hAnsi="Arial" w:cs="Arial"/>
        </w:rPr>
        <w:t xml:space="preserve"> </w:t>
      </w:r>
      <w:r>
        <w:rPr>
          <w:rFonts w:ascii="Arial" w:hAnsi="Arial" w:cs="Arial"/>
        </w:rPr>
        <w:t>FMD states that there is no current funding to</w:t>
      </w:r>
      <w:r w:rsidRPr="00C93B38">
        <w:rPr>
          <w:rFonts w:ascii="Arial" w:hAnsi="Arial" w:cs="Arial"/>
        </w:rPr>
        <w:t xml:space="preserve"> provide </w:t>
      </w:r>
      <w:r>
        <w:rPr>
          <w:rFonts w:ascii="Arial" w:hAnsi="Arial" w:cs="Arial"/>
        </w:rPr>
        <w:t xml:space="preserve">a dedicated security team for the downtown civic campus. </w:t>
      </w:r>
      <w:r w:rsidR="00CC2CE8">
        <w:rPr>
          <w:rFonts w:ascii="Arial" w:hAnsi="Arial" w:cs="Arial"/>
        </w:rPr>
        <w:t xml:space="preserve"> </w:t>
      </w:r>
      <w:r>
        <w:rPr>
          <w:rFonts w:ascii="Arial" w:hAnsi="Arial" w:cs="Arial"/>
        </w:rPr>
        <w:t xml:space="preserve">FMD states that these additional positions would form a dedicated security detachment for the KCCH and augment the existing security provided by the marshals and screeners. </w:t>
      </w:r>
      <w:r w:rsidR="00CC2CE8">
        <w:rPr>
          <w:rFonts w:ascii="Arial" w:hAnsi="Arial" w:cs="Arial"/>
        </w:rPr>
        <w:t xml:space="preserve"> </w:t>
      </w:r>
      <w:r>
        <w:rPr>
          <w:rFonts w:ascii="Arial" w:hAnsi="Arial" w:cs="Arial"/>
        </w:rPr>
        <w:t xml:space="preserve">The additional officers would provide outside perimeter patrols throughout the day and would also be available for employee requested escorts. </w:t>
      </w:r>
    </w:p>
    <w:p w14:paraId="3905CAAE" w14:textId="77777777" w:rsidR="00AB45DE" w:rsidRDefault="00AB45DE" w:rsidP="00AB45DE">
      <w:pPr>
        <w:spacing w:line="264" w:lineRule="auto"/>
        <w:contextualSpacing/>
        <w:jc w:val="both"/>
        <w:rPr>
          <w:rFonts w:ascii="Arial" w:hAnsi="Arial" w:cs="Arial"/>
        </w:rPr>
      </w:pPr>
    </w:p>
    <w:p w14:paraId="2E3D3FB1" w14:textId="4A6B2689" w:rsidR="00AB45DE" w:rsidRDefault="00AB45DE" w:rsidP="00AB45DE">
      <w:pPr>
        <w:spacing w:line="264" w:lineRule="auto"/>
        <w:contextualSpacing/>
        <w:jc w:val="both"/>
        <w:rPr>
          <w:rFonts w:ascii="Arial" w:hAnsi="Arial" w:cs="Arial"/>
        </w:rPr>
      </w:pPr>
      <w:r w:rsidRPr="00C223C0">
        <w:rPr>
          <w:rFonts w:ascii="Arial" w:hAnsi="Arial" w:cs="Arial"/>
        </w:rPr>
        <w:t xml:space="preserve">The </w:t>
      </w:r>
      <w:r>
        <w:rPr>
          <w:rFonts w:ascii="Arial" w:hAnsi="Arial" w:cs="Arial"/>
        </w:rPr>
        <w:t>appropriation would also support the</w:t>
      </w:r>
      <w:r w:rsidRPr="00C223C0">
        <w:rPr>
          <w:rFonts w:ascii="Arial" w:hAnsi="Arial" w:cs="Arial"/>
        </w:rPr>
        <w:t xml:space="preserve"> installation of security locks for restrooms and a Supervisor II position</w:t>
      </w:r>
      <w:r>
        <w:rPr>
          <w:rFonts w:ascii="Arial" w:hAnsi="Arial" w:cs="Arial"/>
        </w:rPr>
        <w:t xml:space="preserve"> that would provide supervision and support to the downtown civic campus and security operations. </w:t>
      </w:r>
      <w:r w:rsidR="00CC2CE8">
        <w:rPr>
          <w:rFonts w:ascii="Arial" w:hAnsi="Arial" w:cs="Arial"/>
        </w:rPr>
        <w:t xml:space="preserve"> </w:t>
      </w:r>
      <w:r>
        <w:rPr>
          <w:rFonts w:ascii="Arial" w:hAnsi="Arial" w:cs="Arial"/>
        </w:rPr>
        <w:t>The Supervisor II position would alleviate the supervisory activities of the one supervisor who currently oversees 60 officers and would also enhance supervisor coverage on the weekends.</w:t>
      </w:r>
    </w:p>
    <w:p w14:paraId="7EC131E7" w14:textId="77777777" w:rsidR="00AB45DE" w:rsidRDefault="00AB45DE" w:rsidP="00AB45DE">
      <w:pPr>
        <w:spacing w:line="264" w:lineRule="auto"/>
        <w:contextualSpacing/>
        <w:jc w:val="both"/>
        <w:rPr>
          <w:rFonts w:ascii="Arial" w:hAnsi="Arial" w:cs="Arial"/>
        </w:rPr>
      </w:pPr>
    </w:p>
    <w:p w14:paraId="54A46B7E" w14:textId="77777777" w:rsidR="00AB45DE" w:rsidRDefault="00AB45DE" w:rsidP="00AB45DE">
      <w:pPr>
        <w:tabs>
          <w:tab w:val="left" w:pos="720"/>
          <w:tab w:val="right" w:pos="9360"/>
        </w:tabs>
        <w:spacing w:line="264" w:lineRule="auto"/>
        <w:contextualSpacing/>
        <w:jc w:val="both"/>
        <w:rPr>
          <w:rFonts w:ascii="Arial" w:hAnsi="Arial" w:cs="Arial"/>
          <w:b/>
          <w:u w:val="single"/>
        </w:rPr>
      </w:pPr>
    </w:p>
    <w:p w14:paraId="42BCB549"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t>FMD Capital – Building Repair and Replacement</w:t>
      </w:r>
      <w:r w:rsidRPr="000E7446">
        <w:rPr>
          <w:rFonts w:ascii="Arial" w:hAnsi="Arial" w:cs="Arial"/>
          <w:b/>
          <w:u w:val="single"/>
        </w:rPr>
        <w:tab/>
        <w:t>$</w:t>
      </w:r>
      <w:r>
        <w:rPr>
          <w:rFonts w:ascii="Arial" w:hAnsi="Arial" w:cs="Arial"/>
          <w:b/>
          <w:u w:val="single"/>
        </w:rPr>
        <w:t>15,522,089</w:t>
      </w:r>
    </w:p>
    <w:p w14:paraId="5C839CAA" w14:textId="77777777" w:rsidR="00AB45DE" w:rsidRDefault="00AB45DE" w:rsidP="00AB45DE">
      <w:pPr>
        <w:spacing w:line="264" w:lineRule="auto"/>
        <w:contextualSpacing/>
        <w:jc w:val="both"/>
        <w:rPr>
          <w:b/>
        </w:rPr>
      </w:pPr>
    </w:p>
    <w:p w14:paraId="5E2D70DA" w14:textId="01F80C6C" w:rsidR="00AB45DE" w:rsidRDefault="00AB45DE" w:rsidP="00AB45DE">
      <w:pPr>
        <w:spacing w:line="264" w:lineRule="auto"/>
        <w:contextualSpacing/>
        <w:jc w:val="both"/>
        <w:rPr>
          <w:rFonts w:ascii="Arial" w:hAnsi="Arial" w:cs="Arial"/>
        </w:rPr>
      </w:pPr>
      <w:r w:rsidRPr="00004EDA">
        <w:rPr>
          <w:rFonts w:ascii="Arial" w:hAnsi="Arial" w:cs="Arial"/>
          <w:b/>
          <w:bCs/>
          <w:i/>
          <w:iCs/>
          <w:szCs w:val="24"/>
        </w:rPr>
        <w:t xml:space="preserve">King County Correctional Facility </w:t>
      </w:r>
      <w:r>
        <w:rPr>
          <w:rFonts w:ascii="Arial" w:hAnsi="Arial" w:cs="Arial"/>
          <w:b/>
          <w:bCs/>
          <w:i/>
          <w:iCs/>
          <w:szCs w:val="24"/>
        </w:rPr>
        <w:t>(KCCF) West Wing Study Closeout [</w:t>
      </w:r>
      <w:r w:rsidRPr="00057D8D">
        <w:rPr>
          <w:rFonts w:ascii="Arial" w:hAnsi="Arial" w:cs="Arial"/>
          <w:b/>
          <w:bCs/>
          <w:i/>
          <w:iCs/>
          <w:color w:val="C0504D" w:themeColor="accent2"/>
          <w:szCs w:val="24"/>
        </w:rPr>
        <w:t>-$957,909</w:t>
      </w:r>
      <w:r>
        <w:rPr>
          <w:rFonts w:ascii="Arial" w:hAnsi="Arial" w:cs="Arial"/>
          <w:b/>
          <w:bCs/>
          <w:i/>
          <w:iCs/>
          <w:szCs w:val="24"/>
        </w:rPr>
        <w:t>]</w:t>
      </w:r>
      <w:r w:rsidRPr="00460214">
        <w:rPr>
          <w:rFonts w:ascii="Arial" w:hAnsi="Arial" w:cs="Arial"/>
          <w:b/>
          <w:bCs/>
        </w:rPr>
        <w:t>.</w:t>
      </w:r>
      <w:r>
        <w:rPr>
          <w:rFonts w:ascii="Arial" w:hAnsi="Arial" w:cs="Arial"/>
        </w:rPr>
        <w:t xml:space="preserve">  The proposed ordinance would disappropriate approximately $1 million from the KCCF West Wing utilization study that was funded during the 2019-2020 adopted biennial budget. The study planned to </w:t>
      </w:r>
      <w:r w:rsidRPr="00FE1E57">
        <w:rPr>
          <w:rFonts w:ascii="Arial" w:hAnsi="Arial" w:cs="Arial"/>
        </w:rPr>
        <w:t>develop alternative</w:t>
      </w:r>
      <w:r>
        <w:rPr>
          <w:rFonts w:ascii="Arial" w:hAnsi="Arial" w:cs="Arial"/>
        </w:rPr>
        <w:t xml:space="preserve"> uses for the West Wing and provide a proposal to the council for future budget considerations</w:t>
      </w:r>
      <w:r w:rsidRPr="00FE1E57">
        <w:rPr>
          <w:rFonts w:ascii="Arial" w:hAnsi="Arial" w:cs="Arial"/>
        </w:rPr>
        <w:t>.</w:t>
      </w:r>
      <w:r>
        <w:rPr>
          <w:rFonts w:ascii="Arial" w:hAnsi="Arial" w:cs="Arial"/>
        </w:rPr>
        <w:t xml:space="preserve"> </w:t>
      </w:r>
      <w:r w:rsidR="00CC2CE8">
        <w:rPr>
          <w:rFonts w:ascii="Arial" w:hAnsi="Arial" w:cs="Arial"/>
        </w:rPr>
        <w:t xml:space="preserve"> </w:t>
      </w:r>
      <w:r>
        <w:rPr>
          <w:rFonts w:ascii="Arial" w:hAnsi="Arial" w:cs="Arial"/>
        </w:rPr>
        <w:t xml:space="preserve">However, the executive decided to put the study on hold while the county reconsiders the closure of the Work Education Release (WER) program. </w:t>
      </w:r>
      <w:r w:rsidR="00CC2CE8">
        <w:rPr>
          <w:rFonts w:ascii="Arial" w:hAnsi="Arial" w:cs="Arial"/>
        </w:rPr>
        <w:t xml:space="preserve"> </w:t>
      </w:r>
      <w:r>
        <w:rPr>
          <w:rFonts w:ascii="Arial" w:hAnsi="Arial" w:cs="Arial"/>
        </w:rPr>
        <w:t>The WER program was proposed to be permanently closed during the 2021-2022 biennium and the 2021-2022 adopted biennial budget includes a $2.7 million disappropriation and elimination of 11.0 FTEs to effectuate the closure.</w:t>
      </w:r>
    </w:p>
    <w:p w14:paraId="104F333D" w14:textId="77777777" w:rsidR="00AB45DE" w:rsidRDefault="00AB45DE" w:rsidP="00AB45DE">
      <w:pPr>
        <w:spacing w:line="264" w:lineRule="auto"/>
        <w:contextualSpacing/>
        <w:jc w:val="both"/>
        <w:rPr>
          <w:rFonts w:ascii="Arial" w:hAnsi="Arial" w:cs="Arial"/>
          <w:b/>
          <w:bCs/>
          <w:i/>
          <w:iCs/>
        </w:rPr>
      </w:pPr>
    </w:p>
    <w:p w14:paraId="496D6F0C" w14:textId="5DA78B1C" w:rsidR="00AB45DE" w:rsidRDefault="00AB45DE" w:rsidP="00AB45DE">
      <w:pPr>
        <w:spacing w:line="264" w:lineRule="auto"/>
        <w:contextualSpacing/>
        <w:jc w:val="both"/>
      </w:pPr>
      <w:r w:rsidRPr="00F76F23">
        <w:rPr>
          <w:rFonts w:ascii="Arial" w:hAnsi="Arial" w:cs="Arial"/>
          <w:b/>
          <w:bCs/>
          <w:i/>
          <w:iCs/>
        </w:rPr>
        <w:t xml:space="preserve">Harbor Island </w:t>
      </w:r>
      <w:r>
        <w:rPr>
          <w:rFonts w:ascii="Arial" w:hAnsi="Arial" w:cs="Arial"/>
          <w:b/>
          <w:bCs/>
          <w:i/>
          <w:iCs/>
        </w:rPr>
        <w:t xml:space="preserve">Film Production Facility </w:t>
      </w:r>
      <w:r w:rsidRPr="00F76F23">
        <w:rPr>
          <w:rFonts w:ascii="Arial" w:hAnsi="Arial" w:cs="Arial"/>
          <w:b/>
          <w:bCs/>
          <w:i/>
          <w:iCs/>
        </w:rPr>
        <w:t xml:space="preserve">Tenant Improvements </w:t>
      </w:r>
      <w:r>
        <w:rPr>
          <w:rFonts w:ascii="Arial" w:hAnsi="Arial" w:cs="Arial"/>
          <w:b/>
          <w:bCs/>
          <w:i/>
          <w:iCs/>
        </w:rPr>
        <w:t>[</w:t>
      </w:r>
      <w:r w:rsidRPr="00F76F23">
        <w:rPr>
          <w:rFonts w:ascii="Arial" w:hAnsi="Arial" w:cs="Arial"/>
          <w:b/>
          <w:bCs/>
          <w:i/>
          <w:iCs/>
        </w:rPr>
        <w:t>$540,135</w:t>
      </w:r>
      <w:r>
        <w:rPr>
          <w:rFonts w:ascii="Arial" w:hAnsi="Arial" w:cs="Arial"/>
          <w:b/>
          <w:bCs/>
          <w:i/>
          <w:iCs/>
        </w:rPr>
        <w:t>]</w:t>
      </w:r>
      <w:r w:rsidRPr="00F76F23">
        <w:rPr>
          <w:rFonts w:ascii="Arial" w:hAnsi="Arial" w:cs="Arial"/>
          <w:b/>
          <w:bCs/>
          <w:i/>
          <w:iCs/>
        </w:rPr>
        <w:t>.</w:t>
      </w:r>
      <w:r>
        <w:rPr>
          <w:rFonts w:ascii="Arial" w:hAnsi="Arial" w:cs="Arial"/>
        </w:rPr>
        <w:t xml:space="preserve">  This project would make additional tenant improvements to the Harbor Island film production facility. </w:t>
      </w:r>
      <w:r w:rsidR="00CC2CE8">
        <w:rPr>
          <w:rFonts w:ascii="Arial" w:hAnsi="Arial" w:cs="Arial"/>
        </w:rPr>
        <w:t xml:space="preserve"> </w:t>
      </w:r>
      <w:r>
        <w:rPr>
          <w:rFonts w:ascii="Arial" w:hAnsi="Arial" w:cs="Arial"/>
        </w:rPr>
        <w:t>The tenant improvements would include</w:t>
      </w:r>
      <w:r w:rsidRPr="00E14147">
        <w:rPr>
          <w:rFonts w:ascii="Arial" w:hAnsi="Arial" w:cs="Arial"/>
        </w:rPr>
        <w:t xml:space="preserve"> plumbing improvements, repair</w:t>
      </w:r>
      <w:r>
        <w:rPr>
          <w:rFonts w:ascii="Arial" w:hAnsi="Arial" w:cs="Arial"/>
        </w:rPr>
        <w:t>ing</w:t>
      </w:r>
      <w:r w:rsidRPr="00E14147">
        <w:rPr>
          <w:rFonts w:ascii="Arial" w:hAnsi="Arial" w:cs="Arial"/>
        </w:rPr>
        <w:t xml:space="preserve"> roof leaks, improv</w:t>
      </w:r>
      <w:r>
        <w:rPr>
          <w:rFonts w:ascii="Arial" w:hAnsi="Arial" w:cs="Arial"/>
        </w:rPr>
        <w:t>ing</w:t>
      </w:r>
      <w:r w:rsidRPr="00E14147">
        <w:rPr>
          <w:rFonts w:ascii="Arial" w:hAnsi="Arial" w:cs="Arial"/>
        </w:rPr>
        <w:t xml:space="preserve"> the safety of the outside walkway and other minor improvements.</w:t>
      </w:r>
      <w:r>
        <w:rPr>
          <w:rFonts w:ascii="Arial" w:hAnsi="Arial" w:cs="Arial"/>
        </w:rPr>
        <w:t xml:space="preserve"> </w:t>
      </w:r>
      <w:r w:rsidR="00CC2CE8">
        <w:rPr>
          <w:rFonts w:ascii="Arial" w:hAnsi="Arial" w:cs="Arial"/>
        </w:rPr>
        <w:t xml:space="preserve"> </w:t>
      </w:r>
      <w:r>
        <w:rPr>
          <w:rFonts w:ascii="Arial" w:hAnsi="Arial" w:cs="Arial"/>
        </w:rPr>
        <w:t>In the COVID 7 supplemental appropriations ordinance</w:t>
      </w:r>
      <w:r>
        <w:rPr>
          <w:rStyle w:val="FootnoteReference"/>
          <w:rFonts w:ascii="Arial" w:hAnsi="Arial" w:cs="Arial"/>
        </w:rPr>
        <w:footnoteReference w:id="68"/>
      </w:r>
      <w:r>
        <w:rPr>
          <w:rFonts w:ascii="Arial" w:hAnsi="Arial" w:cs="Arial"/>
        </w:rPr>
        <w:t xml:space="preserve">, the council appropriated $3.0 million of American Rescue Plan moneys to transform the former Fisher Flour Mill property purchased by the Solid Waste Division into </w:t>
      </w:r>
      <w:r w:rsidRPr="00E14147">
        <w:rPr>
          <w:rFonts w:ascii="Arial" w:hAnsi="Arial" w:cs="Arial"/>
        </w:rPr>
        <w:t>two sound stages for film production, in hopes to make the region competitive for future film projects</w:t>
      </w:r>
      <w:r>
        <w:rPr>
          <w:rFonts w:ascii="Arial" w:hAnsi="Arial" w:cs="Arial"/>
        </w:rPr>
        <w:t>. This project would be funded by the General Fund.</w:t>
      </w:r>
    </w:p>
    <w:p w14:paraId="0649E891" w14:textId="77777777" w:rsidR="00AB45DE" w:rsidRDefault="00AB45DE" w:rsidP="00AB45DE">
      <w:pPr>
        <w:spacing w:line="264" w:lineRule="auto"/>
        <w:jc w:val="both"/>
        <w:rPr>
          <w:rFonts w:ascii="Arial" w:hAnsi="Arial" w:cs="Arial"/>
          <w:b/>
          <w:i/>
          <w:iCs/>
        </w:rPr>
      </w:pPr>
    </w:p>
    <w:p w14:paraId="5C6BC7E8" w14:textId="56F94075" w:rsidR="00AB45DE" w:rsidRDefault="00AB45DE" w:rsidP="00AB45DE">
      <w:pPr>
        <w:spacing w:line="264" w:lineRule="auto"/>
        <w:jc w:val="both"/>
        <w:rPr>
          <w:rFonts w:ascii="Arial" w:hAnsi="Arial" w:cs="Arial"/>
        </w:rPr>
      </w:pPr>
      <w:r>
        <w:rPr>
          <w:rFonts w:ascii="Arial" w:hAnsi="Arial" w:cs="Arial"/>
          <w:b/>
          <w:i/>
          <w:iCs/>
        </w:rPr>
        <w:t>Sheriff Evidence Storage Facility [$5,500,000].</w:t>
      </w:r>
      <w:r>
        <w:rPr>
          <w:rFonts w:ascii="Arial" w:hAnsi="Arial" w:cs="Arial"/>
          <w:b/>
          <w:iCs/>
        </w:rPr>
        <w:t xml:space="preserve">  </w:t>
      </w:r>
      <w:r>
        <w:rPr>
          <w:rFonts w:ascii="Arial" w:hAnsi="Arial" w:cs="Arial"/>
        </w:rPr>
        <w:t xml:space="preserve">This project would support the acquisition of a new evidence storage facility for the Sheriff’s Office at </w:t>
      </w:r>
      <w:r w:rsidRPr="00BE4F23">
        <w:rPr>
          <w:rFonts w:ascii="Arial" w:hAnsi="Arial" w:cs="Arial"/>
        </w:rPr>
        <w:t>13400 Interurban Ave S</w:t>
      </w:r>
      <w:r>
        <w:rPr>
          <w:rFonts w:ascii="Arial" w:hAnsi="Arial" w:cs="Arial"/>
        </w:rPr>
        <w:t>,</w:t>
      </w:r>
      <w:r w:rsidRPr="00BE4F23">
        <w:rPr>
          <w:rFonts w:ascii="Arial" w:hAnsi="Arial" w:cs="Arial"/>
        </w:rPr>
        <w:t xml:space="preserve"> Tukwila</w:t>
      </w:r>
      <w:r>
        <w:rPr>
          <w:rFonts w:ascii="Arial" w:hAnsi="Arial" w:cs="Arial"/>
        </w:rPr>
        <w:t xml:space="preserve">. </w:t>
      </w:r>
      <w:r w:rsidR="007933FE">
        <w:rPr>
          <w:rFonts w:ascii="Arial" w:hAnsi="Arial" w:cs="Arial"/>
        </w:rPr>
        <w:t xml:space="preserve"> </w:t>
      </w:r>
      <w:r>
        <w:rPr>
          <w:rFonts w:ascii="Arial" w:hAnsi="Arial" w:cs="Arial"/>
        </w:rPr>
        <w:t xml:space="preserve">Of the total, $4.6 million would support the acquisition costs, $400,000 would support evidence moving costs from the existing facility at the Barclay Dean Building, in Seattle’s SODO neighborhood, to the new facility, and $500,000 would support tenant improvement that may be necessary at the new facility. </w:t>
      </w:r>
    </w:p>
    <w:p w14:paraId="2DE10931" w14:textId="77777777" w:rsidR="00AB45DE" w:rsidRDefault="00AB45DE" w:rsidP="00AB45DE">
      <w:pPr>
        <w:spacing w:line="264" w:lineRule="auto"/>
        <w:jc w:val="both"/>
        <w:rPr>
          <w:rFonts w:ascii="Arial" w:hAnsi="Arial" w:cs="Arial"/>
        </w:rPr>
      </w:pPr>
    </w:p>
    <w:p w14:paraId="2D2A6495" w14:textId="5F97ABAB" w:rsidR="00AB45DE" w:rsidRPr="00EF763F" w:rsidRDefault="00AB45DE" w:rsidP="00AB45DE">
      <w:pPr>
        <w:spacing w:line="264" w:lineRule="auto"/>
        <w:jc w:val="both"/>
        <w:rPr>
          <w:rFonts w:ascii="Arial" w:hAnsi="Arial" w:cs="Arial"/>
        </w:rPr>
      </w:pPr>
      <w:r>
        <w:rPr>
          <w:rFonts w:ascii="Arial" w:hAnsi="Arial" w:cs="Arial"/>
        </w:rPr>
        <w:t xml:space="preserve">The Barclay Dean Building was reported as inadequate to meet the needs of an evidence storage facility as per a 2019 Auditor’s report. </w:t>
      </w:r>
      <w:r w:rsidR="007933FE">
        <w:rPr>
          <w:rFonts w:ascii="Arial" w:hAnsi="Arial" w:cs="Arial"/>
        </w:rPr>
        <w:t xml:space="preserve"> </w:t>
      </w:r>
      <w:r>
        <w:rPr>
          <w:rFonts w:ascii="Arial" w:hAnsi="Arial" w:cs="Arial"/>
        </w:rPr>
        <w:t xml:space="preserve">Executive staff states that there will </w:t>
      </w:r>
      <w:r w:rsidRPr="00EF763F">
        <w:rPr>
          <w:rFonts w:ascii="Arial" w:hAnsi="Arial" w:cs="Arial"/>
        </w:rPr>
        <w:t>be a review of potential uses</w:t>
      </w:r>
      <w:r>
        <w:rPr>
          <w:rFonts w:ascii="Arial" w:hAnsi="Arial" w:cs="Arial"/>
        </w:rPr>
        <w:t xml:space="preserve"> of the building</w:t>
      </w:r>
      <w:r w:rsidRPr="00EF763F">
        <w:rPr>
          <w:rFonts w:ascii="Arial" w:hAnsi="Arial" w:cs="Arial"/>
        </w:rPr>
        <w:t xml:space="preserve"> including an option to sell. </w:t>
      </w:r>
      <w:r w:rsidR="007933FE">
        <w:rPr>
          <w:rFonts w:ascii="Arial" w:hAnsi="Arial" w:cs="Arial"/>
        </w:rPr>
        <w:t xml:space="preserve"> </w:t>
      </w:r>
      <w:r>
        <w:rPr>
          <w:rFonts w:ascii="Arial" w:hAnsi="Arial" w:cs="Arial"/>
        </w:rPr>
        <w:t xml:space="preserve">The timeline on when the new facility will be operational is still to be determined but executive staff state that the county expects to acquire the facility by February 2022. </w:t>
      </w:r>
      <w:r w:rsidR="007933FE">
        <w:rPr>
          <w:rFonts w:ascii="Arial" w:hAnsi="Arial" w:cs="Arial"/>
        </w:rPr>
        <w:t xml:space="preserve"> </w:t>
      </w:r>
      <w:r>
        <w:rPr>
          <w:rFonts w:ascii="Arial" w:hAnsi="Arial" w:cs="Arial"/>
        </w:rPr>
        <w:t>Along with the 2</w:t>
      </w:r>
      <w:r>
        <w:rPr>
          <w:rFonts w:ascii="Arial" w:hAnsi="Arial" w:cs="Arial"/>
          <w:vertAlign w:val="superscript"/>
        </w:rPr>
        <w:t>nd</w:t>
      </w:r>
      <w:r>
        <w:rPr>
          <w:rFonts w:ascii="Arial" w:hAnsi="Arial" w:cs="Arial"/>
        </w:rPr>
        <w:t xml:space="preserve"> Omnibus, the executive has transmitted Proposed Ordinance 2021-0383 that would amend the May 4, 2021 council approved general obligation bond ordinance to include an additional $6 million of bond issuance to support this project. </w:t>
      </w:r>
    </w:p>
    <w:p w14:paraId="4E61826B" w14:textId="77777777" w:rsidR="00AB45DE" w:rsidRDefault="00AB45DE" w:rsidP="00AB45DE">
      <w:pPr>
        <w:spacing w:line="264" w:lineRule="auto"/>
        <w:jc w:val="both"/>
        <w:rPr>
          <w:rFonts w:ascii="Arial" w:hAnsi="Arial" w:cs="Arial"/>
        </w:rPr>
      </w:pPr>
    </w:p>
    <w:p w14:paraId="0DD517FE" w14:textId="4FA5EB4A" w:rsidR="00AB45DE" w:rsidRDefault="00AB45DE" w:rsidP="00AB45DE">
      <w:pPr>
        <w:spacing w:line="264" w:lineRule="auto"/>
        <w:jc w:val="both"/>
        <w:rPr>
          <w:rFonts w:ascii="Arial" w:hAnsi="Arial" w:cs="Arial"/>
        </w:rPr>
      </w:pPr>
      <w:bookmarkStart w:id="9" w:name="_Hlk84106170"/>
      <w:r>
        <w:rPr>
          <w:rFonts w:ascii="Arial" w:hAnsi="Arial" w:cs="Arial"/>
          <w:b/>
          <w:bCs/>
          <w:i/>
          <w:iCs/>
        </w:rPr>
        <w:t>Metro Transit King Street Center Tenant Improvements [$9,000,000].</w:t>
      </w:r>
      <w:r>
        <w:rPr>
          <w:rFonts w:ascii="Arial" w:hAnsi="Arial" w:cs="Arial"/>
        </w:rPr>
        <w:t xml:space="preserve">  Supported by transit revenues, this project would support a space consolidation project for Metro Transit in King Street Center. </w:t>
      </w:r>
      <w:r w:rsidR="007933FE">
        <w:rPr>
          <w:rFonts w:ascii="Arial" w:hAnsi="Arial" w:cs="Arial"/>
        </w:rPr>
        <w:t xml:space="preserve"> </w:t>
      </w:r>
      <w:r>
        <w:rPr>
          <w:rFonts w:ascii="Arial" w:hAnsi="Arial" w:cs="Arial"/>
        </w:rPr>
        <w:t>To accommodate Metro Transit’s 20% reduction of leased office space, the department would consolidate to the 4</w:t>
      </w:r>
      <w:r>
        <w:rPr>
          <w:rFonts w:ascii="Arial" w:hAnsi="Arial" w:cs="Arial"/>
          <w:vertAlign w:val="superscript"/>
        </w:rPr>
        <w:t>th</w:t>
      </w:r>
      <w:r>
        <w:rPr>
          <w:rFonts w:ascii="Arial" w:hAnsi="Arial" w:cs="Arial"/>
        </w:rPr>
        <w:t xml:space="preserve"> and 5</w:t>
      </w:r>
      <w:r>
        <w:rPr>
          <w:rFonts w:ascii="Arial" w:hAnsi="Arial" w:cs="Arial"/>
          <w:vertAlign w:val="superscript"/>
        </w:rPr>
        <w:t>th</w:t>
      </w:r>
      <w:r>
        <w:rPr>
          <w:rFonts w:ascii="Arial" w:hAnsi="Arial" w:cs="Arial"/>
        </w:rPr>
        <w:t xml:space="preserve"> floors of King Street Center. </w:t>
      </w:r>
      <w:r w:rsidR="007933FE">
        <w:rPr>
          <w:rFonts w:ascii="Arial" w:hAnsi="Arial" w:cs="Arial"/>
        </w:rPr>
        <w:t xml:space="preserve"> </w:t>
      </w:r>
      <w:r>
        <w:rPr>
          <w:rFonts w:ascii="Arial" w:hAnsi="Arial" w:cs="Arial"/>
        </w:rPr>
        <w:t>This project would replace the 20-year old cubicles and reconfigure existing walls with more collaborative workspaces on those floors.</w:t>
      </w:r>
    </w:p>
    <w:p w14:paraId="43062BF0" w14:textId="77777777" w:rsidR="00AB45DE" w:rsidRDefault="00AB45DE" w:rsidP="00AB45DE">
      <w:pPr>
        <w:spacing w:line="264" w:lineRule="auto"/>
        <w:jc w:val="both"/>
        <w:rPr>
          <w:rFonts w:ascii="Arial" w:eastAsiaTheme="minorEastAsia" w:hAnsi="Arial" w:cs="Arial"/>
          <w:sz w:val="22"/>
          <w:szCs w:val="22"/>
        </w:rPr>
      </w:pPr>
    </w:p>
    <w:p w14:paraId="5ED066A9" w14:textId="5F502615" w:rsidR="00AB45DE" w:rsidRDefault="00AB45DE" w:rsidP="00AB45DE">
      <w:pPr>
        <w:spacing w:line="264" w:lineRule="auto"/>
        <w:jc w:val="both"/>
        <w:rPr>
          <w:rFonts w:ascii="Arial" w:hAnsi="Arial" w:cs="Arial"/>
        </w:rPr>
      </w:pPr>
      <w:r>
        <w:rPr>
          <w:rFonts w:ascii="Arial" w:hAnsi="Arial" w:cs="Arial"/>
        </w:rPr>
        <w:t xml:space="preserve">Relatedly, the proposed ordinance also includes a $4.2 million in the Major Maintenance Reserve Fund (MMRF) to update the computer cabling, carpeting, selected lights, and HVAC equipment on the same two floors. </w:t>
      </w:r>
      <w:r w:rsidR="007933FE">
        <w:rPr>
          <w:rFonts w:ascii="Arial" w:hAnsi="Arial" w:cs="Arial"/>
        </w:rPr>
        <w:t xml:space="preserve"> </w:t>
      </w:r>
      <w:r>
        <w:rPr>
          <w:rFonts w:ascii="Arial" w:hAnsi="Arial" w:cs="Arial"/>
        </w:rPr>
        <w:t xml:space="preserve">It should be noted that the MMRF project would be funded by FMD central rates rather than transit revenues since MMRF projects are infrastructure projects that are incorporated into central rate calculations. </w:t>
      </w:r>
      <w:r w:rsidR="007933FE">
        <w:rPr>
          <w:rFonts w:ascii="Arial" w:hAnsi="Arial" w:cs="Arial"/>
        </w:rPr>
        <w:t xml:space="preserve"> </w:t>
      </w:r>
      <w:r>
        <w:rPr>
          <w:rFonts w:ascii="Arial" w:hAnsi="Arial" w:cs="Arial"/>
        </w:rPr>
        <w:t xml:space="preserve">This would make the total facilities costs for the two floors to be approximately </w:t>
      </w:r>
      <w:r w:rsidRPr="003C398B">
        <w:rPr>
          <w:rFonts w:ascii="Arial" w:hAnsi="Arial" w:cs="Arial"/>
        </w:rPr>
        <w:t>$13.2 million.</w:t>
      </w:r>
      <w:bookmarkEnd w:id="9"/>
    </w:p>
    <w:p w14:paraId="7BFF3E61" w14:textId="77777777" w:rsidR="00AB45DE" w:rsidRDefault="00AB45DE" w:rsidP="00AB45DE">
      <w:pPr>
        <w:spacing w:line="264" w:lineRule="auto"/>
        <w:contextualSpacing/>
        <w:jc w:val="both"/>
        <w:rPr>
          <w:rFonts w:ascii="Arial" w:hAnsi="Arial" w:cs="Arial"/>
          <w:b/>
          <w:bCs/>
          <w:i/>
          <w:iCs/>
        </w:rPr>
      </w:pPr>
    </w:p>
    <w:p w14:paraId="0A08F90A" w14:textId="3F239FA1" w:rsidR="00AB45DE" w:rsidRDefault="00AB45DE" w:rsidP="00AB45DE">
      <w:pPr>
        <w:spacing w:line="264" w:lineRule="auto"/>
        <w:contextualSpacing/>
        <w:jc w:val="both"/>
        <w:rPr>
          <w:rFonts w:ascii="Arial" w:hAnsi="Arial" w:cs="Arial"/>
          <w:szCs w:val="24"/>
        </w:rPr>
      </w:pPr>
      <w:r w:rsidRPr="000F3D6C">
        <w:rPr>
          <w:rFonts w:ascii="Arial" w:hAnsi="Arial" w:cs="Arial"/>
          <w:b/>
          <w:bCs/>
          <w:i/>
          <w:iCs/>
        </w:rPr>
        <w:lastRenderedPageBreak/>
        <w:t xml:space="preserve">Downtown Public Health Clinic Facility Improvements </w:t>
      </w:r>
      <w:r>
        <w:rPr>
          <w:rFonts w:ascii="Arial" w:hAnsi="Arial" w:cs="Arial"/>
          <w:b/>
          <w:bCs/>
          <w:i/>
          <w:iCs/>
        </w:rPr>
        <w:t>[</w:t>
      </w:r>
      <w:r w:rsidRPr="000F3D6C">
        <w:rPr>
          <w:rFonts w:ascii="Arial" w:hAnsi="Arial" w:cs="Arial"/>
          <w:b/>
          <w:bCs/>
          <w:i/>
          <w:iCs/>
        </w:rPr>
        <w:t>$738,953</w:t>
      </w:r>
      <w:r>
        <w:rPr>
          <w:rFonts w:ascii="Arial" w:hAnsi="Arial" w:cs="Arial"/>
          <w:b/>
          <w:bCs/>
          <w:i/>
          <w:iCs/>
        </w:rPr>
        <w:t>]</w:t>
      </w:r>
      <w:r w:rsidRPr="000F3D6C">
        <w:rPr>
          <w:rFonts w:ascii="Arial" w:hAnsi="Arial" w:cs="Arial"/>
          <w:b/>
          <w:bCs/>
          <w:i/>
          <w:iCs/>
        </w:rPr>
        <w:t>.</w:t>
      </w:r>
      <w:r>
        <w:rPr>
          <w:rFonts w:ascii="Arial" w:hAnsi="Arial" w:cs="Arial"/>
        </w:rPr>
        <w:t xml:space="preserve">  </w:t>
      </w:r>
      <w:r w:rsidRPr="00A1368F">
        <w:rPr>
          <w:rFonts w:ascii="Arial" w:hAnsi="Arial" w:cs="Arial"/>
          <w:szCs w:val="24"/>
        </w:rPr>
        <w:t>This project</w:t>
      </w:r>
      <w:r>
        <w:rPr>
          <w:rFonts w:ascii="Arial" w:hAnsi="Arial" w:cs="Arial"/>
          <w:szCs w:val="24"/>
        </w:rPr>
        <w:t xml:space="preserve"> would make renovations to the Downtown Public Health clinic located in the Belltown neighborhood of Seattle. </w:t>
      </w:r>
      <w:r w:rsidR="007933FE">
        <w:rPr>
          <w:rFonts w:ascii="Arial" w:hAnsi="Arial" w:cs="Arial"/>
          <w:szCs w:val="24"/>
        </w:rPr>
        <w:t xml:space="preserve"> </w:t>
      </w:r>
      <w:r>
        <w:rPr>
          <w:rFonts w:ascii="Arial" w:hAnsi="Arial" w:cs="Arial"/>
          <w:szCs w:val="24"/>
        </w:rPr>
        <w:t>The renovations would include</w:t>
      </w:r>
      <w:r w:rsidRPr="00A1368F">
        <w:rPr>
          <w:rFonts w:ascii="Arial" w:hAnsi="Arial" w:cs="Arial"/>
          <w:szCs w:val="24"/>
        </w:rPr>
        <w:t xml:space="preserve"> adding doors, a security station, flooring, and ADA improvements among other </w:t>
      </w:r>
      <w:r>
        <w:rPr>
          <w:rFonts w:ascii="Arial" w:hAnsi="Arial" w:cs="Arial"/>
          <w:szCs w:val="24"/>
        </w:rPr>
        <w:t xml:space="preserve">minor facility adjustments. </w:t>
      </w:r>
      <w:r w:rsidR="007933FE">
        <w:rPr>
          <w:rFonts w:ascii="Arial" w:hAnsi="Arial" w:cs="Arial"/>
          <w:szCs w:val="24"/>
        </w:rPr>
        <w:t xml:space="preserve"> </w:t>
      </w:r>
      <w:r>
        <w:rPr>
          <w:rFonts w:ascii="Arial" w:hAnsi="Arial" w:cs="Arial"/>
          <w:szCs w:val="24"/>
        </w:rPr>
        <w:t>This project would be funded by a U</w:t>
      </w:r>
      <w:r w:rsidRPr="00F13C2B">
        <w:rPr>
          <w:rFonts w:ascii="Arial" w:hAnsi="Arial" w:cs="Arial"/>
          <w:szCs w:val="24"/>
        </w:rPr>
        <w:t xml:space="preserve">.S. Department of Health and Human Services </w:t>
      </w:r>
      <w:r>
        <w:rPr>
          <w:rFonts w:ascii="Arial" w:hAnsi="Arial" w:cs="Arial"/>
          <w:szCs w:val="24"/>
        </w:rPr>
        <w:t xml:space="preserve">– </w:t>
      </w:r>
      <w:r w:rsidRPr="009B5385">
        <w:rPr>
          <w:rFonts w:ascii="Arial" w:hAnsi="Arial" w:cs="Arial"/>
          <w:szCs w:val="24"/>
        </w:rPr>
        <w:t xml:space="preserve">Health Resources and Services Administration (HRSA) </w:t>
      </w:r>
      <w:r>
        <w:rPr>
          <w:rFonts w:ascii="Arial" w:hAnsi="Arial" w:cs="Arial"/>
          <w:szCs w:val="24"/>
        </w:rPr>
        <w:t xml:space="preserve">grant that was acquired by Public Health and therefore a corresponding appropriation to transfer the funds from Public Health to FMD is also included in the proposed ordinance. </w:t>
      </w:r>
      <w:r w:rsidR="007933FE">
        <w:rPr>
          <w:rFonts w:ascii="Arial" w:hAnsi="Arial" w:cs="Arial"/>
          <w:szCs w:val="24"/>
        </w:rPr>
        <w:t xml:space="preserve"> </w:t>
      </w:r>
      <w:r>
        <w:rPr>
          <w:rFonts w:ascii="Arial" w:hAnsi="Arial" w:cs="Arial"/>
          <w:szCs w:val="24"/>
        </w:rPr>
        <w:t>Of note, the Downtown Public Health Clinic property was acquired by the county in July 2020 by way of the council’s approval of a $15.5 million supplemental appropriations ordinance.</w:t>
      </w:r>
      <w:r>
        <w:rPr>
          <w:rStyle w:val="FootnoteReference"/>
          <w:rFonts w:ascii="Arial" w:hAnsi="Arial" w:cs="Arial"/>
          <w:szCs w:val="24"/>
        </w:rPr>
        <w:footnoteReference w:id="69"/>
      </w:r>
    </w:p>
    <w:p w14:paraId="1546BA65" w14:textId="77777777" w:rsidR="00AB45DE" w:rsidRDefault="00AB45DE" w:rsidP="00AB45DE">
      <w:pPr>
        <w:spacing w:line="264" w:lineRule="auto"/>
        <w:jc w:val="both"/>
        <w:rPr>
          <w:rFonts w:ascii="Arial" w:hAnsi="Arial" w:cs="Arial"/>
        </w:rPr>
      </w:pPr>
    </w:p>
    <w:p w14:paraId="55696C4A" w14:textId="54AFB60F" w:rsidR="00AB45DE" w:rsidRDefault="00AB45DE" w:rsidP="00AB45DE">
      <w:pPr>
        <w:spacing w:line="264" w:lineRule="auto"/>
        <w:jc w:val="both"/>
        <w:rPr>
          <w:rFonts w:ascii="Arial" w:hAnsi="Arial" w:cs="Arial"/>
        </w:rPr>
      </w:pPr>
      <w:r>
        <w:rPr>
          <w:rFonts w:ascii="Arial" w:hAnsi="Arial" w:cs="Arial"/>
          <w:b/>
          <w:i/>
          <w:iCs/>
        </w:rPr>
        <w:t>District Court COVID-19 Facilities Reconfiguration [$500,000].</w:t>
      </w:r>
      <w:r>
        <w:rPr>
          <w:rFonts w:ascii="Arial" w:hAnsi="Arial" w:cs="Arial"/>
          <w:b/>
          <w:iCs/>
        </w:rPr>
        <w:t xml:space="preserve">  </w:t>
      </w:r>
      <w:r>
        <w:rPr>
          <w:rFonts w:ascii="Arial" w:hAnsi="Arial" w:cs="Arial"/>
        </w:rPr>
        <w:t>Th</w:t>
      </w:r>
      <w:r w:rsidRPr="00534F5C">
        <w:rPr>
          <w:rFonts w:ascii="Arial" w:hAnsi="Arial" w:cs="Arial"/>
        </w:rPr>
        <w:t xml:space="preserve">is project </w:t>
      </w:r>
      <w:r>
        <w:rPr>
          <w:rFonts w:ascii="Arial" w:hAnsi="Arial" w:cs="Arial"/>
        </w:rPr>
        <w:t>would</w:t>
      </w:r>
      <w:r w:rsidRPr="00534F5C">
        <w:rPr>
          <w:rFonts w:ascii="Arial" w:hAnsi="Arial" w:cs="Arial"/>
        </w:rPr>
        <w:t xml:space="preserve"> reconfigure existing work space and furniture to </w:t>
      </w:r>
      <w:r w:rsidRPr="00A07377">
        <w:rPr>
          <w:rFonts w:ascii="Arial" w:hAnsi="Arial" w:cs="Arial"/>
        </w:rPr>
        <w:t xml:space="preserve">provide a healthier work environment with less likelihood of </w:t>
      </w:r>
      <w:r>
        <w:rPr>
          <w:rFonts w:ascii="Arial" w:hAnsi="Arial" w:cs="Arial"/>
        </w:rPr>
        <w:t>COVID-19</w:t>
      </w:r>
      <w:r w:rsidRPr="00A07377">
        <w:rPr>
          <w:rFonts w:ascii="Arial" w:hAnsi="Arial" w:cs="Arial"/>
        </w:rPr>
        <w:t xml:space="preserve"> </w:t>
      </w:r>
      <w:r>
        <w:rPr>
          <w:rFonts w:ascii="Arial" w:hAnsi="Arial" w:cs="Arial"/>
        </w:rPr>
        <w:t xml:space="preserve">transmission </w:t>
      </w:r>
      <w:r w:rsidRPr="00534F5C">
        <w:rPr>
          <w:rFonts w:ascii="Arial" w:hAnsi="Arial" w:cs="Arial"/>
        </w:rPr>
        <w:t xml:space="preserve">at several </w:t>
      </w:r>
      <w:r>
        <w:rPr>
          <w:rFonts w:ascii="Arial" w:hAnsi="Arial" w:cs="Arial"/>
        </w:rPr>
        <w:t>d</w:t>
      </w:r>
      <w:r w:rsidRPr="00534F5C">
        <w:rPr>
          <w:rFonts w:ascii="Arial" w:hAnsi="Arial" w:cs="Arial"/>
        </w:rPr>
        <w:t xml:space="preserve">istrict </w:t>
      </w:r>
      <w:r>
        <w:rPr>
          <w:rFonts w:ascii="Arial" w:hAnsi="Arial" w:cs="Arial"/>
        </w:rPr>
        <w:t>c</w:t>
      </w:r>
      <w:r w:rsidRPr="00534F5C">
        <w:rPr>
          <w:rFonts w:ascii="Arial" w:hAnsi="Arial" w:cs="Arial"/>
        </w:rPr>
        <w:t>ourt locations.</w:t>
      </w:r>
      <w:r>
        <w:rPr>
          <w:rFonts w:ascii="Arial" w:hAnsi="Arial" w:cs="Arial"/>
        </w:rPr>
        <w:t xml:space="preserve"> </w:t>
      </w:r>
      <w:r w:rsidR="007933FE">
        <w:rPr>
          <w:rFonts w:ascii="Arial" w:hAnsi="Arial" w:cs="Arial"/>
        </w:rPr>
        <w:t xml:space="preserve"> </w:t>
      </w:r>
      <w:r>
        <w:rPr>
          <w:rFonts w:ascii="Arial" w:hAnsi="Arial" w:cs="Arial"/>
        </w:rPr>
        <w:t>The project would be funded by district court operating funds</w:t>
      </w:r>
      <w:r>
        <w:rPr>
          <w:rStyle w:val="FootnoteReference"/>
          <w:rFonts w:ascii="Arial" w:hAnsi="Arial" w:cs="Arial"/>
        </w:rPr>
        <w:footnoteReference w:id="70"/>
      </w:r>
      <w:r>
        <w:rPr>
          <w:rFonts w:ascii="Arial" w:hAnsi="Arial" w:cs="Arial"/>
        </w:rPr>
        <w:t xml:space="preserve"> and therefore a corresponding appropriation for District Court to transfer their operating funds is also included in the proposed ordinance.</w:t>
      </w:r>
    </w:p>
    <w:p w14:paraId="486C242E" w14:textId="77777777" w:rsidR="00AB45DE" w:rsidRDefault="00AB45DE" w:rsidP="00AB45DE">
      <w:pPr>
        <w:spacing w:line="264" w:lineRule="auto"/>
        <w:contextualSpacing/>
        <w:jc w:val="both"/>
        <w:rPr>
          <w:rFonts w:ascii="Arial" w:hAnsi="Arial" w:cs="Arial"/>
        </w:rPr>
      </w:pPr>
    </w:p>
    <w:p w14:paraId="77B4D59E" w14:textId="722778F8" w:rsidR="00AB45DE" w:rsidRDefault="00AB45DE" w:rsidP="00AB45DE">
      <w:pPr>
        <w:spacing w:line="264" w:lineRule="auto"/>
        <w:contextualSpacing/>
        <w:jc w:val="both"/>
        <w:rPr>
          <w:rFonts w:ascii="Arial" w:hAnsi="Arial" w:cs="Arial"/>
          <w:szCs w:val="24"/>
        </w:rPr>
      </w:pPr>
      <w:r w:rsidRPr="00004EDA">
        <w:rPr>
          <w:rFonts w:ascii="Arial" w:hAnsi="Arial" w:cs="Arial"/>
          <w:b/>
          <w:bCs/>
          <w:i/>
          <w:iCs/>
          <w:szCs w:val="24"/>
        </w:rPr>
        <w:t xml:space="preserve">King County Correctional Facility </w:t>
      </w:r>
      <w:r>
        <w:rPr>
          <w:rFonts w:ascii="Arial" w:hAnsi="Arial" w:cs="Arial"/>
          <w:b/>
          <w:bCs/>
          <w:i/>
          <w:iCs/>
          <w:szCs w:val="24"/>
        </w:rPr>
        <w:t xml:space="preserve">(KCCF) </w:t>
      </w:r>
      <w:r w:rsidRPr="00004EDA">
        <w:rPr>
          <w:rFonts w:ascii="Arial" w:hAnsi="Arial" w:cs="Arial"/>
          <w:b/>
          <w:bCs/>
          <w:i/>
          <w:iCs/>
          <w:szCs w:val="24"/>
        </w:rPr>
        <w:t xml:space="preserve">Security Door </w:t>
      </w:r>
      <w:r>
        <w:rPr>
          <w:rFonts w:ascii="Arial" w:hAnsi="Arial" w:cs="Arial"/>
          <w:b/>
          <w:bCs/>
          <w:i/>
          <w:iCs/>
          <w:szCs w:val="24"/>
        </w:rPr>
        <w:t>[</w:t>
      </w:r>
      <w:r w:rsidRPr="00004EDA">
        <w:rPr>
          <w:rFonts w:ascii="Arial" w:hAnsi="Arial" w:cs="Arial"/>
          <w:b/>
          <w:bCs/>
          <w:i/>
          <w:iCs/>
          <w:szCs w:val="24"/>
        </w:rPr>
        <w:t>$500,000</w:t>
      </w:r>
      <w:r>
        <w:rPr>
          <w:rFonts w:ascii="Arial" w:hAnsi="Arial" w:cs="Arial"/>
          <w:b/>
          <w:bCs/>
          <w:i/>
          <w:iCs/>
          <w:szCs w:val="24"/>
        </w:rPr>
        <w:t>]</w:t>
      </w:r>
      <w:r w:rsidRPr="00004EDA">
        <w:rPr>
          <w:rFonts w:ascii="Arial" w:hAnsi="Arial" w:cs="Arial"/>
          <w:b/>
          <w:bCs/>
          <w:i/>
          <w:iCs/>
          <w:szCs w:val="24"/>
        </w:rPr>
        <w:t>.</w:t>
      </w:r>
      <w:r>
        <w:rPr>
          <w:rFonts w:ascii="Arial" w:hAnsi="Arial" w:cs="Arial"/>
          <w:szCs w:val="24"/>
        </w:rPr>
        <w:t xml:space="preserve">  This </w:t>
      </w:r>
      <w:r w:rsidRPr="002938E3">
        <w:rPr>
          <w:rFonts w:ascii="Arial" w:hAnsi="Arial" w:cs="Arial"/>
          <w:szCs w:val="24"/>
        </w:rPr>
        <w:t xml:space="preserve">project </w:t>
      </w:r>
      <w:r>
        <w:rPr>
          <w:rFonts w:ascii="Arial" w:hAnsi="Arial" w:cs="Arial"/>
          <w:szCs w:val="24"/>
        </w:rPr>
        <w:t xml:space="preserve">would support the </w:t>
      </w:r>
      <w:r w:rsidRPr="002938E3">
        <w:rPr>
          <w:rFonts w:ascii="Arial" w:hAnsi="Arial" w:cs="Arial"/>
          <w:szCs w:val="24"/>
        </w:rPr>
        <w:t>installation of a</w:t>
      </w:r>
      <w:r>
        <w:rPr>
          <w:rFonts w:ascii="Arial" w:hAnsi="Arial" w:cs="Arial"/>
          <w:szCs w:val="24"/>
        </w:rPr>
        <w:t>n</w:t>
      </w:r>
      <w:r w:rsidRPr="002938E3">
        <w:rPr>
          <w:rFonts w:ascii="Arial" w:hAnsi="Arial" w:cs="Arial"/>
          <w:szCs w:val="24"/>
        </w:rPr>
        <w:t xml:space="preserve"> overhead </w:t>
      </w:r>
      <w:r>
        <w:rPr>
          <w:rFonts w:ascii="Arial" w:hAnsi="Arial" w:cs="Arial"/>
          <w:szCs w:val="24"/>
        </w:rPr>
        <w:t xml:space="preserve">(roll down shutter) </w:t>
      </w:r>
      <w:r w:rsidRPr="002938E3">
        <w:rPr>
          <w:rFonts w:ascii="Arial" w:hAnsi="Arial" w:cs="Arial"/>
          <w:szCs w:val="24"/>
        </w:rPr>
        <w:t xml:space="preserve">security door at the northwest entrance of the </w:t>
      </w:r>
      <w:r>
        <w:rPr>
          <w:rFonts w:ascii="Arial" w:hAnsi="Arial" w:cs="Arial"/>
          <w:szCs w:val="24"/>
        </w:rPr>
        <w:t>KCCF</w:t>
      </w:r>
      <w:r w:rsidRPr="002938E3">
        <w:rPr>
          <w:rFonts w:ascii="Arial" w:hAnsi="Arial" w:cs="Arial"/>
          <w:szCs w:val="24"/>
        </w:rPr>
        <w:t xml:space="preserve"> to prevent the occurrence of damage and vandalism to the existing public access area</w:t>
      </w:r>
      <w:r>
        <w:rPr>
          <w:rFonts w:ascii="Arial" w:hAnsi="Arial" w:cs="Arial"/>
          <w:szCs w:val="24"/>
        </w:rPr>
        <w:t xml:space="preserve">. </w:t>
      </w:r>
      <w:r w:rsidR="00B27E6F">
        <w:rPr>
          <w:rFonts w:ascii="Arial" w:hAnsi="Arial" w:cs="Arial"/>
          <w:szCs w:val="24"/>
        </w:rPr>
        <w:t xml:space="preserve"> </w:t>
      </w:r>
      <w:r>
        <w:rPr>
          <w:rFonts w:ascii="Arial" w:hAnsi="Arial" w:cs="Arial"/>
          <w:szCs w:val="24"/>
        </w:rPr>
        <w:t xml:space="preserve">Executive staff state that </w:t>
      </w:r>
      <w:r w:rsidRPr="005A58B4">
        <w:rPr>
          <w:rFonts w:ascii="Arial" w:hAnsi="Arial" w:cs="Arial"/>
          <w:szCs w:val="24"/>
        </w:rPr>
        <w:t xml:space="preserve">protest incidents in 2020 </w:t>
      </w:r>
      <w:r>
        <w:rPr>
          <w:rFonts w:ascii="Arial" w:hAnsi="Arial" w:cs="Arial"/>
          <w:szCs w:val="24"/>
        </w:rPr>
        <w:t>led to this proposal. The project would be paid by the General Fund.</w:t>
      </w:r>
    </w:p>
    <w:p w14:paraId="6F741797" w14:textId="5ACB30E3" w:rsidR="00AB45DE" w:rsidRDefault="00AB45DE" w:rsidP="00AB45DE">
      <w:pPr>
        <w:spacing w:line="264" w:lineRule="auto"/>
        <w:contextualSpacing/>
        <w:jc w:val="both"/>
        <w:rPr>
          <w:rFonts w:ascii="Arial" w:hAnsi="Arial" w:cs="Arial"/>
          <w:szCs w:val="24"/>
        </w:rPr>
      </w:pPr>
    </w:p>
    <w:p w14:paraId="401F5F50" w14:textId="77777777" w:rsidR="00765EE6" w:rsidRDefault="00765EE6" w:rsidP="00AB45DE">
      <w:pPr>
        <w:spacing w:line="264" w:lineRule="auto"/>
        <w:contextualSpacing/>
        <w:jc w:val="both"/>
        <w:rPr>
          <w:rFonts w:ascii="Arial" w:hAnsi="Arial" w:cs="Arial"/>
          <w:szCs w:val="24"/>
        </w:rPr>
      </w:pPr>
    </w:p>
    <w:p w14:paraId="1EA6389E"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t>FMD Capital – Major Maintenance Reserve Fund (MMRF)</w:t>
      </w:r>
      <w:r w:rsidRPr="000E7446">
        <w:rPr>
          <w:rFonts w:ascii="Arial" w:hAnsi="Arial" w:cs="Arial"/>
          <w:b/>
          <w:u w:val="single"/>
        </w:rPr>
        <w:tab/>
      </w:r>
      <w:r>
        <w:rPr>
          <w:rFonts w:ascii="Arial" w:hAnsi="Arial" w:cs="Arial"/>
          <w:b/>
          <w:u w:val="single"/>
        </w:rPr>
        <w:t>$</w:t>
      </w:r>
      <w:r w:rsidRPr="00A86BED">
        <w:rPr>
          <w:rFonts w:ascii="Arial" w:hAnsi="Arial" w:cs="Arial"/>
          <w:b/>
          <w:u w:val="single"/>
        </w:rPr>
        <w:t>4,272,876</w:t>
      </w:r>
    </w:p>
    <w:p w14:paraId="69D6B6B3" w14:textId="77777777" w:rsidR="00AB45DE" w:rsidRDefault="00AB45DE" w:rsidP="00AB45DE">
      <w:pPr>
        <w:spacing w:line="264" w:lineRule="auto"/>
        <w:contextualSpacing/>
        <w:jc w:val="both"/>
        <w:rPr>
          <w:b/>
        </w:rPr>
      </w:pPr>
    </w:p>
    <w:p w14:paraId="470F15EB" w14:textId="77777777" w:rsidR="00AB45DE" w:rsidRDefault="00AB45DE" w:rsidP="00AB45DE">
      <w:pPr>
        <w:spacing w:line="264" w:lineRule="auto"/>
        <w:contextualSpacing/>
        <w:jc w:val="both"/>
        <w:rPr>
          <w:rFonts w:ascii="Arial" w:hAnsi="Arial" w:cs="Arial"/>
        </w:rPr>
      </w:pPr>
      <w:r>
        <w:rPr>
          <w:rFonts w:ascii="Arial" w:hAnsi="Arial" w:cs="Arial"/>
        </w:rPr>
        <w:t>The following table provides a summary of the key projects included in the proposed ordinance for MMRF which would be funded by a combination of remaining fund balance, General Fund, and FMD operating moneys.</w:t>
      </w:r>
    </w:p>
    <w:p w14:paraId="28C8C219" w14:textId="77777777" w:rsidR="00AB45DE" w:rsidRDefault="00AB45DE" w:rsidP="00AB45DE">
      <w:pPr>
        <w:spacing w:line="264" w:lineRule="auto"/>
        <w:contextualSpacing/>
        <w:jc w:val="both"/>
        <w:rPr>
          <w:rFonts w:ascii="Arial" w:hAnsi="Arial" w:cs="Arial"/>
        </w:rPr>
      </w:pPr>
    </w:p>
    <w:tbl>
      <w:tblPr>
        <w:tblStyle w:val="TableGrid"/>
        <w:tblW w:w="9360" w:type="dxa"/>
        <w:jc w:val="center"/>
        <w:tblLook w:val="04A0" w:firstRow="1" w:lastRow="0" w:firstColumn="1" w:lastColumn="0" w:noHBand="0" w:noVBand="1"/>
      </w:tblPr>
      <w:tblGrid>
        <w:gridCol w:w="571"/>
        <w:gridCol w:w="238"/>
        <w:gridCol w:w="6950"/>
        <w:gridCol w:w="269"/>
        <w:gridCol w:w="1332"/>
      </w:tblGrid>
      <w:tr w:rsidR="00AB45DE" w:rsidRPr="008D0300" w14:paraId="43757044" w14:textId="77777777" w:rsidTr="00660E25">
        <w:trPr>
          <w:cantSplit/>
          <w:trHeight w:val="411"/>
          <w:tblHeader/>
          <w:jc w:val="center"/>
        </w:trPr>
        <w:tc>
          <w:tcPr>
            <w:tcW w:w="571" w:type="dxa"/>
            <w:tcBorders>
              <w:top w:val="single" w:sz="12" w:space="0" w:color="auto"/>
              <w:left w:val="nil"/>
              <w:bottom w:val="single" w:sz="4" w:space="0" w:color="auto"/>
              <w:right w:val="nil"/>
            </w:tcBorders>
            <w:vAlign w:val="center"/>
          </w:tcPr>
          <w:p w14:paraId="38CAF7DF" w14:textId="77777777" w:rsidR="00AB45DE" w:rsidRDefault="00AB45DE" w:rsidP="00E34BBA">
            <w:pPr>
              <w:keepNext/>
              <w:rPr>
                <w:rFonts w:ascii="Arial" w:hAnsi="Arial" w:cs="Arial"/>
                <w:b/>
                <w:sz w:val="22"/>
                <w:szCs w:val="22"/>
              </w:rPr>
            </w:pPr>
            <w:r>
              <w:rPr>
                <w:rFonts w:ascii="Arial" w:hAnsi="Arial" w:cs="Arial"/>
                <w:b/>
                <w:sz w:val="22"/>
                <w:szCs w:val="22"/>
              </w:rPr>
              <w:t>No.</w:t>
            </w:r>
          </w:p>
        </w:tc>
        <w:tc>
          <w:tcPr>
            <w:tcW w:w="239" w:type="dxa"/>
            <w:tcBorders>
              <w:top w:val="single" w:sz="12" w:space="0" w:color="auto"/>
              <w:left w:val="nil"/>
              <w:bottom w:val="nil"/>
              <w:right w:val="nil"/>
            </w:tcBorders>
          </w:tcPr>
          <w:p w14:paraId="5D940817" w14:textId="77777777" w:rsidR="00AB45DE" w:rsidRDefault="00AB45DE" w:rsidP="00E34BBA">
            <w:pPr>
              <w:keepNext/>
              <w:rPr>
                <w:rFonts w:ascii="Arial" w:hAnsi="Arial" w:cs="Arial"/>
                <w:b/>
                <w:sz w:val="22"/>
                <w:szCs w:val="22"/>
              </w:rPr>
            </w:pPr>
          </w:p>
        </w:tc>
        <w:tc>
          <w:tcPr>
            <w:tcW w:w="7110" w:type="dxa"/>
            <w:tcBorders>
              <w:top w:val="single" w:sz="12" w:space="0" w:color="auto"/>
              <w:left w:val="nil"/>
              <w:bottom w:val="single" w:sz="4" w:space="0" w:color="auto"/>
              <w:right w:val="nil"/>
            </w:tcBorders>
            <w:shd w:val="clear" w:color="auto" w:fill="auto"/>
            <w:vAlign w:val="center"/>
          </w:tcPr>
          <w:p w14:paraId="130751A5" w14:textId="77777777" w:rsidR="00AB45DE" w:rsidRPr="008D0300" w:rsidRDefault="00AB45DE" w:rsidP="00E34BBA">
            <w:pPr>
              <w:keepNext/>
              <w:rPr>
                <w:rFonts w:ascii="Arial" w:hAnsi="Arial" w:cs="Arial"/>
                <w:b/>
                <w:sz w:val="22"/>
                <w:szCs w:val="22"/>
              </w:rPr>
            </w:pPr>
            <w:r>
              <w:rPr>
                <w:rFonts w:ascii="Arial" w:hAnsi="Arial" w:cs="Arial"/>
                <w:b/>
                <w:sz w:val="22"/>
                <w:szCs w:val="22"/>
              </w:rPr>
              <w:t>Descriptions</w:t>
            </w:r>
          </w:p>
        </w:tc>
        <w:tc>
          <w:tcPr>
            <w:tcW w:w="270" w:type="dxa"/>
            <w:tcBorders>
              <w:top w:val="single" w:sz="12" w:space="0" w:color="auto"/>
              <w:left w:val="nil"/>
              <w:bottom w:val="nil"/>
              <w:right w:val="nil"/>
            </w:tcBorders>
          </w:tcPr>
          <w:p w14:paraId="1AD3E103" w14:textId="77777777" w:rsidR="00AB45DE" w:rsidRDefault="00AB45DE" w:rsidP="00E34BBA">
            <w:pPr>
              <w:keepNext/>
              <w:jc w:val="center"/>
              <w:rPr>
                <w:rFonts w:ascii="Arial" w:hAnsi="Arial" w:cs="Arial"/>
                <w:b/>
                <w:sz w:val="22"/>
                <w:szCs w:val="22"/>
              </w:rPr>
            </w:pPr>
          </w:p>
        </w:tc>
        <w:tc>
          <w:tcPr>
            <w:tcW w:w="1170" w:type="dxa"/>
            <w:tcBorders>
              <w:top w:val="single" w:sz="12" w:space="0" w:color="auto"/>
              <w:left w:val="nil"/>
              <w:bottom w:val="single" w:sz="4" w:space="0" w:color="auto"/>
              <w:right w:val="single" w:sz="2" w:space="0" w:color="FFFFFF" w:themeColor="background1"/>
            </w:tcBorders>
            <w:vAlign w:val="center"/>
          </w:tcPr>
          <w:p w14:paraId="4D6C0129" w14:textId="77777777" w:rsidR="00AB45DE" w:rsidRPr="008D0300" w:rsidRDefault="00AB45DE" w:rsidP="00E34BBA">
            <w:pPr>
              <w:keepNext/>
              <w:jc w:val="center"/>
              <w:rPr>
                <w:rFonts w:ascii="Arial" w:hAnsi="Arial" w:cs="Arial"/>
                <w:b/>
                <w:sz w:val="22"/>
                <w:szCs w:val="22"/>
              </w:rPr>
            </w:pPr>
            <w:r>
              <w:rPr>
                <w:rFonts w:ascii="Arial" w:hAnsi="Arial" w:cs="Arial"/>
                <w:b/>
                <w:sz w:val="22"/>
                <w:szCs w:val="22"/>
              </w:rPr>
              <w:t>Amount</w:t>
            </w:r>
          </w:p>
        </w:tc>
      </w:tr>
      <w:tr w:rsidR="00AB45DE" w:rsidRPr="008D0300" w14:paraId="51B367ED" w14:textId="77777777" w:rsidTr="00660E25">
        <w:trPr>
          <w:cantSplit/>
          <w:jc w:val="center"/>
        </w:trPr>
        <w:tc>
          <w:tcPr>
            <w:tcW w:w="571" w:type="dxa"/>
            <w:tcBorders>
              <w:top w:val="single" w:sz="4" w:space="0" w:color="auto"/>
              <w:left w:val="nil"/>
              <w:bottom w:val="nil"/>
              <w:right w:val="nil"/>
            </w:tcBorders>
          </w:tcPr>
          <w:p w14:paraId="0B60A989" w14:textId="77777777" w:rsidR="00AB45DE" w:rsidRPr="002B74F1" w:rsidRDefault="00AB45DE" w:rsidP="00E34BBA">
            <w:pPr>
              <w:rPr>
                <w:rFonts w:ascii="Arial" w:hAnsi="Arial" w:cs="Arial"/>
                <w:sz w:val="22"/>
                <w:szCs w:val="22"/>
              </w:rPr>
            </w:pPr>
            <w:r w:rsidRPr="002B74F1">
              <w:rPr>
                <w:rFonts w:ascii="Arial" w:hAnsi="Arial" w:cs="Arial"/>
                <w:sz w:val="22"/>
                <w:szCs w:val="22"/>
              </w:rPr>
              <w:t>1</w:t>
            </w:r>
          </w:p>
        </w:tc>
        <w:tc>
          <w:tcPr>
            <w:tcW w:w="239" w:type="dxa"/>
            <w:tcBorders>
              <w:top w:val="nil"/>
              <w:left w:val="nil"/>
              <w:bottom w:val="nil"/>
              <w:right w:val="nil"/>
            </w:tcBorders>
          </w:tcPr>
          <w:p w14:paraId="1654B587" w14:textId="77777777" w:rsidR="00AB45DE" w:rsidRPr="002B74F1" w:rsidRDefault="00AB45DE" w:rsidP="00E34BBA">
            <w:pPr>
              <w:rPr>
                <w:rFonts w:ascii="Arial" w:hAnsi="Arial" w:cs="Arial"/>
                <w:sz w:val="22"/>
                <w:szCs w:val="22"/>
              </w:rPr>
            </w:pPr>
          </w:p>
        </w:tc>
        <w:tc>
          <w:tcPr>
            <w:tcW w:w="7110" w:type="dxa"/>
            <w:tcBorders>
              <w:top w:val="single" w:sz="4" w:space="0" w:color="auto"/>
              <w:left w:val="nil"/>
              <w:bottom w:val="nil"/>
              <w:right w:val="nil"/>
            </w:tcBorders>
            <w:tcMar>
              <w:top w:w="72" w:type="dxa"/>
              <w:left w:w="115" w:type="dxa"/>
              <w:bottom w:w="72" w:type="dxa"/>
              <w:right w:w="115" w:type="dxa"/>
            </w:tcMar>
          </w:tcPr>
          <w:p w14:paraId="4AC4BDD4" w14:textId="77777777" w:rsidR="00AB45DE" w:rsidRPr="002B74F1" w:rsidRDefault="00AB45DE" w:rsidP="00E34BBA">
            <w:pPr>
              <w:spacing w:line="264" w:lineRule="auto"/>
              <w:rPr>
                <w:rFonts w:ascii="Arial" w:hAnsi="Arial" w:cs="Arial"/>
                <w:sz w:val="22"/>
                <w:szCs w:val="22"/>
              </w:rPr>
            </w:pPr>
            <w:r w:rsidRPr="00C75C41">
              <w:rPr>
                <w:rFonts w:ascii="Arial" w:hAnsi="Arial" w:cs="Arial"/>
                <w:sz w:val="22"/>
                <w:szCs w:val="22"/>
                <w:u w:val="single"/>
              </w:rPr>
              <w:t>HVAC Study at R</w:t>
            </w:r>
            <w:r>
              <w:rPr>
                <w:rFonts w:ascii="Arial" w:hAnsi="Arial" w:cs="Arial"/>
                <w:sz w:val="22"/>
                <w:szCs w:val="22"/>
                <w:u w:val="single"/>
              </w:rPr>
              <w:t>C</w:t>
            </w:r>
            <w:r w:rsidRPr="00C75C41">
              <w:rPr>
                <w:rFonts w:ascii="Arial" w:hAnsi="Arial" w:cs="Arial"/>
                <w:sz w:val="22"/>
                <w:szCs w:val="22"/>
                <w:u w:val="single"/>
              </w:rPr>
              <w:t>ECC and Chinook</w:t>
            </w:r>
            <w:r w:rsidRPr="002B74F1">
              <w:rPr>
                <w:rFonts w:ascii="Arial" w:hAnsi="Arial" w:cs="Arial"/>
                <w:sz w:val="22"/>
                <w:szCs w:val="22"/>
              </w:rPr>
              <w:t xml:space="preserve"> </w:t>
            </w:r>
            <w:r>
              <w:rPr>
                <w:rFonts w:ascii="Arial" w:hAnsi="Arial" w:cs="Arial"/>
                <w:sz w:val="22"/>
                <w:szCs w:val="22"/>
              </w:rPr>
              <w:t xml:space="preserve">– This project would support consultants to assess the </w:t>
            </w:r>
            <w:proofErr w:type="spellStart"/>
            <w:r>
              <w:rPr>
                <w:rFonts w:ascii="Arial" w:hAnsi="Arial" w:cs="Arial"/>
                <w:sz w:val="22"/>
                <w:szCs w:val="22"/>
              </w:rPr>
              <w:t>dysfunctioning</w:t>
            </w:r>
            <w:proofErr w:type="spellEnd"/>
            <w:r>
              <w:rPr>
                <w:rFonts w:ascii="Arial" w:hAnsi="Arial" w:cs="Arial"/>
                <w:sz w:val="22"/>
                <w:szCs w:val="22"/>
              </w:rPr>
              <w:t xml:space="preserve"> HVAC systems </w:t>
            </w:r>
            <w:r w:rsidRPr="00AA1CB7">
              <w:rPr>
                <w:rFonts w:ascii="Arial" w:hAnsi="Arial" w:cs="Arial"/>
                <w:sz w:val="22"/>
                <w:szCs w:val="22"/>
              </w:rPr>
              <w:t>at the Regional Communications and Emergency Coordination Center (RCECC) and the Chinook Building to develop recommended improvements</w:t>
            </w:r>
            <w:r>
              <w:rPr>
                <w:rFonts w:ascii="Arial" w:hAnsi="Arial" w:cs="Arial"/>
                <w:sz w:val="22"/>
                <w:szCs w:val="22"/>
              </w:rPr>
              <w:t xml:space="preserve"> in preparation for the development of the 2023-2024 budget.</w:t>
            </w:r>
          </w:p>
        </w:tc>
        <w:tc>
          <w:tcPr>
            <w:tcW w:w="270" w:type="dxa"/>
            <w:tcBorders>
              <w:top w:val="nil"/>
              <w:left w:val="nil"/>
              <w:bottom w:val="nil"/>
              <w:right w:val="nil"/>
            </w:tcBorders>
          </w:tcPr>
          <w:p w14:paraId="78B35A49" w14:textId="77777777" w:rsidR="00AB45DE" w:rsidRDefault="00AB45DE" w:rsidP="00E34BBA">
            <w:pPr>
              <w:jc w:val="right"/>
              <w:rPr>
                <w:rFonts w:ascii="Arial" w:hAnsi="Arial" w:cs="Arial"/>
                <w:sz w:val="22"/>
                <w:szCs w:val="22"/>
              </w:rPr>
            </w:pPr>
          </w:p>
        </w:tc>
        <w:tc>
          <w:tcPr>
            <w:tcW w:w="117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139B8E6B" w14:textId="77777777" w:rsidR="00AB45DE" w:rsidRPr="008D0300" w:rsidRDefault="00AB45DE" w:rsidP="00E34BBA">
            <w:pPr>
              <w:jc w:val="right"/>
              <w:rPr>
                <w:rFonts w:ascii="Arial" w:hAnsi="Arial" w:cs="Arial"/>
                <w:sz w:val="22"/>
                <w:szCs w:val="22"/>
              </w:rPr>
            </w:pPr>
            <w:r>
              <w:rPr>
                <w:rFonts w:ascii="Arial" w:hAnsi="Arial" w:cs="Arial"/>
                <w:sz w:val="22"/>
                <w:szCs w:val="22"/>
              </w:rPr>
              <w:t>$350,000</w:t>
            </w:r>
          </w:p>
        </w:tc>
      </w:tr>
      <w:tr w:rsidR="00AB45DE" w:rsidRPr="001D1A7E" w14:paraId="04D38F6D" w14:textId="77777777" w:rsidTr="00E34BBA">
        <w:trPr>
          <w:cantSplit/>
          <w:jc w:val="center"/>
        </w:trPr>
        <w:tc>
          <w:tcPr>
            <w:tcW w:w="571" w:type="dxa"/>
            <w:tcBorders>
              <w:top w:val="nil"/>
              <w:left w:val="nil"/>
              <w:bottom w:val="nil"/>
              <w:right w:val="nil"/>
            </w:tcBorders>
          </w:tcPr>
          <w:p w14:paraId="6AA6CCC1" w14:textId="77777777" w:rsidR="00AB45DE" w:rsidRPr="002B74F1" w:rsidRDefault="00AB45DE" w:rsidP="00E34BBA">
            <w:pPr>
              <w:rPr>
                <w:rFonts w:ascii="Arial" w:hAnsi="Arial" w:cs="Arial"/>
                <w:sz w:val="22"/>
                <w:szCs w:val="22"/>
              </w:rPr>
            </w:pPr>
            <w:r w:rsidRPr="002B74F1">
              <w:rPr>
                <w:rFonts w:ascii="Arial" w:hAnsi="Arial" w:cs="Arial"/>
                <w:sz w:val="22"/>
                <w:szCs w:val="22"/>
              </w:rPr>
              <w:lastRenderedPageBreak/>
              <w:t>2</w:t>
            </w:r>
          </w:p>
        </w:tc>
        <w:tc>
          <w:tcPr>
            <w:tcW w:w="239" w:type="dxa"/>
            <w:tcBorders>
              <w:top w:val="nil"/>
              <w:left w:val="nil"/>
              <w:bottom w:val="nil"/>
              <w:right w:val="nil"/>
            </w:tcBorders>
          </w:tcPr>
          <w:p w14:paraId="1C0A0A44" w14:textId="77777777" w:rsidR="00AB45DE" w:rsidRPr="002B74F1" w:rsidRDefault="00AB45DE" w:rsidP="00E34BBA">
            <w:pPr>
              <w:rPr>
                <w:rFonts w:ascii="Arial" w:hAnsi="Arial" w:cs="Arial"/>
                <w:sz w:val="22"/>
                <w:szCs w:val="22"/>
              </w:rPr>
            </w:pPr>
          </w:p>
        </w:tc>
        <w:tc>
          <w:tcPr>
            <w:tcW w:w="7110" w:type="dxa"/>
            <w:tcBorders>
              <w:top w:val="nil"/>
              <w:left w:val="nil"/>
              <w:bottom w:val="nil"/>
              <w:right w:val="nil"/>
            </w:tcBorders>
            <w:tcMar>
              <w:top w:w="72" w:type="dxa"/>
              <w:left w:w="115" w:type="dxa"/>
              <w:bottom w:w="72" w:type="dxa"/>
              <w:right w:w="115" w:type="dxa"/>
            </w:tcMar>
          </w:tcPr>
          <w:p w14:paraId="483899BC" w14:textId="77777777" w:rsidR="00AB45DE" w:rsidRPr="002B74F1" w:rsidRDefault="00AB45DE" w:rsidP="00E34BBA">
            <w:pPr>
              <w:spacing w:line="264" w:lineRule="auto"/>
              <w:rPr>
                <w:rFonts w:ascii="Arial" w:hAnsi="Arial" w:cs="Arial"/>
                <w:sz w:val="22"/>
                <w:szCs w:val="22"/>
              </w:rPr>
            </w:pPr>
            <w:r w:rsidRPr="00A86BED">
              <w:rPr>
                <w:rFonts w:ascii="Arial" w:hAnsi="Arial" w:cs="Arial"/>
                <w:sz w:val="22"/>
                <w:szCs w:val="22"/>
                <w:u w:val="single"/>
              </w:rPr>
              <w:t>Downtown Courthouse Boiler Controls</w:t>
            </w:r>
            <w:r>
              <w:rPr>
                <w:rFonts w:ascii="Arial" w:hAnsi="Arial" w:cs="Arial"/>
                <w:sz w:val="22"/>
                <w:szCs w:val="22"/>
              </w:rPr>
              <w:t xml:space="preserve"> – This project would support the replacement of b</w:t>
            </w:r>
            <w:r w:rsidRPr="008E2F98">
              <w:rPr>
                <w:rFonts w:ascii="Arial" w:hAnsi="Arial" w:cs="Arial"/>
                <w:sz w:val="22"/>
                <w:szCs w:val="22"/>
              </w:rPr>
              <w:t xml:space="preserve">oiler controls </w:t>
            </w:r>
            <w:r>
              <w:rPr>
                <w:rFonts w:ascii="Arial" w:hAnsi="Arial" w:cs="Arial"/>
                <w:sz w:val="22"/>
                <w:szCs w:val="22"/>
              </w:rPr>
              <w:t xml:space="preserve">in the courthouse which </w:t>
            </w:r>
            <w:r w:rsidRPr="008E2F98">
              <w:rPr>
                <w:rFonts w:ascii="Arial" w:hAnsi="Arial" w:cs="Arial"/>
                <w:sz w:val="22"/>
                <w:szCs w:val="22"/>
              </w:rPr>
              <w:t xml:space="preserve">have reached the end </w:t>
            </w:r>
            <w:r>
              <w:rPr>
                <w:rFonts w:ascii="Arial" w:hAnsi="Arial" w:cs="Arial"/>
                <w:sz w:val="22"/>
                <w:szCs w:val="22"/>
              </w:rPr>
              <w:t>of its useful life</w:t>
            </w:r>
            <w:r w:rsidRPr="008E2F98">
              <w:rPr>
                <w:rFonts w:ascii="Arial" w:hAnsi="Arial" w:cs="Arial"/>
                <w:sz w:val="22"/>
                <w:szCs w:val="22"/>
              </w:rPr>
              <w:t xml:space="preserve"> and are not integrated into automated monitoring and control</w:t>
            </w:r>
            <w:r>
              <w:rPr>
                <w:rFonts w:ascii="Arial" w:hAnsi="Arial" w:cs="Arial"/>
                <w:sz w:val="22"/>
                <w:szCs w:val="22"/>
              </w:rPr>
              <w:t xml:space="preserve"> system</w:t>
            </w:r>
            <w:r w:rsidRPr="008E2F98">
              <w:rPr>
                <w:rFonts w:ascii="Arial" w:hAnsi="Arial" w:cs="Arial"/>
                <w:sz w:val="22"/>
                <w:szCs w:val="22"/>
              </w:rPr>
              <w:t xml:space="preserve">. </w:t>
            </w:r>
            <w:r>
              <w:rPr>
                <w:rFonts w:ascii="Arial" w:hAnsi="Arial" w:cs="Arial"/>
                <w:sz w:val="22"/>
                <w:szCs w:val="22"/>
              </w:rPr>
              <w:t>The r</w:t>
            </w:r>
            <w:r w:rsidRPr="008E2F98">
              <w:rPr>
                <w:rFonts w:ascii="Arial" w:hAnsi="Arial" w:cs="Arial"/>
                <w:sz w:val="22"/>
                <w:szCs w:val="22"/>
              </w:rPr>
              <w:t xml:space="preserve">eplacement </w:t>
            </w:r>
            <w:r>
              <w:rPr>
                <w:rFonts w:ascii="Arial" w:hAnsi="Arial" w:cs="Arial"/>
                <w:sz w:val="22"/>
                <w:szCs w:val="22"/>
              </w:rPr>
              <w:t xml:space="preserve">would also </w:t>
            </w:r>
            <w:r w:rsidRPr="008E2F98">
              <w:rPr>
                <w:rFonts w:ascii="Arial" w:hAnsi="Arial" w:cs="Arial"/>
                <w:sz w:val="22"/>
                <w:szCs w:val="22"/>
              </w:rPr>
              <w:t>bring</w:t>
            </w:r>
            <w:r>
              <w:rPr>
                <w:rFonts w:ascii="Arial" w:hAnsi="Arial" w:cs="Arial"/>
                <w:sz w:val="22"/>
                <w:szCs w:val="22"/>
              </w:rPr>
              <w:t xml:space="preserve"> the system into</w:t>
            </w:r>
            <w:r w:rsidRPr="008E2F98">
              <w:rPr>
                <w:rFonts w:ascii="Arial" w:hAnsi="Arial" w:cs="Arial"/>
                <w:sz w:val="22"/>
                <w:szCs w:val="22"/>
              </w:rPr>
              <w:t xml:space="preserve"> energy compliance and integration with overall system monitoring and maintenance.</w:t>
            </w:r>
            <w:r>
              <w:rPr>
                <w:rFonts w:ascii="Arial" w:hAnsi="Arial" w:cs="Arial"/>
                <w:sz w:val="22"/>
                <w:szCs w:val="22"/>
              </w:rPr>
              <w:t xml:space="preserve"> Executive staff state that this project has already started </w:t>
            </w:r>
            <w:r w:rsidRPr="00803BCC">
              <w:rPr>
                <w:rFonts w:ascii="Arial" w:hAnsi="Arial" w:cs="Arial"/>
                <w:sz w:val="22"/>
                <w:szCs w:val="22"/>
              </w:rPr>
              <w:t xml:space="preserve">to avoid heating system interruption at the </w:t>
            </w:r>
            <w:r>
              <w:rPr>
                <w:rFonts w:ascii="Arial" w:hAnsi="Arial" w:cs="Arial"/>
                <w:sz w:val="22"/>
                <w:szCs w:val="22"/>
              </w:rPr>
              <w:t>courthouse.</w:t>
            </w:r>
          </w:p>
        </w:tc>
        <w:tc>
          <w:tcPr>
            <w:tcW w:w="270" w:type="dxa"/>
            <w:tcBorders>
              <w:top w:val="nil"/>
              <w:left w:val="nil"/>
              <w:bottom w:val="nil"/>
              <w:right w:val="nil"/>
            </w:tcBorders>
          </w:tcPr>
          <w:p w14:paraId="3E6EA2A1" w14:textId="77777777" w:rsidR="00AB45DE" w:rsidRPr="001D1A7E" w:rsidRDefault="00AB45DE" w:rsidP="00E34BBA">
            <w:pPr>
              <w:jc w:val="right"/>
              <w:rPr>
                <w:rFonts w:ascii="Arial" w:hAnsi="Arial" w:cs="Arial"/>
                <w:color w:val="C0504D" w:themeColor="accent2"/>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3561D274" w14:textId="77777777" w:rsidR="00AB45DE" w:rsidRPr="002B74F1" w:rsidRDefault="00AB45DE" w:rsidP="00E34BBA">
            <w:pPr>
              <w:jc w:val="right"/>
              <w:rPr>
                <w:rFonts w:ascii="Arial" w:hAnsi="Arial" w:cs="Arial"/>
                <w:sz w:val="22"/>
                <w:szCs w:val="22"/>
              </w:rPr>
            </w:pPr>
            <w:r w:rsidRPr="002B74F1">
              <w:rPr>
                <w:rFonts w:ascii="Arial" w:hAnsi="Arial" w:cs="Arial"/>
                <w:sz w:val="22"/>
                <w:szCs w:val="22"/>
              </w:rPr>
              <w:t>$</w:t>
            </w:r>
            <w:r>
              <w:rPr>
                <w:rFonts w:ascii="Arial" w:hAnsi="Arial" w:cs="Arial"/>
                <w:sz w:val="22"/>
                <w:szCs w:val="22"/>
              </w:rPr>
              <w:t>557,000</w:t>
            </w:r>
          </w:p>
        </w:tc>
      </w:tr>
      <w:tr w:rsidR="00AB45DE" w:rsidRPr="001D1A7E" w14:paraId="11818081" w14:textId="77777777" w:rsidTr="00E34BBA">
        <w:trPr>
          <w:cantSplit/>
          <w:jc w:val="center"/>
        </w:trPr>
        <w:tc>
          <w:tcPr>
            <w:tcW w:w="571" w:type="dxa"/>
            <w:tcBorders>
              <w:top w:val="nil"/>
              <w:left w:val="nil"/>
              <w:bottom w:val="nil"/>
              <w:right w:val="nil"/>
            </w:tcBorders>
          </w:tcPr>
          <w:p w14:paraId="4331EF8F" w14:textId="77777777" w:rsidR="00AB45DE" w:rsidRPr="002B74F1" w:rsidRDefault="00AB45DE" w:rsidP="00E34BBA">
            <w:pPr>
              <w:rPr>
                <w:rFonts w:ascii="Arial" w:hAnsi="Arial" w:cs="Arial"/>
                <w:sz w:val="22"/>
                <w:szCs w:val="22"/>
              </w:rPr>
            </w:pPr>
            <w:r w:rsidRPr="002B74F1">
              <w:rPr>
                <w:rFonts w:ascii="Arial" w:hAnsi="Arial" w:cs="Arial"/>
                <w:sz w:val="22"/>
                <w:szCs w:val="22"/>
              </w:rPr>
              <w:t>3</w:t>
            </w:r>
          </w:p>
        </w:tc>
        <w:tc>
          <w:tcPr>
            <w:tcW w:w="239" w:type="dxa"/>
            <w:tcBorders>
              <w:top w:val="nil"/>
              <w:left w:val="nil"/>
              <w:bottom w:val="nil"/>
              <w:right w:val="nil"/>
            </w:tcBorders>
          </w:tcPr>
          <w:p w14:paraId="6DC02C2B" w14:textId="77777777" w:rsidR="00AB45DE" w:rsidRPr="002B74F1" w:rsidRDefault="00AB45DE" w:rsidP="00E34BBA">
            <w:pPr>
              <w:rPr>
                <w:rFonts w:ascii="Arial" w:hAnsi="Arial" w:cs="Arial"/>
                <w:sz w:val="22"/>
                <w:szCs w:val="22"/>
              </w:rPr>
            </w:pPr>
          </w:p>
        </w:tc>
        <w:tc>
          <w:tcPr>
            <w:tcW w:w="7110" w:type="dxa"/>
            <w:tcBorders>
              <w:top w:val="nil"/>
              <w:left w:val="nil"/>
              <w:bottom w:val="nil"/>
              <w:right w:val="nil"/>
            </w:tcBorders>
            <w:tcMar>
              <w:top w:w="72" w:type="dxa"/>
              <w:left w:w="115" w:type="dxa"/>
              <w:bottom w:w="72" w:type="dxa"/>
              <w:right w:w="115" w:type="dxa"/>
            </w:tcMar>
          </w:tcPr>
          <w:p w14:paraId="006B6B0E" w14:textId="77777777" w:rsidR="00AB45DE" w:rsidRPr="002B74F1" w:rsidRDefault="00AB45DE" w:rsidP="00E34BBA">
            <w:pPr>
              <w:spacing w:line="264" w:lineRule="auto"/>
              <w:rPr>
                <w:rFonts w:ascii="Arial" w:hAnsi="Arial" w:cs="Arial"/>
                <w:sz w:val="22"/>
                <w:szCs w:val="22"/>
              </w:rPr>
            </w:pPr>
            <w:r w:rsidRPr="004F1E8E">
              <w:rPr>
                <w:rFonts w:ascii="Arial" w:hAnsi="Arial" w:cs="Arial"/>
                <w:sz w:val="22"/>
                <w:szCs w:val="22"/>
                <w:u w:val="single"/>
              </w:rPr>
              <w:t xml:space="preserve">Downtown Courthouse </w:t>
            </w:r>
            <w:r>
              <w:rPr>
                <w:rFonts w:ascii="Arial" w:hAnsi="Arial" w:cs="Arial"/>
                <w:sz w:val="22"/>
                <w:szCs w:val="22"/>
                <w:u w:val="single"/>
              </w:rPr>
              <w:t>Water Damage</w:t>
            </w:r>
            <w:r>
              <w:rPr>
                <w:rFonts w:ascii="Arial" w:hAnsi="Arial" w:cs="Arial"/>
                <w:sz w:val="22"/>
                <w:szCs w:val="22"/>
              </w:rPr>
              <w:t xml:space="preserve"> – This project would support the repair of a broken water line on the 1</w:t>
            </w:r>
            <w:r w:rsidRPr="00164092">
              <w:rPr>
                <w:rFonts w:ascii="Arial" w:hAnsi="Arial" w:cs="Arial"/>
                <w:sz w:val="22"/>
                <w:szCs w:val="22"/>
                <w:vertAlign w:val="superscript"/>
              </w:rPr>
              <w:t>st</w:t>
            </w:r>
            <w:r>
              <w:rPr>
                <w:rFonts w:ascii="Arial" w:hAnsi="Arial" w:cs="Arial"/>
                <w:sz w:val="22"/>
                <w:szCs w:val="22"/>
              </w:rPr>
              <w:t xml:space="preserve"> Floor on the west side of the courthouse that occurred in September 2020. This project would also support the replacement of damaged ceiling tile and carpet.</w:t>
            </w:r>
          </w:p>
        </w:tc>
        <w:tc>
          <w:tcPr>
            <w:tcW w:w="270" w:type="dxa"/>
            <w:tcBorders>
              <w:top w:val="nil"/>
              <w:left w:val="nil"/>
              <w:bottom w:val="nil"/>
              <w:right w:val="nil"/>
            </w:tcBorders>
          </w:tcPr>
          <w:p w14:paraId="33F6AE43" w14:textId="77777777" w:rsidR="00AB45DE" w:rsidRPr="001D1A7E" w:rsidRDefault="00AB45DE" w:rsidP="00E34BBA">
            <w:pPr>
              <w:jc w:val="right"/>
              <w:rPr>
                <w:rFonts w:ascii="Arial" w:hAnsi="Arial" w:cs="Arial"/>
                <w:color w:val="C0504D" w:themeColor="accent2"/>
                <w:sz w:val="22"/>
                <w:szCs w:val="22"/>
              </w:rPr>
            </w:pPr>
          </w:p>
        </w:tc>
        <w:tc>
          <w:tcPr>
            <w:tcW w:w="1170" w:type="dxa"/>
            <w:tcBorders>
              <w:top w:val="nil"/>
              <w:left w:val="nil"/>
              <w:bottom w:val="nil"/>
              <w:right w:val="single" w:sz="2" w:space="0" w:color="FFFFFF" w:themeColor="background1"/>
            </w:tcBorders>
            <w:tcMar>
              <w:top w:w="72" w:type="dxa"/>
              <w:left w:w="115" w:type="dxa"/>
              <w:bottom w:w="72" w:type="dxa"/>
              <w:right w:w="115" w:type="dxa"/>
            </w:tcMar>
          </w:tcPr>
          <w:p w14:paraId="19880055" w14:textId="77777777" w:rsidR="00AB45DE" w:rsidRPr="002B74F1" w:rsidRDefault="00AB45DE" w:rsidP="00E34BBA">
            <w:pPr>
              <w:jc w:val="right"/>
              <w:rPr>
                <w:rFonts w:ascii="Arial" w:hAnsi="Arial" w:cs="Arial"/>
                <w:sz w:val="22"/>
                <w:szCs w:val="22"/>
              </w:rPr>
            </w:pPr>
            <w:r>
              <w:rPr>
                <w:rFonts w:ascii="Arial" w:hAnsi="Arial" w:cs="Arial"/>
                <w:sz w:val="22"/>
                <w:szCs w:val="22"/>
              </w:rPr>
              <w:t>$750,000</w:t>
            </w:r>
          </w:p>
        </w:tc>
      </w:tr>
      <w:tr w:rsidR="00AB45DE" w:rsidRPr="001D1A7E" w14:paraId="0BFFB262" w14:textId="77777777" w:rsidTr="00E34BBA">
        <w:trPr>
          <w:cantSplit/>
          <w:jc w:val="center"/>
        </w:trPr>
        <w:tc>
          <w:tcPr>
            <w:tcW w:w="571" w:type="dxa"/>
            <w:tcBorders>
              <w:top w:val="nil"/>
              <w:left w:val="nil"/>
              <w:bottom w:val="single" w:sz="12" w:space="0" w:color="auto"/>
              <w:right w:val="nil"/>
            </w:tcBorders>
          </w:tcPr>
          <w:p w14:paraId="302B98DD" w14:textId="77777777" w:rsidR="00AB45DE" w:rsidRPr="002B74F1" w:rsidRDefault="00AB45DE" w:rsidP="00E34BBA">
            <w:pPr>
              <w:rPr>
                <w:rFonts w:ascii="Arial" w:hAnsi="Arial" w:cs="Arial"/>
                <w:sz w:val="22"/>
                <w:szCs w:val="22"/>
              </w:rPr>
            </w:pPr>
            <w:r>
              <w:rPr>
                <w:rFonts w:ascii="Arial" w:hAnsi="Arial" w:cs="Arial"/>
                <w:sz w:val="22"/>
                <w:szCs w:val="22"/>
              </w:rPr>
              <w:t>4</w:t>
            </w:r>
          </w:p>
        </w:tc>
        <w:tc>
          <w:tcPr>
            <w:tcW w:w="239" w:type="dxa"/>
            <w:tcBorders>
              <w:top w:val="nil"/>
              <w:left w:val="nil"/>
              <w:bottom w:val="single" w:sz="12" w:space="0" w:color="auto"/>
              <w:right w:val="nil"/>
            </w:tcBorders>
          </w:tcPr>
          <w:p w14:paraId="139416C4" w14:textId="77777777" w:rsidR="00AB45DE" w:rsidRPr="002B74F1" w:rsidRDefault="00AB45DE" w:rsidP="00E34BBA">
            <w:pPr>
              <w:rPr>
                <w:rFonts w:ascii="Arial" w:hAnsi="Arial" w:cs="Arial"/>
                <w:sz w:val="22"/>
                <w:szCs w:val="22"/>
              </w:rPr>
            </w:pPr>
          </w:p>
        </w:tc>
        <w:tc>
          <w:tcPr>
            <w:tcW w:w="7110" w:type="dxa"/>
            <w:tcBorders>
              <w:top w:val="nil"/>
              <w:left w:val="nil"/>
              <w:bottom w:val="single" w:sz="12" w:space="0" w:color="auto"/>
              <w:right w:val="nil"/>
            </w:tcBorders>
            <w:tcMar>
              <w:top w:w="72" w:type="dxa"/>
              <w:left w:w="115" w:type="dxa"/>
              <w:bottom w:w="72" w:type="dxa"/>
              <w:right w:w="115" w:type="dxa"/>
            </w:tcMar>
          </w:tcPr>
          <w:p w14:paraId="333A0913" w14:textId="77777777" w:rsidR="00AB45DE" w:rsidRPr="00292C1F" w:rsidRDefault="00AB45DE" w:rsidP="00E34BBA">
            <w:pPr>
              <w:spacing w:line="264" w:lineRule="auto"/>
              <w:rPr>
                <w:rFonts w:ascii="Arial" w:hAnsi="Arial" w:cs="Arial"/>
                <w:sz w:val="22"/>
                <w:szCs w:val="22"/>
              </w:rPr>
            </w:pPr>
            <w:r>
              <w:rPr>
                <w:rFonts w:ascii="Arial" w:hAnsi="Arial" w:cs="Arial"/>
                <w:sz w:val="22"/>
                <w:szCs w:val="22"/>
                <w:u w:val="single"/>
              </w:rPr>
              <w:t>Metro Transit King Street Center Tenant Improvements</w:t>
            </w:r>
            <w:r>
              <w:rPr>
                <w:rFonts w:ascii="Arial" w:hAnsi="Arial" w:cs="Arial"/>
                <w:sz w:val="22"/>
                <w:szCs w:val="22"/>
              </w:rPr>
              <w:t xml:space="preserve"> – See analysis included in the FMD Capital – Building Repair and Replacement section of this staff report.</w:t>
            </w:r>
          </w:p>
        </w:tc>
        <w:tc>
          <w:tcPr>
            <w:tcW w:w="270" w:type="dxa"/>
            <w:tcBorders>
              <w:top w:val="nil"/>
              <w:left w:val="nil"/>
              <w:bottom w:val="single" w:sz="12" w:space="0" w:color="auto"/>
              <w:right w:val="nil"/>
            </w:tcBorders>
          </w:tcPr>
          <w:p w14:paraId="547AF202" w14:textId="77777777" w:rsidR="00AB45DE" w:rsidRPr="001D1A7E" w:rsidRDefault="00AB45DE" w:rsidP="00E34BBA">
            <w:pPr>
              <w:jc w:val="right"/>
              <w:rPr>
                <w:rFonts w:ascii="Arial" w:hAnsi="Arial" w:cs="Arial"/>
                <w:color w:val="C0504D" w:themeColor="accent2"/>
                <w:sz w:val="22"/>
                <w:szCs w:val="22"/>
              </w:rPr>
            </w:pPr>
          </w:p>
        </w:tc>
        <w:tc>
          <w:tcPr>
            <w:tcW w:w="1170" w:type="dxa"/>
            <w:tcBorders>
              <w:top w:val="nil"/>
              <w:left w:val="nil"/>
              <w:bottom w:val="single" w:sz="12" w:space="0" w:color="auto"/>
              <w:right w:val="single" w:sz="2" w:space="0" w:color="FFFFFF" w:themeColor="background1"/>
            </w:tcBorders>
            <w:tcMar>
              <w:top w:w="72" w:type="dxa"/>
              <w:left w:w="115" w:type="dxa"/>
              <w:bottom w:w="72" w:type="dxa"/>
              <w:right w:w="115" w:type="dxa"/>
            </w:tcMar>
          </w:tcPr>
          <w:p w14:paraId="0BA31F98" w14:textId="77777777" w:rsidR="00AB45DE" w:rsidRDefault="00AB45DE" w:rsidP="00E34BBA">
            <w:pPr>
              <w:jc w:val="right"/>
              <w:rPr>
                <w:rFonts w:ascii="Arial" w:hAnsi="Arial" w:cs="Arial"/>
                <w:sz w:val="22"/>
                <w:szCs w:val="22"/>
              </w:rPr>
            </w:pPr>
            <w:r>
              <w:rPr>
                <w:rFonts w:ascii="Arial" w:hAnsi="Arial" w:cs="Arial"/>
                <w:sz w:val="22"/>
                <w:szCs w:val="22"/>
              </w:rPr>
              <w:t>$4,226,949</w:t>
            </w:r>
          </w:p>
        </w:tc>
      </w:tr>
    </w:tbl>
    <w:p w14:paraId="6B6B1ADD" w14:textId="77777777" w:rsidR="00AB45DE" w:rsidRDefault="00AB45DE" w:rsidP="00AB45DE">
      <w:pPr>
        <w:spacing w:line="264" w:lineRule="auto"/>
        <w:contextualSpacing/>
        <w:jc w:val="both"/>
        <w:rPr>
          <w:rFonts w:ascii="Arial" w:hAnsi="Arial" w:cs="Arial"/>
        </w:rPr>
      </w:pPr>
    </w:p>
    <w:p w14:paraId="06F27225" w14:textId="77777777" w:rsidR="00AB45DE" w:rsidRPr="00A61108" w:rsidRDefault="00AB45DE" w:rsidP="00AB45DE">
      <w:pPr>
        <w:spacing w:line="264" w:lineRule="auto"/>
        <w:contextualSpacing/>
        <w:jc w:val="both"/>
        <w:rPr>
          <w:rFonts w:ascii="Arial" w:hAnsi="Arial" w:cs="Arial"/>
        </w:rPr>
      </w:pPr>
    </w:p>
    <w:p w14:paraId="1E11B19C"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t>Office of Risk Management Services</w:t>
      </w:r>
      <w:r w:rsidRPr="000E7446">
        <w:rPr>
          <w:rFonts w:ascii="Arial" w:hAnsi="Arial" w:cs="Arial"/>
          <w:b/>
          <w:u w:val="single"/>
        </w:rPr>
        <w:tab/>
        <w:t>$</w:t>
      </w:r>
      <w:r>
        <w:rPr>
          <w:rFonts w:ascii="Arial" w:hAnsi="Arial" w:cs="Arial"/>
          <w:b/>
          <w:u w:val="single"/>
        </w:rPr>
        <w:t>130,000</w:t>
      </w:r>
    </w:p>
    <w:p w14:paraId="27D7820B" w14:textId="77777777" w:rsidR="00AB45DE" w:rsidRDefault="00AB45DE" w:rsidP="00AB45DE">
      <w:pPr>
        <w:spacing w:line="264" w:lineRule="auto"/>
        <w:contextualSpacing/>
        <w:jc w:val="both"/>
        <w:rPr>
          <w:b/>
        </w:rPr>
      </w:pPr>
    </w:p>
    <w:p w14:paraId="74C277B5" w14:textId="071B20F0" w:rsidR="00AB45DE" w:rsidRPr="00185984" w:rsidRDefault="00AB45DE" w:rsidP="00AB45DE">
      <w:pPr>
        <w:spacing w:line="264" w:lineRule="auto"/>
        <w:contextualSpacing/>
        <w:jc w:val="both"/>
        <w:rPr>
          <w:rFonts w:ascii="Arial" w:hAnsi="Arial" w:cs="Arial"/>
          <w:bCs/>
        </w:rPr>
      </w:pPr>
      <w:r>
        <w:rPr>
          <w:rFonts w:ascii="Arial" w:hAnsi="Arial" w:cs="Arial"/>
          <w:b/>
          <w:i/>
          <w:iCs/>
        </w:rPr>
        <w:t>COVID-19 American Rescue Plan Funded Contracts Support [</w:t>
      </w:r>
      <w:r w:rsidRPr="0054665B">
        <w:rPr>
          <w:rFonts w:ascii="Arial" w:hAnsi="Arial" w:cs="Arial"/>
          <w:b/>
          <w:i/>
          <w:iCs/>
        </w:rPr>
        <w:t>$</w:t>
      </w:r>
      <w:r>
        <w:rPr>
          <w:rFonts w:ascii="Arial" w:hAnsi="Arial" w:cs="Arial"/>
          <w:b/>
          <w:i/>
          <w:iCs/>
        </w:rPr>
        <w:t>129,171]</w:t>
      </w:r>
      <w:r w:rsidR="0071110B">
        <w:rPr>
          <w:rFonts w:ascii="Arial" w:hAnsi="Arial" w:cs="Arial"/>
          <w:b/>
          <w:i/>
          <w:iCs/>
        </w:rPr>
        <w:t>.</w:t>
      </w:r>
      <w:r>
        <w:rPr>
          <w:rFonts w:ascii="Arial" w:hAnsi="Arial" w:cs="Arial"/>
          <w:bCs/>
        </w:rPr>
        <w:t xml:space="preserve">  This proposed appropriation would support </w:t>
      </w:r>
      <w:r w:rsidRPr="00194FD7">
        <w:rPr>
          <w:rFonts w:ascii="Arial" w:hAnsi="Arial" w:cs="Arial"/>
          <w:bCs/>
        </w:rPr>
        <w:t xml:space="preserve">one </w:t>
      </w:r>
      <w:r>
        <w:rPr>
          <w:rFonts w:ascii="Arial" w:hAnsi="Arial" w:cs="Arial"/>
          <w:bCs/>
        </w:rPr>
        <w:t>Program Manager</w:t>
      </w:r>
      <w:r w:rsidRPr="00194FD7">
        <w:rPr>
          <w:rFonts w:ascii="Arial" w:hAnsi="Arial" w:cs="Arial"/>
          <w:bCs/>
        </w:rPr>
        <w:t xml:space="preserve"> II </w:t>
      </w:r>
      <w:r>
        <w:rPr>
          <w:rFonts w:ascii="Arial" w:hAnsi="Arial" w:cs="Arial"/>
          <w:bCs/>
        </w:rPr>
        <w:t>term-limited temporary (TLT)</w:t>
      </w:r>
      <w:r w:rsidRPr="00194FD7">
        <w:rPr>
          <w:rFonts w:ascii="Arial" w:hAnsi="Arial" w:cs="Arial"/>
          <w:bCs/>
        </w:rPr>
        <w:t xml:space="preserve"> </w:t>
      </w:r>
      <w:r>
        <w:rPr>
          <w:rFonts w:ascii="Arial" w:hAnsi="Arial" w:cs="Arial"/>
          <w:bCs/>
        </w:rPr>
        <w:t xml:space="preserve">position </w:t>
      </w:r>
      <w:r w:rsidRPr="00194FD7">
        <w:rPr>
          <w:rFonts w:ascii="Arial" w:hAnsi="Arial" w:cs="Arial"/>
          <w:bCs/>
        </w:rPr>
        <w:t xml:space="preserve">from October 2021 through </w:t>
      </w:r>
      <w:r>
        <w:rPr>
          <w:rFonts w:ascii="Arial" w:hAnsi="Arial" w:cs="Arial"/>
          <w:bCs/>
        </w:rPr>
        <w:t>the end of the biennium</w:t>
      </w:r>
      <w:r w:rsidRPr="00194FD7">
        <w:rPr>
          <w:rFonts w:ascii="Arial" w:hAnsi="Arial" w:cs="Arial"/>
          <w:bCs/>
        </w:rPr>
        <w:t xml:space="preserve"> in support of the increase in </w:t>
      </w:r>
      <w:r>
        <w:rPr>
          <w:rFonts w:ascii="Arial" w:hAnsi="Arial" w:cs="Arial"/>
          <w:bCs/>
        </w:rPr>
        <w:t xml:space="preserve">risk management </w:t>
      </w:r>
      <w:r w:rsidRPr="00194FD7">
        <w:rPr>
          <w:rFonts w:ascii="Arial" w:hAnsi="Arial" w:cs="Arial"/>
          <w:bCs/>
        </w:rPr>
        <w:t xml:space="preserve">work </w:t>
      </w:r>
      <w:r>
        <w:rPr>
          <w:rFonts w:ascii="Arial" w:hAnsi="Arial" w:cs="Arial"/>
          <w:bCs/>
        </w:rPr>
        <w:t>due to the new contracts funded through the American Rescue Plan Act’s Coronavirus Local Fiscal Recovery Fund (ARPA CLFRF) through the council adopted COVID 7 and COVID 8 supplemental appropriations ordinances</w:t>
      </w:r>
      <w:r>
        <w:rPr>
          <w:rStyle w:val="FootnoteReference"/>
          <w:rFonts w:ascii="Arial" w:hAnsi="Arial" w:cs="Arial"/>
          <w:bCs/>
        </w:rPr>
        <w:footnoteReference w:id="71"/>
      </w:r>
      <w:r>
        <w:rPr>
          <w:rFonts w:ascii="Arial" w:hAnsi="Arial" w:cs="Arial"/>
          <w:bCs/>
        </w:rPr>
        <w:t>.</w:t>
      </w:r>
      <w:r w:rsidRPr="00194FD7">
        <w:rPr>
          <w:rFonts w:ascii="Arial" w:hAnsi="Arial" w:cs="Arial"/>
          <w:bCs/>
        </w:rPr>
        <w:t xml:space="preserve"> </w:t>
      </w:r>
      <w:r w:rsidR="00660E25">
        <w:rPr>
          <w:rFonts w:ascii="Arial" w:hAnsi="Arial" w:cs="Arial"/>
          <w:bCs/>
        </w:rPr>
        <w:t xml:space="preserve"> </w:t>
      </w:r>
      <w:r>
        <w:rPr>
          <w:rFonts w:ascii="Arial" w:hAnsi="Arial" w:cs="Arial"/>
          <w:bCs/>
        </w:rPr>
        <w:t>Executive staff estimate a</w:t>
      </w:r>
      <w:r w:rsidRPr="00194FD7">
        <w:rPr>
          <w:rFonts w:ascii="Arial" w:hAnsi="Arial" w:cs="Arial"/>
          <w:bCs/>
        </w:rPr>
        <w:t xml:space="preserve">n increase of 1,500 contracts </w:t>
      </w:r>
      <w:r>
        <w:rPr>
          <w:rFonts w:ascii="Arial" w:hAnsi="Arial" w:cs="Arial"/>
          <w:bCs/>
        </w:rPr>
        <w:t>would</w:t>
      </w:r>
      <w:r w:rsidRPr="00194FD7">
        <w:rPr>
          <w:rFonts w:ascii="Arial" w:hAnsi="Arial" w:cs="Arial"/>
          <w:bCs/>
        </w:rPr>
        <w:t xml:space="preserve"> need review by </w:t>
      </w:r>
      <w:r>
        <w:rPr>
          <w:rFonts w:ascii="Arial" w:hAnsi="Arial" w:cs="Arial"/>
          <w:bCs/>
        </w:rPr>
        <w:t xml:space="preserve">the </w:t>
      </w:r>
      <w:r w:rsidRPr="00194FD7">
        <w:rPr>
          <w:rFonts w:ascii="Arial" w:hAnsi="Arial" w:cs="Arial"/>
          <w:bCs/>
        </w:rPr>
        <w:t>insurance &amp; contracts team</w:t>
      </w:r>
      <w:r>
        <w:rPr>
          <w:rFonts w:ascii="Arial" w:hAnsi="Arial" w:cs="Arial"/>
          <w:bCs/>
        </w:rPr>
        <w:t>.</w:t>
      </w:r>
    </w:p>
    <w:p w14:paraId="63775A5B" w14:textId="77777777" w:rsidR="00AB45DE" w:rsidRDefault="00AB45DE" w:rsidP="00AB45DE">
      <w:pPr>
        <w:spacing w:line="264" w:lineRule="auto"/>
        <w:contextualSpacing/>
        <w:jc w:val="both"/>
        <w:rPr>
          <w:rFonts w:ascii="Arial" w:hAnsi="Arial" w:cs="Arial"/>
        </w:rPr>
      </w:pPr>
    </w:p>
    <w:p w14:paraId="68047BB1" w14:textId="77777777" w:rsidR="0050431F" w:rsidRDefault="0050431F" w:rsidP="0050431F">
      <w:pPr>
        <w:spacing w:line="264" w:lineRule="auto"/>
        <w:contextualSpacing/>
        <w:jc w:val="both"/>
        <w:rPr>
          <w:rFonts w:ascii="Arial" w:hAnsi="Arial" w:cs="Arial"/>
        </w:rPr>
      </w:pPr>
    </w:p>
    <w:p w14:paraId="0F0A2985" w14:textId="77777777" w:rsidR="0050431F" w:rsidRPr="000E7446" w:rsidRDefault="0050431F" w:rsidP="0050431F">
      <w:pPr>
        <w:tabs>
          <w:tab w:val="left" w:pos="720"/>
          <w:tab w:val="right" w:pos="9360"/>
        </w:tabs>
        <w:spacing w:line="264" w:lineRule="auto"/>
        <w:contextualSpacing/>
        <w:jc w:val="both"/>
        <w:rPr>
          <w:rFonts w:ascii="Arial" w:hAnsi="Arial" w:cs="Arial"/>
          <w:b/>
          <w:u w:val="single"/>
        </w:rPr>
      </w:pPr>
      <w:r>
        <w:rPr>
          <w:rFonts w:ascii="Arial" w:hAnsi="Arial" w:cs="Arial"/>
          <w:b/>
          <w:u w:val="single"/>
        </w:rPr>
        <w:t>KCIT Services</w:t>
      </w:r>
      <w:r w:rsidRPr="000E7446">
        <w:rPr>
          <w:rFonts w:ascii="Arial" w:hAnsi="Arial" w:cs="Arial"/>
          <w:b/>
          <w:u w:val="single"/>
        </w:rPr>
        <w:tab/>
        <w:t>$</w:t>
      </w:r>
      <w:r>
        <w:rPr>
          <w:rFonts w:ascii="Arial" w:hAnsi="Arial" w:cs="Arial"/>
          <w:b/>
          <w:u w:val="single"/>
        </w:rPr>
        <w:t>11,060,000</w:t>
      </w:r>
    </w:p>
    <w:p w14:paraId="13E77C3B" w14:textId="77777777" w:rsidR="0050431F" w:rsidRDefault="0050431F" w:rsidP="0050431F">
      <w:pPr>
        <w:spacing w:line="264" w:lineRule="auto"/>
        <w:contextualSpacing/>
        <w:jc w:val="both"/>
        <w:rPr>
          <w:b/>
        </w:rPr>
      </w:pPr>
    </w:p>
    <w:p w14:paraId="30CDEEAE" w14:textId="77777777" w:rsidR="0050431F" w:rsidRDefault="0050431F" w:rsidP="0050431F">
      <w:pPr>
        <w:spacing w:line="264" w:lineRule="auto"/>
        <w:contextualSpacing/>
        <w:jc w:val="both"/>
        <w:rPr>
          <w:rFonts w:ascii="Arial" w:hAnsi="Arial" w:cs="Arial"/>
        </w:rPr>
      </w:pPr>
      <w:r>
        <w:rPr>
          <w:rFonts w:ascii="Arial" w:hAnsi="Arial" w:cs="Arial"/>
          <w:b/>
          <w:i/>
          <w:iCs/>
        </w:rPr>
        <w:t>Additional Licenses for Multi-Factor Authentication for Peoplesoft Users [$590,000]</w:t>
      </w:r>
      <w:r w:rsidRPr="0054665B">
        <w:rPr>
          <w:rFonts w:ascii="Arial" w:hAnsi="Arial" w:cs="Arial"/>
          <w:b/>
          <w:i/>
          <w:iCs/>
        </w:rPr>
        <w:t>.</w:t>
      </w:r>
      <w:r>
        <w:rPr>
          <w:rFonts w:ascii="Arial" w:hAnsi="Arial" w:cs="Arial"/>
          <w:b/>
        </w:rPr>
        <w:t xml:space="preserve">  </w:t>
      </w:r>
      <w:r w:rsidRPr="003D194D">
        <w:rPr>
          <w:rFonts w:ascii="Arial" w:hAnsi="Arial" w:cs="Arial"/>
        </w:rPr>
        <w:t>The proposed ordinance would</w:t>
      </w:r>
      <w:r>
        <w:rPr>
          <w:rFonts w:ascii="Arial" w:hAnsi="Arial" w:cs="Arial"/>
        </w:rPr>
        <w:t xml:space="preserve"> appropriate $590,000 to purchase licenses required for County users to have multi-factor authentication (MFA) when they access Peoplesoft.  According to Executive staff, funding would come from the County agencies that will pay for the licenses and MFA is included in Microsoft licensing moving forward.  Executive staff further provide that MFA is to be required for all users, noting that over 15,000 users have been enabled for MFA thus far and all are anticipated to be completed by the end of the year with next year's work focused on rolling out MFA to network infrastructure and Windows-based devices.</w:t>
      </w:r>
    </w:p>
    <w:p w14:paraId="674A48F9" w14:textId="77777777" w:rsidR="0050431F" w:rsidRDefault="0050431F" w:rsidP="0050431F">
      <w:pPr>
        <w:spacing w:line="264" w:lineRule="auto"/>
        <w:contextualSpacing/>
        <w:jc w:val="both"/>
        <w:rPr>
          <w:rFonts w:ascii="Arial" w:hAnsi="Arial" w:cs="Arial"/>
        </w:rPr>
      </w:pPr>
    </w:p>
    <w:p w14:paraId="27DE6867" w14:textId="77777777" w:rsidR="0050431F" w:rsidRPr="00E25F98" w:rsidRDefault="0050431F" w:rsidP="0050431F">
      <w:pPr>
        <w:spacing w:line="264" w:lineRule="auto"/>
        <w:contextualSpacing/>
        <w:jc w:val="both"/>
        <w:rPr>
          <w:rFonts w:ascii="Arial" w:hAnsi="Arial" w:cs="Arial"/>
        </w:rPr>
      </w:pPr>
      <w:r>
        <w:rPr>
          <w:rFonts w:ascii="Arial" w:hAnsi="Arial" w:cs="Arial"/>
          <w:b/>
          <w:bCs/>
          <w:i/>
          <w:iCs/>
        </w:rPr>
        <w:lastRenderedPageBreak/>
        <w:t xml:space="preserve">Equipment for Criminal Justice Information Systems (CJIS) Infrastructure [$205,000].  </w:t>
      </w:r>
      <w:r>
        <w:rPr>
          <w:rFonts w:ascii="Arial" w:hAnsi="Arial" w:cs="Arial"/>
        </w:rPr>
        <w:t>The proposed ordinance would appropriate $205,000 to purchase network equipment in order to implement the Criminal Justice Information Systems.  Specifically, Executive staff indicate this appropriation would replace equipment (e.g., network switches, routers, and firewalls) more than five years past its useful life.  Budget documentation indicates this is a one-time request to be funded by KCIT Services fund balance.</w:t>
      </w:r>
    </w:p>
    <w:p w14:paraId="1A57F922" w14:textId="77777777" w:rsidR="0050431F" w:rsidRPr="003D194D" w:rsidRDefault="0050431F" w:rsidP="0050431F">
      <w:pPr>
        <w:spacing w:line="264" w:lineRule="auto"/>
        <w:contextualSpacing/>
        <w:jc w:val="both"/>
        <w:rPr>
          <w:rFonts w:ascii="Arial" w:hAnsi="Arial" w:cs="Arial"/>
        </w:rPr>
      </w:pPr>
    </w:p>
    <w:p w14:paraId="7B60AC75" w14:textId="51E2B8F1" w:rsidR="0098133D" w:rsidRPr="00374163" w:rsidRDefault="0050431F" w:rsidP="0050431F">
      <w:pPr>
        <w:spacing w:line="264" w:lineRule="auto"/>
        <w:contextualSpacing/>
        <w:jc w:val="both"/>
        <w:rPr>
          <w:rFonts w:ascii="Arial" w:hAnsi="Arial" w:cs="Arial"/>
        </w:rPr>
      </w:pPr>
      <w:r>
        <w:rPr>
          <w:rFonts w:ascii="Arial" w:hAnsi="Arial" w:cs="Arial"/>
          <w:b/>
          <w:bCs/>
          <w:i/>
          <w:iCs/>
        </w:rPr>
        <w:t xml:space="preserve">Transfer to Fund Capital Projects in KCIT Capital Fund [$8,487,867].  </w:t>
      </w:r>
      <w:r>
        <w:rPr>
          <w:rFonts w:ascii="Arial" w:hAnsi="Arial" w:cs="Arial"/>
        </w:rPr>
        <w:t xml:space="preserve">The proposed ordinance would appropriate approximately $8.5 million for a one-time transfer to the Department of Information </w:t>
      </w:r>
      <w:r w:rsidR="0035157C">
        <w:rPr>
          <w:rFonts w:ascii="Arial" w:hAnsi="Arial" w:cs="Arial"/>
        </w:rPr>
        <w:t>Technology</w:t>
      </w:r>
      <w:r>
        <w:rPr>
          <w:rFonts w:ascii="Arial" w:hAnsi="Arial" w:cs="Arial"/>
        </w:rPr>
        <w:t xml:space="preserve"> Capital Fund using fund balance to support the following capital projects, which are further described in the Department of Information Technology Capital Fund section </w:t>
      </w:r>
      <w:r w:rsidR="0098133D">
        <w:rPr>
          <w:rFonts w:ascii="Arial" w:hAnsi="Arial" w:cs="Arial"/>
        </w:rPr>
        <w:t>of</w:t>
      </w:r>
      <w:r>
        <w:rPr>
          <w:rFonts w:ascii="Arial" w:hAnsi="Arial" w:cs="Arial"/>
        </w:rPr>
        <w:t xml:space="preserve"> this staff </w:t>
      </w:r>
      <w:r w:rsidRPr="00374163">
        <w:rPr>
          <w:rFonts w:ascii="Arial" w:hAnsi="Arial" w:cs="Arial"/>
        </w:rPr>
        <w:t>report:</w:t>
      </w:r>
    </w:p>
    <w:p w14:paraId="7F64A2E6" w14:textId="77777777" w:rsidR="0050431F" w:rsidRPr="00374163" w:rsidRDefault="0050431F" w:rsidP="0050431F">
      <w:pPr>
        <w:pStyle w:val="ListParagraph0"/>
        <w:numPr>
          <w:ilvl w:val="0"/>
          <w:numId w:val="18"/>
        </w:numPr>
        <w:spacing w:line="264" w:lineRule="auto"/>
        <w:contextualSpacing/>
        <w:jc w:val="both"/>
        <w:rPr>
          <w:rFonts w:ascii="Arial" w:hAnsi="Arial" w:cs="Arial"/>
        </w:rPr>
      </w:pPr>
      <w:r>
        <w:rPr>
          <w:rFonts w:ascii="Arial" w:hAnsi="Arial" w:cs="Arial"/>
        </w:rPr>
        <w:t>Network Equipment</w:t>
      </w:r>
      <w:r w:rsidRPr="00374163">
        <w:rPr>
          <w:rFonts w:ascii="Arial" w:hAnsi="Arial" w:cs="Arial"/>
        </w:rPr>
        <w:t xml:space="preserve"> Replacement [$2,160,000]</w:t>
      </w:r>
    </w:p>
    <w:p w14:paraId="52CA4099" w14:textId="77777777" w:rsidR="0050431F" w:rsidRPr="00374163" w:rsidRDefault="0050431F" w:rsidP="0050431F">
      <w:pPr>
        <w:pStyle w:val="ListParagraph0"/>
        <w:numPr>
          <w:ilvl w:val="0"/>
          <w:numId w:val="18"/>
        </w:numPr>
        <w:spacing w:line="264" w:lineRule="auto"/>
        <w:contextualSpacing/>
        <w:jc w:val="both"/>
        <w:rPr>
          <w:rFonts w:ascii="Arial" w:hAnsi="Arial" w:cs="Arial"/>
        </w:rPr>
      </w:pPr>
      <w:r>
        <w:rPr>
          <w:rFonts w:ascii="Arial" w:hAnsi="Arial" w:cs="Arial"/>
        </w:rPr>
        <w:t>Telecommute Solution for High Volume Data Processing</w:t>
      </w:r>
      <w:r w:rsidRPr="00374163">
        <w:rPr>
          <w:rFonts w:ascii="Arial" w:hAnsi="Arial" w:cs="Arial"/>
        </w:rPr>
        <w:t xml:space="preserve"> [$1,201,750]</w:t>
      </w:r>
    </w:p>
    <w:p w14:paraId="341D0EEA" w14:textId="77777777" w:rsidR="0050431F" w:rsidRPr="00374163" w:rsidRDefault="0050431F" w:rsidP="0050431F">
      <w:pPr>
        <w:pStyle w:val="ListParagraph0"/>
        <w:numPr>
          <w:ilvl w:val="0"/>
          <w:numId w:val="18"/>
        </w:numPr>
        <w:spacing w:line="264" w:lineRule="auto"/>
        <w:contextualSpacing/>
        <w:jc w:val="both"/>
        <w:rPr>
          <w:rFonts w:ascii="Arial" w:hAnsi="Arial" w:cs="Arial"/>
        </w:rPr>
      </w:pPr>
      <w:r w:rsidRPr="00374163">
        <w:rPr>
          <w:rFonts w:ascii="Arial" w:hAnsi="Arial" w:cs="Arial"/>
        </w:rPr>
        <w:t>IT</w:t>
      </w:r>
      <w:r>
        <w:rPr>
          <w:rFonts w:ascii="Arial" w:hAnsi="Arial" w:cs="Arial"/>
        </w:rPr>
        <w:t xml:space="preserve"> Financial Management (ITFM) System</w:t>
      </w:r>
      <w:r w:rsidRPr="00374163">
        <w:rPr>
          <w:rFonts w:ascii="Arial" w:hAnsi="Arial" w:cs="Arial"/>
        </w:rPr>
        <w:t xml:space="preserve"> Implementation [$909,347]</w:t>
      </w:r>
    </w:p>
    <w:p w14:paraId="59D1FEF9" w14:textId="77777777" w:rsidR="0050431F" w:rsidRPr="00374163" w:rsidRDefault="0050431F" w:rsidP="0050431F">
      <w:pPr>
        <w:pStyle w:val="ListParagraph0"/>
        <w:numPr>
          <w:ilvl w:val="0"/>
          <w:numId w:val="18"/>
        </w:numPr>
        <w:spacing w:line="264" w:lineRule="auto"/>
        <w:contextualSpacing/>
        <w:jc w:val="both"/>
        <w:rPr>
          <w:rFonts w:ascii="Arial" w:hAnsi="Arial" w:cs="Arial"/>
        </w:rPr>
      </w:pPr>
      <w:r w:rsidRPr="00374163">
        <w:rPr>
          <w:rFonts w:ascii="Arial" w:hAnsi="Arial" w:cs="Arial"/>
        </w:rPr>
        <w:t>Enterprise Data Catalog [$660,000]</w:t>
      </w:r>
    </w:p>
    <w:p w14:paraId="682F79BC" w14:textId="77777777" w:rsidR="0050431F" w:rsidRPr="00374163" w:rsidRDefault="0050431F" w:rsidP="0050431F">
      <w:pPr>
        <w:pStyle w:val="ListParagraph0"/>
        <w:numPr>
          <w:ilvl w:val="0"/>
          <w:numId w:val="18"/>
        </w:numPr>
        <w:spacing w:line="264" w:lineRule="auto"/>
        <w:contextualSpacing/>
        <w:jc w:val="both"/>
        <w:rPr>
          <w:rFonts w:ascii="Arial" w:hAnsi="Arial" w:cs="Arial"/>
        </w:rPr>
      </w:pPr>
      <w:r w:rsidRPr="00374163">
        <w:rPr>
          <w:rFonts w:ascii="Arial" w:hAnsi="Arial" w:cs="Arial"/>
        </w:rPr>
        <w:t>PPM Pro Expansion [$300,150</w:t>
      </w:r>
    </w:p>
    <w:p w14:paraId="005E14FE" w14:textId="77777777" w:rsidR="0050431F" w:rsidRDefault="0050431F" w:rsidP="0050431F">
      <w:pPr>
        <w:pStyle w:val="ListParagraph0"/>
        <w:numPr>
          <w:ilvl w:val="0"/>
          <w:numId w:val="18"/>
        </w:numPr>
        <w:spacing w:line="264" w:lineRule="auto"/>
        <w:contextualSpacing/>
        <w:jc w:val="both"/>
        <w:rPr>
          <w:rFonts w:ascii="Arial" w:hAnsi="Arial" w:cs="Arial"/>
        </w:rPr>
      </w:pPr>
      <w:r w:rsidRPr="00374163">
        <w:rPr>
          <w:rFonts w:ascii="Arial" w:hAnsi="Arial" w:cs="Arial"/>
        </w:rPr>
        <w:t>Security Access Projects [$500,000]</w:t>
      </w:r>
    </w:p>
    <w:p w14:paraId="3457F2C5" w14:textId="77777777" w:rsidR="0050431F" w:rsidRDefault="0050431F" w:rsidP="0050431F">
      <w:pPr>
        <w:spacing w:line="264" w:lineRule="auto"/>
        <w:contextualSpacing/>
        <w:jc w:val="both"/>
        <w:rPr>
          <w:rFonts w:ascii="Arial" w:hAnsi="Arial" w:cs="Arial"/>
        </w:rPr>
      </w:pPr>
    </w:p>
    <w:p w14:paraId="2D0946A3" w14:textId="77777777" w:rsidR="0050431F" w:rsidRDefault="0050431F" w:rsidP="0050431F">
      <w:pPr>
        <w:spacing w:line="264" w:lineRule="auto"/>
        <w:contextualSpacing/>
        <w:jc w:val="both"/>
        <w:rPr>
          <w:rFonts w:ascii="Arial" w:hAnsi="Arial" w:cs="Arial"/>
        </w:rPr>
      </w:pPr>
      <w:r>
        <w:rPr>
          <w:rFonts w:ascii="Arial" w:hAnsi="Arial" w:cs="Arial"/>
        </w:rPr>
        <w:t>Additionally, approximately $3 million would be transferred for the KC.gov Web Presence project that was approved in the 2021-2022 1</w:t>
      </w:r>
      <w:r w:rsidRPr="006A4FC4">
        <w:rPr>
          <w:rFonts w:ascii="Arial" w:hAnsi="Arial" w:cs="Arial"/>
          <w:vertAlign w:val="superscript"/>
        </w:rPr>
        <w:t>st</w:t>
      </w:r>
      <w:r>
        <w:rPr>
          <w:rFonts w:ascii="Arial" w:hAnsi="Arial" w:cs="Arial"/>
        </w:rPr>
        <w:t xml:space="preserve"> Omnibus.  Executive staff indicate that when the 1</w:t>
      </w:r>
      <w:r w:rsidRPr="00685C73">
        <w:rPr>
          <w:rFonts w:ascii="Arial" w:hAnsi="Arial" w:cs="Arial"/>
          <w:vertAlign w:val="superscript"/>
        </w:rPr>
        <w:t>st</w:t>
      </w:r>
      <w:r>
        <w:rPr>
          <w:rFonts w:ascii="Arial" w:hAnsi="Arial" w:cs="Arial"/>
        </w:rPr>
        <w:t xml:space="preserve"> Omnibus request was approved, the funding and revenue source had not yet been determined.  The proposed ordinance would use fund balance for this previously approved appropriation.</w:t>
      </w:r>
    </w:p>
    <w:p w14:paraId="57E79FA0" w14:textId="77777777" w:rsidR="0050431F" w:rsidRDefault="0050431F" w:rsidP="0050431F">
      <w:pPr>
        <w:spacing w:line="264" w:lineRule="auto"/>
        <w:contextualSpacing/>
        <w:jc w:val="both"/>
        <w:rPr>
          <w:rFonts w:ascii="Arial" w:hAnsi="Arial" w:cs="Arial"/>
        </w:rPr>
      </w:pPr>
    </w:p>
    <w:p w14:paraId="6BE390BE" w14:textId="77777777" w:rsidR="0050431F" w:rsidRDefault="0050431F" w:rsidP="0050431F">
      <w:pPr>
        <w:spacing w:line="264" w:lineRule="auto"/>
        <w:contextualSpacing/>
        <w:jc w:val="both"/>
        <w:rPr>
          <w:rFonts w:ascii="Arial" w:hAnsi="Arial" w:cs="Arial"/>
        </w:rPr>
      </w:pPr>
      <w:r>
        <w:rPr>
          <w:rFonts w:ascii="Arial" w:hAnsi="Arial" w:cs="Arial"/>
        </w:rPr>
        <w:t>According to the financial plan for the KCIT Services fund, the current end fund balance is approximately $18.4 million and higher than the approximately $3.5 million estimated during the 2021-2022 biennial budget.  Executive staff indicate that the ending fund balance is higher than expected because of a reallocation of KCIT staff resources to respond to emerging needs that were backed by other funding sources. Specifically, Executive staff cite redeploying existing staff that were funded by the fixed internal service rates to work related to the COVID response or specific capital projects (e.g., Jail Management System), which were backed by COVID relief or other sources.</w:t>
      </w:r>
    </w:p>
    <w:p w14:paraId="1434BE24" w14:textId="77777777" w:rsidR="0050431F" w:rsidRDefault="0050431F" w:rsidP="0050431F">
      <w:pPr>
        <w:spacing w:line="264" w:lineRule="auto"/>
        <w:contextualSpacing/>
        <w:jc w:val="both"/>
        <w:rPr>
          <w:rFonts w:ascii="Arial" w:hAnsi="Arial" w:cs="Arial"/>
          <w:b/>
        </w:rPr>
      </w:pPr>
    </w:p>
    <w:p w14:paraId="466F1AF5" w14:textId="77777777" w:rsidR="0050431F" w:rsidRDefault="0050431F" w:rsidP="0050431F">
      <w:pPr>
        <w:spacing w:line="264" w:lineRule="auto"/>
        <w:contextualSpacing/>
        <w:jc w:val="both"/>
        <w:rPr>
          <w:rFonts w:ascii="Arial" w:hAnsi="Arial" w:cs="Arial"/>
        </w:rPr>
      </w:pPr>
      <w:r>
        <w:rPr>
          <w:rFonts w:ascii="Arial" w:hAnsi="Arial" w:cs="Arial"/>
          <w:b/>
          <w:bCs/>
          <w:i/>
          <w:iCs/>
        </w:rPr>
        <w:t xml:space="preserve">Container Technology to Support King County Website [$250,000 one-time; $240,000, ongoing].  </w:t>
      </w:r>
      <w:r>
        <w:rPr>
          <w:rFonts w:ascii="Arial" w:hAnsi="Arial" w:cs="Arial"/>
        </w:rPr>
        <w:t>The proposed ordinance would appropriate $490,000 to support the container technology infrastructure needed for the King County public website.  According to Executive staff, container technology is important because it helps ensure that software runs reliably when moved from one computing environment to another. Executive staff indicate the appropriation request comprises $250,000 in one-time costs for consulting resources to ensure proper architecture and implementation, and $240,000 in ongoing costs for cloud services.</w:t>
      </w:r>
    </w:p>
    <w:p w14:paraId="2F6A0577" w14:textId="77777777" w:rsidR="0050431F" w:rsidRDefault="0050431F" w:rsidP="0050431F">
      <w:pPr>
        <w:spacing w:line="264" w:lineRule="auto"/>
        <w:contextualSpacing/>
        <w:jc w:val="both"/>
        <w:rPr>
          <w:rFonts w:ascii="Arial" w:hAnsi="Arial" w:cs="Arial"/>
        </w:rPr>
      </w:pPr>
    </w:p>
    <w:p w14:paraId="1160859E" w14:textId="676B0D4B" w:rsidR="0050431F" w:rsidRDefault="0050431F" w:rsidP="0050431F">
      <w:pPr>
        <w:spacing w:line="264" w:lineRule="auto"/>
        <w:contextualSpacing/>
        <w:jc w:val="both"/>
        <w:rPr>
          <w:rFonts w:ascii="Arial" w:hAnsi="Arial" w:cs="Arial"/>
        </w:rPr>
      </w:pPr>
      <w:r>
        <w:rPr>
          <w:rFonts w:ascii="Arial" w:hAnsi="Arial" w:cs="Arial"/>
          <w:b/>
          <w:bCs/>
          <w:i/>
          <w:iCs/>
        </w:rPr>
        <w:lastRenderedPageBreak/>
        <w:t xml:space="preserve">Ongoing Information Technology Financial Management Tool Costs [$446,029, ongoing].  </w:t>
      </w:r>
      <w:r>
        <w:rPr>
          <w:rFonts w:ascii="Arial" w:hAnsi="Arial" w:cs="Arial"/>
        </w:rPr>
        <w:t xml:space="preserve">The proposed ordinance would appropriate $446,029 in ongoing costs to support the Information Technology Financial Management (ITFM) tool once the project is implemented.  Additional information on the ITFM capital project is provided in the Department of Information Technology Capital Fund section of this staff report.  Budget documentation indicates that this request is to be funded by KCIT </w:t>
      </w:r>
      <w:r w:rsidR="0035157C">
        <w:rPr>
          <w:rFonts w:ascii="Arial" w:hAnsi="Arial" w:cs="Arial"/>
        </w:rPr>
        <w:t>Services</w:t>
      </w:r>
      <w:r>
        <w:rPr>
          <w:rFonts w:ascii="Arial" w:hAnsi="Arial" w:cs="Arial"/>
        </w:rPr>
        <w:t xml:space="preserve"> fund balance.</w:t>
      </w:r>
    </w:p>
    <w:p w14:paraId="3EF2BAA4" w14:textId="77777777" w:rsidR="0050431F" w:rsidRDefault="0050431F" w:rsidP="0050431F">
      <w:pPr>
        <w:spacing w:line="264" w:lineRule="auto"/>
        <w:contextualSpacing/>
        <w:jc w:val="both"/>
        <w:rPr>
          <w:rFonts w:ascii="Arial" w:hAnsi="Arial" w:cs="Arial"/>
        </w:rPr>
      </w:pPr>
    </w:p>
    <w:p w14:paraId="00EF00EB" w14:textId="75712B4C" w:rsidR="0050431F" w:rsidRDefault="0050431F" w:rsidP="0050431F">
      <w:pPr>
        <w:spacing w:line="264" w:lineRule="auto"/>
        <w:contextualSpacing/>
        <w:jc w:val="both"/>
        <w:rPr>
          <w:rFonts w:ascii="Arial" w:hAnsi="Arial" w:cs="Arial"/>
        </w:rPr>
      </w:pPr>
      <w:r>
        <w:rPr>
          <w:rFonts w:ascii="Arial" w:hAnsi="Arial" w:cs="Arial"/>
          <w:b/>
          <w:bCs/>
          <w:i/>
          <w:iCs/>
        </w:rPr>
        <w:t xml:space="preserve">King County Intranet Refresh [$850,000].  </w:t>
      </w:r>
      <w:r>
        <w:rPr>
          <w:rFonts w:ascii="Arial" w:hAnsi="Arial" w:cs="Arial"/>
        </w:rPr>
        <w:t xml:space="preserve">The proposed ordinance would appropriate $850,000 to update the employee intranet and migrate employee-focused content currently on the King County website.  Executive staff indicate that the appropriation would be spent on consulting resources and that the effort will consolidate two separate platforms, the employee pages on the public website, and </w:t>
      </w:r>
      <w:proofErr w:type="spellStart"/>
      <w:r>
        <w:rPr>
          <w:rFonts w:ascii="Arial" w:hAnsi="Arial" w:cs="Arial"/>
        </w:rPr>
        <w:t>KCWeb</w:t>
      </w:r>
      <w:proofErr w:type="spellEnd"/>
      <w:r>
        <w:rPr>
          <w:rFonts w:ascii="Arial" w:hAnsi="Arial" w:cs="Arial"/>
        </w:rPr>
        <w:t xml:space="preserve">, which is an internal </w:t>
      </w:r>
      <w:r w:rsidR="0035157C">
        <w:rPr>
          <w:rFonts w:ascii="Arial" w:hAnsi="Arial" w:cs="Arial"/>
        </w:rPr>
        <w:t>SharePoint</w:t>
      </w:r>
      <w:r>
        <w:rPr>
          <w:rFonts w:ascii="Arial" w:hAnsi="Arial" w:cs="Arial"/>
        </w:rPr>
        <w:t xml:space="preserve"> site for County employees.  According to Executive staff, if this appropriation is not approved, King County would incur significant costs to translate employee-facing content into the seven languages that are required on the public-facing King County website per the new translation policy</w:t>
      </w:r>
      <w:r>
        <w:rPr>
          <w:rStyle w:val="FootnoteReference"/>
          <w:rFonts w:ascii="Arial" w:hAnsi="Arial" w:cs="Arial"/>
        </w:rPr>
        <w:footnoteReference w:id="72"/>
      </w:r>
      <w:r>
        <w:rPr>
          <w:rFonts w:ascii="Arial" w:hAnsi="Arial" w:cs="Arial"/>
        </w:rPr>
        <w:t xml:space="preserve"> being implemented.  Additionally, Executive staff note that departments would continue to experience challenges when updating content on the current platform, as doing so requires technical skills many communications staff using the intranet do not possess.</w:t>
      </w:r>
    </w:p>
    <w:p w14:paraId="6C02FAF4" w14:textId="77777777" w:rsidR="0050431F" w:rsidRDefault="0050431F" w:rsidP="0050431F">
      <w:pPr>
        <w:spacing w:line="264" w:lineRule="auto"/>
        <w:contextualSpacing/>
        <w:jc w:val="both"/>
        <w:rPr>
          <w:rFonts w:ascii="Arial" w:hAnsi="Arial" w:cs="Arial"/>
        </w:rPr>
      </w:pPr>
    </w:p>
    <w:p w14:paraId="49625CB3" w14:textId="77777777" w:rsidR="0050431F" w:rsidRPr="00834635" w:rsidRDefault="0050431F" w:rsidP="0050431F">
      <w:pPr>
        <w:spacing w:line="264" w:lineRule="auto"/>
        <w:contextualSpacing/>
        <w:jc w:val="both"/>
        <w:rPr>
          <w:rFonts w:ascii="Arial" w:hAnsi="Arial" w:cs="Arial"/>
        </w:rPr>
      </w:pPr>
      <w:r>
        <w:rPr>
          <w:rFonts w:ascii="Arial" w:hAnsi="Arial" w:cs="Arial"/>
        </w:rPr>
        <w:t>Budget documentation indicates that this is a one-time request to be funded by KCIT Services fund balance and Executive staff note that the expectation is that no additional funds beyond this request are necessary to complete the proposed work.  Executive staff indicate that there are sufficient resources within agencies to migrate relevant content from the public website as it has already been factored into the KC.gov Web Presence project.</w:t>
      </w:r>
    </w:p>
    <w:p w14:paraId="5D8B205C" w14:textId="01DDCF18" w:rsidR="0050431F" w:rsidRDefault="0050431F" w:rsidP="0050431F">
      <w:pPr>
        <w:spacing w:line="264" w:lineRule="auto"/>
        <w:contextualSpacing/>
        <w:jc w:val="both"/>
        <w:rPr>
          <w:rFonts w:ascii="Arial" w:hAnsi="Arial" w:cs="Arial"/>
          <w:b/>
        </w:rPr>
      </w:pPr>
    </w:p>
    <w:p w14:paraId="355E8185" w14:textId="77777777" w:rsidR="0098133D" w:rsidRDefault="0098133D" w:rsidP="0050431F">
      <w:pPr>
        <w:spacing w:line="264" w:lineRule="auto"/>
        <w:contextualSpacing/>
        <w:jc w:val="both"/>
        <w:rPr>
          <w:rFonts w:ascii="Arial" w:hAnsi="Arial" w:cs="Arial"/>
          <w:b/>
        </w:rPr>
      </w:pPr>
    </w:p>
    <w:p w14:paraId="3D654163" w14:textId="77777777" w:rsidR="0050431F" w:rsidRPr="000E7446" w:rsidRDefault="0050431F" w:rsidP="0071110B">
      <w:pPr>
        <w:keepNext/>
        <w:keepLines/>
        <w:tabs>
          <w:tab w:val="left" w:pos="720"/>
          <w:tab w:val="right" w:pos="9360"/>
        </w:tabs>
        <w:spacing w:line="264" w:lineRule="auto"/>
        <w:contextualSpacing/>
        <w:jc w:val="both"/>
        <w:rPr>
          <w:rFonts w:ascii="Arial" w:hAnsi="Arial" w:cs="Arial"/>
          <w:b/>
          <w:u w:val="single"/>
        </w:rPr>
      </w:pPr>
      <w:r>
        <w:rPr>
          <w:rFonts w:ascii="Arial" w:hAnsi="Arial" w:cs="Arial"/>
          <w:b/>
          <w:u w:val="single"/>
        </w:rPr>
        <w:t>Department of Information Technology Capital</w:t>
      </w:r>
      <w:r w:rsidRPr="000E7446">
        <w:rPr>
          <w:rFonts w:ascii="Arial" w:hAnsi="Arial" w:cs="Arial"/>
          <w:b/>
          <w:u w:val="single"/>
        </w:rPr>
        <w:tab/>
        <w:t>$</w:t>
      </w:r>
      <w:r>
        <w:rPr>
          <w:rFonts w:ascii="Arial" w:hAnsi="Arial" w:cs="Arial"/>
          <w:b/>
          <w:u w:val="single"/>
        </w:rPr>
        <w:t>5,731,247</w:t>
      </w:r>
    </w:p>
    <w:p w14:paraId="708A563E" w14:textId="77777777" w:rsidR="0050431F" w:rsidRDefault="0050431F" w:rsidP="0071110B">
      <w:pPr>
        <w:keepNext/>
        <w:keepLines/>
        <w:spacing w:line="264" w:lineRule="auto"/>
        <w:contextualSpacing/>
        <w:jc w:val="both"/>
        <w:rPr>
          <w:b/>
        </w:rPr>
      </w:pPr>
    </w:p>
    <w:p w14:paraId="67790ED6" w14:textId="77777777" w:rsidR="0050431F" w:rsidRDefault="0050431F" w:rsidP="0071110B">
      <w:pPr>
        <w:keepNext/>
        <w:keepLines/>
        <w:spacing w:line="264" w:lineRule="auto"/>
        <w:contextualSpacing/>
        <w:jc w:val="both"/>
        <w:rPr>
          <w:rFonts w:ascii="Arial" w:hAnsi="Arial" w:cs="Arial"/>
          <w:bCs/>
        </w:rPr>
      </w:pPr>
      <w:r>
        <w:rPr>
          <w:rFonts w:ascii="Arial" w:hAnsi="Arial" w:cs="Arial"/>
          <w:b/>
          <w:i/>
          <w:iCs/>
        </w:rPr>
        <w:t xml:space="preserve">Network Equipment Replacement [$2,160,000]. </w:t>
      </w:r>
      <w:r>
        <w:rPr>
          <w:rFonts w:ascii="Arial" w:hAnsi="Arial" w:cs="Arial"/>
          <w:bCs/>
        </w:rPr>
        <w:t>The proposed ordinance would appropriate nearly $2.2 million to replace end of life enterprise network equipment used to provide the connections that enable County agencies to access specialized business applications and desktop business application such as Skype.  Budget documentation indicates that equipment at the end of its useful life is replaced in order of its business priority and criticality.</w:t>
      </w:r>
    </w:p>
    <w:p w14:paraId="2A3B252C" w14:textId="77777777" w:rsidR="0050431F" w:rsidRDefault="0050431F" w:rsidP="0050431F">
      <w:pPr>
        <w:spacing w:line="264" w:lineRule="auto"/>
        <w:contextualSpacing/>
        <w:jc w:val="both"/>
        <w:rPr>
          <w:rFonts w:ascii="Arial" w:hAnsi="Arial" w:cs="Arial"/>
          <w:bCs/>
        </w:rPr>
      </w:pPr>
    </w:p>
    <w:p w14:paraId="3A0DE55F" w14:textId="77777777" w:rsidR="0050431F" w:rsidRPr="002703FA" w:rsidRDefault="0050431F" w:rsidP="0050431F">
      <w:pPr>
        <w:spacing w:line="264" w:lineRule="auto"/>
        <w:contextualSpacing/>
        <w:jc w:val="both"/>
        <w:rPr>
          <w:rFonts w:ascii="Arial" w:hAnsi="Arial" w:cs="Arial"/>
          <w:bCs/>
        </w:rPr>
      </w:pPr>
      <w:r>
        <w:rPr>
          <w:rFonts w:ascii="Arial" w:hAnsi="Arial" w:cs="Arial"/>
          <w:bCs/>
        </w:rPr>
        <w:t xml:space="preserve">The proposed ordinance would fund the equipment replacement using KCIT Services operating fund balance and a commensurate transfer is included in the proposed ordinance.  Budget documents indicate that KCIT proposed in the 2021-2022 biennial budget a reduced appropriation for network equipment replacement due to COVID </w:t>
      </w:r>
      <w:r>
        <w:rPr>
          <w:rFonts w:ascii="Arial" w:hAnsi="Arial" w:cs="Arial"/>
          <w:bCs/>
        </w:rPr>
        <w:lastRenderedPageBreak/>
        <w:t>implications and targeted reductions.  However, the documents further state that the appropriated amount of $1.0 million in the 2021-2022 budget is not sufficient and the additional appropriation is needed for KCIT to meet its current service level agreements with departments that include goals for network availability and downtime.</w:t>
      </w:r>
    </w:p>
    <w:p w14:paraId="422545ED" w14:textId="77777777" w:rsidR="0050431F" w:rsidRDefault="0050431F" w:rsidP="0050431F">
      <w:pPr>
        <w:spacing w:line="264" w:lineRule="auto"/>
        <w:contextualSpacing/>
        <w:jc w:val="both"/>
        <w:rPr>
          <w:rFonts w:ascii="Arial" w:hAnsi="Arial" w:cs="Arial"/>
          <w:b/>
          <w:i/>
          <w:iCs/>
        </w:rPr>
      </w:pPr>
    </w:p>
    <w:p w14:paraId="2AF87BD3" w14:textId="77777777" w:rsidR="0050431F" w:rsidRDefault="0050431F" w:rsidP="0050431F">
      <w:pPr>
        <w:spacing w:line="264" w:lineRule="auto"/>
        <w:contextualSpacing/>
        <w:jc w:val="both"/>
        <w:rPr>
          <w:rFonts w:ascii="Arial" w:hAnsi="Arial" w:cs="Arial"/>
          <w:bCs/>
        </w:rPr>
      </w:pPr>
      <w:r>
        <w:rPr>
          <w:rFonts w:ascii="Arial" w:hAnsi="Arial" w:cs="Arial"/>
          <w:b/>
          <w:i/>
          <w:iCs/>
        </w:rPr>
        <w:t xml:space="preserve">Telecommute Solution for High Volume Data Processing [$1,201,750]. </w:t>
      </w:r>
      <w:r>
        <w:rPr>
          <w:rFonts w:ascii="Arial" w:hAnsi="Arial" w:cs="Arial"/>
          <w:bCs/>
        </w:rPr>
        <w:t xml:space="preserve">The proposed ordinance would appropriate approximately $1.2 million for a new technology project to purchase and implement a solution to reduce processing time for telecommuting County employees who work with large volumes of data.  Budget documentation indicates that processing large volumes of data remotely, such as in mapping and data analysis in GIS or blueprints in </w:t>
      </w:r>
      <w:proofErr w:type="spellStart"/>
      <w:r>
        <w:rPr>
          <w:rFonts w:ascii="Arial" w:hAnsi="Arial" w:cs="Arial"/>
          <w:bCs/>
        </w:rPr>
        <w:t>AutoCad</w:t>
      </w:r>
      <w:proofErr w:type="spellEnd"/>
      <w:r>
        <w:rPr>
          <w:rFonts w:ascii="Arial" w:hAnsi="Arial" w:cs="Arial"/>
          <w:bCs/>
        </w:rPr>
        <w:t xml:space="preserve">, is challenging, and that many "high </w:t>
      </w:r>
      <w:proofErr w:type="gramStart"/>
      <w:r>
        <w:rPr>
          <w:rFonts w:ascii="Arial" w:hAnsi="Arial" w:cs="Arial"/>
          <w:bCs/>
        </w:rPr>
        <w:t>compute</w:t>
      </w:r>
      <w:proofErr w:type="gramEnd"/>
      <w:r>
        <w:rPr>
          <w:rFonts w:ascii="Arial" w:hAnsi="Arial" w:cs="Arial"/>
          <w:bCs/>
        </w:rPr>
        <w:t xml:space="preserve">" roles are not expected to return to the office.  Executive staff further state that County data staff spend an average of two to eight hours processing a data job and project staff expect that processing will improve by more than 50 percent under the proposed solution based on a pilot test with Department of Natural Resources and Parks staff. </w:t>
      </w:r>
    </w:p>
    <w:p w14:paraId="19B3289E" w14:textId="77777777" w:rsidR="0050431F" w:rsidRDefault="0050431F" w:rsidP="0050431F">
      <w:pPr>
        <w:spacing w:line="264" w:lineRule="auto"/>
        <w:contextualSpacing/>
        <w:jc w:val="both"/>
        <w:rPr>
          <w:rFonts w:ascii="Arial" w:hAnsi="Arial" w:cs="Arial"/>
          <w:bCs/>
        </w:rPr>
      </w:pPr>
    </w:p>
    <w:p w14:paraId="0929FC82" w14:textId="77777777" w:rsidR="0050431F" w:rsidRDefault="0050431F" w:rsidP="0050431F">
      <w:pPr>
        <w:spacing w:line="264" w:lineRule="auto"/>
        <w:contextualSpacing/>
        <w:jc w:val="both"/>
        <w:rPr>
          <w:rFonts w:ascii="Arial" w:hAnsi="Arial" w:cs="Arial"/>
          <w:bCs/>
        </w:rPr>
      </w:pPr>
      <w:r>
        <w:rPr>
          <w:rFonts w:ascii="Arial" w:hAnsi="Arial" w:cs="Arial"/>
          <w:bCs/>
        </w:rPr>
        <w:t>This appropriation would be funded through KCIT Services fund balance and a commensurate transfer is included in the proposed ordinance.  A 15 percent contingency is included in the appropriation request, though budget documentation notes there are minimal risks to this project and that the biggest risk is lead time for ordering equipment due to the current computer chip shortage.</w:t>
      </w:r>
    </w:p>
    <w:p w14:paraId="2AC8C92A" w14:textId="77777777" w:rsidR="0050431F" w:rsidRDefault="0050431F" w:rsidP="0050431F">
      <w:pPr>
        <w:spacing w:line="264" w:lineRule="auto"/>
        <w:contextualSpacing/>
        <w:jc w:val="both"/>
        <w:rPr>
          <w:rFonts w:ascii="Arial" w:hAnsi="Arial" w:cs="Arial"/>
          <w:bCs/>
        </w:rPr>
      </w:pPr>
    </w:p>
    <w:p w14:paraId="73DA241A" w14:textId="77777777" w:rsidR="0050431F" w:rsidRDefault="0050431F" w:rsidP="0050431F">
      <w:pPr>
        <w:spacing w:line="264" w:lineRule="auto"/>
        <w:contextualSpacing/>
        <w:jc w:val="both"/>
        <w:rPr>
          <w:rFonts w:ascii="Arial" w:hAnsi="Arial" w:cs="Arial"/>
          <w:bCs/>
        </w:rPr>
      </w:pPr>
      <w:r>
        <w:rPr>
          <w:rFonts w:ascii="Arial" w:hAnsi="Arial" w:cs="Arial"/>
          <w:b/>
          <w:i/>
          <w:iCs/>
        </w:rPr>
        <w:t xml:space="preserve">IT Financial Management (ITFM) System Implementation [$909,347].  </w:t>
      </w:r>
      <w:r>
        <w:rPr>
          <w:rFonts w:ascii="Arial" w:hAnsi="Arial" w:cs="Arial"/>
          <w:bCs/>
        </w:rPr>
        <w:t>The proposed ordinance would appropriate approximately $909,000 for a new technology project to purchase a financial management system to modernize the development of and transparency for KCIT central rates and services.  Budget documentation indicates that KCIT is one of the largest internal service funds in the County and currently, the majority of the budget and rate development, expenditure forecasting, and vendor management is done manually using department-specific Excel spreadsheets.  Documentation further states that rate models have been challenged in recent years to demonstrate how enterprise IT decisions add value to Departments.  A 2019 King County Auditor's report</w:t>
      </w:r>
      <w:r>
        <w:rPr>
          <w:rStyle w:val="FootnoteReference"/>
          <w:rFonts w:ascii="Arial" w:hAnsi="Arial" w:cs="Arial"/>
          <w:bCs/>
        </w:rPr>
        <w:footnoteReference w:id="73"/>
      </w:r>
      <w:r>
        <w:rPr>
          <w:rFonts w:ascii="Arial" w:hAnsi="Arial" w:cs="Arial"/>
          <w:bCs/>
        </w:rPr>
        <w:t xml:space="preserve"> provided that "King County Information Technology's (KCIT) rate model lacks transparency.  Its unnecessary complexity hinders accuracy, consistency, and oversight" and offered a series of recommendations including for KCIT to "update its rate model to reduce complexity and improve consistency, accuracy, and oversight" such as through the reduction of the number of calculations and spreadsheets supporting the model.  Executive staff indicate that the proposed technology tool is anticipated to address the Auditors' recommendations on IT rates through the use of new capabilities such as automated data aggregation.</w:t>
      </w:r>
    </w:p>
    <w:p w14:paraId="12A7DD1A" w14:textId="77777777" w:rsidR="0050431F" w:rsidRDefault="0050431F" w:rsidP="0050431F">
      <w:pPr>
        <w:spacing w:line="264" w:lineRule="auto"/>
        <w:contextualSpacing/>
        <w:jc w:val="both"/>
        <w:rPr>
          <w:rFonts w:ascii="Arial" w:hAnsi="Arial" w:cs="Arial"/>
          <w:bCs/>
        </w:rPr>
      </w:pPr>
    </w:p>
    <w:p w14:paraId="4CD9F866" w14:textId="77777777" w:rsidR="0050431F" w:rsidRDefault="0050431F" w:rsidP="0050431F">
      <w:pPr>
        <w:spacing w:line="264" w:lineRule="auto"/>
        <w:contextualSpacing/>
        <w:jc w:val="both"/>
        <w:rPr>
          <w:rFonts w:ascii="Arial" w:hAnsi="Arial" w:cs="Arial"/>
          <w:bCs/>
        </w:rPr>
      </w:pPr>
      <w:r>
        <w:rPr>
          <w:rFonts w:ascii="Arial" w:hAnsi="Arial" w:cs="Arial"/>
          <w:bCs/>
        </w:rPr>
        <w:lastRenderedPageBreak/>
        <w:t xml:space="preserve">Budget documentation indicates that the appropriation request would be funded with KCIT Services and a commensurate transfer is included in the proposed ordinance.  The proposed appropriation would support the first year vendor costs (including licenses, support, and vendor training), third-party implementation costs, BRC costs, and a 20 percent contingency.  According to budget documents, an additional approximately $515,000 is to be provided by KCIT in-kind for implementation and ongoing operational costs for the tool are estimated at approximately $620,000 annually. </w:t>
      </w:r>
    </w:p>
    <w:p w14:paraId="611B459B" w14:textId="77777777" w:rsidR="0050431F" w:rsidRDefault="0050431F" w:rsidP="0050431F">
      <w:pPr>
        <w:spacing w:line="264" w:lineRule="auto"/>
        <w:contextualSpacing/>
        <w:jc w:val="both"/>
        <w:rPr>
          <w:rFonts w:ascii="Arial" w:hAnsi="Arial" w:cs="Arial"/>
          <w:bCs/>
        </w:rPr>
      </w:pPr>
    </w:p>
    <w:p w14:paraId="6E4A425E" w14:textId="77777777" w:rsidR="0050431F" w:rsidRDefault="0050431F" w:rsidP="0050431F">
      <w:pPr>
        <w:spacing w:line="264" w:lineRule="auto"/>
        <w:contextualSpacing/>
        <w:jc w:val="both"/>
        <w:rPr>
          <w:rFonts w:ascii="Arial" w:hAnsi="Arial" w:cs="Arial"/>
          <w:bCs/>
        </w:rPr>
      </w:pPr>
      <w:r>
        <w:rPr>
          <w:rFonts w:ascii="Arial" w:hAnsi="Arial" w:cs="Arial"/>
          <w:bCs/>
        </w:rPr>
        <w:t xml:space="preserve">Project implementation is expected to begin in 2021 so that it can be used to determine the 2023-2024 KCIT central rate for budget development, though project documentation identify this project as high risk due to resource constraints and its aggressive implementation schedule.  Documentation further notes that it is possible that the project may require additional time and resources for successful implementation. </w:t>
      </w:r>
    </w:p>
    <w:p w14:paraId="31E1020A" w14:textId="77777777" w:rsidR="0050431F" w:rsidRPr="003657A0" w:rsidRDefault="0050431F" w:rsidP="0050431F">
      <w:pPr>
        <w:spacing w:line="264" w:lineRule="auto"/>
        <w:contextualSpacing/>
        <w:jc w:val="both"/>
        <w:rPr>
          <w:rFonts w:ascii="Arial" w:hAnsi="Arial" w:cs="Arial"/>
          <w:bCs/>
        </w:rPr>
      </w:pPr>
    </w:p>
    <w:p w14:paraId="20181712" w14:textId="77777777" w:rsidR="0050431F" w:rsidRDefault="0050431F" w:rsidP="0050431F">
      <w:pPr>
        <w:spacing w:line="264" w:lineRule="auto"/>
        <w:contextualSpacing/>
        <w:jc w:val="both"/>
        <w:rPr>
          <w:rFonts w:ascii="Arial" w:hAnsi="Arial" w:cs="Arial"/>
          <w:bCs/>
        </w:rPr>
      </w:pPr>
      <w:r>
        <w:rPr>
          <w:rFonts w:ascii="Arial" w:hAnsi="Arial" w:cs="Arial"/>
          <w:b/>
          <w:i/>
          <w:iCs/>
        </w:rPr>
        <w:t xml:space="preserve">Enterprise Data Catalog [$660,000]. </w:t>
      </w:r>
      <w:r>
        <w:rPr>
          <w:rFonts w:ascii="Arial" w:hAnsi="Arial" w:cs="Arial"/>
          <w:bCs/>
        </w:rPr>
        <w:t xml:space="preserve">The proposed ordinance would appropriate approximately $660,000 for a new technology project to develop an enterprise data catalog that would eventually inventory all structured data sources across County government.  Executive staff liken a data catalog to a card catalog at a library and note it would provide a comprehensive view of data located across agencies and allow users to locate data assets within existing hubs and systems.  Project documentation indicates that King County supports and maintains thousands of databases and other data-related assets and there are potential opportunities to "gather insights, improve efficiencies, and communicate vital information to King County residents" if data users can find, understand, trust, and access the data.  Documentation also indicates there is significant risk to the County not knowing where all the data is held, who has access to it, and how it is being used. </w:t>
      </w:r>
    </w:p>
    <w:p w14:paraId="5739D46C" w14:textId="77777777" w:rsidR="0050431F" w:rsidRDefault="0050431F" w:rsidP="0050431F">
      <w:pPr>
        <w:spacing w:line="264" w:lineRule="auto"/>
        <w:contextualSpacing/>
        <w:jc w:val="both"/>
        <w:rPr>
          <w:rFonts w:ascii="Arial" w:hAnsi="Arial" w:cs="Arial"/>
          <w:bCs/>
        </w:rPr>
      </w:pPr>
    </w:p>
    <w:p w14:paraId="609706A1" w14:textId="77777777" w:rsidR="0050431F" w:rsidRPr="00CE7CC3" w:rsidRDefault="0050431F" w:rsidP="0050431F">
      <w:pPr>
        <w:spacing w:line="264" w:lineRule="auto"/>
        <w:contextualSpacing/>
        <w:jc w:val="both"/>
        <w:rPr>
          <w:rFonts w:ascii="Arial" w:hAnsi="Arial" w:cs="Arial"/>
          <w:bCs/>
        </w:rPr>
      </w:pPr>
      <w:r>
        <w:rPr>
          <w:rFonts w:ascii="Arial" w:hAnsi="Arial" w:cs="Arial"/>
          <w:bCs/>
        </w:rPr>
        <w:t xml:space="preserve">Budget documentation indicates the capital request in the proposed ordinance would be funded by KCIT Services fund balance and would support KCIT/BRC labor, consulting services, and software/hardware purchases, as well as a ten percent contingency.  Documentation also notes that annual ongoing project costs after completion are estimated at $250,000.  A commensurate transfer is included in the proposed ordinance. </w:t>
      </w:r>
    </w:p>
    <w:p w14:paraId="1CE62EB3" w14:textId="77777777" w:rsidR="0050431F" w:rsidRDefault="0050431F" w:rsidP="0050431F">
      <w:pPr>
        <w:spacing w:line="264" w:lineRule="auto"/>
        <w:contextualSpacing/>
        <w:jc w:val="both"/>
        <w:rPr>
          <w:rFonts w:ascii="Arial" w:hAnsi="Arial" w:cs="Arial"/>
          <w:b/>
          <w:i/>
          <w:iCs/>
        </w:rPr>
      </w:pPr>
    </w:p>
    <w:p w14:paraId="459A4532" w14:textId="77777777" w:rsidR="0050431F" w:rsidRDefault="0050431F" w:rsidP="0050431F">
      <w:pPr>
        <w:spacing w:line="264" w:lineRule="auto"/>
        <w:contextualSpacing/>
        <w:jc w:val="both"/>
        <w:rPr>
          <w:rFonts w:ascii="Arial" w:hAnsi="Arial" w:cs="Arial"/>
          <w:bCs/>
        </w:rPr>
      </w:pPr>
      <w:r>
        <w:rPr>
          <w:rFonts w:ascii="Arial" w:hAnsi="Arial" w:cs="Arial"/>
          <w:b/>
          <w:i/>
          <w:iCs/>
        </w:rPr>
        <w:t xml:space="preserve">PPM Pro Expansion [$300,150].  </w:t>
      </w:r>
      <w:r>
        <w:rPr>
          <w:rFonts w:ascii="Arial" w:hAnsi="Arial" w:cs="Arial"/>
          <w:bCs/>
        </w:rPr>
        <w:t xml:space="preserve">The proposed ordinance would appropriate approximately $300,000 for a new technology project to purchase additional modules in the PPM Pro software system.  Executive staff indicate that PPM Pro is used by KCIT to manage technology-related capital and operational projects and investments, which is currently estimated at $618 million.  According to Executive staff, these additional modules would "help improve KCIT's access to near real-time automated data transmission of project activities, which is greatly needed given the quantity and complexity of projects" and "help KCIT manage multiple delivery methods - scaled-agile, hybrid and waterfall delivery - as well as increase the agency's ability to manage risk, </w:t>
      </w:r>
      <w:r>
        <w:rPr>
          <w:rFonts w:ascii="Arial" w:hAnsi="Arial" w:cs="Arial"/>
          <w:bCs/>
        </w:rPr>
        <w:lastRenderedPageBreak/>
        <w:t>project deliverables, quality assurance recommendations and other necessary information."</w:t>
      </w:r>
    </w:p>
    <w:p w14:paraId="4A5D6388" w14:textId="77777777" w:rsidR="0050431F" w:rsidRDefault="0050431F" w:rsidP="0050431F">
      <w:pPr>
        <w:spacing w:line="264" w:lineRule="auto"/>
        <w:contextualSpacing/>
        <w:jc w:val="both"/>
        <w:rPr>
          <w:rFonts w:ascii="Arial" w:hAnsi="Arial" w:cs="Arial"/>
          <w:bCs/>
        </w:rPr>
      </w:pPr>
    </w:p>
    <w:p w14:paraId="7BC04679" w14:textId="77777777" w:rsidR="0050431F" w:rsidRPr="009C7B05" w:rsidRDefault="0050431F" w:rsidP="0050431F">
      <w:pPr>
        <w:spacing w:line="264" w:lineRule="auto"/>
        <w:contextualSpacing/>
        <w:jc w:val="both"/>
        <w:rPr>
          <w:rFonts w:ascii="Arial" w:hAnsi="Arial" w:cs="Arial"/>
          <w:bCs/>
        </w:rPr>
      </w:pPr>
      <w:r>
        <w:rPr>
          <w:rFonts w:ascii="Arial" w:hAnsi="Arial" w:cs="Arial"/>
          <w:bCs/>
        </w:rPr>
        <w:t>Budget documentation indicates that the appropriation request would be funded by KCIT Services fund balance and would support consulting resources, KCIT/BRC labor, and a 15 percent contingency.  Documentation further states that approximately $645,000 would be provided by KCIT in-kind for capital project implementation and annual operating costs for the tool are estimated at $190,000.</w:t>
      </w:r>
    </w:p>
    <w:p w14:paraId="1A5C89A5" w14:textId="77777777" w:rsidR="0050431F" w:rsidRDefault="0050431F" w:rsidP="0050431F">
      <w:pPr>
        <w:spacing w:line="264" w:lineRule="auto"/>
        <w:contextualSpacing/>
        <w:jc w:val="both"/>
        <w:rPr>
          <w:rFonts w:ascii="Arial" w:hAnsi="Arial" w:cs="Arial"/>
          <w:b/>
          <w:i/>
          <w:iCs/>
        </w:rPr>
      </w:pPr>
    </w:p>
    <w:p w14:paraId="6B1931D1" w14:textId="77777777" w:rsidR="0050431F" w:rsidRDefault="0050431F" w:rsidP="0050431F">
      <w:pPr>
        <w:spacing w:line="264" w:lineRule="auto"/>
        <w:contextualSpacing/>
        <w:jc w:val="both"/>
        <w:rPr>
          <w:rFonts w:ascii="Arial" w:hAnsi="Arial" w:cs="Arial"/>
          <w:bCs/>
        </w:rPr>
      </w:pPr>
      <w:r>
        <w:rPr>
          <w:rFonts w:ascii="Arial" w:hAnsi="Arial" w:cs="Arial"/>
          <w:b/>
          <w:i/>
          <w:iCs/>
        </w:rPr>
        <w:t xml:space="preserve">Security Access Projects [$500,000].  </w:t>
      </w:r>
      <w:r>
        <w:rPr>
          <w:rFonts w:ascii="Arial" w:hAnsi="Arial" w:cs="Arial"/>
          <w:bCs/>
        </w:rPr>
        <w:t>The proposed ordinance would appropriate approximately $500,000 for a new technology master project to implement three cybersecurity initiatives related to access.  Budget documents describe the three initiatives as follows:</w:t>
      </w:r>
    </w:p>
    <w:p w14:paraId="40990594" w14:textId="77777777" w:rsidR="0050431F" w:rsidRDefault="0050431F" w:rsidP="0050431F">
      <w:pPr>
        <w:pStyle w:val="ListParagraph0"/>
        <w:numPr>
          <w:ilvl w:val="0"/>
          <w:numId w:val="19"/>
        </w:numPr>
        <w:spacing w:line="264" w:lineRule="auto"/>
        <w:contextualSpacing/>
        <w:jc w:val="both"/>
        <w:rPr>
          <w:rFonts w:ascii="Arial" w:hAnsi="Arial" w:cs="Arial"/>
          <w:bCs/>
        </w:rPr>
      </w:pPr>
      <w:r w:rsidRPr="002458BF">
        <w:rPr>
          <w:rFonts w:ascii="Arial" w:hAnsi="Arial" w:cs="Arial"/>
          <w:bCs/>
          <w:u w:val="single"/>
        </w:rPr>
        <w:t>Vendor Access Management [$185,000]</w:t>
      </w:r>
      <w:r>
        <w:rPr>
          <w:rFonts w:ascii="Arial" w:hAnsi="Arial" w:cs="Arial"/>
          <w:bCs/>
        </w:rPr>
        <w:t xml:space="preserve"> - This initiative would implement a vendor access technology solution to better control access that vendors and third parties have over certain King County technology assets to perform contractual obligations.</w:t>
      </w:r>
    </w:p>
    <w:p w14:paraId="4977D2E9" w14:textId="77777777" w:rsidR="0050431F" w:rsidRDefault="0050431F" w:rsidP="0050431F">
      <w:pPr>
        <w:pStyle w:val="ListParagraph0"/>
        <w:spacing w:line="264" w:lineRule="auto"/>
        <w:contextualSpacing/>
        <w:jc w:val="both"/>
        <w:rPr>
          <w:rFonts w:ascii="Arial" w:hAnsi="Arial" w:cs="Arial"/>
          <w:bCs/>
        </w:rPr>
      </w:pPr>
    </w:p>
    <w:p w14:paraId="14E30DD0" w14:textId="77777777" w:rsidR="0050431F" w:rsidRDefault="0050431F" w:rsidP="0050431F">
      <w:pPr>
        <w:pStyle w:val="ListParagraph0"/>
        <w:numPr>
          <w:ilvl w:val="0"/>
          <w:numId w:val="19"/>
        </w:numPr>
        <w:spacing w:line="264" w:lineRule="auto"/>
        <w:contextualSpacing/>
        <w:jc w:val="both"/>
        <w:rPr>
          <w:rFonts w:ascii="Arial" w:hAnsi="Arial" w:cs="Arial"/>
          <w:bCs/>
        </w:rPr>
      </w:pPr>
      <w:r w:rsidRPr="002458BF">
        <w:rPr>
          <w:rFonts w:ascii="Arial" w:hAnsi="Arial" w:cs="Arial"/>
          <w:bCs/>
          <w:u w:val="single"/>
        </w:rPr>
        <w:t>Enterprise Password Management [$65,000]</w:t>
      </w:r>
      <w:r>
        <w:rPr>
          <w:rFonts w:ascii="Arial" w:hAnsi="Arial" w:cs="Arial"/>
          <w:bCs/>
        </w:rPr>
        <w:t xml:space="preserve"> - This initiative would provide the County with a secure and auditable mechanism for shared and/or privileged credentials used for social media accounts, managing new hardware/software procured by the County, IT administrative accounts, and other privileged accounts.</w:t>
      </w:r>
    </w:p>
    <w:p w14:paraId="65959DE1" w14:textId="77777777" w:rsidR="0050431F" w:rsidRDefault="0050431F" w:rsidP="0050431F">
      <w:pPr>
        <w:pStyle w:val="ListParagraph0"/>
        <w:spacing w:line="264" w:lineRule="auto"/>
        <w:contextualSpacing/>
        <w:jc w:val="both"/>
        <w:rPr>
          <w:rFonts w:ascii="Arial" w:hAnsi="Arial" w:cs="Arial"/>
          <w:bCs/>
        </w:rPr>
      </w:pPr>
    </w:p>
    <w:p w14:paraId="37D6BF38" w14:textId="5F44FEE4" w:rsidR="0050431F" w:rsidRDefault="0050431F" w:rsidP="0050431F">
      <w:pPr>
        <w:pStyle w:val="ListParagraph0"/>
        <w:numPr>
          <w:ilvl w:val="0"/>
          <w:numId w:val="19"/>
        </w:numPr>
        <w:spacing w:line="264" w:lineRule="auto"/>
        <w:contextualSpacing/>
        <w:jc w:val="both"/>
        <w:rPr>
          <w:rFonts w:ascii="Arial" w:hAnsi="Arial" w:cs="Arial"/>
          <w:bCs/>
        </w:rPr>
      </w:pPr>
      <w:r w:rsidRPr="002458BF">
        <w:rPr>
          <w:rFonts w:ascii="Arial" w:hAnsi="Arial" w:cs="Arial"/>
          <w:bCs/>
          <w:u w:val="single"/>
        </w:rPr>
        <w:t>Identity Governance and Administration [$250,000]</w:t>
      </w:r>
      <w:r>
        <w:rPr>
          <w:rFonts w:ascii="Arial" w:hAnsi="Arial" w:cs="Arial"/>
          <w:bCs/>
        </w:rPr>
        <w:t xml:space="preserve"> - This initiative would route requests to access specific technology assets directly to the asset owner or authorized party who can determine if the request is </w:t>
      </w:r>
      <w:r w:rsidR="0035157C">
        <w:rPr>
          <w:rFonts w:ascii="Arial" w:hAnsi="Arial" w:cs="Arial"/>
          <w:bCs/>
        </w:rPr>
        <w:t>appropriate and</w:t>
      </w:r>
      <w:r>
        <w:rPr>
          <w:rFonts w:ascii="Arial" w:hAnsi="Arial" w:cs="Arial"/>
          <w:bCs/>
        </w:rPr>
        <w:t xml:space="preserve"> would also allow asset owners to regularly audit access.  Executive staff indicate that the County will need this ability with all technology asset types (e.g., hardware, software, data, identities/credentials), but they expect to initially focus on management requirements for electronic medical and health records solutions and data.</w:t>
      </w:r>
    </w:p>
    <w:p w14:paraId="44729232" w14:textId="77777777" w:rsidR="0050431F" w:rsidRDefault="0050431F" w:rsidP="0050431F">
      <w:pPr>
        <w:spacing w:line="264" w:lineRule="auto"/>
        <w:contextualSpacing/>
        <w:jc w:val="both"/>
        <w:rPr>
          <w:rFonts w:ascii="Arial" w:hAnsi="Arial" w:cs="Arial"/>
          <w:bCs/>
        </w:rPr>
      </w:pPr>
    </w:p>
    <w:p w14:paraId="7A5F739C" w14:textId="77777777" w:rsidR="0050431F" w:rsidRPr="00F861DB" w:rsidRDefault="0050431F" w:rsidP="0050431F">
      <w:pPr>
        <w:spacing w:line="264" w:lineRule="auto"/>
        <w:contextualSpacing/>
        <w:jc w:val="both"/>
        <w:rPr>
          <w:rFonts w:ascii="Arial" w:hAnsi="Arial" w:cs="Arial"/>
          <w:bCs/>
        </w:rPr>
      </w:pPr>
      <w:r>
        <w:rPr>
          <w:rFonts w:ascii="Arial" w:hAnsi="Arial" w:cs="Arial"/>
          <w:bCs/>
        </w:rPr>
        <w:t>Budget documentation indicates that these initiatives were identified under routine cybersecurity gap analyses regularly conducted by KCIT and note that the Office of Risk Management Services would fund $265,000 from the loss control fund assistance program and the remaining $235,000 would be funded by KCIT Services fund balance.  A commensurate transfer is included in the proposed ordinance.  Documentation further estimates that approximately $213,000 would be provided in-kind by KCIT for implementation and estimates that ongoing costs would be between $50,000 and $100,000.</w:t>
      </w:r>
    </w:p>
    <w:p w14:paraId="1ED42CBB" w14:textId="7890C3DD" w:rsidR="0035157C" w:rsidRDefault="0035157C" w:rsidP="00AB45DE">
      <w:pPr>
        <w:spacing w:line="264" w:lineRule="auto"/>
        <w:contextualSpacing/>
        <w:jc w:val="both"/>
        <w:rPr>
          <w:rFonts w:ascii="Arial" w:hAnsi="Arial" w:cs="Arial"/>
        </w:rPr>
      </w:pPr>
    </w:p>
    <w:p w14:paraId="33C39724" w14:textId="4FCC613B" w:rsidR="00765EE6" w:rsidRDefault="00765EE6" w:rsidP="00AB45DE">
      <w:pPr>
        <w:spacing w:line="264" w:lineRule="auto"/>
        <w:contextualSpacing/>
        <w:jc w:val="both"/>
        <w:rPr>
          <w:rFonts w:ascii="Arial" w:hAnsi="Arial" w:cs="Arial"/>
        </w:rPr>
      </w:pPr>
    </w:p>
    <w:p w14:paraId="6EBB001A" w14:textId="16FFE653" w:rsidR="007F789A" w:rsidRDefault="007F789A" w:rsidP="00AB45DE">
      <w:pPr>
        <w:spacing w:line="264" w:lineRule="auto"/>
        <w:contextualSpacing/>
        <w:jc w:val="both"/>
        <w:rPr>
          <w:rFonts w:ascii="Arial" w:hAnsi="Arial" w:cs="Arial"/>
        </w:rPr>
      </w:pPr>
    </w:p>
    <w:p w14:paraId="7233C1CF" w14:textId="77777777" w:rsidR="007F789A" w:rsidRDefault="007F789A" w:rsidP="00AB45DE">
      <w:pPr>
        <w:spacing w:line="264" w:lineRule="auto"/>
        <w:contextualSpacing/>
        <w:jc w:val="both"/>
        <w:rPr>
          <w:rFonts w:ascii="Arial" w:hAnsi="Arial" w:cs="Arial"/>
        </w:rPr>
      </w:pPr>
    </w:p>
    <w:p w14:paraId="404C68FC" w14:textId="77777777" w:rsidR="00AB45DE" w:rsidRPr="000E7446" w:rsidRDefault="00AB45DE" w:rsidP="00AB45DE">
      <w:pPr>
        <w:tabs>
          <w:tab w:val="left" w:pos="720"/>
          <w:tab w:val="right" w:pos="9360"/>
        </w:tabs>
        <w:spacing w:line="264" w:lineRule="auto"/>
        <w:contextualSpacing/>
        <w:jc w:val="both"/>
        <w:rPr>
          <w:rFonts w:ascii="Arial" w:hAnsi="Arial" w:cs="Arial"/>
          <w:b/>
          <w:u w:val="single"/>
        </w:rPr>
      </w:pPr>
      <w:r>
        <w:rPr>
          <w:rFonts w:ascii="Arial" w:hAnsi="Arial" w:cs="Arial"/>
          <w:b/>
          <w:u w:val="single"/>
        </w:rPr>
        <w:lastRenderedPageBreak/>
        <w:t>Department of Executive Services (DES) Technology Capital</w:t>
      </w:r>
      <w:r w:rsidRPr="000E7446">
        <w:rPr>
          <w:rFonts w:ascii="Arial" w:hAnsi="Arial" w:cs="Arial"/>
          <w:b/>
          <w:u w:val="single"/>
        </w:rPr>
        <w:tab/>
        <w:t>$</w:t>
      </w:r>
      <w:r>
        <w:rPr>
          <w:rFonts w:ascii="Arial" w:hAnsi="Arial" w:cs="Arial"/>
          <w:b/>
          <w:u w:val="single"/>
        </w:rPr>
        <w:t>25,000</w:t>
      </w:r>
    </w:p>
    <w:p w14:paraId="4E6452CE" w14:textId="77777777" w:rsidR="00AB45DE" w:rsidRDefault="00AB45DE" w:rsidP="00AB45DE">
      <w:pPr>
        <w:spacing w:line="264" w:lineRule="auto"/>
        <w:contextualSpacing/>
        <w:jc w:val="both"/>
        <w:rPr>
          <w:b/>
        </w:rPr>
      </w:pPr>
    </w:p>
    <w:p w14:paraId="79C978B5" w14:textId="77777777" w:rsidR="00AB45DE" w:rsidRDefault="00AB45DE" w:rsidP="00AB45DE">
      <w:pPr>
        <w:spacing w:line="264" w:lineRule="auto"/>
        <w:contextualSpacing/>
        <w:jc w:val="both"/>
        <w:rPr>
          <w:rFonts w:ascii="Arial" w:hAnsi="Arial" w:cs="Arial"/>
          <w:b/>
        </w:rPr>
      </w:pPr>
      <w:r>
        <w:rPr>
          <w:rFonts w:ascii="Arial" w:hAnsi="Arial" w:cs="Arial"/>
          <w:b/>
        </w:rPr>
        <w:t>TECHNICAL</w:t>
      </w:r>
    </w:p>
    <w:p w14:paraId="4128A9B8" w14:textId="77777777" w:rsidR="00AB45DE" w:rsidRDefault="00AB45DE" w:rsidP="00AB45DE">
      <w:pPr>
        <w:spacing w:line="264" w:lineRule="auto"/>
        <w:contextualSpacing/>
        <w:jc w:val="both"/>
        <w:rPr>
          <w:rFonts w:ascii="Arial" w:hAnsi="Arial" w:cs="Arial"/>
        </w:rPr>
      </w:pPr>
      <w:r>
        <w:rPr>
          <w:rFonts w:ascii="Arial" w:hAnsi="Arial" w:cs="Arial"/>
          <w:b/>
          <w:i/>
          <w:iCs/>
        </w:rPr>
        <w:t>DES Fleet Fuel Management System [</w:t>
      </w:r>
      <w:r w:rsidRPr="0054665B">
        <w:rPr>
          <w:rFonts w:ascii="Arial" w:hAnsi="Arial" w:cs="Arial"/>
          <w:b/>
          <w:i/>
          <w:iCs/>
        </w:rPr>
        <w:t>$</w:t>
      </w:r>
      <w:r>
        <w:rPr>
          <w:rFonts w:ascii="Arial" w:hAnsi="Arial" w:cs="Arial"/>
          <w:b/>
          <w:i/>
          <w:iCs/>
        </w:rPr>
        <w:t>25,000]</w:t>
      </w:r>
      <w:r w:rsidRPr="0054665B">
        <w:rPr>
          <w:rFonts w:ascii="Arial" w:hAnsi="Arial" w:cs="Arial"/>
          <w:b/>
          <w:i/>
          <w:iCs/>
        </w:rPr>
        <w:t>.</w:t>
      </w:r>
      <w:r>
        <w:rPr>
          <w:rFonts w:ascii="Arial" w:hAnsi="Arial" w:cs="Arial"/>
          <w:b/>
        </w:rPr>
        <w:t xml:space="preserve">  </w:t>
      </w:r>
      <w:r>
        <w:rPr>
          <w:rFonts w:ascii="Arial" w:hAnsi="Arial" w:cs="Arial"/>
        </w:rPr>
        <w:t>The proposed appropriation would cover unplanned KCIT infrastructure costs to replace the county’s fuel management system and fuel dispensers and upgrade county fueling sites. The original budget for this project was $473,331.</w:t>
      </w:r>
    </w:p>
    <w:p w14:paraId="1746FE49" w14:textId="2CB3D874" w:rsidR="007F789A" w:rsidRDefault="007F789A" w:rsidP="000D356F">
      <w:pPr>
        <w:spacing w:line="264" w:lineRule="auto"/>
        <w:jc w:val="both"/>
        <w:rPr>
          <w:rFonts w:ascii="Arial" w:hAnsi="Arial" w:cs="Arial"/>
          <w:szCs w:val="24"/>
        </w:rPr>
      </w:pPr>
    </w:p>
    <w:p w14:paraId="0A83B735" w14:textId="77777777" w:rsidR="007F789A" w:rsidRDefault="007F789A" w:rsidP="000D356F">
      <w:pPr>
        <w:spacing w:line="264" w:lineRule="auto"/>
        <w:jc w:val="both"/>
        <w:rPr>
          <w:rFonts w:ascii="Arial" w:hAnsi="Arial" w:cs="Arial"/>
          <w:szCs w:val="24"/>
        </w:rPr>
      </w:pPr>
    </w:p>
    <w:p w14:paraId="3DA687C7" w14:textId="3D4775CF" w:rsidR="001F4A07" w:rsidRPr="00B72BC7" w:rsidRDefault="001F4A07" w:rsidP="000D356F">
      <w:pPr>
        <w:spacing w:line="264" w:lineRule="auto"/>
        <w:jc w:val="both"/>
        <w:rPr>
          <w:rFonts w:ascii="Arial" w:hAnsi="Arial" w:cs="Arial"/>
          <w:b/>
          <w:szCs w:val="24"/>
          <w:u w:val="single"/>
        </w:rPr>
      </w:pPr>
      <w:r>
        <w:rPr>
          <w:rFonts w:ascii="Arial" w:hAnsi="Arial" w:cs="Arial"/>
          <w:b/>
          <w:szCs w:val="24"/>
          <w:u w:val="single"/>
        </w:rPr>
        <w:t>TIMING</w:t>
      </w:r>
    </w:p>
    <w:p w14:paraId="38B3BFF9" w14:textId="77777777" w:rsidR="001F4A07" w:rsidRPr="00B72BC7" w:rsidRDefault="001F4A07" w:rsidP="000D356F">
      <w:pPr>
        <w:spacing w:line="264" w:lineRule="auto"/>
        <w:jc w:val="both"/>
        <w:rPr>
          <w:rFonts w:ascii="Arial" w:hAnsi="Arial" w:cs="Arial"/>
          <w:szCs w:val="24"/>
          <w:highlight w:val="yellow"/>
        </w:rPr>
      </w:pPr>
    </w:p>
    <w:p w14:paraId="62D895C3" w14:textId="68C518B2" w:rsidR="001F4A07" w:rsidRDefault="001F4A07" w:rsidP="000D356F">
      <w:pPr>
        <w:spacing w:line="264" w:lineRule="auto"/>
        <w:jc w:val="both"/>
        <w:rPr>
          <w:rFonts w:ascii="Arial" w:hAnsi="Arial" w:cs="Arial"/>
        </w:rPr>
      </w:pPr>
      <w:r>
        <w:rPr>
          <w:rFonts w:ascii="Arial" w:hAnsi="Arial" w:cs="Arial"/>
        </w:rPr>
        <w:t xml:space="preserve">The BFM Chair, in consultation with staff, </w:t>
      </w:r>
      <w:r w:rsidRPr="00BB7452">
        <w:rPr>
          <w:rFonts w:ascii="Arial" w:hAnsi="Arial" w:cs="Arial"/>
        </w:rPr>
        <w:t>has proposed a schedule for</w:t>
      </w:r>
      <w:r w:rsidR="0092213C">
        <w:rPr>
          <w:rFonts w:ascii="Arial" w:hAnsi="Arial" w:cs="Arial"/>
        </w:rPr>
        <w:t xml:space="preserve"> the</w:t>
      </w:r>
      <w:r>
        <w:rPr>
          <w:rFonts w:ascii="Arial" w:hAnsi="Arial" w:cs="Arial"/>
        </w:rPr>
        <w:t xml:space="preserve"> 202</w:t>
      </w:r>
      <w:r w:rsidR="00A74D81">
        <w:rPr>
          <w:rFonts w:ascii="Arial" w:hAnsi="Arial" w:cs="Arial"/>
        </w:rPr>
        <w:t>1</w:t>
      </w:r>
      <w:r w:rsidR="0092213C">
        <w:rPr>
          <w:rFonts w:ascii="Arial" w:hAnsi="Arial" w:cs="Arial"/>
        </w:rPr>
        <w:t xml:space="preserve"> 2</w:t>
      </w:r>
      <w:r w:rsidR="0092213C" w:rsidRPr="0092213C">
        <w:rPr>
          <w:rFonts w:ascii="Arial" w:hAnsi="Arial" w:cs="Arial"/>
          <w:vertAlign w:val="superscript"/>
        </w:rPr>
        <w:t>nd</w:t>
      </w:r>
      <w:r>
        <w:rPr>
          <w:rFonts w:ascii="Arial" w:hAnsi="Arial" w:cs="Arial"/>
        </w:rPr>
        <w:t xml:space="preserve"> Omnibus activities</w:t>
      </w:r>
      <w:r w:rsidR="007F6C1D">
        <w:rPr>
          <w:rFonts w:ascii="Arial" w:hAnsi="Arial" w:cs="Arial"/>
        </w:rPr>
        <w:t xml:space="preserve"> which is provided in the table below.</w:t>
      </w:r>
      <w:r w:rsidR="00244205" w:rsidRPr="00244205">
        <w:rPr>
          <w:rFonts w:ascii="Arial" w:hAnsi="Arial" w:cs="Arial"/>
        </w:rPr>
        <w:t xml:space="preserve"> </w:t>
      </w:r>
      <w:r w:rsidR="00244205">
        <w:rPr>
          <w:rFonts w:ascii="Arial" w:hAnsi="Arial" w:cs="Arial"/>
        </w:rPr>
        <w:t xml:space="preserve">The timeline also complies with King County Code Section </w:t>
      </w:r>
      <w:r w:rsidR="00244205" w:rsidRPr="00F5456B">
        <w:rPr>
          <w:rFonts w:ascii="Arial" w:hAnsi="Arial" w:cs="Arial"/>
        </w:rPr>
        <w:t>1.24.155</w:t>
      </w:r>
      <w:r w:rsidR="00244205">
        <w:rPr>
          <w:rFonts w:ascii="Arial" w:hAnsi="Arial" w:cs="Arial"/>
        </w:rPr>
        <w:t xml:space="preserve"> </w:t>
      </w:r>
      <w:r w:rsidR="00244205" w:rsidRPr="00433273">
        <w:rPr>
          <w:rFonts w:ascii="Arial" w:hAnsi="Arial" w:cs="Arial"/>
        </w:rPr>
        <w:t>Rule 16.C.</w:t>
      </w:r>
      <w:r w:rsidR="00244205">
        <w:rPr>
          <w:rFonts w:ascii="Arial" w:hAnsi="Arial" w:cs="Arial"/>
        </w:rPr>
        <w:t>1.d</w:t>
      </w:r>
      <w:r w:rsidR="00244205">
        <w:rPr>
          <w:rStyle w:val="FootnoteReference"/>
          <w:rFonts w:ascii="Arial" w:hAnsi="Arial" w:cs="Arial"/>
        </w:rPr>
        <w:footnoteReference w:id="74"/>
      </w:r>
      <w:r w:rsidR="00244205">
        <w:rPr>
          <w:rFonts w:ascii="Arial" w:hAnsi="Arial" w:cs="Arial"/>
        </w:rPr>
        <w:t xml:space="preserve"> that allows the chair of the standing committee to s</w:t>
      </w:r>
      <w:r w:rsidR="00244205" w:rsidRPr="00C068E0">
        <w:rPr>
          <w:rFonts w:ascii="Arial" w:hAnsi="Arial" w:cs="Arial"/>
        </w:rPr>
        <w:t>elect alternate deadlines for striking amendments and line amendments, provided that such alternate deadlines are distributed to all members of the council no later than the end of the day three business days after the date of introduction and referral of the legislation</w:t>
      </w:r>
      <w:r w:rsidR="00244205">
        <w:rPr>
          <w:rStyle w:val="FootnoteReference"/>
          <w:rFonts w:ascii="Arial" w:hAnsi="Arial" w:cs="Arial"/>
        </w:rPr>
        <w:footnoteReference w:id="75"/>
      </w:r>
      <w:r w:rsidR="00244205">
        <w:rPr>
          <w:rFonts w:ascii="Arial" w:hAnsi="Arial" w:cs="Arial"/>
        </w:rPr>
        <w:t>.</w:t>
      </w:r>
    </w:p>
    <w:p w14:paraId="29F63FAB" w14:textId="77777777" w:rsidR="001F4A07" w:rsidRDefault="001F4A07" w:rsidP="008211DC">
      <w:pPr>
        <w:keepNext/>
        <w:jc w:val="both"/>
        <w:rPr>
          <w:rFonts w:ascii="Arial" w:hAnsi="Arial" w:cs="Arial"/>
        </w:rPr>
      </w:pPr>
    </w:p>
    <w:tbl>
      <w:tblPr>
        <w:tblW w:w="9360" w:type="dxa"/>
        <w:tblInd w:w="108" w:type="dxa"/>
        <w:tblLayout w:type="fixed"/>
        <w:tblCellMar>
          <w:left w:w="0" w:type="dxa"/>
          <w:right w:w="0" w:type="dxa"/>
        </w:tblCellMar>
        <w:tblLook w:val="04A0" w:firstRow="1" w:lastRow="0" w:firstColumn="1" w:lastColumn="0" w:noHBand="0" w:noVBand="1"/>
      </w:tblPr>
      <w:tblGrid>
        <w:gridCol w:w="3240"/>
        <w:gridCol w:w="236"/>
        <w:gridCol w:w="5884"/>
      </w:tblGrid>
      <w:tr w:rsidR="0023393A" w:rsidRPr="0054735C" w14:paraId="4BE5A5EE" w14:textId="77777777" w:rsidTr="0023393A">
        <w:trPr>
          <w:cantSplit/>
          <w:trHeight w:val="465"/>
          <w:tblHeader/>
        </w:trPr>
        <w:tc>
          <w:tcPr>
            <w:tcW w:w="3240"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64EB6783" w14:textId="77777777" w:rsidR="0023393A" w:rsidRPr="0054735C" w:rsidRDefault="0023393A" w:rsidP="00E34BBA">
            <w:pPr>
              <w:pStyle w:val="xmsonormal0"/>
              <w:keepNext/>
              <w:spacing w:line="252" w:lineRule="auto"/>
            </w:pPr>
            <w:bookmarkStart w:id="10" w:name="_Hlk83851714"/>
            <w:r w:rsidRPr="0054735C">
              <w:rPr>
                <w:rFonts w:ascii="Arial" w:hAnsi="Arial" w:cs="Arial"/>
                <w:b/>
                <w:bCs/>
              </w:rPr>
              <w:t>Date</w:t>
            </w:r>
          </w:p>
        </w:tc>
        <w:tc>
          <w:tcPr>
            <w:tcW w:w="236" w:type="dxa"/>
            <w:tcBorders>
              <w:top w:val="single" w:sz="12" w:space="0" w:color="auto"/>
              <w:left w:val="nil"/>
              <w:bottom w:val="nil"/>
              <w:right w:val="nil"/>
            </w:tcBorders>
            <w:tcMar>
              <w:top w:w="0" w:type="dxa"/>
              <w:left w:w="108" w:type="dxa"/>
              <w:bottom w:w="0" w:type="dxa"/>
              <w:right w:w="108" w:type="dxa"/>
            </w:tcMar>
            <w:vAlign w:val="center"/>
            <w:hideMark/>
          </w:tcPr>
          <w:p w14:paraId="35EEE754" w14:textId="77777777" w:rsidR="0023393A" w:rsidRPr="0054735C" w:rsidRDefault="0023393A" w:rsidP="00E34BBA">
            <w:pPr>
              <w:pStyle w:val="xmsonormal0"/>
              <w:keepNext/>
              <w:spacing w:line="252" w:lineRule="auto"/>
            </w:pPr>
            <w:r w:rsidRPr="0054735C">
              <w:rPr>
                <w:rFonts w:ascii="Arial" w:hAnsi="Arial" w:cs="Arial"/>
                <w:b/>
                <w:bCs/>
              </w:rPr>
              <w:t> </w:t>
            </w:r>
          </w:p>
        </w:tc>
        <w:tc>
          <w:tcPr>
            <w:tcW w:w="5884"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292D5A15" w14:textId="77777777" w:rsidR="0023393A" w:rsidRPr="0054735C" w:rsidRDefault="0023393A" w:rsidP="00E34BBA">
            <w:pPr>
              <w:pStyle w:val="xmsonormal0"/>
              <w:keepNext/>
              <w:spacing w:line="252" w:lineRule="auto"/>
            </w:pPr>
            <w:r w:rsidRPr="0054735C">
              <w:rPr>
                <w:rFonts w:ascii="Arial" w:hAnsi="Arial" w:cs="Arial"/>
                <w:b/>
                <w:bCs/>
              </w:rPr>
              <w:t>Activity</w:t>
            </w:r>
          </w:p>
        </w:tc>
      </w:tr>
      <w:tr w:rsidR="0023393A" w:rsidRPr="0054735C" w14:paraId="2F7FEAFE" w14:textId="77777777" w:rsidTr="0023393A">
        <w:trPr>
          <w:cantSplit/>
          <w:trHeight w:val="23"/>
        </w:trPr>
        <w:tc>
          <w:tcPr>
            <w:tcW w:w="3240" w:type="dxa"/>
            <w:tcMar>
              <w:top w:w="72" w:type="dxa"/>
              <w:left w:w="115" w:type="dxa"/>
              <w:bottom w:w="72" w:type="dxa"/>
              <w:right w:w="115" w:type="dxa"/>
            </w:tcMar>
            <w:hideMark/>
          </w:tcPr>
          <w:p w14:paraId="441B6E2F" w14:textId="77777777" w:rsidR="0023393A" w:rsidRPr="002B555A" w:rsidRDefault="0023393A" w:rsidP="00E34BBA">
            <w:pPr>
              <w:pStyle w:val="xmsonormal0"/>
              <w:keepNext/>
              <w:spacing w:line="252" w:lineRule="auto"/>
              <w:rPr>
                <w:color w:val="BFBFBF" w:themeColor="background1" w:themeShade="BF"/>
              </w:rPr>
            </w:pPr>
            <w:r w:rsidRPr="002B555A">
              <w:rPr>
                <w:rFonts w:ascii="Arial" w:hAnsi="Arial" w:cs="Arial"/>
                <w:color w:val="BFBFBF" w:themeColor="background1" w:themeShade="BF"/>
              </w:rPr>
              <w:t>September 30</w:t>
            </w:r>
            <w:r w:rsidRPr="002B555A">
              <w:rPr>
                <w:rFonts w:ascii="Arial" w:hAnsi="Arial" w:cs="Arial"/>
                <w:color w:val="BFBFBF" w:themeColor="background1" w:themeShade="BF"/>
                <w:vertAlign w:val="superscript"/>
              </w:rPr>
              <w:t>th</w:t>
            </w:r>
            <w:r w:rsidRPr="002B555A">
              <w:rPr>
                <w:rFonts w:ascii="Arial" w:hAnsi="Arial" w:cs="Arial"/>
                <w:color w:val="BFBFBF" w:themeColor="background1" w:themeShade="BF"/>
              </w:rPr>
              <w:t xml:space="preserve"> (Thu)</w:t>
            </w:r>
          </w:p>
        </w:tc>
        <w:tc>
          <w:tcPr>
            <w:tcW w:w="236" w:type="dxa"/>
            <w:tcMar>
              <w:top w:w="72" w:type="dxa"/>
              <w:left w:w="108" w:type="dxa"/>
              <w:bottom w:w="72" w:type="dxa"/>
              <w:right w:w="108" w:type="dxa"/>
            </w:tcMar>
            <w:hideMark/>
          </w:tcPr>
          <w:p w14:paraId="6B5EC8EE" w14:textId="77777777" w:rsidR="0023393A" w:rsidRPr="002B555A" w:rsidRDefault="0023393A" w:rsidP="00E34BBA">
            <w:pPr>
              <w:pStyle w:val="xmsonormal0"/>
              <w:keepNext/>
              <w:spacing w:line="252" w:lineRule="auto"/>
              <w:rPr>
                <w:color w:val="BFBFBF" w:themeColor="background1" w:themeShade="BF"/>
              </w:rPr>
            </w:pPr>
            <w:r w:rsidRPr="002B555A">
              <w:rPr>
                <w:rFonts w:ascii="Arial" w:hAnsi="Arial" w:cs="Arial"/>
                <w:color w:val="BFBFBF" w:themeColor="background1" w:themeShade="BF"/>
              </w:rPr>
              <w:t> </w:t>
            </w:r>
          </w:p>
        </w:tc>
        <w:tc>
          <w:tcPr>
            <w:tcW w:w="5884" w:type="dxa"/>
            <w:tcMar>
              <w:top w:w="72" w:type="dxa"/>
              <w:left w:w="115" w:type="dxa"/>
              <w:bottom w:w="72" w:type="dxa"/>
              <w:right w:w="115" w:type="dxa"/>
            </w:tcMar>
            <w:hideMark/>
          </w:tcPr>
          <w:p w14:paraId="2E4F33B8" w14:textId="77777777" w:rsidR="0023393A" w:rsidRPr="002B555A" w:rsidRDefault="0023393A" w:rsidP="00E34BBA">
            <w:pPr>
              <w:pStyle w:val="xmsonormal0"/>
              <w:keepNext/>
              <w:spacing w:line="252" w:lineRule="auto"/>
              <w:rPr>
                <w:color w:val="BFBFBF" w:themeColor="background1" w:themeShade="BF"/>
              </w:rPr>
            </w:pPr>
            <w:r w:rsidRPr="002B555A">
              <w:rPr>
                <w:rFonts w:ascii="Arial" w:hAnsi="Arial" w:cs="Arial"/>
                <w:color w:val="BFBFBF" w:themeColor="background1" w:themeShade="BF"/>
              </w:rPr>
              <w:t>Executive transmits</w:t>
            </w:r>
          </w:p>
        </w:tc>
      </w:tr>
      <w:tr w:rsidR="0023393A" w:rsidRPr="0054735C" w14:paraId="40C9FB8A" w14:textId="77777777" w:rsidTr="0023393A">
        <w:trPr>
          <w:cantSplit/>
          <w:trHeight w:val="23"/>
        </w:trPr>
        <w:tc>
          <w:tcPr>
            <w:tcW w:w="3240" w:type="dxa"/>
            <w:tcMar>
              <w:top w:w="72" w:type="dxa"/>
              <w:left w:w="115" w:type="dxa"/>
              <w:bottom w:w="72" w:type="dxa"/>
              <w:right w:w="115" w:type="dxa"/>
            </w:tcMar>
          </w:tcPr>
          <w:p w14:paraId="4B7491FA" w14:textId="77777777" w:rsidR="0023393A" w:rsidRPr="002B555A" w:rsidRDefault="0023393A" w:rsidP="00E34BBA">
            <w:pPr>
              <w:pStyle w:val="xmsonormal0"/>
              <w:keepNext/>
              <w:spacing w:line="252" w:lineRule="auto"/>
              <w:rPr>
                <w:rFonts w:ascii="Arial" w:hAnsi="Arial" w:cs="Arial"/>
                <w:color w:val="BFBFBF" w:themeColor="background1" w:themeShade="BF"/>
              </w:rPr>
            </w:pPr>
            <w:r w:rsidRPr="002B555A">
              <w:rPr>
                <w:rFonts w:ascii="Arial" w:hAnsi="Arial" w:cs="Arial"/>
                <w:color w:val="BFBFBF" w:themeColor="background1" w:themeShade="BF"/>
              </w:rPr>
              <w:t>October 19</w:t>
            </w:r>
            <w:r w:rsidRPr="002B555A">
              <w:rPr>
                <w:rFonts w:ascii="Arial" w:hAnsi="Arial" w:cs="Arial"/>
                <w:color w:val="BFBFBF" w:themeColor="background1" w:themeShade="BF"/>
                <w:vertAlign w:val="superscript"/>
              </w:rPr>
              <w:t>th</w:t>
            </w:r>
            <w:r w:rsidRPr="002B555A">
              <w:rPr>
                <w:rFonts w:ascii="Arial" w:hAnsi="Arial" w:cs="Arial"/>
                <w:color w:val="BFBFBF" w:themeColor="background1" w:themeShade="BF"/>
              </w:rPr>
              <w:t xml:space="preserve"> (Tue) 9:30am</w:t>
            </w:r>
          </w:p>
        </w:tc>
        <w:tc>
          <w:tcPr>
            <w:tcW w:w="236" w:type="dxa"/>
            <w:tcMar>
              <w:top w:w="72" w:type="dxa"/>
              <w:left w:w="108" w:type="dxa"/>
              <w:bottom w:w="72" w:type="dxa"/>
              <w:right w:w="108" w:type="dxa"/>
            </w:tcMar>
          </w:tcPr>
          <w:p w14:paraId="521105E7" w14:textId="77777777" w:rsidR="0023393A" w:rsidRPr="002B555A" w:rsidRDefault="0023393A" w:rsidP="00E34BBA">
            <w:pPr>
              <w:pStyle w:val="xmsonormal0"/>
              <w:keepNext/>
              <w:spacing w:line="252" w:lineRule="auto"/>
              <w:rPr>
                <w:rFonts w:ascii="Arial" w:hAnsi="Arial" w:cs="Arial"/>
                <w:color w:val="BFBFBF" w:themeColor="background1" w:themeShade="BF"/>
              </w:rPr>
            </w:pPr>
          </w:p>
        </w:tc>
        <w:tc>
          <w:tcPr>
            <w:tcW w:w="5884" w:type="dxa"/>
            <w:tcMar>
              <w:top w:w="72" w:type="dxa"/>
              <w:left w:w="115" w:type="dxa"/>
              <w:bottom w:w="72" w:type="dxa"/>
              <w:right w:w="115" w:type="dxa"/>
            </w:tcMar>
          </w:tcPr>
          <w:p w14:paraId="721C3FD6" w14:textId="77777777" w:rsidR="0023393A" w:rsidRPr="002B555A" w:rsidRDefault="0023393A" w:rsidP="00E34BBA">
            <w:pPr>
              <w:pStyle w:val="xmsonormal0"/>
              <w:keepNext/>
              <w:spacing w:line="252" w:lineRule="auto"/>
              <w:rPr>
                <w:rFonts w:ascii="Arial" w:hAnsi="Arial" w:cs="Arial"/>
                <w:color w:val="BFBFBF" w:themeColor="background1" w:themeShade="BF"/>
              </w:rPr>
            </w:pPr>
            <w:r w:rsidRPr="002B555A">
              <w:rPr>
                <w:rFonts w:ascii="Arial" w:hAnsi="Arial" w:cs="Arial"/>
                <w:color w:val="BFBFBF" w:themeColor="background1" w:themeShade="BF"/>
              </w:rPr>
              <w:t>BFM – Committee briefing</w:t>
            </w:r>
          </w:p>
        </w:tc>
      </w:tr>
      <w:tr w:rsidR="0023393A" w:rsidRPr="0054735C" w14:paraId="649F4BF5" w14:textId="77777777" w:rsidTr="0023393A">
        <w:trPr>
          <w:cantSplit/>
          <w:trHeight w:val="23"/>
        </w:trPr>
        <w:tc>
          <w:tcPr>
            <w:tcW w:w="3240" w:type="dxa"/>
            <w:tcMar>
              <w:top w:w="72" w:type="dxa"/>
              <w:left w:w="115" w:type="dxa"/>
              <w:bottom w:w="72" w:type="dxa"/>
              <w:right w:w="115" w:type="dxa"/>
            </w:tcMar>
            <w:hideMark/>
          </w:tcPr>
          <w:p w14:paraId="45B39AB0"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October 28</w:t>
            </w:r>
            <w:r w:rsidRPr="002C430E">
              <w:rPr>
                <w:rFonts w:ascii="Arial" w:hAnsi="Arial" w:cs="Arial"/>
                <w:color w:val="BFBFBF" w:themeColor="background1" w:themeShade="BF"/>
                <w:vertAlign w:val="superscript"/>
              </w:rPr>
              <w:t>th</w:t>
            </w:r>
            <w:r w:rsidRPr="002C430E">
              <w:rPr>
                <w:rFonts w:ascii="Arial" w:hAnsi="Arial" w:cs="Arial"/>
                <w:color w:val="BFBFBF" w:themeColor="background1" w:themeShade="BF"/>
              </w:rPr>
              <w:t xml:space="preserve"> (Thu) noon</w:t>
            </w:r>
          </w:p>
        </w:tc>
        <w:tc>
          <w:tcPr>
            <w:tcW w:w="236" w:type="dxa"/>
            <w:tcMar>
              <w:top w:w="72" w:type="dxa"/>
              <w:left w:w="108" w:type="dxa"/>
              <w:bottom w:w="72" w:type="dxa"/>
              <w:right w:w="108" w:type="dxa"/>
            </w:tcMar>
            <w:hideMark/>
          </w:tcPr>
          <w:p w14:paraId="164231E3"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 </w:t>
            </w:r>
          </w:p>
        </w:tc>
        <w:tc>
          <w:tcPr>
            <w:tcW w:w="5884" w:type="dxa"/>
            <w:tcMar>
              <w:top w:w="72" w:type="dxa"/>
              <w:left w:w="115" w:type="dxa"/>
              <w:bottom w:w="72" w:type="dxa"/>
              <w:right w:w="115" w:type="dxa"/>
            </w:tcMar>
            <w:hideMark/>
          </w:tcPr>
          <w:p w14:paraId="04808877" w14:textId="77777777" w:rsidR="0023393A" w:rsidRPr="002C430E" w:rsidRDefault="0023393A" w:rsidP="00E34BBA">
            <w:pPr>
              <w:pStyle w:val="xmsonormal0"/>
              <w:keepNext/>
              <w:spacing w:line="252" w:lineRule="auto"/>
              <w:contextualSpacing/>
              <w:rPr>
                <w:b/>
                <w:bCs/>
                <w:color w:val="BFBFBF" w:themeColor="background1" w:themeShade="BF"/>
              </w:rPr>
            </w:pPr>
            <w:r w:rsidRPr="002C430E">
              <w:rPr>
                <w:rFonts w:ascii="Arial" w:hAnsi="Arial" w:cs="Arial"/>
                <w:color w:val="BFBFBF" w:themeColor="background1" w:themeShade="BF"/>
              </w:rPr>
              <w:t xml:space="preserve">Striking amendment requests due to BFM Chair </w:t>
            </w:r>
          </w:p>
          <w:p w14:paraId="51FFFD25" w14:textId="77777777" w:rsidR="0023393A" w:rsidRPr="002C430E" w:rsidRDefault="0023393A" w:rsidP="00E34BBA">
            <w:pPr>
              <w:pStyle w:val="xmsonormal0"/>
              <w:keepNext/>
              <w:spacing w:line="252" w:lineRule="auto"/>
              <w:contextualSpacing/>
              <w:rPr>
                <w:b/>
                <w:bCs/>
                <w:color w:val="BFBFBF" w:themeColor="background1" w:themeShade="BF"/>
              </w:rPr>
            </w:pPr>
          </w:p>
        </w:tc>
      </w:tr>
      <w:tr w:rsidR="0023393A" w:rsidRPr="0054735C" w14:paraId="3AE23390" w14:textId="77777777" w:rsidTr="0023393A">
        <w:trPr>
          <w:cantSplit/>
          <w:trHeight w:val="23"/>
        </w:trPr>
        <w:tc>
          <w:tcPr>
            <w:tcW w:w="3240" w:type="dxa"/>
            <w:tcMar>
              <w:top w:w="72" w:type="dxa"/>
              <w:left w:w="115" w:type="dxa"/>
              <w:bottom w:w="72" w:type="dxa"/>
              <w:right w:w="115" w:type="dxa"/>
            </w:tcMar>
            <w:hideMark/>
          </w:tcPr>
          <w:p w14:paraId="4E31D5D6"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November 2</w:t>
            </w:r>
            <w:r w:rsidRPr="002C430E">
              <w:rPr>
                <w:rFonts w:ascii="Arial" w:hAnsi="Arial" w:cs="Arial"/>
                <w:color w:val="BFBFBF" w:themeColor="background1" w:themeShade="BF"/>
                <w:vertAlign w:val="superscript"/>
              </w:rPr>
              <w:t>nd</w:t>
            </w:r>
            <w:r w:rsidRPr="002C430E">
              <w:rPr>
                <w:rFonts w:ascii="Arial" w:hAnsi="Arial" w:cs="Arial"/>
                <w:color w:val="BFBFBF" w:themeColor="background1" w:themeShade="BF"/>
              </w:rPr>
              <w:t xml:space="preserve"> (Tue) noon</w:t>
            </w:r>
          </w:p>
        </w:tc>
        <w:tc>
          <w:tcPr>
            <w:tcW w:w="236" w:type="dxa"/>
            <w:tcMar>
              <w:top w:w="72" w:type="dxa"/>
              <w:left w:w="108" w:type="dxa"/>
              <w:bottom w:w="72" w:type="dxa"/>
              <w:right w:w="108" w:type="dxa"/>
            </w:tcMar>
            <w:hideMark/>
          </w:tcPr>
          <w:p w14:paraId="68E558CB"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 </w:t>
            </w:r>
          </w:p>
        </w:tc>
        <w:tc>
          <w:tcPr>
            <w:tcW w:w="5884" w:type="dxa"/>
            <w:tcMar>
              <w:top w:w="72" w:type="dxa"/>
              <w:left w:w="115" w:type="dxa"/>
              <w:bottom w:w="72" w:type="dxa"/>
              <w:right w:w="115" w:type="dxa"/>
            </w:tcMar>
            <w:hideMark/>
          </w:tcPr>
          <w:p w14:paraId="418C4CB9" w14:textId="77777777" w:rsidR="0023393A" w:rsidRPr="002C430E" w:rsidRDefault="0023393A" w:rsidP="00E34BBA">
            <w:pPr>
              <w:pStyle w:val="xmsonormal0"/>
              <w:keepNext/>
              <w:spacing w:line="252" w:lineRule="auto"/>
              <w:contextualSpacing/>
              <w:rPr>
                <w:rFonts w:ascii="Arial" w:hAnsi="Arial" w:cs="Arial"/>
                <w:color w:val="BFBFBF" w:themeColor="background1" w:themeShade="BF"/>
              </w:rPr>
            </w:pPr>
            <w:r w:rsidRPr="002C430E">
              <w:rPr>
                <w:rFonts w:ascii="Arial" w:hAnsi="Arial" w:cs="Arial"/>
                <w:color w:val="BFBFBF" w:themeColor="background1" w:themeShade="BF"/>
              </w:rPr>
              <w:t xml:space="preserve">BFM Chair’s striking amendment direction due to staff / </w:t>
            </w:r>
          </w:p>
          <w:p w14:paraId="3E681B0A" w14:textId="4616760A"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councilmanic grant allocations due to Melissa Bailey and Andrew Kim</w:t>
            </w:r>
          </w:p>
        </w:tc>
      </w:tr>
      <w:tr w:rsidR="0023393A" w:rsidRPr="0054735C" w14:paraId="17322A9A" w14:textId="77777777" w:rsidTr="0023393A">
        <w:trPr>
          <w:cantSplit/>
          <w:trHeight w:val="23"/>
        </w:trPr>
        <w:tc>
          <w:tcPr>
            <w:tcW w:w="3240" w:type="dxa"/>
            <w:tcMar>
              <w:top w:w="72" w:type="dxa"/>
              <w:left w:w="115" w:type="dxa"/>
              <w:bottom w:w="72" w:type="dxa"/>
              <w:right w:w="115" w:type="dxa"/>
            </w:tcMar>
            <w:hideMark/>
          </w:tcPr>
          <w:p w14:paraId="0CD0F72E"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November 9</w:t>
            </w:r>
            <w:r w:rsidRPr="002C430E">
              <w:rPr>
                <w:rFonts w:ascii="Arial" w:hAnsi="Arial" w:cs="Arial"/>
                <w:color w:val="BFBFBF" w:themeColor="background1" w:themeShade="BF"/>
                <w:vertAlign w:val="superscript"/>
              </w:rPr>
              <w:t>th</w:t>
            </w:r>
            <w:r w:rsidRPr="002C430E">
              <w:rPr>
                <w:rFonts w:ascii="Arial" w:hAnsi="Arial" w:cs="Arial"/>
                <w:color w:val="BFBFBF" w:themeColor="background1" w:themeShade="BF"/>
              </w:rPr>
              <w:t xml:space="preserve"> (Tue) noon</w:t>
            </w:r>
          </w:p>
        </w:tc>
        <w:tc>
          <w:tcPr>
            <w:tcW w:w="236" w:type="dxa"/>
            <w:tcMar>
              <w:top w:w="72" w:type="dxa"/>
              <w:left w:w="108" w:type="dxa"/>
              <w:bottom w:w="72" w:type="dxa"/>
              <w:right w:w="108" w:type="dxa"/>
            </w:tcMar>
            <w:hideMark/>
          </w:tcPr>
          <w:p w14:paraId="47A762EC"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 </w:t>
            </w:r>
          </w:p>
        </w:tc>
        <w:tc>
          <w:tcPr>
            <w:tcW w:w="5884" w:type="dxa"/>
            <w:tcMar>
              <w:top w:w="72" w:type="dxa"/>
              <w:left w:w="115" w:type="dxa"/>
              <w:bottom w:w="72" w:type="dxa"/>
              <w:right w:w="115" w:type="dxa"/>
            </w:tcMar>
            <w:hideMark/>
          </w:tcPr>
          <w:p w14:paraId="7B8ACEF3" w14:textId="77777777" w:rsidR="0023393A" w:rsidRPr="002C430E" w:rsidRDefault="0023393A" w:rsidP="00E34BBA">
            <w:pPr>
              <w:pStyle w:val="xmsonormal0"/>
              <w:keepNext/>
              <w:spacing w:line="252" w:lineRule="auto"/>
              <w:rPr>
                <w:color w:val="BFBFBF" w:themeColor="background1" w:themeShade="BF"/>
              </w:rPr>
            </w:pPr>
            <w:r w:rsidRPr="002C430E">
              <w:rPr>
                <w:rFonts w:ascii="Arial" w:hAnsi="Arial" w:cs="Arial"/>
                <w:color w:val="BFBFBF" w:themeColor="background1" w:themeShade="BF"/>
              </w:rPr>
              <w:t>Striking amendment finalized and distributed</w:t>
            </w:r>
          </w:p>
        </w:tc>
      </w:tr>
      <w:tr w:rsidR="0023393A" w:rsidRPr="0054735C" w14:paraId="1108D851" w14:textId="77777777" w:rsidTr="0023393A">
        <w:trPr>
          <w:cantSplit/>
          <w:trHeight w:val="243"/>
        </w:trPr>
        <w:tc>
          <w:tcPr>
            <w:tcW w:w="3240" w:type="dxa"/>
            <w:tcMar>
              <w:top w:w="72" w:type="dxa"/>
              <w:left w:w="115" w:type="dxa"/>
              <w:bottom w:w="72" w:type="dxa"/>
              <w:right w:w="115" w:type="dxa"/>
            </w:tcMar>
          </w:tcPr>
          <w:p w14:paraId="7A992631" w14:textId="77777777" w:rsidR="0023393A" w:rsidRPr="002C430E" w:rsidRDefault="0023393A" w:rsidP="00E34BBA">
            <w:pPr>
              <w:pStyle w:val="xmsonormal0"/>
              <w:keepNext/>
              <w:spacing w:line="252" w:lineRule="auto"/>
              <w:rPr>
                <w:rFonts w:ascii="Arial" w:hAnsi="Arial" w:cs="Arial"/>
                <w:color w:val="BFBFBF" w:themeColor="background1" w:themeShade="BF"/>
              </w:rPr>
            </w:pPr>
            <w:r w:rsidRPr="002C430E">
              <w:rPr>
                <w:rFonts w:ascii="Arial" w:hAnsi="Arial" w:cs="Arial"/>
                <w:color w:val="BFBFBF" w:themeColor="background1" w:themeShade="BF"/>
              </w:rPr>
              <w:t>November 11</w:t>
            </w:r>
            <w:r w:rsidRPr="002C430E">
              <w:rPr>
                <w:rFonts w:ascii="Arial" w:hAnsi="Arial" w:cs="Arial"/>
                <w:color w:val="BFBFBF" w:themeColor="background1" w:themeShade="BF"/>
                <w:vertAlign w:val="superscript"/>
              </w:rPr>
              <w:t>th</w:t>
            </w:r>
            <w:r w:rsidRPr="002C430E">
              <w:rPr>
                <w:rFonts w:ascii="Arial" w:hAnsi="Arial" w:cs="Arial"/>
                <w:color w:val="BFBFBF" w:themeColor="background1" w:themeShade="BF"/>
              </w:rPr>
              <w:t xml:space="preserve"> (Thu) noon</w:t>
            </w:r>
          </w:p>
        </w:tc>
        <w:tc>
          <w:tcPr>
            <w:tcW w:w="236" w:type="dxa"/>
            <w:tcMar>
              <w:top w:w="72" w:type="dxa"/>
              <w:left w:w="108" w:type="dxa"/>
              <w:bottom w:w="72" w:type="dxa"/>
              <w:right w:w="108" w:type="dxa"/>
            </w:tcMar>
          </w:tcPr>
          <w:p w14:paraId="605B143E" w14:textId="77777777" w:rsidR="0023393A" w:rsidRPr="002C430E" w:rsidRDefault="0023393A" w:rsidP="00E34BBA">
            <w:pPr>
              <w:pStyle w:val="xmsonormal0"/>
              <w:keepNext/>
              <w:spacing w:line="252" w:lineRule="auto"/>
              <w:rPr>
                <w:rFonts w:ascii="Arial" w:hAnsi="Arial" w:cs="Arial"/>
                <w:color w:val="BFBFBF" w:themeColor="background1" w:themeShade="BF"/>
              </w:rPr>
            </w:pPr>
          </w:p>
        </w:tc>
        <w:tc>
          <w:tcPr>
            <w:tcW w:w="5884" w:type="dxa"/>
            <w:tcMar>
              <w:top w:w="72" w:type="dxa"/>
              <w:left w:w="115" w:type="dxa"/>
              <w:bottom w:w="72" w:type="dxa"/>
              <w:right w:w="115" w:type="dxa"/>
            </w:tcMar>
          </w:tcPr>
          <w:p w14:paraId="212484D6" w14:textId="77777777" w:rsidR="0023393A" w:rsidRPr="002C430E" w:rsidRDefault="0023393A" w:rsidP="00E34BBA">
            <w:pPr>
              <w:pStyle w:val="xmsonormal0"/>
              <w:keepNext/>
              <w:spacing w:line="252" w:lineRule="auto"/>
              <w:rPr>
                <w:rFonts w:ascii="Arial" w:hAnsi="Arial" w:cs="Arial"/>
                <w:color w:val="BFBFBF" w:themeColor="background1" w:themeShade="BF"/>
              </w:rPr>
            </w:pPr>
            <w:r w:rsidRPr="002C430E">
              <w:rPr>
                <w:rFonts w:ascii="Arial" w:hAnsi="Arial" w:cs="Arial"/>
                <w:color w:val="BFBFBF" w:themeColor="background1" w:themeShade="BF"/>
              </w:rPr>
              <w:t>Line amendment direction due to staff for BFM</w:t>
            </w:r>
          </w:p>
        </w:tc>
      </w:tr>
      <w:tr w:rsidR="0023393A" w:rsidRPr="0054735C" w14:paraId="4CB62F8D" w14:textId="77777777" w:rsidTr="0023393A">
        <w:trPr>
          <w:cantSplit/>
          <w:trHeight w:val="243"/>
        </w:trPr>
        <w:tc>
          <w:tcPr>
            <w:tcW w:w="3240" w:type="dxa"/>
            <w:tcMar>
              <w:top w:w="72" w:type="dxa"/>
              <w:left w:w="115" w:type="dxa"/>
              <w:bottom w:w="72" w:type="dxa"/>
              <w:right w:w="115" w:type="dxa"/>
            </w:tcMar>
            <w:hideMark/>
          </w:tcPr>
          <w:p w14:paraId="1B5F5559" w14:textId="77777777" w:rsidR="0023393A" w:rsidRPr="0023393A" w:rsidRDefault="0023393A" w:rsidP="00E34BBA">
            <w:pPr>
              <w:pStyle w:val="xmsonormal0"/>
              <w:keepNext/>
              <w:spacing w:line="252" w:lineRule="auto"/>
              <w:rPr>
                <w:rFonts w:ascii="Arial" w:hAnsi="Arial" w:cs="Arial"/>
              </w:rPr>
            </w:pPr>
            <w:r w:rsidRPr="0023393A">
              <w:rPr>
                <w:rFonts w:ascii="Arial" w:hAnsi="Arial" w:cs="Arial"/>
              </w:rPr>
              <w:t>November 16</w:t>
            </w:r>
            <w:r w:rsidRPr="0023393A">
              <w:rPr>
                <w:rFonts w:ascii="Arial" w:hAnsi="Arial" w:cs="Arial"/>
                <w:vertAlign w:val="superscript"/>
              </w:rPr>
              <w:t>th</w:t>
            </w:r>
            <w:r w:rsidRPr="0023393A">
              <w:rPr>
                <w:rFonts w:ascii="Arial" w:hAnsi="Arial" w:cs="Arial"/>
              </w:rPr>
              <w:t xml:space="preserve"> (Tue) 9:30am</w:t>
            </w:r>
          </w:p>
        </w:tc>
        <w:tc>
          <w:tcPr>
            <w:tcW w:w="236" w:type="dxa"/>
            <w:tcMar>
              <w:top w:w="72" w:type="dxa"/>
              <w:left w:w="108" w:type="dxa"/>
              <w:bottom w:w="72" w:type="dxa"/>
              <w:right w:w="108" w:type="dxa"/>
            </w:tcMar>
          </w:tcPr>
          <w:p w14:paraId="3359FA78" w14:textId="77777777" w:rsidR="0023393A" w:rsidRPr="0023393A" w:rsidRDefault="0023393A" w:rsidP="00E34BBA">
            <w:pPr>
              <w:pStyle w:val="xmsonormal0"/>
              <w:keepNext/>
              <w:spacing w:line="252" w:lineRule="auto"/>
              <w:rPr>
                <w:rFonts w:ascii="Arial" w:hAnsi="Arial" w:cs="Arial"/>
              </w:rPr>
            </w:pPr>
          </w:p>
        </w:tc>
        <w:tc>
          <w:tcPr>
            <w:tcW w:w="5884" w:type="dxa"/>
            <w:tcMar>
              <w:top w:w="72" w:type="dxa"/>
              <w:left w:w="115" w:type="dxa"/>
              <w:bottom w:w="72" w:type="dxa"/>
              <w:right w:w="115" w:type="dxa"/>
            </w:tcMar>
            <w:hideMark/>
          </w:tcPr>
          <w:p w14:paraId="1DEA9DD8" w14:textId="77777777" w:rsidR="0023393A" w:rsidRPr="0023393A" w:rsidRDefault="0023393A" w:rsidP="00E34BBA">
            <w:pPr>
              <w:pStyle w:val="xmsonormal0"/>
              <w:keepNext/>
              <w:spacing w:line="252" w:lineRule="auto"/>
              <w:rPr>
                <w:rFonts w:ascii="Arial" w:hAnsi="Arial" w:cs="Arial"/>
              </w:rPr>
            </w:pPr>
            <w:r w:rsidRPr="0023393A">
              <w:rPr>
                <w:rFonts w:ascii="Arial" w:hAnsi="Arial" w:cs="Arial"/>
              </w:rPr>
              <w:t>BFM – Committee action</w:t>
            </w:r>
          </w:p>
        </w:tc>
      </w:tr>
      <w:tr w:rsidR="0023393A" w:rsidRPr="0054735C" w14:paraId="2BDF06BE" w14:textId="77777777" w:rsidTr="0023393A">
        <w:trPr>
          <w:cantSplit/>
          <w:trHeight w:val="243"/>
        </w:trPr>
        <w:tc>
          <w:tcPr>
            <w:tcW w:w="3240" w:type="dxa"/>
            <w:tcMar>
              <w:top w:w="72" w:type="dxa"/>
              <w:left w:w="115" w:type="dxa"/>
              <w:bottom w:w="72" w:type="dxa"/>
              <w:right w:w="115" w:type="dxa"/>
            </w:tcMar>
            <w:hideMark/>
          </w:tcPr>
          <w:p w14:paraId="044B0406" w14:textId="77777777" w:rsidR="0023393A" w:rsidRPr="0054735C" w:rsidRDefault="0023393A" w:rsidP="00E34BBA">
            <w:pPr>
              <w:pStyle w:val="xmsonormal0"/>
              <w:keepNext/>
              <w:spacing w:line="252" w:lineRule="auto"/>
            </w:pPr>
            <w:r>
              <w:rPr>
                <w:rFonts w:ascii="Arial" w:hAnsi="Arial" w:cs="Arial"/>
              </w:rPr>
              <w:t>November 19</w:t>
            </w:r>
            <w:r w:rsidRPr="00757610">
              <w:rPr>
                <w:rFonts w:ascii="Arial" w:hAnsi="Arial" w:cs="Arial"/>
                <w:vertAlign w:val="superscript"/>
              </w:rPr>
              <w:t>th</w:t>
            </w:r>
            <w:r>
              <w:rPr>
                <w:rFonts w:ascii="Arial" w:hAnsi="Arial" w:cs="Arial"/>
              </w:rPr>
              <w:t xml:space="preserve"> (Fri) noon</w:t>
            </w:r>
          </w:p>
        </w:tc>
        <w:tc>
          <w:tcPr>
            <w:tcW w:w="236" w:type="dxa"/>
            <w:tcMar>
              <w:top w:w="72" w:type="dxa"/>
              <w:left w:w="108" w:type="dxa"/>
              <w:bottom w:w="72" w:type="dxa"/>
              <w:right w:w="108" w:type="dxa"/>
            </w:tcMar>
            <w:hideMark/>
          </w:tcPr>
          <w:p w14:paraId="4CE61ED0" w14:textId="77777777" w:rsidR="0023393A" w:rsidRPr="0054735C" w:rsidRDefault="0023393A" w:rsidP="00E34BBA">
            <w:pPr>
              <w:pStyle w:val="xmsonormal0"/>
              <w:keepNext/>
              <w:spacing w:line="252" w:lineRule="auto"/>
            </w:pPr>
            <w:r w:rsidRPr="0054735C">
              <w:rPr>
                <w:rFonts w:ascii="Arial" w:hAnsi="Arial" w:cs="Arial"/>
              </w:rPr>
              <w:t> </w:t>
            </w:r>
          </w:p>
        </w:tc>
        <w:tc>
          <w:tcPr>
            <w:tcW w:w="5884" w:type="dxa"/>
            <w:tcMar>
              <w:top w:w="72" w:type="dxa"/>
              <w:left w:w="115" w:type="dxa"/>
              <w:bottom w:w="72" w:type="dxa"/>
              <w:right w:w="115" w:type="dxa"/>
            </w:tcMar>
            <w:hideMark/>
          </w:tcPr>
          <w:p w14:paraId="3338FA17" w14:textId="77777777" w:rsidR="0023393A" w:rsidRPr="0054735C" w:rsidRDefault="0023393A" w:rsidP="00E34BBA">
            <w:pPr>
              <w:pStyle w:val="xmsonormal0"/>
              <w:keepNext/>
              <w:spacing w:line="252" w:lineRule="auto"/>
            </w:pPr>
            <w:r w:rsidRPr="0054735C">
              <w:rPr>
                <w:rFonts w:ascii="Arial" w:hAnsi="Arial" w:cs="Arial"/>
              </w:rPr>
              <w:t>Line amendment direction due to staff</w:t>
            </w:r>
            <w:r>
              <w:rPr>
                <w:rFonts w:ascii="Arial" w:hAnsi="Arial" w:cs="Arial"/>
              </w:rPr>
              <w:t xml:space="preserve"> for Full Council</w:t>
            </w:r>
          </w:p>
        </w:tc>
      </w:tr>
      <w:tr w:rsidR="0023393A" w:rsidRPr="0054735C" w14:paraId="2B3AC106" w14:textId="77777777" w:rsidTr="0023393A">
        <w:trPr>
          <w:cantSplit/>
          <w:trHeight w:val="23"/>
        </w:trPr>
        <w:tc>
          <w:tcPr>
            <w:tcW w:w="3240" w:type="dxa"/>
            <w:tcBorders>
              <w:top w:val="nil"/>
              <w:left w:val="nil"/>
              <w:bottom w:val="single" w:sz="12" w:space="0" w:color="auto"/>
              <w:right w:val="nil"/>
            </w:tcBorders>
            <w:tcMar>
              <w:top w:w="72" w:type="dxa"/>
              <w:left w:w="115" w:type="dxa"/>
              <w:bottom w:w="72" w:type="dxa"/>
              <w:right w:w="115" w:type="dxa"/>
            </w:tcMar>
            <w:hideMark/>
          </w:tcPr>
          <w:p w14:paraId="26127E51" w14:textId="77777777" w:rsidR="0023393A" w:rsidRPr="0023393A" w:rsidRDefault="0023393A" w:rsidP="00E34BBA">
            <w:pPr>
              <w:pStyle w:val="xmsonormal0"/>
              <w:keepNext/>
              <w:spacing w:line="252" w:lineRule="auto"/>
            </w:pPr>
            <w:r w:rsidRPr="0023393A">
              <w:rPr>
                <w:rFonts w:ascii="Arial" w:hAnsi="Arial" w:cs="Arial"/>
              </w:rPr>
              <w:t>November 23</w:t>
            </w:r>
            <w:r w:rsidRPr="0023393A">
              <w:rPr>
                <w:rFonts w:ascii="Arial" w:hAnsi="Arial" w:cs="Arial"/>
                <w:vertAlign w:val="superscript"/>
              </w:rPr>
              <w:t>rd</w:t>
            </w:r>
            <w:r w:rsidRPr="0023393A">
              <w:rPr>
                <w:rFonts w:ascii="Arial" w:hAnsi="Arial" w:cs="Arial"/>
              </w:rPr>
              <w:t xml:space="preserve"> (Tue) 1:00pm</w:t>
            </w:r>
          </w:p>
        </w:tc>
        <w:tc>
          <w:tcPr>
            <w:tcW w:w="236" w:type="dxa"/>
            <w:tcBorders>
              <w:top w:val="nil"/>
              <w:left w:val="nil"/>
              <w:bottom w:val="single" w:sz="12" w:space="0" w:color="auto"/>
              <w:right w:val="nil"/>
            </w:tcBorders>
            <w:tcMar>
              <w:top w:w="72" w:type="dxa"/>
              <w:left w:w="108" w:type="dxa"/>
              <w:bottom w:w="72" w:type="dxa"/>
              <w:right w:w="108" w:type="dxa"/>
            </w:tcMar>
            <w:hideMark/>
          </w:tcPr>
          <w:p w14:paraId="2E84B45B" w14:textId="77777777" w:rsidR="0023393A" w:rsidRPr="0023393A" w:rsidRDefault="0023393A" w:rsidP="00E34BBA">
            <w:pPr>
              <w:pStyle w:val="xmsonormal0"/>
              <w:keepNext/>
              <w:spacing w:line="252" w:lineRule="auto"/>
            </w:pPr>
            <w:r w:rsidRPr="0023393A">
              <w:rPr>
                <w:rFonts w:ascii="Arial" w:hAnsi="Arial" w:cs="Arial"/>
              </w:rPr>
              <w:t> </w:t>
            </w:r>
          </w:p>
        </w:tc>
        <w:tc>
          <w:tcPr>
            <w:tcW w:w="5884" w:type="dxa"/>
            <w:tcBorders>
              <w:top w:val="nil"/>
              <w:left w:val="nil"/>
              <w:bottom w:val="single" w:sz="12" w:space="0" w:color="auto"/>
              <w:right w:val="nil"/>
            </w:tcBorders>
            <w:tcMar>
              <w:top w:w="72" w:type="dxa"/>
              <w:left w:w="115" w:type="dxa"/>
              <w:bottom w:w="72" w:type="dxa"/>
              <w:right w:w="115" w:type="dxa"/>
            </w:tcMar>
            <w:hideMark/>
          </w:tcPr>
          <w:p w14:paraId="3407D31D" w14:textId="77777777" w:rsidR="0023393A" w:rsidRPr="0023393A" w:rsidRDefault="0023393A" w:rsidP="00E34BBA">
            <w:pPr>
              <w:pStyle w:val="xmsonormal0"/>
              <w:keepNext/>
              <w:spacing w:line="252" w:lineRule="auto"/>
            </w:pPr>
            <w:r w:rsidRPr="0023393A">
              <w:rPr>
                <w:rFonts w:ascii="Arial" w:hAnsi="Arial" w:cs="Arial"/>
              </w:rPr>
              <w:t>Full Council – Final action</w:t>
            </w:r>
          </w:p>
        </w:tc>
      </w:tr>
      <w:bookmarkEnd w:id="10"/>
    </w:tbl>
    <w:p w14:paraId="1817DDCC" w14:textId="4F5D3045" w:rsidR="007F789A" w:rsidRDefault="007F789A" w:rsidP="000D356F">
      <w:pPr>
        <w:spacing w:line="264" w:lineRule="auto"/>
        <w:jc w:val="both"/>
        <w:rPr>
          <w:rFonts w:ascii="Arial" w:hAnsi="Arial" w:cs="Arial"/>
          <w:b/>
          <w:szCs w:val="24"/>
          <w:u w:val="single"/>
        </w:rPr>
      </w:pPr>
    </w:p>
    <w:p w14:paraId="4511AB05" w14:textId="51DAC47E" w:rsidR="007F789A" w:rsidRDefault="007F789A" w:rsidP="000D356F">
      <w:pPr>
        <w:spacing w:line="264" w:lineRule="auto"/>
        <w:jc w:val="both"/>
        <w:rPr>
          <w:rFonts w:ascii="Arial" w:hAnsi="Arial" w:cs="Arial"/>
          <w:b/>
          <w:szCs w:val="24"/>
          <w:u w:val="single"/>
        </w:rPr>
      </w:pPr>
    </w:p>
    <w:p w14:paraId="50B10245" w14:textId="31B0EB82" w:rsidR="007F789A" w:rsidRDefault="007F789A" w:rsidP="000D356F">
      <w:pPr>
        <w:spacing w:line="264" w:lineRule="auto"/>
        <w:jc w:val="both"/>
        <w:rPr>
          <w:rFonts w:ascii="Arial" w:hAnsi="Arial" w:cs="Arial"/>
          <w:b/>
          <w:szCs w:val="24"/>
          <w:u w:val="single"/>
        </w:rPr>
      </w:pPr>
    </w:p>
    <w:p w14:paraId="6B4796EB" w14:textId="34759428" w:rsidR="007F789A" w:rsidRDefault="007F789A" w:rsidP="000D356F">
      <w:pPr>
        <w:spacing w:line="264" w:lineRule="auto"/>
        <w:jc w:val="both"/>
        <w:rPr>
          <w:rFonts w:ascii="Arial" w:hAnsi="Arial" w:cs="Arial"/>
          <w:b/>
          <w:szCs w:val="24"/>
          <w:u w:val="single"/>
        </w:rPr>
      </w:pPr>
    </w:p>
    <w:p w14:paraId="1DC193D5" w14:textId="265108EE" w:rsidR="007F789A" w:rsidRDefault="007F789A" w:rsidP="000D356F">
      <w:pPr>
        <w:spacing w:line="264" w:lineRule="auto"/>
        <w:jc w:val="both"/>
        <w:rPr>
          <w:rFonts w:ascii="Arial" w:hAnsi="Arial" w:cs="Arial"/>
          <w:b/>
          <w:szCs w:val="24"/>
          <w:u w:val="single"/>
        </w:rPr>
      </w:pPr>
    </w:p>
    <w:p w14:paraId="0DD04EEE" w14:textId="77777777" w:rsidR="007F789A" w:rsidRDefault="007F789A" w:rsidP="000D356F">
      <w:pPr>
        <w:spacing w:line="264" w:lineRule="auto"/>
        <w:jc w:val="both"/>
        <w:rPr>
          <w:rFonts w:ascii="Arial" w:hAnsi="Arial" w:cs="Arial"/>
          <w:b/>
          <w:szCs w:val="24"/>
          <w:u w:val="single"/>
        </w:rPr>
      </w:pPr>
    </w:p>
    <w:p w14:paraId="7E15EA97" w14:textId="26EDFE6F" w:rsidR="00D21F91" w:rsidRPr="006D55DD" w:rsidRDefault="00D21F91" w:rsidP="00D21F91">
      <w:pPr>
        <w:spacing w:line="264" w:lineRule="auto"/>
        <w:jc w:val="both"/>
        <w:rPr>
          <w:rFonts w:ascii="Arial" w:hAnsi="Arial" w:cs="Arial"/>
          <w:b/>
          <w:color w:val="4F81BD" w:themeColor="accent1"/>
          <w:szCs w:val="24"/>
          <w:u w:val="single"/>
        </w:rPr>
      </w:pPr>
      <w:r w:rsidRPr="006D55DD">
        <w:rPr>
          <w:rFonts w:ascii="Arial" w:hAnsi="Arial" w:cs="Arial"/>
          <w:b/>
          <w:color w:val="4F81BD" w:themeColor="accent1"/>
          <w:szCs w:val="24"/>
          <w:u w:val="single"/>
        </w:rPr>
        <w:lastRenderedPageBreak/>
        <w:t>AMENDMENTS</w:t>
      </w:r>
    </w:p>
    <w:p w14:paraId="29D5A322" w14:textId="77777777" w:rsidR="00D21F91" w:rsidRPr="006D55DD" w:rsidRDefault="00D21F91" w:rsidP="00D21F91">
      <w:pPr>
        <w:spacing w:line="264" w:lineRule="auto"/>
        <w:jc w:val="both"/>
        <w:rPr>
          <w:rFonts w:ascii="Arial" w:hAnsi="Arial" w:cs="Arial"/>
          <w:color w:val="4F81BD" w:themeColor="accent1"/>
          <w:szCs w:val="24"/>
          <w:highlight w:val="yellow"/>
        </w:rPr>
      </w:pPr>
    </w:p>
    <w:p w14:paraId="630756FD" w14:textId="39927F11" w:rsidR="007D7908" w:rsidRPr="005177DC" w:rsidRDefault="00343AB0" w:rsidP="007D7908">
      <w:pPr>
        <w:spacing w:line="264" w:lineRule="auto"/>
        <w:jc w:val="both"/>
        <w:rPr>
          <w:rFonts w:ascii="Arial" w:hAnsi="Arial" w:cs="Arial"/>
          <w:b/>
          <w:szCs w:val="24"/>
          <w:u w:val="single"/>
        </w:rPr>
      </w:pPr>
      <w:r w:rsidRPr="006D55DD">
        <w:rPr>
          <w:rFonts w:ascii="Arial" w:hAnsi="Arial" w:cs="Arial"/>
          <w:color w:val="4F81BD" w:themeColor="accent1"/>
        </w:rPr>
        <w:t xml:space="preserve">The Budget and Fiscal Management Committee Chair </w:t>
      </w:r>
      <w:r w:rsidR="001753E9">
        <w:rPr>
          <w:rFonts w:ascii="Arial" w:hAnsi="Arial" w:cs="Arial"/>
          <w:color w:val="4F81BD" w:themeColor="accent1"/>
        </w:rPr>
        <w:t>is offering</w:t>
      </w:r>
      <w:r w:rsidRPr="006D55DD">
        <w:rPr>
          <w:rFonts w:ascii="Arial" w:hAnsi="Arial" w:cs="Arial"/>
          <w:color w:val="4F81BD" w:themeColor="accent1"/>
        </w:rPr>
        <w:t xml:space="preserve"> a striking amendment that would appropriate an additional $</w:t>
      </w:r>
      <w:r w:rsidR="00F8566C">
        <w:rPr>
          <w:rFonts w:ascii="Arial" w:hAnsi="Arial" w:cs="Arial"/>
          <w:color w:val="4F81BD" w:themeColor="accent1"/>
        </w:rPr>
        <w:t>4</w:t>
      </w:r>
      <w:r w:rsidR="00B80E9F">
        <w:rPr>
          <w:rFonts w:ascii="Arial" w:hAnsi="Arial" w:cs="Arial"/>
          <w:color w:val="4F81BD" w:themeColor="accent1"/>
        </w:rPr>
        <w:t>1</w:t>
      </w:r>
      <w:r w:rsidR="00F8566C">
        <w:rPr>
          <w:rFonts w:ascii="Arial" w:hAnsi="Arial" w:cs="Arial"/>
          <w:color w:val="4F81BD" w:themeColor="accent1"/>
        </w:rPr>
        <w:t>.</w:t>
      </w:r>
      <w:r w:rsidR="00630940">
        <w:rPr>
          <w:rFonts w:ascii="Arial" w:hAnsi="Arial" w:cs="Arial"/>
          <w:color w:val="4F81BD" w:themeColor="accent1"/>
        </w:rPr>
        <w:t>7</w:t>
      </w:r>
      <w:r w:rsidRPr="006D55DD">
        <w:rPr>
          <w:rFonts w:ascii="Arial" w:hAnsi="Arial" w:cs="Arial"/>
          <w:color w:val="4F81BD" w:themeColor="accent1"/>
        </w:rPr>
        <w:t xml:space="preserve"> million</w:t>
      </w:r>
      <w:r w:rsidR="000C107A">
        <w:rPr>
          <w:rStyle w:val="FootnoteReference"/>
          <w:rFonts w:ascii="Arial" w:hAnsi="Arial" w:cs="Arial"/>
          <w:color w:val="4F81BD" w:themeColor="accent1"/>
        </w:rPr>
        <w:footnoteReference w:id="76"/>
      </w:r>
      <w:r w:rsidRPr="006D55DD">
        <w:rPr>
          <w:rFonts w:ascii="Arial" w:hAnsi="Arial" w:cs="Arial"/>
          <w:color w:val="4F81BD" w:themeColor="accent1"/>
        </w:rPr>
        <w:t xml:space="preserve"> </w:t>
      </w:r>
      <w:r w:rsidR="009F3ACE">
        <w:rPr>
          <w:rFonts w:ascii="Arial" w:hAnsi="Arial" w:cs="Arial"/>
          <w:color w:val="4F81BD" w:themeColor="accent1"/>
        </w:rPr>
        <w:t xml:space="preserve">to the </w:t>
      </w:r>
      <w:r w:rsidR="001753E9">
        <w:rPr>
          <w:rFonts w:ascii="Arial" w:hAnsi="Arial" w:cs="Arial"/>
          <w:color w:val="4F81BD" w:themeColor="accent1"/>
        </w:rPr>
        <w:t xml:space="preserve">executive proposed </w:t>
      </w:r>
      <w:r w:rsidR="009F3ACE">
        <w:rPr>
          <w:rFonts w:ascii="Arial" w:hAnsi="Arial" w:cs="Arial"/>
          <w:color w:val="4F81BD" w:themeColor="accent1"/>
        </w:rPr>
        <w:t>2021 2</w:t>
      </w:r>
      <w:r w:rsidR="009F3ACE" w:rsidRPr="009F3ACE">
        <w:rPr>
          <w:rFonts w:ascii="Arial" w:hAnsi="Arial" w:cs="Arial"/>
          <w:color w:val="4F81BD" w:themeColor="accent1"/>
          <w:vertAlign w:val="superscript"/>
        </w:rPr>
        <w:t>nd</w:t>
      </w:r>
      <w:r w:rsidR="009F3ACE">
        <w:rPr>
          <w:rFonts w:ascii="Arial" w:hAnsi="Arial" w:cs="Arial"/>
          <w:color w:val="4F81BD" w:themeColor="accent1"/>
        </w:rPr>
        <w:t xml:space="preserve"> Omnibus. </w:t>
      </w:r>
      <w:r w:rsidR="00FF48B1">
        <w:rPr>
          <w:rFonts w:ascii="Arial" w:hAnsi="Arial" w:cs="Arial"/>
          <w:color w:val="4F81BD" w:themeColor="accent1"/>
        </w:rPr>
        <w:t xml:space="preserve"> </w:t>
      </w:r>
      <w:r w:rsidR="009F3ACE">
        <w:rPr>
          <w:rFonts w:ascii="Arial" w:hAnsi="Arial" w:cs="Arial"/>
          <w:color w:val="4F81BD" w:themeColor="accent1"/>
        </w:rPr>
        <w:t xml:space="preserve">Of the total, </w:t>
      </w:r>
      <w:r w:rsidRPr="006D55DD">
        <w:rPr>
          <w:rFonts w:ascii="Arial" w:hAnsi="Arial" w:cs="Arial"/>
          <w:color w:val="4F81BD" w:themeColor="accent1"/>
        </w:rPr>
        <w:t>$</w:t>
      </w:r>
      <w:r w:rsidR="00DB715D">
        <w:rPr>
          <w:rFonts w:ascii="Arial" w:hAnsi="Arial" w:cs="Arial"/>
          <w:color w:val="4F81BD" w:themeColor="accent1"/>
        </w:rPr>
        <w:t>33.9</w:t>
      </w:r>
      <w:r w:rsidRPr="006D55DD">
        <w:rPr>
          <w:rFonts w:ascii="Arial" w:hAnsi="Arial" w:cs="Arial"/>
          <w:color w:val="4F81BD" w:themeColor="accent1"/>
        </w:rPr>
        <w:t xml:space="preserve"> million </w:t>
      </w:r>
      <w:r w:rsidR="00EE1C1C">
        <w:rPr>
          <w:rFonts w:ascii="Arial" w:hAnsi="Arial" w:cs="Arial"/>
          <w:color w:val="4F81BD" w:themeColor="accent1"/>
        </w:rPr>
        <w:t xml:space="preserve">would be supported by the General Fund </w:t>
      </w:r>
      <w:r w:rsidR="00DF5488">
        <w:rPr>
          <w:rFonts w:ascii="Arial" w:hAnsi="Arial" w:cs="Arial"/>
          <w:color w:val="4F81BD" w:themeColor="accent1"/>
        </w:rPr>
        <w:t xml:space="preserve">or General Obligation bonds </w:t>
      </w:r>
      <w:r w:rsidR="00E65B3F">
        <w:rPr>
          <w:rFonts w:ascii="Arial" w:hAnsi="Arial" w:cs="Arial"/>
          <w:color w:val="4F81BD" w:themeColor="accent1"/>
        </w:rPr>
        <w:t>(that would be paid</w:t>
      </w:r>
      <w:r w:rsidR="00DF5488">
        <w:rPr>
          <w:rFonts w:ascii="Arial" w:hAnsi="Arial" w:cs="Arial"/>
          <w:color w:val="4F81BD" w:themeColor="accent1"/>
        </w:rPr>
        <w:t xml:space="preserve"> by General Fund debt service</w:t>
      </w:r>
      <w:r w:rsidR="00E65B3F">
        <w:rPr>
          <w:rFonts w:ascii="Arial" w:hAnsi="Arial" w:cs="Arial"/>
          <w:color w:val="4F81BD" w:themeColor="accent1"/>
        </w:rPr>
        <w:t>)</w:t>
      </w:r>
      <w:r w:rsidR="00DF5488">
        <w:rPr>
          <w:rFonts w:ascii="Arial" w:hAnsi="Arial" w:cs="Arial"/>
          <w:color w:val="4F81BD" w:themeColor="accent1"/>
        </w:rPr>
        <w:t>.</w:t>
      </w:r>
      <w:r w:rsidR="00F07E61">
        <w:rPr>
          <w:rFonts w:ascii="Arial" w:hAnsi="Arial" w:cs="Arial"/>
          <w:color w:val="4F81BD" w:themeColor="accent1"/>
        </w:rPr>
        <w:t xml:space="preserve">  </w:t>
      </w:r>
      <w:r w:rsidR="00043793">
        <w:rPr>
          <w:rFonts w:ascii="Arial" w:hAnsi="Arial" w:cs="Arial"/>
          <w:color w:val="4F81BD" w:themeColor="accent1"/>
        </w:rPr>
        <w:t xml:space="preserve">Details of the striking amendment are </w:t>
      </w:r>
      <w:r w:rsidR="00CA0B28">
        <w:rPr>
          <w:rFonts w:ascii="Arial" w:hAnsi="Arial" w:cs="Arial"/>
          <w:color w:val="4F81BD" w:themeColor="accent1"/>
        </w:rPr>
        <w:t>provided in the table below</w:t>
      </w:r>
      <w:r w:rsidR="005177DC">
        <w:rPr>
          <w:rFonts w:ascii="Arial" w:hAnsi="Arial" w:cs="Arial"/>
          <w:color w:val="4F81BD" w:themeColor="accent1"/>
        </w:rPr>
        <w:t xml:space="preserve">.  </w:t>
      </w:r>
      <w:r w:rsidR="007D7908">
        <w:rPr>
          <w:rFonts w:ascii="Arial" w:hAnsi="Arial" w:cs="Arial"/>
          <w:color w:val="4F81BD" w:themeColor="accent1"/>
        </w:rPr>
        <w:t>If proposed, councilmember proposed line amendments to the striking amendment will be distributed to committee members prior to the start of the committee meeting.</w:t>
      </w:r>
    </w:p>
    <w:p w14:paraId="6E41F608" w14:textId="73888917" w:rsidR="009B28ED" w:rsidRDefault="009B28ED" w:rsidP="00D21F91">
      <w:pPr>
        <w:spacing w:line="264" w:lineRule="auto"/>
        <w:jc w:val="both"/>
        <w:rPr>
          <w:rFonts w:ascii="Arial" w:hAnsi="Arial" w:cs="Arial"/>
          <w:color w:val="4F81BD" w:themeColor="accent1"/>
        </w:rPr>
      </w:pPr>
    </w:p>
    <w:tbl>
      <w:tblPr>
        <w:tblStyle w:val="TableGrid"/>
        <w:tblW w:w="9360" w:type="dxa"/>
        <w:tblInd w:w="108" w:type="dxa"/>
        <w:tblLayout w:type="fixed"/>
        <w:tblLook w:val="04A0" w:firstRow="1" w:lastRow="0" w:firstColumn="1" w:lastColumn="0" w:noHBand="0" w:noVBand="1"/>
      </w:tblPr>
      <w:tblGrid>
        <w:gridCol w:w="572"/>
        <w:gridCol w:w="252"/>
        <w:gridCol w:w="1156"/>
        <w:gridCol w:w="270"/>
        <w:gridCol w:w="5400"/>
        <w:gridCol w:w="270"/>
        <w:gridCol w:w="1440"/>
      </w:tblGrid>
      <w:tr w:rsidR="00C008AA" w:rsidRPr="00C008AA" w14:paraId="04730000" w14:textId="77777777" w:rsidTr="00D9748B">
        <w:trPr>
          <w:cantSplit/>
          <w:trHeight w:val="375"/>
          <w:tblHeader/>
        </w:trPr>
        <w:tc>
          <w:tcPr>
            <w:tcW w:w="572" w:type="dxa"/>
            <w:tcBorders>
              <w:top w:val="single" w:sz="12" w:space="0" w:color="auto"/>
              <w:left w:val="nil"/>
              <w:bottom w:val="single" w:sz="4" w:space="0" w:color="auto"/>
              <w:right w:val="nil"/>
            </w:tcBorders>
            <w:vAlign w:val="bottom"/>
          </w:tcPr>
          <w:p w14:paraId="3E25B1D2" w14:textId="77777777" w:rsidR="00842C59" w:rsidRPr="00C008AA" w:rsidRDefault="00842C59" w:rsidP="00B8030C">
            <w:pPr>
              <w:spacing w:line="264" w:lineRule="auto"/>
              <w:contextualSpacing/>
              <w:jc w:val="center"/>
              <w:rPr>
                <w:rFonts w:ascii="Arial" w:hAnsi="Arial" w:cs="Arial"/>
                <w:b/>
                <w:color w:val="4F81BD" w:themeColor="accent1"/>
                <w:sz w:val="22"/>
                <w:szCs w:val="22"/>
              </w:rPr>
            </w:pPr>
            <w:r w:rsidRPr="00C008AA">
              <w:rPr>
                <w:rFonts w:ascii="Arial" w:hAnsi="Arial" w:cs="Arial"/>
                <w:b/>
                <w:color w:val="4F81BD" w:themeColor="accent1"/>
                <w:sz w:val="22"/>
                <w:szCs w:val="22"/>
              </w:rPr>
              <w:t>No.</w:t>
            </w:r>
          </w:p>
        </w:tc>
        <w:tc>
          <w:tcPr>
            <w:tcW w:w="252" w:type="dxa"/>
            <w:tcBorders>
              <w:top w:val="single" w:sz="12" w:space="0" w:color="auto"/>
              <w:left w:val="nil"/>
              <w:bottom w:val="nil"/>
              <w:right w:val="nil"/>
            </w:tcBorders>
          </w:tcPr>
          <w:p w14:paraId="4723990F" w14:textId="77777777" w:rsidR="00842C59" w:rsidRPr="00C008AA" w:rsidRDefault="00842C59" w:rsidP="00B8030C">
            <w:pPr>
              <w:spacing w:line="264" w:lineRule="auto"/>
              <w:contextualSpacing/>
              <w:jc w:val="both"/>
              <w:rPr>
                <w:rFonts w:ascii="Arial" w:hAnsi="Arial" w:cs="Arial"/>
                <w:b/>
                <w:color w:val="4F81BD" w:themeColor="accent1"/>
                <w:sz w:val="22"/>
                <w:szCs w:val="22"/>
              </w:rPr>
            </w:pPr>
          </w:p>
        </w:tc>
        <w:tc>
          <w:tcPr>
            <w:tcW w:w="1156" w:type="dxa"/>
            <w:tcBorders>
              <w:top w:val="single" w:sz="12" w:space="0" w:color="auto"/>
              <w:left w:val="nil"/>
              <w:bottom w:val="single" w:sz="4" w:space="0" w:color="auto"/>
              <w:right w:val="nil"/>
            </w:tcBorders>
            <w:shd w:val="clear" w:color="auto" w:fill="auto"/>
            <w:vAlign w:val="bottom"/>
          </w:tcPr>
          <w:p w14:paraId="3BB3B123" w14:textId="08E9D391" w:rsidR="00842C59" w:rsidRPr="00C008AA" w:rsidRDefault="001A1D5D" w:rsidP="00F2161B">
            <w:pPr>
              <w:spacing w:line="264" w:lineRule="auto"/>
              <w:contextualSpacing/>
              <w:jc w:val="center"/>
              <w:rPr>
                <w:rFonts w:ascii="Arial" w:hAnsi="Arial" w:cs="Arial"/>
                <w:b/>
                <w:color w:val="4F81BD" w:themeColor="accent1"/>
                <w:sz w:val="22"/>
                <w:szCs w:val="22"/>
              </w:rPr>
            </w:pPr>
            <w:r w:rsidRPr="00C008AA">
              <w:rPr>
                <w:rFonts w:ascii="Arial" w:hAnsi="Arial" w:cs="Arial"/>
                <w:b/>
                <w:color w:val="4F81BD" w:themeColor="accent1"/>
                <w:sz w:val="22"/>
                <w:szCs w:val="22"/>
              </w:rPr>
              <w:t>Agency</w:t>
            </w:r>
          </w:p>
        </w:tc>
        <w:tc>
          <w:tcPr>
            <w:tcW w:w="270" w:type="dxa"/>
            <w:tcBorders>
              <w:top w:val="single" w:sz="12" w:space="0" w:color="auto"/>
              <w:left w:val="nil"/>
              <w:bottom w:val="nil"/>
              <w:right w:val="nil"/>
            </w:tcBorders>
          </w:tcPr>
          <w:p w14:paraId="779F59A3" w14:textId="77777777" w:rsidR="00842C59" w:rsidRPr="00C008AA" w:rsidRDefault="00842C59" w:rsidP="00B8030C">
            <w:pPr>
              <w:spacing w:line="264" w:lineRule="auto"/>
              <w:contextualSpacing/>
              <w:jc w:val="center"/>
              <w:rPr>
                <w:rFonts w:ascii="Arial" w:hAnsi="Arial" w:cs="Arial"/>
                <w:b/>
                <w:color w:val="4F81BD" w:themeColor="accent1"/>
                <w:sz w:val="22"/>
                <w:szCs w:val="22"/>
              </w:rPr>
            </w:pPr>
          </w:p>
        </w:tc>
        <w:tc>
          <w:tcPr>
            <w:tcW w:w="5400" w:type="dxa"/>
            <w:tcBorders>
              <w:top w:val="single" w:sz="12" w:space="0" w:color="auto"/>
              <w:left w:val="nil"/>
              <w:bottom w:val="single" w:sz="4" w:space="0" w:color="auto"/>
              <w:right w:val="nil"/>
            </w:tcBorders>
            <w:shd w:val="clear" w:color="auto" w:fill="auto"/>
            <w:vAlign w:val="bottom"/>
          </w:tcPr>
          <w:p w14:paraId="373EBED2" w14:textId="1D8D3E36" w:rsidR="00842C59" w:rsidRPr="00C008AA" w:rsidRDefault="001A1D5D" w:rsidP="001A1D5D">
            <w:pPr>
              <w:spacing w:line="264" w:lineRule="auto"/>
              <w:contextualSpacing/>
              <w:rPr>
                <w:rFonts w:ascii="Arial" w:hAnsi="Arial" w:cs="Arial"/>
                <w:b/>
                <w:color w:val="4F81BD" w:themeColor="accent1"/>
                <w:sz w:val="22"/>
                <w:szCs w:val="22"/>
              </w:rPr>
            </w:pPr>
            <w:r w:rsidRPr="00C008AA">
              <w:rPr>
                <w:rFonts w:ascii="Arial" w:hAnsi="Arial" w:cs="Arial"/>
                <w:b/>
                <w:color w:val="4F81BD" w:themeColor="accent1"/>
                <w:sz w:val="22"/>
                <w:szCs w:val="22"/>
              </w:rPr>
              <w:t>Description</w:t>
            </w:r>
          </w:p>
        </w:tc>
        <w:tc>
          <w:tcPr>
            <w:tcW w:w="270" w:type="dxa"/>
            <w:tcBorders>
              <w:top w:val="single" w:sz="12" w:space="0" w:color="auto"/>
              <w:left w:val="nil"/>
              <w:bottom w:val="nil"/>
              <w:right w:val="nil"/>
            </w:tcBorders>
            <w:vAlign w:val="bottom"/>
          </w:tcPr>
          <w:p w14:paraId="7D2B5AD2" w14:textId="77777777" w:rsidR="00842C59" w:rsidRPr="00C008AA" w:rsidRDefault="00842C59" w:rsidP="00B8030C">
            <w:pPr>
              <w:spacing w:line="264" w:lineRule="auto"/>
              <w:contextualSpacing/>
              <w:jc w:val="center"/>
              <w:rPr>
                <w:rFonts w:ascii="Arial" w:hAnsi="Arial" w:cs="Arial"/>
                <w:b/>
                <w:color w:val="4F81BD" w:themeColor="accent1"/>
                <w:sz w:val="22"/>
                <w:szCs w:val="22"/>
              </w:rPr>
            </w:pPr>
          </w:p>
        </w:tc>
        <w:tc>
          <w:tcPr>
            <w:tcW w:w="1440" w:type="dxa"/>
            <w:tcBorders>
              <w:top w:val="single" w:sz="12" w:space="0" w:color="auto"/>
              <w:left w:val="nil"/>
              <w:bottom w:val="single" w:sz="4" w:space="0" w:color="auto"/>
              <w:right w:val="nil"/>
            </w:tcBorders>
            <w:shd w:val="clear" w:color="auto" w:fill="auto"/>
            <w:vAlign w:val="bottom"/>
          </w:tcPr>
          <w:p w14:paraId="03483702" w14:textId="2DB38230" w:rsidR="00842C59" w:rsidRPr="00C008AA" w:rsidRDefault="00F2161B" w:rsidP="00B8030C">
            <w:pPr>
              <w:spacing w:line="264" w:lineRule="auto"/>
              <w:contextualSpacing/>
              <w:jc w:val="center"/>
              <w:rPr>
                <w:rFonts w:ascii="Arial" w:hAnsi="Arial" w:cs="Arial"/>
                <w:b/>
                <w:color w:val="4F81BD" w:themeColor="accent1"/>
                <w:sz w:val="22"/>
                <w:szCs w:val="22"/>
              </w:rPr>
            </w:pPr>
            <w:r w:rsidRPr="00C008AA">
              <w:rPr>
                <w:rFonts w:ascii="Arial" w:hAnsi="Arial" w:cs="Arial"/>
                <w:b/>
                <w:color w:val="4F81BD" w:themeColor="accent1"/>
                <w:sz w:val="22"/>
                <w:szCs w:val="22"/>
              </w:rPr>
              <w:t>Amount</w:t>
            </w:r>
          </w:p>
        </w:tc>
      </w:tr>
      <w:tr w:rsidR="00C008AA" w:rsidRPr="00C008AA" w14:paraId="45F5917F" w14:textId="77777777" w:rsidTr="00D9748B">
        <w:trPr>
          <w:cantSplit/>
        </w:trPr>
        <w:tc>
          <w:tcPr>
            <w:tcW w:w="572" w:type="dxa"/>
            <w:tcBorders>
              <w:top w:val="nil"/>
              <w:left w:val="nil"/>
              <w:bottom w:val="dotted" w:sz="4" w:space="0" w:color="auto"/>
              <w:right w:val="nil"/>
            </w:tcBorders>
          </w:tcPr>
          <w:p w14:paraId="4AD3C34A" w14:textId="77777777" w:rsidR="00842C59" w:rsidRPr="00C008AA" w:rsidRDefault="00842C59" w:rsidP="00B8030C">
            <w:pPr>
              <w:spacing w:line="264" w:lineRule="auto"/>
              <w:contextualSpacing/>
              <w:jc w:val="center"/>
              <w:rPr>
                <w:rFonts w:ascii="Arial" w:hAnsi="Arial" w:cs="Arial"/>
                <w:color w:val="4F81BD" w:themeColor="accent1"/>
                <w:sz w:val="22"/>
                <w:szCs w:val="22"/>
              </w:rPr>
            </w:pPr>
            <w:r w:rsidRPr="00C008AA">
              <w:rPr>
                <w:rFonts w:ascii="Arial" w:hAnsi="Arial" w:cs="Arial"/>
                <w:color w:val="4F81BD" w:themeColor="accent1"/>
                <w:sz w:val="22"/>
                <w:szCs w:val="22"/>
              </w:rPr>
              <w:t>1</w:t>
            </w:r>
          </w:p>
        </w:tc>
        <w:tc>
          <w:tcPr>
            <w:tcW w:w="252" w:type="dxa"/>
            <w:tcBorders>
              <w:top w:val="nil"/>
              <w:left w:val="nil"/>
              <w:bottom w:val="nil"/>
              <w:right w:val="nil"/>
            </w:tcBorders>
          </w:tcPr>
          <w:p w14:paraId="38F7BCB3" w14:textId="77777777" w:rsidR="00842C59" w:rsidRPr="00C008AA" w:rsidRDefault="00842C59" w:rsidP="00B8030C">
            <w:pPr>
              <w:spacing w:line="264" w:lineRule="auto"/>
              <w:contextualSpacing/>
              <w:rPr>
                <w:rFonts w:ascii="Arial" w:hAnsi="Arial" w:cs="Arial"/>
                <w:color w:val="4F81BD" w:themeColor="accent1"/>
                <w:sz w:val="22"/>
                <w:szCs w:val="22"/>
              </w:rPr>
            </w:pPr>
          </w:p>
        </w:tc>
        <w:tc>
          <w:tcPr>
            <w:tcW w:w="1156" w:type="dxa"/>
            <w:tcBorders>
              <w:top w:val="nil"/>
              <w:left w:val="nil"/>
              <w:bottom w:val="dotted" w:sz="4" w:space="0" w:color="auto"/>
              <w:right w:val="nil"/>
            </w:tcBorders>
            <w:shd w:val="clear" w:color="auto" w:fill="auto"/>
            <w:tcMar>
              <w:top w:w="43" w:type="dxa"/>
              <w:left w:w="115" w:type="dxa"/>
              <w:bottom w:w="43" w:type="dxa"/>
              <w:right w:w="115" w:type="dxa"/>
            </w:tcMar>
          </w:tcPr>
          <w:p w14:paraId="4893DEBA" w14:textId="3F1FA940" w:rsidR="00DB341C" w:rsidRPr="00C008AA" w:rsidRDefault="00F2161B" w:rsidP="00DB341C">
            <w:pPr>
              <w:spacing w:line="264" w:lineRule="auto"/>
              <w:contextualSpacing/>
              <w:rPr>
                <w:rFonts w:ascii="Arial" w:hAnsi="Arial" w:cs="Arial"/>
                <w:color w:val="4F81BD" w:themeColor="accent1"/>
                <w:sz w:val="22"/>
                <w:szCs w:val="22"/>
              </w:rPr>
            </w:pPr>
            <w:r w:rsidRPr="00C008AA">
              <w:rPr>
                <w:rFonts w:ascii="Arial" w:hAnsi="Arial" w:cs="Arial"/>
                <w:color w:val="4F81BD" w:themeColor="accent1"/>
                <w:sz w:val="22"/>
                <w:szCs w:val="22"/>
              </w:rPr>
              <w:t>KCTV</w:t>
            </w:r>
          </w:p>
          <w:p w14:paraId="130EECE2" w14:textId="718258B4" w:rsidR="00842C59" w:rsidRPr="00C008AA" w:rsidRDefault="00842C59" w:rsidP="00B8030C">
            <w:pPr>
              <w:spacing w:line="264" w:lineRule="auto"/>
              <w:contextualSpacing/>
              <w:rPr>
                <w:rFonts w:ascii="Arial" w:hAnsi="Arial" w:cs="Arial"/>
                <w:color w:val="4F81BD" w:themeColor="accent1"/>
                <w:sz w:val="22"/>
                <w:szCs w:val="22"/>
              </w:rPr>
            </w:pPr>
          </w:p>
        </w:tc>
        <w:tc>
          <w:tcPr>
            <w:tcW w:w="270" w:type="dxa"/>
            <w:tcBorders>
              <w:top w:val="nil"/>
              <w:left w:val="nil"/>
              <w:bottom w:val="nil"/>
              <w:right w:val="nil"/>
            </w:tcBorders>
          </w:tcPr>
          <w:p w14:paraId="3EA24303"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5400" w:type="dxa"/>
            <w:tcBorders>
              <w:top w:val="nil"/>
              <w:left w:val="nil"/>
              <w:bottom w:val="dotted" w:sz="4" w:space="0" w:color="auto"/>
              <w:right w:val="nil"/>
            </w:tcBorders>
            <w:shd w:val="clear" w:color="auto" w:fill="auto"/>
          </w:tcPr>
          <w:p w14:paraId="71F1AAAB" w14:textId="59151991" w:rsidR="00DA189B" w:rsidRPr="00C008AA" w:rsidRDefault="007F789A"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(ER2) </w:t>
            </w:r>
            <w:r w:rsidR="00DA189B" w:rsidRPr="00C008AA">
              <w:rPr>
                <w:rFonts w:ascii="Arial" w:hAnsi="Arial" w:cs="Arial"/>
                <w:bCs/>
                <w:color w:val="4F81BD" w:themeColor="accent1"/>
                <w:sz w:val="22"/>
                <w:szCs w:val="22"/>
              </w:rPr>
              <w:t>Support modifications of council chamber</w:t>
            </w:r>
            <w:r w:rsidR="00FE3830">
              <w:rPr>
                <w:rFonts w:ascii="Arial" w:hAnsi="Arial" w:cs="Arial"/>
                <w:bCs/>
                <w:color w:val="4F81BD" w:themeColor="accent1"/>
                <w:sz w:val="22"/>
                <w:szCs w:val="22"/>
              </w:rPr>
              <w:t xml:space="preserve"> enhancements </w:t>
            </w:r>
            <w:r w:rsidR="000A5156">
              <w:rPr>
                <w:rFonts w:ascii="Arial" w:hAnsi="Arial" w:cs="Arial"/>
                <w:bCs/>
                <w:color w:val="4F81BD" w:themeColor="accent1"/>
                <w:sz w:val="22"/>
                <w:szCs w:val="22"/>
              </w:rPr>
              <w:t>to support</w:t>
            </w:r>
            <w:r w:rsidR="00DA189B" w:rsidRPr="00C008AA">
              <w:rPr>
                <w:rFonts w:ascii="Arial" w:hAnsi="Arial" w:cs="Arial"/>
                <w:bCs/>
                <w:color w:val="4F81BD" w:themeColor="accent1"/>
                <w:sz w:val="22"/>
                <w:szCs w:val="22"/>
              </w:rPr>
              <w:t xml:space="preserve"> hybrid meetings </w:t>
            </w:r>
            <w:r w:rsidR="00BB38DE">
              <w:rPr>
                <w:rFonts w:ascii="Arial" w:hAnsi="Arial" w:cs="Arial"/>
                <w:bCs/>
                <w:color w:val="4F81BD" w:themeColor="accent1"/>
                <w:sz w:val="22"/>
                <w:szCs w:val="22"/>
              </w:rPr>
              <w:t xml:space="preserve">using </w:t>
            </w:r>
            <w:r w:rsidR="00726695">
              <w:rPr>
                <w:rFonts w:ascii="Arial" w:hAnsi="Arial" w:cs="Arial"/>
                <w:bCs/>
                <w:color w:val="4F81BD" w:themeColor="accent1"/>
                <w:sz w:val="22"/>
                <w:szCs w:val="22"/>
              </w:rPr>
              <w:t>I-NET revenues.</w:t>
            </w:r>
          </w:p>
        </w:tc>
        <w:tc>
          <w:tcPr>
            <w:tcW w:w="270" w:type="dxa"/>
            <w:tcBorders>
              <w:top w:val="nil"/>
              <w:left w:val="nil"/>
              <w:bottom w:val="nil"/>
              <w:right w:val="nil"/>
            </w:tcBorders>
          </w:tcPr>
          <w:p w14:paraId="5F2D677E"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1440" w:type="dxa"/>
            <w:tcBorders>
              <w:top w:val="nil"/>
              <w:left w:val="nil"/>
              <w:bottom w:val="dotted" w:sz="4" w:space="0" w:color="auto"/>
              <w:right w:val="nil"/>
            </w:tcBorders>
            <w:shd w:val="clear" w:color="auto" w:fill="auto"/>
            <w:tcMar>
              <w:top w:w="43" w:type="dxa"/>
              <w:bottom w:w="43" w:type="dxa"/>
            </w:tcMar>
          </w:tcPr>
          <w:p w14:paraId="6BE832E6" w14:textId="69FA31EA" w:rsidR="00842C59" w:rsidRPr="00C008AA" w:rsidRDefault="00F2161B" w:rsidP="00B8030C">
            <w:pPr>
              <w:spacing w:line="264" w:lineRule="auto"/>
              <w:contextualSpacing/>
              <w:jc w:val="right"/>
              <w:rPr>
                <w:rFonts w:ascii="Arial" w:hAnsi="Arial" w:cs="Arial"/>
                <w:bCs/>
                <w:color w:val="4F81BD" w:themeColor="accent1"/>
                <w:sz w:val="22"/>
                <w:szCs w:val="22"/>
              </w:rPr>
            </w:pPr>
            <w:r w:rsidRPr="00C008AA">
              <w:rPr>
                <w:rFonts w:ascii="Arial" w:hAnsi="Arial" w:cs="Arial"/>
                <w:bCs/>
                <w:color w:val="4F81BD" w:themeColor="accent1"/>
                <w:sz w:val="22"/>
                <w:szCs w:val="22"/>
              </w:rPr>
              <w:t>$60,000</w:t>
            </w:r>
          </w:p>
        </w:tc>
      </w:tr>
      <w:tr w:rsidR="00C008AA" w:rsidRPr="00C008AA" w14:paraId="68A04509" w14:textId="77777777" w:rsidTr="00D9748B">
        <w:trPr>
          <w:cantSplit/>
        </w:trPr>
        <w:tc>
          <w:tcPr>
            <w:tcW w:w="572" w:type="dxa"/>
            <w:tcBorders>
              <w:top w:val="dotted" w:sz="4" w:space="0" w:color="auto"/>
              <w:left w:val="nil"/>
              <w:bottom w:val="dotted" w:sz="4" w:space="0" w:color="auto"/>
              <w:right w:val="nil"/>
            </w:tcBorders>
          </w:tcPr>
          <w:p w14:paraId="78DB9D5C" w14:textId="77777777" w:rsidR="00842C59" w:rsidRPr="00C008AA" w:rsidRDefault="00842C59" w:rsidP="00B8030C">
            <w:pPr>
              <w:spacing w:line="264" w:lineRule="auto"/>
              <w:contextualSpacing/>
              <w:jc w:val="center"/>
              <w:rPr>
                <w:rFonts w:ascii="Arial" w:hAnsi="Arial" w:cs="Arial"/>
                <w:color w:val="4F81BD" w:themeColor="accent1"/>
                <w:sz w:val="22"/>
                <w:szCs w:val="22"/>
              </w:rPr>
            </w:pPr>
            <w:r w:rsidRPr="00C008AA">
              <w:rPr>
                <w:rFonts w:ascii="Arial" w:hAnsi="Arial" w:cs="Arial"/>
                <w:color w:val="4F81BD" w:themeColor="accent1"/>
                <w:sz w:val="22"/>
                <w:szCs w:val="22"/>
              </w:rPr>
              <w:t>2</w:t>
            </w:r>
          </w:p>
        </w:tc>
        <w:tc>
          <w:tcPr>
            <w:tcW w:w="252" w:type="dxa"/>
            <w:tcBorders>
              <w:top w:val="nil"/>
              <w:left w:val="nil"/>
              <w:bottom w:val="nil"/>
              <w:right w:val="nil"/>
            </w:tcBorders>
          </w:tcPr>
          <w:p w14:paraId="1C30C5AA" w14:textId="77777777" w:rsidR="00842C59" w:rsidRPr="00C008AA" w:rsidRDefault="00842C59"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61BCC53" w14:textId="33A19174" w:rsidR="00842C59" w:rsidRPr="00C008AA" w:rsidRDefault="00E750E6" w:rsidP="00B8030C">
            <w:pPr>
              <w:spacing w:line="264" w:lineRule="auto"/>
              <w:contextualSpacing/>
              <w:rPr>
                <w:rFonts w:ascii="Arial" w:hAnsi="Arial" w:cs="Arial"/>
                <w:color w:val="4F81BD" w:themeColor="accent1"/>
                <w:sz w:val="22"/>
                <w:szCs w:val="22"/>
              </w:rPr>
            </w:pPr>
            <w:r w:rsidRPr="00C008AA">
              <w:rPr>
                <w:rFonts w:ascii="Arial" w:hAnsi="Arial" w:cs="Arial"/>
                <w:color w:val="4F81BD" w:themeColor="accent1"/>
                <w:sz w:val="22"/>
                <w:szCs w:val="22"/>
              </w:rPr>
              <w:t>PSB</w:t>
            </w:r>
          </w:p>
        </w:tc>
        <w:tc>
          <w:tcPr>
            <w:tcW w:w="270" w:type="dxa"/>
            <w:tcBorders>
              <w:top w:val="nil"/>
              <w:left w:val="nil"/>
              <w:bottom w:val="nil"/>
              <w:right w:val="nil"/>
            </w:tcBorders>
          </w:tcPr>
          <w:p w14:paraId="437A3D28"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4388F96E" w14:textId="5812FEC3" w:rsidR="00842C59" w:rsidRPr="00C008AA" w:rsidRDefault="00B96AA6"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w:t>
            </w:r>
            <w:r w:rsidR="00B87BF7">
              <w:rPr>
                <w:rFonts w:ascii="Arial" w:hAnsi="Arial" w:cs="Arial"/>
                <w:bCs/>
                <w:color w:val="4F81BD" w:themeColor="accent1"/>
                <w:sz w:val="22"/>
                <w:szCs w:val="22"/>
              </w:rPr>
              <w:t>9</w:t>
            </w:r>
            <w:r>
              <w:rPr>
                <w:rFonts w:ascii="Arial" w:hAnsi="Arial" w:cs="Arial"/>
                <w:bCs/>
                <w:color w:val="4F81BD" w:themeColor="accent1"/>
                <w:sz w:val="22"/>
                <w:szCs w:val="22"/>
              </w:rPr>
              <w:t xml:space="preserve">) </w:t>
            </w:r>
            <w:r w:rsidR="00E750E6" w:rsidRPr="00C008AA">
              <w:rPr>
                <w:rFonts w:ascii="Arial" w:hAnsi="Arial" w:cs="Arial"/>
                <w:bCs/>
                <w:color w:val="4F81BD" w:themeColor="accent1"/>
                <w:sz w:val="22"/>
                <w:szCs w:val="22"/>
              </w:rPr>
              <w:t>Modif</w:t>
            </w:r>
            <w:r w:rsidR="00B32756" w:rsidRPr="00C008AA">
              <w:rPr>
                <w:rFonts w:ascii="Arial" w:hAnsi="Arial" w:cs="Arial"/>
                <w:bCs/>
                <w:color w:val="4F81BD" w:themeColor="accent1"/>
                <w:sz w:val="22"/>
                <w:szCs w:val="22"/>
              </w:rPr>
              <w:t xml:space="preserve">y </w:t>
            </w:r>
            <w:r w:rsidR="00705C6A">
              <w:rPr>
                <w:rFonts w:ascii="Arial" w:hAnsi="Arial" w:cs="Arial"/>
                <w:bCs/>
                <w:color w:val="4F81BD" w:themeColor="accent1"/>
                <w:sz w:val="22"/>
                <w:szCs w:val="22"/>
              </w:rPr>
              <w:t xml:space="preserve">requirement for </w:t>
            </w:r>
            <w:r w:rsidR="00C26776">
              <w:rPr>
                <w:rFonts w:ascii="Arial" w:hAnsi="Arial" w:cs="Arial"/>
                <w:bCs/>
                <w:color w:val="4F81BD" w:themeColor="accent1"/>
                <w:sz w:val="22"/>
                <w:szCs w:val="22"/>
              </w:rPr>
              <w:t xml:space="preserve">ARPA funded </w:t>
            </w:r>
            <w:r w:rsidR="00B11343" w:rsidRPr="00C008AA">
              <w:rPr>
                <w:rFonts w:ascii="Arial" w:hAnsi="Arial" w:cs="Arial"/>
                <w:bCs/>
                <w:color w:val="4F81BD" w:themeColor="accent1"/>
                <w:sz w:val="22"/>
                <w:szCs w:val="22"/>
              </w:rPr>
              <w:t>grant</w:t>
            </w:r>
            <w:r w:rsidR="0054368D" w:rsidRPr="00C008AA">
              <w:rPr>
                <w:rFonts w:ascii="Arial" w:hAnsi="Arial" w:cs="Arial"/>
                <w:bCs/>
                <w:color w:val="4F81BD" w:themeColor="accent1"/>
                <w:sz w:val="22"/>
                <w:szCs w:val="22"/>
              </w:rPr>
              <w:t xml:space="preserve"> to support </w:t>
            </w:r>
            <w:r w:rsidR="00F22A92" w:rsidRPr="00C008AA">
              <w:rPr>
                <w:rFonts w:ascii="Arial" w:hAnsi="Arial" w:cs="Arial"/>
                <w:bCs/>
                <w:color w:val="4F81BD" w:themeColor="accent1"/>
                <w:sz w:val="22"/>
                <w:szCs w:val="22"/>
              </w:rPr>
              <w:t>transplant provider</w:t>
            </w:r>
            <w:r w:rsidR="00F21A10">
              <w:rPr>
                <w:rFonts w:ascii="Arial" w:hAnsi="Arial" w:cs="Arial"/>
                <w:bCs/>
                <w:color w:val="4F81BD" w:themeColor="accent1"/>
                <w:sz w:val="22"/>
                <w:szCs w:val="22"/>
              </w:rPr>
              <w:t xml:space="preserve">s </w:t>
            </w:r>
            <w:r w:rsidR="00A4044F">
              <w:rPr>
                <w:rFonts w:ascii="Arial" w:hAnsi="Arial" w:cs="Arial"/>
                <w:bCs/>
                <w:color w:val="4F81BD" w:themeColor="accent1"/>
                <w:sz w:val="22"/>
                <w:szCs w:val="22"/>
              </w:rPr>
              <w:t>by specifying that it be a grant to support corneal transplant providers.</w:t>
            </w:r>
          </w:p>
        </w:tc>
        <w:tc>
          <w:tcPr>
            <w:tcW w:w="270" w:type="dxa"/>
            <w:tcBorders>
              <w:top w:val="nil"/>
              <w:left w:val="nil"/>
              <w:bottom w:val="nil"/>
              <w:right w:val="nil"/>
            </w:tcBorders>
          </w:tcPr>
          <w:p w14:paraId="78D5B8E4"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3A22EB0E" w14:textId="5F84879C" w:rsidR="00842C59" w:rsidRPr="00C008AA" w:rsidRDefault="009755E4" w:rsidP="00B8030C">
            <w:pPr>
              <w:spacing w:line="264" w:lineRule="auto"/>
              <w:contextualSpacing/>
              <w:jc w:val="right"/>
              <w:rPr>
                <w:rFonts w:ascii="Arial" w:hAnsi="Arial" w:cs="Arial"/>
                <w:bCs/>
                <w:color w:val="4F81BD" w:themeColor="accent1"/>
                <w:sz w:val="22"/>
                <w:szCs w:val="22"/>
              </w:rPr>
            </w:pPr>
            <w:r w:rsidRPr="00C008AA">
              <w:rPr>
                <w:rFonts w:ascii="Arial" w:hAnsi="Arial" w:cs="Arial"/>
                <w:bCs/>
                <w:color w:val="4F81BD" w:themeColor="accent1"/>
                <w:sz w:val="22"/>
                <w:szCs w:val="22"/>
              </w:rPr>
              <w:t>n/a</w:t>
            </w:r>
          </w:p>
        </w:tc>
      </w:tr>
      <w:tr w:rsidR="00103E60" w:rsidRPr="00C008AA" w14:paraId="07576E74" w14:textId="77777777" w:rsidTr="00D9748B">
        <w:trPr>
          <w:cantSplit/>
        </w:trPr>
        <w:tc>
          <w:tcPr>
            <w:tcW w:w="572" w:type="dxa"/>
            <w:tcBorders>
              <w:top w:val="dotted" w:sz="4" w:space="0" w:color="auto"/>
              <w:left w:val="nil"/>
              <w:bottom w:val="dotted" w:sz="4" w:space="0" w:color="auto"/>
              <w:right w:val="nil"/>
            </w:tcBorders>
          </w:tcPr>
          <w:p w14:paraId="4DB4CE04" w14:textId="75ABF8B2"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3</w:t>
            </w:r>
          </w:p>
        </w:tc>
        <w:tc>
          <w:tcPr>
            <w:tcW w:w="252" w:type="dxa"/>
            <w:tcBorders>
              <w:top w:val="nil"/>
              <w:left w:val="nil"/>
              <w:bottom w:val="nil"/>
              <w:right w:val="nil"/>
            </w:tcBorders>
          </w:tcPr>
          <w:p w14:paraId="2C505AC1"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1B655CA" w14:textId="6DB7E8DF" w:rsidR="00103E60" w:rsidRDefault="005A6336"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PSB</w:t>
            </w:r>
          </w:p>
        </w:tc>
        <w:tc>
          <w:tcPr>
            <w:tcW w:w="270" w:type="dxa"/>
            <w:tcBorders>
              <w:top w:val="nil"/>
              <w:left w:val="nil"/>
              <w:bottom w:val="nil"/>
              <w:right w:val="nil"/>
            </w:tcBorders>
          </w:tcPr>
          <w:p w14:paraId="6B05D848"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5A47414F" w14:textId="7D07A1B5" w:rsidR="00103E60" w:rsidRPr="00C008AA" w:rsidRDefault="00B87BF7"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(ER11) </w:t>
            </w:r>
            <w:r w:rsidR="005A6336">
              <w:rPr>
                <w:rFonts w:ascii="Arial" w:hAnsi="Arial" w:cs="Arial"/>
                <w:bCs/>
                <w:color w:val="4F81BD" w:themeColor="accent1"/>
                <w:sz w:val="22"/>
                <w:szCs w:val="22"/>
              </w:rPr>
              <w:t>C</w:t>
            </w:r>
            <w:r w:rsidR="005A6336" w:rsidRPr="005A6336">
              <w:rPr>
                <w:rFonts w:ascii="Arial" w:hAnsi="Arial" w:cs="Arial"/>
                <w:bCs/>
                <w:color w:val="4F81BD" w:themeColor="accent1"/>
                <w:sz w:val="22"/>
                <w:szCs w:val="22"/>
              </w:rPr>
              <w:t>ontract with the United Food and Commercial Workers International Union Local 21 to develop a safety and health leader certificate program and to create and expand apprenticeship opportunities in the grocery industry, particularly for workers that historically have been disproportionately impacted by inequities and discrimination</w:t>
            </w:r>
            <w:r w:rsidR="00956E12">
              <w:rPr>
                <w:rFonts w:ascii="Arial" w:hAnsi="Arial" w:cs="Arial"/>
                <w:bCs/>
                <w:color w:val="4F81BD" w:themeColor="accent1"/>
                <w:sz w:val="22"/>
                <w:szCs w:val="22"/>
              </w:rPr>
              <w:t>.</w:t>
            </w:r>
          </w:p>
        </w:tc>
        <w:tc>
          <w:tcPr>
            <w:tcW w:w="270" w:type="dxa"/>
            <w:tcBorders>
              <w:top w:val="nil"/>
              <w:left w:val="nil"/>
              <w:bottom w:val="nil"/>
              <w:right w:val="nil"/>
            </w:tcBorders>
          </w:tcPr>
          <w:p w14:paraId="7AA156FA"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1A92A883" w14:textId="215C962C" w:rsidR="00103E60" w:rsidRPr="00C008AA" w:rsidRDefault="00B96AA6"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$400,000</w:t>
            </w:r>
          </w:p>
        </w:tc>
      </w:tr>
      <w:tr w:rsidR="00103E60" w:rsidRPr="00C008AA" w14:paraId="409BF0AD" w14:textId="77777777" w:rsidTr="00D9748B">
        <w:trPr>
          <w:cantSplit/>
        </w:trPr>
        <w:tc>
          <w:tcPr>
            <w:tcW w:w="572" w:type="dxa"/>
            <w:tcBorders>
              <w:top w:val="dotted" w:sz="4" w:space="0" w:color="auto"/>
              <w:left w:val="nil"/>
              <w:bottom w:val="dotted" w:sz="4" w:space="0" w:color="auto"/>
              <w:right w:val="nil"/>
            </w:tcBorders>
          </w:tcPr>
          <w:p w14:paraId="403508D8" w14:textId="6170BB0D"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4</w:t>
            </w:r>
          </w:p>
        </w:tc>
        <w:tc>
          <w:tcPr>
            <w:tcW w:w="252" w:type="dxa"/>
            <w:tcBorders>
              <w:top w:val="nil"/>
              <w:left w:val="nil"/>
              <w:bottom w:val="nil"/>
              <w:right w:val="nil"/>
            </w:tcBorders>
          </w:tcPr>
          <w:p w14:paraId="4DA122DB"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39C303FA" w14:textId="53C1444C" w:rsidR="00103E60" w:rsidRDefault="00F63818"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PSB</w:t>
            </w:r>
          </w:p>
        </w:tc>
        <w:tc>
          <w:tcPr>
            <w:tcW w:w="270" w:type="dxa"/>
            <w:tcBorders>
              <w:top w:val="nil"/>
              <w:left w:val="nil"/>
              <w:bottom w:val="nil"/>
              <w:right w:val="nil"/>
            </w:tcBorders>
          </w:tcPr>
          <w:p w14:paraId="097C4E30"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00D03C0B" w14:textId="2A508405" w:rsidR="00103E60" w:rsidRPr="00C008AA" w:rsidRDefault="00B709A0"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(ER12) M</w:t>
            </w:r>
            <w:r w:rsidRPr="00B709A0">
              <w:rPr>
                <w:rFonts w:ascii="Arial" w:hAnsi="Arial" w:cs="Arial"/>
                <w:bCs/>
                <w:color w:val="4F81BD" w:themeColor="accent1"/>
                <w:sz w:val="22"/>
                <w:szCs w:val="22"/>
              </w:rPr>
              <w:t>atch moneys appropriated by the city of Seattle and support the operation of a waterfront shuttle in downtown Seattle.</w:t>
            </w:r>
          </w:p>
        </w:tc>
        <w:tc>
          <w:tcPr>
            <w:tcW w:w="270" w:type="dxa"/>
            <w:tcBorders>
              <w:top w:val="nil"/>
              <w:left w:val="nil"/>
              <w:bottom w:val="nil"/>
              <w:right w:val="nil"/>
            </w:tcBorders>
          </w:tcPr>
          <w:p w14:paraId="4F9C12B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3187C4F6" w14:textId="253803E0" w:rsidR="00103E60" w:rsidRPr="00C008AA" w:rsidRDefault="00F63818"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w:t>
            </w:r>
            <w:r w:rsidR="008860FE">
              <w:rPr>
                <w:rFonts w:ascii="Arial" w:hAnsi="Arial" w:cs="Arial"/>
                <w:bCs/>
                <w:color w:val="4F81BD" w:themeColor="accent1"/>
                <w:sz w:val="22"/>
                <w:szCs w:val="22"/>
              </w:rPr>
              <w:t>500,000</w:t>
            </w:r>
          </w:p>
        </w:tc>
      </w:tr>
      <w:tr w:rsidR="00103E60" w:rsidRPr="00C008AA" w14:paraId="2FBF59E4" w14:textId="77777777" w:rsidTr="00D9748B">
        <w:trPr>
          <w:cantSplit/>
        </w:trPr>
        <w:tc>
          <w:tcPr>
            <w:tcW w:w="572" w:type="dxa"/>
            <w:tcBorders>
              <w:top w:val="dotted" w:sz="4" w:space="0" w:color="auto"/>
              <w:left w:val="nil"/>
              <w:bottom w:val="dotted" w:sz="4" w:space="0" w:color="auto"/>
              <w:right w:val="nil"/>
            </w:tcBorders>
          </w:tcPr>
          <w:p w14:paraId="396CF87C" w14:textId="7D9B9850"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5</w:t>
            </w:r>
          </w:p>
        </w:tc>
        <w:tc>
          <w:tcPr>
            <w:tcW w:w="252" w:type="dxa"/>
            <w:tcBorders>
              <w:top w:val="nil"/>
              <w:left w:val="nil"/>
              <w:bottom w:val="nil"/>
              <w:right w:val="nil"/>
            </w:tcBorders>
          </w:tcPr>
          <w:p w14:paraId="24858C82"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326C1A70" w14:textId="2AC2D3C3" w:rsidR="00103E60" w:rsidRDefault="008860FE"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PSB</w:t>
            </w:r>
          </w:p>
        </w:tc>
        <w:tc>
          <w:tcPr>
            <w:tcW w:w="270" w:type="dxa"/>
            <w:tcBorders>
              <w:top w:val="nil"/>
              <w:left w:val="nil"/>
              <w:bottom w:val="nil"/>
              <w:right w:val="nil"/>
            </w:tcBorders>
          </w:tcPr>
          <w:p w14:paraId="783F11E7"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269EB53E" w14:textId="5D4FF97F" w:rsidR="00103E60" w:rsidRPr="00C008AA" w:rsidRDefault="008860FE"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(ER13) </w:t>
            </w:r>
            <w:r w:rsidR="006C76E7">
              <w:rPr>
                <w:rFonts w:ascii="Arial" w:hAnsi="Arial" w:cs="Arial"/>
                <w:bCs/>
                <w:color w:val="4F81BD" w:themeColor="accent1"/>
                <w:sz w:val="22"/>
                <w:szCs w:val="22"/>
              </w:rPr>
              <w:t>S</w:t>
            </w:r>
            <w:r w:rsidR="006C76E7" w:rsidRPr="006C76E7">
              <w:rPr>
                <w:rFonts w:ascii="Arial" w:hAnsi="Arial" w:cs="Arial"/>
                <w:bCs/>
                <w:color w:val="4F81BD" w:themeColor="accent1"/>
                <w:sz w:val="22"/>
                <w:szCs w:val="22"/>
              </w:rPr>
              <w:t>upport activities related to updating the county's Determinants of Equity report</w:t>
            </w:r>
            <w:r w:rsidR="006F466D">
              <w:rPr>
                <w:rFonts w:ascii="Arial" w:hAnsi="Arial" w:cs="Arial"/>
                <w:bCs/>
                <w:color w:val="4F81BD" w:themeColor="accent1"/>
                <w:sz w:val="22"/>
                <w:szCs w:val="22"/>
              </w:rPr>
              <w:t>.</w:t>
            </w:r>
          </w:p>
        </w:tc>
        <w:tc>
          <w:tcPr>
            <w:tcW w:w="270" w:type="dxa"/>
            <w:tcBorders>
              <w:top w:val="nil"/>
              <w:left w:val="nil"/>
              <w:bottom w:val="nil"/>
              <w:right w:val="nil"/>
            </w:tcBorders>
          </w:tcPr>
          <w:p w14:paraId="319BDBC6"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34B0303" w14:textId="697B1FF4" w:rsidR="00103E60" w:rsidRPr="00C008AA" w:rsidRDefault="006C76E7"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$250,000</w:t>
            </w:r>
          </w:p>
        </w:tc>
      </w:tr>
      <w:tr w:rsidR="00103E60" w:rsidRPr="00C008AA" w14:paraId="40D72458" w14:textId="77777777" w:rsidTr="00D9748B">
        <w:trPr>
          <w:cantSplit/>
        </w:trPr>
        <w:tc>
          <w:tcPr>
            <w:tcW w:w="572" w:type="dxa"/>
            <w:tcBorders>
              <w:top w:val="dotted" w:sz="4" w:space="0" w:color="auto"/>
              <w:left w:val="nil"/>
              <w:bottom w:val="dotted" w:sz="4" w:space="0" w:color="auto"/>
              <w:right w:val="nil"/>
            </w:tcBorders>
          </w:tcPr>
          <w:p w14:paraId="5AE84476" w14:textId="552F2395"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6</w:t>
            </w:r>
          </w:p>
        </w:tc>
        <w:tc>
          <w:tcPr>
            <w:tcW w:w="252" w:type="dxa"/>
            <w:tcBorders>
              <w:top w:val="nil"/>
              <w:left w:val="nil"/>
              <w:bottom w:val="nil"/>
              <w:right w:val="nil"/>
            </w:tcBorders>
          </w:tcPr>
          <w:p w14:paraId="1B974B65"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6342415" w14:textId="56765ABF" w:rsidR="00103E60" w:rsidRDefault="006C76E7"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PSB</w:t>
            </w:r>
          </w:p>
        </w:tc>
        <w:tc>
          <w:tcPr>
            <w:tcW w:w="270" w:type="dxa"/>
            <w:tcBorders>
              <w:top w:val="nil"/>
              <w:left w:val="nil"/>
              <w:bottom w:val="nil"/>
              <w:right w:val="nil"/>
            </w:tcBorders>
          </w:tcPr>
          <w:p w14:paraId="6958EA8E"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132B3AE1" w14:textId="63C27CD9" w:rsidR="00103E60" w:rsidRPr="00C008AA" w:rsidRDefault="00DA2991"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(ER14) </w:t>
            </w:r>
            <w:r w:rsidR="006F466D">
              <w:rPr>
                <w:rFonts w:ascii="Arial" w:hAnsi="Arial" w:cs="Arial"/>
                <w:bCs/>
                <w:color w:val="4F81BD" w:themeColor="accent1"/>
                <w:sz w:val="22"/>
                <w:szCs w:val="22"/>
              </w:rPr>
              <w:t>C</w:t>
            </w:r>
            <w:r w:rsidR="006F466D" w:rsidRPr="006F466D">
              <w:rPr>
                <w:rFonts w:ascii="Arial" w:hAnsi="Arial" w:cs="Arial"/>
                <w:bCs/>
                <w:color w:val="4F81BD" w:themeColor="accent1"/>
                <w:sz w:val="22"/>
                <w:szCs w:val="22"/>
              </w:rPr>
              <w:t>ontract with the Refugee Artisan Initiative to establish its new headquarters</w:t>
            </w:r>
            <w:r w:rsidR="006F466D">
              <w:rPr>
                <w:rFonts w:ascii="Arial" w:hAnsi="Arial" w:cs="Arial"/>
                <w:bCs/>
                <w:color w:val="4F81BD" w:themeColor="accent1"/>
                <w:sz w:val="22"/>
                <w:szCs w:val="22"/>
              </w:rPr>
              <w:t>.</w:t>
            </w:r>
          </w:p>
        </w:tc>
        <w:tc>
          <w:tcPr>
            <w:tcW w:w="270" w:type="dxa"/>
            <w:tcBorders>
              <w:top w:val="nil"/>
              <w:left w:val="nil"/>
              <w:bottom w:val="nil"/>
              <w:right w:val="nil"/>
            </w:tcBorders>
          </w:tcPr>
          <w:p w14:paraId="7C7E95CA"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1F454E3C" w14:textId="73C0D2C0" w:rsidR="00103E60" w:rsidRPr="00C008AA" w:rsidRDefault="006F466D"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$800,000</w:t>
            </w:r>
          </w:p>
        </w:tc>
      </w:tr>
      <w:tr w:rsidR="00103E60" w:rsidRPr="00C008AA" w14:paraId="118BB102" w14:textId="77777777" w:rsidTr="00D9748B">
        <w:trPr>
          <w:cantSplit/>
        </w:trPr>
        <w:tc>
          <w:tcPr>
            <w:tcW w:w="572" w:type="dxa"/>
            <w:tcBorders>
              <w:top w:val="dotted" w:sz="4" w:space="0" w:color="auto"/>
              <w:left w:val="nil"/>
              <w:bottom w:val="dotted" w:sz="4" w:space="0" w:color="auto"/>
              <w:right w:val="nil"/>
            </w:tcBorders>
          </w:tcPr>
          <w:p w14:paraId="189A27ED" w14:textId="0C74E1F9"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7</w:t>
            </w:r>
          </w:p>
        </w:tc>
        <w:tc>
          <w:tcPr>
            <w:tcW w:w="252" w:type="dxa"/>
            <w:tcBorders>
              <w:top w:val="nil"/>
              <w:left w:val="nil"/>
              <w:bottom w:val="nil"/>
              <w:right w:val="nil"/>
            </w:tcBorders>
          </w:tcPr>
          <w:p w14:paraId="6CFA6E69"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5E6A9EA4" w14:textId="78811228" w:rsidR="00103E60" w:rsidRDefault="00F65722"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KCSO</w:t>
            </w:r>
          </w:p>
        </w:tc>
        <w:tc>
          <w:tcPr>
            <w:tcW w:w="270" w:type="dxa"/>
            <w:tcBorders>
              <w:top w:val="nil"/>
              <w:left w:val="nil"/>
              <w:bottom w:val="nil"/>
              <w:right w:val="nil"/>
            </w:tcBorders>
          </w:tcPr>
          <w:p w14:paraId="3B54D404"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40568082" w14:textId="38E0572A" w:rsidR="00103E60" w:rsidRPr="00C008AA" w:rsidRDefault="00A051B5"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(ER10) S</w:t>
            </w:r>
            <w:r w:rsidRPr="00A051B5">
              <w:rPr>
                <w:rFonts w:ascii="Arial" w:hAnsi="Arial" w:cs="Arial"/>
                <w:bCs/>
                <w:color w:val="4F81BD" w:themeColor="accent1"/>
                <w:sz w:val="22"/>
                <w:szCs w:val="22"/>
              </w:rPr>
              <w:t>upport sheriff's deputies overtime costs associated with additional security in White Center and the sheriff's office response to the White Center fires.</w:t>
            </w:r>
          </w:p>
        </w:tc>
        <w:tc>
          <w:tcPr>
            <w:tcW w:w="270" w:type="dxa"/>
            <w:tcBorders>
              <w:top w:val="nil"/>
              <w:left w:val="nil"/>
              <w:bottom w:val="nil"/>
              <w:right w:val="nil"/>
            </w:tcBorders>
          </w:tcPr>
          <w:p w14:paraId="518CDA03"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23947650" w14:textId="542DDD4B" w:rsidR="00103E60" w:rsidRPr="00C008AA" w:rsidRDefault="003D13D4"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$175,000</w:t>
            </w:r>
          </w:p>
        </w:tc>
      </w:tr>
      <w:tr w:rsidR="00103E60" w:rsidRPr="00C008AA" w14:paraId="41FAC437" w14:textId="77777777" w:rsidTr="00D9748B">
        <w:trPr>
          <w:cantSplit/>
        </w:trPr>
        <w:tc>
          <w:tcPr>
            <w:tcW w:w="572" w:type="dxa"/>
            <w:tcBorders>
              <w:top w:val="dotted" w:sz="4" w:space="0" w:color="auto"/>
              <w:left w:val="nil"/>
              <w:bottom w:val="dotted" w:sz="4" w:space="0" w:color="auto"/>
              <w:right w:val="nil"/>
            </w:tcBorders>
          </w:tcPr>
          <w:p w14:paraId="37125A51" w14:textId="7B0DD4EF"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8</w:t>
            </w:r>
          </w:p>
        </w:tc>
        <w:tc>
          <w:tcPr>
            <w:tcW w:w="252" w:type="dxa"/>
            <w:tcBorders>
              <w:top w:val="nil"/>
              <w:left w:val="nil"/>
              <w:bottom w:val="nil"/>
              <w:right w:val="nil"/>
            </w:tcBorders>
          </w:tcPr>
          <w:p w14:paraId="561F9EEE"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620F192" w14:textId="3C84EFD2" w:rsidR="00103E60" w:rsidRDefault="00134386"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KCSO</w:t>
            </w:r>
          </w:p>
        </w:tc>
        <w:tc>
          <w:tcPr>
            <w:tcW w:w="270" w:type="dxa"/>
            <w:tcBorders>
              <w:top w:val="nil"/>
              <w:left w:val="nil"/>
              <w:bottom w:val="nil"/>
              <w:right w:val="nil"/>
            </w:tcBorders>
          </w:tcPr>
          <w:p w14:paraId="08E0311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1BC87BBA" w14:textId="2F5CE039" w:rsidR="00103E60" w:rsidRPr="00C008AA" w:rsidRDefault="00134386"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w:t>
            </w:r>
            <w:r w:rsidR="00497480">
              <w:rPr>
                <w:rFonts w:ascii="Arial" w:hAnsi="Arial" w:cs="Arial"/>
                <w:bCs/>
                <w:color w:val="4F81BD" w:themeColor="accent1"/>
                <w:sz w:val="22"/>
                <w:szCs w:val="22"/>
              </w:rPr>
              <w:t xml:space="preserve">P4) Proviso </w:t>
            </w:r>
            <w:r w:rsidR="004F4847">
              <w:rPr>
                <w:rFonts w:ascii="Arial" w:hAnsi="Arial" w:cs="Arial"/>
                <w:bCs/>
                <w:color w:val="4F81BD" w:themeColor="accent1"/>
                <w:sz w:val="22"/>
                <w:szCs w:val="22"/>
              </w:rPr>
              <w:t xml:space="preserve">to require a </w:t>
            </w:r>
            <w:r w:rsidR="00497480">
              <w:rPr>
                <w:rFonts w:ascii="Arial" w:hAnsi="Arial" w:cs="Arial"/>
                <w:bCs/>
                <w:color w:val="4F81BD" w:themeColor="accent1"/>
                <w:sz w:val="22"/>
                <w:szCs w:val="22"/>
              </w:rPr>
              <w:t>r</w:t>
            </w:r>
            <w:r w:rsidR="00497480" w:rsidRPr="00497480">
              <w:rPr>
                <w:rFonts w:ascii="Arial" w:hAnsi="Arial" w:cs="Arial"/>
                <w:bCs/>
                <w:color w:val="4F81BD" w:themeColor="accent1"/>
                <w:sz w:val="22"/>
                <w:szCs w:val="22"/>
              </w:rPr>
              <w:t>eport on the status of the mental and behavioral health navigator program in unincorporated King County</w:t>
            </w:r>
            <w:r w:rsidR="00497480">
              <w:rPr>
                <w:rFonts w:ascii="Arial" w:hAnsi="Arial" w:cs="Arial"/>
                <w:bCs/>
                <w:color w:val="4F81BD" w:themeColor="accent1"/>
                <w:sz w:val="22"/>
                <w:szCs w:val="22"/>
              </w:rPr>
              <w:t>.</w:t>
            </w:r>
          </w:p>
        </w:tc>
        <w:tc>
          <w:tcPr>
            <w:tcW w:w="270" w:type="dxa"/>
            <w:tcBorders>
              <w:top w:val="nil"/>
              <w:left w:val="nil"/>
              <w:bottom w:val="nil"/>
              <w:right w:val="nil"/>
            </w:tcBorders>
          </w:tcPr>
          <w:p w14:paraId="753F5AC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1A8A2D5B" w14:textId="7EF32EDE" w:rsidR="00103E60" w:rsidRPr="00C008AA" w:rsidRDefault="00497480"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529781C9" w14:textId="77777777" w:rsidTr="00D9748B">
        <w:trPr>
          <w:cantSplit/>
        </w:trPr>
        <w:tc>
          <w:tcPr>
            <w:tcW w:w="572" w:type="dxa"/>
            <w:tcBorders>
              <w:top w:val="dotted" w:sz="4" w:space="0" w:color="auto"/>
              <w:left w:val="nil"/>
              <w:bottom w:val="dotted" w:sz="4" w:space="0" w:color="auto"/>
              <w:right w:val="nil"/>
            </w:tcBorders>
          </w:tcPr>
          <w:p w14:paraId="4C4648BF" w14:textId="5CAEDFF7"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lastRenderedPageBreak/>
              <w:t>9</w:t>
            </w:r>
          </w:p>
        </w:tc>
        <w:tc>
          <w:tcPr>
            <w:tcW w:w="252" w:type="dxa"/>
            <w:tcBorders>
              <w:top w:val="nil"/>
              <w:left w:val="nil"/>
              <w:bottom w:val="nil"/>
              <w:right w:val="nil"/>
            </w:tcBorders>
          </w:tcPr>
          <w:p w14:paraId="3F61AE43"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167293E" w14:textId="5F68FC53" w:rsidR="00103E60" w:rsidRDefault="00EA3DF0"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Roads</w:t>
            </w:r>
          </w:p>
        </w:tc>
        <w:tc>
          <w:tcPr>
            <w:tcW w:w="270" w:type="dxa"/>
            <w:tcBorders>
              <w:top w:val="nil"/>
              <w:left w:val="nil"/>
              <w:bottom w:val="nil"/>
              <w:right w:val="nil"/>
            </w:tcBorders>
          </w:tcPr>
          <w:p w14:paraId="0DA5EE64"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31B73504" w14:textId="047B60E4" w:rsidR="00103E60" w:rsidRPr="00C008AA" w:rsidRDefault="004F4847"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(P1) Proviso to require a</w:t>
            </w:r>
            <w:r w:rsidRPr="004F4847">
              <w:rPr>
                <w:rFonts w:ascii="Arial" w:hAnsi="Arial" w:cs="Arial"/>
                <w:bCs/>
                <w:color w:val="4F81BD" w:themeColor="accent1"/>
                <w:sz w:val="22"/>
                <w:szCs w:val="22"/>
              </w:rPr>
              <w:t xml:space="preserve"> letter confirming creation of a layer in its geospatial database that identifies all privately owned roads that act as the sole access point for more than one residence or business, in unincorporated King County</w:t>
            </w:r>
          </w:p>
        </w:tc>
        <w:tc>
          <w:tcPr>
            <w:tcW w:w="270" w:type="dxa"/>
            <w:tcBorders>
              <w:top w:val="nil"/>
              <w:left w:val="nil"/>
              <w:bottom w:val="nil"/>
              <w:right w:val="nil"/>
            </w:tcBorders>
          </w:tcPr>
          <w:p w14:paraId="5C79A741"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212496C" w14:textId="351E15C1" w:rsidR="00103E60" w:rsidRPr="00C008AA" w:rsidRDefault="00EA3DF0"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5552EF87" w14:textId="77777777" w:rsidTr="00D9748B">
        <w:trPr>
          <w:cantSplit/>
        </w:trPr>
        <w:tc>
          <w:tcPr>
            <w:tcW w:w="572" w:type="dxa"/>
            <w:tcBorders>
              <w:top w:val="dotted" w:sz="4" w:space="0" w:color="auto"/>
              <w:left w:val="nil"/>
              <w:bottom w:val="dotted" w:sz="4" w:space="0" w:color="auto"/>
              <w:right w:val="nil"/>
            </w:tcBorders>
          </w:tcPr>
          <w:p w14:paraId="195AD5C9" w14:textId="25C43E48"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10</w:t>
            </w:r>
          </w:p>
        </w:tc>
        <w:tc>
          <w:tcPr>
            <w:tcW w:w="252" w:type="dxa"/>
            <w:tcBorders>
              <w:top w:val="nil"/>
              <w:left w:val="nil"/>
              <w:bottom w:val="nil"/>
              <w:right w:val="nil"/>
            </w:tcBorders>
          </w:tcPr>
          <w:p w14:paraId="4CC84AB9"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3AE778B8" w14:textId="564FD73C" w:rsidR="00103E60" w:rsidRDefault="00694383"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Admin</w:t>
            </w:r>
          </w:p>
        </w:tc>
        <w:tc>
          <w:tcPr>
            <w:tcW w:w="270" w:type="dxa"/>
            <w:tcBorders>
              <w:top w:val="nil"/>
              <w:left w:val="nil"/>
              <w:bottom w:val="nil"/>
              <w:right w:val="nil"/>
            </w:tcBorders>
          </w:tcPr>
          <w:p w14:paraId="5D0EF8B1"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226793F1" w14:textId="13ED8059" w:rsidR="00103E60" w:rsidRPr="00C008AA" w:rsidRDefault="0039261C"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(P3) Proviso requiring a </w:t>
            </w:r>
            <w:r w:rsidRPr="0039261C">
              <w:rPr>
                <w:rFonts w:ascii="Arial" w:hAnsi="Arial" w:cs="Arial"/>
                <w:bCs/>
                <w:color w:val="4F81BD" w:themeColor="accent1"/>
                <w:sz w:val="22"/>
                <w:szCs w:val="22"/>
              </w:rPr>
              <w:t>report evaluating the feasibility of implementing an inflation adjustment requirement for contracts within the department of community and human services</w:t>
            </w:r>
            <w:r>
              <w:rPr>
                <w:rFonts w:ascii="Arial" w:hAnsi="Arial" w:cs="Arial"/>
                <w:bCs/>
                <w:color w:val="4F81BD" w:themeColor="accent1"/>
                <w:sz w:val="22"/>
                <w:szCs w:val="22"/>
              </w:rPr>
              <w:t>.</w:t>
            </w:r>
          </w:p>
        </w:tc>
        <w:tc>
          <w:tcPr>
            <w:tcW w:w="270" w:type="dxa"/>
            <w:tcBorders>
              <w:top w:val="nil"/>
              <w:left w:val="nil"/>
              <w:bottom w:val="nil"/>
              <w:right w:val="nil"/>
            </w:tcBorders>
          </w:tcPr>
          <w:p w14:paraId="7AA33EC4"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63ABEA93" w14:textId="5B54E3A4" w:rsidR="00103E60" w:rsidRPr="00C008AA" w:rsidRDefault="0039261C"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0B766248" w14:textId="77777777" w:rsidTr="00D9748B">
        <w:trPr>
          <w:cantSplit/>
        </w:trPr>
        <w:tc>
          <w:tcPr>
            <w:tcW w:w="572" w:type="dxa"/>
            <w:tcBorders>
              <w:top w:val="dotted" w:sz="4" w:space="0" w:color="auto"/>
              <w:left w:val="nil"/>
              <w:bottom w:val="dotted" w:sz="4" w:space="0" w:color="auto"/>
              <w:right w:val="nil"/>
            </w:tcBorders>
          </w:tcPr>
          <w:p w14:paraId="35D4431E" w14:textId="3A2D2E7D"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11</w:t>
            </w:r>
          </w:p>
        </w:tc>
        <w:tc>
          <w:tcPr>
            <w:tcW w:w="252" w:type="dxa"/>
            <w:tcBorders>
              <w:top w:val="nil"/>
              <w:left w:val="nil"/>
              <w:bottom w:val="nil"/>
              <w:right w:val="nil"/>
            </w:tcBorders>
          </w:tcPr>
          <w:p w14:paraId="2B1F9D4F"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76E2AE25" w14:textId="34CBF450" w:rsidR="00103E60" w:rsidRDefault="00F941D0"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BHRD</w:t>
            </w:r>
          </w:p>
        </w:tc>
        <w:tc>
          <w:tcPr>
            <w:tcW w:w="270" w:type="dxa"/>
            <w:tcBorders>
              <w:top w:val="nil"/>
              <w:left w:val="nil"/>
              <w:bottom w:val="nil"/>
              <w:right w:val="nil"/>
            </w:tcBorders>
          </w:tcPr>
          <w:p w14:paraId="713FC876"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36FA3CFF" w14:textId="7CD61642" w:rsidR="00103E60" w:rsidRPr="00C008AA" w:rsidRDefault="00F941D0"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w:t>
            </w:r>
            <w:r w:rsidR="00544062">
              <w:rPr>
                <w:rFonts w:ascii="Arial" w:hAnsi="Arial" w:cs="Arial"/>
                <w:bCs/>
                <w:color w:val="4F81BD" w:themeColor="accent1"/>
                <w:sz w:val="22"/>
                <w:szCs w:val="22"/>
              </w:rPr>
              <w:t xml:space="preserve">ER9) Support the </w:t>
            </w:r>
            <w:r w:rsidR="00544062" w:rsidRPr="00544062">
              <w:rPr>
                <w:rFonts w:ascii="Arial" w:hAnsi="Arial" w:cs="Arial"/>
                <w:bCs/>
                <w:color w:val="4F81BD" w:themeColor="accent1"/>
                <w:sz w:val="22"/>
                <w:szCs w:val="22"/>
              </w:rPr>
              <w:t>JustCARE program</w:t>
            </w:r>
            <w:r w:rsidR="00544062">
              <w:rPr>
                <w:rFonts w:ascii="Arial" w:hAnsi="Arial" w:cs="Arial"/>
                <w:bCs/>
                <w:color w:val="4F81BD" w:themeColor="accent1"/>
                <w:sz w:val="22"/>
                <w:szCs w:val="22"/>
              </w:rPr>
              <w:t xml:space="preserve"> funded by </w:t>
            </w:r>
            <w:r w:rsidR="003F2239">
              <w:rPr>
                <w:rFonts w:ascii="Arial" w:hAnsi="Arial" w:cs="Arial"/>
                <w:bCs/>
                <w:color w:val="4F81BD" w:themeColor="accent1"/>
                <w:sz w:val="22"/>
                <w:szCs w:val="22"/>
              </w:rPr>
              <w:t>city of Seattle revenues.</w:t>
            </w:r>
          </w:p>
        </w:tc>
        <w:tc>
          <w:tcPr>
            <w:tcW w:w="270" w:type="dxa"/>
            <w:tcBorders>
              <w:top w:val="nil"/>
              <w:left w:val="nil"/>
              <w:bottom w:val="nil"/>
              <w:right w:val="nil"/>
            </w:tcBorders>
          </w:tcPr>
          <w:p w14:paraId="3902CC4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3B6421ED" w14:textId="393B7908" w:rsidR="00103E60" w:rsidRPr="00C008AA" w:rsidRDefault="003F2239"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$7,500,000</w:t>
            </w:r>
          </w:p>
        </w:tc>
      </w:tr>
      <w:tr w:rsidR="00103E60" w:rsidRPr="00C008AA" w14:paraId="0008D689" w14:textId="77777777" w:rsidTr="00D9748B">
        <w:trPr>
          <w:cantSplit/>
        </w:trPr>
        <w:tc>
          <w:tcPr>
            <w:tcW w:w="572" w:type="dxa"/>
            <w:tcBorders>
              <w:top w:val="dotted" w:sz="4" w:space="0" w:color="auto"/>
              <w:left w:val="nil"/>
              <w:bottom w:val="dotted" w:sz="4" w:space="0" w:color="auto"/>
              <w:right w:val="nil"/>
            </w:tcBorders>
          </w:tcPr>
          <w:p w14:paraId="57A52E2F" w14:textId="00E01F22"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12</w:t>
            </w:r>
          </w:p>
        </w:tc>
        <w:tc>
          <w:tcPr>
            <w:tcW w:w="252" w:type="dxa"/>
            <w:tcBorders>
              <w:top w:val="nil"/>
              <w:left w:val="nil"/>
              <w:bottom w:val="nil"/>
              <w:right w:val="nil"/>
            </w:tcBorders>
          </w:tcPr>
          <w:p w14:paraId="76E9AC98"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7D8F3628" w14:textId="219BDD60" w:rsidR="00103E60" w:rsidRDefault="009D5CBF"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BHRD</w:t>
            </w:r>
          </w:p>
        </w:tc>
        <w:tc>
          <w:tcPr>
            <w:tcW w:w="270" w:type="dxa"/>
            <w:tcBorders>
              <w:top w:val="nil"/>
              <w:left w:val="nil"/>
              <w:bottom w:val="nil"/>
              <w:right w:val="nil"/>
            </w:tcBorders>
          </w:tcPr>
          <w:p w14:paraId="7A1D8EF2"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5B01C1D7" w14:textId="461D8FEF" w:rsidR="00103E60" w:rsidRPr="00C008AA" w:rsidRDefault="009D5CBF"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w:t>
            </w:r>
            <w:r w:rsidR="00F610C2">
              <w:rPr>
                <w:rFonts w:ascii="Arial" w:hAnsi="Arial" w:cs="Arial"/>
                <w:bCs/>
                <w:color w:val="4F81BD" w:themeColor="accent1"/>
                <w:sz w:val="22"/>
                <w:szCs w:val="22"/>
              </w:rPr>
              <w:t xml:space="preserve">P2) Proviso </w:t>
            </w:r>
            <w:r w:rsidR="00633989" w:rsidRPr="00633989">
              <w:rPr>
                <w:rFonts w:ascii="Arial" w:hAnsi="Arial" w:cs="Arial"/>
                <w:bCs/>
                <w:color w:val="4F81BD" w:themeColor="accent1"/>
                <w:sz w:val="22"/>
                <w:szCs w:val="22"/>
              </w:rPr>
              <w:t>requiring a letter confirming that a dashboard evaluating the efficacy of the JustCARE program has been published on the county website.</w:t>
            </w:r>
          </w:p>
        </w:tc>
        <w:tc>
          <w:tcPr>
            <w:tcW w:w="270" w:type="dxa"/>
            <w:tcBorders>
              <w:top w:val="nil"/>
              <w:left w:val="nil"/>
              <w:bottom w:val="nil"/>
              <w:right w:val="nil"/>
            </w:tcBorders>
          </w:tcPr>
          <w:p w14:paraId="6D762C8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6997CFB9" w14:textId="5FE6599F" w:rsidR="00103E60" w:rsidRPr="00C008AA" w:rsidRDefault="00F610C2"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59C4C15F" w14:textId="77777777" w:rsidTr="00D9748B">
        <w:trPr>
          <w:cantSplit/>
        </w:trPr>
        <w:tc>
          <w:tcPr>
            <w:tcW w:w="572" w:type="dxa"/>
            <w:tcBorders>
              <w:top w:val="dotted" w:sz="4" w:space="0" w:color="auto"/>
              <w:left w:val="nil"/>
              <w:bottom w:val="dotted" w:sz="4" w:space="0" w:color="auto"/>
              <w:right w:val="nil"/>
            </w:tcBorders>
          </w:tcPr>
          <w:p w14:paraId="6E1AEF94" w14:textId="5AD4C161"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13</w:t>
            </w:r>
          </w:p>
        </w:tc>
        <w:tc>
          <w:tcPr>
            <w:tcW w:w="252" w:type="dxa"/>
            <w:tcBorders>
              <w:top w:val="nil"/>
              <w:left w:val="nil"/>
              <w:bottom w:val="nil"/>
              <w:right w:val="nil"/>
            </w:tcBorders>
          </w:tcPr>
          <w:p w14:paraId="1A65E83F"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528B7427" w14:textId="66639238" w:rsidR="00103E60" w:rsidRDefault="001E1D5C"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Tourism</w:t>
            </w:r>
          </w:p>
        </w:tc>
        <w:tc>
          <w:tcPr>
            <w:tcW w:w="270" w:type="dxa"/>
            <w:tcBorders>
              <w:top w:val="nil"/>
              <w:left w:val="nil"/>
              <w:bottom w:val="nil"/>
              <w:right w:val="nil"/>
            </w:tcBorders>
          </w:tcPr>
          <w:p w14:paraId="4AF3F002"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0B4B4F87" w14:textId="0FAE4E40" w:rsidR="00103E60" w:rsidRPr="00C008AA" w:rsidRDefault="001E1D5C"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w:t>
            </w:r>
            <w:r w:rsidR="00381174">
              <w:rPr>
                <w:rFonts w:ascii="Arial" w:hAnsi="Arial" w:cs="Arial"/>
                <w:bCs/>
                <w:color w:val="4F81BD" w:themeColor="accent1"/>
                <w:sz w:val="22"/>
                <w:szCs w:val="22"/>
              </w:rPr>
              <w:t>ER1) S</w:t>
            </w:r>
            <w:r w:rsidR="00381174" w:rsidRPr="00381174">
              <w:rPr>
                <w:rFonts w:ascii="Arial" w:hAnsi="Arial" w:cs="Arial"/>
                <w:bCs/>
                <w:color w:val="4F81BD" w:themeColor="accent1"/>
                <w:sz w:val="22"/>
                <w:szCs w:val="22"/>
              </w:rPr>
              <w:t>upport the restoration and preservation of the National Historic Landmark vessel S.S. VIRGINIA V</w:t>
            </w:r>
            <w:r w:rsidR="00381174">
              <w:rPr>
                <w:rFonts w:ascii="Arial" w:hAnsi="Arial" w:cs="Arial"/>
                <w:bCs/>
                <w:color w:val="4F81BD" w:themeColor="accent1"/>
                <w:sz w:val="22"/>
                <w:szCs w:val="22"/>
              </w:rPr>
              <w:t xml:space="preserve"> using tourism allocation of lodging tax revenues.</w:t>
            </w:r>
          </w:p>
        </w:tc>
        <w:tc>
          <w:tcPr>
            <w:tcW w:w="270" w:type="dxa"/>
            <w:tcBorders>
              <w:top w:val="nil"/>
              <w:left w:val="nil"/>
              <w:bottom w:val="nil"/>
              <w:right w:val="nil"/>
            </w:tcBorders>
          </w:tcPr>
          <w:p w14:paraId="63369681"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038B000" w14:textId="5D9DD813" w:rsidR="00103E60" w:rsidRPr="00C008AA" w:rsidRDefault="00381174"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w:t>
            </w:r>
            <w:r w:rsidR="005A4AD7">
              <w:rPr>
                <w:rFonts w:ascii="Arial" w:hAnsi="Arial" w:cs="Arial"/>
                <w:bCs/>
                <w:color w:val="4F81BD" w:themeColor="accent1"/>
                <w:sz w:val="22"/>
                <w:szCs w:val="22"/>
              </w:rPr>
              <w:t>250,000</w:t>
            </w:r>
          </w:p>
        </w:tc>
      </w:tr>
      <w:tr w:rsidR="00103E60" w:rsidRPr="00C008AA" w14:paraId="4F1F1760" w14:textId="77777777" w:rsidTr="00D9748B">
        <w:trPr>
          <w:cantSplit/>
        </w:trPr>
        <w:tc>
          <w:tcPr>
            <w:tcW w:w="572" w:type="dxa"/>
            <w:tcBorders>
              <w:top w:val="dotted" w:sz="4" w:space="0" w:color="auto"/>
              <w:left w:val="nil"/>
              <w:bottom w:val="dotted" w:sz="4" w:space="0" w:color="auto"/>
              <w:right w:val="nil"/>
            </w:tcBorders>
          </w:tcPr>
          <w:p w14:paraId="6C3B3D64" w14:textId="69F9417B"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14</w:t>
            </w:r>
          </w:p>
        </w:tc>
        <w:tc>
          <w:tcPr>
            <w:tcW w:w="252" w:type="dxa"/>
            <w:tcBorders>
              <w:top w:val="nil"/>
              <w:left w:val="nil"/>
              <w:bottom w:val="nil"/>
              <w:right w:val="nil"/>
            </w:tcBorders>
          </w:tcPr>
          <w:p w14:paraId="37AF040A"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503ABDE3" w14:textId="44900D7B" w:rsidR="00103E60" w:rsidRDefault="00467E14"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DLS – Admin</w:t>
            </w:r>
          </w:p>
        </w:tc>
        <w:tc>
          <w:tcPr>
            <w:tcW w:w="270" w:type="dxa"/>
            <w:tcBorders>
              <w:top w:val="nil"/>
              <w:left w:val="nil"/>
              <w:bottom w:val="nil"/>
              <w:right w:val="nil"/>
            </w:tcBorders>
          </w:tcPr>
          <w:p w14:paraId="78938787"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4EC32C9F" w14:textId="290B8198" w:rsidR="00103E60" w:rsidRPr="00C008AA" w:rsidRDefault="00467E14"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w:t>
            </w:r>
            <w:r w:rsidR="00BF252E">
              <w:rPr>
                <w:rFonts w:ascii="Arial" w:hAnsi="Arial" w:cs="Arial"/>
                <w:bCs/>
                <w:color w:val="4F81BD" w:themeColor="accent1"/>
                <w:sz w:val="22"/>
                <w:szCs w:val="22"/>
              </w:rPr>
              <w:t>ER6) S</w:t>
            </w:r>
            <w:r w:rsidR="00BF252E" w:rsidRPr="00BF252E">
              <w:rPr>
                <w:rFonts w:ascii="Arial" w:hAnsi="Arial" w:cs="Arial"/>
                <w:bCs/>
                <w:color w:val="4F81BD" w:themeColor="accent1"/>
                <w:sz w:val="22"/>
                <w:szCs w:val="22"/>
              </w:rPr>
              <w:t>upport technical assistance and economic recovery planning related to fires in White Center.</w:t>
            </w:r>
            <w:r w:rsidR="00BF252E" w:rsidRPr="00BF252E">
              <w:rPr>
                <w:rFonts w:ascii="Arial" w:hAnsi="Arial" w:cs="Arial"/>
                <w:bCs/>
                <w:color w:val="4F81BD" w:themeColor="accent1"/>
                <w:sz w:val="22"/>
                <w:szCs w:val="22"/>
              </w:rPr>
              <w:tab/>
            </w:r>
          </w:p>
        </w:tc>
        <w:tc>
          <w:tcPr>
            <w:tcW w:w="270" w:type="dxa"/>
            <w:tcBorders>
              <w:top w:val="nil"/>
              <w:left w:val="nil"/>
              <w:bottom w:val="nil"/>
              <w:right w:val="nil"/>
            </w:tcBorders>
          </w:tcPr>
          <w:p w14:paraId="30939CD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29F5A09B" w14:textId="52118536" w:rsidR="00103E60" w:rsidRPr="00C008AA" w:rsidRDefault="00BF252E"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$100,000</w:t>
            </w:r>
          </w:p>
        </w:tc>
      </w:tr>
      <w:tr w:rsidR="00103E60" w:rsidRPr="00C008AA" w14:paraId="6B377A9F" w14:textId="77777777" w:rsidTr="00D9748B">
        <w:trPr>
          <w:cantSplit/>
        </w:trPr>
        <w:tc>
          <w:tcPr>
            <w:tcW w:w="572" w:type="dxa"/>
            <w:tcBorders>
              <w:top w:val="dotted" w:sz="4" w:space="0" w:color="auto"/>
              <w:left w:val="nil"/>
              <w:bottom w:val="dotted" w:sz="4" w:space="0" w:color="auto"/>
              <w:right w:val="nil"/>
            </w:tcBorders>
          </w:tcPr>
          <w:p w14:paraId="76D09922" w14:textId="582BDA4F"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252" w:type="dxa"/>
            <w:tcBorders>
              <w:top w:val="nil"/>
              <w:left w:val="nil"/>
              <w:bottom w:val="nil"/>
              <w:right w:val="nil"/>
            </w:tcBorders>
          </w:tcPr>
          <w:p w14:paraId="3B8FB6B2"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360A28F" w14:textId="4805D75D" w:rsidR="00103E60" w:rsidRDefault="00FB5820"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CSO</w:t>
            </w:r>
          </w:p>
        </w:tc>
        <w:tc>
          <w:tcPr>
            <w:tcW w:w="270" w:type="dxa"/>
            <w:tcBorders>
              <w:top w:val="nil"/>
              <w:left w:val="nil"/>
              <w:bottom w:val="nil"/>
              <w:right w:val="nil"/>
            </w:tcBorders>
          </w:tcPr>
          <w:p w14:paraId="7D48FDE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74413200" w14:textId="0D08E16A" w:rsidR="00103E60" w:rsidRPr="00C008AA" w:rsidRDefault="00FB5820"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(ER1) </w:t>
            </w:r>
            <w:r w:rsidR="00CD729A">
              <w:rPr>
                <w:rFonts w:ascii="Arial" w:hAnsi="Arial" w:cs="Arial"/>
                <w:bCs/>
                <w:color w:val="4F81BD" w:themeColor="accent1"/>
                <w:sz w:val="22"/>
                <w:szCs w:val="22"/>
              </w:rPr>
              <w:t xml:space="preserve">Support </w:t>
            </w:r>
            <w:r w:rsidR="00481819">
              <w:rPr>
                <w:rFonts w:ascii="Arial" w:hAnsi="Arial" w:cs="Arial"/>
                <w:bCs/>
                <w:color w:val="4F81BD" w:themeColor="accent1"/>
                <w:sz w:val="22"/>
                <w:szCs w:val="22"/>
              </w:rPr>
              <w:t>2022 c</w:t>
            </w:r>
            <w:r w:rsidR="00403260">
              <w:rPr>
                <w:rFonts w:ascii="Arial" w:hAnsi="Arial" w:cs="Arial"/>
                <w:bCs/>
                <w:color w:val="4F81BD" w:themeColor="accent1"/>
                <w:sz w:val="22"/>
                <w:szCs w:val="22"/>
              </w:rPr>
              <w:t>ouncilmanic grant</w:t>
            </w:r>
            <w:r w:rsidR="004D186D">
              <w:rPr>
                <w:rFonts w:ascii="Arial" w:hAnsi="Arial" w:cs="Arial"/>
                <w:bCs/>
                <w:color w:val="4F81BD" w:themeColor="accent1"/>
                <w:sz w:val="22"/>
                <w:szCs w:val="22"/>
              </w:rPr>
              <w:t xml:space="preserve">s </w:t>
            </w:r>
            <w:r w:rsidR="00403260">
              <w:rPr>
                <w:rFonts w:ascii="Arial" w:hAnsi="Arial" w:cs="Arial"/>
                <w:bCs/>
                <w:color w:val="4F81BD" w:themeColor="accent1"/>
                <w:sz w:val="22"/>
                <w:szCs w:val="22"/>
              </w:rPr>
              <w:t xml:space="preserve">for </w:t>
            </w:r>
            <w:r w:rsidR="00D9748B">
              <w:rPr>
                <w:rFonts w:ascii="Arial" w:hAnsi="Arial" w:cs="Arial"/>
                <w:bCs/>
                <w:color w:val="4F81BD" w:themeColor="accent1"/>
                <w:sz w:val="22"/>
                <w:szCs w:val="22"/>
              </w:rPr>
              <w:t xml:space="preserve">council </w:t>
            </w:r>
            <w:r w:rsidR="00403260">
              <w:rPr>
                <w:rFonts w:ascii="Arial" w:hAnsi="Arial" w:cs="Arial"/>
                <w:bCs/>
                <w:color w:val="4F81BD" w:themeColor="accent1"/>
                <w:sz w:val="22"/>
                <w:szCs w:val="22"/>
              </w:rPr>
              <w:t>district 3</w:t>
            </w:r>
            <w:r w:rsidR="004D186D">
              <w:rPr>
                <w:rFonts w:ascii="Arial" w:hAnsi="Arial" w:cs="Arial"/>
                <w:bCs/>
                <w:color w:val="4F81BD" w:themeColor="accent1"/>
                <w:sz w:val="22"/>
                <w:szCs w:val="22"/>
              </w:rPr>
              <w:t>.</w:t>
            </w:r>
          </w:p>
        </w:tc>
        <w:tc>
          <w:tcPr>
            <w:tcW w:w="270" w:type="dxa"/>
            <w:tcBorders>
              <w:top w:val="nil"/>
              <w:left w:val="nil"/>
              <w:bottom w:val="nil"/>
              <w:right w:val="nil"/>
            </w:tcBorders>
          </w:tcPr>
          <w:p w14:paraId="042814E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10B7835F" w14:textId="68E4BC21" w:rsidR="00103E60" w:rsidRPr="00C008AA" w:rsidRDefault="004D186D"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$50,000</w:t>
            </w:r>
          </w:p>
        </w:tc>
      </w:tr>
      <w:tr w:rsidR="00103E60" w:rsidRPr="00C008AA" w14:paraId="0E05C50E" w14:textId="77777777" w:rsidTr="00D9748B">
        <w:trPr>
          <w:cantSplit/>
        </w:trPr>
        <w:tc>
          <w:tcPr>
            <w:tcW w:w="572" w:type="dxa"/>
            <w:tcBorders>
              <w:top w:val="dotted" w:sz="4" w:space="0" w:color="auto"/>
              <w:left w:val="nil"/>
              <w:bottom w:val="dotted" w:sz="4" w:space="0" w:color="auto"/>
              <w:right w:val="nil"/>
            </w:tcBorders>
          </w:tcPr>
          <w:p w14:paraId="4A681EEC" w14:textId="5F3D46EC"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16</w:t>
            </w:r>
          </w:p>
        </w:tc>
        <w:tc>
          <w:tcPr>
            <w:tcW w:w="252" w:type="dxa"/>
            <w:tcBorders>
              <w:top w:val="nil"/>
              <w:left w:val="nil"/>
              <w:bottom w:val="nil"/>
              <w:right w:val="nil"/>
            </w:tcBorders>
          </w:tcPr>
          <w:p w14:paraId="177712A3"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E12B4F5" w14:textId="3BAA42BC" w:rsidR="00103E60" w:rsidRDefault="00CD5575"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CSO</w:t>
            </w:r>
          </w:p>
        </w:tc>
        <w:tc>
          <w:tcPr>
            <w:tcW w:w="270" w:type="dxa"/>
            <w:tcBorders>
              <w:top w:val="nil"/>
              <w:left w:val="nil"/>
              <w:bottom w:val="nil"/>
              <w:right w:val="nil"/>
            </w:tcBorders>
          </w:tcPr>
          <w:p w14:paraId="3EB4E841"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3D3EE9DE" w14:textId="5FF47BDB" w:rsidR="00103E60" w:rsidRPr="00C008AA" w:rsidRDefault="007312E8"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(ER27) C</w:t>
            </w:r>
            <w:r w:rsidRPr="007312E8">
              <w:rPr>
                <w:rFonts w:ascii="Arial" w:hAnsi="Arial" w:cs="Arial"/>
                <w:bCs/>
                <w:color w:val="4F81BD" w:themeColor="accent1"/>
                <w:sz w:val="22"/>
                <w:szCs w:val="22"/>
              </w:rPr>
              <w:t>ontract with the Together Center to support development of a human services hub as part of its campus redevelopment project.</w:t>
            </w:r>
          </w:p>
        </w:tc>
        <w:tc>
          <w:tcPr>
            <w:tcW w:w="270" w:type="dxa"/>
            <w:tcBorders>
              <w:top w:val="nil"/>
              <w:left w:val="nil"/>
              <w:bottom w:val="nil"/>
              <w:right w:val="nil"/>
            </w:tcBorders>
          </w:tcPr>
          <w:p w14:paraId="319EC4D6"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32F221C1" w14:textId="7602E61D" w:rsidR="00103E60" w:rsidRPr="00C008AA" w:rsidRDefault="00052CBB"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$900,000</w:t>
            </w:r>
          </w:p>
        </w:tc>
      </w:tr>
      <w:tr w:rsidR="00103E60" w:rsidRPr="00C008AA" w14:paraId="19284217" w14:textId="77777777" w:rsidTr="00D9748B">
        <w:trPr>
          <w:cantSplit/>
        </w:trPr>
        <w:tc>
          <w:tcPr>
            <w:tcW w:w="572" w:type="dxa"/>
            <w:tcBorders>
              <w:top w:val="dotted" w:sz="4" w:space="0" w:color="auto"/>
              <w:left w:val="nil"/>
              <w:bottom w:val="dotted" w:sz="4" w:space="0" w:color="auto"/>
              <w:right w:val="nil"/>
            </w:tcBorders>
          </w:tcPr>
          <w:p w14:paraId="0E6558B2" w14:textId="635B35E6"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17</w:t>
            </w:r>
          </w:p>
        </w:tc>
        <w:tc>
          <w:tcPr>
            <w:tcW w:w="252" w:type="dxa"/>
            <w:tcBorders>
              <w:top w:val="nil"/>
              <w:left w:val="nil"/>
              <w:bottom w:val="nil"/>
              <w:right w:val="nil"/>
            </w:tcBorders>
          </w:tcPr>
          <w:p w14:paraId="61085764"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180D700C" w14:textId="0DCF0D40" w:rsidR="00103E60" w:rsidRDefault="00CD5575"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CSO</w:t>
            </w:r>
          </w:p>
        </w:tc>
        <w:tc>
          <w:tcPr>
            <w:tcW w:w="270" w:type="dxa"/>
            <w:tcBorders>
              <w:top w:val="nil"/>
              <w:left w:val="nil"/>
              <w:bottom w:val="nil"/>
              <w:right w:val="nil"/>
            </w:tcBorders>
          </w:tcPr>
          <w:p w14:paraId="5690323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74E3F246" w14:textId="0C633434" w:rsidR="00103E60" w:rsidRPr="00C008AA" w:rsidRDefault="0093062D"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(ER28) S</w:t>
            </w:r>
            <w:r w:rsidRPr="0093062D">
              <w:rPr>
                <w:rFonts w:ascii="Arial" w:hAnsi="Arial" w:cs="Arial"/>
                <w:bCs/>
                <w:color w:val="4F81BD" w:themeColor="accent1"/>
                <w:sz w:val="22"/>
                <w:szCs w:val="22"/>
              </w:rPr>
              <w:t>upport costs related to the Equitable Development Initiative, which may include, but not be limited to, workgroup facilitation costs and compensation, if established by separate ordinance, for workgroup participants.</w:t>
            </w:r>
          </w:p>
        </w:tc>
        <w:tc>
          <w:tcPr>
            <w:tcW w:w="270" w:type="dxa"/>
            <w:tcBorders>
              <w:top w:val="nil"/>
              <w:left w:val="nil"/>
              <w:bottom w:val="nil"/>
              <w:right w:val="nil"/>
            </w:tcBorders>
          </w:tcPr>
          <w:p w14:paraId="67D2566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0B496159" w14:textId="6897663A" w:rsidR="00103E60" w:rsidRPr="00C008AA" w:rsidRDefault="0058744C"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$50,000</w:t>
            </w:r>
          </w:p>
        </w:tc>
      </w:tr>
      <w:tr w:rsidR="00103E60" w:rsidRPr="00C008AA" w14:paraId="6C386758" w14:textId="77777777" w:rsidTr="00D9748B">
        <w:trPr>
          <w:cantSplit/>
        </w:trPr>
        <w:tc>
          <w:tcPr>
            <w:tcW w:w="572" w:type="dxa"/>
            <w:tcBorders>
              <w:top w:val="dotted" w:sz="4" w:space="0" w:color="auto"/>
              <w:left w:val="nil"/>
              <w:bottom w:val="dotted" w:sz="4" w:space="0" w:color="auto"/>
              <w:right w:val="nil"/>
            </w:tcBorders>
          </w:tcPr>
          <w:p w14:paraId="387C2D05" w14:textId="66632F1A"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18</w:t>
            </w:r>
          </w:p>
        </w:tc>
        <w:tc>
          <w:tcPr>
            <w:tcW w:w="252" w:type="dxa"/>
            <w:tcBorders>
              <w:top w:val="nil"/>
              <w:left w:val="nil"/>
              <w:bottom w:val="nil"/>
              <w:right w:val="nil"/>
            </w:tcBorders>
          </w:tcPr>
          <w:p w14:paraId="0ED7E94B"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0C1D98DF" w14:textId="5B3C19C1" w:rsidR="00103E60" w:rsidRDefault="00CD5575"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CSO</w:t>
            </w:r>
          </w:p>
        </w:tc>
        <w:tc>
          <w:tcPr>
            <w:tcW w:w="270" w:type="dxa"/>
            <w:tcBorders>
              <w:top w:val="nil"/>
              <w:left w:val="nil"/>
              <w:bottom w:val="nil"/>
              <w:right w:val="nil"/>
            </w:tcBorders>
          </w:tcPr>
          <w:p w14:paraId="667E6672"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1A2D0F8A" w14:textId="1B76160F" w:rsidR="00103E60" w:rsidRPr="00C008AA" w:rsidRDefault="00CD5575"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(ER29) C</w:t>
            </w:r>
            <w:r w:rsidRPr="00CD5575">
              <w:rPr>
                <w:rFonts w:ascii="Arial" w:hAnsi="Arial" w:cs="Arial"/>
                <w:bCs/>
                <w:color w:val="4F81BD" w:themeColor="accent1"/>
                <w:sz w:val="22"/>
                <w:szCs w:val="22"/>
              </w:rPr>
              <w:t xml:space="preserve">ontract with the African Community Housing </w:t>
            </w:r>
            <w:r w:rsidR="00633989">
              <w:rPr>
                <w:rFonts w:ascii="Arial" w:hAnsi="Arial" w:cs="Arial"/>
                <w:bCs/>
                <w:color w:val="4F81BD" w:themeColor="accent1"/>
                <w:sz w:val="22"/>
                <w:szCs w:val="22"/>
              </w:rPr>
              <w:t>&amp;</w:t>
            </w:r>
            <w:r w:rsidRPr="00CD5575">
              <w:rPr>
                <w:rFonts w:ascii="Arial" w:hAnsi="Arial" w:cs="Arial"/>
                <w:bCs/>
                <w:color w:val="4F81BD" w:themeColor="accent1"/>
                <w:sz w:val="22"/>
                <w:szCs w:val="22"/>
              </w:rPr>
              <w:t xml:space="preserve"> Development to support nonpartisan civic engagement activities conducted by the Black Suffrage Network.</w:t>
            </w:r>
          </w:p>
        </w:tc>
        <w:tc>
          <w:tcPr>
            <w:tcW w:w="270" w:type="dxa"/>
            <w:tcBorders>
              <w:top w:val="nil"/>
              <w:left w:val="nil"/>
              <w:bottom w:val="nil"/>
              <w:right w:val="nil"/>
            </w:tcBorders>
          </w:tcPr>
          <w:p w14:paraId="4DB9D8B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6DBC4F3A" w14:textId="6F2C2E76" w:rsidR="00103E60" w:rsidRPr="00C008AA" w:rsidRDefault="00CD5575"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$300,000</w:t>
            </w:r>
          </w:p>
        </w:tc>
      </w:tr>
      <w:tr w:rsidR="00103E60" w:rsidRPr="00C008AA" w14:paraId="0F48CF5B" w14:textId="77777777" w:rsidTr="00D9748B">
        <w:trPr>
          <w:cantSplit/>
        </w:trPr>
        <w:tc>
          <w:tcPr>
            <w:tcW w:w="572" w:type="dxa"/>
            <w:tcBorders>
              <w:top w:val="dotted" w:sz="4" w:space="0" w:color="auto"/>
              <w:left w:val="nil"/>
              <w:bottom w:val="dotted" w:sz="4" w:space="0" w:color="auto"/>
              <w:right w:val="nil"/>
            </w:tcBorders>
          </w:tcPr>
          <w:p w14:paraId="4DA333C5" w14:textId="1CE5F780"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19</w:t>
            </w:r>
          </w:p>
        </w:tc>
        <w:tc>
          <w:tcPr>
            <w:tcW w:w="252" w:type="dxa"/>
            <w:tcBorders>
              <w:top w:val="nil"/>
              <w:left w:val="nil"/>
              <w:bottom w:val="nil"/>
              <w:right w:val="nil"/>
            </w:tcBorders>
          </w:tcPr>
          <w:p w14:paraId="0905E9C8"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2E64FA2" w14:textId="2BB4E239" w:rsidR="00103E60" w:rsidRDefault="00CD5575"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CSO</w:t>
            </w:r>
          </w:p>
        </w:tc>
        <w:tc>
          <w:tcPr>
            <w:tcW w:w="270" w:type="dxa"/>
            <w:tcBorders>
              <w:top w:val="nil"/>
              <w:left w:val="nil"/>
              <w:bottom w:val="nil"/>
              <w:right w:val="nil"/>
            </w:tcBorders>
          </w:tcPr>
          <w:p w14:paraId="1889D99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7B6E14C1" w14:textId="1C38F98B" w:rsidR="00103E60" w:rsidRPr="00C008AA" w:rsidRDefault="002D34F9"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(ER30) C</w:t>
            </w:r>
            <w:r w:rsidRPr="002D34F9">
              <w:rPr>
                <w:rFonts w:ascii="Arial" w:hAnsi="Arial" w:cs="Arial"/>
                <w:bCs/>
                <w:color w:val="4F81BD" w:themeColor="accent1"/>
                <w:sz w:val="22"/>
                <w:szCs w:val="22"/>
              </w:rPr>
              <w:t>ontract with Open Doors for Multicultural Families to support predevelopment planning and feasibility analysis of the Multicultural Village Housing Project.</w:t>
            </w:r>
          </w:p>
        </w:tc>
        <w:tc>
          <w:tcPr>
            <w:tcW w:w="270" w:type="dxa"/>
            <w:tcBorders>
              <w:top w:val="nil"/>
              <w:left w:val="nil"/>
              <w:bottom w:val="nil"/>
              <w:right w:val="nil"/>
            </w:tcBorders>
          </w:tcPr>
          <w:p w14:paraId="491F1D3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9B06613" w14:textId="30B7A892" w:rsidR="00103E60" w:rsidRPr="00C008AA" w:rsidRDefault="002D34F9"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w:t>
            </w:r>
            <w:r w:rsidR="004E2AF6">
              <w:rPr>
                <w:rFonts w:ascii="Arial" w:hAnsi="Arial" w:cs="Arial"/>
                <w:bCs/>
                <w:color w:val="4F81BD" w:themeColor="accent1"/>
                <w:sz w:val="22"/>
                <w:szCs w:val="22"/>
              </w:rPr>
              <w:t>50,000</w:t>
            </w:r>
          </w:p>
        </w:tc>
      </w:tr>
      <w:tr w:rsidR="00103E60" w:rsidRPr="00C008AA" w14:paraId="003D567F" w14:textId="77777777" w:rsidTr="00D9748B">
        <w:trPr>
          <w:cantSplit/>
        </w:trPr>
        <w:tc>
          <w:tcPr>
            <w:tcW w:w="572" w:type="dxa"/>
            <w:tcBorders>
              <w:top w:val="dotted" w:sz="4" w:space="0" w:color="auto"/>
              <w:left w:val="nil"/>
              <w:bottom w:val="dotted" w:sz="4" w:space="0" w:color="auto"/>
              <w:right w:val="nil"/>
            </w:tcBorders>
          </w:tcPr>
          <w:p w14:paraId="77479179" w14:textId="76B17F77"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20</w:t>
            </w:r>
          </w:p>
        </w:tc>
        <w:tc>
          <w:tcPr>
            <w:tcW w:w="252" w:type="dxa"/>
            <w:tcBorders>
              <w:top w:val="nil"/>
              <w:left w:val="nil"/>
              <w:bottom w:val="nil"/>
              <w:right w:val="nil"/>
            </w:tcBorders>
          </w:tcPr>
          <w:p w14:paraId="0FA4D0BC"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0E886DA" w14:textId="735004B7" w:rsidR="00103E60" w:rsidRDefault="00F1114C"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DNRP - Admin</w:t>
            </w:r>
          </w:p>
        </w:tc>
        <w:tc>
          <w:tcPr>
            <w:tcW w:w="270" w:type="dxa"/>
            <w:tcBorders>
              <w:top w:val="nil"/>
              <w:left w:val="nil"/>
              <w:bottom w:val="nil"/>
              <w:right w:val="nil"/>
            </w:tcBorders>
          </w:tcPr>
          <w:p w14:paraId="338A28C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564AE3A8" w14:textId="26E35399" w:rsidR="00103E60" w:rsidRPr="00C008AA" w:rsidRDefault="00D749EB"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(P1) </w:t>
            </w:r>
            <w:r w:rsidR="00F1114C">
              <w:rPr>
                <w:rFonts w:ascii="Arial" w:hAnsi="Arial" w:cs="Arial"/>
                <w:bCs/>
                <w:color w:val="4F81BD" w:themeColor="accent1"/>
                <w:sz w:val="22"/>
                <w:szCs w:val="22"/>
              </w:rPr>
              <w:t xml:space="preserve">Proviso requiring a report on </w:t>
            </w:r>
            <w:r w:rsidR="00F1114C" w:rsidRPr="00F1114C">
              <w:rPr>
                <w:rFonts w:ascii="Arial" w:hAnsi="Arial" w:cs="Arial"/>
                <w:bCs/>
                <w:color w:val="4F81BD" w:themeColor="accent1"/>
                <w:sz w:val="22"/>
                <w:szCs w:val="22"/>
              </w:rPr>
              <w:t xml:space="preserve">proposals to alleviate stormwater flooding affecting the Fairwood </w:t>
            </w:r>
            <w:r w:rsidR="00633989">
              <w:rPr>
                <w:rFonts w:ascii="Arial" w:hAnsi="Arial" w:cs="Arial"/>
                <w:bCs/>
                <w:color w:val="4F81BD" w:themeColor="accent1"/>
                <w:sz w:val="22"/>
                <w:szCs w:val="22"/>
              </w:rPr>
              <w:t>G</w:t>
            </w:r>
            <w:r w:rsidR="00F1114C" w:rsidRPr="00F1114C">
              <w:rPr>
                <w:rFonts w:ascii="Arial" w:hAnsi="Arial" w:cs="Arial"/>
                <w:bCs/>
                <w:color w:val="4F81BD" w:themeColor="accent1"/>
                <w:sz w:val="22"/>
                <w:szCs w:val="22"/>
              </w:rPr>
              <w:t xml:space="preserve">olf </w:t>
            </w:r>
            <w:r w:rsidR="00633989">
              <w:rPr>
                <w:rFonts w:ascii="Arial" w:hAnsi="Arial" w:cs="Arial"/>
                <w:bCs/>
                <w:color w:val="4F81BD" w:themeColor="accent1"/>
                <w:sz w:val="22"/>
                <w:szCs w:val="22"/>
              </w:rPr>
              <w:t>&amp;</w:t>
            </w:r>
            <w:r w:rsidR="00F1114C" w:rsidRPr="00F1114C">
              <w:rPr>
                <w:rFonts w:ascii="Arial" w:hAnsi="Arial" w:cs="Arial"/>
                <w:bCs/>
                <w:color w:val="4F81BD" w:themeColor="accent1"/>
                <w:sz w:val="22"/>
                <w:szCs w:val="22"/>
              </w:rPr>
              <w:t xml:space="preserve"> </w:t>
            </w:r>
            <w:r w:rsidR="00633989">
              <w:rPr>
                <w:rFonts w:ascii="Arial" w:hAnsi="Arial" w:cs="Arial"/>
                <w:bCs/>
                <w:color w:val="4F81BD" w:themeColor="accent1"/>
                <w:sz w:val="22"/>
                <w:szCs w:val="22"/>
              </w:rPr>
              <w:t>C</w:t>
            </w:r>
            <w:r w:rsidR="00F1114C" w:rsidRPr="00F1114C">
              <w:rPr>
                <w:rFonts w:ascii="Arial" w:hAnsi="Arial" w:cs="Arial"/>
                <w:bCs/>
                <w:color w:val="4F81BD" w:themeColor="accent1"/>
                <w:sz w:val="22"/>
                <w:szCs w:val="22"/>
              </w:rPr>
              <w:t xml:space="preserve">ountry </w:t>
            </w:r>
            <w:r w:rsidR="00633989">
              <w:rPr>
                <w:rFonts w:ascii="Arial" w:hAnsi="Arial" w:cs="Arial"/>
                <w:bCs/>
                <w:color w:val="4F81BD" w:themeColor="accent1"/>
                <w:sz w:val="22"/>
                <w:szCs w:val="22"/>
              </w:rPr>
              <w:t>C</w:t>
            </w:r>
            <w:r w:rsidR="00F1114C" w:rsidRPr="00F1114C">
              <w:rPr>
                <w:rFonts w:ascii="Arial" w:hAnsi="Arial" w:cs="Arial"/>
                <w:bCs/>
                <w:color w:val="4F81BD" w:themeColor="accent1"/>
                <w:sz w:val="22"/>
                <w:szCs w:val="22"/>
              </w:rPr>
              <w:t>lub and neighboring property owners</w:t>
            </w:r>
            <w:r w:rsidR="00F1114C">
              <w:rPr>
                <w:rFonts w:ascii="Arial" w:hAnsi="Arial" w:cs="Arial"/>
                <w:bCs/>
                <w:color w:val="4F81BD" w:themeColor="accent1"/>
                <w:sz w:val="22"/>
                <w:szCs w:val="22"/>
              </w:rPr>
              <w:t>.</w:t>
            </w:r>
          </w:p>
        </w:tc>
        <w:tc>
          <w:tcPr>
            <w:tcW w:w="270" w:type="dxa"/>
            <w:tcBorders>
              <w:top w:val="nil"/>
              <w:left w:val="nil"/>
              <w:bottom w:val="nil"/>
              <w:right w:val="nil"/>
            </w:tcBorders>
          </w:tcPr>
          <w:p w14:paraId="120C98EC"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08535700" w14:textId="59586A69" w:rsidR="00103E60" w:rsidRPr="00C008AA" w:rsidRDefault="00F1114C"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58C0498E" w14:textId="77777777" w:rsidTr="00D9748B">
        <w:trPr>
          <w:cantSplit/>
        </w:trPr>
        <w:tc>
          <w:tcPr>
            <w:tcW w:w="572" w:type="dxa"/>
            <w:tcBorders>
              <w:top w:val="dotted" w:sz="4" w:space="0" w:color="auto"/>
              <w:left w:val="nil"/>
              <w:bottom w:val="dotted" w:sz="4" w:space="0" w:color="auto"/>
              <w:right w:val="nil"/>
            </w:tcBorders>
          </w:tcPr>
          <w:p w14:paraId="4C2C0227" w14:textId="05BE0FB2"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lastRenderedPageBreak/>
              <w:t>21</w:t>
            </w:r>
          </w:p>
        </w:tc>
        <w:tc>
          <w:tcPr>
            <w:tcW w:w="252" w:type="dxa"/>
            <w:tcBorders>
              <w:top w:val="nil"/>
              <w:left w:val="nil"/>
              <w:bottom w:val="nil"/>
              <w:right w:val="nil"/>
            </w:tcBorders>
          </w:tcPr>
          <w:p w14:paraId="4F5B7EF7"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0422A812" w14:textId="41D3F203" w:rsidR="00103E60" w:rsidRDefault="00544B6D"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Public Health</w:t>
            </w:r>
          </w:p>
        </w:tc>
        <w:tc>
          <w:tcPr>
            <w:tcW w:w="270" w:type="dxa"/>
            <w:tcBorders>
              <w:top w:val="nil"/>
              <w:left w:val="nil"/>
              <w:bottom w:val="nil"/>
              <w:right w:val="nil"/>
            </w:tcBorders>
          </w:tcPr>
          <w:p w14:paraId="409661F4"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643895F2" w14:textId="0B8CCEE8" w:rsidR="00103E60" w:rsidRPr="00C008AA" w:rsidRDefault="00A55EB4"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(ER8) S</w:t>
            </w:r>
            <w:r w:rsidR="00A51645" w:rsidRPr="00A51645">
              <w:rPr>
                <w:rFonts w:ascii="Arial" w:hAnsi="Arial" w:cs="Arial"/>
                <w:bCs/>
                <w:color w:val="4F81BD" w:themeColor="accent1"/>
                <w:sz w:val="22"/>
                <w:szCs w:val="22"/>
              </w:rPr>
              <w:t>upport the Laced &amp; Lethal campaign to address overdoses caused by fentanyl-laced substances in King County.</w:t>
            </w:r>
          </w:p>
        </w:tc>
        <w:tc>
          <w:tcPr>
            <w:tcW w:w="270" w:type="dxa"/>
            <w:tcBorders>
              <w:top w:val="nil"/>
              <w:left w:val="nil"/>
              <w:bottom w:val="nil"/>
              <w:right w:val="nil"/>
            </w:tcBorders>
          </w:tcPr>
          <w:p w14:paraId="69DD499E"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695E1108" w14:textId="2CDA5EB6" w:rsidR="00103E60" w:rsidRPr="00C008AA" w:rsidRDefault="00544B6D"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$200,000</w:t>
            </w:r>
          </w:p>
        </w:tc>
      </w:tr>
      <w:tr w:rsidR="00103E60" w:rsidRPr="00C008AA" w14:paraId="38A0A4E3" w14:textId="77777777" w:rsidTr="00D9748B">
        <w:trPr>
          <w:cantSplit/>
        </w:trPr>
        <w:tc>
          <w:tcPr>
            <w:tcW w:w="572" w:type="dxa"/>
            <w:tcBorders>
              <w:top w:val="dotted" w:sz="4" w:space="0" w:color="auto"/>
              <w:left w:val="nil"/>
              <w:bottom w:val="dotted" w:sz="4" w:space="0" w:color="auto"/>
              <w:right w:val="nil"/>
            </w:tcBorders>
          </w:tcPr>
          <w:p w14:paraId="63D2AAC5" w14:textId="55F271FB"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22</w:t>
            </w:r>
          </w:p>
        </w:tc>
        <w:tc>
          <w:tcPr>
            <w:tcW w:w="252" w:type="dxa"/>
            <w:tcBorders>
              <w:top w:val="nil"/>
              <w:left w:val="nil"/>
              <w:bottom w:val="nil"/>
              <w:right w:val="nil"/>
            </w:tcBorders>
          </w:tcPr>
          <w:p w14:paraId="23EE2DC5"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035EAF1E" w14:textId="3484C971" w:rsidR="00103E60" w:rsidRDefault="007B1B81"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Public Health</w:t>
            </w:r>
          </w:p>
        </w:tc>
        <w:tc>
          <w:tcPr>
            <w:tcW w:w="270" w:type="dxa"/>
            <w:tcBorders>
              <w:top w:val="nil"/>
              <w:left w:val="nil"/>
              <w:bottom w:val="nil"/>
              <w:right w:val="nil"/>
            </w:tcBorders>
          </w:tcPr>
          <w:p w14:paraId="6270CF7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1CD4D417" w14:textId="3AA7A151" w:rsidR="00103E60" w:rsidRPr="00C008AA" w:rsidRDefault="00544B6D"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(ER9) </w:t>
            </w:r>
            <w:r w:rsidR="00944D8A">
              <w:rPr>
                <w:rFonts w:ascii="Arial" w:hAnsi="Arial" w:cs="Arial"/>
                <w:bCs/>
                <w:color w:val="4F81BD" w:themeColor="accent1"/>
                <w:sz w:val="22"/>
                <w:szCs w:val="22"/>
              </w:rPr>
              <w:t>S</w:t>
            </w:r>
            <w:r w:rsidR="00944D8A" w:rsidRPr="00944D8A">
              <w:rPr>
                <w:rFonts w:ascii="Arial" w:hAnsi="Arial" w:cs="Arial"/>
                <w:bCs/>
                <w:color w:val="4F81BD" w:themeColor="accent1"/>
                <w:sz w:val="22"/>
                <w:szCs w:val="22"/>
              </w:rPr>
              <w:t>upport a bicycle safety and helmet distribution program. The program shall make specific emphasis on unhoused individuals and individuals who historically have been disproportionately impacted by inequities and discrimination.</w:t>
            </w:r>
          </w:p>
        </w:tc>
        <w:tc>
          <w:tcPr>
            <w:tcW w:w="270" w:type="dxa"/>
            <w:tcBorders>
              <w:top w:val="nil"/>
              <w:left w:val="nil"/>
              <w:bottom w:val="nil"/>
              <w:right w:val="nil"/>
            </w:tcBorders>
          </w:tcPr>
          <w:p w14:paraId="2BD93C7D"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7F261D9" w14:textId="121F7561" w:rsidR="00103E60" w:rsidRPr="00C008AA" w:rsidRDefault="00944D8A"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$221,000</w:t>
            </w:r>
          </w:p>
        </w:tc>
      </w:tr>
      <w:tr w:rsidR="00103E60" w:rsidRPr="00C008AA" w14:paraId="1B676E05" w14:textId="77777777" w:rsidTr="00D9748B">
        <w:trPr>
          <w:cantSplit/>
        </w:trPr>
        <w:tc>
          <w:tcPr>
            <w:tcW w:w="572" w:type="dxa"/>
            <w:tcBorders>
              <w:top w:val="dotted" w:sz="4" w:space="0" w:color="auto"/>
              <w:left w:val="nil"/>
              <w:bottom w:val="dotted" w:sz="4" w:space="0" w:color="auto"/>
              <w:right w:val="nil"/>
            </w:tcBorders>
          </w:tcPr>
          <w:p w14:paraId="7D00C0A4" w14:textId="430DFDC1"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23</w:t>
            </w:r>
          </w:p>
        </w:tc>
        <w:tc>
          <w:tcPr>
            <w:tcW w:w="252" w:type="dxa"/>
            <w:tcBorders>
              <w:top w:val="nil"/>
              <w:left w:val="nil"/>
              <w:bottom w:val="nil"/>
              <w:right w:val="nil"/>
            </w:tcBorders>
          </w:tcPr>
          <w:p w14:paraId="20EB47B8"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7D2B264C" w14:textId="1FA69C5E" w:rsidR="00103E60" w:rsidRDefault="00F6652E"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HCD</w:t>
            </w:r>
          </w:p>
        </w:tc>
        <w:tc>
          <w:tcPr>
            <w:tcW w:w="270" w:type="dxa"/>
            <w:tcBorders>
              <w:top w:val="nil"/>
              <w:left w:val="nil"/>
              <w:bottom w:val="nil"/>
              <w:right w:val="nil"/>
            </w:tcBorders>
          </w:tcPr>
          <w:p w14:paraId="7B69243F"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0BA081CC" w14:textId="4D2061C4" w:rsidR="00103E60" w:rsidRPr="00C008AA" w:rsidRDefault="00E928CD"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(ER10) </w:t>
            </w:r>
            <w:r w:rsidR="00991E3D">
              <w:rPr>
                <w:rFonts w:ascii="Arial" w:hAnsi="Arial" w:cs="Arial"/>
                <w:bCs/>
                <w:color w:val="4F81BD" w:themeColor="accent1"/>
                <w:sz w:val="22"/>
                <w:szCs w:val="22"/>
              </w:rPr>
              <w:t>Modify</w:t>
            </w:r>
            <w:r>
              <w:rPr>
                <w:rFonts w:ascii="Arial" w:hAnsi="Arial" w:cs="Arial"/>
                <w:bCs/>
                <w:color w:val="4F81BD" w:themeColor="accent1"/>
                <w:sz w:val="22"/>
                <w:szCs w:val="22"/>
              </w:rPr>
              <w:t xml:space="preserve"> </w:t>
            </w:r>
            <w:r w:rsidR="006155FA">
              <w:rPr>
                <w:rFonts w:ascii="Arial" w:hAnsi="Arial" w:cs="Arial"/>
                <w:bCs/>
                <w:color w:val="4F81BD" w:themeColor="accent1"/>
                <w:sz w:val="22"/>
                <w:szCs w:val="22"/>
              </w:rPr>
              <w:t>requirement for</w:t>
            </w:r>
            <w:r w:rsidR="00FD26EC">
              <w:rPr>
                <w:rFonts w:ascii="Arial" w:hAnsi="Arial" w:cs="Arial"/>
                <w:bCs/>
                <w:color w:val="4F81BD" w:themeColor="accent1"/>
                <w:sz w:val="22"/>
                <w:szCs w:val="22"/>
              </w:rPr>
              <w:t xml:space="preserve"> </w:t>
            </w:r>
            <w:r w:rsidR="001431C3">
              <w:rPr>
                <w:rFonts w:ascii="Arial" w:hAnsi="Arial" w:cs="Arial"/>
                <w:bCs/>
                <w:color w:val="4F81BD" w:themeColor="accent1"/>
                <w:sz w:val="22"/>
                <w:szCs w:val="22"/>
              </w:rPr>
              <w:t>ARPA funded grant</w:t>
            </w:r>
            <w:r w:rsidR="000E53D1">
              <w:rPr>
                <w:rFonts w:ascii="Arial" w:hAnsi="Arial" w:cs="Arial"/>
                <w:bCs/>
                <w:color w:val="4F81BD" w:themeColor="accent1"/>
                <w:sz w:val="22"/>
                <w:szCs w:val="22"/>
              </w:rPr>
              <w:t xml:space="preserve"> to support</w:t>
            </w:r>
            <w:r w:rsidR="00B93F0E" w:rsidRPr="00B93F0E">
              <w:rPr>
                <w:rFonts w:ascii="Arial" w:hAnsi="Arial" w:cs="Arial"/>
                <w:bCs/>
                <w:color w:val="4F81BD" w:themeColor="accent1"/>
                <w:sz w:val="22"/>
                <w:szCs w:val="22"/>
              </w:rPr>
              <w:t xml:space="preserve"> an organization</w:t>
            </w:r>
            <w:r w:rsidR="00386E78">
              <w:rPr>
                <w:rFonts w:ascii="Arial" w:hAnsi="Arial" w:cs="Arial"/>
                <w:bCs/>
                <w:color w:val="4F81BD" w:themeColor="accent1"/>
                <w:sz w:val="22"/>
                <w:szCs w:val="22"/>
              </w:rPr>
              <w:t xml:space="preserve"> </w:t>
            </w:r>
            <w:r w:rsidR="00AC7E3A" w:rsidRPr="00AC7E3A">
              <w:rPr>
                <w:rFonts w:ascii="Arial" w:hAnsi="Arial" w:cs="Arial"/>
                <w:bCs/>
                <w:color w:val="4F81BD" w:themeColor="accent1"/>
                <w:sz w:val="22"/>
                <w:szCs w:val="22"/>
              </w:rPr>
              <w:t>that provides shelter and related services to women, children</w:t>
            </w:r>
            <w:r w:rsidR="00340090">
              <w:rPr>
                <w:rFonts w:ascii="Arial" w:hAnsi="Arial" w:cs="Arial"/>
                <w:bCs/>
                <w:color w:val="4F81BD" w:themeColor="accent1"/>
                <w:sz w:val="22"/>
                <w:szCs w:val="22"/>
              </w:rPr>
              <w:t>,</w:t>
            </w:r>
            <w:r w:rsidR="00AC7E3A" w:rsidRPr="00AC7E3A">
              <w:rPr>
                <w:rFonts w:ascii="Arial" w:hAnsi="Arial" w:cs="Arial"/>
                <w:bCs/>
                <w:color w:val="4F81BD" w:themeColor="accent1"/>
                <w:sz w:val="22"/>
                <w:szCs w:val="22"/>
              </w:rPr>
              <w:t xml:space="preserve"> and families to support their path out of homelessnes</w:t>
            </w:r>
            <w:r w:rsidR="00E672E4">
              <w:rPr>
                <w:rFonts w:ascii="Arial" w:hAnsi="Arial" w:cs="Arial"/>
                <w:bCs/>
                <w:color w:val="4F81BD" w:themeColor="accent1"/>
                <w:sz w:val="22"/>
                <w:szCs w:val="22"/>
              </w:rPr>
              <w:t xml:space="preserve">s </w:t>
            </w:r>
            <w:r w:rsidR="001431C3">
              <w:rPr>
                <w:rFonts w:ascii="Arial" w:hAnsi="Arial" w:cs="Arial"/>
                <w:bCs/>
                <w:color w:val="4F81BD" w:themeColor="accent1"/>
                <w:sz w:val="22"/>
                <w:szCs w:val="22"/>
              </w:rPr>
              <w:t xml:space="preserve">by specifying </w:t>
            </w:r>
            <w:r w:rsidR="000E53D1">
              <w:rPr>
                <w:rFonts w:ascii="Arial" w:hAnsi="Arial" w:cs="Arial"/>
                <w:bCs/>
                <w:color w:val="4F81BD" w:themeColor="accent1"/>
                <w:sz w:val="22"/>
                <w:szCs w:val="22"/>
              </w:rPr>
              <w:t>that the organization be</w:t>
            </w:r>
            <w:r w:rsidR="00B93C13">
              <w:rPr>
                <w:rFonts w:ascii="Arial" w:hAnsi="Arial" w:cs="Arial"/>
                <w:bCs/>
                <w:color w:val="4F81BD" w:themeColor="accent1"/>
                <w:sz w:val="22"/>
                <w:szCs w:val="22"/>
              </w:rPr>
              <w:t xml:space="preserve"> headquartered in the City of Seattle </w:t>
            </w:r>
            <w:r w:rsidR="00E672E4">
              <w:rPr>
                <w:rFonts w:ascii="Arial" w:hAnsi="Arial" w:cs="Arial"/>
                <w:bCs/>
                <w:color w:val="4F81BD" w:themeColor="accent1"/>
                <w:sz w:val="22"/>
                <w:szCs w:val="22"/>
              </w:rPr>
              <w:t xml:space="preserve">and support </w:t>
            </w:r>
            <w:r w:rsidR="00EF3512">
              <w:rPr>
                <w:rFonts w:ascii="Arial" w:hAnsi="Arial" w:cs="Arial"/>
                <w:bCs/>
                <w:color w:val="4F81BD" w:themeColor="accent1"/>
                <w:sz w:val="22"/>
                <w:szCs w:val="22"/>
              </w:rPr>
              <w:t xml:space="preserve">establishing a </w:t>
            </w:r>
            <w:r w:rsidR="000D3653">
              <w:rPr>
                <w:rFonts w:ascii="Arial" w:hAnsi="Arial" w:cs="Arial"/>
                <w:bCs/>
                <w:color w:val="4F81BD" w:themeColor="accent1"/>
                <w:sz w:val="22"/>
                <w:szCs w:val="22"/>
              </w:rPr>
              <w:t xml:space="preserve">temporary shelter </w:t>
            </w:r>
            <w:r w:rsidR="005204E8">
              <w:rPr>
                <w:rFonts w:ascii="Arial" w:hAnsi="Arial" w:cs="Arial"/>
                <w:bCs/>
                <w:color w:val="4F81BD" w:themeColor="accent1"/>
                <w:sz w:val="22"/>
                <w:szCs w:val="22"/>
              </w:rPr>
              <w:t xml:space="preserve">not be limited to </w:t>
            </w:r>
            <w:r w:rsidR="00760C64">
              <w:rPr>
                <w:rFonts w:ascii="Arial" w:hAnsi="Arial" w:cs="Arial"/>
                <w:bCs/>
                <w:color w:val="4F81BD" w:themeColor="accent1"/>
                <w:sz w:val="22"/>
                <w:szCs w:val="22"/>
              </w:rPr>
              <w:t>city of Seattle’s downtown area.</w:t>
            </w:r>
          </w:p>
        </w:tc>
        <w:tc>
          <w:tcPr>
            <w:tcW w:w="270" w:type="dxa"/>
            <w:tcBorders>
              <w:top w:val="nil"/>
              <w:left w:val="nil"/>
              <w:bottom w:val="nil"/>
              <w:right w:val="nil"/>
            </w:tcBorders>
          </w:tcPr>
          <w:p w14:paraId="27A01ACB"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4430B39D" w14:textId="770120ED" w:rsidR="00103E60" w:rsidRPr="00C008AA" w:rsidRDefault="00AC7E3A"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103E60" w:rsidRPr="00C008AA" w14:paraId="7459B3B8" w14:textId="77777777" w:rsidTr="00D9748B">
        <w:trPr>
          <w:cantSplit/>
        </w:trPr>
        <w:tc>
          <w:tcPr>
            <w:tcW w:w="572" w:type="dxa"/>
            <w:tcBorders>
              <w:top w:val="dotted" w:sz="4" w:space="0" w:color="auto"/>
              <w:left w:val="nil"/>
              <w:bottom w:val="dotted" w:sz="4" w:space="0" w:color="auto"/>
              <w:right w:val="nil"/>
            </w:tcBorders>
          </w:tcPr>
          <w:p w14:paraId="69F48371" w14:textId="6AFBA5D1" w:rsidR="00103E60"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24</w:t>
            </w:r>
          </w:p>
        </w:tc>
        <w:tc>
          <w:tcPr>
            <w:tcW w:w="252" w:type="dxa"/>
            <w:tcBorders>
              <w:top w:val="nil"/>
              <w:left w:val="nil"/>
              <w:bottom w:val="nil"/>
              <w:right w:val="nil"/>
            </w:tcBorders>
          </w:tcPr>
          <w:p w14:paraId="646366C8" w14:textId="77777777" w:rsidR="00103E60" w:rsidRPr="00C008AA" w:rsidRDefault="00103E60"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546AF39A" w14:textId="66CD5ABC" w:rsidR="00103E60" w:rsidRDefault="00FE7764"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HCD</w:t>
            </w:r>
          </w:p>
        </w:tc>
        <w:tc>
          <w:tcPr>
            <w:tcW w:w="270" w:type="dxa"/>
            <w:tcBorders>
              <w:top w:val="nil"/>
              <w:left w:val="nil"/>
              <w:bottom w:val="nil"/>
              <w:right w:val="nil"/>
            </w:tcBorders>
          </w:tcPr>
          <w:p w14:paraId="261038D5"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57610DB5" w14:textId="13E3B72B" w:rsidR="00103E60" w:rsidRPr="00C008AA" w:rsidRDefault="00E27806"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(ER12) C</w:t>
            </w:r>
            <w:r w:rsidRPr="00E27806">
              <w:rPr>
                <w:rFonts w:ascii="Arial" w:hAnsi="Arial" w:cs="Arial"/>
                <w:bCs/>
                <w:color w:val="4F81BD" w:themeColor="accent1"/>
                <w:sz w:val="22"/>
                <w:szCs w:val="22"/>
              </w:rPr>
              <w:t xml:space="preserve">ontract with nonprofit organization to support operating costs for </w:t>
            </w:r>
            <w:r w:rsidR="00633989">
              <w:rPr>
                <w:rFonts w:ascii="Arial" w:hAnsi="Arial" w:cs="Arial"/>
                <w:bCs/>
                <w:color w:val="4F81BD" w:themeColor="accent1"/>
                <w:sz w:val="22"/>
                <w:szCs w:val="22"/>
              </w:rPr>
              <w:t xml:space="preserve">one more </w:t>
            </w:r>
            <w:r w:rsidRPr="00E27806">
              <w:rPr>
                <w:rFonts w:ascii="Arial" w:hAnsi="Arial" w:cs="Arial"/>
                <w:bCs/>
                <w:color w:val="4F81BD" w:themeColor="accent1"/>
                <w:sz w:val="22"/>
                <w:szCs w:val="22"/>
              </w:rPr>
              <w:t>tiny house village</w:t>
            </w:r>
            <w:r w:rsidR="00633989">
              <w:rPr>
                <w:rFonts w:ascii="Arial" w:hAnsi="Arial" w:cs="Arial"/>
                <w:bCs/>
                <w:color w:val="4F81BD" w:themeColor="accent1"/>
                <w:sz w:val="22"/>
                <w:szCs w:val="22"/>
              </w:rPr>
              <w:t xml:space="preserve">s </w:t>
            </w:r>
            <w:r w:rsidRPr="00E27806">
              <w:rPr>
                <w:rFonts w:ascii="Arial" w:hAnsi="Arial" w:cs="Arial"/>
                <w:bCs/>
                <w:color w:val="4F81BD" w:themeColor="accent1"/>
                <w:sz w:val="22"/>
                <w:szCs w:val="22"/>
              </w:rPr>
              <w:t>and provide housing to unhoused individuals.</w:t>
            </w:r>
          </w:p>
        </w:tc>
        <w:tc>
          <w:tcPr>
            <w:tcW w:w="270" w:type="dxa"/>
            <w:tcBorders>
              <w:top w:val="nil"/>
              <w:left w:val="nil"/>
              <w:bottom w:val="nil"/>
              <w:right w:val="nil"/>
            </w:tcBorders>
          </w:tcPr>
          <w:p w14:paraId="4157B9C9" w14:textId="77777777" w:rsidR="00103E60" w:rsidRPr="00C008AA" w:rsidRDefault="00103E60"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5D7F3679" w14:textId="68FE09A1" w:rsidR="00103E60" w:rsidRPr="00C008AA" w:rsidRDefault="00FE7764"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$1,000,000</w:t>
            </w:r>
          </w:p>
        </w:tc>
      </w:tr>
      <w:tr w:rsidR="00C008AA" w:rsidRPr="00C008AA" w14:paraId="7413DD74" w14:textId="77777777" w:rsidTr="00D9748B">
        <w:trPr>
          <w:cantSplit/>
        </w:trPr>
        <w:tc>
          <w:tcPr>
            <w:tcW w:w="572" w:type="dxa"/>
            <w:tcBorders>
              <w:top w:val="dotted" w:sz="4" w:space="0" w:color="auto"/>
              <w:left w:val="nil"/>
              <w:bottom w:val="dotted" w:sz="4" w:space="0" w:color="auto"/>
              <w:right w:val="nil"/>
            </w:tcBorders>
          </w:tcPr>
          <w:p w14:paraId="67855903" w14:textId="6F98135C" w:rsidR="00842C59"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25</w:t>
            </w:r>
          </w:p>
        </w:tc>
        <w:tc>
          <w:tcPr>
            <w:tcW w:w="252" w:type="dxa"/>
            <w:tcBorders>
              <w:top w:val="nil"/>
              <w:left w:val="nil"/>
              <w:bottom w:val="nil"/>
              <w:right w:val="nil"/>
            </w:tcBorders>
          </w:tcPr>
          <w:p w14:paraId="01B4B3C4" w14:textId="77777777" w:rsidR="00842C59" w:rsidRPr="00C008AA" w:rsidRDefault="00842C59"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0C611A5B" w14:textId="409072C2" w:rsidR="00842C59" w:rsidRPr="00C008AA" w:rsidRDefault="00A20B98"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DCHS - HCD</w:t>
            </w:r>
          </w:p>
        </w:tc>
        <w:tc>
          <w:tcPr>
            <w:tcW w:w="270" w:type="dxa"/>
            <w:tcBorders>
              <w:top w:val="nil"/>
              <w:left w:val="nil"/>
              <w:bottom w:val="nil"/>
              <w:right w:val="nil"/>
            </w:tcBorders>
          </w:tcPr>
          <w:p w14:paraId="043CD8BA"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2D52FC81" w14:textId="01CB1976" w:rsidR="00842C59" w:rsidRPr="00C008AA" w:rsidRDefault="003640D0"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(P2</w:t>
            </w:r>
            <w:r w:rsidR="00E300A9">
              <w:rPr>
                <w:rFonts w:ascii="Arial" w:hAnsi="Arial" w:cs="Arial"/>
                <w:bCs/>
                <w:color w:val="4F81BD" w:themeColor="accent1"/>
                <w:sz w:val="22"/>
                <w:szCs w:val="22"/>
              </w:rPr>
              <w:t xml:space="preserve">) Proviso requiring </w:t>
            </w:r>
            <w:r w:rsidR="00E300A9" w:rsidRPr="00E300A9">
              <w:rPr>
                <w:rFonts w:ascii="Arial" w:hAnsi="Arial" w:cs="Arial"/>
                <w:bCs/>
                <w:color w:val="4F81BD" w:themeColor="accent1"/>
                <w:sz w:val="22"/>
                <w:szCs w:val="22"/>
              </w:rPr>
              <w:t xml:space="preserve">a </w:t>
            </w:r>
            <w:r w:rsidR="000B160F">
              <w:rPr>
                <w:rFonts w:ascii="Arial" w:hAnsi="Arial" w:cs="Arial"/>
                <w:bCs/>
                <w:color w:val="4F81BD" w:themeColor="accent1"/>
                <w:sz w:val="22"/>
                <w:szCs w:val="22"/>
              </w:rPr>
              <w:t xml:space="preserve">report evaluating a </w:t>
            </w:r>
            <w:r w:rsidR="00E300A9" w:rsidRPr="00E300A9">
              <w:rPr>
                <w:rFonts w:ascii="Arial" w:hAnsi="Arial" w:cs="Arial"/>
                <w:bCs/>
                <w:color w:val="4F81BD" w:themeColor="accent1"/>
                <w:sz w:val="22"/>
                <w:szCs w:val="22"/>
              </w:rPr>
              <w:t>safe vehicle parking program</w:t>
            </w:r>
            <w:r w:rsidR="00E300A9">
              <w:rPr>
                <w:rFonts w:ascii="Arial" w:hAnsi="Arial" w:cs="Arial"/>
                <w:bCs/>
                <w:color w:val="4F81BD" w:themeColor="accent1"/>
                <w:sz w:val="22"/>
                <w:szCs w:val="22"/>
              </w:rPr>
              <w:t>.</w:t>
            </w:r>
          </w:p>
        </w:tc>
        <w:tc>
          <w:tcPr>
            <w:tcW w:w="270" w:type="dxa"/>
            <w:tcBorders>
              <w:top w:val="nil"/>
              <w:left w:val="nil"/>
              <w:bottom w:val="nil"/>
              <w:right w:val="nil"/>
            </w:tcBorders>
          </w:tcPr>
          <w:p w14:paraId="63AD9A22"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15FF0948" w14:textId="595F08B9" w:rsidR="00842C59" w:rsidRPr="00C008AA" w:rsidRDefault="00300770"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C008AA" w:rsidRPr="00C008AA" w14:paraId="74EC4EEE" w14:textId="77777777" w:rsidTr="00D9748B">
        <w:trPr>
          <w:cantSplit/>
        </w:trPr>
        <w:tc>
          <w:tcPr>
            <w:tcW w:w="572" w:type="dxa"/>
            <w:tcBorders>
              <w:top w:val="dotted" w:sz="4" w:space="0" w:color="auto"/>
              <w:left w:val="nil"/>
              <w:bottom w:val="dotted" w:sz="4" w:space="0" w:color="auto"/>
              <w:right w:val="nil"/>
            </w:tcBorders>
          </w:tcPr>
          <w:p w14:paraId="3923A43A" w14:textId="7C4C7CAA" w:rsidR="00842C59" w:rsidRPr="00C008AA" w:rsidRDefault="00460C67" w:rsidP="00B8030C">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26</w:t>
            </w:r>
          </w:p>
        </w:tc>
        <w:tc>
          <w:tcPr>
            <w:tcW w:w="252" w:type="dxa"/>
            <w:tcBorders>
              <w:top w:val="nil"/>
              <w:left w:val="nil"/>
              <w:bottom w:val="nil"/>
              <w:right w:val="nil"/>
            </w:tcBorders>
          </w:tcPr>
          <w:p w14:paraId="27600CEE" w14:textId="77777777" w:rsidR="00842C59" w:rsidRPr="00C008AA" w:rsidRDefault="00842C59" w:rsidP="00B8030C">
            <w:pPr>
              <w:spacing w:line="264" w:lineRule="auto"/>
              <w:contextualSpacing/>
              <w:rPr>
                <w:rFonts w:ascii="Arial" w:hAnsi="Arial" w:cs="Arial"/>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2ADCC15B" w14:textId="5B7D49F5" w:rsidR="00842C59" w:rsidRPr="00C008AA" w:rsidRDefault="000B6ADE" w:rsidP="00B8030C">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FMD</w:t>
            </w:r>
          </w:p>
        </w:tc>
        <w:tc>
          <w:tcPr>
            <w:tcW w:w="270" w:type="dxa"/>
            <w:tcBorders>
              <w:top w:val="nil"/>
              <w:left w:val="nil"/>
              <w:bottom w:val="nil"/>
              <w:right w:val="nil"/>
            </w:tcBorders>
          </w:tcPr>
          <w:p w14:paraId="71F2910E"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01B3AD7E" w14:textId="44D7F376" w:rsidR="00842C59" w:rsidRPr="00C008AA" w:rsidRDefault="00FD7D4F" w:rsidP="00F2161B">
            <w:pPr>
              <w:spacing w:line="264" w:lineRule="auto"/>
              <w:contextualSpacing/>
              <w:rPr>
                <w:rFonts w:ascii="Arial" w:hAnsi="Arial" w:cs="Arial"/>
                <w:bCs/>
                <w:color w:val="4F81BD" w:themeColor="accent1"/>
                <w:sz w:val="22"/>
                <w:szCs w:val="22"/>
              </w:rPr>
            </w:pPr>
            <w:r>
              <w:rPr>
                <w:rFonts w:ascii="Arial" w:hAnsi="Arial" w:cs="Arial"/>
                <w:bCs/>
                <w:color w:val="4F81BD" w:themeColor="accent1"/>
                <w:sz w:val="22"/>
                <w:szCs w:val="22"/>
              </w:rPr>
              <w:t xml:space="preserve">(P3) </w:t>
            </w:r>
            <w:r w:rsidR="000B6ADE">
              <w:rPr>
                <w:rFonts w:ascii="Arial" w:hAnsi="Arial" w:cs="Arial"/>
                <w:bCs/>
                <w:color w:val="4F81BD" w:themeColor="accent1"/>
                <w:sz w:val="22"/>
                <w:szCs w:val="22"/>
              </w:rPr>
              <w:t xml:space="preserve">Proviso requiring </w:t>
            </w:r>
            <w:r w:rsidRPr="00FD7D4F">
              <w:rPr>
                <w:rFonts w:ascii="Arial" w:hAnsi="Arial" w:cs="Arial"/>
                <w:bCs/>
                <w:color w:val="4F81BD" w:themeColor="accent1"/>
                <w:sz w:val="22"/>
                <w:szCs w:val="22"/>
              </w:rPr>
              <w:t>a plan to establish a hygiene center near City Hall park</w:t>
            </w:r>
            <w:r w:rsidR="000B6ADE">
              <w:rPr>
                <w:rFonts w:ascii="Arial" w:hAnsi="Arial" w:cs="Arial"/>
                <w:bCs/>
                <w:color w:val="4F81BD" w:themeColor="accent1"/>
                <w:sz w:val="22"/>
                <w:szCs w:val="22"/>
              </w:rPr>
              <w:t xml:space="preserve"> as </w:t>
            </w:r>
            <w:r w:rsidR="000B6ADE" w:rsidRPr="000B6ADE">
              <w:rPr>
                <w:rFonts w:ascii="Arial" w:hAnsi="Arial" w:cs="Arial"/>
                <w:bCs/>
                <w:color w:val="4F81BD" w:themeColor="accent1"/>
                <w:sz w:val="22"/>
                <w:szCs w:val="22"/>
              </w:rPr>
              <w:t>part of the report as requested in Motion 15955 related to plans for assessing and addressing safety concerns relating to City Hall park and the King County Courthouse.</w:t>
            </w:r>
          </w:p>
        </w:tc>
        <w:tc>
          <w:tcPr>
            <w:tcW w:w="270" w:type="dxa"/>
            <w:tcBorders>
              <w:top w:val="nil"/>
              <w:left w:val="nil"/>
              <w:bottom w:val="nil"/>
              <w:right w:val="nil"/>
            </w:tcBorders>
          </w:tcPr>
          <w:p w14:paraId="6513615C" w14:textId="77777777" w:rsidR="00842C59" w:rsidRPr="00C008AA" w:rsidRDefault="00842C59" w:rsidP="00B8030C">
            <w:pPr>
              <w:spacing w:line="264" w:lineRule="auto"/>
              <w:contextualSpacing/>
              <w:jc w:val="right"/>
              <w:rPr>
                <w:rFonts w:ascii="Arial" w:hAnsi="Arial" w:cs="Arial"/>
                <w:bCs/>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338AF52B" w14:textId="5D09C808" w:rsidR="00842C59" w:rsidRPr="00C008AA" w:rsidRDefault="00FD7D4F" w:rsidP="00B8030C">
            <w:pPr>
              <w:spacing w:line="264" w:lineRule="auto"/>
              <w:contextualSpacing/>
              <w:jc w:val="right"/>
              <w:rPr>
                <w:rFonts w:ascii="Arial" w:hAnsi="Arial" w:cs="Arial"/>
                <w:bCs/>
                <w:color w:val="4F81BD" w:themeColor="accent1"/>
                <w:sz w:val="22"/>
                <w:szCs w:val="22"/>
              </w:rPr>
            </w:pPr>
            <w:r>
              <w:rPr>
                <w:rFonts w:ascii="Arial" w:hAnsi="Arial" w:cs="Arial"/>
                <w:bCs/>
                <w:color w:val="4F81BD" w:themeColor="accent1"/>
                <w:sz w:val="22"/>
                <w:szCs w:val="22"/>
              </w:rPr>
              <w:t>n/a</w:t>
            </w:r>
          </w:p>
        </w:tc>
      </w:tr>
      <w:tr w:rsidR="00052FDC" w:rsidRPr="00C008AA" w14:paraId="463BDD24" w14:textId="77777777" w:rsidTr="00D9748B">
        <w:trPr>
          <w:cantSplit/>
        </w:trPr>
        <w:tc>
          <w:tcPr>
            <w:tcW w:w="572" w:type="dxa"/>
            <w:tcBorders>
              <w:top w:val="dotted" w:sz="4" w:space="0" w:color="auto"/>
              <w:left w:val="nil"/>
              <w:bottom w:val="dotted" w:sz="4" w:space="0" w:color="auto"/>
              <w:right w:val="nil"/>
            </w:tcBorders>
          </w:tcPr>
          <w:p w14:paraId="7A59B20F" w14:textId="62223D8A" w:rsidR="00052FDC" w:rsidRDefault="00052FDC" w:rsidP="00D775F7">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27</w:t>
            </w:r>
          </w:p>
        </w:tc>
        <w:tc>
          <w:tcPr>
            <w:tcW w:w="252" w:type="dxa"/>
            <w:tcBorders>
              <w:top w:val="nil"/>
              <w:left w:val="nil"/>
              <w:bottom w:val="nil"/>
              <w:right w:val="nil"/>
            </w:tcBorders>
          </w:tcPr>
          <w:p w14:paraId="5E10F1BE" w14:textId="77777777" w:rsidR="00052FDC" w:rsidRPr="00C008AA" w:rsidRDefault="00052FDC" w:rsidP="00B8030C">
            <w:pPr>
              <w:spacing w:line="264" w:lineRule="auto"/>
              <w:contextualSpacing/>
              <w:jc w:val="right"/>
              <w:rPr>
                <w:rFonts w:ascii="Arial" w:hAnsi="Arial" w:cs="Arial"/>
                <w:b/>
                <w:bCs/>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4B16EF72" w14:textId="223E44B6" w:rsidR="00052FDC" w:rsidRPr="00231271" w:rsidRDefault="00052FDC" w:rsidP="00231271">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 xml:space="preserve">CIP – OIRM </w:t>
            </w:r>
            <w:r w:rsidR="003E2945">
              <w:rPr>
                <w:rFonts w:ascii="Arial" w:hAnsi="Arial" w:cs="Arial"/>
                <w:color w:val="4F81BD" w:themeColor="accent1"/>
                <w:sz w:val="22"/>
                <w:szCs w:val="22"/>
              </w:rPr>
              <w:t>Capital</w:t>
            </w:r>
          </w:p>
        </w:tc>
        <w:tc>
          <w:tcPr>
            <w:tcW w:w="270" w:type="dxa"/>
            <w:tcBorders>
              <w:top w:val="nil"/>
              <w:left w:val="nil"/>
              <w:bottom w:val="nil"/>
              <w:right w:val="nil"/>
            </w:tcBorders>
          </w:tcPr>
          <w:p w14:paraId="49ECD80F" w14:textId="77777777" w:rsidR="00052FDC" w:rsidRPr="00231271" w:rsidRDefault="00052FDC" w:rsidP="00B8030C">
            <w:pPr>
              <w:spacing w:line="264" w:lineRule="auto"/>
              <w:contextualSpacing/>
              <w:jc w:val="right"/>
              <w:rPr>
                <w:rFonts w:ascii="Arial" w:hAnsi="Arial" w:cs="Arial"/>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1E2983A7" w14:textId="171157B0" w:rsidR="005C002D" w:rsidRPr="00231271" w:rsidRDefault="0036715B" w:rsidP="00231271">
            <w:pPr>
              <w:spacing w:line="264" w:lineRule="auto"/>
              <w:contextualSpacing/>
              <w:rPr>
                <w:rFonts w:ascii="Arial" w:hAnsi="Arial" w:cs="Arial"/>
                <w:color w:val="4F81BD" w:themeColor="accent1"/>
                <w:sz w:val="22"/>
                <w:szCs w:val="22"/>
              </w:rPr>
            </w:pPr>
            <w:r>
              <w:rPr>
                <w:rFonts w:ascii="Arial" w:hAnsi="Arial" w:cs="Arial"/>
                <w:color w:val="4F81BD" w:themeColor="accent1"/>
                <w:sz w:val="22"/>
                <w:szCs w:val="22"/>
              </w:rPr>
              <w:t xml:space="preserve">Project </w:t>
            </w:r>
            <w:r w:rsidR="005C002D">
              <w:rPr>
                <w:rFonts w:ascii="Arial" w:hAnsi="Arial" w:cs="Arial"/>
                <w:color w:val="4F81BD" w:themeColor="accent1"/>
                <w:sz w:val="22"/>
                <w:szCs w:val="22"/>
              </w:rPr>
              <w:t>#</w:t>
            </w:r>
            <w:r w:rsidR="005C002D" w:rsidRPr="005C002D">
              <w:rPr>
                <w:rFonts w:ascii="Arial" w:hAnsi="Arial" w:cs="Arial"/>
                <w:color w:val="4F81BD" w:themeColor="accent1"/>
                <w:sz w:val="22"/>
                <w:szCs w:val="22"/>
              </w:rPr>
              <w:t>1123944</w:t>
            </w:r>
            <w:r w:rsidR="005C002D">
              <w:rPr>
                <w:rFonts w:ascii="Arial" w:hAnsi="Arial" w:cs="Arial"/>
                <w:color w:val="4F81BD" w:themeColor="accent1"/>
                <w:sz w:val="22"/>
                <w:szCs w:val="22"/>
              </w:rPr>
              <w:t xml:space="preserve">: DOA PTAS – Additional </w:t>
            </w:r>
            <w:r w:rsidR="00EF7072">
              <w:rPr>
                <w:rFonts w:ascii="Arial" w:hAnsi="Arial" w:cs="Arial"/>
                <w:color w:val="4F81BD" w:themeColor="accent1"/>
                <w:sz w:val="22"/>
                <w:szCs w:val="22"/>
              </w:rPr>
              <w:t>appropriation</w:t>
            </w:r>
            <w:r w:rsidR="005C002D">
              <w:rPr>
                <w:rFonts w:ascii="Arial" w:hAnsi="Arial" w:cs="Arial"/>
                <w:color w:val="4F81BD" w:themeColor="accent1"/>
                <w:sz w:val="22"/>
                <w:szCs w:val="22"/>
              </w:rPr>
              <w:t xml:space="preserve"> to complete the Property Tax Administration System (PTAS)</w:t>
            </w:r>
            <w:r w:rsidR="000210F3">
              <w:rPr>
                <w:rFonts w:ascii="Arial" w:hAnsi="Arial" w:cs="Arial"/>
                <w:color w:val="4F81BD" w:themeColor="accent1"/>
                <w:sz w:val="22"/>
                <w:szCs w:val="22"/>
              </w:rPr>
              <w:t xml:space="preserve"> project.</w:t>
            </w:r>
          </w:p>
        </w:tc>
        <w:tc>
          <w:tcPr>
            <w:tcW w:w="270" w:type="dxa"/>
            <w:tcBorders>
              <w:top w:val="nil"/>
              <w:left w:val="nil"/>
              <w:bottom w:val="nil"/>
              <w:right w:val="nil"/>
            </w:tcBorders>
          </w:tcPr>
          <w:p w14:paraId="39AC6D18" w14:textId="77777777" w:rsidR="00052FDC" w:rsidRPr="00231271" w:rsidRDefault="00052FDC" w:rsidP="00B8030C">
            <w:pPr>
              <w:spacing w:line="264" w:lineRule="auto"/>
              <w:contextualSpacing/>
              <w:jc w:val="right"/>
              <w:rPr>
                <w:rFonts w:ascii="Arial" w:hAnsi="Arial" w:cs="Arial"/>
                <w:color w:val="4F81BD" w:themeColor="accent1"/>
                <w:sz w:val="22"/>
                <w:szCs w:val="22"/>
              </w:rPr>
            </w:pPr>
          </w:p>
        </w:tc>
        <w:tc>
          <w:tcPr>
            <w:tcW w:w="1440" w:type="dxa"/>
            <w:tcBorders>
              <w:top w:val="dotted" w:sz="4" w:space="0" w:color="auto"/>
              <w:left w:val="nil"/>
              <w:bottom w:val="dotted" w:sz="4" w:space="0" w:color="auto"/>
              <w:right w:val="nil"/>
            </w:tcBorders>
            <w:shd w:val="clear" w:color="auto" w:fill="auto"/>
            <w:tcMar>
              <w:top w:w="43" w:type="dxa"/>
              <w:bottom w:w="43" w:type="dxa"/>
            </w:tcMar>
          </w:tcPr>
          <w:p w14:paraId="26E1F9E0" w14:textId="36C9CD29" w:rsidR="00052FDC" w:rsidRPr="00231271" w:rsidRDefault="005C002D" w:rsidP="00B8030C">
            <w:pPr>
              <w:spacing w:line="264" w:lineRule="auto"/>
              <w:contextualSpacing/>
              <w:jc w:val="right"/>
              <w:rPr>
                <w:rFonts w:ascii="Arial" w:hAnsi="Arial" w:cs="Arial"/>
                <w:color w:val="4F81BD" w:themeColor="accent1"/>
                <w:sz w:val="22"/>
                <w:szCs w:val="22"/>
              </w:rPr>
            </w:pPr>
            <w:r>
              <w:rPr>
                <w:rFonts w:ascii="Arial" w:hAnsi="Arial" w:cs="Arial"/>
                <w:color w:val="4F81BD" w:themeColor="accent1"/>
                <w:sz w:val="22"/>
                <w:szCs w:val="22"/>
              </w:rPr>
              <w:t>$28,900,000</w:t>
            </w:r>
          </w:p>
        </w:tc>
      </w:tr>
      <w:tr w:rsidR="00D775F7" w:rsidRPr="00C008AA" w14:paraId="70AF3510" w14:textId="77777777" w:rsidTr="00D9748B">
        <w:trPr>
          <w:cantSplit/>
        </w:trPr>
        <w:tc>
          <w:tcPr>
            <w:tcW w:w="572" w:type="dxa"/>
            <w:tcBorders>
              <w:top w:val="dotted" w:sz="4" w:space="0" w:color="auto"/>
              <w:left w:val="nil"/>
              <w:bottom w:val="dotted" w:sz="4" w:space="0" w:color="auto"/>
              <w:right w:val="nil"/>
            </w:tcBorders>
          </w:tcPr>
          <w:p w14:paraId="3B38C457" w14:textId="490A09EF" w:rsidR="00D775F7" w:rsidRPr="00D775F7" w:rsidRDefault="00D775F7" w:rsidP="00D775F7">
            <w:pPr>
              <w:spacing w:line="264" w:lineRule="auto"/>
              <w:contextualSpacing/>
              <w:jc w:val="center"/>
              <w:rPr>
                <w:rFonts w:ascii="Arial" w:hAnsi="Arial" w:cs="Arial"/>
                <w:color w:val="4F81BD" w:themeColor="accent1"/>
                <w:sz w:val="22"/>
                <w:szCs w:val="22"/>
              </w:rPr>
            </w:pPr>
            <w:r>
              <w:rPr>
                <w:rFonts w:ascii="Arial" w:hAnsi="Arial" w:cs="Arial"/>
                <w:color w:val="4F81BD" w:themeColor="accent1"/>
                <w:sz w:val="22"/>
                <w:szCs w:val="22"/>
              </w:rPr>
              <w:t>2</w:t>
            </w:r>
            <w:r w:rsidR="00052FDC">
              <w:rPr>
                <w:rFonts w:ascii="Arial" w:hAnsi="Arial" w:cs="Arial"/>
                <w:color w:val="4F81BD" w:themeColor="accent1"/>
                <w:sz w:val="22"/>
                <w:szCs w:val="22"/>
              </w:rPr>
              <w:t>8</w:t>
            </w:r>
          </w:p>
        </w:tc>
        <w:tc>
          <w:tcPr>
            <w:tcW w:w="252" w:type="dxa"/>
            <w:tcBorders>
              <w:top w:val="nil"/>
              <w:left w:val="nil"/>
              <w:bottom w:val="nil"/>
              <w:right w:val="nil"/>
            </w:tcBorders>
          </w:tcPr>
          <w:p w14:paraId="0BD110DB" w14:textId="77777777" w:rsidR="00D775F7" w:rsidRPr="00C008AA" w:rsidRDefault="00D775F7" w:rsidP="00B8030C">
            <w:pPr>
              <w:spacing w:line="264" w:lineRule="auto"/>
              <w:contextualSpacing/>
              <w:jc w:val="right"/>
              <w:rPr>
                <w:rFonts w:ascii="Arial" w:hAnsi="Arial" w:cs="Arial"/>
                <w:b/>
                <w:bCs/>
                <w:color w:val="4F81BD" w:themeColor="accent1"/>
                <w:sz w:val="22"/>
                <w:szCs w:val="22"/>
              </w:rPr>
            </w:pPr>
          </w:p>
        </w:tc>
        <w:tc>
          <w:tcPr>
            <w:tcW w:w="1156" w:type="dxa"/>
            <w:tcBorders>
              <w:top w:val="dotted" w:sz="4" w:space="0" w:color="auto"/>
              <w:left w:val="nil"/>
              <w:bottom w:val="dotted" w:sz="4" w:space="0" w:color="auto"/>
              <w:right w:val="nil"/>
            </w:tcBorders>
            <w:shd w:val="clear" w:color="auto" w:fill="auto"/>
            <w:tcMar>
              <w:top w:w="43" w:type="dxa"/>
              <w:left w:w="115" w:type="dxa"/>
              <w:bottom w:w="43" w:type="dxa"/>
              <w:right w:w="115" w:type="dxa"/>
            </w:tcMar>
          </w:tcPr>
          <w:p w14:paraId="6E804D77" w14:textId="42EF935D" w:rsidR="00D775F7" w:rsidRPr="00231271" w:rsidRDefault="00231271" w:rsidP="00231271">
            <w:pPr>
              <w:spacing w:line="264" w:lineRule="auto"/>
              <w:contextualSpacing/>
              <w:rPr>
                <w:rFonts w:ascii="Arial" w:hAnsi="Arial" w:cs="Arial"/>
                <w:color w:val="4F81BD" w:themeColor="accent1"/>
                <w:sz w:val="22"/>
                <w:szCs w:val="22"/>
              </w:rPr>
            </w:pPr>
            <w:r w:rsidRPr="00231271">
              <w:rPr>
                <w:rFonts w:ascii="Arial" w:hAnsi="Arial" w:cs="Arial"/>
                <w:color w:val="4F81BD" w:themeColor="accent1"/>
                <w:sz w:val="22"/>
                <w:szCs w:val="22"/>
              </w:rPr>
              <w:t>Various</w:t>
            </w:r>
          </w:p>
        </w:tc>
        <w:tc>
          <w:tcPr>
            <w:tcW w:w="270" w:type="dxa"/>
            <w:tcBorders>
              <w:top w:val="nil"/>
              <w:left w:val="nil"/>
              <w:bottom w:val="nil"/>
              <w:right w:val="nil"/>
            </w:tcBorders>
          </w:tcPr>
          <w:p w14:paraId="4B28B901" w14:textId="77777777" w:rsidR="00D775F7" w:rsidRPr="00231271" w:rsidRDefault="00D775F7" w:rsidP="00B8030C">
            <w:pPr>
              <w:spacing w:line="264" w:lineRule="auto"/>
              <w:contextualSpacing/>
              <w:jc w:val="right"/>
              <w:rPr>
                <w:rFonts w:ascii="Arial" w:hAnsi="Arial" w:cs="Arial"/>
                <w:color w:val="4F81BD" w:themeColor="accent1"/>
                <w:sz w:val="22"/>
                <w:szCs w:val="22"/>
              </w:rPr>
            </w:pPr>
          </w:p>
        </w:tc>
        <w:tc>
          <w:tcPr>
            <w:tcW w:w="5400" w:type="dxa"/>
            <w:tcBorders>
              <w:top w:val="dotted" w:sz="4" w:space="0" w:color="auto"/>
              <w:left w:val="nil"/>
              <w:bottom w:val="dotted" w:sz="4" w:space="0" w:color="auto"/>
              <w:right w:val="nil"/>
            </w:tcBorders>
            <w:shd w:val="clear" w:color="auto" w:fill="auto"/>
          </w:tcPr>
          <w:p w14:paraId="744E2F0E" w14:textId="5639BF99" w:rsidR="00D775F7" w:rsidRPr="00231271" w:rsidRDefault="00231271" w:rsidP="00231271">
            <w:pPr>
              <w:spacing w:line="264" w:lineRule="auto"/>
              <w:contextualSpacing/>
              <w:rPr>
                <w:rFonts w:ascii="Arial" w:hAnsi="Arial" w:cs="Arial"/>
                <w:color w:val="4F81BD" w:themeColor="accent1"/>
                <w:sz w:val="22"/>
                <w:szCs w:val="22"/>
              </w:rPr>
            </w:pPr>
            <w:r w:rsidRPr="00231271">
              <w:rPr>
                <w:rFonts w:ascii="Arial" w:hAnsi="Arial" w:cs="Arial"/>
                <w:color w:val="4F81BD" w:themeColor="accent1"/>
                <w:sz w:val="22"/>
                <w:szCs w:val="22"/>
              </w:rPr>
              <w:t>Make technical corrections including councilmanic allocations.</w:t>
            </w:r>
          </w:p>
        </w:tc>
        <w:tc>
          <w:tcPr>
            <w:tcW w:w="270" w:type="dxa"/>
            <w:tcBorders>
              <w:top w:val="nil"/>
              <w:left w:val="nil"/>
              <w:bottom w:val="nil"/>
              <w:right w:val="nil"/>
            </w:tcBorders>
          </w:tcPr>
          <w:p w14:paraId="7670282A" w14:textId="77777777" w:rsidR="00D775F7" w:rsidRPr="00231271" w:rsidRDefault="00D775F7" w:rsidP="00B8030C">
            <w:pPr>
              <w:spacing w:line="264" w:lineRule="auto"/>
              <w:contextualSpacing/>
              <w:jc w:val="right"/>
              <w:rPr>
                <w:rFonts w:ascii="Arial" w:hAnsi="Arial" w:cs="Arial"/>
                <w:color w:val="4F81BD" w:themeColor="accent1"/>
                <w:sz w:val="22"/>
                <w:szCs w:val="22"/>
              </w:rPr>
            </w:pPr>
          </w:p>
        </w:tc>
        <w:tc>
          <w:tcPr>
            <w:tcW w:w="1440" w:type="dxa"/>
            <w:tcBorders>
              <w:top w:val="dotted" w:sz="4" w:space="0" w:color="auto"/>
              <w:left w:val="nil"/>
              <w:bottom w:val="single" w:sz="8" w:space="0" w:color="auto"/>
              <w:right w:val="nil"/>
            </w:tcBorders>
            <w:shd w:val="clear" w:color="auto" w:fill="auto"/>
            <w:tcMar>
              <w:top w:w="43" w:type="dxa"/>
              <w:bottom w:w="43" w:type="dxa"/>
            </w:tcMar>
          </w:tcPr>
          <w:p w14:paraId="47C1CBAB" w14:textId="61C5EBD6" w:rsidR="00D775F7" w:rsidRPr="00231271" w:rsidRDefault="00006B9F" w:rsidP="00B8030C">
            <w:pPr>
              <w:spacing w:line="264" w:lineRule="auto"/>
              <w:contextualSpacing/>
              <w:jc w:val="right"/>
              <w:rPr>
                <w:rFonts w:ascii="Arial" w:hAnsi="Arial" w:cs="Arial"/>
                <w:color w:val="4F81BD" w:themeColor="accent1"/>
                <w:sz w:val="22"/>
                <w:szCs w:val="22"/>
              </w:rPr>
            </w:pPr>
            <w:r>
              <w:rPr>
                <w:rFonts w:ascii="Arial" w:hAnsi="Arial" w:cs="Arial"/>
                <w:color w:val="4F81BD" w:themeColor="accent1"/>
                <w:sz w:val="22"/>
                <w:szCs w:val="22"/>
              </w:rPr>
              <w:t>n/a</w:t>
            </w:r>
          </w:p>
        </w:tc>
      </w:tr>
      <w:tr w:rsidR="00C008AA" w:rsidRPr="00C008AA" w14:paraId="5541A9FD" w14:textId="77777777" w:rsidTr="00D9748B">
        <w:trPr>
          <w:cantSplit/>
        </w:trPr>
        <w:tc>
          <w:tcPr>
            <w:tcW w:w="572" w:type="dxa"/>
            <w:tcBorders>
              <w:top w:val="dotted" w:sz="4" w:space="0" w:color="auto"/>
              <w:left w:val="nil"/>
              <w:bottom w:val="single" w:sz="12" w:space="0" w:color="auto"/>
              <w:right w:val="nil"/>
            </w:tcBorders>
          </w:tcPr>
          <w:p w14:paraId="289CF846" w14:textId="77777777" w:rsidR="00842C59" w:rsidRPr="00C008AA" w:rsidRDefault="00842C59" w:rsidP="00B8030C">
            <w:pPr>
              <w:spacing w:line="264" w:lineRule="auto"/>
              <w:contextualSpacing/>
              <w:jc w:val="right"/>
              <w:rPr>
                <w:rFonts w:ascii="Arial" w:hAnsi="Arial" w:cs="Arial"/>
                <w:b/>
                <w:bCs/>
                <w:color w:val="4F81BD" w:themeColor="accent1"/>
                <w:sz w:val="22"/>
                <w:szCs w:val="22"/>
              </w:rPr>
            </w:pPr>
          </w:p>
        </w:tc>
        <w:tc>
          <w:tcPr>
            <w:tcW w:w="252" w:type="dxa"/>
            <w:tcBorders>
              <w:top w:val="nil"/>
              <w:left w:val="nil"/>
              <w:bottom w:val="single" w:sz="12" w:space="0" w:color="auto"/>
              <w:right w:val="nil"/>
            </w:tcBorders>
          </w:tcPr>
          <w:p w14:paraId="28ED59FE" w14:textId="77777777" w:rsidR="00842C59" w:rsidRPr="00C008AA" w:rsidRDefault="00842C59" w:rsidP="00B8030C">
            <w:pPr>
              <w:spacing w:line="264" w:lineRule="auto"/>
              <w:contextualSpacing/>
              <w:jc w:val="right"/>
              <w:rPr>
                <w:rFonts w:ascii="Arial" w:hAnsi="Arial" w:cs="Arial"/>
                <w:b/>
                <w:bCs/>
                <w:color w:val="4F81BD" w:themeColor="accent1"/>
                <w:sz w:val="22"/>
                <w:szCs w:val="22"/>
              </w:rPr>
            </w:pPr>
          </w:p>
        </w:tc>
        <w:tc>
          <w:tcPr>
            <w:tcW w:w="1156" w:type="dxa"/>
            <w:tcBorders>
              <w:top w:val="dotted" w:sz="4" w:space="0" w:color="auto"/>
              <w:left w:val="nil"/>
              <w:bottom w:val="single" w:sz="12" w:space="0" w:color="auto"/>
              <w:right w:val="nil"/>
            </w:tcBorders>
            <w:shd w:val="clear" w:color="auto" w:fill="auto"/>
            <w:tcMar>
              <w:top w:w="43" w:type="dxa"/>
              <w:left w:w="115" w:type="dxa"/>
              <w:bottom w:w="43" w:type="dxa"/>
              <w:right w:w="115" w:type="dxa"/>
            </w:tcMar>
          </w:tcPr>
          <w:p w14:paraId="34A22078" w14:textId="77777777" w:rsidR="00842C59" w:rsidRPr="00C008AA" w:rsidRDefault="00842C59" w:rsidP="00B8030C">
            <w:pPr>
              <w:spacing w:line="264" w:lineRule="auto"/>
              <w:contextualSpacing/>
              <w:jc w:val="right"/>
              <w:rPr>
                <w:rFonts w:ascii="Arial" w:hAnsi="Arial" w:cs="Arial"/>
                <w:b/>
                <w:bCs/>
                <w:color w:val="4F81BD" w:themeColor="accent1"/>
                <w:sz w:val="22"/>
                <w:szCs w:val="22"/>
              </w:rPr>
            </w:pPr>
          </w:p>
        </w:tc>
        <w:tc>
          <w:tcPr>
            <w:tcW w:w="270" w:type="dxa"/>
            <w:tcBorders>
              <w:top w:val="nil"/>
              <w:left w:val="nil"/>
              <w:bottom w:val="single" w:sz="12" w:space="0" w:color="auto"/>
              <w:right w:val="nil"/>
            </w:tcBorders>
          </w:tcPr>
          <w:p w14:paraId="4AC4621A" w14:textId="77777777" w:rsidR="00842C59" w:rsidRPr="00C008AA" w:rsidRDefault="00842C59" w:rsidP="00B8030C">
            <w:pPr>
              <w:spacing w:line="264" w:lineRule="auto"/>
              <w:contextualSpacing/>
              <w:jc w:val="right"/>
              <w:rPr>
                <w:rFonts w:ascii="Arial" w:hAnsi="Arial" w:cs="Arial"/>
                <w:b/>
                <w:color w:val="4F81BD" w:themeColor="accent1"/>
                <w:sz w:val="22"/>
                <w:szCs w:val="22"/>
              </w:rPr>
            </w:pPr>
          </w:p>
        </w:tc>
        <w:tc>
          <w:tcPr>
            <w:tcW w:w="5400" w:type="dxa"/>
            <w:tcBorders>
              <w:top w:val="dotted" w:sz="4" w:space="0" w:color="auto"/>
              <w:left w:val="nil"/>
              <w:bottom w:val="single" w:sz="12" w:space="0" w:color="auto"/>
              <w:right w:val="nil"/>
            </w:tcBorders>
            <w:shd w:val="clear" w:color="auto" w:fill="auto"/>
          </w:tcPr>
          <w:p w14:paraId="6AF4565C" w14:textId="553CFBCF" w:rsidR="00842C59" w:rsidRPr="00C008AA" w:rsidRDefault="00D775F7" w:rsidP="00B8030C">
            <w:pPr>
              <w:spacing w:line="264" w:lineRule="auto"/>
              <w:contextualSpacing/>
              <w:jc w:val="right"/>
              <w:rPr>
                <w:rFonts w:ascii="Arial" w:hAnsi="Arial" w:cs="Arial"/>
                <w:b/>
                <w:color w:val="4F81BD" w:themeColor="accent1"/>
                <w:sz w:val="22"/>
                <w:szCs w:val="22"/>
              </w:rPr>
            </w:pPr>
            <w:r>
              <w:rPr>
                <w:rFonts w:ascii="Arial" w:hAnsi="Arial" w:cs="Arial"/>
                <w:b/>
                <w:color w:val="4F81BD" w:themeColor="accent1"/>
                <w:sz w:val="22"/>
                <w:szCs w:val="22"/>
              </w:rPr>
              <w:t>TOTAL</w:t>
            </w:r>
          </w:p>
        </w:tc>
        <w:tc>
          <w:tcPr>
            <w:tcW w:w="270" w:type="dxa"/>
            <w:tcBorders>
              <w:top w:val="nil"/>
              <w:left w:val="nil"/>
              <w:bottom w:val="single" w:sz="12" w:space="0" w:color="auto"/>
              <w:right w:val="nil"/>
            </w:tcBorders>
          </w:tcPr>
          <w:p w14:paraId="3AA1FC3C" w14:textId="77777777" w:rsidR="00842C59" w:rsidRPr="00C008AA" w:rsidRDefault="00842C59" w:rsidP="00B8030C">
            <w:pPr>
              <w:spacing w:line="264" w:lineRule="auto"/>
              <w:contextualSpacing/>
              <w:jc w:val="right"/>
              <w:rPr>
                <w:rFonts w:ascii="Arial" w:hAnsi="Arial" w:cs="Arial"/>
                <w:b/>
                <w:color w:val="4F81BD" w:themeColor="accent1"/>
                <w:sz w:val="22"/>
                <w:szCs w:val="22"/>
              </w:rPr>
            </w:pPr>
          </w:p>
        </w:tc>
        <w:tc>
          <w:tcPr>
            <w:tcW w:w="1440" w:type="dxa"/>
            <w:tcBorders>
              <w:top w:val="single" w:sz="8" w:space="0" w:color="auto"/>
              <w:left w:val="nil"/>
              <w:bottom w:val="single" w:sz="12" w:space="0" w:color="auto"/>
              <w:right w:val="nil"/>
            </w:tcBorders>
            <w:shd w:val="clear" w:color="auto" w:fill="auto"/>
            <w:tcMar>
              <w:top w:w="43" w:type="dxa"/>
              <w:bottom w:w="43" w:type="dxa"/>
            </w:tcMar>
          </w:tcPr>
          <w:p w14:paraId="73566A87" w14:textId="40595DA0" w:rsidR="00842C59" w:rsidRPr="00C008AA" w:rsidRDefault="00460C67" w:rsidP="00B8030C">
            <w:pPr>
              <w:spacing w:line="264" w:lineRule="auto"/>
              <w:contextualSpacing/>
              <w:jc w:val="right"/>
              <w:rPr>
                <w:rFonts w:ascii="Arial" w:hAnsi="Arial" w:cs="Arial"/>
                <w:b/>
                <w:color w:val="4F81BD" w:themeColor="accent1"/>
                <w:sz w:val="22"/>
                <w:szCs w:val="22"/>
              </w:rPr>
            </w:pPr>
            <w:r>
              <w:rPr>
                <w:rFonts w:ascii="Arial" w:hAnsi="Arial" w:cs="Arial"/>
                <w:b/>
                <w:color w:val="4F81BD" w:themeColor="accent1"/>
                <w:sz w:val="22"/>
                <w:szCs w:val="22"/>
              </w:rPr>
              <w:t>$</w:t>
            </w:r>
            <w:r w:rsidR="00744787">
              <w:rPr>
                <w:rFonts w:ascii="Arial" w:hAnsi="Arial" w:cs="Arial"/>
                <w:b/>
                <w:color w:val="4F81BD" w:themeColor="accent1"/>
                <w:sz w:val="22"/>
                <w:szCs w:val="22"/>
              </w:rPr>
              <w:t>41,7</w:t>
            </w:r>
            <w:r w:rsidR="00E52210">
              <w:rPr>
                <w:rFonts w:ascii="Arial" w:hAnsi="Arial" w:cs="Arial"/>
                <w:b/>
                <w:color w:val="4F81BD" w:themeColor="accent1"/>
                <w:sz w:val="22"/>
                <w:szCs w:val="22"/>
              </w:rPr>
              <w:t>0</w:t>
            </w:r>
            <w:r w:rsidR="00744787">
              <w:rPr>
                <w:rFonts w:ascii="Arial" w:hAnsi="Arial" w:cs="Arial"/>
                <w:b/>
                <w:color w:val="4F81BD" w:themeColor="accent1"/>
                <w:sz w:val="22"/>
                <w:szCs w:val="22"/>
              </w:rPr>
              <w:t>6,000</w:t>
            </w:r>
          </w:p>
        </w:tc>
      </w:tr>
    </w:tbl>
    <w:p w14:paraId="20F0C932" w14:textId="77777777" w:rsidR="007D7908" w:rsidRDefault="007D7908" w:rsidP="000D356F">
      <w:pPr>
        <w:spacing w:line="264" w:lineRule="auto"/>
        <w:jc w:val="both"/>
        <w:rPr>
          <w:rFonts w:ascii="Arial" w:hAnsi="Arial" w:cs="Arial"/>
          <w:b/>
          <w:szCs w:val="24"/>
          <w:u w:val="single"/>
        </w:rPr>
      </w:pPr>
    </w:p>
    <w:p w14:paraId="0FCFEE51" w14:textId="5AB4078C" w:rsidR="00C76605" w:rsidRPr="00B72BC7" w:rsidRDefault="00C76605" w:rsidP="000D356F">
      <w:pPr>
        <w:spacing w:line="264" w:lineRule="auto"/>
        <w:jc w:val="both"/>
        <w:rPr>
          <w:rFonts w:ascii="Arial" w:hAnsi="Arial" w:cs="Arial"/>
          <w:b/>
          <w:szCs w:val="24"/>
          <w:u w:val="single"/>
        </w:rPr>
      </w:pPr>
      <w:r w:rsidRPr="00B72BC7">
        <w:rPr>
          <w:rFonts w:ascii="Arial" w:hAnsi="Arial" w:cs="Arial"/>
          <w:b/>
          <w:szCs w:val="24"/>
          <w:u w:val="single"/>
        </w:rPr>
        <w:t>INVITED</w:t>
      </w:r>
    </w:p>
    <w:p w14:paraId="36F66062" w14:textId="77777777" w:rsidR="00C76605" w:rsidRPr="00B72BC7" w:rsidRDefault="00C76605" w:rsidP="000D356F">
      <w:pPr>
        <w:spacing w:line="264" w:lineRule="auto"/>
        <w:jc w:val="both"/>
        <w:rPr>
          <w:rFonts w:ascii="Arial" w:hAnsi="Arial" w:cs="Arial"/>
          <w:szCs w:val="24"/>
          <w:highlight w:val="yellow"/>
        </w:rPr>
      </w:pPr>
    </w:p>
    <w:p w14:paraId="24DC69F8" w14:textId="77777777" w:rsidR="00C76605" w:rsidRDefault="00C76605" w:rsidP="000D356F">
      <w:pPr>
        <w:pStyle w:val="ListParagraph0"/>
        <w:numPr>
          <w:ilvl w:val="0"/>
          <w:numId w:val="4"/>
        </w:numPr>
        <w:spacing w:line="264" w:lineRule="auto"/>
        <w:jc w:val="both"/>
        <w:rPr>
          <w:rFonts w:ascii="Arial" w:hAnsi="Arial" w:cs="Arial"/>
        </w:rPr>
      </w:pPr>
      <w:r w:rsidRPr="00B72BC7">
        <w:rPr>
          <w:rFonts w:ascii="Arial" w:hAnsi="Arial" w:cs="Arial"/>
        </w:rPr>
        <w:t>Dwight Dively, Director, Office of Performance, Strategy, and Budget (PSB)</w:t>
      </w:r>
    </w:p>
    <w:p w14:paraId="0BB4941B" w14:textId="7C2A862B" w:rsidR="008332D7" w:rsidRDefault="008332D7" w:rsidP="000D356F">
      <w:pPr>
        <w:pStyle w:val="ListParagraph0"/>
        <w:numPr>
          <w:ilvl w:val="0"/>
          <w:numId w:val="4"/>
        </w:numPr>
        <w:spacing w:line="264" w:lineRule="auto"/>
        <w:jc w:val="both"/>
        <w:rPr>
          <w:rFonts w:ascii="Arial" w:hAnsi="Arial" w:cs="Arial"/>
        </w:rPr>
      </w:pPr>
      <w:r>
        <w:rPr>
          <w:rFonts w:ascii="Arial" w:hAnsi="Arial" w:cs="Arial"/>
        </w:rPr>
        <w:t xml:space="preserve">John Wilson, </w:t>
      </w:r>
      <w:r w:rsidR="00DD3A65">
        <w:rPr>
          <w:rFonts w:ascii="Arial" w:hAnsi="Arial" w:cs="Arial"/>
        </w:rPr>
        <w:t xml:space="preserve">King County </w:t>
      </w:r>
      <w:r>
        <w:rPr>
          <w:rFonts w:ascii="Arial" w:hAnsi="Arial" w:cs="Arial"/>
        </w:rPr>
        <w:t>Assessor</w:t>
      </w:r>
    </w:p>
    <w:p w14:paraId="60183A48" w14:textId="77777777" w:rsidR="0090132F" w:rsidRDefault="0090132F" w:rsidP="000D356F">
      <w:pPr>
        <w:pStyle w:val="BodyText"/>
        <w:spacing w:line="264" w:lineRule="auto"/>
        <w:jc w:val="both"/>
        <w:rPr>
          <w:rFonts w:ascii="Arial" w:hAnsi="Arial" w:cs="Arial"/>
          <w:b/>
          <w:i w:val="0"/>
          <w:szCs w:val="24"/>
          <w:u w:val="single"/>
        </w:rPr>
      </w:pPr>
    </w:p>
    <w:p w14:paraId="317262F7" w14:textId="57653111" w:rsidR="00C76605" w:rsidRPr="00B72BC7" w:rsidRDefault="00C76605" w:rsidP="000D356F">
      <w:pPr>
        <w:pStyle w:val="BodyText"/>
        <w:spacing w:line="264" w:lineRule="auto"/>
        <w:jc w:val="both"/>
        <w:rPr>
          <w:rFonts w:ascii="Arial" w:hAnsi="Arial" w:cs="Arial"/>
          <w:b/>
          <w:i w:val="0"/>
          <w:szCs w:val="24"/>
          <w:u w:val="single"/>
        </w:rPr>
      </w:pPr>
      <w:r w:rsidRPr="00B72BC7">
        <w:rPr>
          <w:rFonts w:ascii="Arial" w:hAnsi="Arial" w:cs="Arial"/>
          <w:b/>
          <w:i w:val="0"/>
          <w:szCs w:val="24"/>
          <w:u w:val="single"/>
        </w:rPr>
        <w:t>ATTACHMENTS</w:t>
      </w:r>
    </w:p>
    <w:p w14:paraId="0C4B655E" w14:textId="77777777" w:rsidR="00C76605" w:rsidRDefault="00C76605" w:rsidP="000D356F">
      <w:pPr>
        <w:pStyle w:val="BodyText"/>
        <w:spacing w:line="264" w:lineRule="auto"/>
        <w:jc w:val="both"/>
        <w:rPr>
          <w:rFonts w:ascii="Arial" w:hAnsi="Arial" w:cs="Arial"/>
          <w:i w:val="0"/>
          <w:szCs w:val="24"/>
        </w:rPr>
      </w:pPr>
    </w:p>
    <w:p w14:paraId="437C6D23" w14:textId="1C103E33" w:rsidR="00C76605" w:rsidRDefault="00C76605" w:rsidP="000D356F">
      <w:pPr>
        <w:pStyle w:val="BodyText"/>
        <w:numPr>
          <w:ilvl w:val="0"/>
          <w:numId w:val="1"/>
        </w:numPr>
        <w:spacing w:line="264" w:lineRule="auto"/>
        <w:rPr>
          <w:rFonts w:ascii="Arial" w:hAnsi="Arial" w:cs="Arial"/>
          <w:i w:val="0"/>
          <w:szCs w:val="24"/>
        </w:rPr>
      </w:pPr>
      <w:r w:rsidRPr="00B72BC7">
        <w:rPr>
          <w:rFonts w:ascii="Arial" w:hAnsi="Arial" w:cs="Arial"/>
          <w:i w:val="0"/>
          <w:szCs w:val="24"/>
        </w:rPr>
        <w:t>Proposed Ordinance</w:t>
      </w:r>
      <w:r>
        <w:rPr>
          <w:rFonts w:ascii="Arial" w:hAnsi="Arial" w:cs="Arial"/>
          <w:i w:val="0"/>
          <w:szCs w:val="24"/>
        </w:rPr>
        <w:t xml:space="preserve"> </w:t>
      </w:r>
      <w:r w:rsidR="00EB3EE6">
        <w:rPr>
          <w:rFonts w:ascii="Arial" w:hAnsi="Arial" w:cs="Arial"/>
          <w:i w:val="0"/>
          <w:szCs w:val="24"/>
        </w:rPr>
        <w:t>2021</w:t>
      </w:r>
      <w:r w:rsidRPr="00B72BC7">
        <w:rPr>
          <w:rFonts w:ascii="Arial" w:hAnsi="Arial" w:cs="Arial"/>
          <w:i w:val="0"/>
          <w:szCs w:val="24"/>
        </w:rPr>
        <w:t>-</w:t>
      </w:r>
      <w:r w:rsidR="00EB3EE6">
        <w:rPr>
          <w:rFonts w:ascii="Arial" w:hAnsi="Arial" w:cs="Arial"/>
          <w:i w:val="0"/>
          <w:szCs w:val="24"/>
        </w:rPr>
        <w:t>0</w:t>
      </w:r>
      <w:r w:rsidR="0005100C">
        <w:rPr>
          <w:rFonts w:ascii="Arial" w:hAnsi="Arial" w:cs="Arial"/>
          <w:i w:val="0"/>
          <w:szCs w:val="24"/>
        </w:rPr>
        <w:t>372</w:t>
      </w:r>
      <w:r>
        <w:rPr>
          <w:rFonts w:ascii="Arial" w:hAnsi="Arial" w:cs="Arial"/>
          <w:i w:val="0"/>
          <w:szCs w:val="24"/>
        </w:rPr>
        <w:t xml:space="preserve"> and the following attachment:</w:t>
      </w:r>
    </w:p>
    <w:p w14:paraId="1773B514" w14:textId="280218C9" w:rsidR="00C76605" w:rsidRDefault="00C76605" w:rsidP="00381050">
      <w:pPr>
        <w:pStyle w:val="BodyText"/>
        <w:numPr>
          <w:ilvl w:val="1"/>
          <w:numId w:val="10"/>
        </w:numPr>
        <w:spacing w:line="264" w:lineRule="auto"/>
        <w:rPr>
          <w:rFonts w:ascii="Arial" w:hAnsi="Arial" w:cs="Arial"/>
          <w:i w:val="0"/>
          <w:szCs w:val="24"/>
        </w:rPr>
      </w:pPr>
      <w:r w:rsidRPr="006F06A2">
        <w:rPr>
          <w:rFonts w:ascii="Arial" w:hAnsi="Arial" w:cs="Arial"/>
          <w:i w:val="0"/>
          <w:szCs w:val="24"/>
        </w:rPr>
        <w:t>Capital</w:t>
      </w:r>
      <w:r>
        <w:rPr>
          <w:rFonts w:ascii="Arial" w:hAnsi="Arial" w:cs="Arial"/>
          <w:i w:val="0"/>
          <w:szCs w:val="24"/>
        </w:rPr>
        <w:t xml:space="preserve"> Improvement Program Dated </w:t>
      </w:r>
      <w:r w:rsidR="00BB4E48">
        <w:rPr>
          <w:rFonts w:ascii="Arial" w:hAnsi="Arial" w:cs="Arial"/>
          <w:i w:val="0"/>
          <w:szCs w:val="24"/>
        </w:rPr>
        <w:t>September 15, 2021</w:t>
      </w:r>
    </w:p>
    <w:p w14:paraId="0C5348AF" w14:textId="433F6C4E" w:rsidR="00BB4E48" w:rsidRDefault="00BB4E48" w:rsidP="000D356F">
      <w:pPr>
        <w:pStyle w:val="BodyText"/>
        <w:numPr>
          <w:ilvl w:val="0"/>
          <w:numId w:val="1"/>
        </w:numPr>
        <w:spacing w:line="264" w:lineRule="auto"/>
        <w:rPr>
          <w:rFonts w:ascii="Arial" w:hAnsi="Arial" w:cs="Arial"/>
          <w:i w:val="0"/>
          <w:szCs w:val="24"/>
        </w:rPr>
      </w:pPr>
      <w:r>
        <w:rPr>
          <w:rFonts w:ascii="Arial" w:hAnsi="Arial" w:cs="Arial"/>
          <w:i w:val="0"/>
          <w:szCs w:val="24"/>
        </w:rPr>
        <w:lastRenderedPageBreak/>
        <w:t>Striking Amendment S1 and the following attachment:</w:t>
      </w:r>
    </w:p>
    <w:p w14:paraId="732AD47C" w14:textId="630D0EF0" w:rsidR="00BB4E48" w:rsidRDefault="00BB4E48" w:rsidP="00BB4E48">
      <w:pPr>
        <w:pStyle w:val="BodyText"/>
        <w:numPr>
          <w:ilvl w:val="1"/>
          <w:numId w:val="1"/>
        </w:numPr>
        <w:spacing w:line="264" w:lineRule="auto"/>
        <w:rPr>
          <w:rFonts w:ascii="Arial" w:hAnsi="Arial" w:cs="Arial"/>
          <w:i w:val="0"/>
          <w:szCs w:val="24"/>
        </w:rPr>
      </w:pPr>
      <w:r w:rsidRPr="006F06A2">
        <w:rPr>
          <w:rFonts w:ascii="Arial" w:hAnsi="Arial" w:cs="Arial"/>
          <w:i w:val="0"/>
          <w:szCs w:val="24"/>
        </w:rPr>
        <w:t>Capital</w:t>
      </w:r>
      <w:r>
        <w:rPr>
          <w:rFonts w:ascii="Arial" w:hAnsi="Arial" w:cs="Arial"/>
          <w:i w:val="0"/>
          <w:szCs w:val="24"/>
        </w:rPr>
        <w:t xml:space="preserve"> Improvement Program Dated November 16, 2021</w:t>
      </w:r>
    </w:p>
    <w:p w14:paraId="0702EADA" w14:textId="44958DC3" w:rsidR="00BB4E48" w:rsidRDefault="00BB4E48" w:rsidP="00BB4E48">
      <w:pPr>
        <w:pStyle w:val="BodyText"/>
        <w:numPr>
          <w:ilvl w:val="0"/>
          <w:numId w:val="1"/>
        </w:numPr>
        <w:spacing w:line="264" w:lineRule="auto"/>
        <w:rPr>
          <w:rFonts w:ascii="Arial" w:hAnsi="Arial" w:cs="Arial"/>
          <w:i w:val="0"/>
          <w:szCs w:val="24"/>
        </w:rPr>
      </w:pPr>
      <w:r>
        <w:rPr>
          <w:rFonts w:ascii="Arial" w:hAnsi="Arial" w:cs="Arial"/>
          <w:i w:val="0"/>
          <w:szCs w:val="24"/>
        </w:rPr>
        <w:t>Title Amendment T1</w:t>
      </w:r>
    </w:p>
    <w:p w14:paraId="3825DC9B" w14:textId="34A11C3A" w:rsidR="00524221" w:rsidRDefault="00524221" w:rsidP="00BB4E48">
      <w:pPr>
        <w:pStyle w:val="BodyText"/>
        <w:numPr>
          <w:ilvl w:val="0"/>
          <w:numId w:val="1"/>
        </w:numPr>
        <w:spacing w:line="264" w:lineRule="auto"/>
        <w:rPr>
          <w:rFonts w:ascii="Arial" w:hAnsi="Arial" w:cs="Arial"/>
          <w:i w:val="0"/>
          <w:szCs w:val="24"/>
        </w:rPr>
      </w:pPr>
      <w:r>
        <w:rPr>
          <w:rFonts w:ascii="Arial" w:hAnsi="Arial" w:cs="Arial"/>
          <w:i w:val="0"/>
          <w:szCs w:val="24"/>
        </w:rPr>
        <w:t>Amendment Tracker (to be distributed</w:t>
      </w:r>
      <w:r w:rsidR="00541B44">
        <w:rPr>
          <w:rFonts w:ascii="Arial" w:hAnsi="Arial" w:cs="Arial"/>
          <w:i w:val="0"/>
          <w:szCs w:val="24"/>
        </w:rPr>
        <w:t>, if available</w:t>
      </w:r>
      <w:r>
        <w:rPr>
          <w:rFonts w:ascii="Arial" w:hAnsi="Arial" w:cs="Arial"/>
          <w:i w:val="0"/>
          <w:szCs w:val="24"/>
        </w:rPr>
        <w:t>)</w:t>
      </w:r>
    </w:p>
    <w:p w14:paraId="61C95278" w14:textId="1813C807" w:rsidR="00526342" w:rsidRDefault="006D55DD" w:rsidP="00526342">
      <w:pPr>
        <w:pStyle w:val="BodyText"/>
        <w:numPr>
          <w:ilvl w:val="0"/>
          <w:numId w:val="1"/>
        </w:numPr>
        <w:spacing w:line="264" w:lineRule="auto"/>
        <w:rPr>
          <w:rFonts w:ascii="Arial" w:hAnsi="Arial" w:cs="Arial"/>
          <w:i w:val="0"/>
          <w:szCs w:val="24"/>
        </w:rPr>
      </w:pPr>
      <w:r>
        <w:rPr>
          <w:rFonts w:ascii="Arial" w:hAnsi="Arial" w:cs="Arial"/>
          <w:i w:val="0"/>
          <w:szCs w:val="24"/>
        </w:rPr>
        <w:t>Line Amendments to the Striking Amendment (to be distributed</w:t>
      </w:r>
      <w:r w:rsidR="00541B44">
        <w:rPr>
          <w:rFonts w:ascii="Arial" w:hAnsi="Arial" w:cs="Arial"/>
          <w:i w:val="0"/>
          <w:szCs w:val="24"/>
        </w:rPr>
        <w:t>, if available</w:t>
      </w:r>
      <w:r>
        <w:rPr>
          <w:rFonts w:ascii="Arial" w:hAnsi="Arial" w:cs="Arial"/>
          <w:i w:val="0"/>
          <w:szCs w:val="24"/>
        </w:rPr>
        <w:t>)</w:t>
      </w:r>
    </w:p>
    <w:p w14:paraId="4CF6802E" w14:textId="66B01645" w:rsidR="00C76605" w:rsidRDefault="00C76605" w:rsidP="000D356F">
      <w:pPr>
        <w:pStyle w:val="BodyText"/>
        <w:numPr>
          <w:ilvl w:val="0"/>
          <w:numId w:val="1"/>
        </w:numPr>
        <w:spacing w:line="264" w:lineRule="auto"/>
        <w:rPr>
          <w:rFonts w:ascii="Arial" w:hAnsi="Arial" w:cs="Arial"/>
          <w:i w:val="0"/>
          <w:szCs w:val="24"/>
        </w:rPr>
      </w:pPr>
      <w:r w:rsidRPr="00B72BC7">
        <w:rPr>
          <w:rFonts w:ascii="Arial" w:hAnsi="Arial" w:cs="Arial"/>
          <w:i w:val="0"/>
          <w:szCs w:val="24"/>
        </w:rPr>
        <w:t>Transmittal Letter</w:t>
      </w:r>
    </w:p>
    <w:p w14:paraId="27A03C3B" w14:textId="52E86B1C" w:rsidR="00C76605" w:rsidRPr="00B72BC7" w:rsidRDefault="00C76605" w:rsidP="000D356F">
      <w:pPr>
        <w:pStyle w:val="BodyText"/>
        <w:numPr>
          <w:ilvl w:val="0"/>
          <w:numId w:val="1"/>
        </w:numPr>
        <w:spacing w:line="264" w:lineRule="auto"/>
        <w:rPr>
          <w:rFonts w:ascii="Arial" w:hAnsi="Arial" w:cs="Arial"/>
          <w:i w:val="0"/>
          <w:szCs w:val="24"/>
        </w:rPr>
      </w:pPr>
      <w:r>
        <w:rPr>
          <w:rFonts w:ascii="Arial" w:hAnsi="Arial" w:cs="Arial"/>
          <w:i w:val="0"/>
          <w:szCs w:val="24"/>
        </w:rPr>
        <w:t xml:space="preserve">All Fiscal Notes </w:t>
      </w:r>
    </w:p>
    <w:p w14:paraId="49335CE7" w14:textId="3961FDD2" w:rsidR="00C76605" w:rsidRDefault="00C76605" w:rsidP="000D356F">
      <w:pPr>
        <w:pStyle w:val="BodyText"/>
        <w:numPr>
          <w:ilvl w:val="0"/>
          <w:numId w:val="1"/>
        </w:numPr>
        <w:spacing w:line="264" w:lineRule="auto"/>
        <w:rPr>
          <w:rFonts w:ascii="Arial" w:hAnsi="Arial" w:cs="Arial"/>
          <w:i w:val="0"/>
          <w:szCs w:val="24"/>
        </w:rPr>
      </w:pPr>
      <w:r>
        <w:rPr>
          <w:rFonts w:ascii="Arial" w:hAnsi="Arial" w:cs="Arial"/>
          <w:i w:val="0"/>
          <w:szCs w:val="24"/>
        </w:rPr>
        <w:t xml:space="preserve">All </w:t>
      </w:r>
      <w:r w:rsidRPr="00B72BC7">
        <w:rPr>
          <w:rFonts w:ascii="Arial" w:hAnsi="Arial" w:cs="Arial"/>
          <w:i w:val="0"/>
          <w:szCs w:val="24"/>
        </w:rPr>
        <w:t>Financial Plans</w:t>
      </w:r>
      <w:r>
        <w:rPr>
          <w:rFonts w:ascii="Arial" w:hAnsi="Arial" w:cs="Arial"/>
          <w:i w:val="0"/>
          <w:szCs w:val="24"/>
        </w:rPr>
        <w:t xml:space="preserve"> </w:t>
      </w:r>
    </w:p>
    <w:p w14:paraId="50C67762" w14:textId="7D58B29A" w:rsidR="00E034E5" w:rsidRPr="00E034E5" w:rsidRDefault="00E034E5" w:rsidP="00E034E5">
      <w:pPr>
        <w:pStyle w:val="BodyText"/>
        <w:numPr>
          <w:ilvl w:val="0"/>
          <w:numId w:val="1"/>
        </w:numPr>
        <w:spacing w:line="264" w:lineRule="auto"/>
        <w:jc w:val="both"/>
        <w:rPr>
          <w:rFonts w:ascii="Arial" w:hAnsi="Arial" w:cs="Arial"/>
          <w:i w:val="0"/>
          <w:szCs w:val="24"/>
        </w:rPr>
      </w:pPr>
      <w:r>
        <w:rPr>
          <w:rFonts w:ascii="Arial" w:hAnsi="Arial" w:cs="Arial"/>
          <w:i w:val="0"/>
          <w:szCs w:val="24"/>
        </w:rPr>
        <w:t>General Fund Financial Plan</w:t>
      </w:r>
      <w:r w:rsidR="00382A43">
        <w:rPr>
          <w:rFonts w:ascii="Arial" w:hAnsi="Arial" w:cs="Arial"/>
          <w:i w:val="0"/>
          <w:szCs w:val="24"/>
        </w:rPr>
        <w:t xml:space="preserve"> (Updated September 2021)</w:t>
      </w:r>
    </w:p>
    <w:p w14:paraId="006F7E26" w14:textId="2D39C275" w:rsidR="00C76605" w:rsidRPr="00C76605" w:rsidRDefault="00C76605" w:rsidP="000D356F">
      <w:pPr>
        <w:pStyle w:val="BodyText"/>
        <w:numPr>
          <w:ilvl w:val="0"/>
          <w:numId w:val="1"/>
        </w:numPr>
        <w:spacing w:line="264" w:lineRule="auto"/>
        <w:jc w:val="both"/>
        <w:rPr>
          <w:rFonts w:ascii="Arial" w:hAnsi="Arial" w:cs="Arial"/>
          <w:i w:val="0"/>
          <w:szCs w:val="24"/>
        </w:rPr>
      </w:pPr>
      <w:r w:rsidRPr="00C76605">
        <w:rPr>
          <w:rFonts w:ascii="Arial" w:hAnsi="Arial" w:cs="Arial"/>
          <w:i w:val="0"/>
          <w:szCs w:val="24"/>
        </w:rPr>
        <w:t>202</w:t>
      </w:r>
      <w:r w:rsidR="00C127A8">
        <w:rPr>
          <w:rFonts w:ascii="Arial" w:hAnsi="Arial" w:cs="Arial"/>
          <w:i w:val="0"/>
          <w:szCs w:val="24"/>
        </w:rPr>
        <w:t>1</w:t>
      </w:r>
      <w:r w:rsidRPr="00C76605">
        <w:rPr>
          <w:rFonts w:ascii="Arial" w:hAnsi="Arial" w:cs="Arial"/>
          <w:i w:val="0"/>
          <w:szCs w:val="24"/>
        </w:rPr>
        <w:t xml:space="preserve"> </w:t>
      </w:r>
      <w:r w:rsidR="00382A43">
        <w:rPr>
          <w:rFonts w:ascii="Arial" w:hAnsi="Arial" w:cs="Arial"/>
          <w:i w:val="0"/>
          <w:szCs w:val="24"/>
        </w:rPr>
        <w:t>2</w:t>
      </w:r>
      <w:r w:rsidR="00382A43" w:rsidRPr="00382A43">
        <w:rPr>
          <w:rFonts w:ascii="Arial" w:hAnsi="Arial" w:cs="Arial"/>
          <w:i w:val="0"/>
          <w:szCs w:val="24"/>
          <w:vertAlign w:val="superscript"/>
        </w:rPr>
        <w:t>nd</w:t>
      </w:r>
      <w:r w:rsidR="00382A43">
        <w:rPr>
          <w:rFonts w:ascii="Arial" w:hAnsi="Arial" w:cs="Arial"/>
          <w:i w:val="0"/>
          <w:szCs w:val="24"/>
        </w:rPr>
        <w:t xml:space="preserve"> </w:t>
      </w:r>
      <w:r w:rsidRPr="00C76605">
        <w:rPr>
          <w:rFonts w:ascii="Arial" w:hAnsi="Arial" w:cs="Arial"/>
          <w:i w:val="0"/>
          <w:szCs w:val="24"/>
        </w:rPr>
        <w:t>Omnibus Crosswalk</w:t>
      </w:r>
    </w:p>
    <w:sectPr w:rsidR="00C76605" w:rsidRPr="00C76605" w:rsidSect="00C75025">
      <w:footerReference w:type="default" r:id="rId12"/>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7C9C" w14:textId="77777777" w:rsidR="00AB077A" w:rsidRDefault="00AB077A">
      <w:r>
        <w:separator/>
      </w:r>
    </w:p>
  </w:endnote>
  <w:endnote w:type="continuationSeparator" w:id="0">
    <w:p w14:paraId="798DD1AF" w14:textId="77777777" w:rsidR="00AB077A" w:rsidRDefault="00AB077A">
      <w:r>
        <w:continuationSeparator/>
      </w:r>
    </w:p>
  </w:endnote>
  <w:endnote w:type="continuationNotice" w:id="1">
    <w:p w14:paraId="5B6A0A5A" w14:textId="77777777" w:rsidR="00AB077A" w:rsidRDefault="00AB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6178" w14:textId="0F01CCE0" w:rsidR="00235E2C" w:rsidRDefault="00235E2C" w:rsidP="00235E2C">
    <w:pPr>
      <w:pStyle w:val="Footer"/>
      <w:jc w:val="center"/>
    </w:pPr>
    <w:r>
      <w:fldChar w:fldCharType="begin"/>
    </w:r>
    <w:r>
      <w:instrText xml:space="preserve"> PAGE   \* MERGEFORMAT </w:instrText>
    </w:r>
    <w:r>
      <w:fldChar w:fldCharType="separate"/>
    </w:r>
    <w:r>
      <w:rPr>
        <w:noProof/>
      </w:rPr>
      <w:t>1</w:t>
    </w:r>
    <w:r>
      <w:fldChar w:fldCharType="end"/>
    </w:r>
    <w:r>
      <w:t xml:space="preserve"> of </w:t>
    </w:r>
    <w:r w:rsidR="00C240C0">
      <w:fldChar w:fldCharType="begin"/>
    </w:r>
    <w:r w:rsidR="00C240C0">
      <w:instrText xml:space="preserve"> NUMPAGES   \* MERGEFORMAT </w:instrText>
    </w:r>
    <w:r w:rsidR="00C240C0">
      <w:fldChar w:fldCharType="separate"/>
    </w:r>
    <w:r>
      <w:rPr>
        <w:noProof/>
      </w:rPr>
      <w:t>89</w:t>
    </w:r>
    <w:r w:rsidR="00C240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77F91" w14:textId="77777777" w:rsidR="00AB077A" w:rsidRDefault="00AB077A">
      <w:r>
        <w:separator/>
      </w:r>
    </w:p>
  </w:footnote>
  <w:footnote w:type="continuationSeparator" w:id="0">
    <w:p w14:paraId="73BBE2CB" w14:textId="77777777" w:rsidR="00AB077A" w:rsidRDefault="00AB077A">
      <w:r>
        <w:continuationSeparator/>
      </w:r>
    </w:p>
  </w:footnote>
  <w:footnote w:type="continuationNotice" w:id="1">
    <w:p w14:paraId="1A6918CB" w14:textId="77777777" w:rsidR="00AB077A" w:rsidRDefault="00AB077A"/>
  </w:footnote>
  <w:footnote w:id="2">
    <w:p w14:paraId="576A661F" w14:textId="5F370AAF" w:rsidR="006D2FB4" w:rsidRDefault="006D2FB4">
      <w:pPr>
        <w:pStyle w:val="FootnoteText"/>
      </w:pPr>
      <w:r>
        <w:rPr>
          <w:rStyle w:val="FootnoteReference"/>
        </w:rPr>
        <w:footnoteRef/>
      </w:r>
      <w:r>
        <w:t xml:space="preserve"> Ordinance 19210.</w:t>
      </w:r>
    </w:p>
  </w:footnote>
  <w:footnote w:id="3">
    <w:p w14:paraId="2ADC53A6" w14:textId="4C598CCF" w:rsidR="006D2FB4" w:rsidRDefault="006D2FB4" w:rsidP="006D2FB4">
      <w:pPr>
        <w:pStyle w:val="FootnoteText"/>
      </w:pPr>
      <w:r>
        <w:rPr>
          <w:rStyle w:val="FootnoteReference"/>
        </w:rPr>
        <w:footnoteRef/>
      </w:r>
      <w:r>
        <w:t xml:space="preserve"> Ordinance 19230, enacted February 12, 2021; Ordinance 19253, enacted March 25, 2021; Ordinance 19265, enacted April 2, 2021; Ordinance 19264, enacted April 2, 2021</w:t>
      </w:r>
      <w:r w:rsidR="00575A4B">
        <w:t>; Ordinance</w:t>
      </w:r>
      <w:r w:rsidR="004A21C3">
        <w:t xml:space="preserve"> </w:t>
      </w:r>
      <w:r w:rsidR="004A21C3" w:rsidRPr="004A21C3">
        <w:t>19289</w:t>
      </w:r>
      <w:r w:rsidR="004A21C3">
        <w:t xml:space="preserve">, enacted June 11, 2021; </w:t>
      </w:r>
      <w:r w:rsidR="00CD78AF">
        <w:t xml:space="preserve">Ordinance 19295, enacted June 17, 2021; </w:t>
      </w:r>
      <w:r w:rsidR="006A6901">
        <w:t>Ordinance 19293</w:t>
      </w:r>
      <w:r w:rsidR="00FE7AC0">
        <w:t xml:space="preserve">, enacted June </w:t>
      </w:r>
      <w:r w:rsidR="00196C9D">
        <w:t xml:space="preserve">17, 2021; </w:t>
      </w:r>
      <w:r w:rsidR="00A907BB">
        <w:t xml:space="preserve">Ordinance </w:t>
      </w:r>
      <w:r w:rsidR="00A907BB" w:rsidRPr="00A907BB">
        <w:t>19307</w:t>
      </w:r>
      <w:r w:rsidR="00A907BB">
        <w:t xml:space="preserve">, enacted June 22, 2021; Ordinance </w:t>
      </w:r>
      <w:r w:rsidR="00CC14F0">
        <w:t xml:space="preserve">19319, enacted August 12, 2021; </w:t>
      </w:r>
      <w:r w:rsidR="009D0C8A">
        <w:t xml:space="preserve">Ordinance 19318, enacted August 12, 2021; </w:t>
      </w:r>
      <w:r w:rsidR="007965DD">
        <w:t xml:space="preserve">Ordinance 19337, enacted </w:t>
      </w:r>
      <w:r w:rsidR="008C51A4">
        <w:t>September 29, 2021; Ordinance 19335, enacted September 29, 2021.</w:t>
      </w:r>
      <w:r>
        <w:tab/>
      </w:r>
      <w:r>
        <w:tab/>
      </w:r>
      <w:r>
        <w:tab/>
      </w:r>
      <w:r>
        <w:tab/>
      </w:r>
      <w:r>
        <w:tab/>
      </w:r>
      <w:r>
        <w:tab/>
      </w:r>
      <w:r>
        <w:tab/>
      </w:r>
      <w:r>
        <w:tab/>
      </w:r>
      <w:r>
        <w:tab/>
      </w:r>
      <w:r>
        <w:tab/>
      </w:r>
      <w:r>
        <w:tab/>
      </w:r>
      <w:r>
        <w:tab/>
      </w:r>
      <w:r>
        <w:tab/>
      </w:r>
      <w:r>
        <w:tab/>
      </w:r>
      <w:r>
        <w:tab/>
      </w:r>
    </w:p>
  </w:footnote>
  <w:footnote w:id="4">
    <w:p w14:paraId="4001A890" w14:textId="3C5783E2" w:rsidR="005F79BC" w:rsidRDefault="005F79BC">
      <w:pPr>
        <w:pStyle w:val="FootnoteText"/>
      </w:pPr>
      <w:r>
        <w:rPr>
          <w:rStyle w:val="FootnoteReference"/>
        </w:rPr>
        <w:footnoteRef/>
      </w:r>
      <w:r>
        <w:t xml:space="preserve"> The </w:t>
      </w:r>
      <w:r w:rsidR="00B62C80">
        <w:t xml:space="preserve">revenue difference compares the August 2020 Office of Economic and Financial Analysis (OEFA) </w:t>
      </w:r>
      <w:r w:rsidR="008226A7">
        <w:t xml:space="preserve">to the August 2021 OEFA forecast. LINK: </w:t>
      </w:r>
      <w:hyperlink r:id="rId1" w:history="1">
        <w:r w:rsidR="008226A7" w:rsidRPr="006367A2">
          <w:rPr>
            <w:rStyle w:val="Hyperlink"/>
          </w:rPr>
          <w:t>https://kingcounty.gov/independent/forecasting/King%20County%20Economic%20and%20Revenue%20Forecast%20Archive.aspx</w:t>
        </w:r>
      </w:hyperlink>
      <w:r w:rsidR="008226A7">
        <w:t xml:space="preserve">. </w:t>
      </w:r>
    </w:p>
  </w:footnote>
  <w:footnote w:id="5">
    <w:p w14:paraId="1FDA4134" w14:textId="21B554EF" w:rsidR="00F9003E" w:rsidRDefault="00F9003E">
      <w:pPr>
        <w:pStyle w:val="FootnoteText"/>
      </w:pPr>
      <w:r>
        <w:rPr>
          <w:rStyle w:val="FootnoteReference"/>
        </w:rPr>
        <w:footnoteRef/>
      </w:r>
      <w:r>
        <w:t xml:space="preserve"> Reappropriations are a</w:t>
      </w:r>
      <w:r w:rsidRPr="00F9003E">
        <w:t>ppropriation request of funds that were already approved for a previous biennial budget but that have not been spent, have lapsed, and would require council approval for use in the 2021-2022 biennium</w:t>
      </w:r>
      <w:r>
        <w:t>.</w:t>
      </w:r>
    </w:p>
  </w:footnote>
  <w:footnote w:id="6">
    <w:p w14:paraId="25048DA9" w14:textId="19F6BB07" w:rsidR="00F9003E" w:rsidRDefault="00F9003E">
      <w:pPr>
        <w:pStyle w:val="FootnoteText"/>
      </w:pPr>
      <w:r>
        <w:rPr>
          <w:rStyle w:val="FootnoteReference"/>
        </w:rPr>
        <w:footnoteRef/>
      </w:r>
      <w:r>
        <w:t xml:space="preserve"> Technical adjustments are a</w:t>
      </w:r>
      <w:r w:rsidRPr="00F9003E">
        <w:t>ppropriation request that make technical accounting changes necessary to carry out policy direction approved during the 2021-2022 Adopted Biennial Budget or correct any other technical errors.</w:t>
      </w:r>
    </w:p>
  </w:footnote>
  <w:footnote w:id="7">
    <w:p w14:paraId="4B2E3FC3" w14:textId="77777777" w:rsidR="00485872" w:rsidRDefault="00485872" w:rsidP="00485872">
      <w:pPr>
        <w:pStyle w:val="FootnoteText"/>
      </w:pPr>
      <w:r>
        <w:rPr>
          <w:rStyle w:val="FootnoteReference"/>
        </w:rPr>
        <w:footnoteRef/>
      </w:r>
      <w:r>
        <w:t xml:space="preserve"> LINK: </w:t>
      </w:r>
      <w:hyperlink r:id="rId2" w:anchor=":~:text=The%20new%20Carbon%20Neutral%20Implementation,2025%20and%2080%25%20by%202030" w:history="1">
        <w:r w:rsidRPr="006367A2">
          <w:rPr>
            <w:rStyle w:val="Hyperlink"/>
          </w:rPr>
          <w:t>https://kingcounty.gov/services/environment/climate/actions-strategies/strategic-climate-action-plan.aspx#:~:text=The%20new%20Carbon%20Neutral%20Implementation,2025%20and%2080%25%20by%202030</w:t>
        </w:r>
      </w:hyperlink>
      <w:r w:rsidRPr="00F824B0">
        <w:t>.</w:t>
      </w:r>
      <w:r>
        <w:t xml:space="preserve"> </w:t>
      </w:r>
    </w:p>
  </w:footnote>
  <w:footnote w:id="8">
    <w:p w14:paraId="485109AF" w14:textId="5EAE1CF8" w:rsidR="00485872" w:rsidRDefault="00485872" w:rsidP="00485872">
      <w:pPr>
        <w:pStyle w:val="FootnoteText"/>
      </w:pPr>
      <w:r>
        <w:rPr>
          <w:rStyle w:val="FootnoteReference"/>
        </w:rPr>
        <w:footnoteRef/>
      </w:r>
      <w:r>
        <w:t xml:space="preserve"> The ADA proposal will be funded by Metro Transit and</w:t>
      </w:r>
      <w:r w:rsidR="006E665A">
        <w:t xml:space="preserve"> </w:t>
      </w:r>
      <w:r>
        <w:t xml:space="preserve">not through bond proceeds. However, the ADA proposal was selected as a project by the CECTF. Executive staff have selected to include this project in the narrative for this group of climate equity proposals since it was also selected by the CECTF. </w:t>
      </w:r>
    </w:p>
  </w:footnote>
  <w:footnote w:id="9">
    <w:p w14:paraId="67ED635A" w14:textId="77777777" w:rsidR="00485872" w:rsidRDefault="00485872" w:rsidP="00485872">
      <w:pPr>
        <w:pStyle w:val="FootnoteText"/>
        <w:rPr>
          <w:rFonts w:ascii="Arial" w:hAnsi="Arial" w:cs="Arial"/>
        </w:rPr>
      </w:pPr>
      <w:r>
        <w:rPr>
          <w:rStyle w:val="FootnoteReference"/>
          <w:rFonts w:ascii="Arial" w:hAnsi="Arial" w:cs="Arial"/>
        </w:rPr>
        <w:t>[1]</w:t>
      </w:r>
      <w:r>
        <w:rPr>
          <w:rFonts w:ascii="Arial" w:hAnsi="Arial" w:cs="Arial"/>
        </w:rPr>
        <w:t xml:space="preserve"> </w:t>
      </w:r>
      <w:hyperlink r:id="rId3" w:history="1">
        <w:r>
          <w:rPr>
            <w:rStyle w:val="Hyperlink"/>
            <w:rFonts w:ascii="Arial" w:hAnsi="Arial" w:cs="Arial"/>
          </w:rPr>
          <w:t>King County - File #: 2021-0275</w:t>
        </w:r>
      </w:hyperlink>
    </w:p>
  </w:footnote>
  <w:footnote w:id="10">
    <w:p w14:paraId="2CF625E8" w14:textId="10C7CC98" w:rsidR="005C6460" w:rsidRDefault="005C6460">
      <w:pPr>
        <w:pStyle w:val="FootnoteText"/>
      </w:pPr>
      <w:r w:rsidRPr="00895FFD">
        <w:rPr>
          <w:rStyle w:val="FootnoteReference"/>
          <w:color w:val="4F81BD" w:themeColor="accent1"/>
        </w:rPr>
        <w:footnoteRef/>
      </w:r>
      <w:r w:rsidRPr="00895FFD">
        <w:rPr>
          <w:color w:val="4F81BD" w:themeColor="accent1"/>
        </w:rPr>
        <w:t xml:space="preserve"> There is an error in the</w:t>
      </w:r>
      <w:r w:rsidR="009F2598" w:rsidRPr="00895FFD">
        <w:rPr>
          <w:color w:val="4F81BD" w:themeColor="accent1"/>
        </w:rPr>
        <w:t xml:space="preserve"> proposed ordinance. The</w:t>
      </w:r>
      <w:r w:rsidR="00F60C48" w:rsidRPr="00895FFD">
        <w:rPr>
          <w:color w:val="4F81BD" w:themeColor="accent1"/>
        </w:rPr>
        <w:t xml:space="preserve"> correct </w:t>
      </w:r>
      <w:r w:rsidR="00895FFD" w:rsidRPr="00895FFD">
        <w:rPr>
          <w:color w:val="4F81BD" w:themeColor="accent1"/>
        </w:rPr>
        <w:t>amount should be -$723,000.</w:t>
      </w:r>
    </w:p>
  </w:footnote>
  <w:footnote w:id="11">
    <w:p w14:paraId="42175670" w14:textId="166FFE35" w:rsidR="00407401" w:rsidRDefault="00407401">
      <w:pPr>
        <w:pStyle w:val="FootnoteText"/>
      </w:pPr>
      <w:r>
        <w:rPr>
          <w:rStyle w:val="FootnoteReference"/>
        </w:rPr>
        <w:footnoteRef/>
      </w:r>
      <w:r>
        <w:t xml:space="preserve"> </w:t>
      </w:r>
      <w:r w:rsidR="002A58AD" w:rsidRPr="00AB1688">
        <w:rPr>
          <w:bCs/>
          <w:color w:val="4F81BD" w:themeColor="accent1"/>
          <w:szCs w:val="16"/>
        </w:rPr>
        <w:t>According to Executive staff, t</w:t>
      </w:r>
      <w:r w:rsidRPr="00AB1688">
        <w:rPr>
          <w:bCs/>
          <w:color w:val="4F81BD" w:themeColor="accent1"/>
          <w:szCs w:val="16"/>
        </w:rPr>
        <w:t xml:space="preserve">he Coalition </w:t>
      </w:r>
      <w:r w:rsidR="00446EAB" w:rsidRPr="00AB1688">
        <w:rPr>
          <w:bCs/>
          <w:color w:val="4F81BD" w:themeColor="accent1"/>
          <w:szCs w:val="16"/>
        </w:rPr>
        <w:t xml:space="preserve">membership would remain the same; </w:t>
      </w:r>
      <w:r w:rsidR="008A1D23">
        <w:rPr>
          <w:bCs/>
          <w:color w:val="4F81BD" w:themeColor="accent1"/>
          <w:szCs w:val="16"/>
        </w:rPr>
        <w:t xml:space="preserve">however, </w:t>
      </w:r>
      <w:r w:rsidR="00446EAB" w:rsidRPr="00AB1688">
        <w:rPr>
          <w:bCs/>
          <w:color w:val="4F81BD" w:themeColor="accent1"/>
          <w:szCs w:val="16"/>
        </w:rPr>
        <w:t>the number of organizations supported by the Coalition would increase by up to five organizations.</w:t>
      </w:r>
    </w:p>
  </w:footnote>
  <w:footnote w:id="12">
    <w:p w14:paraId="1358B6DE" w14:textId="77777777" w:rsidR="007149C8" w:rsidRDefault="007149C8" w:rsidP="007149C8">
      <w:pPr>
        <w:pStyle w:val="FootnoteText"/>
      </w:pPr>
      <w:r>
        <w:rPr>
          <w:rStyle w:val="FootnoteReference"/>
        </w:rPr>
        <w:footnoteRef/>
      </w:r>
      <w:r>
        <w:t xml:space="preserve"> LINK: </w:t>
      </w:r>
      <w:hyperlink r:id="rId4" w:history="1">
        <w:r w:rsidRPr="006367A2">
          <w:rPr>
            <w:rStyle w:val="Hyperlink"/>
          </w:rPr>
          <w:t>https://www.kingcounty.gov/elected/executive/equity-social-justice/Coalition-Against-Hate-And-Bias.aspx</w:t>
        </w:r>
      </w:hyperlink>
      <w:r w:rsidRPr="00EE0718">
        <w:t>.</w:t>
      </w:r>
    </w:p>
  </w:footnote>
  <w:footnote w:id="13">
    <w:p w14:paraId="4D6C2E53" w14:textId="77777777" w:rsidR="007149C8" w:rsidRDefault="007149C8" w:rsidP="007149C8">
      <w:pPr>
        <w:pStyle w:val="FootnoteText"/>
      </w:pPr>
      <w:r>
        <w:rPr>
          <w:rStyle w:val="FootnoteReference"/>
        </w:rPr>
        <w:footnoteRef/>
      </w:r>
      <w:r>
        <w:t xml:space="preserve"> </w:t>
      </w:r>
      <w:r w:rsidRPr="00EE0718">
        <w:t xml:space="preserve">(1) COVID-19 Community Response Fund Alliance; (2) Chinese Information and Service Center (CISC); (3) Eastside for All; (4) Muslim Community and Neighborhood Association; (5) Seattle Chinatown International District Preservation and Development Authority; (6) United Indians of All Tribes Foundation; (7) Vietnamese American Community of Seattle Snohomish-King Counties; and (8) Matthew </w:t>
      </w:r>
      <w:proofErr w:type="spellStart"/>
      <w:r w:rsidRPr="00EE0718">
        <w:t>Echohawk</w:t>
      </w:r>
      <w:proofErr w:type="spellEnd"/>
      <w:r w:rsidRPr="00EE0718">
        <w:t>-Hayashi, Headwater People.</w:t>
      </w:r>
    </w:p>
  </w:footnote>
  <w:footnote w:id="14">
    <w:p w14:paraId="4A3A1186" w14:textId="77777777" w:rsidR="007149C8" w:rsidRDefault="007149C8" w:rsidP="007149C8">
      <w:pPr>
        <w:pStyle w:val="FootnoteText"/>
      </w:pPr>
      <w:r>
        <w:rPr>
          <w:rStyle w:val="FootnoteReference"/>
        </w:rPr>
        <w:footnoteRef/>
      </w:r>
      <w:r>
        <w:t xml:space="preserve"> </w:t>
      </w:r>
      <w:r w:rsidRPr="00430E37">
        <w:t>Expenditure Restriction 3, Section 19</w:t>
      </w:r>
      <w:r>
        <w:t>.</w:t>
      </w:r>
    </w:p>
  </w:footnote>
  <w:footnote w:id="15">
    <w:p w14:paraId="30BF26AF" w14:textId="77777777" w:rsidR="007149C8" w:rsidRDefault="007149C8" w:rsidP="007149C8">
      <w:pPr>
        <w:pStyle w:val="FootnoteText"/>
      </w:pPr>
      <w:r>
        <w:rPr>
          <w:rStyle w:val="FootnoteReference"/>
        </w:rPr>
        <w:footnoteRef/>
      </w:r>
      <w:r>
        <w:t xml:space="preserve"> Executive staff noted that the crosswalk had an incorrect position title (Deputy Director for Program, Policy, and Strategy) due to a late correction to the decision package. The request remains for 1.0 FTE position authority.</w:t>
      </w:r>
    </w:p>
  </w:footnote>
  <w:footnote w:id="16">
    <w:p w14:paraId="2A299423" w14:textId="77777777" w:rsidR="00116596" w:rsidRDefault="00116596" w:rsidP="00116596">
      <w:pPr>
        <w:pStyle w:val="FootnoteText"/>
      </w:pPr>
      <w:r>
        <w:rPr>
          <w:rStyle w:val="FootnoteReference"/>
        </w:rPr>
        <w:footnoteRef/>
      </w:r>
      <w:r>
        <w:t xml:space="preserve"> Ordinance 19210</w:t>
      </w:r>
    </w:p>
  </w:footnote>
  <w:footnote w:id="17">
    <w:p w14:paraId="1824C4CE" w14:textId="77777777" w:rsidR="00116596" w:rsidRDefault="00116596" w:rsidP="00116596">
      <w:pPr>
        <w:pStyle w:val="FootnoteText"/>
      </w:pPr>
      <w:r>
        <w:rPr>
          <w:rStyle w:val="FootnoteReference"/>
        </w:rPr>
        <w:footnoteRef/>
      </w:r>
      <w:r>
        <w:t xml:space="preserve"> Ordinance 18835</w:t>
      </w:r>
    </w:p>
  </w:footnote>
  <w:footnote w:id="18">
    <w:p w14:paraId="559ECE41" w14:textId="77777777" w:rsidR="00116596" w:rsidRPr="002F3A8B" w:rsidRDefault="00116596" w:rsidP="00116596">
      <w:pPr>
        <w:pStyle w:val="FootnoteText"/>
      </w:pPr>
      <w:r w:rsidRPr="002F3A8B">
        <w:rPr>
          <w:rStyle w:val="FootnoteReference"/>
        </w:rPr>
        <w:footnoteRef/>
      </w:r>
      <w:r w:rsidRPr="002F3A8B">
        <w:t xml:space="preserve"> Ordinance 19307</w:t>
      </w:r>
    </w:p>
  </w:footnote>
  <w:footnote w:id="19">
    <w:p w14:paraId="624AE58C" w14:textId="77777777" w:rsidR="007427D5" w:rsidRPr="00EF1036" w:rsidRDefault="007427D5" w:rsidP="007427D5">
      <w:pPr>
        <w:pStyle w:val="FootnoteText"/>
        <w:rPr>
          <w:rFonts w:ascii="Arial" w:hAnsi="Arial" w:cs="Arial"/>
        </w:rPr>
      </w:pPr>
      <w:r w:rsidRPr="002F3A8B">
        <w:rPr>
          <w:rStyle w:val="FootnoteReference"/>
        </w:rPr>
        <w:footnoteRef/>
      </w:r>
      <w:r w:rsidRPr="002F3A8B">
        <w:t xml:space="preserve"> The Department of Human Resources is supported by the General Fund Overhead (GFO) model, which spreads the cost of central administrative services. Costs supported by GFO are divided between General Fund support and support by all other funds.</w:t>
      </w:r>
    </w:p>
  </w:footnote>
  <w:footnote w:id="20">
    <w:p w14:paraId="2BD1360F" w14:textId="1549545F" w:rsidR="009F35FC" w:rsidRPr="00CC7A4D" w:rsidRDefault="009F35FC" w:rsidP="009F35FC">
      <w:pPr>
        <w:rPr>
          <w:sz w:val="20"/>
        </w:rPr>
      </w:pPr>
      <w:r>
        <w:rPr>
          <w:rStyle w:val="FootnoteReference"/>
        </w:rPr>
        <w:footnoteRef/>
      </w:r>
      <w:r>
        <w:t xml:space="preserve"> </w:t>
      </w:r>
      <w:r w:rsidRPr="00CC7A4D">
        <w:rPr>
          <w:sz w:val="20"/>
        </w:rPr>
        <w:t xml:space="preserve">According to the PAO, the program eligible felonies include: Burglary 2, Cheating 1, Criminal Impersonation 1, Prowling 1, Forgery, Identity Theft 1 &amp;2, Malicious Mischief 1 &amp; 2, Possession of Stolen Mail, </w:t>
      </w:r>
      <w:r w:rsidRPr="00CC7A4D">
        <w:rPr>
          <w:color w:val="000000"/>
          <w:sz w:val="20"/>
        </w:rPr>
        <w:t>Possession of Stolen Property 1 &amp; 2</w:t>
      </w:r>
      <w:r w:rsidRPr="00CC7A4D">
        <w:rPr>
          <w:sz w:val="20"/>
        </w:rPr>
        <w:t xml:space="preserve">, </w:t>
      </w:r>
      <w:r w:rsidRPr="00CC7A4D">
        <w:rPr>
          <w:color w:val="000000"/>
          <w:sz w:val="20"/>
        </w:rPr>
        <w:t>Possession of a Stolen Vehicle</w:t>
      </w:r>
      <w:r w:rsidRPr="00CC7A4D">
        <w:rPr>
          <w:sz w:val="20"/>
        </w:rPr>
        <w:t xml:space="preserve">, </w:t>
      </w:r>
      <w:r w:rsidRPr="00CC7A4D">
        <w:rPr>
          <w:color w:val="000000"/>
          <w:sz w:val="20"/>
        </w:rPr>
        <w:t>Theft 1; Theft 2; Theft of Mail</w:t>
      </w:r>
      <w:r w:rsidRPr="00CC7A4D">
        <w:rPr>
          <w:sz w:val="20"/>
        </w:rPr>
        <w:t xml:space="preserve">, </w:t>
      </w:r>
      <w:r w:rsidRPr="00CC7A4D">
        <w:rPr>
          <w:color w:val="000000"/>
          <w:sz w:val="20"/>
        </w:rPr>
        <w:t>Theft of a Motor Vehicle or Rental Property</w:t>
      </w:r>
      <w:r w:rsidRPr="00CC7A4D">
        <w:rPr>
          <w:sz w:val="20"/>
        </w:rPr>
        <w:t xml:space="preserve">, </w:t>
      </w:r>
      <w:r w:rsidRPr="00CC7A4D">
        <w:rPr>
          <w:color w:val="000000"/>
          <w:sz w:val="20"/>
        </w:rPr>
        <w:t>Theft of Motor Vehicle (TMV) 1 &amp; 2</w:t>
      </w:r>
      <w:r w:rsidRPr="00CC7A4D">
        <w:rPr>
          <w:sz w:val="20"/>
        </w:rPr>
        <w:t xml:space="preserve">, </w:t>
      </w:r>
      <w:r w:rsidRPr="00CC7A4D">
        <w:rPr>
          <w:color w:val="000000"/>
          <w:sz w:val="20"/>
        </w:rPr>
        <w:t>Trafficking in Stolen Property 1 &amp; 2, Unlawful Issuance of a Bank Check Vehicle Failure to Return Rented or Leased Property</w:t>
      </w:r>
      <w:r>
        <w:rPr>
          <w:color w:val="000000"/>
          <w:sz w:val="20"/>
        </w:rPr>
        <w:t>.</w:t>
      </w:r>
    </w:p>
  </w:footnote>
  <w:footnote w:id="21">
    <w:p w14:paraId="6C91360F" w14:textId="77777777" w:rsidR="004D3E95" w:rsidRDefault="004D3E95" w:rsidP="004D3E95">
      <w:pPr>
        <w:pStyle w:val="FootnoteText"/>
      </w:pPr>
      <w:r>
        <w:rPr>
          <w:rStyle w:val="FootnoteReference"/>
        </w:rPr>
        <w:footnoteRef/>
      </w:r>
      <w:r>
        <w:t xml:space="preserve"> </w:t>
      </w:r>
      <w:r w:rsidRPr="0082032C">
        <w:t>This funding is provided to Superior Court annually under RCW 3.58.060.</w:t>
      </w:r>
    </w:p>
  </w:footnote>
  <w:footnote w:id="22">
    <w:p w14:paraId="11CCD298" w14:textId="77777777" w:rsidR="007853B2" w:rsidRDefault="007853B2" w:rsidP="007853B2">
      <w:pPr>
        <w:pStyle w:val="FootnoteText"/>
      </w:pPr>
      <w:r>
        <w:rPr>
          <w:rStyle w:val="FootnoteReference"/>
        </w:rPr>
        <w:footnoteRef/>
      </w:r>
      <w:r>
        <w:t xml:space="preserve"> </w:t>
      </w:r>
      <w:r w:rsidRPr="00101002">
        <w:t>Project 114</w:t>
      </w:r>
      <w:r>
        <w:t>2</w:t>
      </w:r>
      <w:r w:rsidRPr="00101002">
        <w:t>035</w:t>
      </w:r>
    </w:p>
  </w:footnote>
  <w:footnote w:id="23">
    <w:p w14:paraId="79B7BF85" w14:textId="77777777" w:rsidR="007853B2" w:rsidRDefault="007853B2" w:rsidP="007853B2">
      <w:pPr>
        <w:pStyle w:val="FootnoteText"/>
      </w:pPr>
      <w:r>
        <w:rPr>
          <w:rStyle w:val="FootnoteReference"/>
        </w:rPr>
        <w:footnoteRef/>
      </w:r>
      <w:r>
        <w:t xml:space="preserve"> Project 1138914</w:t>
      </w:r>
    </w:p>
  </w:footnote>
  <w:footnote w:id="24">
    <w:p w14:paraId="193B5B43" w14:textId="77777777" w:rsidR="007853B2" w:rsidRDefault="007853B2" w:rsidP="007853B2">
      <w:pPr>
        <w:pStyle w:val="FootnoteText"/>
      </w:pPr>
      <w:r>
        <w:rPr>
          <w:rStyle w:val="FootnoteReference"/>
        </w:rPr>
        <w:footnoteRef/>
      </w:r>
      <w:r>
        <w:t xml:space="preserve"> </w:t>
      </w:r>
      <w:r w:rsidRPr="00F73C13">
        <w:t xml:space="preserve">Ordinance 18323 approved </w:t>
      </w:r>
      <w:r>
        <w:t>the</w:t>
      </w:r>
      <w:r w:rsidRPr="00F73C13">
        <w:t xml:space="preserve"> spending down existing project appropriations within </w:t>
      </w:r>
      <w:proofErr w:type="gramStart"/>
      <w:r w:rsidRPr="00F73C13">
        <w:t>Roads</w:t>
      </w:r>
      <w:proofErr w:type="gramEnd"/>
      <w:r w:rsidRPr="00F73C13">
        <w:t xml:space="preserve"> legacy funds </w:t>
      </w:r>
      <w:r>
        <w:t>(</w:t>
      </w:r>
      <w:r w:rsidRPr="00F73C13">
        <w:t>3850 &amp; 3860</w:t>
      </w:r>
      <w:r>
        <w:t>)</w:t>
      </w:r>
      <w:r w:rsidRPr="00F73C13">
        <w:t xml:space="preserve">, to close those projects, and </w:t>
      </w:r>
      <w:r>
        <w:t>then</w:t>
      </w:r>
      <w:r w:rsidRPr="00F73C13">
        <w:t xml:space="preserve"> close the legacy funds when all appropriations have been spent.</w:t>
      </w:r>
    </w:p>
  </w:footnote>
  <w:footnote w:id="25">
    <w:p w14:paraId="1528DC41" w14:textId="77777777" w:rsidR="007853B2" w:rsidRDefault="007853B2" w:rsidP="007853B2">
      <w:pPr>
        <w:pStyle w:val="FootnoteText"/>
      </w:pPr>
      <w:r>
        <w:rPr>
          <w:rStyle w:val="FootnoteReference"/>
        </w:rPr>
        <w:footnoteRef/>
      </w:r>
      <w:r>
        <w:t xml:space="preserve"> Should the Council wish to transfer the fund balance, the $191,441 would first need </w:t>
      </w:r>
      <w:r w:rsidRPr="00D91DBA">
        <w:t>to</w:t>
      </w:r>
      <w:r>
        <w:t xml:space="preserve"> be added to</w:t>
      </w:r>
      <w:r w:rsidRPr="00D91DBA">
        <w:t xml:space="preserve"> the admin</w:t>
      </w:r>
      <w:r>
        <w:t>istrative</w:t>
      </w:r>
      <w:r w:rsidRPr="00D91DBA">
        <w:t xml:space="preserve"> project</w:t>
      </w:r>
      <w:r>
        <w:t xml:space="preserve"> in Fund 3860 (Project </w:t>
      </w:r>
      <w:r w:rsidRPr="00D91DBA">
        <w:t>1114792</w:t>
      </w:r>
      <w:r>
        <w:t xml:space="preserve">) and increase the appropriation for the CW Quick Response program in Fund 3855 (Project 1129584) by a corresponding amount. </w:t>
      </w:r>
    </w:p>
  </w:footnote>
  <w:footnote w:id="26">
    <w:p w14:paraId="0F6A6B7C" w14:textId="77777777" w:rsidR="006660E2" w:rsidRPr="00102521" w:rsidRDefault="006660E2" w:rsidP="006660E2">
      <w:pPr>
        <w:pStyle w:val="FootnoteText"/>
        <w:rPr>
          <w:rFonts w:ascii="Arial" w:hAnsi="Arial" w:cs="Arial"/>
        </w:rPr>
      </w:pPr>
      <w:r w:rsidRPr="00102521">
        <w:rPr>
          <w:rStyle w:val="FootnoteReference"/>
          <w:rFonts w:ascii="Arial" w:hAnsi="Arial" w:cs="Arial"/>
        </w:rPr>
        <w:footnoteRef/>
      </w:r>
      <w:r w:rsidRPr="00102521">
        <w:rPr>
          <w:rFonts w:ascii="Arial" w:hAnsi="Arial" w:cs="Arial"/>
        </w:rPr>
        <w:t xml:space="preserve"> In August of 2021, King County voters approved BSK levy renewal for 2022-2027.</w:t>
      </w:r>
      <w:r>
        <w:rPr>
          <w:rFonts w:ascii="Arial" w:hAnsi="Arial" w:cs="Arial"/>
        </w:rPr>
        <w:t xml:space="preserve"> The current levy period expires at the end of 2021.</w:t>
      </w:r>
    </w:p>
  </w:footnote>
  <w:footnote w:id="27">
    <w:p w14:paraId="3D07DE72" w14:textId="77777777" w:rsidR="00F1355F" w:rsidRPr="00102521" w:rsidRDefault="00F1355F" w:rsidP="00F1355F">
      <w:pPr>
        <w:pStyle w:val="FootnoteText"/>
        <w:rPr>
          <w:rFonts w:ascii="Arial" w:hAnsi="Arial" w:cs="Arial"/>
        </w:rPr>
      </w:pPr>
      <w:r w:rsidRPr="00102521">
        <w:rPr>
          <w:rStyle w:val="FootnoteReference"/>
          <w:rFonts w:ascii="Arial" w:hAnsi="Arial" w:cs="Arial"/>
        </w:rPr>
        <w:footnoteRef/>
      </w:r>
      <w:r w:rsidRPr="00102521">
        <w:rPr>
          <w:rFonts w:ascii="Arial" w:hAnsi="Arial" w:cs="Arial"/>
        </w:rPr>
        <w:t xml:space="preserve"> Per the VSHSL Implementation Plan (Ordinance 18768), if additional uncommitted funds remain after reaching the levy reserve goal, the VSHSL Advisory Board shall consider proposals recommended by DCHS or VSHSL staff to, subject to appropriated expenditure authority, reallocate uncommitted funds to any strategy, program or purpose described within the plan, ensuring that funds are used pursuant to the eligible expenditure defined in the levy ordinance (Ordinance 18555).</w:t>
      </w:r>
    </w:p>
  </w:footnote>
  <w:footnote w:id="28">
    <w:p w14:paraId="04A0524C" w14:textId="77777777" w:rsidR="001C7F9A" w:rsidRDefault="001C7F9A" w:rsidP="001C7F9A">
      <w:pPr>
        <w:pStyle w:val="FootnoteText"/>
      </w:pPr>
      <w:r>
        <w:rPr>
          <w:rStyle w:val="FootnoteReference"/>
        </w:rPr>
        <w:footnoteRef/>
      </w:r>
      <w:r>
        <w:t xml:space="preserve"> Ordinance submitting to </w:t>
      </w:r>
      <w:proofErr w:type="gramStart"/>
      <w:r>
        <w:t>voters</w:t>
      </w:r>
      <w:proofErr w:type="gramEnd"/>
      <w:r>
        <w:t xml:space="preserve"> approval of the </w:t>
      </w:r>
      <w:r w:rsidRPr="00464682">
        <w:t>Parks, Recreation, Trails, and Open Space Levy</w:t>
      </w:r>
      <w:r>
        <w:t>.</w:t>
      </w:r>
    </w:p>
  </w:footnote>
  <w:footnote w:id="29">
    <w:p w14:paraId="1581E6B5" w14:textId="77777777" w:rsidR="001C7F9A" w:rsidRDefault="001C7F9A" w:rsidP="001C7F9A">
      <w:pPr>
        <w:pStyle w:val="FootnoteText"/>
      </w:pPr>
      <w:r>
        <w:rPr>
          <w:rStyle w:val="FootnoteReference"/>
        </w:rPr>
        <w:footnoteRef/>
      </w:r>
      <w:r>
        <w:t xml:space="preserve"> Motion specifying allocation of the </w:t>
      </w:r>
      <w:r w:rsidRPr="00464682">
        <w:t>Parks, Recreation, Trails, and Open Space Levy</w:t>
      </w:r>
      <w:r>
        <w:t>.</w:t>
      </w:r>
    </w:p>
  </w:footnote>
  <w:footnote w:id="30">
    <w:p w14:paraId="337C70F7" w14:textId="77777777" w:rsidR="001C7F9A" w:rsidRDefault="001C7F9A" w:rsidP="001C7F9A">
      <w:pPr>
        <w:pStyle w:val="FootnoteText"/>
      </w:pPr>
      <w:r>
        <w:rPr>
          <w:rStyle w:val="FootnoteReference"/>
        </w:rPr>
        <w:footnoteRef/>
      </w:r>
      <w:r>
        <w:t xml:space="preserve"> The CFT Advisory Committee recommended a total of $45.1 million in 2022 funding: $12.5 million from CFT Annual revenues, $22.4 million from CFT Bond revenues, and $10.2 million in Parks Levy revenues. The 2021-2022 Biennial Budget appropriated $25 million as a placeholder for 2022 CFT projects, and the $22.4 million funding from CFT Bond revenues would be taken from this placeholder. </w:t>
      </w:r>
      <w:hyperlink r:id="rId5" w:history="1">
        <w:r w:rsidRPr="009F4341">
          <w:rPr>
            <w:rStyle w:val="Hyperlink"/>
          </w:rPr>
          <w:t>King County File # 2021-RPT0081</w:t>
        </w:r>
      </w:hyperlink>
      <w:r>
        <w:t>.</w:t>
      </w:r>
    </w:p>
  </w:footnote>
  <w:footnote w:id="31">
    <w:p w14:paraId="48068AF2" w14:textId="77777777" w:rsidR="001C7F9A" w:rsidRDefault="001C7F9A" w:rsidP="001C7F9A">
      <w:pPr>
        <w:pStyle w:val="FootnoteText"/>
      </w:pPr>
      <w:r>
        <w:rPr>
          <w:rStyle w:val="FootnoteReference"/>
        </w:rPr>
        <w:footnoteRef/>
      </w:r>
      <w:r>
        <w:t xml:space="preserve"> The 2021-2022 Biennial Budget appropriated $25 million as a placeholder for 2022 Annual CFT projects. The proposed ordinance would disappropriate this project and appropriate the same amount with actual project allocations as recommended by the CFT Advisory Committee.</w:t>
      </w:r>
    </w:p>
  </w:footnote>
  <w:footnote w:id="32">
    <w:p w14:paraId="3E0D503D" w14:textId="77777777" w:rsidR="001C7F9A" w:rsidRDefault="001C7F9A" w:rsidP="001C7F9A">
      <w:pPr>
        <w:pStyle w:val="FootnoteText"/>
      </w:pPr>
      <w:r>
        <w:rPr>
          <w:rStyle w:val="FootnoteReference"/>
        </w:rPr>
        <w:footnoteRef/>
      </w:r>
      <w:r>
        <w:t xml:space="preserve"> This figure represents CFT Advisory Committee 2022 Funding Recommendations from all revenue sources, including CFT annual, CFT bonds, and Parks Levy. </w:t>
      </w:r>
      <w:hyperlink r:id="rId6" w:history="1">
        <w:r w:rsidRPr="009F4341">
          <w:rPr>
            <w:rStyle w:val="Hyperlink"/>
          </w:rPr>
          <w:t>King County File # 2021-RPT0081</w:t>
        </w:r>
      </w:hyperlink>
      <w:r>
        <w:t>.</w:t>
      </w:r>
    </w:p>
  </w:footnote>
  <w:footnote w:id="33">
    <w:p w14:paraId="1FCC0456" w14:textId="7C61D9DC" w:rsidR="001C7F9A" w:rsidRDefault="001C7F9A" w:rsidP="001C7F9A">
      <w:pPr>
        <w:pStyle w:val="FootnoteText"/>
      </w:pPr>
      <w:r>
        <w:rPr>
          <w:rStyle w:val="FootnoteReference"/>
        </w:rPr>
        <w:footnoteRef/>
      </w:r>
      <w:r>
        <w:t xml:space="preserve"> The CFT Advisory Committee recommended a total of $45.1 million in 2022 funding: $12.5 million from CFT Annual revenues, $22.4 million from CFT Bond revenues, and $10.2 million in Parks Levy revenues.</w:t>
      </w:r>
      <w:hyperlink r:id="rId7" w:anchor=" 2021-RPT0081" w:history="1">
        <w:r w:rsidRPr="009F4341">
          <w:rPr>
            <w:rStyle w:val="Hyperlink"/>
          </w:rPr>
          <w:t xml:space="preserve"> King County File No. 2021-RPT0081</w:t>
        </w:r>
      </w:hyperlink>
      <w:r>
        <w:t>.</w:t>
      </w:r>
    </w:p>
  </w:footnote>
  <w:footnote w:id="34">
    <w:p w14:paraId="265793D0" w14:textId="77777777" w:rsidR="00EC5BF1" w:rsidRDefault="00EC5BF1" w:rsidP="00EC5BF1">
      <w:pPr>
        <w:pStyle w:val="FootnoteText"/>
      </w:pPr>
      <w:r>
        <w:rPr>
          <w:rStyle w:val="FootnoteReference"/>
        </w:rPr>
        <w:footnoteRef/>
      </w:r>
      <w:r>
        <w:t xml:space="preserve"> </w:t>
      </w:r>
      <w:r w:rsidRPr="0098663E">
        <w:t xml:space="preserve">King County </w:t>
      </w:r>
      <w:r>
        <w:t xml:space="preserve">Council, </w:t>
      </w:r>
      <w:r w:rsidRPr="0098663E">
        <w:t>2021-RPT0082</w:t>
      </w:r>
      <w:r>
        <w:t xml:space="preserve">, </w:t>
      </w:r>
      <w:r w:rsidRPr="0098663E">
        <w:t>https://mkcclegisearch.kingcounty.gov/LegislationDetail.aspx?ID=5067349&amp;GUID=5DF836DF-C60D-43FC-A250-402452366653&amp;Options=Advanced&amp;Search=</w:t>
      </w:r>
    </w:p>
  </w:footnote>
  <w:footnote w:id="35">
    <w:p w14:paraId="2317518F" w14:textId="02DAE25A" w:rsidR="00F37688" w:rsidRDefault="00F37688">
      <w:pPr>
        <w:pStyle w:val="FootnoteText"/>
      </w:pPr>
      <w:r>
        <w:rPr>
          <w:rStyle w:val="FootnoteReference"/>
        </w:rPr>
        <w:footnoteRef/>
      </w:r>
      <w:r>
        <w:t xml:space="preserve"> </w:t>
      </w:r>
      <w:r w:rsidR="007A779A">
        <w:t xml:space="preserve">Ordinance </w:t>
      </w:r>
      <w:r w:rsidR="00971480">
        <w:t>19318.</w:t>
      </w:r>
    </w:p>
  </w:footnote>
  <w:footnote w:id="36">
    <w:p w14:paraId="7197834B" w14:textId="77777777" w:rsidR="00EC5BF1" w:rsidRPr="00971480" w:rsidRDefault="00EC5BF1" w:rsidP="00EC5BF1">
      <w:pPr>
        <w:pStyle w:val="FootnoteText"/>
        <w:rPr>
          <w:sz w:val="24"/>
          <w:szCs w:val="24"/>
        </w:rPr>
      </w:pPr>
      <w:r w:rsidRPr="00971480">
        <w:rPr>
          <w:rStyle w:val="FootnoteReference"/>
          <w:sz w:val="22"/>
          <w:szCs w:val="22"/>
        </w:rPr>
        <w:footnoteRef/>
      </w:r>
      <w:r w:rsidRPr="00971480">
        <w:rPr>
          <w:sz w:val="24"/>
          <w:szCs w:val="24"/>
        </w:rPr>
        <w:t xml:space="preserve"> </w:t>
      </w:r>
      <w:r w:rsidRPr="00971480">
        <w:t>Heroin and Prescription Opiate Addiction Task Force Final Report and Recommendations, September 15, 2016. https://kingcounty.gov/~/media/depts/community-human-services/behavioral-health-recovery/documents/herointf/Final-Heroin-Opiate-Addiction-Task-_Force-Report.ashx?la=en</w:t>
      </w:r>
    </w:p>
  </w:footnote>
  <w:footnote w:id="37">
    <w:p w14:paraId="5C94D9FE" w14:textId="77777777" w:rsidR="00EC5BF1" w:rsidRDefault="00EC5BF1" w:rsidP="00EC5BF1">
      <w:pPr>
        <w:pStyle w:val="FootnoteText"/>
      </w:pPr>
      <w:r>
        <w:rPr>
          <w:rStyle w:val="FootnoteReference"/>
        </w:rPr>
        <w:footnoteRef/>
      </w:r>
      <w:r>
        <w:t xml:space="preserve"> Cross-cutting work are efforts that cut across multiple divisions of the Department's work, such as emergency preparedness, communications, policy development, community partnerships, and business competencies. </w:t>
      </w:r>
    </w:p>
  </w:footnote>
  <w:footnote w:id="38">
    <w:p w14:paraId="39963334" w14:textId="77777777" w:rsidR="005F199B" w:rsidRPr="00B92A18" w:rsidRDefault="005F199B" w:rsidP="005F199B">
      <w:pPr>
        <w:pStyle w:val="FootnoteText"/>
        <w:rPr>
          <w:rFonts w:ascii="Arial" w:hAnsi="Arial" w:cs="Arial"/>
        </w:rPr>
      </w:pPr>
      <w:r w:rsidRPr="00B92A18">
        <w:rPr>
          <w:rStyle w:val="FootnoteReference"/>
          <w:rFonts w:ascii="Arial" w:hAnsi="Arial" w:cs="Arial"/>
        </w:rPr>
        <w:footnoteRef/>
      </w:r>
      <w:r w:rsidRPr="00B92A18">
        <w:rPr>
          <w:rFonts w:ascii="Arial" w:hAnsi="Arial" w:cs="Arial"/>
        </w:rPr>
        <w:t xml:space="preserve"> In August of 2021, King County voters approved BSK levy renewal for 2022-2027.</w:t>
      </w:r>
      <w:r>
        <w:rPr>
          <w:rFonts w:ascii="Arial" w:hAnsi="Arial" w:cs="Arial"/>
        </w:rPr>
        <w:t xml:space="preserve"> The current levy period expires at the end of 2021.</w:t>
      </w:r>
    </w:p>
  </w:footnote>
  <w:footnote w:id="39">
    <w:p w14:paraId="23D33882" w14:textId="77777777" w:rsidR="00923180" w:rsidRPr="00251F3B" w:rsidRDefault="00923180" w:rsidP="00923180">
      <w:pPr>
        <w:pStyle w:val="FootnoteText"/>
        <w:rPr>
          <w:rFonts w:ascii="Arial" w:hAnsi="Arial" w:cs="Arial"/>
        </w:rPr>
      </w:pPr>
      <w:r w:rsidRPr="00251F3B">
        <w:rPr>
          <w:rStyle w:val="FootnoteReference"/>
          <w:rFonts w:ascii="Arial" w:hAnsi="Arial" w:cs="Arial"/>
        </w:rPr>
        <w:footnoteRef/>
      </w:r>
      <w:r w:rsidRPr="00251F3B">
        <w:rPr>
          <w:rFonts w:ascii="Arial" w:hAnsi="Arial" w:cs="Arial"/>
        </w:rPr>
        <w:t xml:space="preserve"> </w:t>
      </w:r>
      <w:hyperlink r:id="rId8" w:history="1">
        <w:r w:rsidRPr="00251F3B">
          <w:rPr>
            <w:rStyle w:val="Hyperlink"/>
            <w:rFonts w:ascii="Arial" w:hAnsi="Arial" w:cs="Arial"/>
          </w:rPr>
          <w:t>King County - File #: 2021-0062</w:t>
        </w:r>
      </w:hyperlink>
    </w:p>
  </w:footnote>
  <w:footnote w:id="40">
    <w:p w14:paraId="2A2A5663" w14:textId="2A9A1966" w:rsidR="003B3CC4" w:rsidRDefault="00923180" w:rsidP="00923180">
      <w:pPr>
        <w:pStyle w:val="FootnoteText"/>
        <w:rPr>
          <w:rFonts w:ascii="Arial" w:hAnsi="Arial" w:cs="Arial"/>
        </w:rPr>
      </w:pPr>
      <w:r>
        <w:rPr>
          <w:rStyle w:val="FootnoteReference"/>
        </w:rPr>
        <w:footnoteRef/>
      </w:r>
      <w:r>
        <w:t xml:space="preserve"> </w:t>
      </w:r>
      <w:r>
        <w:rPr>
          <w:rFonts w:ascii="Arial" w:hAnsi="Arial" w:cs="Arial"/>
        </w:rPr>
        <w:t xml:space="preserve">The Plan </w:t>
      </w:r>
      <w:r w:rsidR="009B60A8" w:rsidRPr="009B60A8">
        <w:rPr>
          <w:rFonts w:ascii="Arial" w:hAnsi="Arial" w:cs="Arial"/>
          <w:color w:val="0070C0"/>
        </w:rPr>
        <w:t>recommended by the Regional Policy Committee</w:t>
      </w:r>
      <w:r w:rsidR="00F06967">
        <w:rPr>
          <w:rFonts w:ascii="Arial" w:hAnsi="Arial" w:cs="Arial"/>
          <w:color w:val="0070C0"/>
        </w:rPr>
        <w:t xml:space="preserve"> (RPC)</w:t>
      </w:r>
      <w:r w:rsidR="009B60A8" w:rsidRPr="009B60A8">
        <w:rPr>
          <w:rFonts w:ascii="Arial" w:hAnsi="Arial" w:cs="Arial"/>
          <w:color w:val="0070C0"/>
        </w:rPr>
        <w:t xml:space="preserve"> and </w:t>
      </w:r>
      <w:r w:rsidR="009B60A8">
        <w:rPr>
          <w:rFonts w:ascii="Arial" w:hAnsi="Arial" w:cs="Arial"/>
          <w:color w:val="0070C0"/>
        </w:rPr>
        <w:t xml:space="preserve">passed by the </w:t>
      </w:r>
      <w:r w:rsidR="009B60A8" w:rsidRPr="009B60A8">
        <w:rPr>
          <w:rFonts w:ascii="Arial" w:hAnsi="Arial" w:cs="Arial"/>
          <w:color w:val="0070C0"/>
        </w:rPr>
        <w:t xml:space="preserve">Committee of the Whole </w:t>
      </w:r>
      <w:r w:rsidR="00F06967">
        <w:rPr>
          <w:rFonts w:ascii="Arial" w:hAnsi="Arial" w:cs="Arial"/>
          <w:color w:val="0070C0"/>
        </w:rPr>
        <w:t xml:space="preserve">(COW) </w:t>
      </w:r>
      <w:r w:rsidR="009572F0" w:rsidRPr="009572F0">
        <w:rPr>
          <w:rFonts w:ascii="Arial" w:hAnsi="Arial" w:cs="Arial"/>
          <w:color w:val="0070C0"/>
        </w:rPr>
        <w:t>includes</w:t>
      </w:r>
      <w:r>
        <w:rPr>
          <w:rFonts w:ascii="Arial" w:hAnsi="Arial" w:cs="Arial"/>
        </w:rPr>
        <w:t xml:space="preserve"> the following priorities for capital grants: </w:t>
      </w:r>
    </w:p>
    <w:p w14:paraId="5CBB97AC" w14:textId="23B6781B" w:rsidR="003B3CC4" w:rsidRDefault="00923180" w:rsidP="005729CD">
      <w:pPr>
        <w:pStyle w:val="FootnoteText"/>
        <w:numPr>
          <w:ilvl w:val="0"/>
          <w:numId w:val="43"/>
        </w:numPr>
        <w:rPr>
          <w:rFonts w:ascii="Arial" w:hAnsi="Arial" w:cs="Arial"/>
        </w:rPr>
      </w:pPr>
      <w:r w:rsidRPr="00115BBE">
        <w:rPr>
          <w:rFonts w:ascii="Arial" w:hAnsi="Arial" w:cs="Arial"/>
        </w:rPr>
        <w:t>Priority 1</w:t>
      </w:r>
      <w:r>
        <w:rPr>
          <w:rFonts w:ascii="Arial" w:hAnsi="Arial" w:cs="Arial"/>
        </w:rPr>
        <w:t>:</w:t>
      </w:r>
      <w:r w:rsidRPr="00115BBE">
        <w:rPr>
          <w:rFonts w:ascii="Arial" w:hAnsi="Arial" w:cs="Arial"/>
        </w:rPr>
        <w:t xml:space="preserve"> investing in new or existing facilities to provide new community or recreational centers that prioritize BIPOC children, youth, and families, and low-income communities where there are limited to no other facilities </w:t>
      </w:r>
      <w:proofErr w:type="gramStart"/>
      <w:r w:rsidRPr="00115BBE">
        <w:rPr>
          <w:rFonts w:ascii="Arial" w:hAnsi="Arial" w:cs="Arial"/>
        </w:rPr>
        <w:t>available</w:t>
      </w:r>
      <w:r>
        <w:rPr>
          <w:rFonts w:ascii="Arial" w:hAnsi="Arial" w:cs="Arial"/>
        </w:rPr>
        <w:t>;</w:t>
      </w:r>
      <w:proofErr w:type="gramEnd"/>
      <w:r w:rsidRPr="00115BBE">
        <w:rPr>
          <w:rFonts w:ascii="Arial" w:hAnsi="Arial" w:cs="Arial"/>
        </w:rPr>
        <w:t xml:space="preserve"> </w:t>
      </w:r>
    </w:p>
    <w:p w14:paraId="76305B8E" w14:textId="77777777" w:rsidR="005729CD" w:rsidRDefault="00923180" w:rsidP="005729CD">
      <w:pPr>
        <w:pStyle w:val="FootnoteText"/>
        <w:numPr>
          <w:ilvl w:val="0"/>
          <w:numId w:val="43"/>
        </w:numPr>
        <w:rPr>
          <w:rFonts w:ascii="Arial" w:hAnsi="Arial" w:cs="Arial"/>
        </w:rPr>
      </w:pPr>
      <w:r w:rsidRPr="00115BBE">
        <w:rPr>
          <w:rFonts w:ascii="Arial" w:hAnsi="Arial" w:cs="Arial"/>
        </w:rPr>
        <w:t>Priority 2</w:t>
      </w:r>
      <w:r>
        <w:rPr>
          <w:rFonts w:ascii="Arial" w:hAnsi="Arial" w:cs="Arial"/>
        </w:rPr>
        <w:t>:</w:t>
      </w:r>
      <w:r w:rsidRPr="00115BBE">
        <w:rPr>
          <w:rFonts w:ascii="Arial" w:hAnsi="Arial" w:cs="Arial"/>
        </w:rPr>
        <w:t xml:space="preserve"> repairs and upgrades to existing multi-use community centers, early learning centers, </w:t>
      </w:r>
      <w:proofErr w:type="gramStart"/>
      <w:r w:rsidRPr="00115BBE">
        <w:rPr>
          <w:rFonts w:ascii="Arial" w:hAnsi="Arial" w:cs="Arial"/>
        </w:rPr>
        <w:t>child-care</w:t>
      </w:r>
      <w:proofErr w:type="gramEnd"/>
      <w:r w:rsidRPr="00115BBE">
        <w:rPr>
          <w:rFonts w:ascii="Arial" w:hAnsi="Arial" w:cs="Arial"/>
        </w:rPr>
        <w:t xml:space="preserve"> or recreational facilities to address health and safety issues</w:t>
      </w:r>
      <w:r>
        <w:rPr>
          <w:rFonts w:ascii="Arial" w:hAnsi="Arial" w:cs="Arial"/>
        </w:rPr>
        <w:t>;</w:t>
      </w:r>
      <w:r w:rsidRPr="00115BBE">
        <w:rPr>
          <w:rFonts w:ascii="Arial" w:hAnsi="Arial" w:cs="Arial"/>
        </w:rPr>
        <w:t xml:space="preserve"> Priority 3</w:t>
      </w:r>
      <w:r>
        <w:rPr>
          <w:rFonts w:ascii="Arial" w:hAnsi="Arial" w:cs="Arial"/>
        </w:rPr>
        <w:t>:</w:t>
      </w:r>
      <w:r w:rsidRPr="00115BBE">
        <w:rPr>
          <w:rFonts w:ascii="Arial" w:hAnsi="Arial" w:cs="Arial"/>
        </w:rPr>
        <w:t xml:space="preserve"> expanding child-care and early learning facilities for multipurpose uses</w:t>
      </w:r>
      <w:r>
        <w:rPr>
          <w:rFonts w:ascii="Arial" w:hAnsi="Arial" w:cs="Arial"/>
        </w:rPr>
        <w:t xml:space="preserve"> and</w:t>
      </w:r>
      <w:r w:rsidRPr="00115BBE">
        <w:rPr>
          <w:rFonts w:ascii="Arial" w:hAnsi="Arial" w:cs="Arial"/>
        </w:rPr>
        <w:t xml:space="preserve"> Priority 4</w:t>
      </w:r>
      <w:r>
        <w:rPr>
          <w:rFonts w:ascii="Arial" w:hAnsi="Arial" w:cs="Arial"/>
        </w:rPr>
        <w:t>:</w:t>
      </w:r>
      <w:r w:rsidRPr="00115BBE">
        <w:rPr>
          <w:rFonts w:ascii="Arial" w:hAnsi="Arial" w:cs="Arial"/>
        </w:rPr>
        <w:t xml:space="preserve"> focus on creation of affordable family or youth housing that includes a childcare or youth development component on site.</w:t>
      </w:r>
      <w:r w:rsidR="009572F0">
        <w:rPr>
          <w:rFonts w:ascii="Arial" w:hAnsi="Arial" w:cs="Arial"/>
        </w:rPr>
        <w:t xml:space="preserve"> </w:t>
      </w:r>
    </w:p>
    <w:p w14:paraId="792B880C" w14:textId="401C6A2A" w:rsidR="00923180" w:rsidRPr="00575508" w:rsidRDefault="009572F0" w:rsidP="005729CD">
      <w:pPr>
        <w:pStyle w:val="FootnoteText"/>
        <w:rPr>
          <w:rFonts w:ascii="Arial" w:hAnsi="Arial" w:cs="Arial"/>
        </w:rPr>
      </w:pPr>
      <w:r w:rsidRPr="00F06967">
        <w:rPr>
          <w:rFonts w:ascii="Arial" w:hAnsi="Arial" w:cs="Arial"/>
          <w:color w:val="0070C0"/>
        </w:rPr>
        <w:t>The</w:t>
      </w:r>
      <w:r w:rsidR="00F06967" w:rsidRPr="00F06967">
        <w:rPr>
          <w:rFonts w:ascii="Arial" w:hAnsi="Arial" w:cs="Arial"/>
          <w:color w:val="0070C0"/>
        </w:rPr>
        <w:t xml:space="preserve"> Plan</w:t>
      </w:r>
      <w:r w:rsidR="00F06967">
        <w:rPr>
          <w:rFonts w:ascii="Arial" w:hAnsi="Arial" w:cs="Arial"/>
          <w:color w:val="0070C0"/>
        </w:rPr>
        <w:t>, as passed by the RPC and COW, also established expected maximum grant awards for projects, and</w:t>
      </w:r>
      <w:r w:rsidR="00F06967" w:rsidRPr="00F06967">
        <w:rPr>
          <w:rFonts w:ascii="Arial" w:hAnsi="Arial" w:cs="Arial"/>
          <w:color w:val="0070C0"/>
        </w:rPr>
        <w:t xml:space="preserve"> will be considered by Council on November 2</w:t>
      </w:r>
      <w:r w:rsidR="00F06967" w:rsidRPr="00F06967">
        <w:rPr>
          <w:rFonts w:ascii="Arial" w:hAnsi="Arial" w:cs="Arial"/>
          <w:color w:val="0070C0"/>
          <w:vertAlign w:val="superscript"/>
        </w:rPr>
        <w:t>nd</w:t>
      </w:r>
      <w:r w:rsidR="00F06967" w:rsidRPr="00F06967">
        <w:rPr>
          <w:rFonts w:ascii="Arial" w:hAnsi="Arial" w:cs="Arial"/>
          <w:color w:val="0070C0"/>
        </w:rPr>
        <w:t>.</w:t>
      </w:r>
    </w:p>
  </w:footnote>
  <w:footnote w:id="41">
    <w:p w14:paraId="160F36BD" w14:textId="77777777" w:rsidR="00923180" w:rsidRDefault="00923180" w:rsidP="00923180">
      <w:pPr>
        <w:pStyle w:val="FootnoteText"/>
      </w:pPr>
      <w:r w:rsidRPr="004A6185">
        <w:rPr>
          <w:rStyle w:val="FootnoteReference"/>
          <w:rFonts w:ascii="Arial" w:hAnsi="Arial" w:cs="Arial"/>
        </w:rPr>
        <w:footnoteRef/>
      </w:r>
      <w:r w:rsidRPr="004A6185">
        <w:rPr>
          <w:rFonts w:ascii="Arial" w:hAnsi="Arial" w:cs="Arial"/>
        </w:rPr>
        <w:t xml:space="preserve"> </w:t>
      </w:r>
      <w:r>
        <w:rPr>
          <w:rFonts w:ascii="Arial" w:hAnsi="Arial" w:cs="Arial"/>
        </w:rPr>
        <w:t xml:space="preserve">The court defined Trueblood Class Members in </w:t>
      </w:r>
      <w:r w:rsidRPr="00866985">
        <w:rPr>
          <w:rFonts w:ascii="Arial" w:hAnsi="Arial" w:cs="Arial"/>
        </w:rPr>
        <w:t>Trueblood et al v. Washington State DSHS</w:t>
      </w:r>
      <w:r>
        <w:rPr>
          <w:rFonts w:ascii="Arial" w:hAnsi="Arial" w:cs="Arial"/>
        </w:rPr>
        <w:t xml:space="preserve"> as “</w:t>
      </w:r>
      <w:r w:rsidRPr="004A6185">
        <w:rPr>
          <w:rFonts w:ascii="Arial" w:hAnsi="Arial" w:cs="Arial"/>
        </w:rPr>
        <w:t>all persons who are now, or will be in the future, charged with a crime in the state of Washington and:</w:t>
      </w:r>
      <w:r>
        <w:rPr>
          <w:rFonts w:ascii="Arial" w:hAnsi="Arial" w:cs="Arial"/>
        </w:rPr>
        <w:t xml:space="preserve"> </w:t>
      </w:r>
      <w:r w:rsidRPr="004A6185">
        <w:rPr>
          <w:rFonts w:ascii="Arial" w:hAnsi="Arial" w:cs="Arial"/>
        </w:rPr>
        <w:t>(a) who are ordered by a court to receive competency evaluation or restoration services through DSHS;</w:t>
      </w:r>
      <w:r>
        <w:rPr>
          <w:rFonts w:ascii="Arial" w:hAnsi="Arial" w:cs="Arial"/>
        </w:rPr>
        <w:t xml:space="preserve"> </w:t>
      </w:r>
      <w:r w:rsidRPr="004A6185">
        <w:rPr>
          <w:rFonts w:ascii="Arial" w:hAnsi="Arial" w:cs="Arial"/>
        </w:rPr>
        <w:t>(b) who are waiting in jail for those services; and</w:t>
      </w:r>
      <w:r>
        <w:rPr>
          <w:rFonts w:ascii="Arial" w:hAnsi="Arial" w:cs="Arial"/>
        </w:rPr>
        <w:t xml:space="preserve"> </w:t>
      </w:r>
      <w:r w:rsidRPr="004A6185">
        <w:rPr>
          <w:rFonts w:ascii="Arial" w:hAnsi="Arial" w:cs="Arial"/>
        </w:rPr>
        <w:t>(c) for whom DSHS receives the court order.</w:t>
      </w:r>
    </w:p>
  </w:footnote>
  <w:footnote w:id="42">
    <w:p w14:paraId="60B3A63B" w14:textId="77777777" w:rsidR="00923180" w:rsidRPr="0032409A" w:rsidRDefault="00923180" w:rsidP="00923180">
      <w:pPr>
        <w:pStyle w:val="FootnoteText"/>
        <w:rPr>
          <w:rFonts w:ascii="Arial" w:hAnsi="Arial" w:cs="Arial"/>
        </w:rPr>
      </w:pPr>
      <w:r w:rsidRPr="0032409A">
        <w:rPr>
          <w:rStyle w:val="FootnoteReference"/>
          <w:rFonts w:ascii="Arial" w:hAnsi="Arial" w:cs="Arial"/>
        </w:rPr>
        <w:footnoteRef/>
      </w:r>
      <w:r w:rsidRPr="0032409A">
        <w:rPr>
          <w:rFonts w:ascii="Arial" w:hAnsi="Arial" w:cs="Arial"/>
        </w:rPr>
        <w:t xml:space="preserve"> Proposed Ordinance 2021-</w:t>
      </w:r>
      <w:r>
        <w:rPr>
          <w:rFonts w:ascii="Arial" w:hAnsi="Arial" w:cs="Arial"/>
        </w:rPr>
        <w:t>0288</w:t>
      </w:r>
      <w:r w:rsidRPr="0032409A">
        <w:rPr>
          <w:rFonts w:ascii="Arial" w:hAnsi="Arial" w:cs="Arial"/>
        </w:rPr>
        <w:t>, Attachment A, pg. 69</w:t>
      </w:r>
    </w:p>
  </w:footnote>
  <w:footnote w:id="43">
    <w:p w14:paraId="5003DC52" w14:textId="77777777" w:rsidR="00AB45DE" w:rsidRDefault="00AB45DE" w:rsidP="00AB45DE">
      <w:pPr>
        <w:pStyle w:val="FootnoteText"/>
      </w:pPr>
      <w:r>
        <w:rPr>
          <w:rStyle w:val="FootnoteReference"/>
        </w:rPr>
        <w:footnoteRef/>
      </w:r>
      <w:r>
        <w:t xml:space="preserve"> WSDOT Washington Electric Aircraft Feasibility Study. November 2020. LINK: </w:t>
      </w:r>
      <w:hyperlink r:id="rId9" w:history="1">
        <w:r w:rsidRPr="00A24C7F">
          <w:rPr>
            <w:rStyle w:val="Hyperlink"/>
          </w:rPr>
          <w:t>https://wsdot.wa.gov/sites/default/files/2020/11/18/Electric-Aircraft-Feasibility-Study-Nov2020.pdf</w:t>
        </w:r>
      </w:hyperlink>
      <w:r>
        <w:t xml:space="preserve">. </w:t>
      </w:r>
    </w:p>
  </w:footnote>
  <w:footnote w:id="44">
    <w:p w14:paraId="5E786ECD" w14:textId="77777777" w:rsidR="00115702" w:rsidRPr="001630B6" w:rsidRDefault="00115702" w:rsidP="00115702">
      <w:pPr>
        <w:jc w:val="both"/>
        <w:rPr>
          <w:rFonts w:ascii="Arial" w:hAnsi="Arial" w:cs="Arial"/>
          <w:sz w:val="20"/>
        </w:rPr>
      </w:pPr>
      <w:r w:rsidRPr="001630B6">
        <w:rPr>
          <w:rStyle w:val="FootnoteReference"/>
          <w:rFonts w:ascii="Arial" w:hAnsi="Arial" w:cs="Arial"/>
          <w:sz w:val="20"/>
        </w:rPr>
        <w:footnoteRef/>
      </w:r>
      <w:r w:rsidRPr="001630B6">
        <w:rPr>
          <w:rFonts w:ascii="Arial" w:hAnsi="Arial" w:cs="Arial"/>
          <w:sz w:val="20"/>
        </w:rPr>
        <w:t xml:space="preserve"> In April </w:t>
      </w:r>
      <w:r>
        <w:rPr>
          <w:rFonts w:ascii="Arial" w:hAnsi="Arial" w:cs="Arial"/>
          <w:sz w:val="20"/>
        </w:rPr>
        <w:t xml:space="preserve">of </w:t>
      </w:r>
      <w:r w:rsidRPr="001630B6">
        <w:rPr>
          <w:rFonts w:ascii="Arial" w:hAnsi="Arial" w:cs="Arial"/>
          <w:sz w:val="20"/>
        </w:rPr>
        <w:t xml:space="preserve">2015, King County voters approved a nine-year property tax levy to fund the Puget Sound Emergency Radio Network (PSERN) project. Once completed, PSERN will replace and upgrade the county’s existing emergency radio communications system </w:t>
      </w:r>
      <w:r>
        <w:rPr>
          <w:rFonts w:ascii="Arial" w:hAnsi="Arial" w:cs="Arial"/>
          <w:sz w:val="20"/>
        </w:rPr>
        <w:t xml:space="preserve">(KCERCS), </w:t>
      </w:r>
      <w:r w:rsidRPr="001630B6">
        <w:rPr>
          <w:rFonts w:ascii="Arial" w:hAnsi="Arial" w:cs="Arial"/>
          <w:sz w:val="20"/>
        </w:rPr>
        <w:t xml:space="preserve">which is more than twenty years old. </w:t>
      </w:r>
      <w:r>
        <w:rPr>
          <w:rFonts w:ascii="Arial" w:hAnsi="Arial" w:cs="Arial"/>
          <w:iCs/>
          <w:sz w:val="20"/>
        </w:rPr>
        <w:t>Project</w:t>
      </w:r>
      <w:r w:rsidRPr="001630B6">
        <w:rPr>
          <w:rFonts w:ascii="Arial" w:hAnsi="Arial" w:cs="Arial"/>
          <w:sz w:val="20"/>
        </w:rPr>
        <w:t xml:space="preserve"> full system acceptance (FSA) is currently anticipated for March</w:t>
      </w:r>
      <w:r>
        <w:rPr>
          <w:rFonts w:ascii="Arial" w:hAnsi="Arial" w:cs="Arial"/>
          <w:sz w:val="20"/>
        </w:rPr>
        <w:t xml:space="preserve"> </w:t>
      </w:r>
      <w:r w:rsidRPr="001630B6">
        <w:rPr>
          <w:rFonts w:ascii="Arial" w:hAnsi="Arial" w:cs="Arial"/>
          <w:sz w:val="20"/>
        </w:rPr>
        <w:t xml:space="preserve">2023 (as of </w:t>
      </w:r>
      <w:r>
        <w:rPr>
          <w:rFonts w:ascii="Arial" w:hAnsi="Arial" w:cs="Arial"/>
          <w:sz w:val="20"/>
        </w:rPr>
        <w:t xml:space="preserve">September </w:t>
      </w:r>
      <w:r w:rsidRPr="001630B6">
        <w:rPr>
          <w:rFonts w:ascii="Arial" w:hAnsi="Arial" w:cs="Arial"/>
          <w:sz w:val="20"/>
        </w:rPr>
        <w:t>2021).</w:t>
      </w:r>
    </w:p>
    <w:p w14:paraId="4D3F93C6" w14:textId="77777777" w:rsidR="00115702" w:rsidRDefault="00115702" w:rsidP="00115702">
      <w:pPr>
        <w:pStyle w:val="FootnoteText"/>
      </w:pPr>
    </w:p>
  </w:footnote>
  <w:footnote w:id="45">
    <w:p w14:paraId="09595D75" w14:textId="77777777" w:rsidR="009B4F72" w:rsidRPr="00845CA3" w:rsidRDefault="009B4F72" w:rsidP="009B4F72">
      <w:pPr>
        <w:pStyle w:val="FootnoteText"/>
        <w:rPr>
          <w:rFonts w:ascii="Arial" w:hAnsi="Arial" w:cs="Arial"/>
        </w:rPr>
      </w:pPr>
      <w:r w:rsidRPr="00845CA3">
        <w:rPr>
          <w:rStyle w:val="FootnoteReference"/>
          <w:rFonts w:ascii="Arial" w:hAnsi="Arial" w:cs="Arial"/>
        </w:rPr>
        <w:footnoteRef/>
      </w:r>
      <w:r w:rsidRPr="00845CA3">
        <w:rPr>
          <w:rFonts w:ascii="Arial" w:hAnsi="Arial" w:cs="Arial"/>
        </w:rPr>
        <w:t xml:space="preserve"> The proposed ordinance would </w:t>
      </w:r>
      <w:r w:rsidRPr="00845CA3">
        <w:rPr>
          <w:rFonts w:ascii="Arial" w:hAnsi="Arial" w:cs="Arial"/>
          <w:bCs/>
        </w:rPr>
        <w:t>disappropriate and then reappropriate $5.1 million (to reflect proposed date changes for two proviso responses) and appropriate $57.9 million, for a net increase in appropriation authority of $52.7 million.</w:t>
      </w:r>
    </w:p>
  </w:footnote>
  <w:footnote w:id="46">
    <w:p w14:paraId="44630667" w14:textId="77777777" w:rsidR="009B4F72" w:rsidRPr="006101AC" w:rsidRDefault="009B4F72" w:rsidP="009B4F72">
      <w:pPr>
        <w:pStyle w:val="FootnoteText"/>
        <w:rPr>
          <w:rFonts w:ascii="Arial" w:hAnsi="Arial" w:cs="Arial"/>
        </w:rPr>
      </w:pPr>
      <w:r w:rsidRPr="006101AC">
        <w:rPr>
          <w:rStyle w:val="FootnoteReference"/>
          <w:rFonts w:ascii="Arial" w:hAnsi="Arial" w:cs="Arial"/>
        </w:rPr>
        <w:footnoteRef/>
      </w:r>
      <w:r w:rsidRPr="006101AC">
        <w:rPr>
          <w:rFonts w:ascii="Arial" w:hAnsi="Arial" w:cs="Arial"/>
        </w:rPr>
        <w:t xml:space="preserve"> </w:t>
      </w:r>
      <w:r>
        <w:rPr>
          <w:rFonts w:ascii="Arial" w:hAnsi="Arial" w:cs="Arial"/>
        </w:rPr>
        <w:t xml:space="preserve">Metro’s </w:t>
      </w:r>
      <w:r w:rsidRPr="006101AC">
        <w:rPr>
          <w:rFonts w:ascii="Arial" w:hAnsi="Arial" w:cs="Arial"/>
        </w:rPr>
        <w:t xml:space="preserve">2021-2022 adopted budget included </w:t>
      </w:r>
      <w:r w:rsidRPr="006101AC">
        <w:rPr>
          <w:rFonts w:ascii="Arial" w:hAnsi="Arial" w:cs="Arial"/>
          <w:bCs/>
        </w:rPr>
        <w:t>a net reduction of 226.2 FTEs.</w:t>
      </w:r>
    </w:p>
  </w:footnote>
  <w:footnote w:id="47">
    <w:p w14:paraId="25F98066" w14:textId="77777777" w:rsidR="009B4F72" w:rsidRPr="00376A25" w:rsidRDefault="009B4F72" w:rsidP="009B4F72">
      <w:pPr>
        <w:pStyle w:val="FootnoteText"/>
        <w:rPr>
          <w:rFonts w:ascii="Arial" w:hAnsi="Arial" w:cs="Arial"/>
        </w:rPr>
      </w:pPr>
      <w:r w:rsidRPr="00376A25">
        <w:rPr>
          <w:rStyle w:val="FootnoteReference"/>
          <w:rFonts w:ascii="Arial" w:hAnsi="Arial" w:cs="Arial"/>
        </w:rPr>
        <w:footnoteRef/>
      </w:r>
      <w:r w:rsidRPr="00376A25">
        <w:rPr>
          <w:rFonts w:ascii="Arial" w:hAnsi="Arial" w:cs="Arial"/>
        </w:rPr>
        <w:t xml:space="preserve"> Metro operates Sound Transit light rail and express bus service under contract to Sound Transit. </w:t>
      </w:r>
    </w:p>
  </w:footnote>
  <w:footnote w:id="48">
    <w:p w14:paraId="6FBFA0DE" w14:textId="77777777" w:rsidR="009B4F72" w:rsidRPr="00CF77B7" w:rsidRDefault="009B4F72" w:rsidP="009B4F72">
      <w:pPr>
        <w:pStyle w:val="FootnoteText"/>
        <w:rPr>
          <w:rFonts w:ascii="Arial" w:hAnsi="Arial" w:cs="Arial"/>
        </w:rPr>
      </w:pPr>
      <w:r w:rsidRPr="00CF77B7">
        <w:rPr>
          <w:rStyle w:val="FootnoteReference"/>
          <w:rFonts w:ascii="Arial" w:hAnsi="Arial" w:cs="Arial"/>
        </w:rPr>
        <w:footnoteRef/>
      </w:r>
      <w:r w:rsidRPr="00CF77B7">
        <w:rPr>
          <w:rFonts w:ascii="Arial" w:hAnsi="Arial" w:cs="Arial"/>
        </w:rPr>
        <w:t xml:space="preserve"> Since the start of the pandemic, Metro has been allocated </w:t>
      </w:r>
      <w:r>
        <w:rPr>
          <w:rFonts w:ascii="Arial" w:hAnsi="Arial" w:cs="Arial"/>
        </w:rPr>
        <w:t xml:space="preserve">a total of </w:t>
      </w:r>
      <w:r w:rsidRPr="008E77FD">
        <w:rPr>
          <w:rFonts w:ascii="Arial" w:hAnsi="Arial" w:cs="Arial"/>
          <w:b/>
          <w:bCs/>
        </w:rPr>
        <w:t>$897 million</w:t>
      </w:r>
      <w:r>
        <w:rPr>
          <w:rFonts w:ascii="Arial" w:hAnsi="Arial" w:cs="Arial"/>
        </w:rPr>
        <w:t xml:space="preserve"> in </w:t>
      </w:r>
      <w:r w:rsidRPr="00CF77B7">
        <w:rPr>
          <w:rFonts w:ascii="Arial" w:hAnsi="Arial" w:cs="Arial"/>
        </w:rPr>
        <w:t xml:space="preserve">three tranches of federal aid through the Puget Sound Regional Council. </w:t>
      </w:r>
      <w:r>
        <w:rPr>
          <w:rFonts w:ascii="Arial" w:hAnsi="Arial" w:cs="Arial"/>
        </w:rPr>
        <w:t xml:space="preserve"> </w:t>
      </w:r>
      <w:r w:rsidRPr="00CF77B7">
        <w:rPr>
          <w:rFonts w:ascii="Arial" w:hAnsi="Arial" w:cs="Arial"/>
        </w:rPr>
        <w:t xml:space="preserve">In </w:t>
      </w:r>
      <w:r>
        <w:rPr>
          <w:rFonts w:ascii="Arial" w:hAnsi="Arial" w:cs="Arial"/>
        </w:rPr>
        <w:t xml:space="preserve">March 2020, Congress passed the </w:t>
      </w:r>
      <w:r w:rsidRPr="00CF77B7">
        <w:rPr>
          <w:rFonts w:ascii="Arial" w:hAnsi="Arial" w:cs="Arial"/>
        </w:rPr>
        <w:t>Coronavirus Aid, Relief, and Economic Security (</w:t>
      </w:r>
      <w:r w:rsidRPr="00CF77B7">
        <w:rPr>
          <w:rFonts w:ascii="Arial" w:hAnsi="Arial" w:cs="Arial"/>
          <w:b/>
          <w:bCs/>
        </w:rPr>
        <w:t>CARES</w:t>
      </w:r>
      <w:r w:rsidRPr="00CF77B7">
        <w:rPr>
          <w:rFonts w:ascii="Arial" w:hAnsi="Arial" w:cs="Arial"/>
        </w:rPr>
        <w:t>) Act</w:t>
      </w:r>
      <w:r>
        <w:rPr>
          <w:rFonts w:ascii="Arial" w:hAnsi="Arial" w:cs="Arial"/>
        </w:rPr>
        <w:t>, from which</w:t>
      </w:r>
      <w:r w:rsidRPr="00CF77B7">
        <w:rPr>
          <w:rFonts w:ascii="Arial" w:hAnsi="Arial" w:cs="Arial"/>
        </w:rPr>
        <w:t xml:space="preserve"> Metro was allocated </w:t>
      </w:r>
      <w:r w:rsidRPr="00CF77B7">
        <w:rPr>
          <w:rFonts w:ascii="Arial" w:hAnsi="Arial" w:cs="Arial"/>
          <w:b/>
          <w:bCs/>
        </w:rPr>
        <w:t>$243.7 million</w:t>
      </w:r>
      <w:r w:rsidRPr="00CF77B7">
        <w:rPr>
          <w:rFonts w:ascii="Arial" w:hAnsi="Arial" w:cs="Arial"/>
        </w:rPr>
        <w:t xml:space="preserve"> </w:t>
      </w:r>
      <w:r>
        <w:rPr>
          <w:rFonts w:ascii="Arial" w:hAnsi="Arial" w:cs="Arial"/>
        </w:rPr>
        <w:t>in April 2020</w:t>
      </w:r>
      <w:r w:rsidRPr="00CF77B7">
        <w:rPr>
          <w:rFonts w:ascii="Arial" w:hAnsi="Arial" w:cs="Arial"/>
        </w:rPr>
        <w:t xml:space="preserve">. </w:t>
      </w:r>
      <w:r>
        <w:rPr>
          <w:rFonts w:ascii="Arial" w:hAnsi="Arial" w:cs="Arial"/>
        </w:rPr>
        <w:t xml:space="preserve"> </w:t>
      </w:r>
      <w:r w:rsidRPr="00CF77B7">
        <w:rPr>
          <w:rFonts w:ascii="Arial" w:hAnsi="Arial" w:cs="Arial"/>
        </w:rPr>
        <w:t xml:space="preserve">Metro used this funding to cover the revenue losses and emergency operational expenses during the early months of the pandemic, fully expending the funds by the end of 2020. </w:t>
      </w:r>
      <w:r>
        <w:rPr>
          <w:rFonts w:ascii="Arial" w:hAnsi="Arial" w:cs="Arial"/>
        </w:rPr>
        <w:t xml:space="preserve">In December 2020, Congress passed the </w:t>
      </w:r>
      <w:r w:rsidRPr="00CF77B7">
        <w:rPr>
          <w:rFonts w:ascii="Arial" w:hAnsi="Arial" w:cs="Arial"/>
        </w:rPr>
        <w:t>Coronavirus Response and Relief Supplemental Appropriations Act (</w:t>
      </w:r>
      <w:r w:rsidRPr="00CF77B7">
        <w:rPr>
          <w:rFonts w:ascii="Arial" w:hAnsi="Arial" w:cs="Arial"/>
          <w:b/>
          <w:bCs/>
        </w:rPr>
        <w:t>CRRSAA</w:t>
      </w:r>
      <w:r w:rsidRPr="00CF77B7">
        <w:rPr>
          <w:rFonts w:ascii="Arial" w:hAnsi="Arial" w:cs="Arial"/>
        </w:rPr>
        <w:t>)</w:t>
      </w:r>
      <w:r>
        <w:rPr>
          <w:rFonts w:ascii="Arial" w:hAnsi="Arial" w:cs="Arial"/>
        </w:rPr>
        <w:t xml:space="preserve">, from which Metro was allocated </w:t>
      </w:r>
      <w:r w:rsidRPr="00CF77B7">
        <w:rPr>
          <w:rFonts w:ascii="Arial" w:hAnsi="Arial" w:cs="Arial"/>
          <w:b/>
          <w:bCs/>
        </w:rPr>
        <w:t>$258 million</w:t>
      </w:r>
      <w:r w:rsidRPr="00CF77B7">
        <w:rPr>
          <w:rFonts w:ascii="Arial" w:hAnsi="Arial" w:cs="Arial"/>
        </w:rPr>
        <w:t xml:space="preserve"> </w:t>
      </w:r>
      <w:r>
        <w:rPr>
          <w:rFonts w:ascii="Arial" w:hAnsi="Arial" w:cs="Arial"/>
        </w:rPr>
        <w:t>i</w:t>
      </w:r>
      <w:r w:rsidRPr="00CF77B7">
        <w:rPr>
          <w:rFonts w:ascii="Arial" w:hAnsi="Arial" w:cs="Arial"/>
        </w:rPr>
        <w:t>n April 2021</w:t>
      </w:r>
      <w:r>
        <w:rPr>
          <w:rFonts w:ascii="Arial" w:hAnsi="Arial" w:cs="Arial"/>
        </w:rPr>
        <w:t>.</w:t>
      </w:r>
      <w:r w:rsidRPr="00CF77B7">
        <w:rPr>
          <w:rFonts w:ascii="Arial" w:hAnsi="Arial" w:cs="Arial"/>
        </w:rPr>
        <w:t xml:space="preserve"> </w:t>
      </w:r>
      <w:r>
        <w:rPr>
          <w:rFonts w:ascii="Arial" w:hAnsi="Arial" w:cs="Arial"/>
        </w:rPr>
        <w:t xml:space="preserve"> Much of t</w:t>
      </w:r>
      <w:r w:rsidRPr="00CF77B7">
        <w:rPr>
          <w:rFonts w:ascii="Arial" w:hAnsi="Arial" w:cs="Arial"/>
        </w:rPr>
        <w:t xml:space="preserve">his funding </w:t>
      </w:r>
      <w:r>
        <w:rPr>
          <w:rFonts w:ascii="Arial" w:hAnsi="Arial" w:cs="Arial"/>
        </w:rPr>
        <w:t>was incorporated into Metro’s revenue estimates prior to the end of 2020, with the remainder appearing</w:t>
      </w:r>
      <w:r w:rsidRPr="00CF77B7">
        <w:rPr>
          <w:rFonts w:ascii="Arial" w:hAnsi="Arial" w:cs="Arial"/>
        </w:rPr>
        <w:t xml:space="preserve"> in the revenue estimates in the proposed ordinance.</w:t>
      </w:r>
      <w:r>
        <w:rPr>
          <w:rFonts w:ascii="Arial" w:hAnsi="Arial" w:cs="Arial"/>
        </w:rPr>
        <w:t xml:space="preserve"> </w:t>
      </w:r>
      <w:r w:rsidRPr="00CF77B7">
        <w:rPr>
          <w:rFonts w:ascii="Arial" w:hAnsi="Arial" w:cs="Arial"/>
        </w:rPr>
        <w:t xml:space="preserve"> In </w:t>
      </w:r>
      <w:r>
        <w:rPr>
          <w:rFonts w:ascii="Arial" w:hAnsi="Arial" w:cs="Arial"/>
        </w:rPr>
        <w:t xml:space="preserve">March 2021, Congress passed the </w:t>
      </w:r>
      <w:r w:rsidRPr="00CF77B7">
        <w:rPr>
          <w:rFonts w:ascii="Arial" w:hAnsi="Arial" w:cs="Arial"/>
        </w:rPr>
        <w:t>American Rescue Plan Act (</w:t>
      </w:r>
      <w:r w:rsidRPr="00CF77B7">
        <w:rPr>
          <w:rFonts w:ascii="Arial" w:hAnsi="Arial" w:cs="Arial"/>
          <w:b/>
          <w:bCs/>
        </w:rPr>
        <w:t>ARPA</w:t>
      </w:r>
      <w:r w:rsidRPr="00CF77B7">
        <w:rPr>
          <w:rFonts w:ascii="Arial" w:hAnsi="Arial" w:cs="Arial"/>
        </w:rPr>
        <w:t>)</w:t>
      </w:r>
      <w:r>
        <w:rPr>
          <w:rFonts w:ascii="Arial" w:hAnsi="Arial" w:cs="Arial"/>
        </w:rPr>
        <w:t xml:space="preserve">, from which </w:t>
      </w:r>
      <w:r w:rsidRPr="00CF77B7">
        <w:rPr>
          <w:rFonts w:ascii="Arial" w:hAnsi="Arial" w:cs="Arial"/>
        </w:rPr>
        <w:t xml:space="preserve">Metro was allocated </w:t>
      </w:r>
      <w:r w:rsidRPr="00CF77B7">
        <w:rPr>
          <w:rFonts w:ascii="Arial" w:hAnsi="Arial" w:cs="Arial"/>
          <w:b/>
          <w:bCs/>
        </w:rPr>
        <w:t>$395.6 million</w:t>
      </w:r>
      <w:r w:rsidRPr="00CF77B7">
        <w:rPr>
          <w:rFonts w:ascii="Arial" w:hAnsi="Arial" w:cs="Arial"/>
        </w:rPr>
        <w:t xml:space="preserve"> </w:t>
      </w:r>
      <w:r>
        <w:rPr>
          <w:rFonts w:ascii="Arial" w:hAnsi="Arial" w:cs="Arial"/>
        </w:rPr>
        <w:t xml:space="preserve">in September 2021. </w:t>
      </w:r>
      <w:r w:rsidRPr="00CF77B7">
        <w:rPr>
          <w:rFonts w:ascii="Arial" w:hAnsi="Arial" w:cs="Arial"/>
        </w:rPr>
        <w:t xml:space="preserve"> This latest round of federal relief funding has been incorporated into Metro’s revenue estimates</w:t>
      </w:r>
      <w:r>
        <w:rPr>
          <w:rFonts w:ascii="Arial" w:hAnsi="Arial" w:cs="Arial"/>
        </w:rPr>
        <w:t xml:space="preserve"> as part of the proposed ordinance</w:t>
      </w:r>
      <w:r w:rsidRPr="00CF77B7">
        <w:rPr>
          <w:rFonts w:ascii="Arial" w:hAnsi="Arial" w:cs="Arial"/>
        </w:rPr>
        <w:t>.</w:t>
      </w:r>
    </w:p>
  </w:footnote>
  <w:footnote w:id="49">
    <w:p w14:paraId="1A1CB2E4" w14:textId="61255FA7" w:rsidR="003751B8" w:rsidRPr="003751B8" w:rsidRDefault="003751B8">
      <w:pPr>
        <w:pStyle w:val="FootnoteText"/>
        <w:rPr>
          <w:rFonts w:ascii="Arial" w:hAnsi="Arial" w:cs="Arial"/>
          <w:color w:val="4F81BD" w:themeColor="accent1"/>
        </w:rPr>
      </w:pPr>
      <w:r w:rsidRPr="003751B8">
        <w:rPr>
          <w:rStyle w:val="FootnoteReference"/>
          <w:rFonts w:ascii="Arial" w:hAnsi="Arial" w:cs="Arial"/>
          <w:color w:val="4F81BD" w:themeColor="accent1"/>
        </w:rPr>
        <w:footnoteRef/>
      </w:r>
      <w:r w:rsidRPr="003751B8">
        <w:rPr>
          <w:rFonts w:ascii="Arial" w:hAnsi="Arial" w:cs="Arial"/>
          <w:color w:val="4F81BD" w:themeColor="accent1"/>
        </w:rPr>
        <w:t xml:space="preserve"> Metro staff note that the financial plan’s indication of $681 million in increased revenues includes some revenues that are transferred from the Capital fund to the Operating fund.</w:t>
      </w:r>
    </w:p>
  </w:footnote>
  <w:footnote w:id="50">
    <w:p w14:paraId="258B605B" w14:textId="1B0BF0B8" w:rsidR="009B4F72" w:rsidRPr="0081785B" w:rsidRDefault="009B4F72" w:rsidP="009B4F72">
      <w:pPr>
        <w:pStyle w:val="FootnoteText"/>
        <w:rPr>
          <w:rFonts w:ascii="Arial" w:hAnsi="Arial" w:cs="Arial"/>
        </w:rPr>
      </w:pPr>
      <w:r w:rsidRPr="0081785B">
        <w:rPr>
          <w:rStyle w:val="FootnoteReference"/>
          <w:rFonts w:ascii="Arial" w:hAnsi="Arial" w:cs="Arial"/>
        </w:rPr>
        <w:footnoteRef/>
      </w:r>
      <w:r w:rsidRPr="0081785B">
        <w:rPr>
          <w:rFonts w:ascii="Arial" w:hAnsi="Arial" w:cs="Arial"/>
        </w:rPr>
        <w:t xml:space="preserve"> </w:t>
      </w:r>
      <w:r>
        <w:rPr>
          <w:rFonts w:ascii="Arial" w:hAnsi="Arial" w:cs="Arial"/>
        </w:rPr>
        <w:t xml:space="preserve">As of October 2, 2021, Metro has restored approximately half the service it suspended in response to the pandemic (approximately 200,000 service hours restored, with the remaining service hours to be restored during 2022).  Ridership has been slower to return, in part of because of the </w:t>
      </w:r>
      <w:r w:rsidRPr="00F84F33">
        <w:rPr>
          <w:rFonts w:ascii="Arial" w:hAnsi="Arial" w:cs="Arial"/>
        </w:rPr>
        <w:t xml:space="preserve">delay of many local employers in returning employees to physical offices in response to the </w:t>
      </w:r>
      <w:r>
        <w:rPr>
          <w:rFonts w:ascii="Arial" w:hAnsi="Arial" w:cs="Arial"/>
        </w:rPr>
        <w:t xml:space="preserve">Delta variant and </w:t>
      </w:r>
      <w:r w:rsidRPr="00F84F33">
        <w:rPr>
          <w:rFonts w:ascii="Arial" w:hAnsi="Arial" w:cs="Arial"/>
        </w:rPr>
        <w:t>higher COVID-19 caseloads of the last several months</w:t>
      </w:r>
      <w:r>
        <w:rPr>
          <w:rFonts w:ascii="Arial" w:hAnsi="Arial" w:cs="Arial"/>
        </w:rPr>
        <w:t xml:space="preserve">. </w:t>
      </w:r>
    </w:p>
  </w:footnote>
  <w:footnote w:id="51">
    <w:p w14:paraId="6EFC58B3" w14:textId="619C039C" w:rsidR="009B4F72" w:rsidRPr="007F7231" w:rsidRDefault="009B4F72" w:rsidP="009B4F72">
      <w:pPr>
        <w:pStyle w:val="FootnoteText"/>
        <w:rPr>
          <w:rFonts w:ascii="Arial" w:hAnsi="Arial" w:cs="Arial"/>
        </w:rPr>
      </w:pPr>
      <w:r w:rsidRPr="007F7231">
        <w:rPr>
          <w:rStyle w:val="FootnoteReference"/>
          <w:rFonts w:ascii="Arial" w:hAnsi="Arial" w:cs="Arial"/>
        </w:rPr>
        <w:footnoteRef/>
      </w:r>
      <w:r w:rsidRPr="007F7231">
        <w:rPr>
          <w:rFonts w:ascii="Arial" w:hAnsi="Arial" w:cs="Arial"/>
        </w:rPr>
        <w:t xml:space="preserve"> Ordinance 19206 suspended Metro’s farebox recovery ratio for the 2021-2022 biennium.</w:t>
      </w:r>
      <w:r>
        <w:rPr>
          <w:rFonts w:ascii="Arial" w:hAnsi="Arial" w:cs="Arial"/>
        </w:rPr>
        <w:t xml:space="preserve"> </w:t>
      </w:r>
      <w:r w:rsidRPr="007F7231">
        <w:rPr>
          <w:rFonts w:ascii="Arial" w:hAnsi="Arial" w:cs="Arial"/>
        </w:rPr>
        <w:t>The target (from Ordinance 18321) that has been suspended is to cover 30 percent of passenger related operating costs from farebox revenues, with a requirement for covering at least 25 percent of passenger related operating costs from farebox revenues.</w:t>
      </w:r>
    </w:p>
  </w:footnote>
  <w:footnote w:id="52">
    <w:p w14:paraId="61E3BC78" w14:textId="77777777" w:rsidR="009B4F72" w:rsidRPr="00211144" w:rsidRDefault="009B4F72" w:rsidP="009B4F72">
      <w:pPr>
        <w:pStyle w:val="FootnoteText"/>
        <w:rPr>
          <w:rFonts w:ascii="Arial" w:hAnsi="Arial" w:cs="Arial"/>
        </w:rPr>
      </w:pPr>
      <w:r w:rsidRPr="00211144">
        <w:rPr>
          <w:rStyle w:val="FootnoteReference"/>
          <w:rFonts w:ascii="Arial" w:hAnsi="Arial" w:cs="Arial"/>
        </w:rPr>
        <w:footnoteRef/>
      </w:r>
      <w:r w:rsidRPr="00211144">
        <w:rPr>
          <w:rFonts w:ascii="Arial" w:hAnsi="Arial" w:cs="Arial"/>
        </w:rPr>
        <w:t xml:space="preserve"> Metro Connects was adopted via Ordinance 18449, is proposed to be updated through Proposed Ordinance 2021-0286.</w:t>
      </w:r>
    </w:p>
  </w:footnote>
  <w:footnote w:id="53">
    <w:p w14:paraId="78C221BB" w14:textId="77777777" w:rsidR="009B4F72" w:rsidRPr="005C1146" w:rsidRDefault="009B4F72" w:rsidP="009B4F72">
      <w:pPr>
        <w:pStyle w:val="FootnoteText"/>
        <w:rPr>
          <w:rFonts w:ascii="Arial" w:hAnsi="Arial" w:cs="Arial"/>
        </w:rPr>
      </w:pPr>
      <w:r w:rsidRPr="005C1146">
        <w:rPr>
          <w:rStyle w:val="FootnoteReference"/>
          <w:rFonts w:ascii="Arial" w:hAnsi="Arial" w:cs="Arial"/>
        </w:rPr>
        <w:footnoteRef/>
      </w:r>
      <w:r w:rsidRPr="005C1146">
        <w:rPr>
          <w:rFonts w:ascii="Arial" w:hAnsi="Arial" w:cs="Arial"/>
        </w:rPr>
        <w:t xml:space="preserve"> Includ</w:t>
      </w:r>
      <w:r>
        <w:rPr>
          <w:rFonts w:ascii="Arial" w:hAnsi="Arial" w:cs="Arial"/>
        </w:rPr>
        <w:t>es</w:t>
      </w:r>
      <w:r w:rsidRPr="005C1146">
        <w:rPr>
          <w:rFonts w:ascii="Arial" w:hAnsi="Arial" w:cs="Arial"/>
        </w:rPr>
        <w:t xml:space="preserve"> restoring a total of 8,000 </w:t>
      </w:r>
      <w:r>
        <w:rPr>
          <w:rFonts w:ascii="Arial" w:hAnsi="Arial" w:cs="Arial"/>
        </w:rPr>
        <w:t xml:space="preserve">hours </w:t>
      </w:r>
      <w:r w:rsidRPr="005C1146">
        <w:rPr>
          <w:rFonts w:ascii="Arial" w:hAnsi="Arial" w:cs="Arial"/>
        </w:rPr>
        <w:t>of suspended Dial-a-Ride Transit (DART) service during the biennium.</w:t>
      </w:r>
    </w:p>
  </w:footnote>
  <w:footnote w:id="54">
    <w:p w14:paraId="4A94F07A" w14:textId="1B9825E8" w:rsidR="009B4F72" w:rsidRPr="003E785D" w:rsidRDefault="009B4F72" w:rsidP="009B4F72">
      <w:pPr>
        <w:pStyle w:val="FootnoteText"/>
        <w:rPr>
          <w:rFonts w:ascii="Arial" w:hAnsi="Arial" w:cs="Arial"/>
        </w:rPr>
      </w:pPr>
      <w:r w:rsidRPr="003E785D">
        <w:rPr>
          <w:rStyle w:val="FootnoteReference"/>
          <w:rFonts w:ascii="Arial" w:hAnsi="Arial" w:cs="Arial"/>
        </w:rPr>
        <w:footnoteRef/>
      </w:r>
      <w:r w:rsidRPr="003E785D">
        <w:rPr>
          <w:rFonts w:ascii="Arial" w:hAnsi="Arial" w:cs="Arial"/>
        </w:rPr>
        <w:t xml:space="preserve"> </w:t>
      </w:r>
      <w:r>
        <w:rPr>
          <w:rFonts w:ascii="Arial" w:hAnsi="Arial" w:cs="Arial"/>
        </w:rPr>
        <w:t xml:space="preserve">Metro's transition to hybrid work is projected by Metro to both save and avoid costs long-term by </w:t>
      </w:r>
      <w:r w:rsidRPr="00A5581E">
        <w:rPr>
          <w:rFonts w:ascii="Arial" w:hAnsi="Arial" w:cs="Arial"/>
        </w:rPr>
        <w:t>reducing costs for previously leased space (about $2</w:t>
      </w:r>
      <w:r>
        <w:rPr>
          <w:rFonts w:ascii="Arial" w:hAnsi="Arial" w:cs="Arial"/>
        </w:rPr>
        <w:t xml:space="preserve"> million</w:t>
      </w:r>
      <w:r w:rsidRPr="00A5581E">
        <w:rPr>
          <w:rFonts w:ascii="Arial" w:hAnsi="Arial" w:cs="Arial"/>
        </w:rPr>
        <w:t xml:space="preserve"> per </w:t>
      </w:r>
      <w:r>
        <w:rPr>
          <w:rFonts w:ascii="Arial" w:hAnsi="Arial" w:cs="Arial"/>
        </w:rPr>
        <w:t>b</w:t>
      </w:r>
      <w:r w:rsidRPr="00A5581E">
        <w:rPr>
          <w:rFonts w:ascii="Arial" w:hAnsi="Arial" w:cs="Arial"/>
        </w:rPr>
        <w:t xml:space="preserve">iennia), reducing costs from </w:t>
      </w:r>
      <w:r>
        <w:rPr>
          <w:rFonts w:ascii="Arial" w:hAnsi="Arial" w:cs="Arial"/>
        </w:rPr>
        <w:t>Facilities Management Division fo</w:t>
      </w:r>
      <w:r w:rsidRPr="00A5581E">
        <w:rPr>
          <w:rFonts w:ascii="Arial" w:hAnsi="Arial" w:cs="Arial"/>
        </w:rPr>
        <w:t>r King Street Center due to decrease in square footage required, and reducing the need to invest in additional leased or built space.</w:t>
      </w:r>
      <w:r>
        <w:rPr>
          <w:rFonts w:ascii="Arial" w:hAnsi="Arial" w:cs="Arial"/>
        </w:rPr>
        <w:t xml:space="preserve"> The proposed ordinance also includes $13.2 million of King Street Center tenant improvements and maintenance work to support Metro’s reduced office space need.</w:t>
      </w:r>
    </w:p>
  </w:footnote>
  <w:footnote w:id="55">
    <w:p w14:paraId="4EDA67BD" w14:textId="77777777" w:rsidR="009B4F72" w:rsidRPr="005D19D9" w:rsidRDefault="009B4F72" w:rsidP="009B4F72">
      <w:pPr>
        <w:pStyle w:val="FootnoteText"/>
        <w:rPr>
          <w:rFonts w:ascii="Arial" w:hAnsi="Arial" w:cs="Arial"/>
        </w:rPr>
      </w:pPr>
      <w:r w:rsidRPr="005D19D9">
        <w:rPr>
          <w:rStyle w:val="FootnoteReference"/>
          <w:rFonts w:ascii="Arial" w:hAnsi="Arial" w:cs="Arial"/>
        </w:rPr>
        <w:footnoteRef/>
      </w:r>
      <w:r w:rsidRPr="005D19D9">
        <w:rPr>
          <w:rFonts w:ascii="Arial" w:hAnsi="Arial" w:cs="Arial"/>
        </w:rPr>
        <w:t xml:space="preserve"> </w:t>
      </w:r>
      <w:r>
        <w:rPr>
          <w:rFonts w:ascii="Arial" w:hAnsi="Arial" w:cs="Arial"/>
        </w:rPr>
        <w:t>Net appropriation request.  The proposed ordinance would disappropriate $15,440,083 from project #</w:t>
      </w:r>
      <w:r w:rsidRPr="00E55950">
        <w:t xml:space="preserve"> </w:t>
      </w:r>
      <w:r w:rsidRPr="00E55950">
        <w:rPr>
          <w:rFonts w:ascii="Arial" w:hAnsi="Arial" w:cs="Arial"/>
        </w:rPr>
        <w:t>1139369</w:t>
      </w:r>
      <w:r>
        <w:rPr>
          <w:rFonts w:ascii="Arial" w:hAnsi="Arial" w:cs="Arial"/>
        </w:rPr>
        <w:t xml:space="preserve"> South Annex Base Electrification, closing out that project, and reappropriate it to the South Annex Base project.</w:t>
      </w:r>
    </w:p>
  </w:footnote>
  <w:footnote w:id="56">
    <w:p w14:paraId="2BCA9B52" w14:textId="77777777" w:rsidR="009B4F72" w:rsidRPr="009A3DAF" w:rsidRDefault="009B4F72" w:rsidP="009B4F72">
      <w:pPr>
        <w:pStyle w:val="FootnoteText"/>
        <w:rPr>
          <w:rFonts w:ascii="Arial" w:hAnsi="Arial" w:cs="Arial"/>
        </w:rPr>
      </w:pPr>
      <w:r w:rsidRPr="009A3DAF">
        <w:rPr>
          <w:rStyle w:val="FootnoteReference"/>
          <w:rFonts w:ascii="Arial" w:hAnsi="Arial" w:cs="Arial"/>
        </w:rPr>
        <w:footnoteRef/>
      </w:r>
      <w:r w:rsidRPr="009A3DAF">
        <w:rPr>
          <w:rFonts w:ascii="Arial" w:hAnsi="Arial" w:cs="Arial"/>
        </w:rPr>
        <w:t xml:space="preserve"> Capital Program staff costs will be supported by the capital projects, so there is no operating budget request to cover these costs.</w:t>
      </w:r>
    </w:p>
  </w:footnote>
  <w:footnote w:id="57">
    <w:p w14:paraId="16B57494" w14:textId="77777777" w:rsidR="009B4F72" w:rsidRPr="00735EC2" w:rsidRDefault="009B4F72" w:rsidP="009B4F72">
      <w:pPr>
        <w:pStyle w:val="FootnoteText"/>
        <w:rPr>
          <w:rFonts w:ascii="Arial" w:hAnsi="Arial" w:cs="Arial"/>
        </w:rPr>
      </w:pPr>
      <w:r w:rsidRPr="00735EC2">
        <w:rPr>
          <w:rStyle w:val="FootnoteReference"/>
          <w:rFonts w:ascii="Arial" w:hAnsi="Arial" w:cs="Arial"/>
        </w:rPr>
        <w:footnoteRef/>
      </w:r>
      <w:r w:rsidRPr="00735EC2">
        <w:rPr>
          <w:rFonts w:ascii="Arial" w:hAnsi="Arial" w:cs="Arial"/>
        </w:rPr>
        <w:t xml:space="preserve"> Scheduled to begin operations in 2022.</w:t>
      </w:r>
    </w:p>
  </w:footnote>
  <w:footnote w:id="58">
    <w:p w14:paraId="4A4618CC" w14:textId="77777777" w:rsidR="009B4F72" w:rsidRPr="001256D8" w:rsidRDefault="009B4F72" w:rsidP="009B4F72">
      <w:pPr>
        <w:pStyle w:val="FootnoteText"/>
        <w:rPr>
          <w:rFonts w:ascii="Arial" w:hAnsi="Arial" w:cs="Arial"/>
        </w:rPr>
      </w:pPr>
      <w:r w:rsidRPr="001256D8">
        <w:rPr>
          <w:rStyle w:val="FootnoteReference"/>
          <w:rFonts w:ascii="Arial" w:hAnsi="Arial" w:cs="Arial"/>
        </w:rPr>
        <w:footnoteRef/>
      </w:r>
      <w:r w:rsidRPr="001256D8">
        <w:rPr>
          <w:rFonts w:ascii="Arial" w:hAnsi="Arial" w:cs="Arial"/>
        </w:rPr>
        <w:t xml:space="preserve"> Refers to </w:t>
      </w:r>
      <w:r>
        <w:rPr>
          <w:rFonts w:ascii="Arial" w:hAnsi="Arial" w:cs="Arial"/>
        </w:rPr>
        <w:t xml:space="preserve">mobility by </w:t>
      </w:r>
      <w:r w:rsidRPr="001256D8">
        <w:rPr>
          <w:rFonts w:ascii="Arial" w:hAnsi="Arial" w:cs="Arial"/>
        </w:rPr>
        <w:t xml:space="preserve">bike </w:t>
      </w:r>
      <w:r>
        <w:rPr>
          <w:rFonts w:ascii="Arial" w:hAnsi="Arial" w:cs="Arial"/>
        </w:rPr>
        <w:t>or</w:t>
      </w:r>
      <w:r w:rsidRPr="001256D8">
        <w:rPr>
          <w:rFonts w:ascii="Arial" w:hAnsi="Arial" w:cs="Arial"/>
        </w:rPr>
        <w:t xml:space="preserve"> scooter</w:t>
      </w:r>
    </w:p>
  </w:footnote>
  <w:footnote w:id="59">
    <w:p w14:paraId="7E322B70" w14:textId="77777777" w:rsidR="009B4F72" w:rsidRPr="00ED48D0" w:rsidRDefault="009B4F72" w:rsidP="009B4F72">
      <w:pPr>
        <w:pStyle w:val="FootnoteText"/>
        <w:rPr>
          <w:rFonts w:ascii="Arial" w:hAnsi="Arial" w:cs="Arial"/>
        </w:rPr>
      </w:pPr>
      <w:r w:rsidRPr="00ED48D0">
        <w:rPr>
          <w:rStyle w:val="FootnoteReference"/>
          <w:rFonts w:ascii="Arial" w:hAnsi="Arial" w:cs="Arial"/>
        </w:rPr>
        <w:footnoteRef/>
      </w:r>
      <w:r w:rsidRPr="00ED48D0">
        <w:rPr>
          <w:rFonts w:ascii="Arial" w:hAnsi="Arial" w:cs="Arial"/>
        </w:rPr>
        <w:t xml:space="preserve"> The current agreement was approved in 2019 through Ordinance 18914. </w:t>
      </w:r>
      <w:r>
        <w:rPr>
          <w:rFonts w:ascii="Arial" w:hAnsi="Arial" w:cs="Arial"/>
        </w:rPr>
        <w:t xml:space="preserve"> </w:t>
      </w:r>
      <w:r w:rsidRPr="00ED48D0">
        <w:rPr>
          <w:rFonts w:ascii="Arial" w:hAnsi="Arial" w:cs="Arial"/>
        </w:rPr>
        <w:t>It has a base term of 4.5 years, with the option of three two-year extensions.</w:t>
      </w:r>
    </w:p>
  </w:footnote>
  <w:footnote w:id="60">
    <w:p w14:paraId="65B96604" w14:textId="77777777" w:rsidR="009B4F72" w:rsidRPr="0062239E" w:rsidRDefault="009B4F72" w:rsidP="009B4F72">
      <w:pPr>
        <w:pStyle w:val="FootnoteText"/>
        <w:rPr>
          <w:rFonts w:ascii="Arial" w:hAnsi="Arial" w:cs="Arial"/>
        </w:rPr>
      </w:pPr>
      <w:r w:rsidRPr="0062239E">
        <w:rPr>
          <w:rStyle w:val="FootnoteReference"/>
          <w:rFonts w:ascii="Arial" w:hAnsi="Arial" w:cs="Arial"/>
        </w:rPr>
        <w:footnoteRef/>
      </w:r>
      <w:r w:rsidRPr="0062239E">
        <w:rPr>
          <w:rFonts w:ascii="Arial" w:hAnsi="Arial" w:cs="Arial"/>
        </w:rPr>
        <w:t xml:space="preserve"> </w:t>
      </w:r>
      <w:r>
        <w:rPr>
          <w:rFonts w:ascii="Arial" w:hAnsi="Arial" w:cs="Arial"/>
        </w:rPr>
        <w:t xml:space="preserve">Legislation proposing a </w:t>
      </w:r>
      <w:r w:rsidRPr="0062239E">
        <w:rPr>
          <w:rFonts w:ascii="Arial" w:hAnsi="Arial" w:cs="Arial"/>
        </w:rPr>
        <w:t>restructure of Metro transit service in the East Link project area is anticipated to be transmitted to the Council in mid-2022 for implementation in March 2023.</w:t>
      </w:r>
    </w:p>
  </w:footnote>
  <w:footnote w:id="61">
    <w:p w14:paraId="148B8AE3" w14:textId="77777777" w:rsidR="009B4F72" w:rsidRPr="008D303C" w:rsidRDefault="009B4F72" w:rsidP="009B4F72">
      <w:pPr>
        <w:pStyle w:val="FootnoteText"/>
        <w:rPr>
          <w:rFonts w:ascii="Arial" w:hAnsi="Arial" w:cs="Arial"/>
        </w:rPr>
      </w:pPr>
      <w:r w:rsidRPr="008D303C">
        <w:rPr>
          <w:rStyle w:val="FootnoteReference"/>
          <w:rFonts w:ascii="Arial" w:hAnsi="Arial" w:cs="Arial"/>
        </w:rPr>
        <w:footnoteRef/>
      </w:r>
      <w:r w:rsidRPr="008D303C">
        <w:rPr>
          <w:rFonts w:ascii="Arial" w:hAnsi="Arial" w:cs="Arial"/>
        </w:rPr>
        <w:t xml:space="preserve"> Ordinance 19210 Section 113 Proviso P5</w:t>
      </w:r>
      <w:r>
        <w:rPr>
          <w:rFonts w:ascii="Arial" w:hAnsi="Arial" w:cs="Arial"/>
        </w:rPr>
        <w:t>.</w:t>
      </w:r>
    </w:p>
  </w:footnote>
  <w:footnote w:id="62">
    <w:p w14:paraId="485BDB5D" w14:textId="77777777" w:rsidR="009B4F72" w:rsidRPr="00F079BB" w:rsidRDefault="009B4F72" w:rsidP="009B4F72">
      <w:pPr>
        <w:pStyle w:val="FootnoteText"/>
        <w:rPr>
          <w:rFonts w:ascii="Arial" w:hAnsi="Arial" w:cs="Arial"/>
        </w:rPr>
      </w:pPr>
      <w:r w:rsidRPr="00F079BB">
        <w:rPr>
          <w:rStyle w:val="FootnoteReference"/>
          <w:rFonts w:ascii="Arial" w:hAnsi="Arial" w:cs="Arial"/>
        </w:rPr>
        <w:footnoteRef/>
      </w:r>
      <w:r w:rsidRPr="00F079BB">
        <w:rPr>
          <w:rFonts w:ascii="Arial" w:hAnsi="Arial" w:cs="Arial"/>
        </w:rPr>
        <w:t xml:space="preserve"> Motion 15878</w:t>
      </w:r>
      <w:r>
        <w:rPr>
          <w:rFonts w:ascii="Arial" w:hAnsi="Arial" w:cs="Arial"/>
        </w:rPr>
        <w:t>.</w:t>
      </w:r>
    </w:p>
  </w:footnote>
  <w:footnote w:id="63">
    <w:p w14:paraId="06FB61C5" w14:textId="77777777" w:rsidR="009B4F72" w:rsidRPr="00786EEA" w:rsidRDefault="009B4F72" w:rsidP="009B4F72">
      <w:pPr>
        <w:pStyle w:val="FootnoteText"/>
        <w:rPr>
          <w:rFonts w:ascii="Arial" w:hAnsi="Arial" w:cs="Arial"/>
        </w:rPr>
      </w:pPr>
      <w:r w:rsidRPr="00786EEA">
        <w:rPr>
          <w:rStyle w:val="FootnoteReference"/>
          <w:rFonts w:ascii="Arial" w:hAnsi="Arial" w:cs="Arial"/>
        </w:rPr>
        <w:footnoteRef/>
      </w:r>
      <w:r w:rsidRPr="00786EEA">
        <w:rPr>
          <w:rFonts w:ascii="Arial" w:hAnsi="Arial" w:cs="Arial"/>
        </w:rPr>
        <w:t xml:space="preserve"> Ordinance 18777</w:t>
      </w:r>
    </w:p>
  </w:footnote>
  <w:footnote w:id="64">
    <w:p w14:paraId="3F2825E2" w14:textId="77777777" w:rsidR="00AB45DE" w:rsidRDefault="00AB45DE" w:rsidP="00AB45DE">
      <w:pPr>
        <w:pStyle w:val="FootnoteText"/>
      </w:pPr>
      <w:r>
        <w:rPr>
          <w:rStyle w:val="FootnoteReference"/>
        </w:rPr>
        <w:footnoteRef/>
      </w:r>
      <w:r>
        <w:t xml:space="preserve"> LINK: </w:t>
      </w:r>
      <w:hyperlink r:id="rId10" w:history="1">
        <w:r w:rsidRPr="00C6230A">
          <w:rPr>
            <w:rStyle w:val="Hyperlink"/>
          </w:rPr>
          <w:t>https://kingcounty.gov/~/media/operations/policies/documents/ProEquityContractingCON-7-28-EO.ashx?la=en</w:t>
        </w:r>
      </w:hyperlink>
      <w:r>
        <w:t>.</w:t>
      </w:r>
    </w:p>
  </w:footnote>
  <w:footnote w:id="65">
    <w:p w14:paraId="02421EC1" w14:textId="77777777" w:rsidR="00AB45DE" w:rsidRDefault="00AB45DE" w:rsidP="00AB45DE">
      <w:pPr>
        <w:pStyle w:val="FootnoteText"/>
      </w:pPr>
      <w:r>
        <w:rPr>
          <w:rStyle w:val="FootnoteReference"/>
        </w:rPr>
        <w:footnoteRef/>
      </w:r>
      <w:r>
        <w:t xml:space="preserve"> LINK: </w:t>
      </w:r>
      <w:hyperlink r:id="rId11" w:history="1">
        <w:r w:rsidRPr="00C6230A">
          <w:rPr>
            <w:rStyle w:val="Hyperlink"/>
          </w:rPr>
          <w:t>https://kingcounty.gov/depts/auditor/auditor-reports/all-landing-pgs/2021/contracting-2021.aspx</w:t>
        </w:r>
      </w:hyperlink>
      <w:r>
        <w:t>.</w:t>
      </w:r>
    </w:p>
  </w:footnote>
  <w:footnote w:id="66">
    <w:p w14:paraId="3DA288D0" w14:textId="77777777" w:rsidR="00AB45DE" w:rsidRDefault="00AB45DE" w:rsidP="00AB45DE">
      <w:pPr>
        <w:pStyle w:val="FootnoteText"/>
      </w:pPr>
      <w:r>
        <w:rPr>
          <w:rStyle w:val="FootnoteReference"/>
        </w:rPr>
        <w:footnoteRef/>
      </w:r>
      <w:r>
        <w:t xml:space="preserve"> Ordinance 19324, authorizing issuance of sewer bonds using liquid facility.</w:t>
      </w:r>
    </w:p>
  </w:footnote>
  <w:footnote w:id="67">
    <w:p w14:paraId="1F675DF9" w14:textId="77777777" w:rsidR="00AB45DE" w:rsidRDefault="00AB45DE" w:rsidP="00AB45DE">
      <w:pPr>
        <w:pStyle w:val="FootnoteText"/>
      </w:pPr>
      <w:r>
        <w:rPr>
          <w:rStyle w:val="FootnoteReference"/>
        </w:rPr>
        <w:footnoteRef/>
      </w:r>
      <w:r>
        <w:t xml:space="preserve"> List of King County Health through Housing locations – LINK: </w:t>
      </w:r>
      <w:hyperlink r:id="rId12" w:history="1">
        <w:r w:rsidRPr="00A24C7F">
          <w:rPr>
            <w:rStyle w:val="Hyperlink"/>
          </w:rPr>
          <w:t>https://kingcounty.gov/depts/community-human-services/initiatives/health-through-housing.aspx</w:t>
        </w:r>
      </w:hyperlink>
      <w:r>
        <w:t xml:space="preserve">. </w:t>
      </w:r>
    </w:p>
  </w:footnote>
  <w:footnote w:id="68">
    <w:p w14:paraId="5B8CCBBC" w14:textId="77777777" w:rsidR="00AB45DE" w:rsidRDefault="00AB45DE" w:rsidP="00AB45DE">
      <w:pPr>
        <w:pStyle w:val="FootnoteText"/>
      </w:pPr>
      <w:r>
        <w:rPr>
          <w:rStyle w:val="FootnoteReference"/>
        </w:rPr>
        <w:footnoteRef/>
      </w:r>
      <w:r>
        <w:t xml:space="preserve"> Ordinance 19289.</w:t>
      </w:r>
    </w:p>
  </w:footnote>
  <w:footnote w:id="69">
    <w:p w14:paraId="4370C091" w14:textId="0F57E56B" w:rsidR="00AB45DE" w:rsidRDefault="00AB45DE" w:rsidP="00AB45DE">
      <w:pPr>
        <w:pStyle w:val="FootnoteText"/>
      </w:pPr>
      <w:r>
        <w:rPr>
          <w:rStyle w:val="FootnoteReference"/>
        </w:rPr>
        <w:footnoteRef/>
      </w:r>
      <w:r>
        <w:t xml:space="preserve"> Ordinance 19136.</w:t>
      </w:r>
    </w:p>
  </w:footnote>
  <w:footnote w:id="70">
    <w:p w14:paraId="57984946" w14:textId="77777777" w:rsidR="00AB45DE" w:rsidRDefault="00AB45DE" w:rsidP="00AB45DE">
      <w:pPr>
        <w:pStyle w:val="FootnoteText"/>
      </w:pPr>
      <w:r>
        <w:rPr>
          <w:rStyle w:val="FootnoteReference"/>
        </w:rPr>
        <w:footnoteRef/>
      </w:r>
      <w:r>
        <w:t xml:space="preserve"> District Court is supported by the General Fund.</w:t>
      </w:r>
    </w:p>
  </w:footnote>
  <w:footnote w:id="71">
    <w:p w14:paraId="083FF107" w14:textId="77777777" w:rsidR="00AB45DE" w:rsidRDefault="00AB45DE" w:rsidP="00AB45DE">
      <w:pPr>
        <w:pStyle w:val="FootnoteText"/>
      </w:pPr>
      <w:r>
        <w:rPr>
          <w:rStyle w:val="FootnoteReference"/>
        </w:rPr>
        <w:footnoteRef/>
      </w:r>
      <w:r>
        <w:t xml:space="preserve"> Ordinances 19289 and 19318.</w:t>
      </w:r>
    </w:p>
  </w:footnote>
  <w:footnote w:id="72">
    <w:p w14:paraId="3AE313A5" w14:textId="77777777" w:rsidR="0050431F" w:rsidRDefault="0050431F" w:rsidP="0050431F">
      <w:pPr>
        <w:pStyle w:val="FootnoteText"/>
      </w:pPr>
      <w:r>
        <w:rPr>
          <w:rStyle w:val="FootnoteReference"/>
        </w:rPr>
        <w:footnoteRef/>
      </w:r>
      <w:r>
        <w:t xml:space="preserve"> Ordinance </w:t>
      </w:r>
      <w:r w:rsidRPr="00217FDE">
        <w:t>18665</w:t>
      </w:r>
      <w:r>
        <w:t>, enacted March 8, 2018.</w:t>
      </w:r>
    </w:p>
  </w:footnote>
  <w:footnote w:id="73">
    <w:p w14:paraId="3475710A" w14:textId="77777777" w:rsidR="0050431F" w:rsidRPr="004F4E24" w:rsidRDefault="0050431F" w:rsidP="0050431F">
      <w:pPr>
        <w:pStyle w:val="FootnoteText"/>
        <w:rPr>
          <w:rFonts w:ascii="Arial" w:hAnsi="Arial" w:cs="Arial"/>
        </w:rPr>
      </w:pPr>
      <w:r w:rsidRPr="004F4E24">
        <w:rPr>
          <w:rStyle w:val="FootnoteReference"/>
          <w:rFonts w:ascii="Arial" w:hAnsi="Arial" w:cs="Arial"/>
        </w:rPr>
        <w:footnoteRef/>
      </w:r>
      <w:r w:rsidRPr="004F4E24">
        <w:rPr>
          <w:rFonts w:ascii="Arial" w:hAnsi="Arial" w:cs="Arial"/>
        </w:rPr>
        <w:t xml:space="preserve"> "IT Rates: Model Could be Improved to Enhance Transparency and Decision-Making" https://kingcounty.gov/depts/auditor/auditor-reports/all-landing-pgs/2019/kcit-rates-2019.aspx </w:t>
      </w:r>
    </w:p>
  </w:footnote>
  <w:footnote w:id="74">
    <w:p w14:paraId="5C20FD6C" w14:textId="77777777" w:rsidR="00A42CDD" w:rsidRDefault="00A42CDD" w:rsidP="00244205">
      <w:pPr>
        <w:pStyle w:val="FootnoteText"/>
      </w:pPr>
      <w:r>
        <w:rPr>
          <w:rStyle w:val="FootnoteReference"/>
        </w:rPr>
        <w:footnoteRef/>
      </w:r>
      <w:r>
        <w:t xml:space="preserve"> Ordinance </w:t>
      </w:r>
      <w:r w:rsidRPr="00855281">
        <w:t>19221</w:t>
      </w:r>
      <w:r>
        <w:t>, passed on January5, 2021.</w:t>
      </w:r>
    </w:p>
  </w:footnote>
  <w:footnote w:id="75">
    <w:p w14:paraId="78A70D6B" w14:textId="1B104858" w:rsidR="00A42CDD" w:rsidRDefault="00A42CDD" w:rsidP="00244205">
      <w:pPr>
        <w:pStyle w:val="FootnoteText"/>
      </w:pPr>
      <w:r>
        <w:rPr>
          <w:rStyle w:val="FootnoteReference"/>
        </w:rPr>
        <w:footnoteRef/>
      </w:r>
      <w:r>
        <w:t xml:space="preserve"> Proposed Ordinance 2021-0</w:t>
      </w:r>
      <w:r w:rsidR="0092213C">
        <w:t>372</w:t>
      </w:r>
      <w:r>
        <w:t xml:space="preserve"> </w:t>
      </w:r>
      <w:r w:rsidR="0092213C">
        <w:t>(2021 2</w:t>
      </w:r>
      <w:r w:rsidR="0092213C" w:rsidRPr="0092213C">
        <w:rPr>
          <w:vertAlign w:val="superscript"/>
        </w:rPr>
        <w:t>nd</w:t>
      </w:r>
      <w:r w:rsidR="0092213C">
        <w:t xml:space="preserve"> Omnibus) </w:t>
      </w:r>
      <w:r>
        <w:t xml:space="preserve">was introduced and referred at the </w:t>
      </w:r>
      <w:r w:rsidR="0092213C">
        <w:t>October</w:t>
      </w:r>
      <w:r w:rsidR="0090132F">
        <w:t xml:space="preserve"> 12</w:t>
      </w:r>
      <w:r>
        <w:t>, 2021 Council meeting.</w:t>
      </w:r>
    </w:p>
  </w:footnote>
  <w:footnote w:id="76">
    <w:p w14:paraId="5E5C6520" w14:textId="6B0A48D8" w:rsidR="000C107A" w:rsidRDefault="000C107A">
      <w:pPr>
        <w:pStyle w:val="FootnoteText"/>
      </w:pPr>
      <w:r w:rsidRPr="000E271A">
        <w:rPr>
          <w:rStyle w:val="FootnoteReference"/>
          <w:color w:val="4F81BD" w:themeColor="accent1"/>
        </w:rPr>
        <w:footnoteRef/>
      </w:r>
      <w:r w:rsidRPr="000E271A">
        <w:rPr>
          <w:color w:val="4F81BD" w:themeColor="accent1"/>
        </w:rPr>
        <w:t xml:space="preserve"> This amount does not account for double-budgeting</w:t>
      </w:r>
      <w:r w:rsidR="00976355" w:rsidRPr="000E271A">
        <w:rPr>
          <w:color w:val="4F81BD" w:themeColor="accent1"/>
        </w:rPr>
        <w:t xml:space="preserve"> (i.e., appropriation to General Fund Transfer budgets and Non-General Fund agency budgets)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DD0F" w14:textId="77777777" w:rsidR="00A42CDD" w:rsidRDefault="00A42CDD" w:rsidP="00C75025">
    <w:pPr>
      <w:jc w:val="center"/>
    </w:pPr>
    <w:r>
      <w:rPr>
        <w:noProof/>
      </w:rPr>
      <w:drawing>
        <wp:inline distT="0" distB="0" distL="0" distR="0" wp14:anchorId="419C4BA1" wp14:editId="240E29D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44D4D3D" w14:textId="77777777" w:rsidR="00A42CDD" w:rsidRPr="003B03EF" w:rsidRDefault="00A42CDD" w:rsidP="00C75025">
    <w:pPr>
      <w:jc w:val="center"/>
      <w:rPr>
        <w:rFonts w:ascii="Arial" w:hAnsi="Arial"/>
        <w:szCs w:val="22"/>
      </w:rPr>
    </w:pPr>
  </w:p>
  <w:p w14:paraId="2498C6E6" w14:textId="77777777" w:rsidR="00A42CDD" w:rsidRDefault="00A42CDD" w:rsidP="00C75025">
    <w:pPr>
      <w:jc w:val="center"/>
      <w:rPr>
        <w:rFonts w:ascii="Verdana" w:hAnsi="Verdana"/>
        <w:b/>
        <w:sz w:val="28"/>
        <w:szCs w:val="28"/>
      </w:rPr>
    </w:pPr>
    <w:r>
      <w:rPr>
        <w:rFonts w:ascii="Verdana" w:hAnsi="Verdana"/>
        <w:b/>
        <w:sz w:val="28"/>
        <w:szCs w:val="28"/>
      </w:rPr>
      <w:t>Metropolitan King County Council</w:t>
    </w:r>
  </w:p>
  <w:p w14:paraId="14131FB4" w14:textId="6D18F09A" w:rsidR="00A42CDD" w:rsidRPr="004A1D48" w:rsidRDefault="00A42CDD"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86A"/>
    <w:multiLevelType w:val="hybridMultilevel"/>
    <w:tmpl w:val="4BA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C38"/>
    <w:multiLevelType w:val="hybridMultilevel"/>
    <w:tmpl w:val="8D2AE9EE"/>
    <w:lvl w:ilvl="0" w:tplc="84CE4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6B16"/>
    <w:multiLevelType w:val="hybridMultilevel"/>
    <w:tmpl w:val="3964FFCA"/>
    <w:lvl w:ilvl="0" w:tplc="D3003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DAA8001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C82"/>
    <w:multiLevelType w:val="hybridMultilevel"/>
    <w:tmpl w:val="2C4A84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E45E7F"/>
    <w:multiLevelType w:val="hybridMultilevel"/>
    <w:tmpl w:val="CD82AC88"/>
    <w:lvl w:ilvl="0" w:tplc="66343856">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F6A1A"/>
    <w:multiLevelType w:val="hybridMultilevel"/>
    <w:tmpl w:val="30D85BBA"/>
    <w:lvl w:ilvl="0" w:tplc="6694CC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D173C"/>
    <w:multiLevelType w:val="hybridMultilevel"/>
    <w:tmpl w:val="0A5C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E6BB0"/>
    <w:multiLevelType w:val="hybridMultilevel"/>
    <w:tmpl w:val="3504215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2343D"/>
    <w:multiLevelType w:val="hybridMultilevel"/>
    <w:tmpl w:val="74E61F6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5C06"/>
    <w:multiLevelType w:val="hybridMultilevel"/>
    <w:tmpl w:val="333E30F2"/>
    <w:lvl w:ilvl="0" w:tplc="82DCD926">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810"/>
    <w:multiLevelType w:val="hybridMultilevel"/>
    <w:tmpl w:val="8BA80C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1615D"/>
    <w:multiLevelType w:val="hybridMultilevel"/>
    <w:tmpl w:val="7B3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26B6B"/>
    <w:multiLevelType w:val="hybridMultilevel"/>
    <w:tmpl w:val="8026CFCE"/>
    <w:lvl w:ilvl="0" w:tplc="A8728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41585"/>
    <w:multiLevelType w:val="hybridMultilevel"/>
    <w:tmpl w:val="671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43EA4"/>
    <w:multiLevelType w:val="hybridMultilevel"/>
    <w:tmpl w:val="D93A347A"/>
    <w:lvl w:ilvl="0" w:tplc="B43E519C">
      <w:start w:val="1"/>
      <w:numFmt w:val="bullet"/>
      <w:lvlText w:val="·"/>
      <w:lvlJc w:val="left"/>
      <w:pPr>
        <w:ind w:left="720" w:hanging="360"/>
      </w:pPr>
      <w:rPr>
        <w:rFonts w:ascii="Symbol" w:hAnsi="Symbol" w:hint="default"/>
      </w:rPr>
    </w:lvl>
    <w:lvl w:ilvl="1" w:tplc="2EE8CDC0">
      <w:start w:val="1"/>
      <w:numFmt w:val="bullet"/>
      <w:lvlText w:val="o"/>
      <w:lvlJc w:val="left"/>
      <w:pPr>
        <w:ind w:left="1440" w:hanging="360"/>
      </w:pPr>
      <w:rPr>
        <w:rFonts w:ascii="Courier New" w:hAnsi="Courier New" w:hint="default"/>
      </w:rPr>
    </w:lvl>
    <w:lvl w:ilvl="2" w:tplc="D35C20EA">
      <w:start w:val="1"/>
      <w:numFmt w:val="bullet"/>
      <w:lvlText w:val=""/>
      <w:lvlJc w:val="left"/>
      <w:pPr>
        <w:ind w:left="2160" w:hanging="360"/>
      </w:pPr>
      <w:rPr>
        <w:rFonts w:ascii="Wingdings" w:hAnsi="Wingdings" w:hint="default"/>
      </w:rPr>
    </w:lvl>
    <w:lvl w:ilvl="3" w:tplc="2034DB5A">
      <w:start w:val="1"/>
      <w:numFmt w:val="bullet"/>
      <w:lvlText w:val=""/>
      <w:lvlJc w:val="left"/>
      <w:pPr>
        <w:ind w:left="2880" w:hanging="360"/>
      </w:pPr>
      <w:rPr>
        <w:rFonts w:ascii="Symbol" w:hAnsi="Symbol" w:hint="default"/>
      </w:rPr>
    </w:lvl>
    <w:lvl w:ilvl="4" w:tplc="C638DAD4">
      <w:start w:val="1"/>
      <w:numFmt w:val="bullet"/>
      <w:lvlText w:val="o"/>
      <w:lvlJc w:val="left"/>
      <w:pPr>
        <w:ind w:left="3600" w:hanging="360"/>
      </w:pPr>
      <w:rPr>
        <w:rFonts w:ascii="Courier New" w:hAnsi="Courier New" w:hint="default"/>
      </w:rPr>
    </w:lvl>
    <w:lvl w:ilvl="5" w:tplc="71565CA0">
      <w:start w:val="1"/>
      <w:numFmt w:val="bullet"/>
      <w:lvlText w:val=""/>
      <w:lvlJc w:val="left"/>
      <w:pPr>
        <w:ind w:left="4320" w:hanging="360"/>
      </w:pPr>
      <w:rPr>
        <w:rFonts w:ascii="Wingdings" w:hAnsi="Wingdings" w:hint="default"/>
      </w:rPr>
    </w:lvl>
    <w:lvl w:ilvl="6" w:tplc="DF66C624">
      <w:start w:val="1"/>
      <w:numFmt w:val="bullet"/>
      <w:lvlText w:val=""/>
      <w:lvlJc w:val="left"/>
      <w:pPr>
        <w:ind w:left="5040" w:hanging="360"/>
      </w:pPr>
      <w:rPr>
        <w:rFonts w:ascii="Symbol" w:hAnsi="Symbol" w:hint="default"/>
      </w:rPr>
    </w:lvl>
    <w:lvl w:ilvl="7" w:tplc="03FA0FD4">
      <w:start w:val="1"/>
      <w:numFmt w:val="bullet"/>
      <w:lvlText w:val="o"/>
      <w:lvlJc w:val="left"/>
      <w:pPr>
        <w:ind w:left="5760" w:hanging="360"/>
      </w:pPr>
      <w:rPr>
        <w:rFonts w:ascii="Courier New" w:hAnsi="Courier New" w:hint="default"/>
      </w:rPr>
    </w:lvl>
    <w:lvl w:ilvl="8" w:tplc="B7D4C75E">
      <w:start w:val="1"/>
      <w:numFmt w:val="bullet"/>
      <w:lvlText w:val=""/>
      <w:lvlJc w:val="left"/>
      <w:pPr>
        <w:ind w:left="6480" w:hanging="360"/>
      </w:pPr>
      <w:rPr>
        <w:rFonts w:ascii="Wingdings" w:hAnsi="Wingdings" w:hint="default"/>
      </w:rPr>
    </w:lvl>
  </w:abstractNum>
  <w:abstractNum w:abstractNumId="16" w15:restartNumberingAfterBreak="0">
    <w:nsid w:val="3936116C"/>
    <w:multiLevelType w:val="hybridMultilevel"/>
    <w:tmpl w:val="076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35782"/>
    <w:multiLevelType w:val="hybridMultilevel"/>
    <w:tmpl w:val="B240E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F40857"/>
    <w:multiLevelType w:val="hybridMultilevel"/>
    <w:tmpl w:val="668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C7D53"/>
    <w:multiLevelType w:val="hybridMultilevel"/>
    <w:tmpl w:val="F4F0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002CB"/>
    <w:multiLevelType w:val="hybridMultilevel"/>
    <w:tmpl w:val="FFFFFFFF"/>
    <w:lvl w:ilvl="0" w:tplc="C0425D6E">
      <w:start w:val="1"/>
      <w:numFmt w:val="bullet"/>
      <w:lvlText w:val="·"/>
      <w:lvlJc w:val="left"/>
      <w:pPr>
        <w:ind w:left="720" w:hanging="360"/>
      </w:pPr>
      <w:rPr>
        <w:rFonts w:ascii="Symbol" w:hAnsi="Symbol" w:hint="default"/>
      </w:rPr>
    </w:lvl>
    <w:lvl w:ilvl="1" w:tplc="B0BA6296">
      <w:start w:val="1"/>
      <w:numFmt w:val="bullet"/>
      <w:lvlText w:val="o"/>
      <w:lvlJc w:val="left"/>
      <w:pPr>
        <w:ind w:left="1440" w:hanging="360"/>
      </w:pPr>
      <w:rPr>
        <w:rFonts w:ascii="Courier New" w:hAnsi="Courier New" w:hint="default"/>
      </w:rPr>
    </w:lvl>
    <w:lvl w:ilvl="2" w:tplc="AD3C5086">
      <w:start w:val="1"/>
      <w:numFmt w:val="bullet"/>
      <w:lvlText w:val=""/>
      <w:lvlJc w:val="left"/>
      <w:pPr>
        <w:ind w:left="2160" w:hanging="360"/>
      </w:pPr>
      <w:rPr>
        <w:rFonts w:ascii="Wingdings" w:hAnsi="Wingdings" w:hint="default"/>
      </w:rPr>
    </w:lvl>
    <w:lvl w:ilvl="3" w:tplc="AB4E58BE">
      <w:start w:val="1"/>
      <w:numFmt w:val="bullet"/>
      <w:lvlText w:val=""/>
      <w:lvlJc w:val="left"/>
      <w:pPr>
        <w:ind w:left="2880" w:hanging="360"/>
      </w:pPr>
      <w:rPr>
        <w:rFonts w:ascii="Symbol" w:hAnsi="Symbol" w:hint="default"/>
      </w:rPr>
    </w:lvl>
    <w:lvl w:ilvl="4" w:tplc="F624830E">
      <w:start w:val="1"/>
      <w:numFmt w:val="bullet"/>
      <w:lvlText w:val="o"/>
      <w:lvlJc w:val="left"/>
      <w:pPr>
        <w:ind w:left="3600" w:hanging="360"/>
      </w:pPr>
      <w:rPr>
        <w:rFonts w:ascii="Courier New" w:hAnsi="Courier New" w:hint="default"/>
      </w:rPr>
    </w:lvl>
    <w:lvl w:ilvl="5" w:tplc="198EE678">
      <w:start w:val="1"/>
      <w:numFmt w:val="bullet"/>
      <w:lvlText w:val=""/>
      <w:lvlJc w:val="left"/>
      <w:pPr>
        <w:ind w:left="4320" w:hanging="360"/>
      </w:pPr>
      <w:rPr>
        <w:rFonts w:ascii="Wingdings" w:hAnsi="Wingdings" w:hint="default"/>
      </w:rPr>
    </w:lvl>
    <w:lvl w:ilvl="6" w:tplc="4A7616F0">
      <w:start w:val="1"/>
      <w:numFmt w:val="bullet"/>
      <w:lvlText w:val=""/>
      <w:lvlJc w:val="left"/>
      <w:pPr>
        <w:ind w:left="5040" w:hanging="360"/>
      </w:pPr>
      <w:rPr>
        <w:rFonts w:ascii="Symbol" w:hAnsi="Symbol" w:hint="default"/>
      </w:rPr>
    </w:lvl>
    <w:lvl w:ilvl="7" w:tplc="730CECCA">
      <w:start w:val="1"/>
      <w:numFmt w:val="bullet"/>
      <w:lvlText w:val="o"/>
      <w:lvlJc w:val="left"/>
      <w:pPr>
        <w:ind w:left="5760" w:hanging="360"/>
      </w:pPr>
      <w:rPr>
        <w:rFonts w:ascii="Courier New" w:hAnsi="Courier New" w:hint="default"/>
      </w:rPr>
    </w:lvl>
    <w:lvl w:ilvl="8" w:tplc="7E8888C2">
      <w:start w:val="1"/>
      <w:numFmt w:val="bullet"/>
      <w:lvlText w:val=""/>
      <w:lvlJc w:val="left"/>
      <w:pPr>
        <w:ind w:left="6480" w:hanging="360"/>
      </w:pPr>
      <w:rPr>
        <w:rFonts w:ascii="Wingdings" w:hAnsi="Wingdings" w:hint="default"/>
      </w:rPr>
    </w:lvl>
  </w:abstractNum>
  <w:abstractNum w:abstractNumId="21" w15:restartNumberingAfterBreak="0">
    <w:nsid w:val="4CC2708F"/>
    <w:multiLevelType w:val="hybridMultilevel"/>
    <w:tmpl w:val="C3DE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26C28"/>
    <w:multiLevelType w:val="hybridMultilevel"/>
    <w:tmpl w:val="08A6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312B2"/>
    <w:multiLevelType w:val="hybridMultilevel"/>
    <w:tmpl w:val="C09E1E68"/>
    <w:lvl w:ilvl="0" w:tplc="F3A24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038A9"/>
    <w:multiLevelType w:val="hybridMultilevel"/>
    <w:tmpl w:val="D6F2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619A6"/>
    <w:multiLevelType w:val="hybridMultilevel"/>
    <w:tmpl w:val="03C4D1D6"/>
    <w:lvl w:ilvl="0" w:tplc="BB227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31D49"/>
    <w:multiLevelType w:val="hybridMultilevel"/>
    <w:tmpl w:val="601E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2482"/>
    <w:multiLevelType w:val="hybridMultilevel"/>
    <w:tmpl w:val="A0AE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32507"/>
    <w:multiLevelType w:val="hybridMultilevel"/>
    <w:tmpl w:val="78F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A7B8D"/>
    <w:multiLevelType w:val="hybridMultilevel"/>
    <w:tmpl w:val="3868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F1182"/>
    <w:multiLevelType w:val="hybridMultilevel"/>
    <w:tmpl w:val="96968AE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1" w15:restartNumberingAfterBreak="0">
    <w:nsid w:val="5CDB76BC"/>
    <w:multiLevelType w:val="hybridMultilevel"/>
    <w:tmpl w:val="B74EC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8F1258"/>
    <w:multiLevelType w:val="hybridMultilevel"/>
    <w:tmpl w:val="E224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90485"/>
    <w:multiLevelType w:val="hybridMultilevel"/>
    <w:tmpl w:val="3ACAB58A"/>
    <w:lvl w:ilvl="0" w:tplc="2CBE0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A41E2"/>
    <w:multiLevelType w:val="hybridMultilevel"/>
    <w:tmpl w:val="76D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54863"/>
    <w:multiLevelType w:val="hybridMultilevel"/>
    <w:tmpl w:val="EEB42144"/>
    <w:lvl w:ilvl="0" w:tplc="8864E05C">
      <w:start w:val="1"/>
      <w:numFmt w:val="bullet"/>
      <w:lvlText w:val=""/>
      <w:lvlJc w:val="left"/>
      <w:pPr>
        <w:ind w:left="720" w:hanging="360"/>
      </w:pPr>
      <w:rPr>
        <w:rFonts w:ascii="Symbol" w:hAnsi="Symbol" w:hint="default"/>
      </w:rPr>
    </w:lvl>
    <w:lvl w:ilvl="1" w:tplc="C9F66210">
      <w:start w:val="1"/>
      <w:numFmt w:val="bullet"/>
      <w:lvlText w:val=""/>
      <w:lvlJc w:val="left"/>
      <w:pPr>
        <w:ind w:left="1440" w:hanging="360"/>
      </w:pPr>
      <w:rPr>
        <w:rFonts w:ascii="Symbol" w:hAnsi="Symbol" w:hint="default"/>
      </w:rPr>
    </w:lvl>
    <w:lvl w:ilvl="2" w:tplc="959AD168">
      <w:start w:val="1"/>
      <w:numFmt w:val="bullet"/>
      <w:lvlText w:val=""/>
      <w:lvlJc w:val="left"/>
      <w:pPr>
        <w:ind w:left="2160" w:hanging="360"/>
      </w:pPr>
      <w:rPr>
        <w:rFonts w:ascii="Wingdings" w:hAnsi="Wingdings" w:hint="default"/>
      </w:rPr>
    </w:lvl>
    <w:lvl w:ilvl="3" w:tplc="3AE03560">
      <w:start w:val="1"/>
      <w:numFmt w:val="bullet"/>
      <w:lvlText w:val=""/>
      <w:lvlJc w:val="left"/>
      <w:pPr>
        <w:ind w:left="2880" w:hanging="360"/>
      </w:pPr>
      <w:rPr>
        <w:rFonts w:ascii="Symbol" w:hAnsi="Symbol" w:hint="default"/>
      </w:rPr>
    </w:lvl>
    <w:lvl w:ilvl="4" w:tplc="19FE84CA">
      <w:start w:val="1"/>
      <w:numFmt w:val="bullet"/>
      <w:lvlText w:val="o"/>
      <w:lvlJc w:val="left"/>
      <w:pPr>
        <w:ind w:left="3600" w:hanging="360"/>
      </w:pPr>
      <w:rPr>
        <w:rFonts w:ascii="Courier New" w:hAnsi="Courier New" w:cs="Times New Roman" w:hint="default"/>
      </w:rPr>
    </w:lvl>
    <w:lvl w:ilvl="5" w:tplc="A9103F8A">
      <w:start w:val="1"/>
      <w:numFmt w:val="bullet"/>
      <w:lvlText w:val=""/>
      <w:lvlJc w:val="left"/>
      <w:pPr>
        <w:ind w:left="4320" w:hanging="360"/>
      </w:pPr>
      <w:rPr>
        <w:rFonts w:ascii="Wingdings" w:hAnsi="Wingdings" w:hint="default"/>
      </w:rPr>
    </w:lvl>
    <w:lvl w:ilvl="6" w:tplc="26A27BEC">
      <w:start w:val="1"/>
      <w:numFmt w:val="bullet"/>
      <w:lvlText w:val=""/>
      <w:lvlJc w:val="left"/>
      <w:pPr>
        <w:ind w:left="5040" w:hanging="360"/>
      </w:pPr>
      <w:rPr>
        <w:rFonts w:ascii="Symbol" w:hAnsi="Symbol" w:hint="default"/>
      </w:rPr>
    </w:lvl>
    <w:lvl w:ilvl="7" w:tplc="7CF09A7E">
      <w:start w:val="1"/>
      <w:numFmt w:val="bullet"/>
      <w:lvlText w:val="o"/>
      <w:lvlJc w:val="left"/>
      <w:pPr>
        <w:ind w:left="5760" w:hanging="360"/>
      </w:pPr>
      <w:rPr>
        <w:rFonts w:ascii="Courier New" w:hAnsi="Courier New" w:cs="Times New Roman" w:hint="default"/>
      </w:rPr>
    </w:lvl>
    <w:lvl w:ilvl="8" w:tplc="6F72D79A">
      <w:start w:val="1"/>
      <w:numFmt w:val="bullet"/>
      <w:lvlText w:val=""/>
      <w:lvlJc w:val="left"/>
      <w:pPr>
        <w:ind w:left="6480" w:hanging="360"/>
      </w:pPr>
      <w:rPr>
        <w:rFonts w:ascii="Wingdings" w:hAnsi="Wingdings" w:hint="default"/>
      </w:rPr>
    </w:lvl>
  </w:abstractNum>
  <w:abstractNum w:abstractNumId="36" w15:restartNumberingAfterBreak="0">
    <w:nsid w:val="695657D0"/>
    <w:multiLevelType w:val="hybridMultilevel"/>
    <w:tmpl w:val="319ECBA0"/>
    <w:lvl w:ilvl="0" w:tplc="9252F3D8">
      <w:start w:val="35"/>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C4C73"/>
    <w:multiLevelType w:val="hybridMultilevel"/>
    <w:tmpl w:val="FFFFFFFF"/>
    <w:lvl w:ilvl="0" w:tplc="352AEE9C">
      <w:start w:val="1"/>
      <w:numFmt w:val="decimal"/>
      <w:lvlText w:val="%1."/>
      <w:lvlJc w:val="left"/>
      <w:pPr>
        <w:ind w:left="720" w:hanging="360"/>
      </w:pPr>
    </w:lvl>
    <w:lvl w:ilvl="1" w:tplc="792C10B6">
      <w:start w:val="1"/>
      <w:numFmt w:val="lowerLetter"/>
      <w:lvlText w:val="%2."/>
      <w:lvlJc w:val="left"/>
      <w:pPr>
        <w:ind w:left="1440" w:hanging="360"/>
      </w:pPr>
    </w:lvl>
    <w:lvl w:ilvl="2" w:tplc="808639C4">
      <w:start w:val="1"/>
      <w:numFmt w:val="lowerRoman"/>
      <w:lvlText w:val="%3."/>
      <w:lvlJc w:val="right"/>
      <w:pPr>
        <w:ind w:left="2160" w:hanging="180"/>
      </w:pPr>
    </w:lvl>
    <w:lvl w:ilvl="3" w:tplc="80328D56">
      <w:start w:val="1"/>
      <w:numFmt w:val="decimal"/>
      <w:lvlText w:val="%4."/>
      <w:lvlJc w:val="left"/>
      <w:pPr>
        <w:ind w:left="2880" w:hanging="360"/>
      </w:pPr>
    </w:lvl>
    <w:lvl w:ilvl="4" w:tplc="7DF45AA4">
      <w:start w:val="1"/>
      <w:numFmt w:val="lowerLetter"/>
      <w:lvlText w:val="%5."/>
      <w:lvlJc w:val="left"/>
      <w:pPr>
        <w:ind w:left="3600" w:hanging="360"/>
      </w:pPr>
    </w:lvl>
    <w:lvl w:ilvl="5" w:tplc="B6824A02">
      <w:start w:val="1"/>
      <w:numFmt w:val="lowerRoman"/>
      <w:lvlText w:val="%6."/>
      <w:lvlJc w:val="right"/>
      <w:pPr>
        <w:ind w:left="4320" w:hanging="180"/>
      </w:pPr>
    </w:lvl>
    <w:lvl w:ilvl="6" w:tplc="89E80A20">
      <w:start w:val="1"/>
      <w:numFmt w:val="decimal"/>
      <w:lvlText w:val="%7."/>
      <w:lvlJc w:val="left"/>
      <w:pPr>
        <w:ind w:left="5040" w:hanging="360"/>
      </w:pPr>
    </w:lvl>
    <w:lvl w:ilvl="7" w:tplc="C8C011C4">
      <w:start w:val="1"/>
      <w:numFmt w:val="lowerLetter"/>
      <w:lvlText w:val="%8."/>
      <w:lvlJc w:val="left"/>
      <w:pPr>
        <w:ind w:left="5760" w:hanging="360"/>
      </w:pPr>
    </w:lvl>
    <w:lvl w:ilvl="8" w:tplc="EA741B3E">
      <w:start w:val="1"/>
      <w:numFmt w:val="lowerRoman"/>
      <w:lvlText w:val="%9."/>
      <w:lvlJc w:val="right"/>
      <w:pPr>
        <w:ind w:left="6480" w:hanging="180"/>
      </w:pPr>
    </w:lvl>
  </w:abstractNum>
  <w:abstractNum w:abstractNumId="38" w15:restartNumberingAfterBreak="0">
    <w:nsid w:val="71FA4BC5"/>
    <w:multiLevelType w:val="hybridMultilevel"/>
    <w:tmpl w:val="184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14B76"/>
    <w:multiLevelType w:val="hybridMultilevel"/>
    <w:tmpl w:val="AB78BBE8"/>
    <w:lvl w:ilvl="0" w:tplc="62582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A73CC"/>
    <w:multiLevelType w:val="hybridMultilevel"/>
    <w:tmpl w:val="6F825C50"/>
    <w:lvl w:ilvl="0" w:tplc="ECB694F8">
      <w:start w:val="1"/>
      <w:numFmt w:val="decimal"/>
      <w:lvlText w:val="%1."/>
      <w:lvlJc w:val="left"/>
      <w:pPr>
        <w:ind w:left="720" w:hanging="360"/>
      </w:pPr>
    </w:lvl>
    <w:lvl w:ilvl="1" w:tplc="91447EAC">
      <w:start w:val="1"/>
      <w:numFmt w:val="lowerLetter"/>
      <w:lvlText w:val="%2."/>
      <w:lvlJc w:val="left"/>
      <w:pPr>
        <w:ind w:left="1440" w:hanging="360"/>
      </w:pPr>
    </w:lvl>
    <w:lvl w:ilvl="2" w:tplc="293EA21E">
      <w:start w:val="1"/>
      <w:numFmt w:val="lowerRoman"/>
      <w:lvlText w:val="%3."/>
      <w:lvlJc w:val="right"/>
      <w:pPr>
        <w:ind w:left="2160" w:hanging="180"/>
      </w:pPr>
    </w:lvl>
    <w:lvl w:ilvl="3" w:tplc="E9062762">
      <w:start w:val="1"/>
      <w:numFmt w:val="decimal"/>
      <w:lvlText w:val="%4."/>
      <w:lvlJc w:val="left"/>
      <w:pPr>
        <w:ind w:left="2880" w:hanging="360"/>
      </w:pPr>
    </w:lvl>
    <w:lvl w:ilvl="4" w:tplc="576E8F58">
      <w:start w:val="1"/>
      <w:numFmt w:val="lowerLetter"/>
      <w:lvlText w:val="%5."/>
      <w:lvlJc w:val="left"/>
      <w:pPr>
        <w:ind w:left="3600" w:hanging="360"/>
      </w:pPr>
    </w:lvl>
    <w:lvl w:ilvl="5" w:tplc="8DB6EBA2">
      <w:start w:val="1"/>
      <w:numFmt w:val="lowerRoman"/>
      <w:lvlText w:val="%6."/>
      <w:lvlJc w:val="right"/>
      <w:pPr>
        <w:ind w:left="4320" w:hanging="180"/>
      </w:pPr>
    </w:lvl>
    <w:lvl w:ilvl="6" w:tplc="45FEA78A">
      <w:start w:val="1"/>
      <w:numFmt w:val="decimal"/>
      <w:lvlText w:val="%7."/>
      <w:lvlJc w:val="left"/>
      <w:pPr>
        <w:ind w:left="5040" w:hanging="360"/>
      </w:pPr>
    </w:lvl>
    <w:lvl w:ilvl="7" w:tplc="F8BC049C">
      <w:start w:val="1"/>
      <w:numFmt w:val="lowerLetter"/>
      <w:lvlText w:val="%8."/>
      <w:lvlJc w:val="left"/>
      <w:pPr>
        <w:ind w:left="5760" w:hanging="360"/>
      </w:pPr>
    </w:lvl>
    <w:lvl w:ilvl="8" w:tplc="20DE3076">
      <w:start w:val="1"/>
      <w:numFmt w:val="lowerRoman"/>
      <w:lvlText w:val="%9."/>
      <w:lvlJc w:val="right"/>
      <w:pPr>
        <w:ind w:left="6480" w:hanging="180"/>
      </w:pPr>
    </w:lvl>
  </w:abstractNum>
  <w:abstractNum w:abstractNumId="41" w15:restartNumberingAfterBreak="0">
    <w:nsid w:val="7B122D99"/>
    <w:multiLevelType w:val="hybridMultilevel"/>
    <w:tmpl w:val="00EC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3E1A46"/>
    <w:multiLevelType w:val="hybridMultilevel"/>
    <w:tmpl w:val="71DA14E4"/>
    <w:lvl w:ilvl="0" w:tplc="9160A864">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64BEC"/>
    <w:multiLevelType w:val="hybridMultilevel"/>
    <w:tmpl w:val="AEF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41336"/>
    <w:multiLevelType w:val="hybridMultilevel"/>
    <w:tmpl w:val="43D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1"/>
  </w:num>
  <w:num w:numId="4">
    <w:abstractNumId w:val="26"/>
  </w:num>
  <w:num w:numId="5">
    <w:abstractNumId w:val="7"/>
  </w:num>
  <w:num w:numId="6">
    <w:abstractNumId w:val="17"/>
  </w:num>
  <w:num w:numId="7">
    <w:abstractNumId w:val="30"/>
  </w:num>
  <w:num w:numId="8">
    <w:abstractNumId w:val="41"/>
  </w:num>
  <w:num w:numId="9">
    <w:abstractNumId w:val="11"/>
  </w:num>
  <w:num w:numId="10">
    <w:abstractNumId w:val="9"/>
  </w:num>
  <w:num w:numId="11">
    <w:abstractNumId w:val="8"/>
  </w:num>
  <w:num w:numId="12">
    <w:abstractNumId w:val="16"/>
  </w:num>
  <w:num w:numId="13">
    <w:abstractNumId w:val="36"/>
  </w:num>
  <w:num w:numId="14">
    <w:abstractNumId w:val="42"/>
  </w:num>
  <w:num w:numId="15">
    <w:abstractNumId w:val="35"/>
  </w:num>
  <w:num w:numId="16">
    <w:abstractNumId w:val="22"/>
  </w:num>
  <w:num w:numId="17">
    <w:abstractNumId w:val="6"/>
  </w:num>
  <w:num w:numId="18">
    <w:abstractNumId w:val="32"/>
  </w:num>
  <w:num w:numId="19">
    <w:abstractNumId w:val="18"/>
  </w:num>
  <w:num w:numId="20">
    <w:abstractNumId w:val="19"/>
  </w:num>
  <w:num w:numId="21">
    <w:abstractNumId w:val="14"/>
  </w:num>
  <w:num w:numId="22">
    <w:abstractNumId w:val="21"/>
  </w:num>
  <w:num w:numId="23">
    <w:abstractNumId w:val="4"/>
  </w:num>
  <w:num w:numId="24">
    <w:abstractNumId w:val="0"/>
  </w:num>
  <w:num w:numId="25">
    <w:abstractNumId w:val="38"/>
  </w:num>
  <w:num w:numId="26">
    <w:abstractNumId w:val="13"/>
  </w:num>
  <w:num w:numId="27">
    <w:abstractNumId w:val="2"/>
  </w:num>
  <w:num w:numId="28">
    <w:abstractNumId w:val="33"/>
  </w:num>
  <w:num w:numId="29">
    <w:abstractNumId w:val="25"/>
  </w:num>
  <w:num w:numId="30">
    <w:abstractNumId w:val="39"/>
  </w:num>
  <w:num w:numId="31">
    <w:abstractNumId w:val="1"/>
  </w:num>
  <w:num w:numId="32">
    <w:abstractNumId w:val="10"/>
  </w:num>
  <w:num w:numId="33">
    <w:abstractNumId w:val="5"/>
  </w:num>
  <w:num w:numId="34">
    <w:abstractNumId w:val="34"/>
  </w:num>
  <w:num w:numId="35">
    <w:abstractNumId w:val="27"/>
  </w:num>
  <w:num w:numId="36">
    <w:abstractNumId w:val="24"/>
  </w:num>
  <w:num w:numId="37">
    <w:abstractNumId w:val="12"/>
  </w:num>
  <w:num w:numId="38">
    <w:abstractNumId w:val="29"/>
  </w:num>
  <w:num w:numId="39">
    <w:abstractNumId w:val="15"/>
  </w:num>
  <w:num w:numId="40">
    <w:abstractNumId w:val="40"/>
  </w:num>
  <w:num w:numId="41">
    <w:abstractNumId w:val="20"/>
  </w:num>
  <w:num w:numId="42">
    <w:abstractNumId w:val="37"/>
  </w:num>
  <w:num w:numId="43">
    <w:abstractNumId w:val="28"/>
  </w:num>
  <w:num w:numId="44">
    <w:abstractNumId w:val="43"/>
  </w:num>
  <w:num w:numId="45">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4D8"/>
    <w:rsid w:val="000008B0"/>
    <w:rsid w:val="00000F0A"/>
    <w:rsid w:val="000014B8"/>
    <w:rsid w:val="000018D7"/>
    <w:rsid w:val="00002565"/>
    <w:rsid w:val="00002968"/>
    <w:rsid w:val="00002BC9"/>
    <w:rsid w:val="00002EFF"/>
    <w:rsid w:val="000038DD"/>
    <w:rsid w:val="00003F9C"/>
    <w:rsid w:val="000048A8"/>
    <w:rsid w:val="00005440"/>
    <w:rsid w:val="00005B9B"/>
    <w:rsid w:val="00006AAA"/>
    <w:rsid w:val="00006B9F"/>
    <w:rsid w:val="00007170"/>
    <w:rsid w:val="000079A1"/>
    <w:rsid w:val="000079CC"/>
    <w:rsid w:val="00011320"/>
    <w:rsid w:val="00011563"/>
    <w:rsid w:val="00012770"/>
    <w:rsid w:val="00012CED"/>
    <w:rsid w:val="0001325D"/>
    <w:rsid w:val="00013887"/>
    <w:rsid w:val="00014387"/>
    <w:rsid w:val="00014584"/>
    <w:rsid w:val="00015340"/>
    <w:rsid w:val="00016751"/>
    <w:rsid w:val="0001717B"/>
    <w:rsid w:val="000172AB"/>
    <w:rsid w:val="0001760A"/>
    <w:rsid w:val="000179BF"/>
    <w:rsid w:val="00017BF3"/>
    <w:rsid w:val="00020A63"/>
    <w:rsid w:val="00020AD5"/>
    <w:rsid w:val="00020C96"/>
    <w:rsid w:val="00020FEE"/>
    <w:rsid w:val="000210F3"/>
    <w:rsid w:val="0002115C"/>
    <w:rsid w:val="000224FD"/>
    <w:rsid w:val="00022EE3"/>
    <w:rsid w:val="0002302F"/>
    <w:rsid w:val="000231B1"/>
    <w:rsid w:val="00024138"/>
    <w:rsid w:val="00024B6C"/>
    <w:rsid w:val="0002551E"/>
    <w:rsid w:val="0002555E"/>
    <w:rsid w:val="000259A0"/>
    <w:rsid w:val="00030290"/>
    <w:rsid w:val="00030E70"/>
    <w:rsid w:val="000311D8"/>
    <w:rsid w:val="000315B2"/>
    <w:rsid w:val="00031E7D"/>
    <w:rsid w:val="0003207F"/>
    <w:rsid w:val="00032172"/>
    <w:rsid w:val="000321D8"/>
    <w:rsid w:val="000333D7"/>
    <w:rsid w:val="000333DA"/>
    <w:rsid w:val="0003434A"/>
    <w:rsid w:val="00034583"/>
    <w:rsid w:val="00034EC9"/>
    <w:rsid w:val="000351B5"/>
    <w:rsid w:val="0003685C"/>
    <w:rsid w:val="0004118C"/>
    <w:rsid w:val="00041433"/>
    <w:rsid w:val="00041812"/>
    <w:rsid w:val="00042748"/>
    <w:rsid w:val="0004329C"/>
    <w:rsid w:val="00043793"/>
    <w:rsid w:val="00043B7E"/>
    <w:rsid w:val="000445C5"/>
    <w:rsid w:val="00044BE1"/>
    <w:rsid w:val="0004549A"/>
    <w:rsid w:val="00046592"/>
    <w:rsid w:val="00046824"/>
    <w:rsid w:val="000469CF"/>
    <w:rsid w:val="000470FF"/>
    <w:rsid w:val="000476B3"/>
    <w:rsid w:val="00050DD7"/>
    <w:rsid w:val="0005100C"/>
    <w:rsid w:val="0005201B"/>
    <w:rsid w:val="00052CBB"/>
    <w:rsid w:val="00052FDC"/>
    <w:rsid w:val="0005329E"/>
    <w:rsid w:val="000533AF"/>
    <w:rsid w:val="000553F5"/>
    <w:rsid w:val="00055B9A"/>
    <w:rsid w:val="00055D73"/>
    <w:rsid w:val="00056118"/>
    <w:rsid w:val="00056C81"/>
    <w:rsid w:val="000577A3"/>
    <w:rsid w:val="00060235"/>
    <w:rsid w:val="00060D99"/>
    <w:rsid w:val="0006124B"/>
    <w:rsid w:val="00061676"/>
    <w:rsid w:val="00062056"/>
    <w:rsid w:val="00063E46"/>
    <w:rsid w:val="00066C4B"/>
    <w:rsid w:val="00066C6E"/>
    <w:rsid w:val="00066CEA"/>
    <w:rsid w:val="000673BA"/>
    <w:rsid w:val="000675A2"/>
    <w:rsid w:val="00071064"/>
    <w:rsid w:val="00071566"/>
    <w:rsid w:val="000722EA"/>
    <w:rsid w:val="000736F6"/>
    <w:rsid w:val="00074A56"/>
    <w:rsid w:val="00074F32"/>
    <w:rsid w:val="000750F3"/>
    <w:rsid w:val="00075114"/>
    <w:rsid w:val="000766A2"/>
    <w:rsid w:val="00076F58"/>
    <w:rsid w:val="000777BD"/>
    <w:rsid w:val="00080295"/>
    <w:rsid w:val="00080B53"/>
    <w:rsid w:val="00080D3C"/>
    <w:rsid w:val="00081382"/>
    <w:rsid w:val="00082009"/>
    <w:rsid w:val="0008325A"/>
    <w:rsid w:val="0008395F"/>
    <w:rsid w:val="000851D8"/>
    <w:rsid w:val="00085DF8"/>
    <w:rsid w:val="00086654"/>
    <w:rsid w:val="00086A9B"/>
    <w:rsid w:val="00087BF6"/>
    <w:rsid w:val="00090F59"/>
    <w:rsid w:val="000913B6"/>
    <w:rsid w:val="00091EEE"/>
    <w:rsid w:val="00092202"/>
    <w:rsid w:val="000927BD"/>
    <w:rsid w:val="00092E53"/>
    <w:rsid w:val="00093E2E"/>
    <w:rsid w:val="000940FB"/>
    <w:rsid w:val="000956D8"/>
    <w:rsid w:val="00095A14"/>
    <w:rsid w:val="000967D1"/>
    <w:rsid w:val="00097628"/>
    <w:rsid w:val="000976A4"/>
    <w:rsid w:val="00097A58"/>
    <w:rsid w:val="00097FCF"/>
    <w:rsid w:val="000A0800"/>
    <w:rsid w:val="000A0835"/>
    <w:rsid w:val="000A0A31"/>
    <w:rsid w:val="000A26BF"/>
    <w:rsid w:val="000A2C42"/>
    <w:rsid w:val="000A326E"/>
    <w:rsid w:val="000A4A4E"/>
    <w:rsid w:val="000A4CB2"/>
    <w:rsid w:val="000A5156"/>
    <w:rsid w:val="000A5808"/>
    <w:rsid w:val="000A5F9C"/>
    <w:rsid w:val="000A5FD0"/>
    <w:rsid w:val="000A702B"/>
    <w:rsid w:val="000A714D"/>
    <w:rsid w:val="000A73BE"/>
    <w:rsid w:val="000A78D8"/>
    <w:rsid w:val="000A79D6"/>
    <w:rsid w:val="000A7CCC"/>
    <w:rsid w:val="000A7E01"/>
    <w:rsid w:val="000B0022"/>
    <w:rsid w:val="000B010B"/>
    <w:rsid w:val="000B0291"/>
    <w:rsid w:val="000B160F"/>
    <w:rsid w:val="000B169B"/>
    <w:rsid w:val="000B3172"/>
    <w:rsid w:val="000B31E6"/>
    <w:rsid w:val="000B5DB5"/>
    <w:rsid w:val="000B650C"/>
    <w:rsid w:val="000B6ADE"/>
    <w:rsid w:val="000B70C3"/>
    <w:rsid w:val="000C002B"/>
    <w:rsid w:val="000C0BC0"/>
    <w:rsid w:val="000C107A"/>
    <w:rsid w:val="000C20E2"/>
    <w:rsid w:val="000C24EB"/>
    <w:rsid w:val="000C299B"/>
    <w:rsid w:val="000C311D"/>
    <w:rsid w:val="000C3126"/>
    <w:rsid w:val="000C44B1"/>
    <w:rsid w:val="000C4BA4"/>
    <w:rsid w:val="000C4E99"/>
    <w:rsid w:val="000C4E9C"/>
    <w:rsid w:val="000C60D1"/>
    <w:rsid w:val="000C6442"/>
    <w:rsid w:val="000C6D15"/>
    <w:rsid w:val="000C6F99"/>
    <w:rsid w:val="000C74A2"/>
    <w:rsid w:val="000D077F"/>
    <w:rsid w:val="000D097E"/>
    <w:rsid w:val="000D0F7A"/>
    <w:rsid w:val="000D1172"/>
    <w:rsid w:val="000D356F"/>
    <w:rsid w:val="000D3653"/>
    <w:rsid w:val="000D4A15"/>
    <w:rsid w:val="000D5202"/>
    <w:rsid w:val="000D533F"/>
    <w:rsid w:val="000D6035"/>
    <w:rsid w:val="000D6835"/>
    <w:rsid w:val="000D6C72"/>
    <w:rsid w:val="000D7834"/>
    <w:rsid w:val="000E0684"/>
    <w:rsid w:val="000E172C"/>
    <w:rsid w:val="000E1BAB"/>
    <w:rsid w:val="000E1C36"/>
    <w:rsid w:val="000E1CD3"/>
    <w:rsid w:val="000E22E4"/>
    <w:rsid w:val="000E23BE"/>
    <w:rsid w:val="000E271A"/>
    <w:rsid w:val="000E37C5"/>
    <w:rsid w:val="000E4781"/>
    <w:rsid w:val="000E5214"/>
    <w:rsid w:val="000E53D1"/>
    <w:rsid w:val="000E7EFC"/>
    <w:rsid w:val="000F0C1A"/>
    <w:rsid w:val="000F152B"/>
    <w:rsid w:val="000F29F5"/>
    <w:rsid w:val="000F4DCA"/>
    <w:rsid w:val="000F54B8"/>
    <w:rsid w:val="000F5AF0"/>
    <w:rsid w:val="000F5E4A"/>
    <w:rsid w:val="000F6623"/>
    <w:rsid w:val="000F6893"/>
    <w:rsid w:val="000F7D45"/>
    <w:rsid w:val="001003B5"/>
    <w:rsid w:val="0010045C"/>
    <w:rsid w:val="00100AEC"/>
    <w:rsid w:val="00102448"/>
    <w:rsid w:val="00103094"/>
    <w:rsid w:val="00103C66"/>
    <w:rsid w:val="00103E60"/>
    <w:rsid w:val="00104812"/>
    <w:rsid w:val="00105382"/>
    <w:rsid w:val="0010576B"/>
    <w:rsid w:val="00106179"/>
    <w:rsid w:val="001062E7"/>
    <w:rsid w:val="001074C3"/>
    <w:rsid w:val="00110AC4"/>
    <w:rsid w:val="001112D2"/>
    <w:rsid w:val="00111799"/>
    <w:rsid w:val="00113B09"/>
    <w:rsid w:val="00114FCD"/>
    <w:rsid w:val="00115702"/>
    <w:rsid w:val="00115D24"/>
    <w:rsid w:val="00116596"/>
    <w:rsid w:val="001170CA"/>
    <w:rsid w:val="00117B82"/>
    <w:rsid w:val="00117D3D"/>
    <w:rsid w:val="00117D9D"/>
    <w:rsid w:val="001203B0"/>
    <w:rsid w:val="00121D0A"/>
    <w:rsid w:val="00122384"/>
    <w:rsid w:val="0012573D"/>
    <w:rsid w:val="00126322"/>
    <w:rsid w:val="00126381"/>
    <w:rsid w:val="001271E6"/>
    <w:rsid w:val="00130561"/>
    <w:rsid w:val="001310E0"/>
    <w:rsid w:val="00131CE3"/>
    <w:rsid w:val="00131D0E"/>
    <w:rsid w:val="001320CB"/>
    <w:rsid w:val="0013286C"/>
    <w:rsid w:val="00132A62"/>
    <w:rsid w:val="00132C16"/>
    <w:rsid w:val="00132C40"/>
    <w:rsid w:val="00132CF2"/>
    <w:rsid w:val="00132DFC"/>
    <w:rsid w:val="00132FA5"/>
    <w:rsid w:val="00133892"/>
    <w:rsid w:val="00133981"/>
    <w:rsid w:val="00133E40"/>
    <w:rsid w:val="00133EEF"/>
    <w:rsid w:val="00134386"/>
    <w:rsid w:val="0013486D"/>
    <w:rsid w:val="0013536B"/>
    <w:rsid w:val="0013537B"/>
    <w:rsid w:val="00136122"/>
    <w:rsid w:val="001369A9"/>
    <w:rsid w:val="00137469"/>
    <w:rsid w:val="00137B21"/>
    <w:rsid w:val="001401C7"/>
    <w:rsid w:val="001404CF"/>
    <w:rsid w:val="00140D86"/>
    <w:rsid w:val="00141B7A"/>
    <w:rsid w:val="001426ED"/>
    <w:rsid w:val="00142F7E"/>
    <w:rsid w:val="001431C3"/>
    <w:rsid w:val="00143731"/>
    <w:rsid w:val="001440C8"/>
    <w:rsid w:val="001440E6"/>
    <w:rsid w:val="0014572C"/>
    <w:rsid w:val="001463CF"/>
    <w:rsid w:val="00146778"/>
    <w:rsid w:val="00146EDC"/>
    <w:rsid w:val="001473A4"/>
    <w:rsid w:val="00147D3D"/>
    <w:rsid w:val="00150279"/>
    <w:rsid w:val="001509B2"/>
    <w:rsid w:val="0015222F"/>
    <w:rsid w:val="0015229A"/>
    <w:rsid w:val="00152D09"/>
    <w:rsid w:val="00152E6B"/>
    <w:rsid w:val="00152F3D"/>
    <w:rsid w:val="00152F82"/>
    <w:rsid w:val="001538FD"/>
    <w:rsid w:val="00153CFE"/>
    <w:rsid w:val="00154E2E"/>
    <w:rsid w:val="001555D4"/>
    <w:rsid w:val="001557CE"/>
    <w:rsid w:val="00156B04"/>
    <w:rsid w:val="00157334"/>
    <w:rsid w:val="0015763E"/>
    <w:rsid w:val="00157B7B"/>
    <w:rsid w:val="00157FD8"/>
    <w:rsid w:val="00163D7D"/>
    <w:rsid w:val="00163DEF"/>
    <w:rsid w:val="00164E8D"/>
    <w:rsid w:val="0016523E"/>
    <w:rsid w:val="0016552E"/>
    <w:rsid w:val="00166774"/>
    <w:rsid w:val="00167196"/>
    <w:rsid w:val="00167EA1"/>
    <w:rsid w:val="001702C8"/>
    <w:rsid w:val="001718C9"/>
    <w:rsid w:val="00171F7D"/>
    <w:rsid w:val="00171FE0"/>
    <w:rsid w:val="001738AC"/>
    <w:rsid w:val="00173D99"/>
    <w:rsid w:val="00174080"/>
    <w:rsid w:val="00174BB6"/>
    <w:rsid w:val="00174FEE"/>
    <w:rsid w:val="001753E9"/>
    <w:rsid w:val="00175612"/>
    <w:rsid w:val="001758C2"/>
    <w:rsid w:val="001763D4"/>
    <w:rsid w:val="0017645E"/>
    <w:rsid w:val="00177734"/>
    <w:rsid w:val="001779B8"/>
    <w:rsid w:val="00180951"/>
    <w:rsid w:val="00182DF0"/>
    <w:rsid w:val="00183046"/>
    <w:rsid w:val="001835BD"/>
    <w:rsid w:val="00183EAB"/>
    <w:rsid w:val="00184937"/>
    <w:rsid w:val="001854B8"/>
    <w:rsid w:val="0018563A"/>
    <w:rsid w:val="00185D38"/>
    <w:rsid w:val="00185D47"/>
    <w:rsid w:val="00185F51"/>
    <w:rsid w:val="001860B7"/>
    <w:rsid w:val="00186556"/>
    <w:rsid w:val="00186733"/>
    <w:rsid w:val="00186DA9"/>
    <w:rsid w:val="001870D2"/>
    <w:rsid w:val="00187B59"/>
    <w:rsid w:val="00187B62"/>
    <w:rsid w:val="00187ECE"/>
    <w:rsid w:val="0019001E"/>
    <w:rsid w:val="00190443"/>
    <w:rsid w:val="00190D5A"/>
    <w:rsid w:val="00190F7B"/>
    <w:rsid w:val="00191047"/>
    <w:rsid w:val="001913AD"/>
    <w:rsid w:val="0019273C"/>
    <w:rsid w:val="00193989"/>
    <w:rsid w:val="00194359"/>
    <w:rsid w:val="001948F6"/>
    <w:rsid w:val="00195414"/>
    <w:rsid w:val="0019583B"/>
    <w:rsid w:val="001969F5"/>
    <w:rsid w:val="00196C9D"/>
    <w:rsid w:val="00196D35"/>
    <w:rsid w:val="00197513"/>
    <w:rsid w:val="001A06EF"/>
    <w:rsid w:val="001A0924"/>
    <w:rsid w:val="001A1721"/>
    <w:rsid w:val="001A196C"/>
    <w:rsid w:val="001A1D18"/>
    <w:rsid w:val="001A1D5D"/>
    <w:rsid w:val="001A1F93"/>
    <w:rsid w:val="001A2421"/>
    <w:rsid w:val="001A2DD7"/>
    <w:rsid w:val="001A3BDD"/>
    <w:rsid w:val="001A4A43"/>
    <w:rsid w:val="001A4D65"/>
    <w:rsid w:val="001A5448"/>
    <w:rsid w:val="001A5603"/>
    <w:rsid w:val="001A5669"/>
    <w:rsid w:val="001A69FC"/>
    <w:rsid w:val="001A70D6"/>
    <w:rsid w:val="001A79D0"/>
    <w:rsid w:val="001B1CB2"/>
    <w:rsid w:val="001B3C41"/>
    <w:rsid w:val="001B4E6F"/>
    <w:rsid w:val="001B513C"/>
    <w:rsid w:val="001B5A5A"/>
    <w:rsid w:val="001B65A3"/>
    <w:rsid w:val="001B6C67"/>
    <w:rsid w:val="001B7023"/>
    <w:rsid w:val="001C0CD3"/>
    <w:rsid w:val="001C254D"/>
    <w:rsid w:val="001C3023"/>
    <w:rsid w:val="001C3374"/>
    <w:rsid w:val="001C3A60"/>
    <w:rsid w:val="001C3D90"/>
    <w:rsid w:val="001C3FA4"/>
    <w:rsid w:val="001C4B19"/>
    <w:rsid w:val="001C4EAE"/>
    <w:rsid w:val="001C60AD"/>
    <w:rsid w:val="001C7F9A"/>
    <w:rsid w:val="001D0111"/>
    <w:rsid w:val="001D15FF"/>
    <w:rsid w:val="001D1825"/>
    <w:rsid w:val="001D2DDB"/>
    <w:rsid w:val="001D33A8"/>
    <w:rsid w:val="001D396A"/>
    <w:rsid w:val="001D4295"/>
    <w:rsid w:val="001D4F9C"/>
    <w:rsid w:val="001D525A"/>
    <w:rsid w:val="001D5C69"/>
    <w:rsid w:val="001D614C"/>
    <w:rsid w:val="001D659E"/>
    <w:rsid w:val="001D6FB9"/>
    <w:rsid w:val="001D7004"/>
    <w:rsid w:val="001D718E"/>
    <w:rsid w:val="001D7D61"/>
    <w:rsid w:val="001E0DD3"/>
    <w:rsid w:val="001E0E59"/>
    <w:rsid w:val="001E1042"/>
    <w:rsid w:val="001E19DB"/>
    <w:rsid w:val="001E1D5C"/>
    <w:rsid w:val="001E21AF"/>
    <w:rsid w:val="001E2BAC"/>
    <w:rsid w:val="001E45BF"/>
    <w:rsid w:val="001E5D41"/>
    <w:rsid w:val="001E6331"/>
    <w:rsid w:val="001E6DFB"/>
    <w:rsid w:val="001E6EAA"/>
    <w:rsid w:val="001E7804"/>
    <w:rsid w:val="001E7A70"/>
    <w:rsid w:val="001F018C"/>
    <w:rsid w:val="001F1B21"/>
    <w:rsid w:val="001F1ED3"/>
    <w:rsid w:val="001F2A13"/>
    <w:rsid w:val="001F3017"/>
    <w:rsid w:val="001F352E"/>
    <w:rsid w:val="001F3766"/>
    <w:rsid w:val="001F3996"/>
    <w:rsid w:val="001F447F"/>
    <w:rsid w:val="001F4A07"/>
    <w:rsid w:val="001F4FC3"/>
    <w:rsid w:val="001F5169"/>
    <w:rsid w:val="001F5F63"/>
    <w:rsid w:val="001F6119"/>
    <w:rsid w:val="001F624F"/>
    <w:rsid w:val="001F76ED"/>
    <w:rsid w:val="001F78E7"/>
    <w:rsid w:val="002004F7"/>
    <w:rsid w:val="002005DF"/>
    <w:rsid w:val="00200E32"/>
    <w:rsid w:val="00201498"/>
    <w:rsid w:val="00201AAC"/>
    <w:rsid w:val="00202D9F"/>
    <w:rsid w:val="002042E4"/>
    <w:rsid w:val="002054F9"/>
    <w:rsid w:val="00206D62"/>
    <w:rsid w:val="002072C9"/>
    <w:rsid w:val="0020735A"/>
    <w:rsid w:val="0021008B"/>
    <w:rsid w:val="0021078A"/>
    <w:rsid w:val="00210E29"/>
    <w:rsid w:val="00212C08"/>
    <w:rsid w:val="00213138"/>
    <w:rsid w:val="00213226"/>
    <w:rsid w:val="002145D4"/>
    <w:rsid w:val="00215732"/>
    <w:rsid w:val="00220282"/>
    <w:rsid w:val="00221121"/>
    <w:rsid w:val="00223040"/>
    <w:rsid w:val="00224F9B"/>
    <w:rsid w:val="00225E5D"/>
    <w:rsid w:val="002260D8"/>
    <w:rsid w:val="00226F7C"/>
    <w:rsid w:val="00227CAC"/>
    <w:rsid w:val="00227E8A"/>
    <w:rsid w:val="00230775"/>
    <w:rsid w:val="00230A23"/>
    <w:rsid w:val="00230A85"/>
    <w:rsid w:val="00230AA7"/>
    <w:rsid w:val="00230B3D"/>
    <w:rsid w:val="00231271"/>
    <w:rsid w:val="00231433"/>
    <w:rsid w:val="002327A2"/>
    <w:rsid w:val="002329B6"/>
    <w:rsid w:val="00232B86"/>
    <w:rsid w:val="002333E7"/>
    <w:rsid w:val="002336CF"/>
    <w:rsid w:val="002338A9"/>
    <w:rsid w:val="0023393A"/>
    <w:rsid w:val="00233EEA"/>
    <w:rsid w:val="00234580"/>
    <w:rsid w:val="002345A1"/>
    <w:rsid w:val="00235E2C"/>
    <w:rsid w:val="00236364"/>
    <w:rsid w:val="00236430"/>
    <w:rsid w:val="00236A5D"/>
    <w:rsid w:val="00236BA3"/>
    <w:rsid w:val="00240F31"/>
    <w:rsid w:val="002413EE"/>
    <w:rsid w:val="00241654"/>
    <w:rsid w:val="00241C4E"/>
    <w:rsid w:val="00241F1A"/>
    <w:rsid w:val="00242138"/>
    <w:rsid w:val="00242510"/>
    <w:rsid w:val="00243C8C"/>
    <w:rsid w:val="00243CB5"/>
    <w:rsid w:val="00243E57"/>
    <w:rsid w:val="00244205"/>
    <w:rsid w:val="002443A8"/>
    <w:rsid w:val="00245E9D"/>
    <w:rsid w:val="00246276"/>
    <w:rsid w:val="0024797C"/>
    <w:rsid w:val="00250071"/>
    <w:rsid w:val="00250B96"/>
    <w:rsid w:val="00251853"/>
    <w:rsid w:val="00251FAC"/>
    <w:rsid w:val="002526BF"/>
    <w:rsid w:val="00253282"/>
    <w:rsid w:val="00253303"/>
    <w:rsid w:val="00253433"/>
    <w:rsid w:val="00253903"/>
    <w:rsid w:val="00254100"/>
    <w:rsid w:val="0025456D"/>
    <w:rsid w:val="002546E5"/>
    <w:rsid w:val="00255C61"/>
    <w:rsid w:val="00256832"/>
    <w:rsid w:val="00257DA8"/>
    <w:rsid w:val="00260D00"/>
    <w:rsid w:val="00261435"/>
    <w:rsid w:val="00261493"/>
    <w:rsid w:val="00261750"/>
    <w:rsid w:val="00261E2C"/>
    <w:rsid w:val="00261F85"/>
    <w:rsid w:val="0026334C"/>
    <w:rsid w:val="002639A4"/>
    <w:rsid w:val="00263EF2"/>
    <w:rsid w:val="00264706"/>
    <w:rsid w:val="00264BE1"/>
    <w:rsid w:val="00264D33"/>
    <w:rsid w:val="00264E7A"/>
    <w:rsid w:val="00265D03"/>
    <w:rsid w:val="00265EB7"/>
    <w:rsid w:val="00267954"/>
    <w:rsid w:val="00270282"/>
    <w:rsid w:val="002702C4"/>
    <w:rsid w:val="00270412"/>
    <w:rsid w:val="00270739"/>
    <w:rsid w:val="00271D8E"/>
    <w:rsid w:val="002720F5"/>
    <w:rsid w:val="00272193"/>
    <w:rsid w:val="00272475"/>
    <w:rsid w:val="00274B3C"/>
    <w:rsid w:val="00274B53"/>
    <w:rsid w:val="00275B58"/>
    <w:rsid w:val="00276458"/>
    <w:rsid w:val="00276EE4"/>
    <w:rsid w:val="00276FDA"/>
    <w:rsid w:val="0028252E"/>
    <w:rsid w:val="00283483"/>
    <w:rsid w:val="00283B58"/>
    <w:rsid w:val="002849F1"/>
    <w:rsid w:val="002859EF"/>
    <w:rsid w:val="00285AF1"/>
    <w:rsid w:val="00285D99"/>
    <w:rsid w:val="0029050E"/>
    <w:rsid w:val="00291BBF"/>
    <w:rsid w:val="002927A1"/>
    <w:rsid w:val="00292DEC"/>
    <w:rsid w:val="00293B99"/>
    <w:rsid w:val="00293C8D"/>
    <w:rsid w:val="00293D02"/>
    <w:rsid w:val="00294222"/>
    <w:rsid w:val="00294AAE"/>
    <w:rsid w:val="00294F6B"/>
    <w:rsid w:val="00296690"/>
    <w:rsid w:val="002A0011"/>
    <w:rsid w:val="002A0956"/>
    <w:rsid w:val="002A1127"/>
    <w:rsid w:val="002A1228"/>
    <w:rsid w:val="002A2420"/>
    <w:rsid w:val="002A273B"/>
    <w:rsid w:val="002A2D2D"/>
    <w:rsid w:val="002A5287"/>
    <w:rsid w:val="002A58AD"/>
    <w:rsid w:val="002A6326"/>
    <w:rsid w:val="002A7EF4"/>
    <w:rsid w:val="002B0056"/>
    <w:rsid w:val="002B0E1F"/>
    <w:rsid w:val="002B298D"/>
    <w:rsid w:val="002B376D"/>
    <w:rsid w:val="002B3DB9"/>
    <w:rsid w:val="002B555A"/>
    <w:rsid w:val="002B76A4"/>
    <w:rsid w:val="002B785D"/>
    <w:rsid w:val="002B7D72"/>
    <w:rsid w:val="002C072B"/>
    <w:rsid w:val="002C13D3"/>
    <w:rsid w:val="002C1543"/>
    <w:rsid w:val="002C3CB4"/>
    <w:rsid w:val="002C42B2"/>
    <w:rsid w:val="002C430E"/>
    <w:rsid w:val="002C4D38"/>
    <w:rsid w:val="002C6474"/>
    <w:rsid w:val="002C691E"/>
    <w:rsid w:val="002D127E"/>
    <w:rsid w:val="002D1993"/>
    <w:rsid w:val="002D34F9"/>
    <w:rsid w:val="002D3B09"/>
    <w:rsid w:val="002D6D64"/>
    <w:rsid w:val="002D744E"/>
    <w:rsid w:val="002E0E38"/>
    <w:rsid w:val="002E0EBA"/>
    <w:rsid w:val="002E1D68"/>
    <w:rsid w:val="002E1D8B"/>
    <w:rsid w:val="002E1DEB"/>
    <w:rsid w:val="002E4150"/>
    <w:rsid w:val="002E4C50"/>
    <w:rsid w:val="002E6164"/>
    <w:rsid w:val="002E61CB"/>
    <w:rsid w:val="002E6554"/>
    <w:rsid w:val="002E6838"/>
    <w:rsid w:val="002E68B2"/>
    <w:rsid w:val="002E71BD"/>
    <w:rsid w:val="002F02F5"/>
    <w:rsid w:val="002F1DFC"/>
    <w:rsid w:val="002F1E85"/>
    <w:rsid w:val="002F3A8B"/>
    <w:rsid w:val="002F3AE9"/>
    <w:rsid w:val="002F3DFD"/>
    <w:rsid w:val="002F5A82"/>
    <w:rsid w:val="002F6129"/>
    <w:rsid w:val="003002EE"/>
    <w:rsid w:val="00300770"/>
    <w:rsid w:val="00300CC8"/>
    <w:rsid w:val="0030187F"/>
    <w:rsid w:val="00301EF5"/>
    <w:rsid w:val="00302B5D"/>
    <w:rsid w:val="00302F3E"/>
    <w:rsid w:val="00303D74"/>
    <w:rsid w:val="00303D9A"/>
    <w:rsid w:val="00303FAB"/>
    <w:rsid w:val="00304247"/>
    <w:rsid w:val="00304C36"/>
    <w:rsid w:val="003050D8"/>
    <w:rsid w:val="0030536D"/>
    <w:rsid w:val="0030553B"/>
    <w:rsid w:val="00306680"/>
    <w:rsid w:val="00307D40"/>
    <w:rsid w:val="003110A1"/>
    <w:rsid w:val="00311CD5"/>
    <w:rsid w:val="003149CE"/>
    <w:rsid w:val="0031514F"/>
    <w:rsid w:val="00315666"/>
    <w:rsid w:val="0031593D"/>
    <w:rsid w:val="00315D5B"/>
    <w:rsid w:val="0031646B"/>
    <w:rsid w:val="00317259"/>
    <w:rsid w:val="00317614"/>
    <w:rsid w:val="0032016D"/>
    <w:rsid w:val="00321064"/>
    <w:rsid w:val="00321185"/>
    <w:rsid w:val="00321882"/>
    <w:rsid w:val="003218B9"/>
    <w:rsid w:val="00321CDB"/>
    <w:rsid w:val="00322AA8"/>
    <w:rsid w:val="00322F36"/>
    <w:rsid w:val="003236F2"/>
    <w:rsid w:val="003238AD"/>
    <w:rsid w:val="00324615"/>
    <w:rsid w:val="00325C72"/>
    <w:rsid w:val="003260D6"/>
    <w:rsid w:val="00326B34"/>
    <w:rsid w:val="00327189"/>
    <w:rsid w:val="0032788E"/>
    <w:rsid w:val="00327E05"/>
    <w:rsid w:val="00330976"/>
    <w:rsid w:val="00332122"/>
    <w:rsid w:val="00332BEC"/>
    <w:rsid w:val="00332D92"/>
    <w:rsid w:val="00332FD3"/>
    <w:rsid w:val="0033518E"/>
    <w:rsid w:val="00335E11"/>
    <w:rsid w:val="00336FF7"/>
    <w:rsid w:val="003377D3"/>
    <w:rsid w:val="00340090"/>
    <w:rsid w:val="003406EB"/>
    <w:rsid w:val="0034168A"/>
    <w:rsid w:val="003416A6"/>
    <w:rsid w:val="00342027"/>
    <w:rsid w:val="00342043"/>
    <w:rsid w:val="003425D9"/>
    <w:rsid w:val="00343549"/>
    <w:rsid w:val="00343A9E"/>
    <w:rsid w:val="00343AB0"/>
    <w:rsid w:val="00344898"/>
    <w:rsid w:val="00345384"/>
    <w:rsid w:val="00345580"/>
    <w:rsid w:val="00345FC9"/>
    <w:rsid w:val="0034627D"/>
    <w:rsid w:val="00347DD1"/>
    <w:rsid w:val="00347F7B"/>
    <w:rsid w:val="0035157C"/>
    <w:rsid w:val="0035203A"/>
    <w:rsid w:val="00352329"/>
    <w:rsid w:val="00352408"/>
    <w:rsid w:val="00352E55"/>
    <w:rsid w:val="003531FC"/>
    <w:rsid w:val="003536EA"/>
    <w:rsid w:val="00353AE4"/>
    <w:rsid w:val="00353F01"/>
    <w:rsid w:val="00353FEF"/>
    <w:rsid w:val="0035519D"/>
    <w:rsid w:val="00355729"/>
    <w:rsid w:val="00356FD8"/>
    <w:rsid w:val="0035789D"/>
    <w:rsid w:val="0036034E"/>
    <w:rsid w:val="0036129B"/>
    <w:rsid w:val="00361436"/>
    <w:rsid w:val="003616DB"/>
    <w:rsid w:val="00361DD9"/>
    <w:rsid w:val="0036208C"/>
    <w:rsid w:val="003624AD"/>
    <w:rsid w:val="00362EF8"/>
    <w:rsid w:val="00363CBA"/>
    <w:rsid w:val="00364075"/>
    <w:rsid w:val="003640D0"/>
    <w:rsid w:val="003648B8"/>
    <w:rsid w:val="00365868"/>
    <w:rsid w:val="00365DAD"/>
    <w:rsid w:val="003660E2"/>
    <w:rsid w:val="00366163"/>
    <w:rsid w:val="00366C3C"/>
    <w:rsid w:val="00366ED6"/>
    <w:rsid w:val="00366F46"/>
    <w:rsid w:val="0036715B"/>
    <w:rsid w:val="00367E02"/>
    <w:rsid w:val="003706DA"/>
    <w:rsid w:val="00372554"/>
    <w:rsid w:val="00373A3A"/>
    <w:rsid w:val="00373FF2"/>
    <w:rsid w:val="003751B8"/>
    <w:rsid w:val="00375F76"/>
    <w:rsid w:val="00375FBF"/>
    <w:rsid w:val="00377647"/>
    <w:rsid w:val="003776FF"/>
    <w:rsid w:val="00377F9E"/>
    <w:rsid w:val="003800BE"/>
    <w:rsid w:val="00381050"/>
    <w:rsid w:val="003810EA"/>
    <w:rsid w:val="00381174"/>
    <w:rsid w:val="003817B6"/>
    <w:rsid w:val="003819EA"/>
    <w:rsid w:val="00381E3C"/>
    <w:rsid w:val="00382A09"/>
    <w:rsid w:val="00382A43"/>
    <w:rsid w:val="00382AC7"/>
    <w:rsid w:val="00382FD0"/>
    <w:rsid w:val="00383EAC"/>
    <w:rsid w:val="00384051"/>
    <w:rsid w:val="003843E4"/>
    <w:rsid w:val="00384959"/>
    <w:rsid w:val="00384C61"/>
    <w:rsid w:val="00386DA4"/>
    <w:rsid w:val="00386E78"/>
    <w:rsid w:val="00390136"/>
    <w:rsid w:val="00391015"/>
    <w:rsid w:val="003910D8"/>
    <w:rsid w:val="003912A1"/>
    <w:rsid w:val="00391DBB"/>
    <w:rsid w:val="00392308"/>
    <w:rsid w:val="0039261C"/>
    <w:rsid w:val="003927EB"/>
    <w:rsid w:val="00392DFB"/>
    <w:rsid w:val="00392EE9"/>
    <w:rsid w:val="00393627"/>
    <w:rsid w:val="003941CC"/>
    <w:rsid w:val="00394EE7"/>
    <w:rsid w:val="003954BB"/>
    <w:rsid w:val="003967B7"/>
    <w:rsid w:val="003A0E1D"/>
    <w:rsid w:val="003A12AE"/>
    <w:rsid w:val="003A213C"/>
    <w:rsid w:val="003A2203"/>
    <w:rsid w:val="003A24D6"/>
    <w:rsid w:val="003A2766"/>
    <w:rsid w:val="003A374B"/>
    <w:rsid w:val="003A6408"/>
    <w:rsid w:val="003B0446"/>
    <w:rsid w:val="003B09C1"/>
    <w:rsid w:val="003B184F"/>
    <w:rsid w:val="003B1B3D"/>
    <w:rsid w:val="003B1C17"/>
    <w:rsid w:val="003B2CAD"/>
    <w:rsid w:val="003B2D4C"/>
    <w:rsid w:val="003B3318"/>
    <w:rsid w:val="003B3572"/>
    <w:rsid w:val="003B3BDE"/>
    <w:rsid w:val="003B3BE2"/>
    <w:rsid w:val="003B3CC4"/>
    <w:rsid w:val="003B3F2A"/>
    <w:rsid w:val="003B4653"/>
    <w:rsid w:val="003B52A7"/>
    <w:rsid w:val="003B5567"/>
    <w:rsid w:val="003B6696"/>
    <w:rsid w:val="003B669D"/>
    <w:rsid w:val="003B6A15"/>
    <w:rsid w:val="003C027F"/>
    <w:rsid w:val="003C1DCB"/>
    <w:rsid w:val="003C3117"/>
    <w:rsid w:val="003C31C2"/>
    <w:rsid w:val="003C3AE8"/>
    <w:rsid w:val="003C407E"/>
    <w:rsid w:val="003C419E"/>
    <w:rsid w:val="003C4BE4"/>
    <w:rsid w:val="003C5195"/>
    <w:rsid w:val="003C6B62"/>
    <w:rsid w:val="003C6BF9"/>
    <w:rsid w:val="003C7596"/>
    <w:rsid w:val="003C78B5"/>
    <w:rsid w:val="003C7BD0"/>
    <w:rsid w:val="003D06D2"/>
    <w:rsid w:val="003D13D4"/>
    <w:rsid w:val="003D24A2"/>
    <w:rsid w:val="003D290D"/>
    <w:rsid w:val="003D351F"/>
    <w:rsid w:val="003D38C9"/>
    <w:rsid w:val="003D3E56"/>
    <w:rsid w:val="003D3F23"/>
    <w:rsid w:val="003D6EFE"/>
    <w:rsid w:val="003D7088"/>
    <w:rsid w:val="003D70C2"/>
    <w:rsid w:val="003D7347"/>
    <w:rsid w:val="003D7471"/>
    <w:rsid w:val="003D7815"/>
    <w:rsid w:val="003E0A75"/>
    <w:rsid w:val="003E0E65"/>
    <w:rsid w:val="003E2945"/>
    <w:rsid w:val="003E2957"/>
    <w:rsid w:val="003E32E3"/>
    <w:rsid w:val="003E4124"/>
    <w:rsid w:val="003E4D01"/>
    <w:rsid w:val="003E52FC"/>
    <w:rsid w:val="003E54B1"/>
    <w:rsid w:val="003E5A87"/>
    <w:rsid w:val="003E6D01"/>
    <w:rsid w:val="003E7EF2"/>
    <w:rsid w:val="003F2239"/>
    <w:rsid w:val="003F252B"/>
    <w:rsid w:val="003F2AD0"/>
    <w:rsid w:val="003F3312"/>
    <w:rsid w:val="003F3805"/>
    <w:rsid w:val="003F396A"/>
    <w:rsid w:val="003F4075"/>
    <w:rsid w:val="003F5039"/>
    <w:rsid w:val="003F635B"/>
    <w:rsid w:val="003F6811"/>
    <w:rsid w:val="003F7F18"/>
    <w:rsid w:val="003F7F7F"/>
    <w:rsid w:val="004004FE"/>
    <w:rsid w:val="004009B6"/>
    <w:rsid w:val="00400A17"/>
    <w:rsid w:val="00400C1C"/>
    <w:rsid w:val="00401B7C"/>
    <w:rsid w:val="00401E29"/>
    <w:rsid w:val="00402D08"/>
    <w:rsid w:val="00403260"/>
    <w:rsid w:val="00403695"/>
    <w:rsid w:val="00403B64"/>
    <w:rsid w:val="00404F31"/>
    <w:rsid w:val="00405402"/>
    <w:rsid w:val="00405694"/>
    <w:rsid w:val="00407401"/>
    <w:rsid w:val="0040779B"/>
    <w:rsid w:val="00407967"/>
    <w:rsid w:val="004079CC"/>
    <w:rsid w:val="00413779"/>
    <w:rsid w:val="00413905"/>
    <w:rsid w:val="00413BB8"/>
    <w:rsid w:val="0041435C"/>
    <w:rsid w:val="00415029"/>
    <w:rsid w:val="00415C99"/>
    <w:rsid w:val="004164CB"/>
    <w:rsid w:val="00416EC1"/>
    <w:rsid w:val="00421A90"/>
    <w:rsid w:val="00421B59"/>
    <w:rsid w:val="00421D84"/>
    <w:rsid w:val="004224BC"/>
    <w:rsid w:val="00422570"/>
    <w:rsid w:val="00422ED9"/>
    <w:rsid w:val="00423F29"/>
    <w:rsid w:val="00424662"/>
    <w:rsid w:val="0042472B"/>
    <w:rsid w:val="00426722"/>
    <w:rsid w:val="0042791D"/>
    <w:rsid w:val="004317A1"/>
    <w:rsid w:val="00431EEF"/>
    <w:rsid w:val="00433E5C"/>
    <w:rsid w:val="004349B7"/>
    <w:rsid w:val="00436A37"/>
    <w:rsid w:val="00436DD2"/>
    <w:rsid w:val="0043717B"/>
    <w:rsid w:val="00437287"/>
    <w:rsid w:val="00440256"/>
    <w:rsid w:val="00440764"/>
    <w:rsid w:val="004412EB"/>
    <w:rsid w:val="00442EA6"/>
    <w:rsid w:val="00443A8B"/>
    <w:rsid w:val="00444B2B"/>
    <w:rsid w:val="00446E72"/>
    <w:rsid w:val="00446EAB"/>
    <w:rsid w:val="00447B01"/>
    <w:rsid w:val="00447FCF"/>
    <w:rsid w:val="00450155"/>
    <w:rsid w:val="00450E9C"/>
    <w:rsid w:val="0045274D"/>
    <w:rsid w:val="00452DA1"/>
    <w:rsid w:val="0045393E"/>
    <w:rsid w:val="00455FE6"/>
    <w:rsid w:val="00456257"/>
    <w:rsid w:val="004562AF"/>
    <w:rsid w:val="00457B02"/>
    <w:rsid w:val="00460C67"/>
    <w:rsid w:val="00460F33"/>
    <w:rsid w:val="004611A4"/>
    <w:rsid w:val="00461BF0"/>
    <w:rsid w:val="004628D9"/>
    <w:rsid w:val="0046321B"/>
    <w:rsid w:val="004633C9"/>
    <w:rsid w:val="00465DB5"/>
    <w:rsid w:val="00465E3F"/>
    <w:rsid w:val="0046635A"/>
    <w:rsid w:val="00467E14"/>
    <w:rsid w:val="0047090B"/>
    <w:rsid w:val="0047137F"/>
    <w:rsid w:val="004720EC"/>
    <w:rsid w:val="0047220A"/>
    <w:rsid w:val="0047262B"/>
    <w:rsid w:val="00472A96"/>
    <w:rsid w:val="00472E21"/>
    <w:rsid w:val="0047355F"/>
    <w:rsid w:val="004737F0"/>
    <w:rsid w:val="00473BE5"/>
    <w:rsid w:val="00473BEB"/>
    <w:rsid w:val="00474DBF"/>
    <w:rsid w:val="004810B2"/>
    <w:rsid w:val="00481226"/>
    <w:rsid w:val="0048143B"/>
    <w:rsid w:val="00481819"/>
    <w:rsid w:val="00481A4E"/>
    <w:rsid w:val="00482087"/>
    <w:rsid w:val="004821C0"/>
    <w:rsid w:val="00483F1A"/>
    <w:rsid w:val="00485614"/>
    <w:rsid w:val="00485872"/>
    <w:rsid w:val="0048608E"/>
    <w:rsid w:val="0048657D"/>
    <w:rsid w:val="00486B52"/>
    <w:rsid w:val="0048715C"/>
    <w:rsid w:val="00487295"/>
    <w:rsid w:val="004874A8"/>
    <w:rsid w:val="00490068"/>
    <w:rsid w:val="004900A4"/>
    <w:rsid w:val="00490B18"/>
    <w:rsid w:val="004919C6"/>
    <w:rsid w:val="004927DD"/>
    <w:rsid w:val="00492827"/>
    <w:rsid w:val="00492A4E"/>
    <w:rsid w:val="00492AB7"/>
    <w:rsid w:val="004945FD"/>
    <w:rsid w:val="00494B53"/>
    <w:rsid w:val="00495152"/>
    <w:rsid w:val="00496243"/>
    <w:rsid w:val="00496D6B"/>
    <w:rsid w:val="004973DF"/>
    <w:rsid w:val="00497480"/>
    <w:rsid w:val="004977FB"/>
    <w:rsid w:val="00497FBD"/>
    <w:rsid w:val="004A139B"/>
    <w:rsid w:val="004A1529"/>
    <w:rsid w:val="004A16D6"/>
    <w:rsid w:val="004A21C3"/>
    <w:rsid w:val="004A2CD7"/>
    <w:rsid w:val="004A3EEF"/>
    <w:rsid w:val="004A56A4"/>
    <w:rsid w:val="004A59B3"/>
    <w:rsid w:val="004A5A3E"/>
    <w:rsid w:val="004A5D42"/>
    <w:rsid w:val="004A6109"/>
    <w:rsid w:val="004A764A"/>
    <w:rsid w:val="004B0159"/>
    <w:rsid w:val="004B0325"/>
    <w:rsid w:val="004B0743"/>
    <w:rsid w:val="004B0F80"/>
    <w:rsid w:val="004B113E"/>
    <w:rsid w:val="004B1F2A"/>
    <w:rsid w:val="004B204C"/>
    <w:rsid w:val="004B21CD"/>
    <w:rsid w:val="004B46C6"/>
    <w:rsid w:val="004B476F"/>
    <w:rsid w:val="004B5D19"/>
    <w:rsid w:val="004B64F6"/>
    <w:rsid w:val="004B74B3"/>
    <w:rsid w:val="004B7C86"/>
    <w:rsid w:val="004B7E5E"/>
    <w:rsid w:val="004C083D"/>
    <w:rsid w:val="004C0A85"/>
    <w:rsid w:val="004C1B24"/>
    <w:rsid w:val="004C1BFB"/>
    <w:rsid w:val="004C20B1"/>
    <w:rsid w:val="004C241A"/>
    <w:rsid w:val="004C2642"/>
    <w:rsid w:val="004C2A6B"/>
    <w:rsid w:val="004C398C"/>
    <w:rsid w:val="004C3D3A"/>
    <w:rsid w:val="004C410F"/>
    <w:rsid w:val="004C4AA8"/>
    <w:rsid w:val="004C4F9F"/>
    <w:rsid w:val="004C570A"/>
    <w:rsid w:val="004C6094"/>
    <w:rsid w:val="004C76FB"/>
    <w:rsid w:val="004D0857"/>
    <w:rsid w:val="004D160D"/>
    <w:rsid w:val="004D186D"/>
    <w:rsid w:val="004D29AD"/>
    <w:rsid w:val="004D2FE8"/>
    <w:rsid w:val="004D30D7"/>
    <w:rsid w:val="004D31B6"/>
    <w:rsid w:val="004D3E48"/>
    <w:rsid w:val="004D3E95"/>
    <w:rsid w:val="004D4AF9"/>
    <w:rsid w:val="004D5297"/>
    <w:rsid w:val="004D6102"/>
    <w:rsid w:val="004D68C9"/>
    <w:rsid w:val="004D6FB9"/>
    <w:rsid w:val="004E03AF"/>
    <w:rsid w:val="004E0E02"/>
    <w:rsid w:val="004E257C"/>
    <w:rsid w:val="004E25F6"/>
    <w:rsid w:val="004E2AF6"/>
    <w:rsid w:val="004E48AE"/>
    <w:rsid w:val="004E4C47"/>
    <w:rsid w:val="004E589D"/>
    <w:rsid w:val="004E5C91"/>
    <w:rsid w:val="004E5D92"/>
    <w:rsid w:val="004E646C"/>
    <w:rsid w:val="004E69ED"/>
    <w:rsid w:val="004E6D1D"/>
    <w:rsid w:val="004F0FCB"/>
    <w:rsid w:val="004F1003"/>
    <w:rsid w:val="004F141D"/>
    <w:rsid w:val="004F25B4"/>
    <w:rsid w:val="004F3FBC"/>
    <w:rsid w:val="004F400E"/>
    <w:rsid w:val="004F4151"/>
    <w:rsid w:val="004F4847"/>
    <w:rsid w:val="004F504F"/>
    <w:rsid w:val="004F57F7"/>
    <w:rsid w:val="004F611A"/>
    <w:rsid w:val="004F6F1D"/>
    <w:rsid w:val="004F70E1"/>
    <w:rsid w:val="00500D13"/>
    <w:rsid w:val="00501362"/>
    <w:rsid w:val="0050190F"/>
    <w:rsid w:val="00502028"/>
    <w:rsid w:val="00502325"/>
    <w:rsid w:val="00502FEE"/>
    <w:rsid w:val="00503095"/>
    <w:rsid w:val="0050431F"/>
    <w:rsid w:val="0050458D"/>
    <w:rsid w:val="005051DA"/>
    <w:rsid w:val="0050612C"/>
    <w:rsid w:val="0050732B"/>
    <w:rsid w:val="00507D97"/>
    <w:rsid w:val="00510434"/>
    <w:rsid w:val="00510C42"/>
    <w:rsid w:val="005110FE"/>
    <w:rsid w:val="00511AC8"/>
    <w:rsid w:val="00511CC0"/>
    <w:rsid w:val="00512D34"/>
    <w:rsid w:val="00512F16"/>
    <w:rsid w:val="00513AD7"/>
    <w:rsid w:val="00513E06"/>
    <w:rsid w:val="00515150"/>
    <w:rsid w:val="00515368"/>
    <w:rsid w:val="00516147"/>
    <w:rsid w:val="005161FC"/>
    <w:rsid w:val="00516686"/>
    <w:rsid w:val="0051680A"/>
    <w:rsid w:val="00516A9C"/>
    <w:rsid w:val="005177DC"/>
    <w:rsid w:val="005204E8"/>
    <w:rsid w:val="00520CD4"/>
    <w:rsid w:val="005218F6"/>
    <w:rsid w:val="00522D68"/>
    <w:rsid w:val="00522F69"/>
    <w:rsid w:val="00524172"/>
    <w:rsid w:val="00524221"/>
    <w:rsid w:val="00524EA0"/>
    <w:rsid w:val="00526342"/>
    <w:rsid w:val="00526C58"/>
    <w:rsid w:val="00527709"/>
    <w:rsid w:val="00527BB7"/>
    <w:rsid w:val="00527F78"/>
    <w:rsid w:val="00530A34"/>
    <w:rsid w:val="00531A13"/>
    <w:rsid w:val="0053306D"/>
    <w:rsid w:val="00534053"/>
    <w:rsid w:val="00535D45"/>
    <w:rsid w:val="005360B7"/>
    <w:rsid w:val="00537A1F"/>
    <w:rsid w:val="00537B98"/>
    <w:rsid w:val="00541B44"/>
    <w:rsid w:val="00541E71"/>
    <w:rsid w:val="0054249D"/>
    <w:rsid w:val="0054353A"/>
    <w:rsid w:val="0054368D"/>
    <w:rsid w:val="005437EE"/>
    <w:rsid w:val="00544062"/>
    <w:rsid w:val="00544B6D"/>
    <w:rsid w:val="00545D40"/>
    <w:rsid w:val="005461D9"/>
    <w:rsid w:val="0054685E"/>
    <w:rsid w:val="00546DFE"/>
    <w:rsid w:val="00547140"/>
    <w:rsid w:val="00547D83"/>
    <w:rsid w:val="00547FA2"/>
    <w:rsid w:val="00550190"/>
    <w:rsid w:val="00550611"/>
    <w:rsid w:val="00550A3B"/>
    <w:rsid w:val="00551D64"/>
    <w:rsid w:val="00552674"/>
    <w:rsid w:val="00552C91"/>
    <w:rsid w:val="00554C47"/>
    <w:rsid w:val="00554CE6"/>
    <w:rsid w:val="00554DD2"/>
    <w:rsid w:val="00554E38"/>
    <w:rsid w:val="00555F51"/>
    <w:rsid w:val="00555FFC"/>
    <w:rsid w:val="00556A6B"/>
    <w:rsid w:val="005572A4"/>
    <w:rsid w:val="00557EA9"/>
    <w:rsid w:val="00560117"/>
    <w:rsid w:val="0056091F"/>
    <w:rsid w:val="00560D50"/>
    <w:rsid w:val="00560FAB"/>
    <w:rsid w:val="00561804"/>
    <w:rsid w:val="00561E7C"/>
    <w:rsid w:val="005621CF"/>
    <w:rsid w:val="005624FC"/>
    <w:rsid w:val="00562AA8"/>
    <w:rsid w:val="0056311F"/>
    <w:rsid w:val="00563A71"/>
    <w:rsid w:val="00564B10"/>
    <w:rsid w:val="00564DEE"/>
    <w:rsid w:val="00565716"/>
    <w:rsid w:val="00565917"/>
    <w:rsid w:val="005670E3"/>
    <w:rsid w:val="005671B4"/>
    <w:rsid w:val="005676A9"/>
    <w:rsid w:val="00567752"/>
    <w:rsid w:val="0057084B"/>
    <w:rsid w:val="0057198B"/>
    <w:rsid w:val="00571E9B"/>
    <w:rsid w:val="00571FF0"/>
    <w:rsid w:val="005729CD"/>
    <w:rsid w:val="005732E4"/>
    <w:rsid w:val="005740EB"/>
    <w:rsid w:val="005744D0"/>
    <w:rsid w:val="005747AD"/>
    <w:rsid w:val="005748C4"/>
    <w:rsid w:val="00575336"/>
    <w:rsid w:val="00575669"/>
    <w:rsid w:val="005759DE"/>
    <w:rsid w:val="00575A4B"/>
    <w:rsid w:val="00575B03"/>
    <w:rsid w:val="005768B3"/>
    <w:rsid w:val="00576BCE"/>
    <w:rsid w:val="00576DC4"/>
    <w:rsid w:val="0057757A"/>
    <w:rsid w:val="00577888"/>
    <w:rsid w:val="00581625"/>
    <w:rsid w:val="0058171D"/>
    <w:rsid w:val="00581978"/>
    <w:rsid w:val="00581B47"/>
    <w:rsid w:val="00581C94"/>
    <w:rsid w:val="00582663"/>
    <w:rsid w:val="0058291D"/>
    <w:rsid w:val="00582DDF"/>
    <w:rsid w:val="005832AE"/>
    <w:rsid w:val="00583A0C"/>
    <w:rsid w:val="00583FDE"/>
    <w:rsid w:val="005854D0"/>
    <w:rsid w:val="005859E1"/>
    <w:rsid w:val="005860FD"/>
    <w:rsid w:val="00586DCD"/>
    <w:rsid w:val="0058744C"/>
    <w:rsid w:val="005878CE"/>
    <w:rsid w:val="00587AC7"/>
    <w:rsid w:val="00590452"/>
    <w:rsid w:val="00590A54"/>
    <w:rsid w:val="00590C7D"/>
    <w:rsid w:val="00592810"/>
    <w:rsid w:val="005929DA"/>
    <w:rsid w:val="00592A33"/>
    <w:rsid w:val="00592BF5"/>
    <w:rsid w:val="00593033"/>
    <w:rsid w:val="00593F61"/>
    <w:rsid w:val="00596708"/>
    <w:rsid w:val="00596ACA"/>
    <w:rsid w:val="00597954"/>
    <w:rsid w:val="005A1377"/>
    <w:rsid w:val="005A1E83"/>
    <w:rsid w:val="005A2AE5"/>
    <w:rsid w:val="005A2BC9"/>
    <w:rsid w:val="005A3FD9"/>
    <w:rsid w:val="005A4155"/>
    <w:rsid w:val="005A4AD7"/>
    <w:rsid w:val="005A58E8"/>
    <w:rsid w:val="005A5BB8"/>
    <w:rsid w:val="005A5CC1"/>
    <w:rsid w:val="005A6336"/>
    <w:rsid w:val="005A79BD"/>
    <w:rsid w:val="005A79D3"/>
    <w:rsid w:val="005A7B2A"/>
    <w:rsid w:val="005A7E12"/>
    <w:rsid w:val="005B0541"/>
    <w:rsid w:val="005B0ABB"/>
    <w:rsid w:val="005B0FD8"/>
    <w:rsid w:val="005B1512"/>
    <w:rsid w:val="005B3C0F"/>
    <w:rsid w:val="005B478C"/>
    <w:rsid w:val="005B6947"/>
    <w:rsid w:val="005B7D1A"/>
    <w:rsid w:val="005C002D"/>
    <w:rsid w:val="005C1566"/>
    <w:rsid w:val="005C3FDF"/>
    <w:rsid w:val="005C435B"/>
    <w:rsid w:val="005C44C6"/>
    <w:rsid w:val="005C4BCC"/>
    <w:rsid w:val="005C54E1"/>
    <w:rsid w:val="005C5C1B"/>
    <w:rsid w:val="005C624B"/>
    <w:rsid w:val="005C6460"/>
    <w:rsid w:val="005C64DE"/>
    <w:rsid w:val="005C6710"/>
    <w:rsid w:val="005C6B24"/>
    <w:rsid w:val="005C748B"/>
    <w:rsid w:val="005C75BB"/>
    <w:rsid w:val="005D056C"/>
    <w:rsid w:val="005D35C6"/>
    <w:rsid w:val="005D3FEC"/>
    <w:rsid w:val="005D445F"/>
    <w:rsid w:val="005D6CD5"/>
    <w:rsid w:val="005D7853"/>
    <w:rsid w:val="005E0684"/>
    <w:rsid w:val="005E12F4"/>
    <w:rsid w:val="005E3A05"/>
    <w:rsid w:val="005E3DBD"/>
    <w:rsid w:val="005E3E81"/>
    <w:rsid w:val="005E440F"/>
    <w:rsid w:val="005E55CD"/>
    <w:rsid w:val="005E59B9"/>
    <w:rsid w:val="005E59DE"/>
    <w:rsid w:val="005E611A"/>
    <w:rsid w:val="005E7BC2"/>
    <w:rsid w:val="005E7CF0"/>
    <w:rsid w:val="005F199B"/>
    <w:rsid w:val="005F2789"/>
    <w:rsid w:val="005F27C6"/>
    <w:rsid w:val="005F2888"/>
    <w:rsid w:val="005F3150"/>
    <w:rsid w:val="005F319F"/>
    <w:rsid w:val="005F3380"/>
    <w:rsid w:val="005F3567"/>
    <w:rsid w:val="005F4323"/>
    <w:rsid w:val="005F4BDA"/>
    <w:rsid w:val="005F4EAE"/>
    <w:rsid w:val="005F5668"/>
    <w:rsid w:val="005F6893"/>
    <w:rsid w:val="005F68BE"/>
    <w:rsid w:val="005F6FD5"/>
    <w:rsid w:val="005F720B"/>
    <w:rsid w:val="005F79BC"/>
    <w:rsid w:val="005F7A5A"/>
    <w:rsid w:val="005F7D80"/>
    <w:rsid w:val="00600CE0"/>
    <w:rsid w:val="0060139E"/>
    <w:rsid w:val="00601616"/>
    <w:rsid w:val="006019D3"/>
    <w:rsid w:val="00601B0B"/>
    <w:rsid w:val="006020BC"/>
    <w:rsid w:val="006024DB"/>
    <w:rsid w:val="00602EB8"/>
    <w:rsid w:val="006034F8"/>
    <w:rsid w:val="00603739"/>
    <w:rsid w:val="00603EF9"/>
    <w:rsid w:val="00604A45"/>
    <w:rsid w:val="00604FAF"/>
    <w:rsid w:val="00604FCB"/>
    <w:rsid w:val="00605273"/>
    <w:rsid w:val="0060582F"/>
    <w:rsid w:val="006059FB"/>
    <w:rsid w:val="00606970"/>
    <w:rsid w:val="00607026"/>
    <w:rsid w:val="00610E52"/>
    <w:rsid w:val="00610EE1"/>
    <w:rsid w:val="0061219B"/>
    <w:rsid w:val="006131AB"/>
    <w:rsid w:val="006152D1"/>
    <w:rsid w:val="00615547"/>
    <w:rsid w:val="006155FA"/>
    <w:rsid w:val="00615EA5"/>
    <w:rsid w:val="00616352"/>
    <w:rsid w:val="00616C01"/>
    <w:rsid w:val="00617C21"/>
    <w:rsid w:val="006201B7"/>
    <w:rsid w:val="0062055D"/>
    <w:rsid w:val="00623245"/>
    <w:rsid w:val="006232BB"/>
    <w:rsid w:val="006233C8"/>
    <w:rsid w:val="00623E0D"/>
    <w:rsid w:val="0062532F"/>
    <w:rsid w:val="006256A2"/>
    <w:rsid w:val="00625C5A"/>
    <w:rsid w:val="00626066"/>
    <w:rsid w:val="00626565"/>
    <w:rsid w:val="00626E80"/>
    <w:rsid w:val="006270DE"/>
    <w:rsid w:val="006270F9"/>
    <w:rsid w:val="00630940"/>
    <w:rsid w:val="00631182"/>
    <w:rsid w:val="006315D7"/>
    <w:rsid w:val="006317CD"/>
    <w:rsid w:val="0063186B"/>
    <w:rsid w:val="00632319"/>
    <w:rsid w:val="006325BD"/>
    <w:rsid w:val="00632ED8"/>
    <w:rsid w:val="00633989"/>
    <w:rsid w:val="00633B36"/>
    <w:rsid w:val="00635A37"/>
    <w:rsid w:val="006361AF"/>
    <w:rsid w:val="0063670E"/>
    <w:rsid w:val="00636867"/>
    <w:rsid w:val="00641390"/>
    <w:rsid w:val="006425FE"/>
    <w:rsid w:val="00643BA7"/>
    <w:rsid w:val="00643DFB"/>
    <w:rsid w:val="00643E28"/>
    <w:rsid w:val="00644099"/>
    <w:rsid w:val="00645734"/>
    <w:rsid w:val="00645C5A"/>
    <w:rsid w:val="0064685A"/>
    <w:rsid w:val="00647391"/>
    <w:rsid w:val="0064759E"/>
    <w:rsid w:val="00647693"/>
    <w:rsid w:val="00650954"/>
    <w:rsid w:val="00650F7C"/>
    <w:rsid w:val="00651AB9"/>
    <w:rsid w:val="00651E41"/>
    <w:rsid w:val="006529CF"/>
    <w:rsid w:val="00653F19"/>
    <w:rsid w:val="006540DE"/>
    <w:rsid w:val="0065437B"/>
    <w:rsid w:val="0065437F"/>
    <w:rsid w:val="00654630"/>
    <w:rsid w:val="00654BAE"/>
    <w:rsid w:val="00654FE8"/>
    <w:rsid w:val="00656699"/>
    <w:rsid w:val="006577DB"/>
    <w:rsid w:val="00657A7A"/>
    <w:rsid w:val="0066056A"/>
    <w:rsid w:val="0066097C"/>
    <w:rsid w:val="00660E25"/>
    <w:rsid w:val="0066130C"/>
    <w:rsid w:val="006618C9"/>
    <w:rsid w:val="006620F2"/>
    <w:rsid w:val="0066224F"/>
    <w:rsid w:val="0066257C"/>
    <w:rsid w:val="00662E15"/>
    <w:rsid w:val="00664288"/>
    <w:rsid w:val="0066435F"/>
    <w:rsid w:val="00664648"/>
    <w:rsid w:val="00664C70"/>
    <w:rsid w:val="00664FF3"/>
    <w:rsid w:val="00665939"/>
    <w:rsid w:val="006660E2"/>
    <w:rsid w:val="006664C0"/>
    <w:rsid w:val="00666F2D"/>
    <w:rsid w:val="0066783A"/>
    <w:rsid w:val="00670064"/>
    <w:rsid w:val="00670D18"/>
    <w:rsid w:val="00670E33"/>
    <w:rsid w:val="006715A0"/>
    <w:rsid w:val="00671B92"/>
    <w:rsid w:val="00671BEF"/>
    <w:rsid w:val="00674B1D"/>
    <w:rsid w:val="00675900"/>
    <w:rsid w:val="006767E7"/>
    <w:rsid w:val="00680A7D"/>
    <w:rsid w:val="006812A2"/>
    <w:rsid w:val="00682F52"/>
    <w:rsid w:val="00682F96"/>
    <w:rsid w:val="00683A2D"/>
    <w:rsid w:val="00684471"/>
    <w:rsid w:val="00686199"/>
    <w:rsid w:val="00686542"/>
    <w:rsid w:val="00686A7F"/>
    <w:rsid w:val="00687973"/>
    <w:rsid w:val="00690058"/>
    <w:rsid w:val="0069013F"/>
    <w:rsid w:val="00692925"/>
    <w:rsid w:val="00692F34"/>
    <w:rsid w:val="00692FCD"/>
    <w:rsid w:val="00694383"/>
    <w:rsid w:val="00694492"/>
    <w:rsid w:val="00694C01"/>
    <w:rsid w:val="00695212"/>
    <w:rsid w:val="0069583B"/>
    <w:rsid w:val="00695F1A"/>
    <w:rsid w:val="0069690D"/>
    <w:rsid w:val="006A047D"/>
    <w:rsid w:val="006A1123"/>
    <w:rsid w:val="006A18DE"/>
    <w:rsid w:val="006A1DFC"/>
    <w:rsid w:val="006A1E5F"/>
    <w:rsid w:val="006A4067"/>
    <w:rsid w:val="006A4253"/>
    <w:rsid w:val="006A4982"/>
    <w:rsid w:val="006A58EF"/>
    <w:rsid w:val="006A5FDA"/>
    <w:rsid w:val="006A60EE"/>
    <w:rsid w:val="006A6901"/>
    <w:rsid w:val="006A6CB3"/>
    <w:rsid w:val="006A76F1"/>
    <w:rsid w:val="006A77A8"/>
    <w:rsid w:val="006B061C"/>
    <w:rsid w:val="006B0697"/>
    <w:rsid w:val="006B11F2"/>
    <w:rsid w:val="006B134E"/>
    <w:rsid w:val="006B1A9E"/>
    <w:rsid w:val="006B2F3A"/>
    <w:rsid w:val="006B3473"/>
    <w:rsid w:val="006B42A5"/>
    <w:rsid w:val="006B4615"/>
    <w:rsid w:val="006B4D79"/>
    <w:rsid w:val="006B4E42"/>
    <w:rsid w:val="006B5443"/>
    <w:rsid w:val="006B577E"/>
    <w:rsid w:val="006B6B31"/>
    <w:rsid w:val="006B7176"/>
    <w:rsid w:val="006B7D68"/>
    <w:rsid w:val="006B7DA0"/>
    <w:rsid w:val="006C0C61"/>
    <w:rsid w:val="006C11F0"/>
    <w:rsid w:val="006C1861"/>
    <w:rsid w:val="006C290D"/>
    <w:rsid w:val="006C323E"/>
    <w:rsid w:val="006C4965"/>
    <w:rsid w:val="006C553A"/>
    <w:rsid w:val="006C7139"/>
    <w:rsid w:val="006C71C9"/>
    <w:rsid w:val="006C76E7"/>
    <w:rsid w:val="006C798F"/>
    <w:rsid w:val="006D10C7"/>
    <w:rsid w:val="006D1FAB"/>
    <w:rsid w:val="006D27F1"/>
    <w:rsid w:val="006D285E"/>
    <w:rsid w:val="006D2FB4"/>
    <w:rsid w:val="006D3174"/>
    <w:rsid w:val="006D43FB"/>
    <w:rsid w:val="006D49B3"/>
    <w:rsid w:val="006D4A90"/>
    <w:rsid w:val="006D55DD"/>
    <w:rsid w:val="006D5B17"/>
    <w:rsid w:val="006D6BEA"/>
    <w:rsid w:val="006D6C04"/>
    <w:rsid w:val="006D7272"/>
    <w:rsid w:val="006E1DED"/>
    <w:rsid w:val="006E1F5A"/>
    <w:rsid w:val="006E3B5E"/>
    <w:rsid w:val="006E3EC7"/>
    <w:rsid w:val="006E42C9"/>
    <w:rsid w:val="006E4AC4"/>
    <w:rsid w:val="006E5846"/>
    <w:rsid w:val="006E665A"/>
    <w:rsid w:val="006E692B"/>
    <w:rsid w:val="006E706C"/>
    <w:rsid w:val="006E7771"/>
    <w:rsid w:val="006F02FF"/>
    <w:rsid w:val="006F063C"/>
    <w:rsid w:val="006F129F"/>
    <w:rsid w:val="006F151D"/>
    <w:rsid w:val="006F3DC0"/>
    <w:rsid w:val="006F466D"/>
    <w:rsid w:val="006F4AD3"/>
    <w:rsid w:val="006F5E92"/>
    <w:rsid w:val="006F62F4"/>
    <w:rsid w:val="006F6385"/>
    <w:rsid w:val="006F7148"/>
    <w:rsid w:val="006F715B"/>
    <w:rsid w:val="006F74E7"/>
    <w:rsid w:val="007014C3"/>
    <w:rsid w:val="00701BC3"/>
    <w:rsid w:val="0070235C"/>
    <w:rsid w:val="00703244"/>
    <w:rsid w:val="0070388B"/>
    <w:rsid w:val="00703B2A"/>
    <w:rsid w:val="0070539F"/>
    <w:rsid w:val="0070563C"/>
    <w:rsid w:val="00705C6A"/>
    <w:rsid w:val="00705D32"/>
    <w:rsid w:val="007064F3"/>
    <w:rsid w:val="007068FD"/>
    <w:rsid w:val="00706BF6"/>
    <w:rsid w:val="00706E67"/>
    <w:rsid w:val="007100C0"/>
    <w:rsid w:val="0071110B"/>
    <w:rsid w:val="00711A85"/>
    <w:rsid w:val="00711DBF"/>
    <w:rsid w:val="0071357A"/>
    <w:rsid w:val="00713FD3"/>
    <w:rsid w:val="007141CE"/>
    <w:rsid w:val="007149C8"/>
    <w:rsid w:val="00716E84"/>
    <w:rsid w:val="00716FDD"/>
    <w:rsid w:val="00717764"/>
    <w:rsid w:val="007177D2"/>
    <w:rsid w:val="00717AB6"/>
    <w:rsid w:val="007210BF"/>
    <w:rsid w:val="007216BF"/>
    <w:rsid w:val="007219D8"/>
    <w:rsid w:val="00721BF9"/>
    <w:rsid w:val="00722569"/>
    <w:rsid w:val="007244A4"/>
    <w:rsid w:val="00724D34"/>
    <w:rsid w:val="007260A1"/>
    <w:rsid w:val="00726695"/>
    <w:rsid w:val="00726D1F"/>
    <w:rsid w:val="007272F2"/>
    <w:rsid w:val="00727514"/>
    <w:rsid w:val="00727CED"/>
    <w:rsid w:val="0073043C"/>
    <w:rsid w:val="00730621"/>
    <w:rsid w:val="0073129C"/>
    <w:rsid w:val="007312E8"/>
    <w:rsid w:val="00731CC6"/>
    <w:rsid w:val="00732498"/>
    <w:rsid w:val="007335BD"/>
    <w:rsid w:val="007337F9"/>
    <w:rsid w:val="00733974"/>
    <w:rsid w:val="00733A3D"/>
    <w:rsid w:val="00734103"/>
    <w:rsid w:val="0073475E"/>
    <w:rsid w:val="00734CFE"/>
    <w:rsid w:val="00734F1B"/>
    <w:rsid w:val="00734F2E"/>
    <w:rsid w:val="007362F4"/>
    <w:rsid w:val="007377DE"/>
    <w:rsid w:val="007400E8"/>
    <w:rsid w:val="007404DF"/>
    <w:rsid w:val="007409A5"/>
    <w:rsid w:val="00740C8D"/>
    <w:rsid w:val="00740CF2"/>
    <w:rsid w:val="00742418"/>
    <w:rsid w:val="007427D5"/>
    <w:rsid w:val="00743238"/>
    <w:rsid w:val="007432EE"/>
    <w:rsid w:val="00744787"/>
    <w:rsid w:val="00746BC4"/>
    <w:rsid w:val="007470ED"/>
    <w:rsid w:val="00750388"/>
    <w:rsid w:val="007506B8"/>
    <w:rsid w:val="007506ED"/>
    <w:rsid w:val="00750C93"/>
    <w:rsid w:val="00751287"/>
    <w:rsid w:val="00751319"/>
    <w:rsid w:val="00751670"/>
    <w:rsid w:val="00751C54"/>
    <w:rsid w:val="007532A9"/>
    <w:rsid w:val="007536D8"/>
    <w:rsid w:val="00753E84"/>
    <w:rsid w:val="00754DD5"/>
    <w:rsid w:val="00755A77"/>
    <w:rsid w:val="00755B13"/>
    <w:rsid w:val="00755C37"/>
    <w:rsid w:val="007565D1"/>
    <w:rsid w:val="00756DB3"/>
    <w:rsid w:val="007574DF"/>
    <w:rsid w:val="007607D5"/>
    <w:rsid w:val="00760C64"/>
    <w:rsid w:val="00760E4F"/>
    <w:rsid w:val="007635B2"/>
    <w:rsid w:val="0076386D"/>
    <w:rsid w:val="00765B9F"/>
    <w:rsid w:val="00765EB5"/>
    <w:rsid w:val="00765EE6"/>
    <w:rsid w:val="00766408"/>
    <w:rsid w:val="00767B3E"/>
    <w:rsid w:val="00767CDF"/>
    <w:rsid w:val="00767D26"/>
    <w:rsid w:val="00771486"/>
    <w:rsid w:val="00772135"/>
    <w:rsid w:val="007721E9"/>
    <w:rsid w:val="00772261"/>
    <w:rsid w:val="007726BF"/>
    <w:rsid w:val="00773139"/>
    <w:rsid w:val="00773149"/>
    <w:rsid w:val="00773288"/>
    <w:rsid w:val="007739B1"/>
    <w:rsid w:val="00774989"/>
    <w:rsid w:val="00774CF8"/>
    <w:rsid w:val="00777253"/>
    <w:rsid w:val="00777E23"/>
    <w:rsid w:val="007814FF"/>
    <w:rsid w:val="0078206A"/>
    <w:rsid w:val="00782F7C"/>
    <w:rsid w:val="007836C0"/>
    <w:rsid w:val="00784160"/>
    <w:rsid w:val="007847C6"/>
    <w:rsid w:val="007853B2"/>
    <w:rsid w:val="00785660"/>
    <w:rsid w:val="00790082"/>
    <w:rsid w:val="00790106"/>
    <w:rsid w:val="0079081D"/>
    <w:rsid w:val="00790D5F"/>
    <w:rsid w:val="00791045"/>
    <w:rsid w:val="00792E84"/>
    <w:rsid w:val="007933FE"/>
    <w:rsid w:val="0079468F"/>
    <w:rsid w:val="00795056"/>
    <w:rsid w:val="00795590"/>
    <w:rsid w:val="007965DD"/>
    <w:rsid w:val="00797042"/>
    <w:rsid w:val="00797DDB"/>
    <w:rsid w:val="007A0645"/>
    <w:rsid w:val="007A0F27"/>
    <w:rsid w:val="007A40CA"/>
    <w:rsid w:val="007A5364"/>
    <w:rsid w:val="007A6396"/>
    <w:rsid w:val="007A779A"/>
    <w:rsid w:val="007B0E51"/>
    <w:rsid w:val="007B1136"/>
    <w:rsid w:val="007B1B81"/>
    <w:rsid w:val="007B1BC2"/>
    <w:rsid w:val="007B25A2"/>
    <w:rsid w:val="007B3A44"/>
    <w:rsid w:val="007B4108"/>
    <w:rsid w:val="007B4681"/>
    <w:rsid w:val="007B4F30"/>
    <w:rsid w:val="007B4F67"/>
    <w:rsid w:val="007B5608"/>
    <w:rsid w:val="007B577F"/>
    <w:rsid w:val="007B5ED6"/>
    <w:rsid w:val="007B63B1"/>
    <w:rsid w:val="007B688B"/>
    <w:rsid w:val="007B76B3"/>
    <w:rsid w:val="007B7FDE"/>
    <w:rsid w:val="007C0341"/>
    <w:rsid w:val="007C177B"/>
    <w:rsid w:val="007C20EE"/>
    <w:rsid w:val="007C270A"/>
    <w:rsid w:val="007C284F"/>
    <w:rsid w:val="007C2B81"/>
    <w:rsid w:val="007C4BEF"/>
    <w:rsid w:val="007C4E90"/>
    <w:rsid w:val="007C54FA"/>
    <w:rsid w:val="007C6843"/>
    <w:rsid w:val="007C7BDF"/>
    <w:rsid w:val="007D178B"/>
    <w:rsid w:val="007D17ED"/>
    <w:rsid w:val="007D2C57"/>
    <w:rsid w:val="007D2EEF"/>
    <w:rsid w:val="007D64BB"/>
    <w:rsid w:val="007D6D42"/>
    <w:rsid w:val="007D72EC"/>
    <w:rsid w:val="007D78E8"/>
    <w:rsid w:val="007D7908"/>
    <w:rsid w:val="007D7D5A"/>
    <w:rsid w:val="007E00E7"/>
    <w:rsid w:val="007E1985"/>
    <w:rsid w:val="007E2736"/>
    <w:rsid w:val="007E3231"/>
    <w:rsid w:val="007E4848"/>
    <w:rsid w:val="007E4BE9"/>
    <w:rsid w:val="007E7BE9"/>
    <w:rsid w:val="007E7D05"/>
    <w:rsid w:val="007F0F9A"/>
    <w:rsid w:val="007F135D"/>
    <w:rsid w:val="007F2EFD"/>
    <w:rsid w:val="007F4388"/>
    <w:rsid w:val="007F480A"/>
    <w:rsid w:val="007F4F99"/>
    <w:rsid w:val="007F566F"/>
    <w:rsid w:val="007F6C1D"/>
    <w:rsid w:val="007F789A"/>
    <w:rsid w:val="0080188E"/>
    <w:rsid w:val="008028FF"/>
    <w:rsid w:val="008029E9"/>
    <w:rsid w:val="00802B3E"/>
    <w:rsid w:val="00803ADB"/>
    <w:rsid w:val="0080466D"/>
    <w:rsid w:val="00804D5C"/>
    <w:rsid w:val="008054C0"/>
    <w:rsid w:val="008060F0"/>
    <w:rsid w:val="00806416"/>
    <w:rsid w:val="008065E7"/>
    <w:rsid w:val="00806E8B"/>
    <w:rsid w:val="00807346"/>
    <w:rsid w:val="0081038B"/>
    <w:rsid w:val="00812CC8"/>
    <w:rsid w:val="0081445B"/>
    <w:rsid w:val="00815A2C"/>
    <w:rsid w:val="00816898"/>
    <w:rsid w:val="00816B49"/>
    <w:rsid w:val="008176A8"/>
    <w:rsid w:val="008179F6"/>
    <w:rsid w:val="00820136"/>
    <w:rsid w:val="008203C8"/>
    <w:rsid w:val="008211DC"/>
    <w:rsid w:val="008212BA"/>
    <w:rsid w:val="00821B8A"/>
    <w:rsid w:val="008226A7"/>
    <w:rsid w:val="0082285D"/>
    <w:rsid w:val="00822B84"/>
    <w:rsid w:val="008240CE"/>
    <w:rsid w:val="0082419F"/>
    <w:rsid w:val="00824FBF"/>
    <w:rsid w:val="00826137"/>
    <w:rsid w:val="00826536"/>
    <w:rsid w:val="00826643"/>
    <w:rsid w:val="008276D2"/>
    <w:rsid w:val="00827831"/>
    <w:rsid w:val="00827932"/>
    <w:rsid w:val="00830538"/>
    <w:rsid w:val="00830BB1"/>
    <w:rsid w:val="00830EFE"/>
    <w:rsid w:val="00831CF4"/>
    <w:rsid w:val="0083272B"/>
    <w:rsid w:val="008327CE"/>
    <w:rsid w:val="00832E86"/>
    <w:rsid w:val="008332D7"/>
    <w:rsid w:val="008337A5"/>
    <w:rsid w:val="0083386A"/>
    <w:rsid w:val="00833D81"/>
    <w:rsid w:val="00834143"/>
    <w:rsid w:val="0083560B"/>
    <w:rsid w:val="0083561C"/>
    <w:rsid w:val="00836694"/>
    <w:rsid w:val="00836C27"/>
    <w:rsid w:val="008376FD"/>
    <w:rsid w:val="0083783C"/>
    <w:rsid w:val="00837AF1"/>
    <w:rsid w:val="00840E72"/>
    <w:rsid w:val="00841A9B"/>
    <w:rsid w:val="00842AE5"/>
    <w:rsid w:val="00842C59"/>
    <w:rsid w:val="008437E0"/>
    <w:rsid w:val="008444FD"/>
    <w:rsid w:val="008455FA"/>
    <w:rsid w:val="0084565D"/>
    <w:rsid w:val="008462F0"/>
    <w:rsid w:val="00846649"/>
    <w:rsid w:val="008474A0"/>
    <w:rsid w:val="008479D3"/>
    <w:rsid w:val="00852137"/>
    <w:rsid w:val="00853820"/>
    <w:rsid w:val="00855067"/>
    <w:rsid w:val="00855EED"/>
    <w:rsid w:val="008566A2"/>
    <w:rsid w:val="00856F06"/>
    <w:rsid w:val="00860271"/>
    <w:rsid w:val="00861DD0"/>
    <w:rsid w:val="00864036"/>
    <w:rsid w:val="00864C8A"/>
    <w:rsid w:val="00865754"/>
    <w:rsid w:val="00867662"/>
    <w:rsid w:val="00867DEB"/>
    <w:rsid w:val="00870615"/>
    <w:rsid w:val="008707CB"/>
    <w:rsid w:val="00870E5A"/>
    <w:rsid w:val="00871392"/>
    <w:rsid w:val="00871C55"/>
    <w:rsid w:val="00871EF8"/>
    <w:rsid w:val="00871F91"/>
    <w:rsid w:val="0087285C"/>
    <w:rsid w:val="00872B93"/>
    <w:rsid w:val="008740C6"/>
    <w:rsid w:val="00874FC0"/>
    <w:rsid w:val="0087523D"/>
    <w:rsid w:val="00875841"/>
    <w:rsid w:val="00875DAF"/>
    <w:rsid w:val="008763AA"/>
    <w:rsid w:val="008769D9"/>
    <w:rsid w:val="008812BF"/>
    <w:rsid w:val="00881630"/>
    <w:rsid w:val="00881F37"/>
    <w:rsid w:val="00882407"/>
    <w:rsid w:val="00882B75"/>
    <w:rsid w:val="00882C72"/>
    <w:rsid w:val="00883A48"/>
    <w:rsid w:val="008848DC"/>
    <w:rsid w:val="00885C43"/>
    <w:rsid w:val="008860FE"/>
    <w:rsid w:val="00886402"/>
    <w:rsid w:val="00886F20"/>
    <w:rsid w:val="00887895"/>
    <w:rsid w:val="00887986"/>
    <w:rsid w:val="00890CD0"/>
    <w:rsid w:val="00892075"/>
    <w:rsid w:val="00892A2F"/>
    <w:rsid w:val="0089377A"/>
    <w:rsid w:val="0089414F"/>
    <w:rsid w:val="00894CDD"/>
    <w:rsid w:val="00895452"/>
    <w:rsid w:val="00895FFD"/>
    <w:rsid w:val="008961CE"/>
    <w:rsid w:val="00896A83"/>
    <w:rsid w:val="00896FEF"/>
    <w:rsid w:val="00897140"/>
    <w:rsid w:val="008A0362"/>
    <w:rsid w:val="008A142A"/>
    <w:rsid w:val="008A151F"/>
    <w:rsid w:val="008A1766"/>
    <w:rsid w:val="008A1D23"/>
    <w:rsid w:val="008A20EF"/>
    <w:rsid w:val="008A2B57"/>
    <w:rsid w:val="008A3748"/>
    <w:rsid w:val="008A4BFC"/>
    <w:rsid w:val="008A564D"/>
    <w:rsid w:val="008A5B27"/>
    <w:rsid w:val="008A5F35"/>
    <w:rsid w:val="008A706A"/>
    <w:rsid w:val="008A77E2"/>
    <w:rsid w:val="008A7848"/>
    <w:rsid w:val="008B16B9"/>
    <w:rsid w:val="008B1B4C"/>
    <w:rsid w:val="008B238E"/>
    <w:rsid w:val="008B31E9"/>
    <w:rsid w:val="008B3419"/>
    <w:rsid w:val="008B35EE"/>
    <w:rsid w:val="008B3E7C"/>
    <w:rsid w:val="008B4033"/>
    <w:rsid w:val="008B405B"/>
    <w:rsid w:val="008B44E8"/>
    <w:rsid w:val="008B49E0"/>
    <w:rsid w:val="008B556D"/>
    <w:rsid w:val="008B5A93"/>
    <w:rsid w:val="008B7A46"/>
    <w:rsid w:val="008B7EF1"/>
    <w:rsid w:val="008C01D4"/>
    <w:rsid w:val="008C0349"/>
    <w:rsid w:val="008C0B85"/>
    <w:rsid w:val="008C0D2A"/>
    <w:rsid w:val="008C18F6"/>
    <w:rsid w:val="008C197F"/>
    <w:rsid w:val="008C2D71"/>
    <w:rsid w:val="008C33F8"/>
    <w:rsid w:val="008C44FD"/>
    <w:rsid w:val="008C468E"/>
    <w:rsid w:val="008C49A7"/>
    <w:rsid w:val="008C51A4"/>
    <w:rsid w:val="008C5492"/>
    <w:rsid w:val="008C5ED4"/>
    <w:rsid w:val="008C6271"/>
    <w:rsid w:val="008C6E47"/>
    <w:rsid w:val="008C6FBE"/>
    <w:rsid w:val="008C7211"/>
    <w:rsid w:val="008C7EB6"/>
    <w:rsid w:val="008D07F4"/>
    <w:rsid w:val="008D0CF0"/>
    <w:rsid w:val="008D125C"/>
    <w:rsid w:val="008D2884"/>
    <w:rsid w:val="008D2E17"/>
    <w:rsid w:val="008D345E"/>
    <w:rsid w:val="008D3D5F"/>
    <w:rsid w:val="008D460A"/>
    <w:rsid w:val="008D51C2"/>
    <w:rsid w:val="008D587A"/>
    <w:rsid w:val="008D62F5"/>
    <w:rsid w:val="008D70B2"/>
    <w:rsid w:val="008D79B2"/>
    <w:rsid w:val="008D7D4F"/>
    <w:rsid w:val="008D7ED0"/>
    <w:rsid w:val="008E0BF4"/>
    <w:rsid w:val="008E16F7"/>
    <w:rsid w:val="008E2972"/>
    <w:rsid w:val="008E2D38"/>
    <w:rsid w:val="008E30E9"/>
    <w:rsid w:val="008E419E"/>
    <w:rsid w:val="008E4EDC"/>
    <w:rsid w:val="008E5F44"/>
    <w:rsid w:val="008F01F2"/>
    <w:rsid w:val="008F18D1"/>
    <w:rsid w:val="008F3077"/>
    <w:rsid w:val="008F4FEE"/>
    <w:rsid w:val="008F5106"/>
    <w:rsid w:val="008F5B95"/>
    <w:rsid w:val="008F641C"/>
    <w:rsid w:val="008F7FEC"/>
    <w:rsid w:val="0090085A"/>
    <w:rsid w:val="00900D8E"/>
    <w:rsid w:val="00901247"/>
    <w:rsid w:val="0090132F"/>
    <w:rsid w:val="00901A9C"/>
    <w:rsid w:val="00902505"/>
    <w:rsid w:val="0090274A"/>
    <w:rsid w:val="00902BE2"/>
    <w:rsid w:val="00903C11"/>
    <w:rsid w:val="00903FA1"/>
    <w:rsid w:val="00904115"/>
    <w:rsid w:val="00904ABB"/>
    <w:rsid w:val="00905154"/>
    <w:rsid w:val="00905286"/>
    <w:rsid w:val="0090556B"/>
    <w:rsid w:val="0090718C"/>
    <w:rsid w:val="009114C1"/>
    <w:rsid w:val="009127B2"/>
    <w:rsid w:val="00912B3C"/>
    <w:rsid w:val="00912C03"/>
    <w:rsid w:val="00913D69"/>
    <w:rsid w:val="00913FE4"/>
    <w:rsid w:val="009149B1"/>
    <w:rsid w:val="0091571C"/>
    <w:rsid w:val="00915893"/>
    <w:rsid w:val="00915982"/>
    <w:rsid w:val="00915AE1"/>
    <w:rsid w:val="009170C8"/>
    <w:rsid w:val="0092081A"/>
    <w:rsid w:val="00920D44"/>
    <w:rsid w:val="0092110D"/>
    <w:rsid w:val="009211DA"/>
    <w:rsid w:val="009218B1"/>
    <w:rsid w:val="0092213C"/>
    <w:rsid w:val="00922248"/>
    <w:rsid w:val="00922B4C"/>
    <w:rsid w:val="00922E9E"/>
    <w:rsid w:val="00923180"/>
    <w:rsid w:val="00923832"/>
    <w:rsid w:val="00923F1E"/>
    <w:rsid w:val="00924047"/>
    <w:rsid w:val="00924A5F"/>
    <w:rsid w:val="00924F91"/>
    <w:rsid w:val="00925702"/>
    <w:rsid w:val="00925828"/>
    <w:rsid w:val="009258C9"/>
    <w:rsid w:val="00925E7F"/>
    <w:rsid w:val="0092633C"/>
    <w:rsid w:val="00926D1F"/>
    <w:rsid w:val="00926E2E"/>
    <w:rsid w:val="00926EBE"/>
    <w:rsid w:val="0092743C"/>
    <w:rsid w:val="00930289"/>
    <w:rsid w:val="0093062D"/>
    <w:rsid w:val="00930C01"/>
    <w:rsid w:val="00930CE2"/>
    <w:rsid w:val="00931B78"/>
    <w:rsid w:val="00931EF7"/>
    <w:rsid w:val="00932A02"/>
    <w:rsid w:val="00932CEB"/>
    <w:rsid w:val="00932EF0"/>
    <w:rsid w:val="00935AB2"/>
    <w:rsid w:val="00935F95"/>
    <w:rsid w:val="009361AE"/>
    <w:rsid w:val="0093655E"/>
    <w:rsid w:val="00936D7E"/>
    <w:rsid w:val="00941BD2"/>
    <w:rsid w:val="00941D80"/>
    <w:rsid w:val="00943A98"/>
    <w:rsid w:val="00943E7A"/>
    <w:rsid w:val="0094499D"/>
    <w:rsid w:val="00944D8A"/>
    <w:rsid w:val="009456E6"/>
    <w:rsid w:val="00945FF7"/>
    <w:rsid w:val="0094628E"/>
    <w:rsid w:val="009462CE"/>
    <w:rsid w:val="00946942"/>
    <w:rsid w:val="009475EF"/>
    <w:rsid w:val="00947DA2"/>
    <w:rsid w:val="0095041F"/>
    <w:rsid w:val="00951A06"/>
    <w:rsid w:val="009526CD"/>
    <w:rsid w:val="00952CCB"/>
    <w:rsid w:val="009532E2"/>
    <w:rsid w:val="009535B1"/>
    <w:rsid w:val="009546ED"/>
    <w:rsid w:val="00954BC9"/>
    <w:rsid w:val="00955248"/>
    <w:rsid w:val="00955406"/>
    <w:rsid w:val="00956364"/>
    <w:rsid w:val="00956E12"/>
    <w:rsid w:val="009572F0"/>
    <w:rsid w:val="009601FC"/>
    <w:rsid w:val="009622B5"/>
    <w:rsid w:val="0096284C"/>
    <w:rsid w:val="00962862"/>
    <w:rsid w:val="00963176"/>
    <w:rsid w:val="0096513A"/>
    <w:rsid w:val="009667CE"/>
    <w:rsid w:val="00966881"/>
    <w:rsid w:val="00967CB3"/>
    <w:rsid w:val="00970704"/>
    <w:rsid w:val="00970AEA"/>
    <w:rsid w:val="00971480"/>
    <w:rsid w:val="009714E7"/>
    <w:rsid w:val="009716A9"/>
    <w:rsid w:val="009718BD"/>
    <w:rsid w:val="00971D46"/>
    <w:rsid w:val="00972741"/>
    <w:rsid w:val="00972D23"/>
    <w:rsid w:val="00972E6E"/>
    <w:rsid w:val="00973523"/>
    <w:rsid w:val="00973B50"/>
    <w:rsid w:val="00973E13"/>
    <w:rsid w:val="00975597"/>
    <w:rsid w:val="009755E4"/>
    <w:rsid w:val="00976143"/>
    <w:rsid w:val="00976355"/>
    <w:rsid w:val="0097695C"/>
    <w:rsid w:val="00976A46"/>
    <w:rsid w:val="00977102"/>
    <w:rsid w:val="00977269"/>
    <w:rsid w:val="00977C67"/>
    <w:rsid w:val="00977D30"/>
    <w:rsid w:val="00977DFB"/>
    <w:rsid w:val="009805F0"/>
    <w:rsid w:val="00981128"/>
    <w:rsid w:val="009811B4"/>
    <w:rsid w:val="0098133D"/>
    <w:rsid w:val="00981345"/>
    <w:rsid w:val="009822E3"/>
    <w:rsid w:val="00984733"/>
    <w:rsid w:val="009864F8"/>
    <w:rsid w:val="00986BAF"/>
    <w:rsid w:val="00986C02"/>
    <w:rsid w:val="009879E6"/>
    <w:rsid w:val="009904BB"/>
    <w:rsid w:val="00990840"/>
    <w:rsid w:val="00991178"/>
    <w:rsid w:val="0099121E"/>
    <w:rsid w:val="0099133F"/>
    <w:rsid w:val="00991B8E"/>
    <w:rsid w:val="00991E3D"/>
    <w:rsid w:val="00992690"/>
    <w:rsid w:val="00992FF7"/>
    <w:rsid w:val="00993D9E"/>
    <w:rsid w:val="009944F8"/>
    <w:rsid w:val="00994872"/>
    <w:rsid w:val="00995A87"/>
    <w:rsid w:val="00996F3E"/>
    <w:rsid w:val="009A11A6"/>
    <w:rsid w:val="009A2222"/>
    <w:rsid w:val="009A39A5"/>
    <w:rsid w:val="009A3B92"/>
    <w:rsid w:val="009A4A72"/>
    <w:rsid w:val="009A504B"/>
    <w:rsid w:val="009A52E8"/>
    <w:rsid w:val="009A5B2B"/>
    <w:rsid w:val="009A5C42"/>
    <w:rsid w:val="009A64E7"/>
    <w:rsid w:val="009A672D"/>
    <w:rsid w:val="009A777F"/>
    <w:rsid w:val="009B0304"/>
    <w:rsid w:val="009B0D95"/>
    <w:rsid w:val="009B0F66"/>
    <w:rsid w:val="009B17E9"/>
    <w:rsid w:val="009B28ED"/>
    <w:rsid w:val="009B29D4"/>
    <w:rsid w:val="009B2F8B"/>
    <w:rsid w:val="009B3111"/>
    <w:rsid w:val="009B3432"/>
    <w:rsid w:val="009B3570"/>
    <w:rsid w:val="009B3672"/>
    <w:rsid w:val="009B4A88"/>
    <w:rsid w:val="009B4DBC"/>
    <w:rsid w:val="009B4F72"/>
    <w:rsid w:val="009B50B9"/>
    <w:rsid w:val="009B56EA"/>
    <w:rsid w:val="009B60A8"/>
    <w:rsid w:val="009B60D0"/>
    <w:rsid w:val="009B6861"/>
    <w:rsid w:val="009C07EE"/>
    <w:rsid w:val="009C0CBB"/>
    <w:rsid w:val="009C0DF3"/>
    <w:rsid w:val="009C2343"/>
    <w:rsid w:val="009C245A"/>
    <w:rsid w:val="009C34E5"/>
    <w:rsid w:val="009C3B05"/>
    <w:rsid w:val="009C4718"/>
    <w:rsid w:val="009C516E"/>
    <w:rsid w:val="009C5646"/>
    <w:rsid w:val="009C597F"/>
    <w:rsid w:val="009C6134"/>
    <w:rsid w:val="009C69CB"/>
    <w:rsid w:val="009C7DC6"/>
    <w:rsid w:val="009D06D8"/>
    <w:rsid w:val="009D0C8A"/>
    <w:rsid w:val="009D1B07"/>
    <w:rsid w:val="009D2DE6"/>
    <w:rsid w:val="009D48A1"/>
    <w:rsid w:val="009D48CE"/>
    <w:rsid w:val="009D4DB5"/>
    <w:rsid w:val="009D4FCF"/>
    <w:rsid w:val="009D55BB"/>
    <w:rsid w:val="009D5AEF"/>
    <w:rsid w:val="009D5CBF"/>
    <w:rsid w:val="009E1063"/>
    <w:rsid w:val="009E128B"/>
    <w:rsid w:val="009E3533"/>
    <w:rsid w:val="009E3F80"/>
    <w:rsid w:val="009E3FF6"/>
    <w:rsid w:val="009E5D7F"/>
    <w:rsid w:val="009E652E"/>
    <w:rsid w:val="009E7222"/>
    <w:rsid w:val="009F123A"/>
    <w:rsid w:val="009F2598"/>
    <w:rsid w:val="009F3560"/>
    <w:rsid w:val="009F356D"/>
    <w:rsid w:val="009F35FC"/>
    <w:rsid w:val="009F3ACE"/>
    <w:rsid w:val="009F47E3"/>
    <w:rsid w:val="009F5250"/>
    <w:rsid w:val="009F5577"/>
    <w:rsid w:val="009F66B9"/>
    <w:rsid w:val="009F75BC"/>
    <w:rsid w:val="009F7A2D"/>
    <w:rsid w:val="009F7D3A"/>
    <w:rsid w:val="00A02216"/>
    <w:rsid w:val="00A0251D"/>
    <w:rsid w:val="00A0341C"/>
    <w:rsid w:val="00A0380E"/>
    <w:rsid w:val="00A03F60"/>
    <w:rsid w:val="00A051B5"/>
    <w:rsid w:val="00A059EF"/>
    <w:rsid w:val="00A05A83"/>
    <w:rsid w:val="00A0611D"/>
    <w:rsid w:val="00A06458"/>
    <w:rsid w:val="00A06723"/>
    <w:rsid w:val="00A06776"/>
    <w:rsid w:val="00A06F06"/>
    <w:rsid w:val="00A07959"/>
    <w:rsid w:val="00A07FE7"/>
    <w:rsid w:val="00A104B3"/>
    <w:rsid w:val="00A10F60"/>
    <w:rsid w:val="00A124BC"/>
    <w:rsid w:val="00A13877"/>
    <w:rsid w:val="00A1462E"/>
    <w:rsid w:val="00A15161"/>
    <w:rsid w:val="00A1689C"/>
    <w:rsid w:val="00A17921"/>
    <w:rsid w:val="00A20459"/>
    <w:rsid w:val="00A20B98"/>
    <w:rsid w:val="00A21507"/>
    <w:rsid w:val="00A2154B"/>
    <w:rsid w:val="00A23355"/>
    <w:rsid w:val="00A246AD"/>
    <w:rsid w:val="00A25BEF"/>
    <w:rsid w:val="00A25DEB"/>
    <w:rsid w:val="00A26ACA"/>
    <w:rsid w:val="00A26B99"/>
    <w:rsid w:val="00A26C6A"/>
    <w:rsid w:val="00A27D59"/>
    <w:rsid w:val="00A30A26"/>
    <w:rsid w:val="00A30A51"/>
    <w:rsid w:val="00A3188A"/>
    <w:rsid w:val="00A31CF0"/>
    <w:rsid w:val="00A320D2"/>
    <w:rsid w:val="00A326E1"/>
    <w:rsid w:val="00A32FF8"/>
    <w:rsid w:val="00A33A05"/>
    <w:rsid w:val="00A33F94"/>
    <w:rsid w:val="00A34277"/>
    <w:rsid w:val="00A347A7"/>
    <w:rsid w:val="00A35E0F"/>
    <w:rsid w:val="00A3643F"/>
    <w:rsid w:val="00A36DB2"/>
    <w:rsid w:val="00A37CB3"/>
    <w:rsid w:val="00A403B4"/>
    <w:rsid w:val="00A4044F"/>
    <w:rsid w:val="00A408EE"/>
    <w:rsid w:val="00A40E9F"/>
    <w:rsid w:val="00A415A9"/>
    <w:rsid w:val="00A41A59"/>
    <w:rsid w:val="00A42CDD"/>
    <w:rsid w:val="00A42F0C"/>
    <w:rsid w:val="00A4406D"/>
    <w:rsid w:val="00A444AA"/>
    <w:rsid w:val="00A46752"/>
    <w:rsid w:val="00A46D53"/>
    <w:rsid w:val="00A500E7"/>
    <w:rsid w:val="00A51645"/>
    <w:rsid w:val="00A5174B"/>
    <w:rsid w:val="00A5375F"/>
    <w:rsid w:val="00A55579"/>
    <w:rsid w:val="00A55927"/>
    <w:rsid w:val="00A55AAD"/>
    <w:rsid w:val="00A55EB4"/>
    <w:rsid w:val="00A561A6"/>
    <w:rsid w:val="00A567DC"/>
    <w:rsid w:val="00A56FEE"/>
    <w:rsid w:val="00A57E80"/>
    <w:rsid w:val="00A602E9"/>
    <w:rsid w:val="00A6205F"/>
    <w:rsid w:val="00A623C2"/>
    <w:rsid w:val="00A628ED"/>
    <w:rsid w:val="00A62920"/>
    <w:rsid w:val="00A6319E"/>
    <w:rsid w:val="00A6349A"/>
    <w:rsid w:val="00A64281"/>
    <w:rsid w:val="00A64703"/>
    <w:rsid w:val="00A64D19"/>
    <w:rsid w:val="00A659D2"/>
    <w:rsid w:val="00A66C92"/>
    <w:rsid w:val="00A67B23"/>
    <w:rsid w:val="00A70DED"/>
    <w:rsid w:val="00A70F08"/>
    <w:rsid w:val="00A70F2D"/>
    <w:rsid w:val="00A7120C"/>
    <w:rsid w:val="00A7168D"/>
    <w:rsid w:val="00A71DCE"/>
    <w:rsid w:val="00A73033"/>
    <w:rsid w:val="00A730FE"/>
    <w:rsid w:val="00A7326B"/>
    <w:rsid w:val="00A742DA"/>
    <w:rsid w:val="00A7463A"/>
    <w:rsid w:val="00A74D81"/>
    <w:rsid w:val="00A75483"/>
    <w:rsid w:val="00A77CB9"/>
    <w:rsid w:val="00A8105C"/>
    <w:rsid w:val="00A810B0"/>
    <w:rsid w:val="00A81220"/>
    <w:rsid w:val="00A81830"/>
    <w:rsid w:val="00A8211D"/>
    <w:rsid w:val="00A8219B"/>
    <w:rsid w:val="00A8300F"/>
    <w:rsid w:val="00A83A10"/>
    <w:rsid w:val="00A848A1"/>
    <w:rsid w:val="00A85F1C"/>
    <w:rsid w:val="00A8690E"/>
    <w:rsid w:val="00A86E4A"/>
    <w:rsid w:val="00A871D1"/>
    <w:rsid w:val="00A87D18"/>
    <w:rsid w:val="00A907BB"/>
    <w:rsid w:val="00A90FF6"/>
    <w:rsid w:val="00A914CD"/>
    <w:rsid w:val="00A93095"/>
    <w:rsid w:val="00A939EB"/>
    <w:rsid w:val="00A93EA9"/>
    <w:rsid w:val="00A94108"/>
    <w:rsid w:val="00A95157"/>
    <w:rsid w:val="00A95CCF"/>
    <w:rsid w:val="00A96A9F"/>
    <w:rsid w:val="00AA01C6"/>
    <w:rsid w:val="00AA29A0"/>
    <w:rsid w:val="00AA3737"/>
    <w:rsid w:val="00AA38AF"/>
    <w:rsid w:val="00AA5101"/>
    <w:rsid w:val="00AA5C0C"/>
    <w:rsid w:val="00AA74D0"/>
    <w:rsid w:val="00AA78B7"/>
    <w:rsid w:val="00AA78FE"/>
    <w:rsid w:val="00AA7ACA"/>
    <w:rsid w:val="00AB0779"/>
    <w:rsid w:val="00AB077A"/>
    <w:rsid w:val="00AB1688"/>
    <w:rsid w:val="00AB24F0"/>
    <w:rsid w:val="00AB2549"/>
    <w:rsid w:val="00AB3072"/>
    <w:rsid w:val="00AB3F55"/>
    <w:rsid w:val="00AB45DE"/>
    <w:rsid w:val="00AB4FF2"/>
    <w:rsid w:val="00AB546C"/>
    <w:rsid w:val="00AB5628"/>
    <w:rsid w:val="00AB5D11"/>
    <w:rsid w:val="00AB62CD"/>
    <w:rsid w:val="00AB67D5"/>
    <w:rsid w:val="00AB6D1A"/>
    <w:rsid w:val="00AB6F69"/>
    <w:rsid w:val="00AB745F"/>
    <w:rsid w:val="00AB7487"/>
    <w:rsid w:val="00AB7932"/>
    <w:rsid w:val="00AB7EDB"/>
    <w:rsid w:val="00AB7F67"/>
    <w:rsid w:val="00AC1CD2"/>
    <w:rsid w:val="00AC1E57"/>
    <w:rsid w:val="00AC2F2C"/>
    <w:rsid w:val="00AC48EA"/>
    <w:rsid w:val="00AC515D"/>
    <w:rsid w:val="00AC583A"/>
    <w:rsid w:val="00AC6791"/>
    <w:rsid w:val="00AC6C2D"/>
    <w:rsid w:val="00AC75CF"/>
    <w:rsid w:val="00AC79F6"/>
    <w:rsid w:val="00AC7D17"/>
    <w:rsid w:val="00AC7E3A"/>
    <w:rsid w:val="00AD04A9"/>
    <w:rsid w:val="00AD04B2"/>
    <w:rsid w:val="00AD1593"/>
    <w:rsid w:val="00AD1FCD"/>
    <w:rsid w:val="00AD21A5"/>
    <w:rsid w:val="00AD234A"/>
    <w:rsid w:val="00AD2CDA"/>
    <w:rsid w:val="00AD3A0E"/>
    <w:rsid w:val="00AD3B91"/>
    <w:rsid w:val="00AD41FD"/>
    <w:rsid w:val="00AD4C01"/>
    <w:rsid w:val="00AD61D4"/>
    <w:rsid w:val="00AD6508"/>
    <w:rsid w:val="00AD704E"/>
    <w:rsid w:val="00AE080A"/>
    <w:rsid w:val="00AE08B4"/>
    <w:rsid w:val="00AE0998"/>
    <w:rsid w:val="00AE0EF2"/>
    <w:rsid w:val="00AE1590"/>
    <w:rsid w:val="00AE1BE8"/>
    <w:rsid w:val="00AE1F16"/>
    <w:rsid w:val="00AE24B0"/>
    <w:rsid w:val="00AE2D43"/>
    <w:rsid w:val="00AE34D3"/>
    <w:rsid w:val="00AE3A76"/>
    <w:rsid w:val="00AE4AD5"/>
    <w:rsid w:val="00AE57C5"/>
    <w:rsid w:val="00AE6101"/>
    <w:rsid w:val="00AE6980"/>
    <w:rsid w:val="00AE69C3"/>
    <w:rsid w:val="00AE6A8A"/>
    <w:rsid w:val="00AE7C51"/>
    <w:rsid w:val="00AE7DFD"/>
    <w:rsid w:val="00AF361D"/>
    <w:rsid w:val="00AF3FD8"/>
    <w:rsid w:val="00AF4B62"/>
    <w:rsid w:val="00AF61B5"/>
    <w:rsid w:val="00AF705B"/>
    <w:rsid w:val="00AF7090"/>
    <w:rsid w:val="00AF7BEB"/>
    <w:rsid w:val="00B00C8F"/>
    <w:rsid w:val="00B0176F"/>
    <w:rsid w:val="00B039FE"/>
    <w:rsid w:val="00B03C3D"/>
    <w:rsid w:val="00B03F64"/>
    <w:rsid w:val="00B04033"/>
    <w:rsid w:val="00B040E2"/>
    <w:rsid w:val="00B0418A"/>
    <w:rsid w:val="00B04481"/>
    <w:rsid w:val="00B051C0"/>
    <w:rsid w:val="00B070CB"/>
    <w:rsid w:val="00B079AB"/>
    <w:rsid w:val="00B07BB9"/>
    <w:rsid w:val="00B10483"/>
    <w:rsid w:val="00B1061E"/>
    <w:rsid w:val="00B11343"/>
    <w:rsid w:val="00B11DED"/>
    <w:rsid w:val="00B12067"/>
    <w:rsid w:val="00B12B60"/>
    <w:rsid w:val="00B12C77"/>
    <w:rsid w:val="00B12F4B"/>
    <w:rsid w:val="00B13D04"/>
    <w:rsid w:val="00B141AB"/>
    <w:rsid w:val="00B1544F"/>
    <w:rsid w:val="00B15DFA"/>
    <w:rsid w:val="00B16296"/>
    <w:rsid w:val="00B17CEA"/>
    <w:rsid w:val="00B2043E"/>
    <w:rsid w:val="00B20E6B"/>
    <w:rsid w:val="00B21DBC"/>
    <w:rsid w:val="00B21EA6"/>
    <w:rsid w:val="00B23365"/>
    <w:rsid w:val="00B23613"/>
    <w:rsid w:val="00B23B35"/>
    <w:rsid w:val="00B23CCC"/>
    <w:rsid w:val="00B23E7A"/>
    <w:rsid w:val="00B23F1F"/>
    <w:rsid w:val="00B2456C"/>
    <w:rsid w:val="00B24961"/>
    <w:rsid w:val="00B25819"/>
    <w:rsid w:val="00B25AAA"/>
    <w:rsid w:val="00B276F7"/>
    <w:rsid w:val="00B27E6F"/>
    <w:rsid w:val="00B307EF"/>
    <w:rsid w:val="00B32756"/>
    <w:rsid w:val="00B32CF9"/>
    <w:rsid w:val="00B33242"/>
    <w:rsid w:val="00B33ED2"/>
    <w:rsid w:val="00B33EFF"/>
    <w:rsid w:val="00B34180"/>
    <w:rsid w:val="00B34633"/>
    <w:rsid w:val="00B34DCB"/>
    <w:rsid w:val="00B36A27"/>
    <w:rsid w:val="00B377FA"/>
    <w:rsid w:val="00B37B8A"/>
    <w:rsid w:val="00B409EF"/>
    <w:rsid w:val="00B410AF"/>
    <w:rsid w:val="00B41731"/>
    <w:rsid w:val="00B418C2"/>
    <w:rsid w:val="00B421B2"/>
    <w:rsid w:val="00B424FA"/>
    <w:rsid w:val="00B42784"/>
    <w:rsid w:val="00B42FD1"/>
    <w:rsid w:val="00B43343"/>
    <w:rsid w:val="00B445B5"/>
    <w:rsid w:val="00B45E9B"/>
    <w:rsid w:val="00B46027"/>
    <w:rsid w:val="00B47954"/>
    <w:rsid w:val="00B47EEA"/>
    <w:rsid w:val="00B5059B"/>
    <w:rsid w:val="00B51CA8"/>
    <w:rsid w:val="00B51EFC"/>
    <w:rsid w:val="00B524F6"/>
    <w:rsid w:val="00B5298C"/>
    <w:rsid w:val="00B53050"/>
    <w:rsid w:val="00B53AA4"/>
    <w:rsid w:val="00B5441C"/>
    <w:rsid w:val="00B54807"/>
    <w:rsid w:val="00B55D34"/>
    <w:rsid w:val="00B62C80"/>
    <w:rsid w:val="00B639E3"/>
    <w:rsid w:val="00B63FCD"/>
    <w:rsid w:val="00B64912"/>
    <w:rsid w:val="00B6584C"/>
    <w:rsid w:val="00B65B72"/>
    <w:rsid w:val="00B65EB6"/>
    <w:rsid w:val="00B66304"/>
    <w:rsid w:val="00B66A62"/>
    <w:rsid w:val="00B6710C"/>
    <w:rsid w:val="00B701FA"/>
    <w:rsid w:val="00B70758"/>
    <w:rsid w:val="00B709A0"/>
    <w:rsid w:val="00B709CE"/>
    <w:rsid w:val="00B71455"/>
    <w:rsid w:val="00B71C54"/>
    <w:rsid w:val="00B71C6D"/>
    <w:rsid w:val="00B7206D"/>
    <w:rsid w:val="00B72103"/>
    <w:rsid w:val="00B7271E"/>
    <w:rsid w:val="00B72A04"/>
    <w:rsid w:val="00B7435C"/>
    <w:rsid w:val="00B743A1"/>
    <w:rsid w:val="00B74AE4"/>
    <w:rsid w:val="00B74D01"/>
    <w:rsid w:val="00B76379"/>
    <w:rsid w:val="00B76422"/>
    <w:rsid w:val="00B766D7"/>
    <w:rsid w:val="00B77360"/>
    <w:rsid w:val="00B77981"/>
    <w:rsid w:val="00B80E9F"/>
    <w:rsid w:val="00B8151D"/>
    <w:rsid w:val="00B8185B"/>
    <w:rsid w:val="00B823E4"/>
    <w:rsid w:val="00B82F0D"/>
    <w:rsid w:val="00B83DD6"/>
    <w:rsid w:val="00B84F08"/>
    <w:rsid w:val="00B850AC"/>
    <w:rsid w:val="00B852CD"/>
    <w:rsid w:val="00B85A42"/>
    <w:rsid w:val="00B85BB0"/>
    <w:rsid w:val="00B87A88"/>
    <w:rsid w:val="00B87BF7"/>
    <w:rsid w:val="00B90238"/>
    <w:rsid w:val="00B91079"/>
    <w:rsid w:val="00B93AE2"/>
    <w:rsid w:val="00B93C13"/>
    <w:rsid w:val="00B93F0E"/>
    <w:rsid w:val="00B9431C"/>
    <w:rsid w:val="00B943D8"/>
    <w:rsid w:val="00B94BA6"/>
    <w:rsid w:val="00B94EC0"/>
    <w:rsid w:val="00B9549E"/>
    <w:rsid w:val="00B954C0"/>
    <w:rsid w:val="00B95D6A"/>
    <w:rsid w:val="00B96AA6"/>
    <w:rsid w:val="00B97541"/>
    <w:rsid w:val="00BA043A"/>
    <w:rsid w:val="00BA1721"/>
    <w:rsid w:val="00BA1A66"/>
    <w:rsid w:val="00BA295B"/>
    <w:rsid w:val="00BA322D"/>
    <w:rsid w:val="00BA42B1"/>
    <w:rsid w:val="00BA4BF0"/>
    <w:rsid w:val="00BA5CD7"/>
    <w:rsid w:val="00BA6143"/>
    <w:rsid w:val="00BA6A59"/>
    <w:rsid w:val="00BA7B02"/>
    <w:rsid w:val="00BA7C77"/>
    <w:rsid w:val="00BB0831"/>
    <w:rsid w:val="00BB0D89"/>
    <w:rsid w:val="00BB128E"/>
    <w:rsid w:val="00BB175A"/>
    <w:rsid w:val="00BB1C04"/>
    <w:rsid w:val="00BB1EDC"/>
    <w:rsid w:val="00BB2F7B"/>
    <w:rsid w:val="00BB3852"/>
    <w:rsid w:val="00BB38DE"/>
    <w:rsid w:val="00BB3DAA"/>
    <w:rsid w:val="00BB4CB6"/>
    <w:rsid w:val="00BB4E48"/>
    <w:rsid w:val="00BB5062"/>
    <w:rsid w:val="00BB524A"/>
    <w:rsid w:val="00BB52D3"/>
    <w:rsid w:val="00BB583B"/>
    <w:rsid w:val="00BB5CEE"/>
    <w:rsid w:val="00BB76AF"/>
    <w:rsid w:val="00BC0755"/>
    <w:rsid w:val="00BC2D5E"/>
    <w:rsid w:val="00BC369B"/>
    <w:rsid w:val="00BC4875"/>
    <w:rsid w:val="00BC5120"/>
    <w:rsid w:val="00BC5219"/>
    <w:rsid w:val="00BC536A"/>
    <w:rsid w:val="00BC6C3C"/>
    <w:rsid w:val="00BD004A"/>
    <w:rsid w:val="00BD0782"/>
    <w:rsid w:val="00BD14CF"/>
    <w:rsid w:val="00BD1F11"/>
    <w:rsid w:val="00BD2360"/>
    <w:rsid w:val="00BD24E9"/>
    <w:rsid w:val="00BD2567"/>
    <w:rsid w:val="00BD2A49"/>
    <w:rsid w:val="00BD560A"/>
    <w:rsid w:val="00BD63E2"/>
    <w:rsid w:val="00BD687C"/>
    <w:rsid w:val="00BD7E05"/>
    <w:rsid w:val="00BE02B4"/>
    <w:rsid w:val="00BE08DD"/>
    <w:rsid w:val="00BE0ADE"/>
    <w:rsid w:val="00BE251E"/>
    <w:rsid w:val="00BE26EF"/>
    <w:rsid w:val="00BE2944"/>
    <w:rsid w:val="00BE3367"/>
    <w:rsid w:val="00BE4252"/>
    <w:rsid w:val="00BE46A7"/>
    <w:rsid w:val="00BE4780"/>
    <w:rsid w:val="00BE5B55"/>
    <w:rsid w:val="00BE5F70"/>
    <w:rsid w:val="00BE71F2"/>
    <w:rsid w:val="00BE7335"/>
    <w:rsid w:val="00BF0244"/>
    <w:rsid w:val="00BF0A06"/>
    <w:rsid w:val="00BF1002"/>
    <w:rsid w:val="00BF14DE"/>
    <w:rsid w:val="00BF201B"/>
    <w:rsid w:val="00BF2336"/>
    <w:rsid w:val="00BF252E"/>
    <w:rsid w:val="00BF2F40"/>
    <w:rsid w:val="00BF51DC"/>
    <w:rsid w:val="00BF6682"/>
    <w:rsid w:val="00BF69A0"/>
    <w:rsid w:val="00BF771C"/>
    <w:rsid w:val="00C00353"/>
    <w:rsid w:val="00C00505"/>
    <w:rsid w:val="00C008AA"/>
    <w:rsid w:val="00C0111D"/>
    <w:rsid w:val="00C01B37"/>
    <w:rsid w:val="00C02B0D"/>
    <w:rsid w:val="00C039FB"/>
    <w:rsid w:val="00C06875"/>
    <w:rsid w:val="00C06E23"/>
    <w:rsid w:val="00C07088"/>
    <w:rsid w:val="00C10AF0"/>
    <w:rsid w:val="00C11074"/>
    <w:rsid w:val="00C11DF4"/>
    <w:rsid w:val="00C12435"/>
    <w:rsid w:val="00C127A8"/>
    <w:rsid w:val="00C12B5B"/>
    <w:rsid w:val="00C13096"/>
    <w:rsid w:val="00C133A1"/>
    <w:rsid w:val="00C1438C"/>
    <w:rsid w:val="00C147F0"/>
    <w:rsid w:val="00C14F77"/>
    <w:rsid w:val="00C153AF"/>
    <w:rsid w:val="00C15551"/>
    <w:rsid w:val="00C15A50"/>
    <w:rsid w:val="00C160A3"/>
    <w:rsid w:val="00C16D44"/>
    <w:rsid w:val="00C1790C"/>
    <w:rsid w:val="00C2027E"/>
    <w:rsid w:val="00C2090D"/>
    <w:rsid w:val="00C2109A"/>
    <w:rsid w:val="00C21D20"/>
    <w:rsid w:val="00C240C0"/>
    <w:rsid w:val="00C24296"/>
    <w:rsid w:val="00C2460A"/>
    <w:rsid w:val="00C24CB9"/>
    <w:rsid w:val="00C2551D"/>
    <w:rsid w:val="00C25A8B"/>
    <w:rsid w:val="00C26326"/>
    <w:rsid w:val="00C26776"/>
    <w:rsid w:val="00C269D5"/>
    <w:rsid w:val="00C26B25"/>
    <w:rsid w:val="00C26D26"/>
    <w:rsid w:val="00C27F02"/>
    <w:rsid w:val="00C30305"/>
    <w:rsid w:val="00C30A2C"/>
    <w:rsid w:val="00C30C8A"/>
    <w:rsid w:val="00C3137A"/>
    <w:rsid w:val="00C315A7"/>
    <w:rsid w:val="00C3183B"/>
    <w:rsid w:val="00C31FD5"/>
    <w:rsid w:val="00C3244B"/>
    <w:rsid w:val="00C33F2B"/>
    <w:rsid w:val="00C35651"/>
    <w:rsid w:val="00C35A36"/>
    <w:rsid w:val="00C36D52"/>
    <w:rsid w:val="00C37A37"/>
    <w:rsid w:val="00C40BAD"/>
    <w:rsid w:val="00C41D1C"/>
    <w:rsid w:val="00C42322"/>
    <w:rsid w:val="00C4299A"/>
    <w:rsid w:val="00C42A4E"/>
    <w:rsid w:val="00C432C2"/>
    <w:rsid w:val="00C43E80"/>
    <w:rsid w:val="00C44166"/>
    <w:rsid w:val="00C446E1"/>
    <w:rsid w:val="00C44EE2"/>
    <w:rsid w:val="00C44FB5"/>
    <w:rsid w:val="00C45222"/>
    <w:rsid w:val="00C4548C"/>
    <w:rsid w:val="00C4577D"/>
    <w:rsid w:val="00C45801"/>
    <w:rsid w:val="00C46A40"/>
    <w:rsid w:val="00C46AE0"/>
    <w:rsid w:val="00C46FBA"/>
    <w:rsid w:val="00C4750B"/>
    <w:rsid w:val="00C475FD"/>
    <w:rsid w:val="00C479C7"/>
    <w:rsid w:val="00C47D08"/>
    <w:rsid w:val="00C50DBA"/>
    <w:rsid w:val="00C5212E"/>
    <w:rsid w:val="00C521D8"/>
    <w:rsid w:val="00C52A02"/>
    <w:rsid w:val="00C52A91"/>
    <w:rsid w:val="00C531F3"/>
    <w:rsid w:val="00C538F7"/>
    <w:rsid w:val="00C544BC"/>
    <w:rsid w:val="00C54BDD"/>
    <w:rsid w:val="00C54BEB"/>
    <w:rsid w:val="00C54D05"/>
    <w:rsid w:val="00C56497"/>
    <w:rsid w:val="00C57065"/>
    <w:rsid w:val="00C574BA"/>
    <w:rsid w:val="00C574CB"/>
    <w:rsid w:val="00C57C4A"/>
    <w:rsid w:val="00C62C87"/>
    <w:rsid w:val="00C635C0"/>
    <w:rsid w:val="00C6407D"/>
    <w:rsid w:val="00C642CB"/>
    <w:rsid w:val="00C64A17"/>
    <w:rsid w:val="00C65064"/>
    <w:rsid w:val="00C6573F"/>
    <w:rsid w:val="00C65902"/>
    <w:rsid w:val="00C676B0"/>
    <w:rsid w:val="00C70220"/>
    <w:rsid w:val="00C70423"/>
    <w:rsid w:val="00C70D06"/>
    <w:rsid w:val="00C71C5B"/>
    <w:rsid w:val="00C71D66"/>
    <w:rsid w:val="00C71E7D"/>
    <w:rsid w:val="00C72AD3"/>
    <w:rsid w:val="00C72AEF"/>
    <w:rsid w:val="00C731F0"/>
    <w:rsid w:val="00C74F26"/>
    <w:rsid w:val="00C75025"/>
    <w:rsid w:val="00C7503E"/>
    <w:rsid w:val="00C759A2"/>
    <w:rsid w:val="00C75E36"/>
    <w:rsid w:val="00C76605"/>
    <w:rsid w:val="00C771DE"/>
    <w:rsid w:val="00C77D78"/>
    <w:rsid w:val="00C814A3"/>
    <w:rsid w:val="00C81634"/>
    <w:rsid w:val="00C81879"/>
    <w:rsid w:val="00C81FFA"/>
    <w:rsid w:val="00C822A0"/>
    <w:rsid w:val="00C830B8"/>
    <w:rsid w:val="00C83348"/>
    <w:rsid w:val="00C83662"/>
    <w:rsid w:val="00C836D2"/>
    <w:rsid w:val="00C8489E"/>
    <w:rsid w:val="00C84A23"/>
    <w:rsid w:val="00C84D9E"/>
    <w:rsid w:val="00C85437"/>
    <w:rsid w:val="00C856CB"/>
    <w:rsid w:val="00C8595A"/>
    <w:rsid w:val="00C86972"/>
    <w:rsid w:val="00C871A7"/>
    <w:rsid w:val="00C87D9F"/>
    <w:rsid w:val="00C87F26"/>
    <w:rsid w:val="00C908D4"/>
    <w:rsid w:val="00C9201A"/>
    <w:rsid w:val="00C93317"/>
    <w:rsid w:val="00C938F6"/>
    <w:rsid w:val="00C94045"/>
    <w:rsid w:val="00C953AF"/>
    <w:rsid w:val="00C96E22"/>
    <w:rsid w:val="00C97211"/>
    <w:rsid w:val="00C9726A"/>
    <w:rsid w:val="00C975AC"/>
    <w:rsid w:val="00C976B6"/>
    <w:rsid w:val="00C97B22"/>
    <w:rsid w:val="00CA0067"/>
    <w:rsid w:val="00CA0929"/>
    <w:rsid w:val="00CA0B28"/>
    <w:rsid w:val="00CA0C81"/>
    <w:rsid w:val="00CA1FE3"/>
    <w:rsid w:val="00CA31AA"/>
    <w:rsid w:val="00CA4211"/>
    <w:rsid w:val="00CA4AC2"/>
    <w:rsid w:val="00CA4C49"/>
    <w:rsid w:val="00CA548E"/>
    <w:rsid w:val="00CA55F8"/>
    <w:rsid w:val="00CA585D"/>
    <w:rsid w:val="00CA74BD"/>
    <w:rsid w:val="00CA7549"/>
    <w:rsid w:val="00CA78BE"/>
    <w:rsid w:val="00CB0923"/>
    <w:rsid w:val="00CB0979"/>
    <w:rsid w:val="00CB0AED"/>
    <w:rsid w:val="00CB1443"/>
    <w:rsid w:val="00CB15CA"/>
    <w:rsid w:val="00CB175C"/>
    <w:rsid w:val="00CB2BF5"/>
    <w:rsid w:val="00CB31C5"/>
    <w:rsid w:val="00CB4508"/>
    <w:rsid w:val="00CB4EFD"/>
    <w:rsid w:val="00CB5C22"/>
    <w:rsid w:val="00CB6003"/>
    <w:rsid w:val="00CB6572"/>
    <w:rsid w:val="00CB72CA"/>
    <w:rsid w:val="00CC075B"/>
    <w:rsid w:val="00CC0F0F"/>
    <w:rsid w:val="00CC14F0"/>
    <w:rsid w:val="00CC2CA2"/>
    <w:rsid w:val="00CC2CE8"/>
    <w:rsid w:val="00CC319A"/>
    <w:rsid w:val="00CC345C"/>
    <w:rsid w:val="00CC35C9"/>
    <w:rsid w:val="00CC36CE"/>
    <w:rsid w:val="00CC383B"/>
    <w:rsid w:val="00CC3C11"/>
    <w:rsid w:val="00CC3CB7"/>
    <w:rsid w:val="00CC43C4"/>
    <w:rsid w:val="00CC4C3C"/>
    <w:rsid w:val="00CC5339"/>
    <w:rsid w:val="00CC53FD"/>
    <w:rsid w:val="00CC5878"/>
    <w:rsid w:val="00CC5B9B"/>
    <w:rsid w:val="00CC6934"/>
    <w:rsid w:val="00CC7612"/>
    <w:rsid w:val="00CD1941"/>
    <w:rsid w:val="00CD205A"/>
    <w:rsid w:val="00CD299A"/>
    <w:rsid w:val="00CD2CEA"/>
    <w:rsid w:val="00CD3120"/>
    <w:rsid w:val="00CD4E4B"/>
    <w:rsid w:val="00CD54E8"/>
    <w:rsid w:val="00CD5575"/>
    <w:rsid w:val="00CD60B3"/>
    <w:rsid w:val="00CD6F71"/>
    <w:rsid w:val="00CD729A"/>
    <w:rsid w:val="00CD78AF"/>
    <w:rsid w:val="00CE0613"/>
    <w:rsid w:val="00CE1231"/>
    <w:rsid w:val="00CE1F3A"/>
    <w:rsid w:val="00CE3A29"/>
    <w:rsid w:val="00CE5F9A"/>
    <w:rsid w:val="00CE637F"/>
    <w:rsid w:val="00CE74FD"/>
    <w:rsid w:val="00CE7594"/>
    <w:rsid w:val="00CE792B"/>
    <w:rsid w:val="00CE7E1D"/>
    <w:rsid w:val="00CF079B"/>
    <w:rsid w:val="00CF1D35"/>
    <w:rsid w:val="00CF2E06"/>
    <w:rsid w:val="00CF6A55"/>
    <w:rsid w:val="00CF7E2E"/>
    <w:rsid w:val="00D00BB2"/>
    <w:rsid w:val="00D0107F"/>
    <w:rsid w:val="00D016C8"/>
    <w:rsid w:val="00D01C73"/>
    <w:rsid w:val="00D020C1"/>
    <w:rsid w:val="00D031EE"/>
    <w:rsid w:val="00D03CD2"/>
    <w:rsid w:val="00D03E7F"/>
    <w:rsid w:val="00D04B87"/>
    <w:rsid w:val="00D05692"/>
    <w:rsid w:val="00D05812"/>
    <w:rsid w:val="00D067A2"/>
    <w:rsid w:val="00D10F82"/>
    <w:rsid w:val="00D12FCB"/>
    <w:rsid w:val="00D13B13"/>
    <w:rsid w:val="00D13DD3"/>
    <w:rsid w:val="00D143D7"/>
    <w:rsid w:val="00D145C0"/>
    <w:rsid w:val="00D15560"/>
    <w:rsid w:val="00D16257"/>
    <w:rsid w:val="00D167BB"/>
    <w:rsid w:val="00D16B63"/>
    <w:rsid w:val="00D171ED"/>
    <w:rsid w:val="00D1724E"/>
    <w:rsid w:val="00D1731F"/>
    <w:rsid w:val="00D17A09"/>
    <w:rsid w:val="00D17E9C"/>
    <w:rsid w:val="00D2064D"/>
    <w:rsid w:val="00D20DDB"/>
    <w:rsid w:val="00D21F91"/>
    <w:rsid w:val="00D225AD"/>
    <w:rsid w:val="00D23149"/>
    <w:rsid w:val="00D241AB"/>
    <w:rsid w:val="00D2488B"/>
    <w:rsid w:val="00D24E56"/>
    <w:rsid w:val="00D25075"/>
    <w:rsid w:val="00D25A0A"/>
    <w:rsid w:val="00D26358"/>
    <w:rsid w:val="00D26B53"/>
    <w:rsid w:val="00D278B5"/>
    <w:rsid w:val="00D31BCF"/>
    <w:rsid w:val="00D32B3C"/>
    <w:rsid w:val="00D3323E"/>
    <w:rsid w:val="00D341C4"/>
    <w:rsid w:val="00D3571F"/>
    <w:rsid w:val="00D361E1"/>
    <w:rsid w:val="00D36C34"/>
    <w:rsid w:val="00D37B5C"/>
    <w:rsid w:val="00D37BBD"/>
    <w:rsid w:val="00D40474"/>
    <w:rsid w:val="00D407E4"/>
    <w:rsid w:val="00D41340"/>
    <w:rsid w:val="00D413F7"/>
    <w:rsid w:val="00D4155B"/>
    <w:rsid w:val="00D42E26"/>
    <w:rsid w:val="00D43463"/>
    <w:rsid w:val="00D43E92"/>
    <w:rsid w:val="00D45063"/>
    <w:rsid w:val="00D46EC9"/>
    <w:rsid w:val="00D47549"/>
    <w:rsid w:val="00D475C8"/>
    <w:rsid w:val="00D47BC8"/>
    <w:rsid w:val="00D512E0"/>
    <w:rsid w:val="00D52694"/>
    <w:rsid w:val="00D527D1"/>
    <w:rsid w:val="00D54FD6"/>
    <w:rsid w:val="00D55F59"/>
    <w:rsid w:val="00D56ECE"/>
    <w:rsid w:val="00D6024D"/>
    <w:rsid w:val="00D60D03"/>
    <w:rsid w:val="00D61148"/>
    <w:rsid w:val="00D61266"/>
    <w:rsid w:val="00D6126E"/>
    <w:rsid w:val="00D61327"/>
    <w:rsid w:val="00D6181B"/>
    <w:rsid w:val="00D62174"/>
    <w:rsid w:val="00D63329"/>
    <w:rsid w:val="00D638E1"/>
    <w:rsid w:val="00D63A1D"/>
    <w:rsid w:val="00D63DD7"/>
    <w:rsid w:val="00D64838"/>
    <w:rsid w:val="00D652F6"/>
    <w:rsid w:val="00D65414"/>
    <w:rsid w:val="00D65BFB"/>
    <w:rsid w:val="00D6760D"/>
    <w:rsid w:val="00D706C7"/>
    <w:rsid w:val="00D70AEC"/>
    <w:rsid w:val="00D71BEA"/>
    <w:rsid w:val="00D72AE4"/>
    <w:rsid w:val="00D742A4"/>
    <w:rsid w:val="00D744E8"/>
    <w:rsid w:val="00D749EB"/>
    <w:rsid w:val="00D75405"/>
    <w:rsid w:val="00D7578E"/>
    <w:rsid w:val="00D75F3F"/>
    <w:rsid w:val="00D76861"/>
    <w:rsid w:val="00D76AED"/>
    <w:rsid w:val="00D76D98"/>
    <w:rsid w:val="00D77055"/>
    <w:rsid w:val="00D77561"/>
    <w:rsid w:val="00D775F7"/>
    <w:rsid w:val="00D77F46"/>
    <w:rsid w:val="00D80497"/>
    <w:rsid w:val="00D80A14"/>
    <w:rsid w:val="00D80AAF"/>
    <w:rsid w:val="00D81229"/>
    <w:rsid w:val="00D81457"/>
    <w:rsid w:val="00D8204E"/>
    <w:rsid w:val="00D82646"/>
    <w:rsid w:val="00D83FC8"/>
    <w:rsid w:val="00D84386"/>
    <w:rsid w:val="00D848AB"/>
    <w:rsid w:val="00D85754"/>
    <w:rsid w:val="00D86B99"/>
    <w:rsid w:val="00D87FB0"/>
    <w:rsid w:val="00D91860"/>
    <w:rsid w:val="00D934F8"/>
    <w:rsid w:val="00D94003"/>
    <w:rsid w:val="00D94137"/>
    <w:rsid w:val="00D946F8"/>
    <w:rsid w:val="00D94816"/>
    <w:rsid w:val="00D94FB0"/>
    <w:rsid w:val="00D95887"/>
    <w:rsid w:val="00D9590C"/>
    <w:rsid w:val="00D95A0B"/>
    <w:rsid w:val="00D96B4B"/>
    <w:rsid w:val="00D96D1C"/>
    <w:rsid w:val="00D97225"/>
    <w:rsid w:val="00D9748B"/>
    <w:rsid w:val="00DA06CC"/>
    <w:rsid w:val="00DA0C91"/>
    <w:rsid w:val="00DA189B"/>
    <w:rsid w:val="00DA243B"/>
    <w:rsid w:val="00DA2597"/>
    <w:rsid w:val="00DA298D"/>
    <w:rsid w:val="00DA2991"/>
    <w:rsid w:val="00DA588D"/>
    <w:rsid w:val="00DA60CC"/>
    <w:rsid w:val="00DA67AC"/>
    <w:rsid w:val="00DA6BFB"/>
    <w:rsid w:val="00DA7766"/>
    <w:rsid w:val="00DA7F7D"/>
    <w:rsid w:val="00DB0574"/>
    <w:rsid w:val="00DB254D"/>
    <w:rsid w:val="00DB268C"/>
    <w:rsid w:val="00DB2EC5"/>
    <w:rsid w:val="00DB341C"/>
    <w:rsid w:val="00DB37A0"/>
    <w:rsid w:val="00DB3B68"/>
    <w:rsid w:val="00DB4590"/>
    <w:rsid w:val="00DB4663"/>
    <w:rsid w:val="00DB4DFD"/>
    <w:rsid w:val="00DB50C7"/>
    <w:rsid w:val="00DB676F"/>
    <w:rsid w:val="00DB6A20"/>
    <w:rsid w:val="00DB715D"/>
    <w:rsid w:val="00DB7A34"/>
    <w:rsid w:val="00DC0EB7"/>
    <w:rsid w:val="00DC1152"/>
    <w:rsid w:val="00DC15FF"/>
    <w:rsid w:val="00DC1F18"/>
    <w:rsid w:val="00DC1F8D"/>
    <w:rsid w:val="00DC4642"/>
    <w:rsid w:val="00DC4CB0"/>
    <w:rsid w:val="00DC4CC1"/>
    <w:rsid w:val="00DC4D0A"/>
    <w:rsid w:val="00DC4F01"/>
    <w:rsid w:val="00DC5ED7"/>
    <w:rsid w:val="00DC600C"/>
    <w:rsid w:val="00DC6642"/>
    <w:rsid w:val="00DC6710"/>
    <w:rsid w:val="00DC6AED"/>
    <w:rsid w:val="00DC7744"/>
    <w:rsid w:val="00DD0717"/>
    <w:rsid w:val="00DD0FA2"/>
    <w:rsid w:val="00DD19E1"/>
    <w:rsid w:val="00DD1D0C"/>
    <w:rsid w:val="00DD1D99"/>
    <w:rsid w:val="00DD1E33"/>
    <w:rsid w:val="00DD2B77"/>
    <w:rsid w:val="00DD3A65"/>
    <w:rsid w:val="00DD3BC4"/>
    <w:rsid w:val="00DD4D09"/>
    <w:rsid w:val="00DD6879"/>
    <w:rsid w:val="00DD7242"/>
    <w:rsid w:val="00DD73FF"/>
    <w:rsid w:val="00DD7FBB"/>
    <w:rsid w:val="00DE1065"/>
    <w:rsid w:val="00DE1B10"/>
    <w:rsid w:val="00DE33C8"/>
    <w:rsid w:val="00DE3E05"/>
    <w:rsid w:val="00DE47C5"/>
    <w:rsid w:val="00DE4D3C"/>
    <w:rsid w:val="00DE63A4"/>
    <w:rsid w:val="00DE71C2"/>
    <w:rsid w:val="00DE7334"/>
    <w:rsid w:val="00DE79E8"/>
    <w:rsid w:val="00DE7EB8"/>
    <w:rsid w:val="00DF020E"/>
    <w:rsid w:val="00DF132C"/>
    <w:rsid w:val="00DF3899"/>
    <w:rsid w:val="00DF4519"/>
    <w:rsid w:val="00DF482F"/>
    <w:rsid w:val="00DF5488"/>
    <w:rsid w:val="00DF5528"/>
    <w:rsid w:val="00DF58D2"/>
    <w:rsid w:val="00DF6B6B"/>
    <w:rsid w:val="00DF747E"/>
    <w:rsid w:val="00E003CD"/>
    <w:rsid w:val="00E01EEC"/>
    <w:rsid w:val="00E034E5"/>
    <w:rsid w:val="00E03679"/>
    <w:rsid w:val="00E03BED"/>
    <w:rsid w:val="00E042CA"/>
    <w:rsid w:val="00E04DC5"/>
    <w:rsid w:val="00E05578"/>
    <w:rsid w:val="00E07502"/>
    <w:rsid w:val="00E07A64"/>
    <w:rsid w:val="00E11C91"/>
    <w:rsid w:val="00E1242C"/>
    <w:rsid w:val="00E1337E"/>
    <w:rsid w:val="00E144DC"/>
    <w:rsid w:val="00E147A2"/>
    <w:rsid w:val="00E15C29"/>
    <w:rsid w:val="00E15DB3"/>
    <w:rsid w:val="00E16142"/>
    <w:rsid w:val="00E17D34"/>
    <w:rsid w:val="00E17FF3"/>
    <w:rsid w:val="00E21034"/>
    <w:rsid w:val="00E21079"/>
    <w:rsid w:val="00E2386C"/>
    <w:rsid w:val="00E23872"/>
    <w:rsid w:val="00E23BBE"/>
    <w:rsid w:val="00E23E0E"/>
    <w:rsid w:val="00E244B3"/>
    <w:rsid w:val="00E245DC"/>
    <w:rsid w:val="00E27258"/>
    <w:rsid w:val="00E272C6"/>
    <w:rsid w:val="00E274FC"/>
    <w:rsid w:val="00E27805"/>
    <w:rsid w:val="00E27806"/>
    <w:rsid w:val="00E30001"/>
    <w:rsid w:val="00E300A9"/>
    <w:rsid w:val="00E302A8"/>
    <w:rsid w:val="00E32B17"/>
    <w:rsid w:val="00E3323F"/>
    <w:rsid w:val="00E33C11"/>
    <w:rsid w:val="00E34132"/>
    <w:rsid w:val="00E34BBA"/>
    <w:rsid w:val="00E35009"/>
    <w:rsid w:val="00E350AA"/>
    <w:rsid w:val="00E350E8"/>
    <w:rsid w:val="00E36CCF"/>
    <w:rsid w:val="00E37761"/>
    <w:rsid w:val="00E4092E"/>
    <w:rsid w:val="00E414FB"/>
    <w:rsid w:val="00E41F8A"/>
    <w:rsid w:val="00E429B5"/>
    <w:rsid w:val="00E42F19"/>
    <w:rsid w:val="00E45516"/>
    <w:rsid w:val="00E45A95"/>
    <w:rsid w:val="00E46037"/>
    <w:rsid w:val="00E4673B"/>
    <w:rsid w:val="00E46CE2"/>
    <w:rsid w:val="00E46D83"/>
    <w:rsid w:val="00E470A6"/>
    <w:rsid w:val="00E50403"/>
    <w:rsid w:val="00E50F48"/>
    <w:rsid w:val="00E515A2"/>
    <w:rsid w:val="00E52210"/>
    <w:rsid w:val="00E524AA"/>
    <w:rsid w:val="00E52726"/>
    <w:rsid w:val="00E52FB4"/>
    <w:rsid w:val="00E53A87"/>
    <w:rsid w:val="00E53EC2"/>
    <w:rsid w:val="00E53F9B"/>
    <w:rsid w:val="00E5424C"/>
    <w:rsid w:val="00E54A22"/>
    <w:rsid w:val="00E55755"/>
    <w:rsid w:val="00E56250"/>
    <w:rsid w:val="00E60649"/>
    <w:rsid w:val="00E60DA4"/>
    <w:rsid w:val="00E60EB8"/>
    <w:rsid w:val="00E61433"/>
    <w:rsid w:val="00E61726"/>
    <w:rsid w:val="00E61F6A"/>
    <w:rsid w:val="00E62201"/>
    <w:rsid w:val="00E623AE"/>
    <w:rsid w:val="00E629E0"/>
    <w:rsid w:val="00E6300F"/>
    <w:rsid w:val="00E63B4A"/>
    <w:rsid w:val="00E65B02"/>
    <w:rsid w:val="00E65B27"/>
    <w:rsid w:val="00E65B3F"/>
    <w:rsid w:val="00E6722B"/>
    <w:rsid w:val="00E672E4"/>
    <w:rsid w:val="00E70C56"/>
    <w:rsid w:val="00E71049"/>
    <w:rsid w:val="00E7163A"/>
    <w:rsid w:val="00E723C8"/>
    <w:rsid w:val="00E75041"/>
    <w:rsid w:val="00E750E6"/>
    <w:rsid w:val="00E75710"/>
    <w:rsid w:val="00E75A6E"/>
    <w:rsid w:val="00E773DF"/>
    <w:rsid w:val="00E77788"/>
    <w:rsid w:val="00E81ED3"/>
    <w:rsid w:val="00E82205"/>
    <w:rsid w:val="00E8267A"/>
    <w:rsid w:val="00E828B3"/>
    <w:rsid w:val="00E858BE"/>
    <w:rsid w:val="00E85DF1"/>
    <w:rsid w:val="00E86124"/>
    <w:rsid w:val="00E86523"/>
    <w:rsid w:val="00E866FF"/>
    <w:rsid w:val="00E867BD"/>
    <w:rsid w:val="00E87C06"/>
    <w:rsid w:val="00E9054A"/>
    <w:rsid w:val="00E91025"/>
    <w:rsid w:val="00E9111E"/>
    <w:rsid w:val="00E91472"/>
    <w:rsid w:val="00E917F4"/>
    <w:rsid w:val="00E91CF3"/>
    <w:rsid w:val="00E91DEB"/>
    <w:rsid w:val="00E928CD"/>
    <w:rsid w:val="00E92E0F"/>
    <w:rsid w:val="00E92E6D"/>
    <w:rsid w:val="00E9330F"/>
    <w:rsid w:val="00E937E5"/>
    <w:rsid w:val="00E93BF3"/>
    <w:rsid w:val="00E9450C"/>
    <w:rsid w:val="00E9591E"/>
    <w:rsid w:val="00E9648D"/>
    <w:rsid w:val="00E96DDA"/>
    <w:rsid w:val="00E97310"/>
    <w:rsid w:val="00EA2581"/>
    <w:rsid w:val="00EA2F8F"/>
    <w:rsid w:val="00EA3DF0"/>
    <w:rsid w:val="00EA3F2C"/>
    <w:rsid w:val="00EA4433"/>
    <w:rsid w:val="00EA4A24"/>
    <w:rsid w:val="00EA564A"/>
    <w:rsid w:val="00EA621F"/>
    <w:rsid w:val="00EA7382"/>
    <w:rsid w:val="00EA73F4"/>
    <w:rsid w:val="00EB0CC9"/>
    <w:rsid w:val="00EB1345"/>
    <w:rsid w:val="00EB1647"/>
    <w:rsid w:val="00EB1EDE"/>
    <w:rsid w:val="00EB2C3E"/>
    <w:rsid w:val="00EB312B"/>
    <w:rsid w:val="00EB3EE6"/>
    <w:rsid w:val="00EB474B"/>
    <w:rsid w:val="00EB479D"/>
    <w:rsid w:val="00EB5404"/>
    <w:rsid w:val="00EB5A13"/>
    <w:rsid w:val="00EB5AA1"/>
    <w:rsid w:val="00EB6127"/>
    <w:rsid w:val="00EB6173"/>
    <w:rsid w:val="00EB63F9"/>
    <w:rsid w:val="00EC11DC"/>
    <w:rsid w:val="00EC1332"/>
    <w:rsid w:val="00EC1FA4"/>
    <w:rsid w:val="00EC2659"/>
    <w:rsid w:val="00EC29CC"/>
    <w:rsid w:val="00EC30E0"/>
    <w:rsid w:val="00EC5B83"/>
    <w:rsid w:val="00EC5BF1"/>
    <w:rsid w:val="00EC75E0"/>
    <w:rsid w:val="00EC76CE"/>
    <w:rsid w:val="00ED0178"/>
    <w:rsid w:val="00ED03F6"/>
    <w:rsid w:val="00ED0997"/>
    <w:rsid w:val="00ED100D"/>
    <w:rsid w:val="00ED1C6C"/>
    <w:rsid w:val="00ED4C66"/>
    <w:rsid w:val="00ED520F"/>
    <w:rsid w:val="00ED58F2"/>
    <w:rsid w:val="00ED7379"/>
    <w:rsid w:val="00EE00F3"/>
    <w:rsid w:val="00EE07D3"/>
    <w:rsid w:val="00EE086A"/>
    <w:rsid w:val="00EE1077"/>
    <w:rsid w:val="00EE164A"/>
    <w:rsid w:val="00EE1C1C"/>
    <w:rsid w:val="00EE1DC3"/>
    <w:rsid w:val="00EE2D4C"/>
    <w:rsid w:val="00EE4531"/>
    <w:rsid w:val="00EE4EFC"/>
    <w:rsid w:val="00EE5F51"/>
    <w:rsid w:val="00EE6C9E"/>
    <w:rsid w:val="00EE72EB"/>
    <w:rsid w:val="00EF0F70"/>
    <w:rsid w:val="00EF1463"/>
    <w:rsid w:val="00EF2157"/>
    <w:rsid w:val="00EF2C25"/>
    <w:rsid w:val="00EF2DBD"/>
    <w:rsid w:val="00EF340E"/>
    <w:rsid w:val="00EF3512"/>
    <w:rsid w:val="00EF440A"/>
    <w:rsid w:val="00EF44AD"/>
    <w:rsid w:val="00EF47FF"/>
    <w:rsid w:val="00EF5577"/>
    <w:rsid w:val="00EF58A3"/>
    <w:rsid w:val="00EF6C18"/>
    <w:rsid w:val="00EF7072"/>
    <w:rsid w:val="00EF73AB"/>
    <w:rsid w:val="00EF74E2"/>
    <w:rsid w:val="00EF7D3E"/>
    <w:rsid w:val="00F00EE7"/>
    <w:rsid w:val="00F01092"/>
    <w:rsid w:val="00F02357"/>
    <w:rsid w:val="00F028A0"/>
    <w:rsid w:val="00F02BC8"/>
    <w:rsid w:val="00F03727"/>
    <w:rsid w:val="00F051CE"/>
    <w:rsid w:val="00F05451"/>
    <w:rsid w:val="00F06967"/>
    <w:rsid w:val="00F06C8C"/>
    <w:rsid w:val="00F06D20"/>
    <w:rsid w:val="00F07E61"/>
    <w:rsid w:val="00F10FBA"/>
    <w:rsid w:val="00F1114C"/>
    <w:rsid w:val="00F130C6"/>
    <w:rsid w:val="00F1355F"/>
    <w:rsid w:val="00F14433"/>
    <w:rsid w:val="00F14ED2"/>
    <w:rsid w:val="00F15455"/>
    <w:rsid w:val="00F16257"/>
    <w:rsid w:val="00F16BB0"/>
    <w:rsid w:val="00F176A2"/>
    <w:rsid w:val="00F20B79"/>
    <w:rsid w:val="00F20BE0"/>
    <w:rsid w:val="00F2161B"/>
    <w:rsid w:val="00F21A10"/>
    <w:rsid w:val="00F21EB0"/>
    <w:rsid w:val="00F22585"/>
    <w:rsid w:val="00F22A92"/>
    <w:rsid w:val="00F230D6"/>
    <w:rsid w:val="00F236E1"/>
    <w:rsid w:val="00F26331"/>
    <w:rsid w:val="00F26F4F"/>
    <w:rsid w:val="00F275EE"/>
    <w:rsid w:val="00F27CFB"/>
    <w:rsid w:val="00F301F8"/>
    <w:rsid w:val="00F30E7B"/>
    <w:rsid w:val="00F31CDD"/>
    <w:rsid w:val="00F320D7"/>
    <w:rsid w:val="00F32D93"/>
    <w:rsid w:val="00F32E77"/>
    <w:rsid w:val="00F33583"/>
    <w:rsid w:val="00F33CBA"/>
    <w:rsid w:val="00F33EE3"/>
    <w:rsid w:val="00F34963"/>
    <w:rsid w:val="00F3709D"/>
    <w:rsid w:val="00F3763B"/>
    <w:rsid w:val="00F37688"/>
    <w:rsid w:val="00F40FF1"/>
    <w:rsid w:val="00F420E4"/>
    <w:rsid w:val="00F42753"/>
    <w:rsid w:val="00F42F18"/>
    <w:rsid w:val="00F43696"/>
    <w:rsid w:val="00F43C53"/>
    <w:rsid w:val="00F44191"/>
    <w:rsid w:val="00F44B55"/>
    <w:rsid w:val="00F44ED5"/>
    <w:rsid w:val="00F4504A"/>
    <w:rsid w:val="00F45B8A"/>
    <w:rsid w:val="00F45EB3"/>
    <w:rsid w:val="00F462A5"/>
    <w:rsid w:val="00F466F4"/>
    <w:rsid w:val="00F470B9"/>
    <w:rsid w:val="00F475D9"/>
    <w:rsid w:val="00F50181"/>
    <w:rsid w:val="00F50CD7"/>
    <w:rsid w:val="00F51C8A"/>
    <w:rsid w:val="00F53584"/>
    <w:rsid w:val="00F540CB"/>
    <w:rsid w:val="00F54215"/>
    <w:rsid w:val="00F54770"/>
    <w:rsid w:val="00F55BD7"/>
    <w:rsid w:val="00F56EBC"/>
    <w:rsid w:val="00F5719F"/>
    <w:rsid w:val="00F57996"/>
    <w:rsid w:val="00F57E55"/>
    <w:rsid w:val="00F60C48"/>
    <w:rsid w:val="00F60C80"/>
    <w:rsid w:val="00F610C2"/>
    <w:rsid w:val="00F628E5"/>
    <w:rsid w:val="00F62D63"/>
    <w:rsid w:val="00F63818"/>
    <w:rsid w:val="00F6508A"/>
    <w:rsid w:val="00F65642"/>
    <w:rsid w:val="00F65722"/>
    <w:rsid w:val="00F6619B"/>
    <w:rsid w:val="00F66401"/>
    <w:rsid w:val="00F6652E"/>
    <w:rsid w:val="00F67875"/>
    <w:rsid w:val="00F70065"/>
    <w:rsid w:val="00F705F7"/>
    <w:rsid w:val="00F71783"/>
    <w:rsid w:val="00F71884"/>
    <w:rsid w:val="00F719C7"/>
    <w:rsid w:val="00F721C9"/>
    <w:rsid w:val="00F72921"/>
    <w:rsid w:val="00F74156"/>
    <w:rsid w:val="00F74528"/>
    <w:rsid w:val="00F753E1"/>
    <w:rsid w:val="00F754A4"/>
    <w:rsid w:val="00F768EB"/>
    <w:rsid w:val="00F77845"/>
    <w:rsid w:val="00F77A31"/>
    <w:rsid w:val="00F8004A"/>
    <w:rsid w:val="00F80769"/>
    <w:rsid w:val="00F80B33"/>
    <w:rsid w:val="00F8340D"/>
    <w:rsid w:val="00F835BA"/>
    <w:rsid w:val="00F83857"/>
    <w:rsid w:val="00F8389C"/>
    <w:rsid w:val="00F83981"/>
    <w:rsid w:val="00F8566C"/>
    <w:rsid w:val="00F85B55"/>
    <w:rsid w:val="00F864A5"/>
    <w:rsid w:val="00F8696F"/>
    <w:rsid w:val="00F86F50"/>
    <w:rsid w:val="00F8749A"/>
    <w:rsid w:val="00F8790C"/>
    <w:rsid w:val="00F87EF7"/>
    <w:rsid w:val="00F9003E"/>
    <w:rsid w:val="00F90F69"/>
    <w:rsid w:val="00F91192"/>
    <w:rsid w:val="00F91C5D"/>
    <w:rsid w:val="00F92AB0"/>
    <w:rsid w:val="00F92FA0"/>
    <w:rsid w:val="00F9320D"/>
    <w:rsid w:val="00F93F4A"/>
    <w:rsid w:val="00F941D0"/>
    <w:rsid w:val="00F944B5"/>
    <w:rsid w:val="00F94922"/>
    <w:rsid w:val="00F955FA"/>
    <w:rsid w:val="00F9596C"/>
    <w:rsid w:val="00F964B6"/>
    <w:rsid w:val="00F968C9"/>
    <w:rsid w:val="00F97CCD"/>
    <w:rsid w:val="00FA09E1"/>
    <w:rsid w:val="00FA231B"/>
    <w:rsid w:val="00FA2420"/>
    <w:rsid w:val="00FA2990"/>
    <w:rsid w:val="00FA2B25"/>
    <w:rsid w:val="00FA2CE2"/>
    <w:rsid w:val="00FA31B0"/>
    <w:rsid w:val="00FA594E"/>
    <w:rsid w:val="00FA5CBC"/>
    <w:rsid w:val="00FA7679"/>
    <w:rsid w:val="00FA7AE0"/>
    <w:rsid w:val="00FB114B"/>
    <w:rsid w:val="00FB2A39"/>
    <w:rsid w:val="00FB3882"/>
    <w:rsid w:val="00FB4D01"/>
    <w:rsid w:val="00FB500C"/>
    <w:rsid w:val="00FB5095"/>
    <w:rsid w:val="00FB574A"/>
    <w:rsid w:val="00FB5820"/>
    <w:rsid w:val="00FB640B"/>
    <w:rsid w:val="00FB66FD"/>
    <w:rsid w:val="00FB684A"/>
    <w:rsid w:val="00FB6D13"/>
    <w:rsid w:val="00FB7564"/>
    <w:rsid w:val="00FC09F4"/>
    <w:rsid w:val="00FC3091"/>
    <w:rsid w:val="00FC3D93"/>
    <w:rsid w:val="00FC3DA6"/>
    <w:rsid w:val="00FC45E3"/>
    <w:rsid w:val="00FC69EC"/>
    <w:rsid w:val="00FC71FB"/>
    <w:rsid w:val="00FC7431"/>
    <w:rsid w:val="00FC7EFC"/>
    <w:rsid w:val="00FD11CE"/>
    <w:rsid w:val="00FD18E1"/>
    <w:rsid w:val="00FD2280"/>
    <w:rsid w:val="00FD22E8"/>
    <w:rsid w:val="00FD24F5"/>
    <w:rsid w:val="00FD26EC"/>
    <w:rsid w:val="00FD5C14"/>
    <w:rsid w:val="00FD6012"/>
    <w:rsid w:val="00FD69DC"/>
    <w:rsid w:val="00FD7873"/>
    <w:rsid w:val="00FD7938"/>
    <w:rsid w:val="00FD7D4F"/>
    <w:rsid w:val="00FE19BC"/>
    <w:rsid w:val="00FE1CCE"/>
    <w:rsid w:val="00FE2259"/>
    <w:rsid w:val="00FE2EE3"/>
    <w:rsid w:val="00FE3738"/>
    <w:rsid w:val="00FE3830"/>
    <w:rsid w:val="00FE385E"/>
    <w:rsid w:val="00FE5334"/>
    <w:rsid w:val="00FE536C"/>
    <w:rsid w:val="00FE54C5"/>
    <w:rsid w:val="00FE58BC"/>
    <w:rsid w:val="00FE5C3D"/>
    <w:rsid w:val="00FE6191"/>
    <w:rsid w:val="00FE6342"/>
    <w:rsid w:val="00FE6413"/>
    <w:rsid w:val="00FE6821"/>
    <w:rsid w:val="00FE71D3"/>
    <w:rsid w:val="00FE7764"/>
    <w:rsid w:val="00FE7AC0"/>
    <w:rsid w:val="00FE7EB1"/>
    <w:rsid w:val="00FE7EEB"/>
    <w:rsid w:val="00FF080B"/>
    <w:rsid w:val="00FF1384"/>
    <w:rsid w:val="00FF18E0"/>
    <w:rsid w:val="00FF24AF"/>
    <w:rsid w:val="00FF30DC"/>
    <w:rsid w:val="00FF326C"/>
    <w:rsid w:val="00FF3751"/>
    <w:rsid w:val="00FF4858"/>
    <w:rsid w:val="00FF48A1"/>
    <w:rsid w:val="00FF48B1"/>
    <w:rsid w:val="00FF57BC"/>
    <w:rsid w:val="00FF5DA0"/>
    <w:rsid w:val="016F8226"/>
    <w:rsid w:val="01B6D27D"/>
    <w:rsid w:val="01BAF404"/>
    <w:rsid w:val="02A5488F"/>
    <w:rsid w:val="033C388E"/>
    <w:rsid w:val="03F8147C"/>
    <w:rsid w:val="04D5FB74"/>
    <w:rsid w:val="05E53324"/>
    <w:rsid w:val="06494C3D"/>
    <w:rsid w:val="06734C44"/>
    <w:rsid w:val="0708EE71"/>
    <w:rsid w:val="07B09285"/>
    <w:rsid w:val="08BB304C"/>
    <w:rsid w:val="094C6799"/>
    <w:rsid w:val="0B631610"/>
    <w:rsid w:val="0CD7D1E9"/>
    <w:rsid w:val="0D1EC377"/>
    <w:rsid w:val="0D705F06"/>
    <w:rsid w:val="0F00B9B7"/>
    <w:rsid w:val="0F1D8D17"/>
    <w:rsid w:val="0F9B2115"/>
    <w:rsid w:val="0FF06154"/>
    <w:rsid w:val="115A268A"/>
    <w:rsid w:val="115C0D05"/>
    <w:rsid w:val="11939F6A"/>
    <w:rsid w:val="11A093BA"/>
    <w:rsid w:val="11E6EB6F"/>
    <w:rsid w:val="12A3259A"/>
    <w:rsid w:val="12DA16EA"/>
    <w:rsid w:val="14985F9A"/>
    <w:rsid w:val="15126AB0"/>
    <w:rsid w:val="152027ED"/>
    <w:rsid w:val="152AED2E"/>
    <w:rsid w:val="156560F5"/>
    <w:rsid w:val="15DDCEEE"/>
    <w:rsid w:val="15EF2CF8"/>
    <w:rsid w:val="16362934"/>
    <w:rsid w:val="163D19A0"/>
    <w:rsid w:val="16CAA8C9"/>
    <w:rsid w:val="171947CD"/>
    <w:rsid w:val="1732137A"/>
    <w:rsid w:val="17399807"/>
    <w:rsid w:val="17FA0F01"/>
    <w:rsid w:val="185B7E96"/>
    <w:rsid w:val="19E983E9"/>
    <w:rsid w:val="1A1D0298"/>
    <w:rsid w:val="1B5653F2"/>
    <w:rsid w:val="1BA4FDD4"/>
    <w:rsid w:val="1CB621A1"/>
    <w:rsid w:val="1CE80BBE"/>
    <w:rsid w:val="1F304B3E"/>
    <w:rsid w:val="1F394087"/>
    <w:rsid w:val="1FE0B67D"/>
    <w:rsid w:val="1FEC1476"/>
    <w:rsid w:val="213225E1"/>
    <w:rsid w:val="2196D18C"/>
    <w:rsid w:val="21B06928"/>
    <w:rsid w:val="224D2991"/>
    <w:rsid w:val="22A12434"/>
    <w:rsid w:val="22DAD1F8"/>
    <w:rsid w:val="23E30FAD"/>
    <w:rsid w:val="24A7C5C9"/>
    <w:rsid w:val="250EAE78"/>
    <w:rsid w:val="2547E6AC"/>
    <w:rsid w:val="2628E328"/>
    <w:rsid w:val="26340DEB"/>
    <w:rsid w:val="264E4D33"/>
    <w:rsid w:val="2686CEA8"/>
    <w:rsid w:val="26C4D52B"/>
    <w:rsid w:val="26E33923"/>
    <w:rsid w:val="272B2A0F"/>
    <w:rsid w:val="272E6FBE"/>
    <w:rsid w:val="2799D824"/>
    <w:rsid w:val="285D6D4B"/>
    <w:rsid w:val="28BE9C9F"/>
    <w:rsid w:val="299DF6DF"/>
    <w:rsid w:val="2A0B85B5"/>
    <w:rsid w:val="2A4FDD35"/>
    <w:rsid w:val="2A6D8AB6"/>
    <w:rsid w:val="2B02CA0F"/>
    <w:rsid w:val="2B4DFD22"/>
    <w:rsid w:val="2B90BE6A"/>
    <w:rsid w:val="2BB14672"/>
    <w:rsid w:val="2BFE9B32"/>
    <w:rsid w:val="2D415818"/>
    <w:rsid w:val="2E1173CC"/>
    <w:rsid w:val="2E19ADC9"/>
    <w:rsid w:val="2ECE18B1"/>
    <w:rsid w:val="2F2C3FF4"/>
    <w:rsid w:val="2F899F8F"/>
    <w:rsid w:val="30F7437E"/>
    <w:rsid w:val="31354A01"/>
    <w:rsid w:val="31AA170B"/>
    <w:rsid w:val="321D1B68"/>
    <w:rsid w:val="324F7EB1"/>
    <w:rsid w:val="32AE912A"/>
    <w:rsid w:val="332AAE66"/>
    <w:rsid w:val="337B0E30"/>
    <w:rsid w:val="344E9862"/>
    <w:rsid w:val="34E53828"/>
    <w:rsid w:val="35139D2C"/>
    <w:rsid w:val="3569BF50"/>
    <w:rsid w:val="362E3562"/>
    <w:rsid w:val="363EF75B"/>
    <w:rsid w:val="364C788B"/>
    <w:rsid w:val="37C532D4"/>
    <w:rsid w:val="39178FF6"/>
    <w:rsid w:val="391C0C46"/>
    <w:rsid w:val="3A998A46"/>
    <w:rsid w:val="3B859284"/>
    <w:rsid w:val="3BAF0C28"/>
    <w:rsid w:val="3D31D46E"/>
    <w:rsid w:val="3D72729E"/>
    <w:rsid w:val="3DB87CE3"/>
    <w:rsid w:val="3DDA9DBC"/>
    <w:rsid w:val="3FDDB181"/>
    <w:rsid w:val="4042392A"/>
    <w:rsid w:val="410BD3B1"/>
    <w:rsid w:val="418A02D4"/>
    <w:rsid w:val="41AF45A1"/>
    <w:rsid w:val="41CD9802"/>
    <w:rsid w:val="4205E500"/>
    <w:rsid w:val="422E2D56"/>
    <w:rsid w:val="44534E84"/>
    <w:rsid w:val="4562FB60"/>
    <w:rsid w:val="45AA666B"/>
    <w:rsid w:val="46165AEB"/>
    <w:rsid w:val="475B93E4"/>
    <w:rsid w:val="47AD5CFD"/>
    <w:rsid w:val="49C022C2"/>
    <w:rsid w:val="49E8B6C9"/>
    <w:rsid w:val="4A26C543"/>
    <w:rsid w:val="4ADB39C8"/>
    <w:rsid w:val="4BD23CE4"/>
    <w:rsid w:val="4C1CED58"/>
    <w:rsid w:val="4C2E6D8F"/>
    <w:rsid w:val="4C6421E5"/>
    <w:rsid w:val="4D131622"/>
    <w:rsid w:val="4D14B451"/>
    <w:rsid w:val="4D6A3999"/>
    <w:rsid w:val="4DB95D28"/>
    <w:rsid w:val="4DCDC95C"/>
    <w:rsid w:val="4E0FCC57"/>
    <w:rsid w:val="4F4CAED7"/>
    <w:rsid w:val="4F7B016C"/>
    <w:rsid w:val="4FDE7BF8"/>
    <w:rsid w:val="50764AAE"/>
    <w:rsid w:val="52A5D16C"/>
    <w:rsid w:val="52BDFAAD"/>
    <w:rsid w:val="536B5123"/>
    <w:rsid w:val="540224F8"/>
    <w:rsid w:val="5596383B"/>
    <w:rsid w:val="55C90139"/>
    <w:rsid w:val="573EC918"/>
    <w:rsid w:val="57EE6CD2"/>
    <w:rsid w:val="5836DB86"/>
    <w:rsid w:val="589EB2D5"/>
    <w:rsid w:val="59534947"/>
    <w:rsid w:val="59DE2A52"/>
    <w:rsid w:val="5A234DE0"/>
    <w:rsid w:val="5B82F6E7"/>
    <w:rsid w:val="5BAC5DFC"/>
    <w:rsid w:val="5BB0BEB2"/>
    <w:rsid w:val="5C5AF72F"/>
    <w:rsid w:val="5CA27500"/>
    <w:rsid w:val="5D0011E6"/>
    <w:rsid w:val="5D58086E"/>
    <w:rsid w:val="5D67BF20"/>
    <w:rsid w:val="5E21E47B"/>
    <w:rsid w:val="5E2294BA"/>
    <w:rsid w:val="5E7AFF96"/>
    <w:rsid w:val="5ECC5F60"/>
    <w:rsid w:val="5F0F0402"/>
    <w:rsid w:val="6014FDEB"/>
    <w:rsid w:val="617354A9"/>
    <w:rsid w:val="64012C2D"/>
    <w:rsid w:val="654CAB8B"/>
    <w:rsid w:val="6561EB63"/>
    <w:rsid w:val="6679B79B"/>
    <w:rsid w:val="66A2E435"/>
    <w:rsid w:val="67BAEC4B"/>
    <w:rsid w:val="6972ED33"/>
    <w:rsid w:val="6974BE33"/>
    <w:rsid w:val="6A9AC7F3"/>
    <w:rsid w:val="6ABE4242"/>
    <w:rsid w:val="6AD21CEF"/>
    <w:rsid w:val="6B8F2A55"/>
    <w:rsid w:val="6DF6A8BE"/>
    <w:rsid w:val="6EA21FC2"/>
    <w:rsid w:val="6F77681B"/>
    <w:rsid w:val="6F87CF0C"/>
    <w:rsid w:val="6FE48BC0"/>
    <w:rsid w:val="7013A7CD"/>
    <w:rsid w:val="7236A96A"/>
    <w:rsid w:val="7485EC70"/>
    <w:rsid w:val="75C8145D"/>
    <w:rsid w:val="769A8A77"/>
    <w:rsid w:val="769B80E0"/>
    <w:rsid w:val="76EBF533"/>
    <w:rsid w:val="77814078"/>
    <w:rsid w:val="78199EAF"/>
    <w:rsid w:val="78F2C043"/>
    <w:rsid w:val="799AE69F"/>
    <w:rsid w:val="79BD6F25"/>
    <w:rsid w:val="7AAAF88E"/>
    <w:rsid w:val="7B5CC0C3"/>
    <w:rsid w:val="7D502A09"/>
    <w:rsid w:val="7D675E67"/>
    <w:rsid w:val="7DA638D0"/>
    <w:rsid w:val="7DDD7067"/>
    <w:rsid w:val="7E673CC5"/>
    <w:rsid w:val="7E7C6ABD"/>
    <w:rsid w:val="7E846036"/>
    <w:rsid w:val="7F84C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FF7F4"/>
  <w15:docId w15:val="{AA50DD53-BA73-4331-A2A9-1FF9DFD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53"/>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link w:val="ListParagraphChar"/>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864036"/>
  </w:style>
  <w:style w:type="paragraph" w:customStyle="1" w:styleId="xmsonormal">
    <w:name w:val="x_msonormal"/>
    <w:basedOn w:val="Normal"/>
    <w:rsid w:val="00FB6D13"/>
    <w:rPr>
      <w:rFonts w:eastAsia="Calibri"/>
      <w:szCs w:val="24"/>
    </w:rPr>
  </w:style>
  <w:style w:type="paragraph" w:styleId="NoSpacing">
    <w:name w:val="No Spacing"/>
    <w:uiPriority w:val="1"/>
    <w:qFormat/>
    <w:rsid w:val="00B23F1F"/>
    <w:rPr>
      <w:rFonts w:asciiTheme="minorHAnsi" w:eastAsiaTheme="minorHAnsi" w:hAnsiTheme="minorHAnsi" w:cstheme="minorBidi"/>
      <w:sz w:val="22"/>
      <w:szCs w:val="22"/>
    </w:rPr>
  </w:style>
  <w:style w:type="table" w:styleId="GridTable4">
    <w:name w:val="Grid Table 4"/>
    <w:basedOn w:val="TableNormal"/>
    <w:uiPriority w:val="49"/>
    <w:rsid w:val="005C6710"/>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msonormal"/>
    <w:basedOn w:val="Normal"/>
    <w:rsid w:val="0023393A"/>
    <w:pPr>
      <w:spacing w:before="100" w:beforeAutospacing="1" w:after="100" w:afterAutospacing="1"/>
    </w:pPr>
    <w:rPr>
      <w:rFonts w:ascii="Calibri" w:eastAsiaTheme="minorEastAsia" w:hAnsi="Calibri" w:cs="Calibri"/>
      <w:sz w:val="22"/>
      <w:szCs w:val="22"/>
      <w:lang w:eastAsia="ko-KR"/>
    </w:rPr>
  </w:style>
  <w:style w:type="character" w:customStyle="1" w:styleId="ListParagraphChar">
    <w:name w:val="List Paragraph Char"/>
    <w:basedOn w:val="DefaultParagraphFont"/>
    <w:link w:val="ListParagraph0"/>
    <w:uiPriority w:val="34"/>
    <w:locked/>
    <w:rsid w:val="000675A2"/>
    <w:rPr>
      <w:sz w:val="24"/>
      <w:szCs w:val="24"/>
    </w:rPr>
  </w:style>
  <w:style w:type="character" w:styleId="UnresolvedMention">
    <w:name w:val="Unresolved Mention"/>
    <w:basedOn w:val="DefaultParagraphFont"/>
    <w:uiPriority w:val="99"/>
    <w:semiHidden/>
    <w:unhideWhenUsed/>
    <w:rsid w:val="00440764"/>
    <w:rPr>
      <w:color w:val="605E5C"/>
      <w:shd w:val="clear" w:color="auto" w:fill="E1DFDD"/>
    </w:rPr>
  </w:style>
  <w:style w:type="character" w:styleId="IntenseEmphasis">
    <w:name w:val="Intense Emphasis"/>
    <w:basedOn w:val="DefaultParagraphFont"/>
    <w:uiPriority w:val="21"/>
    <w:qFormat/>
    <w:rsid w:val="007F135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5123678">
      <w:bodyDiv w:val="1"/>
      <w:marLeft w:val="0"/>
      <w:marRight w:val="0"/>
      <w:marTop w:val="0"/>
      <w:marBottom w:val="0"/>
      <w:divBdr>
        <w:top w:val="none" w:sz="0" w:space="0" w:color="auto"/>
        <w:left w:val="none" w:sz="0" w:space="0" w:color="auto"/>
        <w:bottom w:val="none" w:sz="0" w:space="0" w:color="auto"/>
        <w:right w:val="none" w:sz="0" w:space="0" w:color="auto"/>
      </w:divBdr>
    </w:div>
    <w:div w:id="25363035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1568948">
      <w:bodyDiv w:val="1"/>
      <w:marLeft w:val="0"/>
      <w:marRight w:val="0"/>
      <w:marTop w:val="0"/>
      <w:marBottom w:val="0"/>
      <w:divBdr>
        <w:top w:val="none" w:sz="0" w:space="0" w:color="auto"/>
        <w:left w:val="none" w:sz="0" w:space="0" w:color="auto"/>
        <w:bottom w:val="none" w:sz="0" w:space="0" w:color="auto"/>
        <w:right w:val="none" w:sz="0" w:space="0" w:color="auto"/>
      </w:divBdr>
    </w:div>
    <w:div w:id="665788943">
      <w:bodyDiv w:val="1"/>
      <w:marLeft w:val="0"/>
      <w:marRight w:val="0"/>
      <w:marTop w:val="0"/>
      <w:marBottom w:val="0"/>
      <w:divBdr>
        <w:top w:val="none" w:sz="0" w:space="0" w:color="auto"/>
        <w:left w:val="none" w:sz="0" w:space="0" w:color="auto"/>
        <w:bottom w:val="none" w:sz="0" w:space="0" w:color="auto"/>
        <w:right w:val="none" w:sz="0" w:space="0" w:color="auto"/>
      </w:divBdr>
    </w:div>
    <w:div w:id="68532411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70317011">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42708742">
      <w:bodyDiv w:val="1"/>
      <w:marLeft w:val="0"/>
      <w:marRight w:val="0"/>
      <w:marTop w:val="0"/>
      <w:marBottom w:val="0"/>
      <w:divBdr>
        <w:top w:val="none" w:sz="0" w:space="0" w:color="auto"/>
        <w:left w:val="none" w:sz="0" w:space="0" w:color="auto"/>
        <w:bottom w:val="none" w:sz="0" w:space="0" w:color="auto"/>
        <w:right w:val="none" w:sz="0" w:space="0" w:color="auto"/>
      </w:divBdr>
    </w:div>
    <w:div w:id="1367752129">
      <w:bodyDiv w:val="1"/>
      <w:marLeft w:val="0"/>
      <w:marRight w:val="0"/>
      <w:marTop w:val="0"/>
      <w:marBottom w:val="0"/>
      <w:divBdr>
        <w:top w:val="none" w:sz="0" w:space="0" w:color="auto"/>
        <w:left w:val="none" w:sz="0" w:space="0" w:color="auto"/>
        <w:bottom w:val="none" w:sz="0" w:space="0" w:color="auto"/>
        <w:right w:val="none" w:sz="0" w:space="0" w:color="auto"/>
      </w:divBdr>
    </w:div>
    <w:div w:id="139893590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3891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85493037">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38556686">
      <w:bodyDiv w:val="1"/>
      <w:marLeft w:val="0"/>
      <w:marRight w:val="0"/>
      <w:marTop w:val="0"/>
      <w:marBottom w:val="0"/>
      <w:divBdr>
        <w:top w:val="none" w:sz="0" w:space="0" w:color="auto"/>
        <w:left w:val="none" w:sz="0" w:space="0" w:color="auto"/>
        <w:bottom w:val="none" w:sz="0" w:space="0" w:color="auto"/>
        <w:right w:val="none" w:sz="0" w:space="0" w:color="auto"/>
      </w:divBdr>
    </w:div>
    <w:div w:id="2104760830">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kcclegisearch.kingcounty.gov/LegislationDetail.aspx?ID=4769147&amp;GUID=D66186DB-DAAC-46FC-8A44-CC5FD645AC09&amp;Options=Advanced&amp;Search=" TargetMode="External"/><Relationship Id="rId3" Type="http://schemas.openxmlformats.org/officeDocument/2006/relationships/hyperlink" Target="https://mkcclegisearch.kingcounty.gov/LegislationDetail.aspx?ID=5030854&amp;GUID=0CD1E1B9-5B52-40F2-8974-D365539611F7&amp;Options=Advanced&amp;Search=" TargetMode="External"/><Relationship Id="rId7" Type="http://schemas.openxmlformats.org/officeDocument/2006/relationships/hyperlink" Target="https://kc1-my.sharepoint.com/personal/andrew_kim_kingcounty_gov/Documents/Documents/2021%202nd%20Omnibus/Analyst%20Write-Ups%20and%20SR/King%20County%20File" TargetMode="External"/><Relationship Id="rId12" Type="http://schemas.openxmlformats.org/officeDocument/2006/relationships/hyperlink" Target="https://kingcounty.gov/depts/community-human-services/initiatives/health-through-housing.aspx" TargetMode="External"/><Relationship Id="rId2" Type="http://schemas.openxmlformats.org/officeDocument/2006/relationships/hyperlink" Target="https://kingcounty.gov/services/environment/climate/actions-strategies/strategic-climate-action-plan.aspx" TargetMode="External"/><Relationship Id="rId1" Type="http://schemas.openxmlformats.org/officeDocument/2006/relationships/hyperlink" Target="https://kingcounty.gov/independent/forecasting/King%20County%20Economic%20and%20Revenue%20Forecast%20Archive.aspx" TargetMode="External"/><Relationship Id="rId6" Type="http://schemas.openxmlformats.org/officeDocument/2006/relationships/hyperlink" Target="https://mkcclegisearch.kingcounty.gov/LegislationDetail.aspx?ID=5037199&amp;GUID=15D8FBC5-9FBC-4F8E-8BF5-5A657B0F334C&amp;Options=Advanced&amp;Search=" TargetMode="External"/><Relationship Id="rId11" Type="http://schemas.openxmlformats.org/officeDocument/2006/relationships/hyperlink" Target="https://kingcounty.gov/depts/auditor/auditor-reports/all-landing-pgs/2021/contracting-2021.aspx" TargetMode="External"/><Relationship Id="rId5" Type="http://schemas.openxmlformats.org/officeDocument/2006/relationships/hyperlink" Target="https://mkcclegisearch.kingcounty.gov/LegislationDetail.aspx?ID=5037199&amp;GUID=15D8FBC5-9FBC-4F8E-8BF5-5A657B0F334C&amp;Options=Advanced&amp;Search=" TargetMode="External"/><Relationship Id="rId10" Type="http://schemas.openxmlformats.org/officeDocument/2006/relationships/hyperlink" Target="https://kingcounty.gov/~/media/operations/policies/documents/ProEquityContractingCON-7-28-EO.ashx?la=en" TargetMode="External"/><Relationship Id="rId4" Type="http://schemas.openxmlformats.org/officeDocument/2006/relationships/hyperlink" Target="https://www.kingcounty.gov/elected/executive/equity-social-justice/Coalition-Against-Hate-And-Bias.aspx" TargetMode="External"/><Relationship Id="rId9" Type="http://schemas.openxmlformats.org/officeDocument/2006/relationships/hyperlink" Target="https://wsdot.wa.gov/sites/default/files/2020/11/18/Electric-Aircraft-Feasibility-Study-Nov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KCCFS0PRP01\Dept$\Committees-Staff\~Issues\CFT\2021\2021-RPT0081_CFT%20Recommendations\0081%20REPORT%20-%20Recommendations%20for%20the%20Allocation%20of%202022%20Conservation%20Futures%20Tax%20Levy%20and%20Parks%20Levy%20Open%20Space%20Acquisition%20Funding%20July%202%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Sheet2!$D$18</c:f>
              <c:strCache>
                <c:ptCount val="1"/>
                <c:pt idx="0">
                  <c:v>Number of Recommended Awards</c:v>
                </c:pt>
              </c:strCache>
            </c:strRef>
          </c:tx>
          <c:spPr>
            <a:solidFill>
              <a:schemeClr val="accent1"/>
            </a:solidFill>
            <a:ln>
              <a:noFill/>
            </a:ln>
            <a:effectLst/>
          </c:spPr>
          <c:invertIfNegative val="0"/>
          <c:dLbls>
            <c:dLbl>
              <c:idx val="4"/>
              <c:layout>
                <c:manualLayout>
                  <c:x val="0"/>
                  <c:y val="6.74486001749781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23-486C-A8A5-1AC0ED2B7D8A}"/>
                </c:ext>
              </c:extLst>
            </c:dLbl>
            <c:dLbl>
              <c:idx val="7"/>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DC23-486C-A8A5-1AC0ED2B7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Sheet2!$C$19:$C$27</c:f>
              <c:strCache>
                <c:ptCount val="9"/>
                <c:pt idx="0">
                  <c:v>1</c:v>
                </c:pt>
                <c:pt idx="1">
                  <c:v>2</c:v>
                </c:pt>
                <c:pt idx="2">
                  <c:v>3</c:v>
                </c:pt>
                <c:pt idx="3">
                  <c:v>5</c:v>
                </c:pt>
                <c:pt idx="4">
                  <c:v>6</c:v>
                </c:pt>
                <c:pt idx="5">
                  <c:v>7</c:v>
                </c:pt>
                <c:pt idx="6">
                  <c:v>8</c:v>
                </c:pt>
                <c:pt idx="7">
                  <c:v>9</c:v>
                </c:pt>
                <c:pt idx="8">
                  <c:v>7,9</c:v>
                </c:pt>
              </c:strCache>
            </c:strRef>
          </c:cat>
          <c:val>
            <c:numRef>
              <c:f>Sheet2!$D$19:$D$27</c:f>
              <c:numCache>
                <c:formatCode>General</c:formatCode>
                <c:ptCount val="9"/>
                <c:pt idx="0">
                  <c:v>2</c:v>
                </c:pt>
                <c:pt idx="1">
                  <c:v>4</c:v>
                </c:pt>
                <c:pt idx="2">
                  <c:v>11</c:v>
                </c:pt>
                <c:pt idx="3">
                  <c:v>3</c:v>
                </c:pt>
                <c:pt idx="4">
                  <c:v>1</c:v>
                </c:pt>
                <c:pt idx="5">
                  <c:v>3</c:v>
                </c:pt>
                <c:pt idx="6">
                  <c:v>9</c:v>
                </c:pt>
                <c:pt idx="7">
                  <c:v>9</c:v>
                </c:pt>
                <c:pt idx="8">
                  <c:v>2</c:v>
                </c:pt>
              </c:numCache>
            </c:numRef>
          </c:val>
          <c:extLst>
            <c:ext xmlns:c16="http://schemas.microsoft.com/office/drawing/2014/chart" uri="{C3380CC4-5D6E-409C-BE32-E72D297353CC}">
              <c16:uniqueId val="{00000002-DC23-486C-A8A5-1AC0ED2B7D8A}"/>
            </c:ext>
          </c:extLst>
        </c:ser>
        <c:dLbls>
          <c:dLblPos val="inEnd"/>
          <c:showLegendKey val="0"/>
          <c:showVal val="1"/>
          <c:showCatName val="0"/>
          <c:showSerName val="0"/>
          <c:showPercent val="0"/>
          <c:showBubbleSize val="0"/>
        </c:dLbls>
        <c:gapWidth val="100"/>
        <c:overlap val="-27"/>
        <c:axId val="413930336"/>
        <c:axId val="413931976"/>
      </c:barChart>
      <c:catAx>
        <c:axId val="41393033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Council District</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13931976"/>
        <c:crosses val="autoZero"/>
        <c:auto val="1"/>
        <c:lblAlgn val="ctr"/>
        <c:lblOffset val="100"/>
        <c:noMultiLvlLbl val="0"/>
      </c:catAx>
      <c:valAx>
        <c:axId val="413931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 of Recommended Awards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139303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72E6A-AA52-4F45-ACEF-D8A82F9C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FF584-33D4-4C47-8B8E-A5C127BC6437}">
  <ds:schemaRefs>
    <ds:schemaRef ds:uri="http://schemas.openxmlformats.org/officeDocument/2006/bibliography"/>
  </ds:schemaRefs>
</ds:datastoreItem>
</file>

<file path=customXml/itemProps3.xml><?xml version="1.0" encoding="utf-8"?>
<ds:datastoreItem xmlns:ds="http://schemas.openxmlformats.org/officeDocument/2006/customXml" ds:itemID="{8C709C29-E668-4904-9FF1-A9DCFDFB2367}">
  <ds:schemaRefs>
    <ds:schemaRef ds:uri="http://schemas.microsoft.com/sharepoint/v3/contenttype/forms"/>
  </ds:schemaRefs>
</ds:datastoreItem>
</file>

<file path=customXml/itemProps4.xml><?xml version="1.0" encoding="utf-8"?>
<ds:datastoreItem xmlns:ds="http://schemas.openxmlformats.org/officeDocument/2006/customXml" ds:itemID="{6A22366C-C223-43F9-9D34-4FBB4C5240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33094</Words>
  <Characters>188637</Characters>
  <Application>Microsoft Office Word</Application>
  <DocSecurity>0</DocSecurity>
  <Lines>1571</Lines>
  <Paragraphs>442</Paragraphs>
  <ScaleCrop>false</ScaleCrop>
  <Company>King County Council</Company>
  <LinksUpToDate>false</LinksUpToDate>
  <CharactersWithSpaces>221289</CharactersWithSpaces>
  <SharedDoc>false</SharedDoc>
  <HLinks>
    <vt:vector size="72" baseType="variant">
      <vt:variant>
        <vt:i4>1245266</vt:i4>
      </vt:variant>
      <vt:variant>
        <vt:i4>33</vt:i4>
      </vt:variant>
      <vt:variant>
        <vt:i4>0</vt:i4>
      </vt:variant>
      <vt:variant>
        <vt:i4>5</vt:i4>
      </vt:variant>
      <vt:variant>
        <vt:lpwstr>https://kingcounty.gov/depts/community-human-services/initiatives/health-through-housing.aspx</vt:lpwstr>
      </vt:variant>
      <vt:variant>
        <vt:lpwstr/>
      </vt:variant>
      <vt:variant>
        <vt:i4>6422565</vt:i4>
      </vt:variant>
      <vt:variant>
        <vt:i4>30</vt:i4>
      </vt:variant>
      <vt:variant>
        <vt:i4>0</vt:i4>
      </vt:variant>
      <vt:variant>
        <vt:i4>5</vt:i4>
      </vt:variant>
      <vt:variant>
        <vt:lpwstr>https://kingcounty.gov/depts/auditor/auditor-reports/all-landing-pgs/2021/contracting-2021.aspx</vt:lpwstr>
      </vt:variant>
      <vt:variant>
        <vt:lpwstr/>
      </vt:variant>
      <vt:variant>
        <vt:i4>3014780</vt:i4>
      </vt:variant>
      <vt:variant>
        <vt:i4>27</vt:i4>
      </vt:variant>
      <vt:variant>
        <vt:i4>0</vt:i4>
      </vt:variant>
      <vt:variant>
        <vt:i4>5</vt:i4>
      </vt:variant>
      <vt:variant>
        <vt:lpwstr>https://kingcounty.gov/~/media/operations/policies/documents/ProEquityContractingCON-7-28-EO.ashx?la=en</vt:lpwstr>
      </vt:variant>
      <vt:variant>
        <vt:lpwstr/>
      </vt:variant>
      <vt:variant>
        <vt:i4>3145840</vt:i4>
      </vt:variant>
      <vt:variant>
        <vt:i4>24</vt:i4>
      </vt:variant>
      <vt:variant>
        <vt:i4>0</vt:i4>
      </vt:variant>
      <vt:variant>
        <vt:i4>5</vt:i4>
      </vt:variant>
      <vt:variant>
        <vt:lpwstr>https://wsdot.wa.gov/sites/default/files/2020/11/18/Electric-Aircraft-Feasibility-Study-Nov2020.pdf</vt:lpwstr>
      </vt:variant>
      <vt:variant>
        <vt:lpwstr/>
      </vt:variant>
      <vt:variant>
        <vt:i4>6488167</vt:i4>
      </vt:variant>
      <vt:variant>
        <vt:i4>21</vt:i4>
      </vt:variant>
      <vt:variant>
        <vt:i4>0</vt:i4>
      </vt:variant>
      <vt:variant>
        <vt:i4>5</vt:i4>
      </vt:variant>
      <vt:variant>
        <vt:lpwstr>https://mkcclegisearch.kingcounty.gov/LegislationDetail.aspx?ID=4769147&amp;GUID=D66186DB-DAAC-46FC-8A44-CC5FD645AC09&amp;Options=Advanced&amp;Search=</vt:lpwstr>
      </vt:variant>
      <vt:variant>
        <vt:lpwstr/>
      </vt:variant>
      <vt:variant>
        <vt:i4>6291530</vt:i4>
      </vt:variant>
      <vt:variant>
        <vt:i4>18</vt:i4>
      </vt:variant>
      <vt:variant>
        <vt:i4>0</vt:i4>
      </vt:variant>
      <vt:variant>
        <vt:i4>5</vt:i4>
      </vt:variant>
      <vt:variant>
        <vt:lpwstr>https://kc1-my.sharepoint.com/personal/andrew_kim_kingcounty_gov/Documents/Documents/2021 2nd Omnibus/Analyst Write-Ups and SR/King County File</vt:lpwstr>
      </vt:variant>
      <vt:variant>
        <vt:lpwstr> 2021-RPT0081</vt:lpwstr>
      </vt:variant>
      <vt:variant>
        <vt:i4>3539042</vt:i4>
      </vt:variant>
      <vt:variant>
        <vt:i4>15</vt:i4>
      </vt:variant>
      <vt:variant>
        <vt:i4>0</vt:i4>
      </vt:variant>
      <vt:variant>
        <vt:i4>5</vt:i4>
      </vt:variant>
      <vt:variant>
        <vt:lpwstr>https://mkcclegisearch.kingcounty.gov/LegislationDetail.aspx?ID=5037199&amp;GUID=15D8FBC5-9FBC-4F8E-8BF5-5A657B0F334C&amp;Options=Advanced&amp;Search=</vt:lpwstr>
      </vt:variant>
      <vt:variant>
        <vt:lpwstr/>
      </vt:variant>
      <vt:variant>
        <vt:i4>3539042</vt:i4>
      </vt:variant>
      <vt:variant>
        <vt:i4>12</vt:i4>
      </vt:variant>
      <vt:variant>
        <vt:i4>0</vt:i4>
      </vt:variant>
      <vt:variant>
        <vt:i4>5</vt:i4>
      </vt:variant>
      <vt:variant>
        <vt:lpwstr>https://mkcclegisearch.kingcounty.gov/LegislationDetail.aspx?ID=5037199&amp;GUID=15D8FBC5-9FBC-4F8E-8BF5-5A657B0F334C&amp;Options=Advanced&amp;Search=</vt:lpwstr>
      </vt:variant>
      <vt:variant>
        <vt:lpwstr/>
      </vt:variant>
      <vt:variant>
        <vt:i4>8323184</vt:i4>
      </vt:variant>
      <vt:variant>
        <vt:i4>9</vt:i4>
      </vt:variant>
      <vt:variant>
        <vt:i4>0</vt:i4>
      </vt:variant>
      <vt:variant>
        <vt:i4>5</vt:i4>
      </vt:variant>
      <vt:variant>
        <vt:lpwstr>https://www.kingcounty.gov/elected/executive/equity-social-justice/Coalition-Against-Hate-And-Bias.aspx</vt:lpwstr>
      </vt:variant>
      <vt:variant>
        <vt:lpwstr/>
      </vt:variant>
      <vt:variant>
        <vt:i4>6619240</vt:i4>
      </vt:variant>
      <vt:variant>
        <vt:i4>6</vt:i4>
      </vt:variant>
      <vt:variant>
        <vt:i4>0</vt:i4>
      </vt:variant>
      <vt:variant>
        <vt:i4>5</vt:i4>
      </vt:variant>
      <vt:variant>
        <vt:lpwstr>https://mkcclegisearch.kingcounty.gov/LegislationDetail.aspx?ID=5030854&amp;GUID=0CD1E1B9-5B52-40F2-8974-D365539611F7&amp;Options=Advanced&amp;Search=</vt:lpwstr>
      </vt:variant>
      <vt:variant>
        <vt:lpwstr/>
      </vt:variant>
      <vt:variant>
        <vt:i4>5177359</vt:i4>
      </vt:variant>
      <vt:variant>
        <vt:i4>3</vt:i4>
      </vt:variant>
      <vt:variant>
        <vt:i4>0</vt:i4>
      </vt:variant>
      <vt:variant>
        <vt:i4>5</vt:i4>
      </vt:variant>
      <vt:variant>
        <vt:lpwstr>https://kingcounty.gov/services/environment/climate/actions-strategies/strategic-climate-action-plan.aspx</vt:lpwstr>
      </vt:variant>
      <vt:variant>
        <vt:lpwstr>:~:text=The%20new%20Carbon%20Neutral%20Implementation,2025%20and%2080%25%20by%202030</vt:lpwstr>
      </vt:variant>
      <vt:variant>
        <vt:i4>1310732</vt:i4>
      </vt:variant>
      <vt:variant>
        <vt:i4>0</vt:i4>
      </vt:variant>
      <vt:variant>
        <vt:i4>0</vt:i4>
      </vt:variant>
      <vt:variant>
        <vt:i4>5</vt:i4>
      </vt:variant>
      <vt:variant>
        <vt:lpwstr>https://kingcounty.gov/independent/forecasting/King County Economic and Revenue Forecast Archive.aspx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Clarke</dc:creator>
  <cp:keywords/>
  <cp:lastModifiedBy>Bailey, Melissa</cp:lastModifiedBy>
  <cp:revision>2</cp:revision>
  <cp:lastPrinted>2015-03-13T15:09:00Z</cp:lastPrinted>
  <dcterms:created xsi:type="dcterms:W3CDTF">2021-11-08T23:21:00Z</dcterms:created>
  <dcterms:modified xsi:type="dcterms:W3CDTF">2021-11-08T23:21:00Z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