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EC4A" w14:textId="77777777" w:rsidR="000C37BB" w:rsidRPr="000C37BB" w:rsidRDefault="000C37BB" w:rsidP="00EB5A13">
      <w:pPr>
        <w:pStyle w:val="Heading2"/>
        <w:rPr>
          <w:rFonts w:ascii="Arial" w:hAnsi="Arial" w:cs="Arial"/>
          <w:sz w:val="16"/>
          <w:szCs w:val="12"/>
        </w:rPr>
      </w:pPr>
    </w:p>
    <w:p w14:paraId="72F38D5F" w14:textId="3822EE68"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14:paraId="04837292" w14:textId="77777777" w:rsidR="00EB5A13" w:rsidRPr="00F3508D" w:rsidRDefault="00EB5A13" w:rsidP="00EB5A13">
      <w:pPr>
        <w:jc w:val="center"/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14:paraId="34BE30B9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04A9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505" w14:textId="45D7B58F" w:rsidR="00EB5A13" w:rsidRPr="009349D6" w:rsidRDefault="006539B9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C18D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04CE" w14:textId="75BB9E53" w:rsidR="00EB5A13" w:rsidRPr="009349D6" w:rsidRDefault="00905EEE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Porter</w:t>
            </w:r>
          </w:p>
        </w:tc>
      </w:tr>
      <w:tr w:rsidR="00EB5A13" w:rsidRPr="009349D6" w14:paraId="58A8E401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F388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 xml:space="preserve">Proposed </w:t>
            </w:r>
            <w:r w:rsidRPr="00834143">
              <w:rPr>
                <w:rFonts w:ascii="Arial" w:hAnsi="Arial" w:cs="Arial"/>
                <w:b/>
              </w:rPr>
              <w:t>No.: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AFCE" w14:textId="4918101D" w:rsidR="00EB5A13" w:rsidRPr="009349D6" w:rsidRDefault="00905EEE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2021-0374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2E02" w14:textId="77777777" w:rsidR="00EB5A13" w:rsidRPr="009349D6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B0BC" w14:textId="083AE064" w:rsidR="00EB5A13" w:rsidRPr="009349D6" w:rsidRDefault="00A16325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16, 2021</w:t>
            </w:r>
          </w:p>
        </w:tc>
      </w:tr>
    </w:tbl>
    <w:p w14:paraId="227CC509" w14:textId="77777777" w:rsidR="006D4045" w:rsidRDefault="006D4045" w:rsidP="005B478C">
      <w:pPr>
        <w:jc w:val="both"/>
        <w:rPr>
          <w:rFonts w:ascii="Arial" w:hAnsi="Arial" w:cs="Arial"/>
          <w:b/>
          <w:szCs w:val="24"/>
          <w:u w:val="single"/>
        </w:rPr>
      </w:pPr>
    </w:p>
    <w:p w14:paraId="31E39504" w14:textId="77777777" w:rsidR="00785660" w:rsidRPr="009349D6" w:rsidRDefault="00785660" w:rsidP="006539B9">
      <w:pPr>
        <w:spacing w:line="264" w:lineRule="auto"/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02D88C94" w14:textId="77777777" w:rsidR="00785660" w:rsidRDefault="00785660" w:rsidP="006539B9">
      <w:pPr>
        <w:spacing w:line="264" w:lineRule="auto"/>
        <w:rPr>
          <w:rFonts w:ascii="Arial" w:hAnsi="Arial" w:cs="Arial"/>
        </w:rPr>
      </w:pPr>
    </w:p>
    <w:p w14:paraId="025F8B30" w14:textId="6BDB0692" w:rsidR="006D4045" w:rsidRPr="00070CDB" w:rsidRDefault="006D4045" w:rsidP="006539B9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Proposed Ordinance </w:t>
      </w:r>
      <w:r w:rsidR="00905EEE">
        <w:rPr>
          <w:rFonts w:ascii="Arial" w:hAnsi="Arial" w:cs="Arial"/>
        </w:rPr>
        <w:t>2021-0374</w:t>
      </w:r>
      <w:r>
        <w:rPr>
          <w:rFonts w:ascii="Arial" w:hAnsi="Arial" w:cs="Arial"/>
        </w:rPr>
        <w:t xml:space="preserve"> would </w:t>
      </w:r>
      <w:r w:rsidR="00A41D11">
        <w:rPr>
          <w:rFonts w:ascii="Arial" w:hAnsi="Arial" w:cs="Arial"/>
        </w:rPr>
        <w:t xml:space="preserve">repeal a fee for the disposal of </w:t>
      </w:r>
      <w:r w:rsidR="0015458D">
        <w:rPr>
          <w:rFonts w:ascii="Arial" w:hAnsi="Arial" w:cs="Arial"/>
        </w:rPr>
        <w:t>court exhibits</w:t>
      </w:r>
      <w:r w:rsidR="007632BA">
        <w:rPr>
          <w:rFonts w:ascii="Arial" w:hAnsi="Arial" w:cs="Arial"/>
        </w:rPr>
        <w:t xml:space="preserve"> previously used by the Department of Judicial Administration (DJA)</w:t>
      </w:r>
      <w:r w:rsidR="0015458D">
        <w:rPr>
          <w:rFonts w:ascii="Arial" w:hAnsi="Arial" w:cs="Arial"/>
        </w:rPr>
        <w:t>.</w:t>
      </w:r>
    </w:p>
    <w:p w14:paraId="490C5511" w14:textId="77777777" w:rsidR="00213FD8" w:rsidRDefault="00213FD8" w:rsidP="006539B9">
      <w:pPr>
        <w:spacing w:line="264" w:lineRule="auto"/>
        <w:rPr>
          <w:rFonts w:ascii="Arial" w:hAnsi="Arial" w:cs="Arial"/>
        </w:rPr>
      </w:pPr>
    </w:p>
    <w:p w14:paraId="000A6384" w14:textId="6E0B7820" w:rsidR="00785660" w:rsidRDefault="00785660" w:rsidP="006539B9">
      <w:pPr>
        <w:spacing w:line="264" w:lineRule="auto"/>
        <w:rPr>
          <w:rFonts w:ascii="Arial" w:hAnsi="Arial" w:cs="Arial"/>
          <w:b/>
          <w:smallCaps/>
          <w:szCs w:val="24"/>
          <w:u w:val="single"/>
        </w:rPr>
      </w:pPr>
      <w:r w:rsidRPr="009864F8">
        <w:rPr>
          <w:rFonts w:ascii="Arial" w:hAnsi="Arial" w:cs="Arial"/>
          <w:b/>
          <w:smallCaps/>
          <w:szCs w:val="24"/>
          <w:u w:val="single"/>
        </w:rPr>
        <w:t>SUMMARY</w:t>
      </w:r>
    </w:p>
    <w:p w14:paraId="299868EA" w14:textId="77777777" w:rsidR="00785660" w:rsidRDefault="00785660" w:rsidP="006539B9">
      <w:pPr>
        <w:spacing w:line="264" w:lineRule="auto"/>
        <w:rPr>
          <w:rFonts w:ascii="Arial" w:hAnsi="Arial" w:cs="Arial"/>
        </w:rPr>
      </w:pPr>
    </w:p>
    <w:p w14:paraId="3BCCE8BB" w14:textId="097363D5" w:rsidR="00706049" w:rsidRPr="00F86EC9" w:rsidRDefault="001E0942" w:rsidP="006539B9">
      <w:pPr>
        <w:keepNext/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King County Code </w:t>
      </w:r>
      <w:r w:rsidR="007702DE">
        <w:rPr>
          <w:rFonts w:ascii="Arial" w:hAnsi="Arial" w:cs="Arial"/>
        </w:rPr>
        <w:t xml:space="preserve">(KCC) </w:t>
      </w:r>
      <w:r>
        <w:rPr>
          <w:rFonts w:ascii="Arial" w:hAnsi="Arial" w:cs="Arial"/>
        </w:rPr>
        <w:t xml:space="preserve">currently </w:t>
      </w:r>
      <w:r w:rsidR="007632BA">
        <w:rPr>
          <w:rFonts w:ascii="Arial" w:hAnsi="Arial" w:cs="Arial"/>
        </w:rPr>
        <w:t>allows DJA</w:t>
      </w:r>
      <w:r>
        <w:rPr>
          <w:rFonts w:ascii="Arial" w:hAnsi="Arial" w:cs="Arial"/>
        </w:rPr>
        <w:t xml:space="preserve"> </w:t>
      </w:r>
      <w:r w:rsidR="007632BA">
        <w:rPr>
          <w:rFonts w:ascii="Arial" w:hAnsi="Arial" w:cs="Arial"/>
        </w:rPr>
        <w:t>to charge</w:t>
      </w:r>
      <w:r>
        <w:rPr>
          <w:rFonts w:ascii="Arial" w:hAnsi="Arial" w:cs="Arial"/>
        </w:rPr>
        <w:t xml:space="preserve"> a </w:t>
      </w:r>
      <w:r w:rsidR="00F86EC9">
        <w:rPr>
          <w:rFonts w:ascii="Arial" w:hAnsi="Arial" w:cs="Arial"/>
        </w:rPr>
        <w:t xml:space="preserve">$30 </w:t>
      </w:r>
      <w:r w:rsidR="00A30A8F">
        <w:rPr>
          <w:rFonts w:ascii="Arial" w:hAnsi="Arial" w:cs="Arial"/>
        </w:rPr>
        <w:t xml:space="preserve">fee for the cost of disposing court exhibits not withdrawn by parties 45 – 90 days following the completion of a case. </w:t>
      </w:r>
      <w:r w:rsidR="00F86EC9">
        <w:rPr>
          <w:rFonts w:ascii="Arial" w:hAnsi="Arial" w:cs="Arial"/>
        </w:rPr>
        <w:t xml:space="preserve">Proposed Ordinance 2021-0374 would repeal </w:t>
      </w:r>
      <w:r w:rsidR="00D20BA7">
        <w:rPr>
          <w:rFonts w:ascii="Arial" w:hAnsi="Arial" w:cs="Arial"/>
        </w:rPr>
        <w:t>this</w:t>
      </w:r>
      <w:r w:rsidR="00F86EC9">
        <w:rPr>
          <w:rFonts w:ascii="Arial" w:hAnsi="Arial" w:cs="Arial"/>
        </w:rPr>
        <w:t xml:space="preserve"> fee. </w:t>
      </w:r>
    </w:p>
    <w:p w14:paraId="5BAF7AF7" w14:textId="77777777" w:rsidR="00706049" w:rsidRDefault="00706049" w:rsidP="006539B9">
      <w:pPr>
        <w:spacing w:line="264" w:lineRule="auto"/>
        <w:jc w:val="both"/>
        <w:rPr>
          <w:rFonts w:ascii="Arial" w:hAnsi="Arial" w:cs="Arial"/>
          <w:b/>
          <w:u w:val="single"/>
        </w:rPr>
      </w:pPr>
    </w:p>
    <w:p w14:paraId="75D080A0" w14:textId="77777777" w:rsidR="006D4045" w:rsidRDefault="006D4045" w:rsidP="006539B9">
      <w:pPr>
        <w:keepNext/>
        <w:spacing w:line="264" w:lineRule="auto"/>
        <w:rPr>
          <w:rFonts w:ascii="Arial" w:hAnsi="Arial" w:cs="Arial"/>
          <w:b/>
          <w:smallCaps/>
          <w:szCs w:val="24"/>
          <w:u w:val="single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14:paraId="3EDD7382" w14:textId="77777777" w:rsidR="00F86EC9" w:rsidRDefault="00F86EC9" w:rsidP="006539B9">
      <w:pPr>
        <w:keepNext/>
        <w:spacing w:line="264" w:lineRule="auto"/>
        <w:jc w:val="both"/>
        <w:rPr>
          <w:rFonts w:ascii="Arial" w:hAnsi="Arial" w:cs="Arial"/>
        </w:rPr>
      </w:pPr>
    </w:p>
    <w:p w14:paraId="50A50B48" w14:textId="27FCC2F8" w:rsidR="00F86EC9" w:rsidRDefault="00F02BE3" w:rsidP="006539B9">
      <w:pPr>
        <w:keepNext/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Authorized </w:t>
      </w:r>
      <w:r w:rsidR="003A0779">
        <w:rPr>
          <w:rFonts w:ascii="Arial" w:hAnsi="Arial" w:cs="Arial"/>
        </w:rPr>
        <w:t>under</w:t>
      </w:r>
      <w:r w:rsidR="00997C7A" w:rsidRPr="00997C7A">
        <w:rPr>
          <w:rFonts w:ascii="Arial" w:hAnsi="Arial" w:cs="Arial"/>
        </w:rPr>
        <w:t xml:space="preserve"> RCW 36.18.016</w:t>
      </w:r>
      <w:r w:rsidR="00997C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KCC </w:t>
      </w:r>
      <w:r w:rsidR="007702DE">
        <w:rPr>
          <w:rFonts w:ascii="Arial" w:hAnsi="Arial" w:cs="Arial"/>
        </w:rPr>
        <w:t>4A.630.150</w:t>
      </w:r>
      <w:r w:rsidR="00E65E4D">
        <w:rPr>
          <w:rFonts w:ascii="Arial" w:hAnsi="Arial" w:cs="Arial"/>
        </w:rPr>
        <w:t xml:space="preserve">, adopted in 2004, </w:t>
      </w:r>
      <w:r w:rsidR="007702DE">
        <w:rPr>
          <w:rFonts w:ascii="Arial" w:hAnsi="Arial" w:cs="Arial"/>
          <w:szCs w:val="24"/>
        </w:rPr>
        <w:t xml:space="preserve">allows DJA </w:t>
      </w:r>
      <w:r w:rsidR="003A0779">
        <w:rPr>
          <w:rFonts w:ascii="Arial" w:hAnsi="Arial" w:cs="Arial"/>
          <w:szCs w:val="24"/>
        </w:rPr>
        <w:t>to</w:t>
      </w:r>
      <w:r w:rsidR="007702DE">
        <w:rPr>
          <w:rFonts w:ascii="Arial" w:hAnsi="Arial" w:cs="Arial"/>
          <w:szCs w:val="24"/>
        </w:rPr>
        <w:t xml:space="preserve"> charge $30 </w:t>
      </w:r>
      <w:r w:rsidR="003423C8">
        <w:rPr>
          <w:rFonts w:ascii="Arial" w:hAnsi="Arial" w:cs="Arial"/>
          <w:szCs w:val="24"/>
        </w:rPr>
        <w:t>for</w:t>
      </w:r>
      <w:r w:rsidR="007702DE">
        <w:rPr>
          <w:rFonts w:ascii="Arial" w:hAnsi="Arial" w:cs="Arial"/>
          <w:szCs w:val="24"/>
        </w:rPr>
        <w:t xml:space="preserve"> the</w:t>
      </w:r>
      <w:r w:rsidR="007702DE">
        <w:rPr>
          <w:szCs w:val="24"/>
        </w:rPr>
        <w:t xml:space="preserve"> </w:t>
      </w:r>
      <w:r w:rsidR="007702DE" w:rsidRPr="00CA2AB4">
        <w:rPr>
          <w:rFonts w:ascii="Arial" w:hAnsi="Arial" w:cs="Arial"/>
          <w:szCs w:val="24"/>
        </w:rPr>
        <w:t>disposal of court exhibits not withdrawn by parties</w:t>
      </w:r>
      <w:r w:rsidR="007702DE">
        <w:rPr>
          <w:rFonts w:ascii="Arial" w:hAnsi="Arial" w:cs="Arial"/>
          <w:szCs w:val="24"/>
        </w:rPr>
        <w:t>.</w:t>
      </w:r>
      <w:r w:rsidR="007632BA">
        <w:rPr>
          <w:rFonts w:ascii="Arial" w:hAnsi="Arial" w:cs="Arial"/>
        </w:rPr>
        <w:t xml:space="preserve"> </w:t>
      </w:r>
      <w:r w:rsidR="00B045F8">
        <w:rPr>
          <w:rFonts w:ascii="Arial" w:hAnsi="Arial" w:cs="Arial"/>
        </w:rPr>
        <w:t xml:space="preserve">Historically, </w:t>
      </w:r>
      <w:r w:rsidR="00A21B50">
        <w:rPr>
          <w:rFonts w:ascii="Arial" w:hAnsi="Arial" w:cs="Arial"/>
        </w:rPr>
        <w:t xml:space="preserve">all </w:t>
      </w:r>
      <w:r w:rsidR="00B045F8">
        <w:rPr>
          <w:rFonts w:ascii="Arial" w:hAnsi="Arial" w:cs="Arial"/>
        </w:rPr>
        <w:t>court records were physical and required physical disposal</w:t>
      </w:r>
      <w:r w:rsidR="00B76A2C">
        <w:rPr>
          <w:rFonts w:ascii="Arial" w:hAnsi="Arial" w:cs="Arial"/>
        </w:rPr>
        <w:t xml:space="preserve"> which incurred a </w:t>
      </w:r>
      <w:r w:rsidR="000C37BB">
        <w:rPr>
          <w:rFonts w:ascii="Arial" w:hAnsi="Arial" w:cs="Arial"/>
        </w:rPr>
        <w:t>cost</w:t>
      </w:r>
      <w:r w:rsidR="00D46D02" w:rsidRPr="009F46BA">
        <w:rPr>
          <w:rFonts w:ascii="Arial" w:hAnsi="Arial" w:cs="Arial"/>
          <w:szCs w:val="24"/>
        </w:rPr>
        <w:t>.</w:t>
      </w:r>
      <w:r w:rsidR="00D46D02">
        <w:rPr>
          <w:rFonts w:ascii="Arial" w:hAnsi="Arial" w:cs="Arial"/>
          <w:szCs w:val="24"/>
        </w:rPr>
        <w:t xml:space="preserve"> </w:t>
      </w:r>
    </w:p>
    <w:p w14:paraId="67FF994C" w14:textId="77777777" w:rsidR="006D4045" w:rsidRDefault="006D4045" w:rsidP="006539B9">
      <w:pPr>
        <w:spacing w:line="264" w:lineRule="auto"/>
        <w:rPr>
          <w:rFonts w:ascii="Arial" w:hAnsi="Arial" w:cs="Arial"/>
          <w:szCs w:val="24"/>
        </w:rPr>
      </w:pPr>
    </w:p>
    <w:p w14:paraId="53A8DA3D" w14:textId="77777777" w:rsidR="006D4045" w:rsidRDefault="006D4045" w:rsidP="006539B9">
      <w:pPr>
        <w:keepNext/>
        <w:spacing w:line="264" w:lineRule="auto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14:paraId="0FC94A01" w14:textId="77777777" w:rsidR="006D4045" w:rsidRDefault="006D4045" w:rsidP="006539B9">
      <w:pPr>
        <w:keepNext/>
        <w:spacing w:line="264" w:lineRule="auto"/>
        <w:rPr>
          <w:rFonts w:ascii="Arial" w:hAnsi="Arial" w:cs="Arial"/>
        </w:rPr>
      </w:pPr>
    </w:p>
    <w:p w14:paraId="0FC5DE05" w14:textId="60D0C005" w:rsidR="0096718C" w:rsidRPr="00B153DD" w:rsidRDefault="000359E2" w:rsidP="006539B9">
      <w:pPr>
        <w:keepNext/>
        <w:spacing w:line="264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Historically, disposal of exhibits</w:t>
      </w:r>
      <w:r w:rsidR="00F73004">
        <w:rPr>
          <w:rFonts w:ascii="Arial" w:hAnsi="Arial" w:cs="Arial"/>
        </w:rPr>
        <w:t xml:space="preserve"> not picked up by parties</w:t>
      </w:r>
      <w:r>
        <w:rPr>
          <w:rFonts w:ascii="Arial" w:hAnsi="Arial" w:cs="Arial"/>
        </w:rPr>
        <w:t xml:space="preserve"> involved recycling and trips to the transfer station</w:t>
      </w:r>
      <w:r w:rsidR="00F730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both of which incurred cost. DJA reports that court exhibits are </w:t>
      </w:r>
      <w:r w:rsidR="00F73004">
        <w:rPr>
          <w:rFonts w:ascii="Arial" w:hAnsi="Arial" w:cs="Arial"/>
        </w:rPr>
        <w:t>now</w:t>
      </w:r>
      <w:r>
        <w:rPr>
          <w:rFonts w:ascii="Arial" w:hAnsi="Arial" w:cs="Arial"/>
        </w:rPr>
        <w:t xml:space="preserve"> a mix of electronic and physical records allowing for electronic deletion as a means for disposal which does not incur a cost. </w:t>
      </w:r>
      <w:r w:rsidR="009A3194">
        <w:rPr>
          <w:rFonts w:ascii="Arial" w:hAnsi="Arial" w:cs="Arial"/>
        </w:rPr>
        <w:t xml:space="preserve">While physical exhibits are </w:t>
      </w:r>
      <w:r w:rsidR="00CB4C4E">
        <w:rPr>
          <w:rFonts w:ascii="Arial" w:hAnsi="Arial" w:cs="Arial"/>
        </w:rPr>
        <w:t xml:space="preserve">sometimes </w:t>
      </w:r>
      <w:r w:rsidR="009A3194">
        <w:rPr>
          <w:rFonts w:ascii="Arial" w:hAnsi="Arial" w:cs="Arial"/>
        </w:rPr>
        <w:t>provided in cases</w:t>
      </w:r>
      <w:r w:rsidR="00CB4C4E">
        <w:rPr>
          <w:rFonts w:ascii="Arial" w:hAnsi="Arial" w:cs="Arial"/>
        </w:rPr>
        <w:t>,</w:t>
      </w:r>
      <w:r w:rsidR="009A3194">
        <w:rPr>
          <w:rFonts w:ascii="Arial" w:hAnsi="Arial" w:cs="Arial"/>
        </w:rPr>
        <w:t xml:space="preserve"> </w:t>
      </w:r>
      <w:r w:rsidR="003E2ACF">
        <w:rPr>
          <w:rFonts w:ascii="Arial" w:hAnsi="Arial" w:cs="Arial"/>
        </w:rPr>
        <w:t xml:space="preserve">DJA has not charged this fee in almost five years and is therefore </w:t>
      </w:r>
      <w:r w:rsidR="009A3194">
        <w:rPr>
          <w:rFonts w:ascii="Arial" w:hAnsi="Arial" w:cs="Arial"/>
        </w:rPr>
        <w:t>requesting this fee be repealed.</w:t>
      </w:r>
      <w:r w:rsidR="00C871F6">
        <w:rPr>
          <w:rFonts w:ascii="Arial" w:hAnsi="Arial" w:cs="Arial"/>
        </w:rPr>
        <w:t xml:space="preserve"> There is no fiscal impact </w:t>
      </w:r>
      <w:r w:rsidR="00335D50">
        <w:rPr>
          <w:rFonts w:ascii="Arial" w:hAnsi="Arial" w:cs="Arial"/>
        </w:rPr>
        <w:t>of</w:t>
      </w:r>
      <w:r w:rsidR="00C871F6">
        <w:rPr>
          <w:rFonts w:ascii="Arial" w:hAnsi="Arial" w:cs="Arial"/>
        </w:rPr>
        <w:t xml:space="preserve"> this </w:t>
      </w:r>
      <w:r w:rsidR="00C871F6" w:rsidRPr="00B153DD">
        <w:rPr>
          <w:rFonts w:ascii="Arial" w:hAnsi="Arial" w:cs="Arial"/>
        </w:rPr>
        <w:t>legislation.</w:t>
      </w:r>
      <w:r w:rsidR="00CB4C4E" w:rsidRPr="00B153DD">
        <w:rPr>
          <w:rFonts w:ascii="Arial" w:hAnsi="Arial" w:cs="Arial"/>
        </w:rPr>
        <w:t xml:space="preserve"> </w:t>
      </w:r>
      <w:r w:rsidR="00C459D2" w:rsidRPr="00B153DD">
        <w:rPr>
          <w:rFonts w:ascii="Arial" w:hAnsi="Arial" w:cs="Arial"/>
          <w:szCs w:val="24"/>
        </w:rPr>
        <w:t xml:space="preserve">Council's legal counsel has reviewed the </w:t>
      </w:r>
      <w:r w:rsidR="006539B9">
        <w:rPr>
          <w:rFonts w:ascii="Arial" w:hAnsi="Arial" w:cs="Arial"/>
          <w:szCs w:val="24"/>
        </w:rPr>
        <w:t>p</w:t>
      </w:r>
      <w:r w:rsidR="006539B9" w:rsidRPr="00B153DD">
        <w:rPr>
          <w:rFonts w:ascii="Arial" w:hAnsi="Arial" w:cs="Arial"/>
          <w:szCs w:val="24"/>
        </w:rPr>
        <w:t xml:space="preserve">roposed </w:t>
      </w:r>
      <w:r w:rsidR="006539B9">
        <w:rPr>
          <w:rFonts w:ascii="Arial" w:hAnsi="Arial" w:cs="Arial"/>
          <w:szCs w:val="24"/>
        </w:rPr>
        <w:t>o</w:t>
      </w:r>
      <w:r w:rsidR="006539B9" w:rsidRPr="00B153DD">
        <w:rPr>
          <w:rFonts w:ascii="Arial" w:hAnsi="Arial" w:cs="Arial"/>
          <w:szCs w:val="24"/>
        </w:rPr>
        <w:t>rdinance</w:t>
      </w:r>
      <w:r w:rsidR="00C459D2" w:rsidRPr="00B153DD">
        <w:rPr>
          <w:rFonts w:ascii="Arial" w:hAnsi="Arial" w:cs="Arial"/>
          <w:szCs w:val="24"/>
        </w:rPr>
        <w:t>.</w:t>
      </w:r>
    </w:p>
    <w:p w14:paraId="7EB342DD" w14:textId="77777777" w:rsidR="00C459D2" w:rsidRPr="0096718C" w:rsidRDefault="00C459D2" w:rsidP="006539B9">
      <w:pPr>
        <w:spacing w:line="264" w:lineRule="auto"/>
        <w:rPr>
          <w:rFonts w:ascii="Arial" w:hAnsi="Arial" w:cs="Arial"/>
          <w:szCs w:val="24"/>
        </w:rPr>
      </w:pPr>
    </w:p>
    <w:p w14:paraId="084EFD18" w14:textId="77777777" w:rsidR="00EF4BB5" w:rsidRPr="001C4B19" w:rsidRDefault="00EF4BB5" w:rsidP="006539B9">
      <w:pPr>
        <w:keepNext/>
        <w:spacing w:line="264" w:lineRule="auto"/>
        <w:jc w:val="both"/>
        <w:rPr>
          <w:rFonts w:ascii="Arial" w:hAnsi="Arial" w:cs="Arial"/>
          <w:b/>
          <w:szCs w:val="24"/>
          <w:u w:val="single"/>
        </w:rPr>
      </w:pPr>
      <w:r w:rsidRPr="001C4B19">
        <w:rPr>
          <w:rFonts w:ascii="Arial" w:hAnsi="Arial" w:cs="Arial"/>
          <w:b/>
          <w:szCs w:val="24"/>
          <w:u w:val="single"/>
        </w:rPr>
        <w:t>INVITED</w:t>
      </w:r>
    </w:p>
    <w:p w14:paraId="5950381E" w14:textId="77777777" w:rsidR="00EF4BB5" w:rsidRPr="001C4B19" w:rsidRDefault="00EF4BB5" w:rsidP="006539B9">
      <w:pPr>
        <w:keepNext/>
        <w:spacing w:line="264" w:lineRule="auto"/>
        <w:jc w:val="both"/>
        <w:rPr>
          <w:rFonts w:ascii="Arial" w:hAnsi="Arial" w:cs="Arial"/>
          <w:szCs w:val="24"/>
        </w:rPr>
      </w:pPr>
    </w:p>
    <w:p w14:paraId="7585ABCA" w14:textId="77777777" w:rsidR="00EF4BB5" w:rsidRDefault="00EF4BB5" w:rsidP="006539B9">
      <w:pPr>
        <w:pStyle w:val="ListParagraph0"/>
        <w:keepNext/>
        <w:numPr>
          <w:ilvl w:val="0"/>
          <w:numId w:val="43"/>
        </w:num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Barb Miner, Director</w:t>
      </w:r>
      <w:r w:rsidRPr="001C4B19">
        <w:rPr>
          <w:rFonts w:ascii="Arial" w:hAnsi="Arial" w:cs="Arial"/>
        </w:rPr>
        <w:t xml:space="preserve">, Department </w:t>
      </w:r>
      <w:r>
        <w:rPr>
          <w:rFonts w:ascii="Arial" w:hAnsi="Arial" w:cs="Arial"/>
        </w:rPr>
        <w:t>of Judicial Administration</w:t>
      </w:r>
    </w:p>
    <w:p w14:paraId="241C5CDF" w14:textId="73BDCC03" w:rsidR="00EF4BB5" w:rsidRPr="001E4B19" w:rsidRDefault="00EF4BB5" w:rsidP="001E4B19">
      <w:pPr>
        <w:pStyle w:val="ListParagraph0"/>
        <w:keepNext/>
        <w:numPr>
          <w:ilvl w:val="0"/>
          <w:numId w:val="43"/>
        </w:num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Teresa Bailey, Deputy Director, </w:t>
      </w:r>
      <w:r w:rsidR="001E4B19" w:rsidRPr="001C4B19">
        <w:rPr>
          <w:rFonts w:ascii="Arial" w:hAnsi="Arial" w:cs="Arial"/>
        </w:rPr>
        <w:t xml:space="preserve">Department </w:t>
      </w:r>
      <w:r w:rsidR="001E4B19">
        <w:rPr>
          <w:rFonts w:ascii="Arial" w:hAnsi="Arial" w:cs="Arial"/>
        </w:rPr>
        <w:t>of Judicial Administration</w:t>
      </w:r>
    </w:p>
    <w:p w14:paraId="334D2EAF" w14:textId="1AC9E7AB" w:rsidR="00785660" w:rsidRDefault="00785660" w:rsidP="006539B9">
      <w:pPr>
        <w:pStyle w:val="BodyText"/>
        <w:spacing w:line="264" w:lineRule="auto"/>
        <w:jc w:val="both"/>
        <w:rPr>
          <w:rFonts w:ascii="Arial" w:hAnsi="Arial" w:cs="Arial"/>
          <w:i w:val="0"/>
          <w:szCs w:val="24"/>
        </w:rPr>
      </w:pPr>
    </w:p>
    <w:p w14:paraId="4EC9445E" w14:textId="77777777" w:rsidR="006539B9" w:rsidRPr="001C4B19" w:rsidRDefault="006539B9" w:rsidP="006539B9">
      <w:pPr>
        <w:pStyle w:val="BodyText"/>
        <w:spacing w:line="264" w:lineRule="auto"/>
        <w:jc w:val="both"/>
        <w:rPr>
          <w:rFonts w:ascii="Arial" w:hAnsi="Arial" w:cs="Arial"/>
          <w:i w:val="0"/>
          <w:szCs w:val="24"/>
        </w:rPr>
      </w:pPr>
    </w:p>
    <w:p w14:paraId="3304AEE4" w14:textId="77777777" w:rsidR="00EE00F3" w:rsidRPr="001C4B19" w:rsidRDefault="00293D02" w:rsidP="006539B9">
      <w:pPr>
        <w:pStyle w:val="BodyText"/>
        <w:spacing w:line="264" w:lineRule="auto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lastRenderedPageBreak/>
        <w:t>ATTACHMENTS</w:t>
      </w:r>
    </w:p>
    <w:p w14:paraId="55B626F6" w14:textId="77777777" w:rsidR="00B24961" w:rsidRPr="001C4B19" w:rsidRDefault="00B24961" w:rsidP="006539B9">
      <w:pPr>
        <w:pStyle w:val="BodyText"/>
        <w:spacing w:line="264" w:lineRule="auto"/>
        <w:jc w:val="both"/>
        <w:rPr>
          <w:rFonts w:ascii="Arial" w:hAnsi="Arial" w:cs="Arial"/>
          <w:i w:val="0"/>
          <w:szCs w:val="24"/>
        </w:rPr>
      </w:pPr>
    </w:p>
    <w:p w14:paraId="480185CE" w14:textId="4BFA8A09" w:rsidR="004C241A" w:rsidRPr="001C4B19" w:rsidRDefault="00C521D8" w:rsidP="006539B9">
      <w:pPr>
        <w:pStyle w:val="BodyText"/>
        <w:numPr>
          <w:ilvl w:val="0"/>
          <w:numId w:val="35"/>
        </w:numPr>
        <w:spacing w:line="264" w:lineRule="auto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 xml:space="preserve">Proposed </w:t>
      </w:r>
      <w:r w:rsidR="00664648">
        <w:rPr>
          <w:rFonts w:ascii="Arial" w:hAnsi="Arial" w:cs="Arial"/>
          <w:i w:val="0"/>
          <w:szCs w:val="24"/>
        </w:rPr>
        <w:t>Ordinance</w:t>
      </w:r>
      <w:r w:rsidR="00C459D2">
        <w:rPr>
          <w:rFonts w:ascii="Arial" w:hAnsi="Arial" w:cs="Arial"/>
          <w:i w:val="0"/>
          <w:szCs w:val="24"/>
        </w:rPr>
        <w:t xml:space="preserve"> 2021-0374</w:t>
      </w:r>
    </w:p>
    <w:p w14:paraId="5C1C939C" w14:textId="77777777" w:rsidR="00C521D8" w:rsidRPr="001C4B19" w:rsidRDefault="00C521D8" w:rsidP="006539B9">
      <w:pPr>
        <w:pStyle w:val="BodyText"/>
        <w:numPr>
          <w:ilvl w:val="0"/>
          <w:numId w:val="35"/>
        </w:numPr>
        <w:spacing w:line="264" w:lineRule="auto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>Transmittal Letter</w:t>
      </w:r>
    </w:p>
    <w:p w14:paraId="4F57BF55" w14:textId="77777777" w:rsidR="00C521D8" w:rsidRDefault="00C521D8" w:rsidP="006539B9">
      <w:pPr>
        <w:pStyle w:val="BodyText"/>
        <w:numPr>
          <w:ilvl w:val="0"/>
          <w:numId w:val="35"/>
        </w:numPr>
        <w:spacing w:line="264" w:lineRule="auto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>Fiscal Note</w:t>
      </w:r>
    </w:p>
    <w:sectPr w:rsidR="00C521D8" w:rsidSect="00C75025">
      <w:headerReference w:type="first" r:id="rId8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39304" w14:textId="77777777" w:rsidR="00FD6BB7" w:rsidRDefault="00FD6BB7">
      <w:r>
        <w:separator/>
      </w:r>
    </w:p>
  </w:endnote>
  <w:endnote w:type="continuationSeparator" w:id="0">
    <w:p w14:paraId="096C04CD" w14:textId="77777777" w:rsidR="00FD6BB7" w:rsidRDefault="00F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B3596" w14:textId="77777777" w:rsidR="00FD6BB7" w:rsidRDefault="00FD6BB7">
      <w:r>
        <w:separator/>
      </w:r>
    </w:p>
  </w:footnote>
  <w:footnote w:type="continuationSeparator" w:id="0">
    <w:p w14:paraId="088729C0" w14:textId="77777777" w:rsidR="00FD6BB7" w:rsidRDefault="00FD6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B32F0" w14:textId="77777777" w:rsidR="00C75025" w:rsidRDefault="00C75025" w:rsidP="00C75025">
    <w:pPr>
      <w:jc w:val="center"/>
    </w:pPr>
    <w:r>
      <w:rPr>
        <w:noProof/>
      </w:rPr>
      <w:drawing>
        <wp:inline distT="0" distB="0" distL="0" distR="0" wp14:anchorId="34CAB839" wp14:editId="600A2C83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DF99A" w14:textId="77777777" w:rsidR="00C75025" w:rsidRPr="003B03EF" w:rsidRDefault="00C75025" w:rsidP="00C75025">
    <w:pPr>
      <w:jc w:val="center"/>
      <w:rPr>
        <w:rFonts w:ascii="Arial" w:hAnsi="Arial"/>
        <w:szCs w:val="22"/>
      </w:rPr>
    </w:pPr>
  </w:p>
  <w:p w14:paraId="399D6FAC" w14:textId="77777777"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67D1F472" w14:textId="77777777" w:rsidR="00C75025" w:rsidRPr="004A1D48" w:rsidRDefault="008A5F3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Budget and Fiscal Management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E5245"/>
    <w:multiLevelType w:val="hybridMultilevel"/>
    <w:tmpl w:val="ED5E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36662C"/>
    <w:multiLevelType w:val="hybridMultilevel"/>
    <w:tmpl w:val="E17A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942420"/>
    <w:multiLevelType w:val="hybridMultilevel"/>
    <w:tmpl w:val="3F74D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A808B2"/>
    <w:multiLevelType w:val="hybridMultilevel"/>
    <w:tmpl w:val="7B9C9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E1803"/>
    <w:multiLevelType w:val="hybridMultilevel"/>
    <w:tmpl w:val="23F4B5BA"/>
    <w:lvl w:ilvl="0" w:tplc="D8F27864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7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1"/>
  </w:num>
  <w:num w:numId="3">
    <w:abstractNumId w:val="13"/>
  </w:num>
  <w:num w:numId="4">
    <w:abstractNumId w:val="45"/>
  </w:num>
  <w:num w:numId="5">
    <w:abstractNumId w:val="42"/>
  </w:num>
  <w:num w:numId="6">
    <w:abstractNumId w:val="14"/>
  </w:num>
  <w:num w:numId="7">
    <w:abstractNumId w:val="43"/>
  </w:num>
  <w:num w:numId="8">
    <w:abstractNumId w:val="16"/>
  </w:num>
  <w:num w:numId="9">
    <w:abstractNumId w:val="3"/>
  </w:num>
  <w:num w:numId="10">
    <w:abstractNumId w:val="44"/>
  </w:num>
  <w:num w:numId="11">
    <w:abstractNumId w:val="2"/>
  </w:num>
  <w:num w:numId="12">
    <w:abstractNumId w:val="19"/>
  </w:num>
  <w:num w:numId="13">
    <w:abstractNumId w:val="23"/>
  </w:num>
  <w:num w:numId="14">
    <w:abstractNumId w:val="18"/>
  </w:num>
  <w:num w:numId="15">
    <w:abstractNumId w:val="25"/>
  </w:num>
  <w:num w:numId="16">
    <w:abstractNumId w:val="17"/>
  </w:num>
  <w:num w:numId="17">
    <w:abstractNumId w:val="37"/>
  </w:num>
  <w:num w:numId="18">
    <w:abstractNumId w:val="24"/>
  </w:num>
  <w:num w:numId="19">
    <w:abstractNumId w:val="32"/>
  </w:num>
  <w:num w:numId="20">
    <w:abstractNumId w:val="26"/>
  </w:num>
  <w:num w:numId="21">
    <w:abstractNumId w:val="9"/>
  </w:num>
  <w:num w:numId="22">
    <w:abstractNumId w:val="10"/>
  </w:num>
  <w:num w:numId="23">
    <w:abstractNumId w:val="0"/>
  </w:num>
  <w:num w:numId="24">
    <w:abstractNumId w:val="7"/>
  </w:num>
  <w:num w:numId="25">
    <w:abstractNumId w:val="5"/>
  </w:num>
  <w:num w:numId="26">
    <w:abstractNumId w:val="6"/>
  </w:num>
  <w:num w:numId="27">
    <w:abstractNumId w:val="22"/>
  </w:num>
  <w:num w:numId="28">
    <w:abstractNumId w:val="11"/>
  </w:num>
  <w:num w:numId="29">
    <w:abstractNumId w:val="29"/>
  </w:num>
  <w:num w:numId="30">
    <w:abstractNumId w:val="1"/>
  </w:num>
  <w:num w:numId="31">
    <w:abstractNumId w:val="34"/>
  </w:num>
  <w:num w:numId="32">
    <w:abstractNumId w:val="38"/>
  </w:num>
  <w:num w:numId="33">
    <w:abstractNumId w:val="15"/>
  </w:num>
  <w:num w:numId="34">
    <w:abstractNumId w:val="12"/>
  </w:num>
  <w:num w:numId="35">
    <w:abstractNumId w:val="8"/>
  </w:num>
  <w:num w:numId="36">
    <w:abstractNumId w:val="28"/>
  </w:num>
  <w:num w:numId="37">
    <w:abstractNumId w:val="39"/>
  </w:num>
  <w:num w:numId="38">
    <w:abstractNumId w:val="21"/>
  </w:num>
  <w:num w:numId="39">
    <w:abstractNumId w:val="33"/>
  </w:num>
  <w:num w:numId="40">
    <w:abstractNumId w:val="30"/>
  </w:num>
  <w:num w:numId="41">
    <w:abstractNumId w:val="40"/>
  </w:num>
  <w:num w:numId="42">
    <w:abstractNumId w:val="27"/>
  </w:num>
  <w:num w:numId="43">
    <w:abstractNumId w:val="20"/>
  </w:num>
  <w:num w:numId="44">
    <w:abstractNumId w:val="36"/>
  </w:num>
  <w:num w:numId="45">
    <w:abstractNumId w:val="4"/>
  </w:num>
  <w:num w:numId="46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5440"/>
    <w:rsid w:val="00006AAA"/>
    <w:rsid w:val="00007170"/>
    <w:rsid w:val="000079A1"/>
    <w:rsid w:val="00011320"/>
    <w:rsid w:val="00011563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51B5"/>
    <w:rsid w:val="000359E2"/>
    <w:rsid w:val="0004549A"/>
    <w:rsid w:val="00046824"/>
    <w:rsid w:val="000470FF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4A56"/>
    <w:rsid w:val="000766A2"/>
    <w:rsid w:val="00076F58"/>
    <w:rsid w:val="00080295"/>
    <w:rsid w:val="00081382"/>
    <w:rsid w:val="00082009"/>
    <w:rsid w:val="0008325A"/>
    <w:rsid w:val="00086A9B"/>
    <w:rsid w:val="00087BF6"/>
    <w:rsid w:val="000913B6"/>
    <w:rsid w:val="00093E2E"/>
    <w:rsid w:val="000940FB"/>
    <w:rsid w:val="000956D8"/>
    <w:rsid w:val="00095A14"/>
    <w:rsid w:val="000967D1"/>
    <w:rsid w:val="00097628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650C"/>
    <w:rsid w:val="000B70C3"/>
    <w:rsid w:val="000C20E2"/>
    <w:rsid w:val="000C299B"/>
    <w:rsid w:val="000C311D"/>
    <w:rsid w:val="000C37BB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29F5"/>
    <w:rsid w:val="000F4DCA"/>
    <w:rsid w:val="000F5E4A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6B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47DE7"/>
    <w:rsid w:val="001509B2"/>
    <w:rsid w:val="0015229A"/>
    <w:rsid w:val="00152D09"/>
    <w:rsid w:val="0015458D"/>
    <w:rsid w:val="00154E2E"/>
    <w:rsid w:val="00157334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0924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4E6F"/>
    <w:rsid w:val="001B65A3"/>
    <w:rsid w:val="001B6C67"/>
    <w:rsid w:val="001B7023"/>
    <w:rsid w:val="001C0CD3"/>
    <w:rsid w:val="001C254D"/>
    <w:rsid w:val="001C4B19"/>
    <w:rsid w:val="001C4EAE"/>
    <w:rsid w:val="001D0111"/>
    <w:rsid w:val="001D15FF"/>
    <w:rsid w:val="001D2DDB"/>
    <w:rsid w:val="001D396A"/>
    <w:rsid w:val="001D525A"/>
    <w:rsid w:val="001D6FB9"/>
    <w:rsid w:val="001D7004"/>
    <w:rsid w:val="001D718E"/>
    <w:rsid w:val="001E0942"/>
    <w:rsid w:val="001E0DD3"/>
    <w:rsid w:val="001E0E59"/>
    <w:rsid w:val="001E1042"/>
    <w:rsid w:val="001E2BAC"/>
    <w:rsid w:val="001E45BF"/>
    <w:rsid w:val="001E4B19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848"/>
    <w:rsid w:val="001F4FC3"/>
    <w:rsid w:val="001F5169"/>
    <w:rsid w:val="001F6119"/>
    <w:rsid w:val="001F624F"/>
    <w:rsid w:val="002005DF"/>
    <w:rsid w:val="00201498"/>
    <w:rsid w:val="00202D9F"/>
    <w:rsid w:val="002054F9"/>
    <w:rsid w:val="002072C9"/>
    <w:rsid w:val="0020735A"/>
    <w:rsid w:val="00210E29"/>
    <w:rsid w:val="00212C08"/>
    <w:rsid w:val="00213FD8"/>
    <w:rsid w:val="00215732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13EE"/>
    <w:rsid w:val="00243C8C"/>
    <w:rsid w:val="00243CB5"/>
    <w:rsid w:val="002443A8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412"/>
    <w:rsid w:val="00270739"/>
    <w:rsid w:val="002720F5"/>
    <w:rsid w:val="00272475"/>
    <w:rsid w:val="00275B58"/>
    <w:rsid w:val="00276EE4"/>
    <w:rsid w:val="00276FDA"/>
    <w:rsid w:val="0028252E"/>
    <w:rsid w:val="00283483"/>
    <w:rsid w:val="00283B58"/>
    <w:rsid w:val="002859EF"/>
    <w:rsid w:val="00285AF1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B0E1F"/>
    <w:rsid w:val="002B376D"/>
    <w:rsid w:val="002B76A4"/>
    <w:rsid w:val="002B7D72"/>
    <w:rsid w:val="002C13D3"/>
    <w:rsid w:val="002C1543"/>
    <w:rsid w:val="002C42B2"/>
    <w:rsid w:val="002C4D38"/>
    <w:rsid w:val="002D1993"/>
    <w:rsid w:val="002D6D64"/>
    <w:rsid w:val="002E0EBA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49CE"/>
    <w:rsid w:val="0031514F"/>
    <w:rsid w:val="0031593D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122"/>
    <w:rsid w:val="00332D92"/>
    <w:rsid w:val="00335D50"/>
    <w:rsid w:val="00336FF7"/>
    <w:rsid w:val="003377D3"/>
    <w:rsid w:val="003406EB"/>
    <w:rsid w:val="0034168A"/>
    <w:rsid w:val="003416A6"/>
    <w:rsid w:val="00342043"/>
    <w:rsid w:val="003423C8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779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3117"/>
    <w:rsid w:val="003C31C2"/>
    <w:rsid w:val="003C3AE8"/>
    <w:rsid w:val="003C6B62"/>
    <w:rsid w:val="003C7596"/>
    <w:rsid w:val="003C78B5"/>
    <w:rsid w:val="003D06D2"/>
    <w:rsid w:val="003D24A2"/>
    <w:rsid w:val="003D38C9"/>
    <w:rsid w:val="003D3E56"/>
    <w:rsid w:val="003D7347"/>
    <w:rsid w:val="003E0A75"/>
    <w:rsid w:val="003E2957"/>
    <w:rsid w:val="003E2ACF"/>
    <w:rsid w:val="003E32E3"/>
    <w:rsid w:val="003E52FC"/>
    <w:rsid w:val="003E54B1"/>
    <w:rsid w:val="003F252B"/>
    <w:rsid w:val="003F3805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5A56"/>
    <w:rsid w:val="00426722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274D"/>
    <w:rsid w:val="00452DA1"/>
    <w:rsid w:val="00455FE6"/>
    <w:rsid w:val="00456257"/>
    <w:rsid w:val="0045662C"/>
    <w:rsid w:val="004611A4"/>
    <w:rsid w:val="00461BF0"/>
    <w:rsid w:val="0046321B"/>
    <w:rsid w:val="004633C9"/>
    <w:rsid w:val="00465DB5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6D6B"/>
    <w:rsid w:val="004973DF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500D13"/>
    <w:rsid w:val="00501362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7709"/>
    <w:rsid w:val="0053306D"/>
    <w:rsid w:val="00537A1F"/>
    <w:rsid w:val="00537B98"/>
    <w:rsid w:val="00541E71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478C"/>
    <w:rsid w:val="005B7D1A"/>
    <w:rsid w:val="005C44C6"/>
    <w:rsid w:val="005C4BCC"/>
    <w:rsid w:val="005C624B"/>
    <w:rsid w:val="005D056C"/>
    <w:rsid w:val="005E440F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ED8"/>
    <w:rsid w:val="00641390"/>
    <w:rsid w:val="006425FE"/>
    <w:rsid w:val="00643BA7"/>
    <w:rsid w:val="00643DFB"/>
    <w:rsid w:val="00643E28"/>
    <w:rsid w:val="00645C5A"/>
    <w:rsid w:val="00650F7C"/>
    <w:rsid w:val="006539B9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83A2D"/>
    <w:rsid w:val="00684471"/>
    <w:rsid w:val="00686542"/>
    <w:rsid w:val="00686A7F"/>
    <w:rsid w:val="00687973"/>
    <w:rsid w:val="0069013F"/>
    <w:rsid w:val="00692925"/>
    <w:rsid w:val="00692F34"/>
    <w:rsid w:val="00695212"/>
    <w:rsid w:val="0069583B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7139"/>
    <w:rsid w:val="006C71C9"/>
    <w:rsid w:val="006D1FAB"/>
    <w:rsid w:val="006D3174"/>
    <w:rsid w:val="006D4045"/>
    <w:rsid w:val="006D4A90"/>
    <w:rsid w:val="006D5B17"/>
    <w:rsid w:val="006D6BEA"/>
    <w:rsid w:val="006D6C04"/>
    <w:rsid w:val="006D7272"/>
    <w:rsid w:val="006E1DED"/>
    <w:rsid w:val="006E360A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6049"/>
    <w:rsid w:val="00706E67"/>
    <w:rsid w:val="007100C0"/>
    <w:rsid w:val="00711A85"/>
    <w:rsid w:val="00711DBF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2BA"/>
    <w:rsid w:val="007635B2"/>
    <w:rsid w:val="0076386D"/>
    <w:rsid w:val="00765EB5"/>
    <w:rsid w:val="00767B3E"/>
    <w:rsid w:val="007702DE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F7C"/>
    <w:rsid w:val="007836C0"/>
    <w:rsid w:val="00784160"/>
    <w:rsid w:val="00785660"/>
    <w:rsid w:val="00790106"/>
    <w:rsid w:val="00790D5F"/>
    <w:rsid w:val="00791045"/>
    <w:rsid w:val="00795056"/>
    <w:rsid w:val="00797DDB"/>
    <w:rsid w:val="007A0645"/>
    <w:rsid w:val="007A0F27"/>
    <w:rsid w:val="007B1136"/>
    <w:rsid w:val="007B3A44"/>
    <w:rsid w:val="007B4108"/>
    <w:rsid w:val="007B4F30"/>
    <w:rsid w:val="007B5ED6"/>
    <w:rsid w:val="007B63B1"/>
    <w:rsid w:val="007B688B"/>
    <w:rsid w:val="007B76B3"/>
    <w:rsid w:val="007C20EE"/>
    <w:rsid w:val="007C6843"/>
    <w:rsid w:val="007C7BDF"/>
    <w:rsid w:val="007D178B"/>
    <w:rsid w:val="007D17ED"/>
    <w:rsid w:val="007D2C57"/>
    <w:rsid w:val="007D72EC"/>
    <w:rsid w:val="007D78E8"/>
    <w:rsid w:val="007D7D5A"/>
    <w:rsid w:val="007E3231"/>
    <w:rsid w:val="007F0F9A"/>
    <w:rsid w:val="007F2EFD"/>
    <w:rsid w:val="007F566F"/>
    <w:rsid w:val="0080188E"/>
    <w:rsid w:val="008028FF"/>
    <w:rsid w:val="008029E9"/>
    <w:rsid w:val="0080375A"/>
    <w:rsid w:val="00803ADB"/>
    <w:rsid w:val="0080466D"/>
    <w:rsid w:val="00804D5C"/>
    <w:rsid w:val="008054C0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2FB"/>
    <w:rsid w:val="00826536"/>
    <w:rsid w:val="00826643"/>
    <w:rsid w:val="008276D2"/>
    <w:rsid w:val="00827831"/>
    <w:rsid w:val="00830BB1"/>
    <w:rsid w:val="008327CE"/>
    <w:rsid w:val="00833D81"/>
    <w:rsid w:val="00834143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2BF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7140"/>
    <w:rsid w:val="008A1766"/>
    <w:rsid w:val="008A2B57"/>
    <w:rsid w:val="008A52A4"/>
    <w:rsid w:val="008A5B27"/>
    <w:rsid w:val="008A5F35"/>
    <w:rsid w:val="008A706A"/>
    <w:rsid w:val="008B35EE"/>
    <w:rsid w:val="008B3E7C"/>
    <w:rsid w:val="008B4033"/>
    <w:rsid w:val="008B405B"/>
    <w:rsid w:val="008B44E8"/>
    <w:rsid w:val="008B49E0"/>
    <w:rsid w:val="008B556D"/>
    <w:rsid w:val="008B7A46"/>
    <w:rsid w:val="008B7FD4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125C"/>
    <w:rsid w:val="008D2884"/>
    <w:rsid w:val="008D2E17"/>
    <w:rsid w:val="008D460A"/>
    <w:rsid w:val="008D79B2"/>
    <w:rsid w:val="008D7ED0"/>
    <w:rsid w:val="008E2972"/>
    <w:rsid w:val="008E30E9"/>
    <w:rsid w:val="008E5F44"/>
    <w:rsid w:val="008F18D1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05EEE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469E4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67CE"/>
    <w:rsid w:val="00966881"/>
    <w:rsid w:val="0096718C"/>
    <w:rsid w:val="00967CB3"/>
    <w:rsid w:val="00970704"/>
    <w:rsid w:val="00970AEA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9E6"/>
    <w:rsid w:val="009904BB"/>
    <w:rsid w:val="0099121E"/>
    <w:rsid w:val="00991B8E"/>
    <w:rsid w:val="00992FF7"/>
    <w:rsid w:val="00994872"/>
    <w:rsid w:val="00995A87"/>
    <w:rsid w:val="00997C7A"/>
    <w:rsid w:val="009A11A6"/>
    <w:rsid w:val="009A2222"/>
    <w:rsid w:val="009A3194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245A"/>
    <w:rsid w:val="009C37B2"/>
    <w:rsid w:val="009C3B05"/>
    <w:rsid w:val="009C516E"/>
    <w:rsid w:val="009C597F"/>
    <w:rsid w:val="009C69CB"/>
    <w:rsid w:val="009C7DC6"/>
    <w:rsid w:val="009D2DE6"/>
    <w:rsid w:val="009D48A1"/>
    <w:rsid w:val="009D48CE"/>
    <w:rsid w:val="009D4FCF"/>
    <w:rsid w:val="009D55BB"/>
    <w:rsid w:val="009E3F80"/>
    <w:rsid w:val="009E3FF6"/>
    <w:rsid w:val="009E652E"/>
    <w:rsid w:val="009F356D"/>
    <w:rsid w:val="009F5577"/>
    <w:rsid w:val="00A02216"/>
    <w:rsid w:val="00A0380E"/>
    <w:rsid w:val="00A06458"/>
    <w:rsid w:val="00A06776"/>
    <w:rsid w:val="00A07959"/>
    <w:rsid w:val="00A10594"/>
    <w:rsid w:val="00A124BC"/>
    <w:rsid w:val="00A13877"/>
    <w:rsid w:val="00A15161"/>
    <w:rsid w:val="00A16325"/>
    <w:rsid w:val="00A163DC"/>
    <w:rsid w:val="00A1689C"/>
    <w:rsid w:val="00A20459"/>
    <w:rsid w:val="00A21507"/>
    <w:rsid w:val="00A21B50"/>
    <w:rsid w:val="00A23355"/>
    <w:rsid w:val="00A25BEF"/>
    <w:rsid w:val="00A25DEB"/>
    <w:rsid w:val="00A26B99"/>
    <w:rsid w:val="00A30A51"/>
    <w:rsid w:val="00A30A8F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1D11"/>
    <w:rsid w:val="00A42F0C"/>
    <w:rsid w:val="00A4406D"/>
    <w:rsid w:val="00A44486"/>
    <w:rsid w:val="00A46752"/>
    <w:rsid w:val="00A5174B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300F"/>
    <w:rsid w:val="00A8690E"/>
    <w:rsid w:val="00A871D1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45F8"/>
    <w:rsid w:val="00B051C0"/>
    <w:rsid w:val="00B07BB9"/>
    <w:rsid w:val="00B10483"/>
    <w:rsid w:val="00B1061E"/>
    <w:rsid w:val="00B12B60"/>
    <w:rsid w:val="00B12F4B"/>
    <w:rsid w:val="00B13D04"/>
    <w:rsid w:val="00B153DD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7B8A"/>
    <w:rsid w:val="00B410AF"/>
    <w:rsid w:val="00B418C2"/>
    <w:rsid w:val="00B424FA"/>
    <w:rsid w:val="00B445B5"/>
    <w:rsid w:val="00B46027"/>
    <w:rsid w:val="00B47954"/>
    <w:rsid w:val="00B5059B"/>
    <w:rsid w:val="00B51CA8"/>
    <w:rsid w:val="00B51EFC"/>
    <w:rsid w:val="00B5298C"/>
    <w:rsid w:val="00B65EB6"/>
    <w:rsid w:val="00B66304"/>
    <w:rsid w:val="00B668A7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6A2C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43D8"/>
    <w:rsid w:val="00B94EC0"/>
    <w:rsid w:val="00B954C0"/>
    <w:rsid w:val="00B97541"/>
    <w:rsid w:val="00BA295B"/>
    <w:rsid w:val="00BA42B1"/>
    <w:rsid w:val="00BA4BF0"/>
    <w:rsid w:val="00BA7B02"/>
    <w:rsid w:val="00BB0831"/>
    <w:rsid w:val="00BB0D89"/>
    <w:rsid w:val="00BB2F7B"/>
    <w:rsid w:val="00BB4CB6"/>
    <w:rsid w:val="00BC0755"/>
    <w:rsid w:val="00BC369B"/>
    <w:rsid w:val="00BC4875"/>
    <w:rsid w:val="00BC5120"/>
    <w:rsid w:val="00BD004A"/>
    <w:rsid w:val="00BD1F11"/>
    <w:rsid w:val="00BD2360"/>
    <w:rsid w:val="00BD24E9"/>
    <w:rsid w:val="00BD2A49"/>
    <w:rsid w:val="00BD560A"/>
    <w:rsid w:val="00BD63E2"/>
    <w:rsid w:val="00BE251E"/>
    <w:rsid w:val="00BE26EF"/>
    <w:rsid w:val="00BE2AF6"/>
    <w:rsid w:val="00BE3367"/>
    <w:rsid w:val="00BE4252"/>
    <w:rsid w:val="00BE46A7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4296"/>
    <w:rsid w:val="00C2460A"/>
    <w:rsid w:val="00C2551D"/>
    <w:rsid w:val="00C258C9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59D2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6497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1E5C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5F3A"/>
    <w:rsid w:val="00C86972"/>
    <w:rsid w:val="00C871F6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A797D"/>
    <w:rsid w:val="00CB0923"/>
    <w:rsid w:val="00CB1443"/>
    <w:rsid w:val="00CB175C"/>
    <w:rsid w:val="00CB2BF5"/>
    <w:rsid w:val="00CB4508"/>
    <w:rsid w:val="00CB4C4E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688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12FCB"/>
    <w:rsid w:val="00D13B13"/>
    <w:rsid w:val="00D13DD3"/>
    <w:rsid w:val="00D143D7"/>
    <w:rsid w:val="00D16257"/>
    <w:rsid w:val="00D167BB"/>
    <w:rsid w:val="00D16B63"/>
    <w:rsid w:val="00D17A09"/>
    <w:rsid w:val="00D20BA7"/>
    <w:rsid w:val="00D20DDB"/>
    <w:rsid w:val="00D2488B"/>
    <w:rsid w:val="00D24E56"/>
    <w:rsid w:val="00D26358"/>
    <w:rsid w:val="00D278B5"/>
    <w:rsid w:val="00D30143"/>
    <w:rsid w:val="00D3059F"/>
    <w:rsid w:val="00D31BCF"/>
    <w:rsid w:val="00D3323E"/>
    <w:rsid w:val="00D341C4"/>
    <w:rsid w:val="00D361E1"/>
    <w:rsid w:val="00D37041"/>
    <w:rsid w:val="00D37B5C"/>
    <w:rsid w:val="00D37BBD"/>
    <w:rsid w:val="00D40474"/>
    <w:rsid w:val="00D41340"/>
    <w:rsid w:val="00D413F7"/>
    <w:rsid w:val="00D4155B"/>
    <w:rsid w:val="00D43175"/>
    <w:rsid w:val="00D45063"/>
    <w:rsid w:val="00D46D02"/>
    <w:rsid w:val="00D475C8"/>
    <w:rsid w:val="00D6024D"/>
    <w:rsid w:val="00D61327"/>
    <w:rsid w:val="00D6181B"/>
    <w:rsid w:val="00D63329"/>
    <w:rsid w:val="00D63A1D"/>
    <w:rsid w:val="00D64838"/>
    <w:rsid w:val="00D652EB"/>
    <w:rsid w:val="00D652F6"/>
    <w:rsid w:val="00D65414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50C7"/>
    <w:rsid w:val="00DB6A20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DF9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65E4D"/>
    <w:rsid w:val="00E7163A"/>
    <w:rsid w:val="00E723C8"/>
    <w:rsid w:val="00E75041"/>
    <w:rsid w:val="00E75710"/>
    <w:rsid w:val="00E75A6E"/>
    <w:rsid w:val="00E773DF"/>
    <w:rsid w:val="00E77788"/>
    <w:rsid w:val="00E8267A"/>
    <w:rsid w:val="00E85DF1"/>
    <w:rsid w:val="00E86124"/>
    <w:rsid w:val="00E866FF"/>
    <w:rsid w:val="00E867BD"/>
    <w:rsid w:val="00E9054A"/>
    <w:rsid w:val="00E91025"/>
    <w:rsid w:val="00E91CF3"/>
    <w:rsid w:val="00E9450C"/>
    <w:rsid w:val="00E9489E"/>
    <w:rsid w:val="00E9591E"/>
    <w:rsid w:val="00E96DDA"/>
    <w:rsid w:val="00EA2581"/>
    <w:rsid w:val="00EA4A24"/>
    <w:rsid w:val="00EA564A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C5780"/>
    <w:rsid w:val="00ED0178"/>
    <w:rsid w:val="00ED1C6C"/>
    <w:rsid w:val="00ED4C66"/>
    <w:rsid w:val="00ED520F"/>
    <w:rsid w:val="00ED7379"/>
    <w:rsid w:val="00EE00F3"/>
    <w:rsid w:val="00EE0DC3"/>
    <w:rsid w:val="00EE1077"/>
    <w:rsid w:val="00EE164A"/>
    <w:rsid w:val="00EE4EFC"/>
    <w:rsid w:val="00EE5F51"/>
    <w:rsid w:val="00EF0F70"/>
    <w:rsid w:val="00EF2157"/>
    <w:rsid w:val="00EF2C25"/>
    <w:rsid w:val="00EF340E"/>
    <w:rsid w:val="00EF47FF"/>
    <w:rsid w:val="00EF4BB5"/>
    <w:rsid w:val="00EF73AB"/>
    <w:rsid w:val="00EF74E2"/>
    <w:rsid w:val="00F01092"/>
    <w:rsid w:val="00F028A0"/>
    <w:rsid w:val="00F02BC8"/>
    <w:rsid w:val="00F02BE3"/>
    <w:rsid w:val="00F051CE"/>
    <w:rsid w:val="00F06C8C"/>
    <w:rsid w:val="00F14ED2"/>
    <w:rsid w:val="00F20B79"/>
    <w:rsid w:val="00F20BE0"/>
    <w:rsid w:val="00F230D6"/>
    <w:rsid w:val="00F275EE"/>
    <w:rsid w:val="00F27CFB"/>
    <w:rsid w:val="00F301F8"/>
    <w:rsid w:val="00F31CDD"/>
    <w:rsid w:val="00F32E77"/>
    <w:rsid w:val="00F3709D"/>
    <w:rsid w:val="00F3763B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3004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6EC9"/>
    <w:rsid w:val="00F8749A"/>
    <w:rsid w:val="00F90F69"/>
    <w:rsid w:val="00F92AB0"/>
    <w:rsid w:val="00F92FA0"/>
    <w:rsid w:val="00F94922"/>
    <w:rsid w:val="00F964B6"/>
    <w:rsid w:val="00F968C9"/>
    <w:rsid w:val="00F97CCD"/>
    <w:rsid w:val="00FA09E1"/>
    <w:rsid w:val="00FA594E"/>
    <w:rsid w:val="00FA7679"/>
    <w:rsid w:val="00FB2A39"/>
    <w:rsid w:val="00FB4D01"/>
    <w:rsid w:val="00FB500C"/>
    <w:rsid w:val="00FB574A"/>
    <w:rsid w:val="00FB66FD"/>
    <w:rsid w:val="00FB684A"/>
    <w:rsid w:val="00FC09F4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6BB7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CE2BA"/>
  <w15:docId w15:val="{510FA919-346D-4C29-8595-DB662972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link w:val="FootnoteTextChar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uiPriority w:val="39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B4F30"/>
  </w:style>
  <w:style w:type="paragraph" w:styleId="Quote">
    <w:name w:val="Quote"/>
    <w:basedOn w:val="Normal"/>
    <w:next w:val="Normal"/>
    <w:link w:val="QuoteChar"/>
    <w:uiPriority w:val="29"/>
    <w:qFormat/>
    <w:rsid w:val="006D40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4045"/>
    <w:rPr>
      <w:i/>
      <w:iCs/>
      <w:color w:val="404040" w:themeColor="text1" w:themeTint="BF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7D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7DE7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F86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srgbClr val="C00000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C930-3B04-46A8-8622-CCD3A82A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Clarke</dc:creator>
  <cp:lastModifiedBy>Kim, Andrew</cp:lastModifiedBy>
  <cp:revision>3</cp:revision>
  <cp:lastPrinted>2015-03-13T15:09:00Z</cp:lastPrinted>
  <dcterms:created xsi:type="dcterms:W3CDTF">2021-11-06T00:15:00Z</dcterms:created>
  <dcterms:modified xsi:type="dcterms:W3CDTF">2021-11-06T00:16:00Z</dcterms:modified>
</cp:coreProperties>
</file>