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1C13B" w14:textId="77777777" w:rsidR="00EB5A13" w:rsidRPr="00A62F1C" w:rsidRDefault="00EB5A13" w:rsidP="00EB5A13">
      <w:pPr>
        <w:pStyle w:val="Heading2"/>
        <w:rPr>
          <w:rFonts w:ascii="Arial" w:hAnsi="Arial" w:cs="Arial"/>
          <w:b w:val="0"/>
          <w:sz w:val="24"/>
          <w:u w:val="none"/>
        </w:rPr>
      </w:pPr>
    </w:p>
    <w:p w14:paraId="663EF216" w14:textId="77777777" w:rsidR="00EB5A13" w:rsidRPr="00A62F1C" w:rsidRDefault="00EB5A13" w:rsidP="00EB5A13">
      <w:pPr>
        <w:pStyle w:val="Heading2"/>
        <w:rPr>
          <w:rFonts w:ascii="Arial" w:hAnsi="Arial" w:cs="Arial"/>
          <w:sz w:val="24"/>
        </w:rPr>
      </w:pPr>
      <w:r w:rsidRPr="00A62F1C">
        <w:rPr>
          <w:rFonts w:ascii="Arial" w:hAnsi="Arial" w:cs="Arial"/>
          <w:sz w:val="24"/>
        </w:rPr>
        <w:t>STAFF REPORT</w:t>
      </w:r>
    </w:p>
    <w:p w14:paraId="17DA2749" w14:textId="77777777" w:rsidR="00EB5A13" w:rsidRPr="00A62F1C" w:rsidRDefault="00EB5A13" w:rsidP="00EB5A13">
      <w:pPr>
        <w:jc w:val="center"/>
        <w:rPr>
          <w:rFonts w:ascii="Arial" w:hAnsi="Arial" w:cs="Arial"/>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A62F1C" w14:paraId="72AAD6E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721E793" w14:textId="77777777" w:rsidR="00EB5A13" w:rsidRPr="00A62F1C" w:rsidRDefault="00EB5A13" w:rsidP="00D16257">
            <w:pPr>
              <w:spacing w:before="120"/>
              <w:rPr>
                <w:rFonts w:ascii="Arial" w:hAnsi="Arial" w:cs="Arial"/>
                <w:b/>
              </w:rPr>
            </w:pPr>
            <w:r w:rsidRPr="00A62F1C">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ABDB3E3" w14:textId="64523CE8" w:rsidR="00EB5A13" w:rsidRPr="00A62F1C" w:rsidRDefault="00FD2DC7" w:rsidP="00D16257">
            <w:pPr>
              <w:spacing w:before="12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3AAB023A" w14:textId="77777777" w:rsidR="00EB5A13" w:rsidRPr="00A62F1C" w:rsidRDefault="00EB5A13" w:rsidP="00D16257">
            <w:pPr>
              <w:spacing w:before="120"/>
              <w:rPr>
                <w:rFonts w:ascii="Arial" w:hAnsi="Arial" w:cs="Arial"/>
                <w:b/>
              </w:rPr>
            </w:pPr>
            <w:r w:rsidRPr="00A62F1C">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CAB023B" w14:textId="77777777" w:rsidR="00EB5A13" w:rsidRPr="00A62F1C" w:rsidRDefault="00C97FBC" w:rsidP="00234939">
            <w:pPr>
              <w:rPr>
                <w:rFonts w:ascii="Arial" w:hAnsi="Arial" w:cs="Arial"/>
              </w:rPr>
            </w:pPr>
            <w:r w:rsidRPr="00A62F1C">
              <w:rPr>
                <w:rFonts w:ascii="Arial" w:hAnsi="Arial" w:cs="Arial"/>
              </w:rPr>
              <w:t>April Sanders</w:t>
            </w:r>
          </w:p>
          <w:p w14:paraId="55AF60F7" w14:textId="77777777" w:rsidR="00C97FBC" w:rsidRPr="00A62F1C" w:rsidRDefault="00C97FBC" w:rsidP="00234939">
            <w:pPr>
              <w:rPr>
                <w:rFonts w:ascii="Arial" w:hAnsi="Arial" w:cs="Arial"/>
              </w:rPr>
            </w:pPr>
            <w:r w:rsidRPr="00A62F1C">
              <w:rPr>
                <w:rFonts w:ascii="Arial" w:hAnsi="Arial" w:cs="Arial"/>
              </w:rPr>
              <w:t>Sam Porter</w:t>
            </w:r>
          </w:p>
          <w:p w14:paraId="4D814116" w14:textId="017CBDA6" w:rsidR="00234939" w:rsidRPr="00A62F1C" w:rsidRDefault="00234939" w:rsidP="00234939">
            <w:pPr>
              <w:rPr>
                <w:rFonts w:ascii="Arial" w:hAnsi="Arial" w:cs="Arial"/>
              </w:rPr>
            </w:pPr>
            <w:r w:rsidRPr="00A62F1C">
              <w:rPr>
                <w:rFonts w:ascii="Arial" w:hAnsi="Arial" w:cs="Arial"/>
              </w:rPr>
              <w:t>Sherrie Hsu</w:t>
            </w:r>
          </w:p>
        </w:tc>
      </w:tr>
      <w:tr w:rsidR="00EB5A13" w:rsidRPr="00A62F1C" w14:paraId="3FF36B87"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F039465" w14:textId="77777777" w:rsidR="00EB5A13" w:rsidRPr="00A62F1C" w:rsidRDefault="00EB5A13" w:rsidP="00D16257">
            <w:pPr>
              <w:spacing w:before="120"/>
              <w:rPr>
                <w:rFonts w:ascii="Arial" w:hAnsi="Arial" w:cs="Arial"/>
              </w:rPr>
            </w:pPr>
            <w:r w:rsidRPr="00A62F1C">
              <w:rPr>
                <w:rFonts w:ascii="Arial" w:hAnsi="Arial" w:cs="Arial"/>
                <w:b/>
              </w:rPr>
              <w:t>Proposed No</w:t>
            </w:r>
            <w:r w:rsidRPr="00A62F1C">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760A1F5" w14:textId="39E5E86A" w:rsidR="00EB5A13" w:rsidRPr="00A62F1C" w:rsidRDefault="00C97FBC" w:rsidP="00D16257">
            <w:pPr>
              <w:rPr>
                <w:rFonts w:ascii="Arial" w:hAnsi="Arial" w:cs="Arial"/>
              </w:rPr>
            </w:pPr>
            <w:r w:rsidRPr="00A62F1C">
              <w:rPr>
                <w:rFonts w:ascii="Arial" w:hAnsi="Arial" w:cs="Arial"/>
              </w:rPr>
              <w:t>2021-0330</w:t>
            </w:r>
          </w:p>
        </w:tc>
        <w:tc>
          <w:tcPr>
            <w:tcW w:w="1170" w:type="dxa"/>
            <w:tcBorders>
              <w:top w:val="single" w:sz="4" w:space="0" w:color="auto"/>
              <w:left w:val="single" w:sz="4" w:space="0" w:color="auto"/>
              <w:bottom w:val="single" w:sz="4" w:space="0" w:color="auto"/>
              <w:right w:val="single" w:sz="4" w:space="0" w:color="auto"/>
            </w:tcBorders>
            <w:vAlign w:val="center"/>
          </w:tcPr>
          <w:p w14:paraId="013227D9" w14:textId="77777777" w:rsidR="00EB5A13" w:rsidRPr="00A62F1C" w:rsidRDefault="00EB5A13" w:rsidP="00D16257">
            <w:pPr>
              <w:spacing w:before="120"/>
              <w:ind w:right="-108"/>
              <w:rPr>
                <w:rFonts w:ascii="Arial" w:hAnsi="Arial" w:cs="Arial"/>
              </w:rPr>
            </w:pPr>
            <w:r w:rsidRPr="00A62F1C">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C2F5C43" w14:textId="63E89204" w:rsidR="00EB5A13" w:rsidRPr="00A62F1C" w:rsidRDefault="00D87E48" w:rsidP="00D16257">
            <w:pPr>
              <w:spacing w:before="120"/>
              <w:rPr>
                <w:rFonts w:ascii="Arial" w:hAnsi="Arial" w:cs="Arial"/>
              </w:rPr>
            </w:pPr>
            <w:r>
              <w:rPr>
                <w:rFonts w:ascii="Arial" w:hAnsi="Arial" w:cs="Arial"/>
              </w:rPr>
              <w:t>October 13, 2021</w:t>
            </w:r>
          </w:p>
        </w:tc>
      </w:tr>
    </w:tbl>
    <w:p w14:paraId="787102B7" w14:textId="77777777" w:rsidR="00FC09F4" w:rsidRPr="00A62F1C" w:rsidRDefault="00FC09F4" w:rsidP="00F31CDD">
      <w:pPr>
        <w:rPr>
          <w:rFonts w:ascii="Arial" w:hAnsi="Arial" w:cs="Arial"/>
          <w:b/>
          <w:smallCaps/>
          <w:szCs w:val="24"/>
          <w:u w:val="single"/>
        </w:rPr>
      </w:pPr>
    </w:p>
    <w:p w14:paraId="22821D2B" w14:textId="77777777" w:rsidR="00C75025" w:rsidRPr="00A62F1C" w:rsidRDefault="00C75025" w:rsidP="00C75025">
      <w:pPr>
        <w:jc w:val="both"/>
        <w:rPr>
          <w:rFonts w:ascii="Arial" w:hAnsi="Arial" w:cs="Arial"/>
          <w:b/>
          <w:u w:val="single"/>
        </w:rPr>
      </w:pPr>
      <w:r w:rsidRPr="00A62F1C">
        <w:rPr>
          <w:rFonts w:ascii="Arial" w:hAnsi="Arial" w:cs="Arial"/>
          <w:b/>
          <w:u w:val="single"/>
        </w:rPr>
        <w:t>SUBJECT</w:t>
      </w:r>
    </w:p>
    <w:p w14:paraId="74A5C9AB" w14:textId="77777777" w:rsidR="00D429AE" w:rsidRPr="00A62F1C" w:rsidRDefault="00D429AE" w:rsidP="00C75025">
      <w:pPr>
        <w:jc w:val="both"/>
        <w:rPr>
          <w:rFonts w:ascii="Arial" w:hAnsi="Arial" w:cs="Arial"/>
          <w:b/>
          <w:u w:val="single"/>
        </w:rPr>
      </w:pPr>
    </w:p>
    <w:p w14:paraId="2451EB6B" w14:textId="7185C0D5" w:rsidR="00C75025" w:rsidRPr="00A62F1C" w:rsidRDefault="00C97FBC" w:rsidP="00A515B0">
      <w:pPr>
        <w:jc w:val="both"/>
        <w:rPr>
          <w:rFonts w:ascii="Arial" w:hAnsi="Arial" w:cs="Arial"/>
        </w:rPr>
      </w:pPr>
      <w:r w:rsidRPr="00A62F1C">
        <w:rPr>
          <w:rFonts w:ascii="Arial" w:hAnsi="Arial" w:cs="Arial"/>
        </w:rPr>
        <w:t>Proposed Ordinance 2021-0330 would adopt the Initial Health through Housing Implementation Plan to govern the expenditure of sales and use tax proceeds authorized by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chapter 4A.503 and RCW 82.14.530 from 2022 through 2028.  The Proposed Ordinance would also create the </w:t>
      </w:r>
      <w:r w:rsidR="003A5C35">
        <w:rPr>
          <w:rFonts w:ascii="Arial" w:hAnsi="Arial" w:cs="Arial"/>
        </w:rPr>
        <w:t>H</w:t>
      </w:r>
      <w:r w:rsidRPr="00A62F1C">
        <w:rPr>
          <w:rFonts w:ascii="Arial" w:hAnsi="Arial" w:cs="Arial"/>
        </w:rPr>
        <w:t xml:space="preserve">ealth through </w:t>
      </w:r>
      <w:r w:rsidR="003A5C35">
        <w:rPr>
          <w:rFonts w:ascii="Arial" w:hAnsi="Arial" w:cs="Arial"/>
        </w:rPr>
        <w:t>H</w:t>
      </w:r>
      <w:r w:rsidRPr="00A62F1C">
        <w:rPr>
          <w:rFonts w:ascii="Arial" w:hAnsi="Arial" w:cs="Arial"/>
        </w:rPr>
        <w:t>ousing advisory committee and add a new section to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chapter 4A.300.</w:t>
      </w:r>
    </w:p>
    <w:p w14:paraId="593EB921" w14:textId="77777777" w:rsidR="00C97FBC" w:rsidRPr="00A62F1C" w:rsidRDefault="00C97FBC" w:rsidP="00A515B0">
      <w:pPr>
        <w:jc w:val="both"/>
        <w:rPr>
          <w:rFonts w:ascii="Arial" w:hAnsi="Arial" w:cs="Arial"/>
          <w:b/>
          <w:smallCaps/>
          <w:szCs w:val="24"/>
          <w:u w:val="single"/>
        </w:rPr>
      </w:pPr>
    </w:p>
    <w:p w14:paraId="75C13472" w14:textId="77777777" w:rsidR="00C37A37" w:rsidRPr="00A62F1C" w:rsidRDefault="007470ED" w:rsidP="00F31CDD">
      <w:pPr>
        <w:rPr>
          <w:rFonts w:ascii="Arial" w:hAnsi="Arial" w:cs="Arial"/>
          <w:b/>
          <w:smallCaps/>
          <w:szCs w:val="24"/>
          <w:u w:val="single"/>
        </w:rPr>
      </w:pPr>
      <w:r w:rsidRPr="00A62F1C">
        <w:rPr>
          <w:rFonts w:ascii="Arial" w:hAnsi="Arial" w:cs="Arial"/>
          <w:b/>
          <w:smallCaps/>
          <w:szCs w:val="24"/>
          <w:u w:val="single"/>
        </w:rPr>
        <w:t>SUMMARY</w:t>
      </w:r>
    </w:p>
    <w:p w14:paraId="1005EBAF" w14:textId="77777777" w:rsidR="00D429AE" w:rsidRPr="00A62F1C" w:rsidRDefault="00D429AE" w:rsidP="00C75025">
      <w:pPr>
        <w:rPr>
          <w:rFonts w:ascii="Arial" w:hAnsi="Arial" w:cs="Arial"/>
        </w:rPr>
      </w:pPr>
    </w:p>
    <w:p w14:paraId="56087BC6" w14:textId="351340B8" w:rsidR="0048336C" w:rsidRDefault="00D87E48" w:rsidP="00A515B0">
      <w:pPr>
        <w:jc w:val="both"/>
        <w:rPr>
          <w:rFonts w:ascii="Arial" w:hAnsi="Arial" w:cs="Arial"/>
        </w:rPr>
      </w:pPr>
      <w:r w:rsidRPr="00D87E48">
        <w:rPr>
          <w:rFonts w:ascii="Arial" w:hAnsi="Arial" w:cs="Arial"/>
        </w:rPr>
        <w:t>Proposed Ordinance 2021-0330 would adopt the Initial Health through Housing Implementation Plan (the Plan) as required by Ordinance 19236</w:t>
      </w:r>
      <w:r>
        <w:rPr>
          <w:rFonts w:ascii="Arial" w:hAnsi="Arial" w:cs="Arial"/>
        </w:rPr>
        <w:t xml:space="preserve">.  The Plan would govern expenditures of Health through Housing (HtH) dollars from 2022 through 2028. </w:t>
      </w:r>
      <w:r w:rsidRPr="00D87E48">
        <w:rPr>
          <w:rFonts w:ascii="Arial" w:hAnsi="Arial" w:cs="Arial"/>
        </w:rPr>
        <w:t xml:space="preserve"> </w:t>
      </w:r>
      <w:r w:rsidRPr="0048336C">
        <w:rPr>
          <w:rFonts w:ascii="Arial" w:hAnsi="Arial" w:cs="Arial"/>
        </w:rPr>
        <w:t>Collections in 2021</w:t>
      </w:r>
      <w:r w:rsidR="0048336C" w:rsidRPr="0048336C">
        <w:rPr>
          <w:rFonts w:ascii="Arial" w:hAnsi="Arial" w:cs="Arial"/>
        </w:rPr>
        <w:t xml:space="preserve"> went primarily towards </w:t>
      </w:r>
      <w:r w:rsidR="0048336C">
        <w:rPr>
          <w:rFonts w:ascii="Arial" w:hAnsi="Arial" w:cs="Arial"/>
        </w:rPr>
        <w:t xml:space="preserve">financing </w:t>
      </w:r>
      <w:r w:rsidR="0048336C" w:rsidRPr="0048336C">
        <w:rPr>
          <w:rFonts w:ascii="Arial" w:hAnsi="Arial" w:cs="Arial"/>
        </w:rPr>
        <w:t>acquisitions</w:t>
      </w:r>
      <w:r w:rsidR="0048336C">
        <w:rPr>
          <w:rFonts w:ascii="Arial" w:hAnsi="Arial" w:cs="Arial"/>
        </w:rPr>
        <w:t xml:space="preserve"> and improvements of HtH sites</w:t>
      </w:r>
      <w:r w:rsidR="0048336C" w:rsidRPr="0048336C">
        <w:rPr>
          <w:rFonts w:ascii="Arial" w:hAnsi="Arial" w:cs="Arial"/>
        </w:rPr>
        <w:t xml:space="preserve"> throughout the </w:t>
      </w:r>
      <w:r w:rsidR="0048336C">
        <w:rPr>
          <w:rFonts w:ascii="Arial" w:hAnsi="Arial" w:cs="Arial"/>
        </w:rPr>
        <w:t>county.</w:t>
      </w:r>
      <w:r w:rsidR="00E93CD7">
        <w:rPr>
          <w:rFonts w:ascii="Arial" w:hAnsi="Arial" w:cs="Arial"/>
        </w:rPr>
        <w:t xml:space="preserve">  </w:t>
      </w:r>
      <w:r w:rsidR="000063D1">
        <w:rPr>
          <w:rFonts w:ascii="Arial" w:hAnsi="Arial" w:cs="Arial"/>
        </w:rPr>
        <w:t xml:space="preserve">Beginning in 2022, the Plan proposes to spend revenue primarily </w:t>
      </w:r>
      <w:r w:rsidR="001323AC">
        <w:rPr>
          <w:rFonts w:ascii="Arial" w:hAnsi="Arial" w:cs="Arial"/>
        </w:rPr>
        <w:t xml:space="preserve">on </w:t>
      </w:r>
      <w:r w:rsidR="000063D1">
        <w:rPr>
          <w:rFonts w:ascii="Arial" w:hAnsi="Arial" w:cs="Arial"/>
        </w:rPr>
        <w:t>e</w:t>
      </w:r>
      <w:r w:rsidR="000063D1" w:rsidRPr="000063D1">
        <w:rPr>
          <w:rFonts w:ascii="Arial" w:hAnsi="Arial" w:cs="Arial"/>
        </w:rPr>
        <w:t xml:space="preserve">mergency and </w:t>
      </w:r>
      <w:r w:rsidR="000063D1">
        <w:rPr>
          <w:rFonts w:ascii="Arial" w:hAnsi="Arial" w:cs="Arial"/>
        </w:rPr>
        <w:t>p</w:t>
      </w:r>
      <w:r w:rsidR="000063D1" w:rsidRPr="000063D1">
        <w:rPr>
          <w:rFonts w:ascii="Arial" w:hAnsi="Arial" w:cs="Arial"/>
        </w:rPr>
        <w:t xml:space="preserve">ermanent </w:t>
      </w:r>
      <w:r w:rsidR="000063D1">
        <w:rPr>
          <w:rFonts w:ascii="Arial" w:hAnsi="Arial" w:cs="Arial"/>
        </w:rPr>
        <w:t>s</w:t>
      </w:r>
      <w:r w:rsidR="000063D1" w:rsidRPr="000063D1">
        <w:rPr>
          <w:rFonts w:ascii="Arial" w:hAnsi="Arial" w:cs="Arial"/>
        </w:rPr>
        <w:t xml:space="preserve">upportive </w:t>
      </w:r>
      <w:r w:rsidR="000063D1">
        <w:rPr>
          <w:rFonts w:ascii="Arial" w:hAnsi="Arial" w:cs="Arial"/>
        </w:rPr>
        <w:t>h</w:t>
      </w:r>
      <w:r w:rsidR="000063D1" w:rsidRPr="000063D1">
        <w:rPr>
          <w:rFonts w:ascii="Arial" w:hAnsi="Arial" w:cs="Arial"/>
        </w:rPr>
        <w:t xml:space="preserve">ousing </w:t>
      </w:r>
      <w:r w:rsidR="000063D1">
        <w:rPr>
          <w:rFonts w:ascii="Arial" w:hAnsi="Arial" w:cs="Arial"/>
        </w:rPr>
        <w:t>o</w:t>
      </w:r>
      <w:r w:rsidR="000063D1" w:rsidRPr="000063D1">
        <w:rPr>
          <w:rFonts w:ascii="Arial" w:hAnsi="Arial" w:cs="Arial"/>
        </w:rPr>
        <w:t>perations</w:t>
      </w:r>
      <w:r w:rsidR="000063D1">
        <w:rPr>
          <w:rFonts w:ascii="Arial" w:hAnsi="Arial" w:cs="Arial"/>
        </w:rPr>
        <w:t>.</w:t>
      </w:r>
      <w:r w:rsidR="000063D1" w:rsidRPr="000063D1">
        <w:rPr>
          <w:rFonts w:ascii="Arial" w:hAnsi="Arial" w:cs="Arial"/>
        </w:rPr>
        <w:t xml:space="preserve"> </w:t>
      </w:r>
      <w:r w:rsidR="000063D1">
        <w:rPr>
          <w:rFonts w:ascii="Arial" w:hAnsi="Arial" w:cs="Arial"/>
        </w:rPr>
        <w:t xml:space="preserve"> E</w:t>
      </w:r>
      <w:r w:rsidR="00E93CD7">
        <w:rPr>
          <w:rFonts w:ascii="Arial" w:hAnsi="Arial" w:cs="Arial"/>
        </w:rPr>
        <w:t>ligibility requirements</w:t>
      </w:r>
      <w:r w:rsidR="000063D1">
        <w:rPr>
          <w:rFonts w:ascii="Arial" w:hAnsi="Arial" w:cs="Arial"/>
        </w:rPr>
        <w:t xml:space="preserve"> for individuals and households seeking emergency and permanent supportive housing</w:t>
      </w:r>
      <w:r w:rsidR="00E93CD7">
        <w:rPr>
          <w:rFonts w:ascii="Arial" w:hAnsi="Arial" w:cs="Arial"/>
        </w:rPr>
        <w:t xml:space="preserve"> are governed by state law and refined further in Ordinance 19236.</w:t>
      </w:r>
    </w:p>
    <w:p w14:paraId="5D3CC1F6" w14:textId="2F86BC21" w:rsidR="0048336C" w:rsidRDefault="0048336C" w:rsidP="00A515B0">
      <w:pPr>
        <w:jc w:val="both"/>
        <w:rPr>
          <w:rFonts w:ascii="Arial" w:hAnsi="Arial" w:cs="Arial"/>
        </w:rPr>
      </w:pPr>
    </w:p>
    <w:p w14:paraId="47FF3701" w14:textId="613CAF5E" w:rsidR="00E93CD7" w:rsidRDefault="00E93CD7" w:rsidP="00A515B0">
      <w:pPr>
        <w:jc w:val="both"/>
        <w:rPr>
          <w:rFonts w:ascii="Arial" w:hAnsi="Arial" w:cs="Arial"/>
        </w:rPr>
      </w:pPr>
      <w:r w:rsidRPr="00A62F1C">
        <w:rPr>
          <w:rFonts w:ascii="Arial" w:hAnsi="Arial" w:cs="Arial"/>
          <w:iCs/>
          <w:szCs w:val="24"/>
        </w:rPr>
        <w:t xml:space="preserve">The paramount goal of the Plan is defined in K.C.C. 24.30.030 as "the creation and ongoing operation of 1,600 units of affordable housing with housing-related services for eligible households in King County that are experiencing chronic homelessness or that are at risk of experiencing chronic homelessness."  </w:t>
      </w:r>
      <w:r>
        <w:rPr>
          <w:rFonts w:ascii="Arial" w:hAnsi="Arial" w:cs="Arial"/>
        </w:rPr>
        <w:t>The Plan proposes various supporting goals in addition to the paramount goal</w:t>
      </w:r>
      <w:r w:rsidR="005C484C">
        <w:rPr>
          <w:rFonts w:ascii="Arial" w:hAnsi="Arial" w:cs="Arial"/>
        </w:rPr>
        <w:t>.</w:t>
      </w:r>
      <w:r>
        <w:rPr>
          <w:rFonts w:ascii="Arial" w:hAnsi="Arial" w:cs="Arial"/>
        </w:rPr>
        <w:t xml:space="preserve"> </w:t>
      </w:r>
    </w:p>
    <w:p w14:paraId="06147E8A" w14:textId="77777777" w:rsidR="00E93CD7" w:rsidRDefault="00E93CD7" w:rsidP="00A515B0">
      <w:pPr>
        <w:jc w:val="both"/>
        <w:rPr>
          <w:rFonts w:ascii="Arial" w:hAnsi="Arial" w:cs="Arial"/>
        </w:rPr>
      </w:pPr>
    </w:p>
    <w:p w14:paraId="5AD5F406" w14:textId="1E1937B5" w:rsidR="00E93CD7" w:rsidRDefault="00E93CD7" w:rsidP="00A515B0">
      <w:pPr>
        <w:jc w:val="both"/>
        <w:rPr>
          <w:rFonts w:ascii="Arial" w:hAnsi="Arial" w:cs="Arial"/>
          <w:iCs/>
          <w:szCs w:val="24"/>
        </w:rPr>
      </w:pPr>
      <w:r>
        <w:rPr>
          <w:rFonts w:ascii="Arial" w:hAnsi="Arial" w:cs="Arial"/>
        </w:rPr>
        <w:t xml:space="preserve">The Plan further identifies </w:t>
      </w:r>
      <w:r w:rsidR="001323AC">
        <w:rPr>
          <w:rFonts w:ascii="Arial" w:hAnsi="Arial" w:cs="Arial"/>
          <w:iCs/>
          <w:szCs w:val="24"/>
        </w:rPr>
        <w:t>six</w:t>
      </w:r>
      <w:r w:rsidR="00C47E01">
        <w:rPr>
          <w:rFonts w:ascii="Arial" w:hAnsi="Arial" w:cs="Arial"/>
          <w:iCs/>
          <w:szCs w:val="24"/>
        </w:rPr>
        <w:t xml:space="preserve"> proposed </w:t>
      </w:r>
      <w:r w:rsidR="001323AC">
        <w:rPr>
          <w:rFonts w:ascii="Arial" w:hAnsi="Arial" w:cs="Arial"/>
          <w:iCs/>
          <w:szCs w:val="24"/>
        </w:rPr>
        <w:t>s</w:t>
      </w:r>
      <w:r w:rsidR="00C47E01">
        <w:rPr>
          <w:rFonts w:ascii="Arial" w:hAnsi="Arial" w:cs="Arial"/>
          <w:iCs/>
          <w:szCs w:val="24"/>
        </w:rPr>
        <w:t>trategies intended to accomplish the paramount and supporting goals.  These strategies range from capital financing and improvements of HtH sites and e</w:t>
      </w:r>
      <w:r w:rsidR="00C47E01" w:rsidRPr="00C47E01">
        <w:rPr>
          <w:rFonts w:ascii="Arial" w:hAnsi="Arial" w:cs="Arial"/>
          <w:iCs/>
          <w:szCs w:val="24"/>
        </w:rPr>
        <w:t xml:space="preserve">valuation and </w:t>
      </w:r>
      <w:r w:rsidR="00C47E01">
        <w:rPr>
          <w:rFonts w:ascii="Arial" w:hAnsi="Arial" w:cs="Arial"/>
          <w:iCs/>
          <w:szCs w:val="24"/>
        </w:rPr>
        <w:t>p</w:t>
      </w:r>
      <w:r w:rsidR="00C47E01" w:rsidRPr="00C47E01">
        <w:rPr>
          <w:rFonts w:ascii="Arial" w:hAnsi="Arial" w:cs="Arial"/>
          <w:iCs/>
          <w:szCs w:val="24"/>
        </w:rPr>
        <w:t xml:space="preserve">erformance </w:t>
      </w:r>
      <w:r w:rsidR="00C47E01">
        <w:rPr>
          <w:rFonts w:ascii="Arial" w:hAnsi="Arial" w:cs="Arial"/>
          <w:iCs/>
          <w:szCs w:val="24"/>
        </w:rPr>
        <w:t>m</w:t>
      </w:r>
      <w:r w:rsidR="00C47E01" w:rsidRPr="00C47E01">
        <w:rPr>
          <w:rFonts w:ascii="Arial" w:hAnsi="Arial" w:cs="Arial"/>
          <w:iCs/>
          <w:szCs w:val="24"/>
        </w:rPr>
        <w:t>easurement</w:t>
      </w:r>
      <w:r w:rsidR="00C47E01">
        <w:rPr>
          <w:rFonts w:ascii="Arial" w:hAnsi="Arial" w:cs="Arial"/>
          <w:iCs/>
          <w:szCs w:val="24"/>
        </w:rPr>
        <w:t>.  Proposed allocations from 2022 and 2028 are broken down by strategy.</w:t>
      </w:r>
    </w:p>
    <w:p w14:paraId="3D1254EC" w14:textId="0350A52D" w:rsidR="000063D1" w:rsidRDefault="000063D1" w:rsidP="00A515B0">
      <w:pPr>
        <w:jc w:val="both"/>
        <w:rPr>
          <w:rFonts w:ascii="Arial" w:hAnsi="Arial" w:cs="Arial"/>
          <w:iCs/>
          <w:szCs w:val="24"/>
        </w:rPr>
      </w:pPr>
    </w:p>
    <w:p w14:paraId="7C927404" w14:textId="6B2A66E3" w:rsidR="000063D1" w:rsidRDefault="000063D1" w:rsidP="00A515B0">
      <w:pPr>
        <w:jc w:val="both"/>
        <w:rPr>
          <w:rFonts w:ascii="Arial" w:hAnsi="Arial" w:cs="Arial"/>
        </w:rPr>
      </w:pPr>
      <w:r>
        <w:rPr>
          <w:rFonts w:ascii="Arial" w:hAnsi="Arial" w:cs="Arial"/>
          <w:iCs/>
          <w:szCs w:val="24"/>
        </w:rPr>
        <w:t xml:space="preserve">In addition to the Plan, the Proposed Ordinance </w:t>
      </w:r>
      <w:r w:rsidR="00A515B0">
        <w:rPr>
          <w:rFonts w:ascii="Arial" w:hAnsi="Arial" w:cs="Arial"/>
          <w:iCs/>
          <w:szCs w:val="24"/>
        </w:rPr>
        <w:t xml:space="preserve">includes </w:t>
      </w:r>
      <w:r>
        <w:rPr>
          <w:rFonts w:ascii="Arial" w:hAnsi="Arial" w:cs="Arial"/>
          <w:iCs/>
          <w:szCs w:val="24"/>
        </w:rPr>
        <w:t xml:space="preserve">a set of code changes </w:t>
      </w:r>
      <w:r>
        <w:rPr>
          <w:rFonts w:ascii="Arial" w:hAnsi="Arial" w:cs="Arial"/>
        </w:rPr>
        <w:t>to add a new section to K.C.C. 2A.300 establishing the HtH Advisory Committee.  The Advisory Committee would be created to advise the Executive and Council and report annually to the Council and community on accomplishments and effectiveness of the sales tax.</w:t>
      </w:r>
    </w:p>
    <w:p w14:paraId="064F7E85" w14:textId="32B562D9" w:rsidR="000063D1" w:rsidRDefault="000063D1" w:rsidP="000063D1">
      <w:pPr>
        <w:rPr>
          <w:rFonts w:ascii="Arial" w:hAnsi="Arial" w:cs="Arial"/>
        </w:rPr>
      </w:pPr>
    </w:p>
    <w:p w14:paraId="01905F0A" w14:textId="77777777" w:rsidR="00A515B0" w:rsidRDefault="000063D1" w:rsidP="000063D1">
      <w:pPr>
        <w:rPr>
          <w:rFonts w:ascii="Arial" w:hAnsi="Arial" w:cs="Arial"/>
        </w:rPr>
      </w:pPr>
      <w:r>
        <w:rPr>
          <w:rFonts w:ascii="Arial" w:hAnsi="Arial" w:cs="Arial"/>
        </w:rPr>
        <w:t>The Proposed Ordinance was dual referred to the Regional Policy Committee</w:t>
      </w:r>
      <w:r w:rsidR="00A515B0">
        <w:rPr>
          <w:rFonts w:ascii="Arial" w:hAnsi="Arial" w:cs="Arial"/>
        </w:rPr>
        <w:t xml:space="preserve"> (RPC)</w:t>
      </w:r>
      <w:r>
        <w:rPr>
          <w:rFonts w:ascii="Arial" w:hAnsi="Arial" w:cs="Arial"/>
        </w:rPr>
        <w:t xml:space="preserve"> and the Committee of the Whole</w:t>
      </w:r>
      <w:r w:rsidR="00A515B0">
        <w:rPr>
          <w:rFonts w:ascii="Arial" w:hAnsi="Arial" w:cs="Arial"/>
        </w:rPr>
        <w:t xml:space="preserve"> (COW)</w:t>
      </w:r>
      <w:r>
        <w:rPr>
          <w:rFonts w:ascii="Arial" w:hAnsi="Arial" w:cs="Arial"/>
        </w:rPr>
        <w:t xml:space="preserve">.  </w:t>
      </w:r>
      <w:r w:rsidR="00A515B0">
        <w:rPr>
          <w:rFonts w:ascii="Arial" w:hAnsi="Arial" w:cs="Arial"/>
        </w:rPr>
        <w:t xml:space="preserve">Executive staff briefed RPC on the proposed Initial HtH Implementation Plan on September 8, 2021.  </w:t>
      </w:r>
    </w:p>
    <w:p w14:paraId="3BBF280E" w14:textId="77777777" w:rsidR="00A515B0" w:rsidRDefault="00A515B0" w:rsidP="000063D1">
      <w:pPr>
        <w:rPr>
          <w:rFonts w:ascii="Arial" w:hAnsi="Arial" w:cs="Arial"/>
        </w:rPr>
      </w:pPr>
    </w:p>
    <w:p w14:paraId="1979C7C6" w14:textId="1A9AB284" w:rsidR="000063D1" w:rsidRDefault="000063D1" w:rsidP="000063D1">
      <w:pPr>
        <w:rPr>
          <w:rFonts w:ascii="Arial" w:hAnsi="Arial" w:cs="Arial"/>
        </w:rPr>
      </w:pPr>
      <w:r>
        <w:rPr>
          <w:rFonts w:ascii="Arial" w:hAnsi="Arial" w:cs="Arial"/>
        </w:rPr>
        <w:t xml:space="preserve">If passed before the end of the year, the Plan would guide spending beginning in </w:t>
      </w:r>
      <w:r w:rsidR="004C4EA9">
        <w:rPr>
          <w:rFonts w:ascii="Arial" w:hAnsi="Arial" w:cs="Arial"/>
        </w:rPr>
        <w:t xml:space="preserve">January </w:t>
      </w:r>
      <w:r>
        <w:rPr>
          <w:rFonts w:ascii="Arial" w:hAnsi="Arial" w:cs="Arial"/>
        </w:rPr>
        <w:t xml:space="preserve">2022.  If passed </w:t>
      </w:r>
      <w:r w:rsidR="004C4EA9">
        <w:rPr>
          <w:rFonts w:ascii="Arial" w:hAnsi="Arial" w:cs="Arial"/>
        </w:rPr>
        <w:t>after that point</w:t>
      </w:r>
      <w:r>
        <w:rPr>
          <w:rFonts w:ascii="Arial" w:hAnsi="Arial" w:cs="Arial"/>
        </w:rPr>
        <w:t>, the Executive would be able to spend HtH revenue in accordance with state law, Ordinance 19179 and 19236 and the 2021-22 Biennial Budget</w:t>
      </w:r>
      <w:r w:rsidR="004C4EA9">
        <w:rPr>
          <w:rFonts w:ascii="Arial" w:hAnsi="Arial" w:cs="Arial"/>
        </w:rPr>
        <w:t xml:space="preserve"> until an Implementation Plan is adopted.  </w:t>
      </w:r>
      <w:r>
        <w:rPr>
          <w:rFonts w:ascii="Arial" w:hAnsi="Arial" w:cs="Arial"/>
        </w:rPr>
        <w:t xml:space="preserve"> </w:t>
      </w:r>
    </w:p>
    <w:p w14:paraId="21D38043" w14:textId="77777777" w:rsidR="00C75025" w:rsidRPr="00A62F1C" w:rsidRDefault="00C75025" w:rsidP="00846649">
      <w:pPr>
        <w:rPr>
          <w:rFonts w:ascii="Arial" w:hAnsi="Arial" w:cs="Arial"/>
          <w:szCs w:val="24"/>
        </w:rPr>
      </w:pPr>
    </w:p>
    <w:p w14:paraId="49EC4F33" w14:textId="77777777" w:rsidR="00E15C29" w:rsidRPr="00A62F1C" w:rsidRDefault="00E15C29" w:rsidP="00E15C29">
      <w:pPr>
        <w:rPr>
          <w:rFonts w:ascii="Arial" w:hAnsi="Arial" w:cs="Arial"/>
          <w:b/>
          <w:smallCaps/>
          <w:szCs w:val="24"/>
          <w:u w:val="single"/>
        </w:rPr>
      </w:pPr>
      <w:r w:rsidRPr="00A62F1C">
        <w:rPr>
          <w:rFonts w:ascii="Arial" w:hAnsi="Arial" w:cs="Arial"/>
          <w:b/>
          <w:smallCaps/>
          <w:szCs w:val="24"/>
          <w:u w:val="single"/>
        </w:rPr>
        <w:t>BACKGROUND</w:t>
      </w:r>
    </w:p>
    <w:p w14:paraId="09A72E99" w14:textId="77777777" w:rsidR="00D429AE" w:rsidRPr="00A62F1C" w:rsidRDefault="00D429AE" w:rsidP="00C75025">
      <w:pPr>
        <w:rPr>
          <w:rFonts w:ascii="Arial" w:hAnsi="Arial" w:cs="Arial"/>
        </w:rPr>
      </w:pPr>
    </w:p>
    <w:p w14:paraId="5BA120EF" w14:textId="77777777" w:rsidR="005A52E7" w:rsidRPr="00A62F1C" w:rsidRDefault="00C97FBC" w:rsidP="005A52E7">
      <w:pPr>
        <w:jc w:val="both"/>
        <w:rPr>
          <w:rFonts w:ascii="Arial" w:hAnsi="Arial" w:cs="Arial"/>
          <w:b/>
          <w:bCs/>
        </w:rPr>
      </w:pPr>
      <w:r w:rsidRPr="00A62F1C">
        <w:rPr>
          <w:rFonts w:ascii="Arial" w:hAnsi="Arial" w:cs="Arial"/>
          <w:b/>
          <w:bCs/>
        </w:rPr>
        <w:t xml:space="preserve">Health through Housing Sales Tax. </w:t>
      </w:r>
    </w:p>
    <w:p w14:paraId="7E850725" w14:textId="77777777" w:rsidR="005A52E7" w:rsidRPr="00A62F1C" w:rsidRDefault="005A52E7" w:rsidP="005A52E7">
      <w:pPr>
        <w:jc w:val="both"/>
        <w:rPr>
          <w:rFonts w:ascii="Arial" w:hAnsi="Arial" w:cs="Arial"/>
          <w:b/>
          <w:bCs/>
        </w:rPr>
      </w:pPr>
    </w:p>
    <w:p w14:paraId="6E45136A" w14:textId="576F380C" w:rsidR="005A52E7" w:rsidRPr="00A62F1C" w:rsidRDefault="005A52E7" w:rsidP="005A52E7">
      <w:pPr>
        <w:jc w:val="both"/>
        <w:rPr>
          <w:rFonts w:ascii="Arial" w:hAnsi="Arial" w:cs="Arial"/>
        </w:rPr>
      </w:pPr>
      <w:r w:rsidRPr="00A62F1C">
        <w:rPr>
          <w:rFonts w:ascii="Arial" w:hAnsi="Arial" w:cs="Arial"/>
          <w:u w:val="single"/>
        </w:rPr>
        <w:t>House Bill 1590 and RCW 82.14.530.</w:t>
      </w:r>
      <w:r w:rsidRPr="00A62F1C">
        <w:rPr>
          <w:rFonts w:ascii="Arial" w:hAnsi="Arial" w:cs="Arial"/>
        </w:rPr>
        <w:t xml:space="preserve">  During the 2020 legislative session, the legislature passed House Bill 1590</w:t>
      </w:r>
      <w:r w:rsidRPr="00A62F1C">
        <w:rPr>
          <w:rStyle w:val="FootnoteReference"/>
          <w:rFonts w:ascii="Arial" w:hAnsi="Arial" w:cs="Arial"/>
        </w:rPr>
        <w:footnoteReference w:id="1"/>
      </w:r>
      <w:r w:rsidRPr="00A62F1C">
        <w:rPr>
          <w:rFonts w:ascii="Arial" w:hAnsi="Arial" w:cs="Arial"/>
        </w:rPr>
        <w:t xml:space="preserve">, which amended RCW 82.14.530.  Previously, this housing sales tax was required to go to the ballot for authorization from voters before enactment, but House Bill 1590 provided the option for the tax to be councilmanic.  </w:t>
      </w:r>
      <w:r w:rsidR="002B684E" w:rsidRPr="002B684E">
        <w:rPr>
          <w:rFonts w:ascii="Arial" w:hAnsi="Arial" w:cs="Arial"/>
        </w:rPr>
        <w:t xml:space="preserve">In 2021, the legislature amended the law again </w:t>
      </w:r>
      <w:r w:rsidR="002B684E">
        <w:rPr>
          <w:rFonts w:ascii="Arial" w:hAnsi="Arial" w:cs="Arial"/>
        </w:rPr>
        <w:t>through</w:t>
      </w:r>
      <w:r w:rsidR="002B684E" w:rsidRPr="002B684E">
        <w:rPr>
          <w:rFonts w:ascii="Arial" w:hAnsi="Arial" w:cs="Arial"/>
        </w:rPr>
        <w:t xml:space="preserve"> Engrossed Substitute House Bill (ESHB) 1070, clarifying that acquiring units of new affordable housing is an eligible use of proceeds.</w:t>
      </w:r>
      <w:r w:rsidR="002B684E">
        <w:rPr>
          <w:rStyle w:val="FootnoteReference"/>
          <w:rFonts w:ascii="Arial" w:hAnsi="Arial" w:cs="Arial"/>
        </w:rPr>
        <w:footnoteReference w:id="2"/>
      </w:r>
    </w:p>
    <w:p w14:paraId="6B06ABA9" w14:textId="77777777" w:rsidR="005A52E7" w:rsidRPr="00A62F1C" w:rsidRDefault="005A52E7" w:rsidP="005A52E7">
      <w:pPr>
        <w:jc w:val="both"/>
        <w:rPr>
          <w:rFonts w:ascii="Arial" w:hAnsi="Arial" w:cs="Arial"/>
        </w:rPr>
      </w:pPr>
    </w:p>
    <w:p w14:paraId="79F470CC" w14:textId="04127A66" w:rsidR="005A52E7" w:rsidRPr="00A62F1C" w:rsidRDefault="005A52E7" w:rsidP="005A52E7">
      <w:pPr>
        <w:jc w:val="both"/>
        <w:rPr>
          <w:rFonts w:ascii="Arial" w:hAnsi="Arial" w:cs="Arial"/>
        </w:rPr>
      </w:pPr>
      <w:r w:rsidRPr="00A62F1C">
        <w:rPr>
          <w:rFonts w:ascii="Arial" w:hAnsi="Arial" w:cs="Arial"/>
        </w:rPr>
        <w:t xml:space="preserve">Counties were given until September 30, 2020 to impose the tax countywide.  After that date, cities could impose the tax (either by ballot or councilmanic).  According to the statute, if a county imposes the tax after one or more cities have already done so, the county must provide a credit to those cities for the full amount collected within each jurisdiction.  </w:t>
      </w:r>
    </w:p>
    <w:p w14:paraId="31982C6F" w14:textId="77777777" w:rsidR="005A52E7" w:rsidRPr="00A62F1C" w:rsidRDefault="005A52E7" w:rsidP="005A52E7">
      <w:pPr>
        <w:jc w:val="both"/>
        <w:rPr>
          <w:rFonts w:ascii="Arial" w:hAnsi="Arial" w:cs="Arial"/>
        </w:rPr>
      </w:pPr>
    </w:p>
    <w:p w14:paraId="35ED6E93" w14:textId="4CC56AB7" w:rsidR="005A52E7" w:rsidRPr="00A62F1C" w:rsidRDefault="005A52E7" w:rsidP="005A52E7">
      <w:pPr>
        <w:jc w:val="both"/>
        <w:rPr>
          <w:rFonts w:ascii="Arial" w:hAnsi="Arial" w:cs="Arial"/>
        </w:rPr>
      </w:pPr>
      <w:r w:rsidRPr="00A62F1C">
        <w:rPr>
          <w:rFonts w:ascii="Arial" w:hAnsi="Arial" w:cs="Arial"/>
        </w:rPr>
        <w:t>State statute specifies the activities and services for which the tax may be used.  Table</w:t>
      </w:r>
      <w:r w:rsidR="0002226B">
        <w:rPr>
          <w:rFonts w:ascii="Arial" w:hAnsi="Arial" w:cs="Arial"/>
        </w:rPr>
        <w:t xml:space="preserve"> 1</w:t>
      </w:r>
      <w:r w:rsidRPr="00A62F1C">
        <w:rPr>
          <w:rFonts w:ascii="Arial" w:hAnsi="Arial" w:cs="Arial"/>
        </w:rPr>
        <w:t xml:space="preserve"> below provides an overview of the statute’s spending requirements.</w:t>
      </w:r>
    </w:p>
    <w:p w14:paraId="70B7C57B" w14:textId="77777777" w:rsidR="005A52E7" w:rsidRPr="00A62F1C" w:rsidRDefault="005A52E7" w:rsidP="005A52E7">
      <w:pPr>
        <w:jc w:val="both"/>
        <w:rPr>
          <w:rFonts w:ascii="Arial" w:hAnsi="Arial" w:cs="Arial"/>
        </w:rPr>
      </w:pPr>
    </w:p>
    <w:p w14:paraId="551FF5D8" w14:textId="014378F2" w:rsidR="005A52E7" w:rsidRPr="00A62F1C" w:rsidRDefault="005A52E7" w:rsidP="005A52E7">
      <w:pPr>
        <w:jc w:val="center"/>
        <w:rPr>
          <w:rFonts w:ascii="Arial" w:hAnsi="Arial" w:cs="Arial"/>
          <w:b/>
          <w:bCs/>
        </w:rPr>
      </w:pPr>
      <w:r w:rsidRPr="00A62F1C">
        <w:rPr>
          <w:rFonts w:ascii="Arial" w:hAnsi="Arial" w:cs="Arial"/>
          <w:b/>
          <w:bCs/>
        </w:rPr>
        <w:t xml:space="preserve">Table </w:t>
      </w:r>
      <w:r w:rsidR="0002226B">
        <w:rPr>
          <w:rFonts w:ascii="Arial" w:hAnsi="Arial" w:cs="Arial"/>
          <w:b/>
          <w:bCs/>
        </w:rPr>
        <w:t>1</w:t>
      </w:r>
      <w:r w:rsidRPr="00A62F1C">
        <w:rPr>
          <w:rFonts w:ascii="Arial" w:hAnsi="Arial" w:cs="Arial"/>
          <w:b/>
          <w:bCs/>
        </w:rPr>
        <w:t>. Overview of Spending Allocation Requirements</w:t>
      </w:r>
    </w:p>
    <w:p w14:paraId="46274A8B" w14:textId="77777777" w:rsidR="005A52E7" w:rsidRPr="00A62F1C" w:rsidRDefault="005A52E7" w:rsidP="005A52E7">
      <w:pPr>
        <w:jc w:val="center"/>
        <w:rPr>
          <w:rFonts w:ascii="Arial" w:hAnsi="Arial" w:cs="Arial"/>
          <w:b/>
          <w:bCs/>
        </w:rPr>
      </w:pPr>
    </w:p>
    <w:tbl>
      <w:tblPr>
        <w:tblStyle w:val="TableGrid"/>
        <w:tblW w:w="0" w:type="auto"/>
        <w:tblLook w:val="04A0" w:firstRow="1" w:lastRow="0" w:firstColumn="1" w:lastColumn="0" w:noHBand="0" w:noVBand="1"/>
      </w:tblPr>
      <w:tblGrid>
        <w:gridCol w:w="3168"/>
        <w:gridCol w:w="6408"/>
      </w:tblGrid>
      <w:tr w:rsidR="005A52E7" w:rsidRPr="00A62F1C" w14:paraId="406420DB" w14:textId="77777777" w:rsidTr="00B32185">
        <w:tc>
          <w:tcPr>
            <w:tcW w:w="3168" w:type="dxa"/>
            <w:shd w:val="clear" w:color="auto" w:fill="000000" w:themeFill="text1"/>
          </w:tcPr>
          <w:p w14:paraId="6C637FA0" w14:textId="77777777" w:rsidR="005A52E7" w:rsidRPr="00A62F1C" w:rsidRDefault="005A52E7" w:rsidP="00B32185">
            <w:pPr>
              <w:jc w:val="both"/>
              <w:rPr>
                <w:rFonts w:ascii="Arial" w:hAnsi="Arial" w:cs="Arial"/>
                <w:b/>
                <w:bCs/>
              </w:rPr>
            </w:pPr>
            <w:r w:rsidRPr="00A62F1C">
              <w:rPr>
                <w:rFonts w:ascii="Arial" w:hAnsi="Arial" w:cs="Arial"/>
                <w:b/>
                <w:bCs/>
              </w:rPr>
              <w:t>Allocation</w:t>
            </w:r>
          </w:p>
        </w:tc>
        <w:tc>
          <w:tcPr>
            <w:tcW w:w="6408" w:type="dxa"/>
            <w:shd w:val="clear" w:color="auto" w:fill="000000" w:themeFill="text1"/>
          </w:tcPr>
          <w:p w14:paraId="402401C1" w14:textId="77777777" w:rsidR="005A52E7" w:rsidRPr="00A62F1C" w:rsidRDefault="005A52E7" w:rsidP="00B32185">
            <w:pPr>
              <w:jc w:val="both"/>
              <w:rPr>
                <w:rFonts w:ascii="Arial" w:hAnsi="Arial" w:cs="Arial"/>
                <w:b/>
                <w:bCs/>
              </w:rPr>
            </w:pPr>
            <w:r w:rsidRPr="00A62F1C">
              <w:rPr>
                <w:rFonts w:ascii="Arial" w:hAnsi="Arial" w:cs="Arial"/>
                <w:b/>
                <w:bCs/>
              </w:rPr>
              <w:t>Requirements</w:t>
            </w:r>
          </w:p>
        </w:tc>
      </w:tr>
      <w:tr w:rsidR="005A52E7" w:rsidRPr="00A62F1C" w14:paraId="4E642F84" w14:textId="77777777" w:rsidTr="00B32185">
        <w:tc>
          <w:tcPr>
            <w:tcW w:w="3168" w:type="dxa"/>
          </w:tcPr>
          <w:p w14:paraId="5C4D3FEF" w14:textId="77777777" w:rsidR="005A52E7" w:rsidRPr="00A62F1C" w:rsidRDefault="005A52E7" w:rsidP="00B32185">
            <w:pPr>
              <w:jc w:val="both"/>
              <w:rPr>
                <w:rFonts w:ascii="Arial" w:hAnsi="Arial" w:cs="Arial"/>
              </w:rPr>
            </w:pPr>
            <w:r w:rsidRPr="00A62F1C">
              <w:rPr>
                <w:rFonts w:ascii="Arial" w:hAnsi="Arial" w:cs="Arial"/>
              </w:rPr>
              <w:t>At least 60% of proceeds</w:t>
            </w:r>
          </w:p>
        </w:tc>
        <w:tc>
          <w:tcPr>
            <w:tcW w:w="6408" w:type="dxa"/>
          </w:tcPr>
          <w:p w14:paraId="1A9A8D84" w14:textId="77777777" w:rsidR="005A52E7" w:rsidRPr="00A62F1C" w:rsidRDefault="005A52E7" w:rsidP="00A62F1C">
            <w:pPr>
              <w:pStyle w:val="ListParagraph0"/>
              <w:numPr>
                <w:ilvl w:val="0"/>
                <w:numId w:val="4"/>
              </w:numPr>
              <w:jc w:val="both"/>
              <w:rPr>
                <w:rFonts w:ascii="Arial" w:hAnsi="Arial" w:cs="Arial"/>
              </w:rPr>
            </w:pPr>
            <w:r w:rsidRPr="00A62F1C">
              <w:rPr>
                <w:rFonts w:ascii="Arial" w:hAnsi="Arial" w:cs="Arial"/>
              </w:rPr>
              <w:t>Constructing affordable housing – including new units within an existing structure and facilities providing housing-related services;</w:t>
            </w:r>
          </w:p>
          <w:p w14:paraId="3633C4B0" w14:textId="77777777" w:rsidR="005A52E7" w:rsidRPr="00A62F1C" w:rsidRDefault="005A52E7" w:rsidP="00A62F1C">
            <w:pPr>
              <w:pStyle w:val="ListParagraph0"/>
              <w:numPr>
                <w:ilvl w:val="0"/>
                <w:numId w:val="4"/>
              </w:numPr>
              <w:jc w:val="both"/>
              <w:rPr>
                <w:rFonts w:ascii="Arial" w:hAnsi="Arial" w:cs="Arial"/>
              </w:rPr>
            </w:pPr>
            <w:r w:rsidRPr="00A62F1C">
              <w:rPr>
                <w:rFonts w:ascii="Arial" w:hAnsi="Arial" w:cs="Arial"/>
              </w:rPr>
              <w:t>Constructing mental and behavioral health-related facilities;</w:t>
            </w:r>
          </w:p>
          <w:p w14:paraId="7B0D7591" w14:textId="77777777" w:rsidR="005A52E7" w:rsidRPr="00A62F1C" w:rsidRDefault="005A52E7" w:rsidP="00A62F1C">
            <w:pPr>
              <w:pStyle w:val="ListParagraph0"/>
              <w:numPr>
                <w:ilvl w:val="0"/>
                <w:numId w:val="4"/>
              </w:numPr>
              <w:jc w:val="both"/>
              <w:rPr>
                <w:rFonts w:ascii="Arial" w:hAnsi="Arial" w:cs="Arial"/>
              </w:rPr>
            </w:pPr>
            <w:r w:rsidRPr="00A62F1C">
              <w:rPr>
                <w:rFonts w:ascii="Arial" w:hAnsi="Arial" w:cs="Arial"/>
              </w:rPr>
              <w:t>Funding operations and maintenance of new affordable housing and facilities where housing-related programs are provided, or newly constructed evaluation and treatment centers</w:t>
            </w:r>
          </w:p>
        </w:tc>
      </w:tr>
      <w:tr w:rsidR="005A52E7" w:rsidRPr="00A62F1C" w14:paraId="4FBA5178" w14:textId="77777777" w:rsidTr="00B32185">
        <w:tc>
          <w:tcPr>
            <w:tcW w:w="3168" w:type="dxa"/>
          </w:tcPr>
          <w:p w14:paraId="747FADE5" w14:textId="77777777" w:rsidR="005A52E7" w:rsidRPr="00A62F1C" w:rsidRDefault="005A52E7" w:rsidP="00B32185">
            <w:pPr>
              <w:jc w:val="both"/>
              <w:rPr>
                <w:rFonts w:ascii="Arial" w:hAnsi="Arial" w:cs="Arial"/>
              </w:rPr>
            </w:pPr>
            <w:r w:rsidRPr="00A62F1C">
              <w:rPr>
                <w:rFonts w:ascii="Arial" w:hAnsi="Arial" w:cs="Arial"/>
              </w:rPr>
              <w:t>Remaining Funds</w:t>
            </w:r>
          </w:p>
        </w:tc>
        <w:tc>
          <w:tcPr>
            <w:tcW w:w="6408" w:type="dxa"/>
          </w:tcPr>
          <w:p w14:paraId="613F2D50" w14:textId="77777777" w:rsidR="005A52E7" w:rsidRPr="00A62F1C" w:rsidRDefault="005A52E7" w:rsidP="00A62F1C">
            <w:pPr>
              <w:pStyle w:val="ListParagraph0"/>
              <w:numPr>
                <w:ilvl w:val="0"/>
                <w:numId w:val="5"/>
              </w:numPr>
              <w:jc w:val="both"/>
              <w:rPr>
                <w:rFonts w:ascii="Arial" w:hAnsi="Arial" w:cs="Arial"/>
              </w:rPr>
            </w:pPr>
            <w:r w:rsidRPr="00A62F1C">
              <w:rPr>
                <w:rFonts w:ascii="Arial" w:hAnsi="Arial" w:cs="Arial"/>
              </w:rPr>
              <w:t xml:space="preserve">Used for operation, delivery or evaluation of mental and behavioral health treatment programs and </w:t>
            </w:r>
            <w:r w:rsidRPr="00A62F1C">
              <w:rPr>
                <w:rFonts w:ascii="Arial" w:hAnsi="Arial" w:cs="Arial"/>
              </w:rPr>
              <w:lastRenderedPageBreak/>
              <w:t>services or housing-related services</w:t>
            </w:r>
          </w:p>
        </w:tc>
      </w:tr>
    </w:tbl>
    <w:p w14:paraId="39D448A7" w14:textId="77777777" w:rsidR="005A52E7" w:rsidRPr="00A62F1C" w:rsidRDefault="005A52E7" w:rsidP="005A52E7">
      <w:pPr>
        <w:jc w:val="both"/>
        <w:rPr>
          <w:rFonts w:ascii="Arial" w:hAnsi="Arial" w:cs="Arial"/>
        </w:rPr>
      </w:pPr>
    </w:p>
    <w:p w14:paraId="1FF40344" w14:textId="358D936D" w:rsidR="005A52E7" w:rsidRPr="00A62F1C" w:rsidRDefault="005A52E7" w:rsidP="005A52E7">
      <w:pPr>
        <w:jc w:val="both"/>
        <w:rPr>
          <w:rFonts w:ascii="Arial" w:hAnsi="Arial" w:cs="Arial"/>
        </w:rPr>
      </w:pPr>
      <w:r w:rsidRPr="00A62F1C">
        <w:rPr>
          <w:rFonts w:ascii="Arial" w:hAnsi="Arial" w:cs="Arial"/>
        </w:rPr>
        <w:t>Only the following population groups with at or below 60% median income for King County may be provided affordable housing and facilities providing housing-related programs generated using housing sales tax revenue:</w:t>
      </w:r>
    </w:p>
    <w:p w14:paraId="6F2DFDF3" w14:textId="77777777" w:rsidR="005A52E7" w:rsidRPr="00A62F1C" w:rsidRDefault="005A52E7" w:rsidP="005A52E7">
      <w:pPr>
        <w:jc w:val="both"/>
        <w:rPr>
          <w:rFonts w:ascii="Arial" w:hAnsi="Arial" w:cs="Arial"/>
        </w:rPr>
      </w:pPr>
    </w:p>
    <w:p w14:paraId="52744099"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Persons with behavioral health disabilities;</w:t>
      </w:r>
    </w:p>
    <w:p w14:paraId="50DF0805"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Veterans;</w:t>
      </w:r>
    </w:p>
    <w:p w14:paraId="17438AE0"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Homeless, or at-risk of being homeless, families with children;</w:t>
      </w:r>
    </w:p>
    <w:p w14:paraId="15336BCD"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Unaccompanied homeless youth or young adults;</w:t>
      </w:r>
    </w:p>
    <w:p w14:paraId="70BB4254"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Persons with disabilities; or</w:t>
      </w:r>
    </w:p>
    <w:p w14:paraId="5AEC8CD2" w14:textId="77777777" w:rsidR="005A52E7" w:rsidRPr="00A62F1C" w:rsidRDefault="005A52E7" w:rsidP="00A62F1C">
      <w:pPr>
        <w:pStyle w:val="ListParagraph0"/>
        <w:numPr>
          <w:ilvl w:val="0"/>
          <w:numId w:val="6"/>
        </w:numPr>
        <w:jc w:val="both"/>
        <w:rPr>
          <w:rFonts w:ascii="Arial" w:hAnsi="Arial" w:cs="Arial"/>
        </w:rPr>
      </w:pPr>
      <w:r w:rsidRPr="00A62F1C">
        <w:rPr>
          <w:rFonts w:ascii="Arial" w:hAnsi="Arial" w:cs="Arial"/>
        </w:rPr>
        <w:t>Domestic violence survivors.</w:t>
      </w:r>
    </w:p>
    <w:p w14:paraId="3FE33B51" w14:textId="77777777" w:rsidR="005A52E7" w:rsidRPr="00A62F1C" w:rsidRDefault="005A52E7" w:rsidP="005A52E7">
      <w:pPr>
        <w:jc w:val="both"/>
        <w:rPr>
          <w:rFonts w:ascii="Arial" w:hAnsi="Arial" w:cs="Arial"/>
        </w:rPr>
      </w:pPr>
    </w:p>
    <w:p w14:paraId="0B6762E7" w14:textId="24B3044A" w:rsidR="005A52E7" w:rsidRPr="00A62F1C" w:rsidRDefault="005A52E7" w:rsidP="005A52E7">
      <w:pPr>
        <w:jc w:val="both"/>
        <w:rPr>
          <w:rFonts w:ascii="Arial" w:hAnsi="Arial" w:cs="Arial"/>
        </w:rPr>
      </w:pPr>
      <w:r w:rsidRPr="00A62F1C">
        <w:rPr>
          <w:rFonts w:ascii="Arial" w:hAnsi="Arial" w:cs="Arial"/>
        </w:rPr>
        <w:t>Counties who impose the tax must consult with cities when siting facilities within jurisdictional boundaries.  Additionally, the county must spend at least 30% of revenue collected within any city with a population over 60,000 within that jurisdiction.  Currently, the following cities have populations over 60,000: Seattle, Bellevue, Kent, Renton, Federal Way, Kirkland, Auburn, Redmond, and Sammamish.</w:t>
      </w:r>
    </w:p>
    <w:p w14:paraId="1849EE8B" w14:textId="77777777" w:rsidR="005A52E7" w:rsidRPr="00A62F1C" w:rsidRDefault="005A52E7" w:rsidP="005A52E7">
      <w:pPr>
        <w:jc w:val="both"/>
        <w:rPr>
          <w:rFonts w:ascii="Arial" w:hAnsi="Arial" w:cs="Arial"/>
        </w:rPr>
      </w:pPr>
    </w:p>
    <w:p w14:paraId="67510DEE" w14:textId="02B85F08" w:rsidR="005A52E7" w:rsidRPr="00A62F1C" w:rsidRDefault="005A52E7" w:rsidP="005A52E7">
      <w:pPr>
        <w:jc w:val="both"/>
        <w:rPr>
          <w:rFonts w:ascii="Arial" w:hAnsi="Arial" w:cs="Arial"/>
        </w:rPr>
      </w:pPr>
      <w:r w:rsidRPr="00A62F1C">
        <w:rPr>
          <w:rFonts w:ascii="Arial" w:hAnsi="Arial" w:cs="Arial"/>
        </w:rPr>
        <w:t>The state statute allows for the county to issue general obligation or revenue bonds and pledge up to 50% of the monies collected for bond repayment.  Bonded revenue may finance provision or construction of affordable housing, facilities where housing-related programs are provided, or evaluation and treatment centers.</w:t>
      </w:r>
    </w:p>
    <w:p w14:paraId="762268B4" w14:textId="2117C771" w:rsidR="005A52E7" w:rsidRPr="00A62F1C" w:rsidRDefault="005A52E7" w:rsidP="005A52E7">
      <w:pPr>
        <w:jc w:val="both"/>
        <w:rPr>
          <w:rFonts w:ascii="Arial" w:hAnsi="Arial" w:cs="Arial"/>
        </w:rPr>
      </w:pPr>
    </w:p>
    <w:p w14:paraId="211A82EA" w14:textId="2B76FF2B" w:rsidR="00300581" w:rsidRPr="00A62F1C" w:rsidRDefault="00A05DA8" w:rsidP="00300581">
      <w:pPr>
        <w:jc w:val="both"/>
        <w:rPr>
          <w:rFonts w:ascii="Arial" w:hAnsi="Arial" w:cs="Arial"/>
        </w:rPr>
      </w:pPr>
      <w:r w:rsidRPr="00A62F1C">
        <w:rPr>
          <w:rFonts w:ascii="Arial" w:hAnsi="Arial" w:cs="Arial"/>
          <w:u w:val="single"/>
        </w:rPr>
        <w:t>Ordinance 19179.</w:t>
      </w:r>
      <w:r w:rsidRPr="00A62F1C">
        <w:rPr>
          <w:rFonts w:ascii="Arial" w:hAnsi="Arial" w:cs="Arial"/>
        </w:rPr>
        <w:t xml:space="preserve">  On October 13</w:t>
      </w:r>
      <w:r w:rsidRPr="00A62F1C">
        <w:rPr>
          <w:rFonts w:ascii="Arial" w:hAnsi="Arial" w:cs="Arial"/>
          <w:vertAlign w:val="superscript"/>
        </w:rPr>
        <w:t>th</w:t>
      </w:r>
      <w:r w:rsidRPr="00A62F1C">
        <w:rPr>
          <w:rFonts w:ascii="Arial" w:hAnsi="Arial" w:cs="Arial"/>
        </w:rPr>
        <w:t>, 2020, Council passed Ordinance 19179</w:t>
      </w:r>
      <w:r w:rsidRPr="00A62F1C">
        <w:rPr>
          <w:rStyle w:val="FootnoteReference"/>
          <w:rFonts w:ascii="Arial" w:hAnsi="Arial" w:cs="Arial"/>
        </w:rPr>
        <w:footnoteReference w:id="3"/>
      </w:r>
      <w:r w:rsidRPr="00A62F1C">
        <w:rPr>
          <w:rFonts w:ascii="Arial" w:hAnsi="Arial" w:cs="Arial"/>
        </w:rPr>
        <w:t xml:space="preserve">, </w:t>
      </w:r>
      <w:r w:rsidR="00300581" w:rsidRPr="00A62F1C">
        <w:rPr>
          <w:rFonts w:ascii="Arial" w:hAnsi="Arial" w:cs="Arial"/>
        </w:rPr>
        <w:t>imposing a sales and use tax of 1/10</w:t>
      </w:r>
      <w:r w:rsidR="00300581" w:rsidRPr="00A62F1C">
        <w:rPr>
          <w:rFonts w:ascii="Arial" w:hAnsi="Arial" w:cs="Arial"/>
          <w:vertAlign w:val="superscript"/>
        </w:rPr>
        <w:t>th</w:t>
      </w:r>
      <w:r w:rsidR="00300581" w:rsidRPr="00A62F1C">
        <w:rPr>
          <w:rFonts w:ascii="Arial" w:hAnsi="Arial" w:cs="Arial"/>
        </w:rPr>
        <w:t xml:space="preserve"> of 1% for housing and related services, as authorized in RCW 82.14.530, discussed above.  Proceeds from the tax are deposited into the Health through Housing fund, which was established through Ordinance 19180</w:t>
      </w:r>
      <w:r w:rsidR="00300581" w:rsidRPr="00A62F1C">
        <w:rPr>
          <w:rStyle w:val="FootnoteReference"/>
          <w:rFonts w:ascii="Arial" w:hAnsi="Arial" w:cs="Arial"/>
        </w:rPr>
        <w:footnoteReference w:id="4"/>
      </w:r>
      <w:r w:rsidR="00300581" w:rsidRPr="00A62F1C">
        <w:rPr>
          <w:rFonts w:ascii="Arial" w:hAnsi="Arial" w:cs="Arial"/>
        </w:rPr>
        <w:t xml:space="preserve">.  </w:t>
      </w:r>
    </w:p>
    <w:p w14:paraId="6358E282" w14:textId="77777777" w:rsidR="00300581" w:rsidRPr="00A62F1C" w:rsidRDefault="00300581" w:rsidP="00300581">
      <w:pPr>
        <w:jc w:val="both"/>
        <w:rPr>
          <w:rFonts w:ascii="Arial" w:hAnsi="Arial" w:cs="Arial"/>
        </w:rPr>
      </w:pPr>
    </w:p>
    <w:p w14:paraId="63F68BFC" w14:textId="0F51C326" w:rsidR="00300581" w:rsidRPr="00A62F1C" w:rsidRDefault="00300581" w:rsidP="00300581">
      <w:pPr>
        <w:jc w:val="both"/>
        <w:rPr>
          <w:rFonts w:ascii="Arial" w:hAnsi="Arial" w:cs="Arial"/>
        </w:rPr>
      </w:pPr>
      <w:r w:rsidRPr="00A62F1C">
        <w:rPr>
          <w:rFonts w:ascii="Arial" w:hAnsi="Arial" w:cs="Arial"/>
        </w:rPr>
        <w:t xml:space="preserve">According to Ordinance 19179, proceeds are required to be spent on the uses outlined in state statute as described above, prioritizing those within the specified population groups in RCW 82.14.520(2)(b) and whose income does not exceed 30% of the King County area median income (AMI).  Additionally, proceeds are required to be allocated with the objective of reducing racial and ethnic disproportionality among those experiencing chronic homelessness.  </w:t>
      </w:r>
    </w:p>
    <w:p w14:paraId="4EB83085" w14:textId="0B2A3324" w:rsidR="00300581" w:rsidRPr="00A62F1C" w:rsidRDefault="00300581" w:rsidP="00300581">
      <w:pPr>
        <w:jc w:val="both"/>
        <w:rPr>
          <w:rFonts w:ascii="Arial" w:hAnsi="Arial" w:cs="Arial"/>
        </w:rPr>
      </w:pPr>
    </w:p>
    <w:p w14:paraId="0A82057E" w14:textId="7D167CAC" w:rsidR="00A77CB9" w:rsidRPr="00A62F1C" w:rsidRDefault="00300581" w:rsidP="00300581">
      <w:pPr>
        <w:jc w:val="both"/>
        <w:rPr>
          <w:rFonts w:ascii="Arial" w:hAnsi="Arial" w:cs="Arial"/>
        </w:rPr>
      </w:pPr>
      <w:r w:rsidRPr="00A62F1C">
        <w:rPr>
          <w:rFonts w:ascii="Arial" w:hAnsi="Arial" w:cs="Arial"/>
        </w:rPr>
        <w:t>The Ordinance also provides the County with the authority to issue bonds and use up to 50% of the monies collected for repayment of those bonds.</w:t>
      </w:r>
    </w:p>
    <w:p w14:paraId="1A3EAC8E" w14:textId="716E848C" w:rsidR="00C97FBC" w:rsidRPr="00A62F1C" w:rsidRDefault="00C97FBC" w:rsidP="00A77CB9">
      <w:pPr>
        <w:rPr>
          <w:rFonts w:ascii="Arial" w:hAnsi="Arial" w:cs="Arial"/>
        </w:rPr>
      </w:pPr>
    </w:p>
    <w:p w14:paraId="25BA9843" w14:textId="67762FDD" w:rsidR="00B32185" w:rsidRDefault="00C97FBC" w:rsidP="00B32185">
      <w:pPr>
        <w:jc w:val="both"/>
        <w:rPr>
          <w:rFonts w:ascii="Arial" w:hAnsi="Arial" w:cs="Arial"/>
        </w:rPr>
      </w:pPr>
      <w:r w:rsidRPr="009C79F6">
        <w:rPr>
          <w:rFonts w:ascii="Arial" w:hAnsi="Arial" w:cs="Arial"/>
          <w:u w:val="single"/>
        </w:rPr>
        <w:t>Ordinance 19236.</w:t>
      </w:r>
      <w:r w:rsidRPr="00A62F1C">
        <w:rPr>
          <w:rFonts w:ascii="Arial" w:hAnsi="Arial" w:cs="Arial"/>
        </w:rPr>
        <w:t xml:space="preserve"> </w:t>
      </w:r>
      <w:r w:rsidR="00B32185">
        <w:rPr>
          <w:rFonts w:ascii="Arial" w:hAnsi="Arial" w:cs="Arial"/>
        </w:rPr>
        <w:t xml:space="preserve">Adopted in February 2021, Ordinance 19236 </w:t>
      </w:r>
      <w:r w:rsidR="00B32185" w:rsidRPr="00FA7938">
        <w:rPr>
          <w:rFonts w:ascii="Arial" w:hAnsi="Arial" w:cs="Arial"/>
        </w:rPr>
        <w:t xml:space="preserve">outlines the content and </w:t>
      </w:r>
      <w:r w:rsidR="00B32185">
        <w:rPr>
          <w:rFonts w:ascii="Arial" w:hAnsi="Arial" w:cs="Arial"/>
        </w:rPr>
        <w:t>development approach for</w:t>
      </w:r>
      <w:r w:rsidR="00B32185" w:rsidRPr="00FA7938">
        <w:rPr>
          <w:rFonts w:ascii="Arial" w:hAnsi="Arial" w:cs="Arial"/>
        </w:rPr>
        <w:t xml:space="preserve"> </w:t>
      </w:r>
      <w:r w:rsidR="00B32185">
        <w:rPr>
          <w:rFonts w:ascii="Arial" w:hAnsi="Arial" w:cs="Arial"/>
        </w:rPr>
        <w:t xml:space="preserve">the </w:t>
      </w:r>
      <w:r w:rsidR="00F07928">
        <w:rPr>
          <w:rFonts w:ascii="Arial" w:hAnsi="Arial" w:cs="Arial"/>
        </w:rPr>
        <w:t>HtH</w:t>
      </w:r>
      <w:r w:rsidR="00B32185" w:rsidRPr="00FA7938">
        <w:rPr>
          <w:rFonts w:ascii="Arial" w:hAnsi="Arial" w:cs="Arial"/>
        </w:rPr>
        <w:t xml:space="preserve"> Implementation Plan </w:t>
      </w:r>
      <w:r w:rsidR="00B32185">
        <w:rPr>
          <w:rFonts w:ascii="Arial" w:hAnsi="Arial" w:cs="Arial"/>
        </w:rPr>
        <w:t>and</w:t>
      </w:r>
      <w:r w:rsidR="00B32185" w:rsidRPr="00FA7938">
        <w:rPr>
          <w:rFonts w:ascii="Arial" w:hAnsi="Arial" w:cs="Arial"/>
        </w:rPr>
        <w:t xml:space="preserve"> </w:t>
      </w:r>
      <w:r w:rsidR="00B32185">
        <w:rPr>
          <w:rFonts w:ascii="Arial" w:hAnsi="Arial" w:cs="Arial"/>
        </w:rPr>
        <w:t xml:space="preserve">defines how </w:t>
      </w:r>
      <w:r w:rsidR="00B32185" w:rsidRPr="00FA7938">
        <w:rPr>
          <w:rFonts w:ascii="Arial" w:hAnsi="Arial" w:cs="Arial"/>
        </w:rPr>
        <w:t>revenue</w:t>
      </w:r>
      <w:r w:rsidR="00B32185">
        <w:rPr>
          <w:rFonts w:ascii="Arial" w:hAnsi="Arial" w:cs="Arial"/>
        </w:rPr>
        <w:t>s are to be spent. Per Ordinance 19236, th</w:t>
      </w:r>
      <w:r w:rsidR="00B32185" w:rsidRPr="00FA7938">
        <w:rPr>
          <w:rFonts w:ascii="Arial" w:hAnsi="Arial" w:cs="Arial"/>
        </w:rPr>
        <w:t xml:space="preserve">e </w:t>
      </w:r>
      <w:r w:rsidR="00B32185">
        <w:rPr>
          <w:rFonts w:ascii="Arial" w:hAnsi="Arial" w:cs="Arial"/>
        </w:rPr>
        <w:t>Executive is required to</w:t>
      </w:r>
      <w:r w:rsidR="00B32185" w:rsidRPr="00FA7938">
        <w:rPr>
          <w:rFonts w:ascii="Arial" w:hAnsi="Arial" w:cs="Arial"/>
        </w:rPr>
        <w:t xml:space="preserve"> develop</w:t>
      </w:r>
      <w:r w:rsidR="00B32185">
        <w:rPr>
          <w:rFonts w:ascii="Arial" w:hAnsi="Arial" w:cs="Arial"/>
        </w:rPr>
        <w:t xml:space="preserve"> the Implementation Plan</w:t>
      </w:r>
      <w:r w:rsidR="00B32185" w:rsidRPr="00FA7938">
        <w:rPr>
          <w:rFonts w:ascii="Arial" w:hAnsi="Arial" w:cs="Arial"/>
        </w:rPr>
        <w:t xml:space="preserve"> in consultation with the Affordable Housing Committee and the </w:t>
      </w:r>
      <w:r w:rsidR="00B32185">
        <w:rPr>
          <w:rFonts w:ascii="Arial" w:hAnsi="Arial" w:cs="Arial"/>
        </w:rPr>
        <w:t>C</w:t>
      </w:r>
      <w:r w:rsidR="00B32185" w:rsidRPr="00FA7938">
        <w:rPr>
          <w:rFonts w:ascii="Arial" w:hAnsi="Arial" w:cs="Arial"/>
        </w:rPr>
        <w:t xml:space="preserve">hief </w:t>
      </w:r>
      <w:r w:rsidR="00B32185">
        <w:rPr>
          <w:rFonts w:ascii="Arial" w:hAnsi="Arial" w:cs="Arial"/>
        </w:rPr>
        <w:t>E</w:t>
      </w:r>
      <w:r w:rsidR="00B32185" w:rsidRPr="00FA7938">
        <w:rPr>
          <w:rFonts w:ascii="Arial" w:hAnsi="Arial" w:cs="Arial"/>
        </w:rPr>
        <w:t xml:space="preserve">xecutive </w:t>
      </w:r>
      <w:r w:rsidR="00B32185">
        <w:rPr>
          <w:rFonts w:ascii="Arial" w:hAnsi="Arial" w:cs="Arial"/>
        </w:rPr>
        <w:t>O</w:t>
      </w:r>
      <w:r w:rsidR="00B32185" w:rsidRPr="00FA7938">
        <w:rPr>
          <w:rFonts w:ascii="Arial" w:hAnsi="Arial" w:cs="Arial"/>
        </w:rPr>
        <w:t xml:space="preserve">fficer of the King County Regional Homelessness Authority and transmit </w:t>
      </w:r>
      <w:r w:rsidR="00B32185">
        <w:rPr>
          <w:rFonts w:ascii="Arial" w:hAnsi="Arial" w:cs="Arial"/>
        </w:rPr>
        <w:t xml:space="preserve">the plan to Council, along with legislation to establish the </w:t>
      </w:r>
      <w:r w:rsidR="00F07928">
        <w:rPr>
          <w:rFonts w:ascii="Arial" w:hAnsi="Arial" w:cs="Arial"/>
        </w:rPr>
        <w:t>HtH</w:t>
      </w:r>
      <w:r w:rsidR="00B32185">
        <w:rPr>
          <w:rFonts w:ascii="Arial" w:hAnsi="Arial" w:cs="Arial"/>
        </w:rPr>
        <w:t xml:space="preserve"> Advisory Committee, </w:t>
      </w:r>
      <w:r w:rsidR="00B32185" w:rsidRPr="00FA7938">
        <w:rPr>
          <w:rFonts w:ascii="Arial" w:hAnsi="Arial" w:cs="Arial"/>
        </w:rPr>
        <w:t>no later than June 30, 2021</w:t>
      </w:r>
      <w:r w:rsidR="00B32185">
        <w:rPr>
          <w:rFonts w:ascii="Arial" w:hAnsi="Arial" w:cs="Arial"/>
        </w:rPr>
        <w:t>.</w:t>
      </w:r>
    </w:p>
    <w:p w14:paraId="02700FAC" w14:textId="77777777" w:rsidR="00B32185" w:rsidRDefault="00B32185" w:rsidP="00B32185">
      <w:pPr>
        <w:jc w:val="both"/>
        <w:rPr>
          <w:rFonts w:ascii="Arial" w:hAnsi="Arial" w:cs="Arial"/>
        </w:rPr>
      </w:pPr>
    </w:p>
    <w:p w14:paraId="2015D7FC" w14:textId="5D29443E" w:rsidR="00B32185" w:rsidRDefault="00B32185" w:rsidP="00B32185">
      <w:pPr>
        <w:jc w:val="both"/>
        <w:rPr>
          <w:rFonts w:ascii="Arial" w:hAnsi="Arial" w:cs="Arial"/>
        </w:rPr>
      </w:pPr>
      <w:r>
        <w:rPr>
          <w:rFonts w:ascii="Arial" w:hAnsi="Arial" w:cs="Arial"/>
        </w:rPr>
        <w:t xml:space="preserve">Ordinance 19236 requires that the Implementation Plan include goals, strategies, performance measures, reporting requirements, a process for siting </w:t>
      </w:r>
      <w:r w:rsidR="00F07928">
        <w:rPr>
          <w:rFonts w:ascii="Arial" w:hAnsi="Arial" w:cs="Arial"/>
        </w:rPr>
        <w:t>HtH</w:t>
      </w:r>
      <w:r>
        <w:rPr>
          <w:rFonts w:ascii="Arial" w:hAnsi="Arial" w:cs="Arial"/>
        </w:rPr>
        <w:t xml:space="preserve"> funded affordable housing and behavioral health facilities, and a detailed annual spending plan for the first eight years of the tax. The required goals to be included in the Implementation Plan are:</w:t>
      </w:r>
    </w:p>
    <w:p w14:paraId="010B8F42" w14:textId="77777777" w:rsidR="00B32185" w:rsidRDefault="00B32185" w:rsidP="00B32185">
      <w:pPr>
        <w:pStyle w:val="ListParagraph0"/>
        <w:numPr>
          <w:ilvl w:val="0"/>
          <w:numId w:val="25"/>
        </w:numPr>
        <w:jc w:val="both"/>
        <w:rPr>
          <w:rFonts w:ascii="Arial" w:hAnsi="Arial" w:cs="Arial"/>
        </w:rPr>
      </w:pPr>
      <w:r>
        <w:rPr>
          <w:rFonts w:ascii="Arial" w:hAnsi="Arial" w:cs="Arial"/>
        </w:rPr>
        <w:t>T</w:t>
      </w:r>
      <w:r w:rsidRPr="002631F6">
        <w:rPr>
          <w:rFonts w:ascii="Arial" w:hAnsi="Arial" w:cs="Arial"/>
        </w:rPr>
        <w:t xml:space="preserve">he creation and ongoing operation of </w:t>
      </w:r>
      <w:r>
        <w:rPr>
          <w:rFonts w:ascii="Arial" w:hAnsi="Arial" w:cs="Arial"/>
        </w:rPr>
        <w:t>one thousand six hundred</w:t>
      </w:r>
      <w:r w:rsidRPr="002631F6">
        <w:rPr>
          <w:rFonts w:ascii="Arial" w:hAnsi="Arial" w:cs="Arial"/>
        </w:rPr>
        <w:t xml:space="preserve"> units of affordable housing with housing-related services</w:t>
      </w:r>
      <w:r>
        <w:rPr>
          <w:rFonts w:ascii="Arial" w:hAnsi="Arial" w:cs="Arial"/>
        </w:rPr>
        <w:t xml:space="preserve">; </w:t>
      </w:r>
    </w:p>
    <w:p w14:paraId="33837DA4" w14:textId="77777777" w:rsidR="00B32185" w:rsidRDefault="00B32185" w:rsidP="00B32185">
      <w:pPr>
        <w:pStyle w:val="ListParagraph0"/>
        <w:numPr>
          <w:ilvl w:val="0"/>
          <w:numId w:val="25"/>
        </w:numPr>
        <w:jc w:val="both"/>
        <w:rPr>
          <w:rFonts w:ascii="Arial" w:hAnsi="Arial" w:cs="Arial"/>
        </w:rPr>
      </w:pPr>
      <w:r>
        <w:rPr>
          <w:rFonts w:ascii="Arial" w:hAnsi="Arial" w:cs="Arial"/>
        </w:rPr>
        <w:t>A</w:t>
      </w:r>
      <w:r w:rsidRPr="002631F6">
        <w:rPr>
          <w:rFonts w:ascii="Arial" w:hAnsi="Arial" w:cs="Arial"/>
        </w:rPr>
        <w:t>n annual reduction of racial and ethnic demographic disproportionality among persons experiencing chronic homelessness in King County</w:t>
      </w:r>
      <w:r>
        <w:rPr>
          <w:rFonts w:ascii="Arial" w:hAnsi="Arial" w:cs="Arial"/>
        </w:rPr>
        <w:t>; and</w:t>
      </w:r>
    </w:p>
    <w:p w14:paraId="5677CBED" w14:textId="77777777" w:rsidR="00B32185" w:rsidRDefault="00B32185" w:rsidP="00B32185">
      <w:pPr>
        <w:pStyle w:val="ListParagraph0"/>
        <w:numPr>
          <w:ilvl w:val="0"/>
          <w:numId w:val="25"/>
        </w:numPr>
        <w:jc w:val="both"/>
        <w:rPr>
          <w:rFonts w:ascii="Arial" w:hAnsi="Arial" w:cs="Arial"/>
        </w:rPr>
      </w:pPr>
      <w:r>
        <w:rPr>
          <w:rFonts w:ascii="Arial" w:hAnsi="Arial" w:cs="Arial"/>
        </w:rPr>
        <w:t>The creation and operation of a mobile behavioral health intervention program with access for its clients to be created, operated, or otherwise funded by proceeds.</w:t>
      </w:r>
    </w:p>
    <w:p w14:paraId="4CD73626" w14:textId="77777777" w:rsidR="00B32185" w:rsidRDefault="00B32185" w:rsidP="00B32185">
      <w:pPr>
        <w:jc w:val="both"/>
        <w:rPr>
          <w:rFonts w:ascii="Arial" w:hAnsi="Arial" w:cs="Arial"/>
        </w:rPr>
      </w:pPr>
    </w:p>
    <w:p w14:paraId="7745394D" w14:textId="34E95E3B" w:rsidR="00B32185" w:rsidRDefault="00B32185" w:rsidP="00B32185">
      <w:pPr>
        <w:jc w:val="both"/>
        <w:rPr>
          <w:rFonts w:ascii="Arial" w:hAnsi="Arial" w:cs="Arial"/>
        </w:rPr>
      </w:pPr>
      <w:r>
        <w:rPr>
          <w:rFonts w:ascii="Arial" w:hAnsi="Arial" w:cs="Arial"/>
        </w:rPr>
        <w:t xml:space="preserve">Ordinance 19236 requires that legislation establishing the </w:t>
      </w:r>
      <w:r w:rsidR="00F07928">
        <w:rPr>
          <w:rFonts w:ascii="Arial" w:hAnsi="Arial" w:cs="Arial"/>
        </w:rPr>
        <w:t>HtH</w:t>
      </w:r>
      <w:r>
        <w:rPr>
          <w:rFonts w:ascii="Arial" w:hAnsi="Arial" w:cs="Arial"/>
        </w:rPr>
        <w:t xml:space="preserve"> Advisory Committee be transmitted with the Implementation Plan. The Committee would be</w:t>
      </w:r>
      <w:r w:rsidRPr="00F908A2">
        <w:rPr>
          <w:rFonts w:ascii="Arial" w:hAnsi="Arial" w:cs="Arial"/>
        </w:rPr>
        <w:t xml:space="preserve"> </w:t>
      </w:r>
      <w:r w:rsidRPr="00D43770">
        <w:rPr>
          <w:rFonts w:ascii="Arial" w:hAnsi="Arial" w:cs="Arial"/>
        </w:rPr>
        <w:t>tasked with providing advice to the Executive and Council</w:t>
      </w:r>
      <w:r>
        <w:rPr>
          <w:rFonts w:ascii="Arial" w:hAnsi="Arial" w:cs="Arial"/>
        </w:rPr>
        <w:t xml:space="preserve"> and</w:t>
      </w:r>
      <w:r w:rsidRPr="00D43770">
        <w:rPr>
          <w:rFonts w:ascii="Arial" w:hAnsi="Arial" w:cs="Arial"/>
        </w:rPr>
        <w:t xml:space="preserve"> produc</w:t>
      </w:r>
      <w:r>
        <w:rPr>
          <w:rFonts w:ascii="Arial" w:hAnsi="Arial" w:cs="Arial"/>
        </w:rPr>
        <w:t>ing</w:t>
      </w:r>
      <w:r w:rsidRPr="00D43770">
        <w:rPr>
          <w:rFonts w:ascii="Arial" w:hAnsi="Arial" w:cs="Arial"/>
        </w:rPr>
        <w:t xml:space="preserve"> an annual report on the accomplishments and effectiveness of </w:t>
      </w:r>
      <w:r w:rsidR="00F07928">
        <w:rPr>
          <w:rFonts w:ascii="Arial" w:hAnsi="Arial" w:cs="Arial"/>
        </w:rPr>
        <w:t>HtH</w:t>
      </w:r>
      <w:r>
        <w:rPr>
          <w:rFonts w:ascii="Arial" w:hAnsi="Arial" w:cs="Arial"/>
        </w:rPr>
        <w:t xml:space="preserve"> </w:t>
      </w:r>
      <w:r w:rsidRPr="00D43770">
        <w:rPr>
          <w:rFonts w:ascii="Arial" w:hAnsi="Arial" w:cs="Arial"/>
        </w:rPr>
        <w:t>sales tax expenditures.</w:t>
      </w:r>
      <w:r>
        <w:rPr>
          <w:rFonts w:ascii="Arial" w:hAnsi="Arial" w:cs="Arial"/>
        </w:rPr>
        <w:t xml:space="preserve"> The Committee's responsibilities are to be described in the implementation plan and the membership would be required to include representatives of the following demographics: </w:t>
      </w:r>
    </w:p>
    <w:p w14:paraId="35B43596" w14:textId="629A6E16" w:rsidR="00B32185" w:rsidRDefault="00B32185" w:rsidP="00B32185">
      <w:pPr>
        <w:pStyle w:val="ListParagraph0"/>
        <w:numPr>
          <w:ilvl w:val="0"/>
          <w:numId w:val="26"/>
        </w:numPr>
        <w:jc w:val="both"/>
        <w:rPr>
          <w:rFonts w:ascii="Arial" w:hAnsi="Arial" w:cs="Arial"/>
        </w:rPr>
      </w:pPr>
      <w:r>
        <w:rPr>
          <w:rFonts w:ascii="Arial" w:hAnsi="Arial" w:cs="Arial"/>
        </w:rPr>
        <w:t>I</w:t>
      </w:r>
      <w:r w:rsidRPr="000E426F">
        <w:rPr>
          <w:rFonts w:ascii="Arial" w:hAnsi="Arial" w:cs="Arial"/>
        </w:rPr>
        <w:t>ndividuals who have experienced homelessness</w:t>
      </w:r>
      <w:r w:rsidR="003650F8">
        <w:rPr>
          <w:rFonts w:ascii="Arial" w:hAnsi="Arial" w:cs="Arial"/>
        </w:rPr>
        <w:t>;</w:t>
      </w:r>
      <w:r w:rsidRPr="000E426F">
        <w:rPr>
          <w:rFonts w:ascii="Arial" w:hAnsi="Arial" w:cs="Arial"/>
        </w:rPr>
        <w:t xml:space="preserve"> </w:t>
      </w:r>
    </w:p>
    <w:p w14:paraId="5D7883A6" w14:textId="597E2D4A" w:rsidR="00B32185" w:rsidRDefault="00B32185" w:rsidP="00B32185">
      <w:pPr>
        <w:pStyle w:val="ListParagraph0"/>
        <w:numPr>
          <w:ilvl w:val="0"/>
          <w:numId w:val="26"/>
        </w:numPr>
        <w:jc w:val="both"/>
        <w:rPr>
          <w:rFonts w:ascii="Arial" w:hAnsi="Arial" w:cs="Arial"/>
        </w:rPr>
      </w:pPr>
      <w:r>
        <w:rPr>
          <w:rFonts w:ascii="Arial" w:hAnsi="Arial" w:cs="Arial"/>
        </w:rPr>
        <w:t>R</w:t>
      </w:r>
      <w:r w:rsidRPr="000E426F">
        <w:rPr>
          <w:rFonts w:ascii="Arial" w:hAnsi="Arial" w:cs="Arial"/>
        </w:rPr>
        <w:t>acial and ethnic communities disproportionately represented among people experiencing chronic homelessness</w:t>
      </w:r>
      <w:r w:rsidR="003650F8">
        <w:rPr>
          <w:rFonts w:ascii="Arial" w:hAnsi="Arial" w:cs="Arial"/>
        </w:rPr>
        <w:t>;</w:t>
      </w:r>
      <w:r w:rsidRPr="000E426F">
        <w:rPr>
          <w:rFonts w:ascii="Arial" w:hAnsi="Arial" w:cs="Arial"/>
        </w:rPr>
        <w:t xml:space="preserve"> </w:t>
      </w:r>
    </w:p>
    <w:p w14:paraId="735F4E12" w14:textId="08662E02" w:rsidR="00B32185" w:rsidRDefault="00B32185" w:rsidP="00B32185">
      <w:pPr>
        <w:pStyle w:val="ListParagraph0"/>
        <w:numPr>
          <w:ilvl w:val="0"/>
          <w:numId w:val="26"/>
        </w:numPr>
        <w:jc w:val="both"/>
        <w:rPr>
          <w:rFonts w:ascii="Arial" w:hAnsi="Arial" w:cs="Arial"/>
        </w:rPr>
      </w:pPr>
      <w:r>
        <w:rPr>
          <w:rFonts w:ascii="Arial" w:hAnsi="Arial" w:cs="Arial"/>
        </w:rPr>
        <w:t>R</w:t>
      </w:r>
      <w:r w:rsidRPr="000E426F">
        <w:rPr>
          <w:rFonts w:ascii="Arial" w:hAnsi="Arial" w:cs="Arial"/>
        </w:rPr>
        <w:t>esidents of cities with populations greater than sixty thousand</w:t>
      </w:r>
      <w:r w:rsidR="003650F8">
        <w:rPr>
          <w:rFonts w:ascii="Arial" w:hAnsi="Arial" w:cs="Arial"/>
        </w:rPr>
        <w:t>;</w:t>
      </w:r>
      <w:r w:rsidRPr="000E426F">
        <w:rPr>
          <w:rFonts w:ascii="Arial" w:hAnsi="Arial" w:cs="Arial"/>
        </w:rPr>
        <w:t xml:space="preserve"> </w:t>
      </w:r>
    </w:p>
    <w:p w14:paraId="2A42EF6B" w14:textId="52FFBFA4" w:rsidR="00B32185" w:rsidRDefault="00B32185" w:rsidP="00B32185">
      <w:pPr>
        <w:pStyle w:val="ListParagraph0"/>
        <w:numPr>
          <w:ilvl w:val="0"/>
          <w:numId w:val="26"/>
        </w:numPr>
        <w:jc w:val="both"/>
        <w:rPr>
          <w:rFonts w:ascii="Arial" w:hAnsi="Arial" w:cs="Arial"/>
        </w:rPr>
      </w:pPr>
      <w:r>
        <w:rPr>
          <w:rFonts w:ascii="Arial" w:hAnsi="Arial" w:cs="Arial"/>
        </w:rPr>
        <w:t>R</w:t>
      </w:r>
      <w:r w:rsidRPr="000E426F">
        <w:rPr>
          <w:rFonts w:ascii="Arial" w:hAnsi="Arial" w:cs="Arial"/>
        </w:rPr>
        <w:t>esidents of the unincorporated areas</w:t>
      </w:r>
      <w:r w:rsidR="003650F8">
        <w:rPr>
          <w:rFonts w:ascii="Arial" w:hAnsi="Arial" w:cs="Arial"/>
        </w:rPr>
        <w:t>;</w:t>
      </w:r>
      <w:r>
        <w:rPr>
          <w:rFonts w:ascii="Arial" w:hAnsi="Arial" w:cs="Arial"/>
        </w:rPr>
        <w:t xml:space="preserve"> and </w:t>
      </w:r>
    </w:p>
    <w:p w14:paraId="55CE5D3C" w14:textId="4ABA0BFD" w:rsidR="00C97FBC" w:rsidRPr="00AE36AA" w:rsidRDefault="00B32185" w:rsidP="00A77CB9">
      <w:pPr>
        <w:pStyle w:val="ListParagraph0"/>
        <w:numPr>
          <w:ilvl w:val="0"/>
          <w:numId w:val="26"/>
        </w:numPr>
        <w:jc w:val="both"/>
        <w:rPr>
          <w:rFonts w:ascii="Arial" w:hAnsi="Arial" w:cs="Arial"/>
        </w:rPr>
      </w:pPr>
      <w:r>
        <w:rPr>
          <w:rFonts w:ascii="Arial" w:hAnsi="Arial" w:cs="Arial"/>
        </w:rPr>
        <w:t>R</w:t>
      </w:r>
      <w:r w:rsidRPr="00766949">
        <w:rPr>
          <w:rFonts w:ascii="Arial" w:hAnsi="Arial" w:cs="Arial"/>
        </w:rPr>
        <w:t xml:space="preserve">epresentatives from county, city, and subregional boards, commissions or committees </w:t>
      </w:r>
      <w:r>
        <w:rPr>
          <w:rFonts w:ascii="Arial" w:hAnsi="Arial" w:cs="Arial"/>
        </w:rPr>
        <w:t xml:space="preserve">pertaining to King County </w:t>
      </w:r>
      <w:r w:rsidRPr="00766949">
        <w:rPr>
          <w:rFonts w:ascii="Arial" w:hAnsi="Arial" w:cs="Arial"/>
        </w:rPr>
        <w:t>human services investments</w:t>
      </w:r>
      <w:r>
        <w:rPr>
          <w:rFonts w:ascii="Arial" w:hAnsi="Arial" w:cs="Arial"/>
        </w:rPr>
        <w:t xml:space="preserve">. </w:t>
      </w:r>
    </w:p>
    <w:p w14:paraId="6487D695" w14:textId="4A400F42" w:rsidR="001C5C9A" w:rsidRDefault="001C5C9A" w:rsidP="00A77CB9">
      <w:pPr>
        <w:rPr>
          <w:rFonts w:ascii="Arial" w:hAnsi="Arial" w:cs="Arial"/>
        </w:rPr>
      </w:pPr>
    </w:p>
    <w:p w14:paraId="1CCFBD19" w14:textId="77777777" w:rsidR="001C5C9A" w:rsidRPr="0030480D" w:rsidRDefault="001C5C9A" w:rsidP="003650F8">
      <w:pPr>
        <w:jc w:val="both"/>
        <w:rPr>
          <w:rFonts w:ascii="Arial" w:hAnsi="Arial" w:cs="Arial"/>
        </w:rPr>
      </w:pPr>
      <w:r w:rsidRPr="0030480D">
        <w:rPr>
          <w:rFonts w:ascii="Arial" w:hAnsi="Arial" w:cs="Arial"/>
          <w:b/>
          <w:bCs/>
        </w:rPr>
        <w:t>County Plans and Policies.</w:t>
      </w:r>
      <w:r w:rsidRPr="0030480D">
        <w:rPr>
          <w:rFonts w:ascii="Arial" w:hAnsi="Arial" w:cs="Arial"/>
        </w:rPr>
        <w:t xml:space="preserve"> </w:t>
      </w:r>
    </w:p>
    <w:p w14:paraId="689626F2" w14:textId="77777777" w:rsidR="001C5C9A" w:rsidRPr="0030480D" w:rsidRDefault="001C5C9A" w:rsidP="003650F8">
      <w:pPr>
        <w:jc w:val="both"/>
        <w:rPr>
          <w:rFonts w:ascii="Arial" w:hAnsi="Arial" w:cs="Arial"/>
        </w:rPr>
      </w:pPr>
    </w:p>
    <w:p w14:paraId="6360FAF6" w14:textId="77777777" w:rsidR="001C5C9A" w:rsidRPr="0030480D" w:rsidRDefault="001C5C9A" w:rsidP="003650F8">
      <w:pPr>
        <w:jc w:val="both"/>
        <w:rPr>
          <w:rFonts w:ascii="Arial" w:hAnsi="Arial" w:cs="Arial"/>
        </w:rPr>
      </w:pPr>
      <w:r w:rsidRPr="0030480D">
        <w:rPr>
          <w:rFonts w:ascii="Arial" w:hAnsi="Arial" w:cs="Arial"/>
          <w:i/>
          <w:iCs/>
        </w:rPr>
        <w:t>King County Strategic Plan.</w:t>
      </w:r>
      <w:r>
        <w:rPr>
          <w:rFonts w:ascii="Arial" w:hAnsi="Arial" w:cs="Arial"/>
          <w:i/>
          <w:iCs/>
        </w:rPr>
        <w:t xml:space="preserve"> </w:t>
      </w:r>
      <w:r w:rsidRPr="0030480D">
        <w:rPr>
          <w:rFonts w:ascii="Arial" w:hAnsi="Arial" w:cs="Arial"/>
          <w:i/>
          <w:iCs/>
        </w:rPr>
        <w:t xml:space="preserve"> </w:t>
      </w:r>
      <w:r w:rsidRPr="0030480D">
        <w:rPr>
          <w:rFonts w:ascii="Arial" w:hAnsi="Arial" w:cs="Arial"/>
        </w:rPr>
        <w:t>In 2010, the County enacted Ordinance 16897 to establish the King County Strategic Plan.</w:t>
      </w:r>
      <w:r w:rsidRPr="0030480D">
        <w:rPr>
          <w:rStyle w:val="FootnoteReference"/>
          <w:rFonts w:ascii="Arial" w:hAnsi="Arial" w:cs="Arial"/>
        </w:rPr>
        <w:footnoteReference w:id="5"/>
      </w:r>
      <w:r w:rsidRPr="0030480D">
        <w:rPr>
          <w:rFonts w:ascii="Arial" w:hAnsi="Arial" w:cs="Arial"/>
        </w:rPr>
        <w:t xml:space="preserve"> In 2015, Motion 14317</w:t>
      </w:r>
      <w:r w:rsidRPr="0030480D">
        <w:rPr>
          <w:rStyle w:val="FootnoteReference"/>
          <w:rFonts w:ascii="Arial" w:hAnsi="Arial" w:cs="Arial"/>
        </w:rPr>
        <w:footnoteReference w:id="6"/>
      </w:r>
      <w:r w:rsidRPr="0030480D">
        <w:rPr>
          <w:rFonts w:ascii="Arial" w:hAnsi="Arial" w:cs="Arial"/>
        </w:rPr>
        <w:t xml:space="preserve"> revised the County’s vision, mission, guiding principles, and goals. According to the</w:t>
      </w:r>
      <w:r>
        <w:rPr>
          <w:rFonts w:ascii="Arial" w:hAnsi="Arial" w:cs="Arial"/>
        </w:rPr>
        <w:t xml:space="preserve"> proposed</w:t>
      </w:r>
      <w:r w:rsidRPr="0030480D">
        <w:rPr>
          <w:rFonts w:ascii="Arial" w:hAnsi="Arial" w:cs="Arial"/>
        </w:rPr>
        <w:t xml:space="preserve"> </w:t>
      </w:r>
      <w:r>
        <w:rPr>
          <w:rFonts w:ascii="Arial" w:hAnsi="Arial" w:cs="Arial"/>
        </w:rPr>
        <w:t>I</w:t>
      </w:r>
      <w:r w:rsidRPr="0030480D">
        <w:rPr>
          <w:rFonts w:ascii="Arial" w:hAnsi="Arial" w:cs="Arial"/>
        </w:rPr>
        <w:t xml:space="preserve">nitial HtH </w:t>
      </w:r>
      <w:r>
        <w:rPr>
          <w:rFonts w:ascii="Arial" w:hAnsi="Arial" w:cs="Arial"/>
        </w:rPr>
        <w:t>I</w:t>
      </w:r>
      <w:r w:rsidRPr="0030480D">
        <w:rPr>
          <w:rFonts w:ascii="Arial" w:hAnsi="Arial" w:cs="Arial"/>
        </w:rPr>
        <w:t xml:space="preserve">mplementation </w:t>
      </w:r>
      <w:r>
        <w:rPr>
          <w:rFonts w:ascii="Arial" w:hAnsi="Arial" w:cs="Arial"/>
        </w:rPr>
        <w:t>P</w:t>
      </w:r>
      <w:r w:rsidRPr="0030480D">
        <w:rPr>
          <w:rFonts w:ascii="Arial" w:hAnsi="Arial" w:cs="Arial"/>
        </w:rPr>
        <w:t xml:space="preserve">lan, HtH </w:t>
      </w:r>
      <w:r>
        <w:rPr>
          <w:rFonts w:ascii="Arial" w:hAnsi="Arial" w:cs="Arial"/>
        </w:rPr>
        <w:t>would support</w:t>
      </w:r>
      <w:r w:rsidRPr="0030480D">
        <w:rPr>
          <w:rFonts w:ascii="Arial" w:hAnsi="Arial" w:cs="Arial"/>
        </w:rPr>
        <w:t xml:space="preserve"> the following Strategic Plan guiding principles or goals:</w:t>
      </w:r>
    </w:p>
    <w:p w14:paraId="1A88A289" w14:textId="77777777" w:rsidR="001C5C9A" w:rsidRPr="0030480D" w:rsidRDefault="001C5C9A" w:rsidP="003650F8">
      <w:pPr>
        <w:pStyle w:val="ListParagraph0"/>
        <w:numPr>
          <w:ilvl w:val="0"/>
          <w:numId w:val="18"/>
        </w:numPr>
        <w:spacing w:line="240" w:lineRule="auto"/>
        <w:contextualSpacing/>
        <w:jc w:val="both"/>
        <w:rPr>
          <w:rFonts w:ascii="Arial" w:hAnsi="Arial" w:cs="Arial"/>
        </w:rPr>
      </w:pPr>
      <w:r w:rsidRPr="00A93384">
        <w:rPr>
          <w:rFonts w:ascii="Arial" w:hAnsi="Arial" w:cs="Arial"/>
          <w:u w:val="single"/>
        </w:rPr>
        <w:t>Addressing the root causes of inequities:</w:t>
      </w:r>
      <w:r>
        <w:rPr>
          <w:rFonts w:ascii="Arial" w:hAnsi="Arial" w:cs="Arial"/>
        </w:rPr>
        <w:t xml:space="preserve"> the Plan states that</w:t>
      </w:r>
      <w:r w:rsidRPr="0030480D">
        <w:rPr>
          <w:rFonts w:ascii="Arial" w:hAnsi="Arial" w:cs="Arial"/>
        </w:rPr>
        <w:t xml:space="preserve"> HtH</w:t>
      </w:r>
      <w:r>
        <w:rPr>
          <w:rFonts w:ascii="Arial" w:hAnsi="Arial" w:cs="Arial"/>
        </w:rPr>
        <w:t xml:space="preserve"> would</w:t>
      </w:r>
      <w:r w:rsidRPr="0030480D">
        <w:rPr>
          <w:rFonts w:ascii="Arial" w:hAnsi="Arial" w:cs="Arial"/>
        </w:rPr>
        <w:t xml:space="preserve"> focus on reducing disproportionality among people experiencing chronic homelessness;</w:t>
      </w:r>
    </w:p>
    <w:p w14:paraId="06D01C38" w14:textId="77777777" w:rsidR="001C5C9A" w:rsidRPr="0030480D" w:rsidRDefault="001C5C9A" w:rsidP="003650F8">
      <w:pPr>
        <w:pStyle w:val="ListParagraph0"/>
        <w:numPr>
          <w:ilvl w:val="0"/>
          <w:numId w:val="18"/>
        </w:numPr>
        <w:spacing w:line="240" w:lineRule="auto"/>
        <w:contextualSpacing/>
        <w:jc w:val="both"/>
        <w:rPr>
          <w:rFonts w:ascii="Arial" w:hAnsi="Arial" w:cs="Arial"/>
        </w:rPr>
      </w:pPr>
      <w:r w:rsidRPr="00A93384">
        <w:rPr>
          <w:rFonts w:ascii="Arial" w:hAnsi="Arial" w:cs="Arial"/>
          <w:u w:val="single"/>
        </w:rPr>
        <w:t xml:space="preserve">Increasing access to quality housing that is affordable to all: </w:t>
      </w:r>
      <w:r>
        <w:rPr>
          <w:rFonts w:ascii="Arial" w:hAnsi="Arial" w:cs="Arial"/>
        </w:rPr>
        <w:t>the Plan proposes that HtH would</w:t>
      </w:r>
      <w:r w:rsidRPr="0030480D">
        <w:rPr>
          <w:rFonts w:ascii="Arial" w:hAnsi="Arial" w:cs="Arial"/>
        </w:rPr>
        <w:t xml:space="preserve"> coordinate regional effort</w:t>
      </w:r>
      <w:r>
        <w:rPr>
          <w:rFonts w:ascii="Arial" w:hAnsi="Arial" w:cs="Arial"/>
        </w:rPr>
        <w:t>s</w:t>
      </w:r>
      <w:r w:rsidRPr="0030480D">
        <w:rPr>
          <w:rFonts w:ascii="Arial" w:hAnsi="Arial" w:cs="Arial"/>
        </w:rPr>
        <w:t xml:space="preserve"> to expand housing and services in the region for people experiencing chronic homelessness; and</w:t>
      </w:r>
    </w:p>
    <w:p w14:paraId="78D73787" w14:textId="77777777" w:rsidR="001C5C9A" w:rsidRPr="0030480D" w:rsidRDefault="001C5C9A" w:rsidP="003650F8">
      <w:pPr>
        <w:pStyle w:val="ListParagraph0"/>
        <w:numPr>
          <w:ilvl w:val="0"/>
          <w:numId w:val="18"/>
        </w:numPr>
        <w:spacing w:line="240" w:lineRule="auto"/>
        <w:contextualSpacing/>
        <w:jc w:val="both"/>
        <w:rPr>
          <w:rFonts w:ascii="Arial" w:hAnsi="Arial" w:cs="Arial"/>
        </w:rPr>
      </w:pPr>
      <w:r w:rsidRPr="00A93384">
        <w:rPr>
          <w:rFonts w:ascii="Arial" w:hAnsi="Arial" w:cs="Arial"/>
          <w:u w:val="single"/>
        </w:rPr>
        <w:t>Improving health and well-being to create thriving communities:</w:t>
      </w:r>
      <w:r>
        <w:rPr>
          <w:rFonts w:ascii="Arial" w:hAnsi="Arial" w:cs="Arial"/>
          <w:i/>
          <w:iCs/>
        </w:rPr>
        <w:t xml:space="preserve"> </w:t>
      </w:r>
      <w:r>
        <w:rPr>
          <w:rFonts w:ascii="Arial" w:hAnsi="Arial" w:cs="Arial"/>
        </w:rPr>
        <w:t>the Plan claims that this goal would be accomplished</w:t>
      </w:r>
      <w:r w:rsidRPr="0030480D">
        <w:rPr>
          <w:rFonts w:ascii="Arial" w:hAnsi="Arial" w:cs="Arial"/>
        </w:rPr>
        <w:t xml:space="preserve"> through housing and behavioral health components of the HtH initiative.</w:t>
      </w:r>
    </w:p>
    <w:p w14:paraId="737A362B" w14:textId="77777777" w:rsidR="001C5C9A" w:rsidRPr="0030480D" w:rsidRDefault="001C5C9A" w:rsidP="003650F8">
      <w:pPr>
        <w:jc w:val="both"/>
        <w:rPr>
          <w:rFonts w:ascii="Arial" w:hAnsi="Arial" w:cs="Arial"/>
        </w:rPr>
      </w:pPr>
    </w:p>
    <w:p w14:paraId="327D00D7" w14:textId="77777777" w:rsidR="001C5C9A" w:rsidRPr="0030480D" w:rsidRDefault="001C5C9A" w:rsidP="003650F8">
      <w:pPr>
        <w:jc w:val="both"/>
        <w:rPr>
          <w:rFonts w:ascii="Arial" w:hAnsi="Arial" w:cs="Arial"/>
          <w:i/>
          <w:iCs/>
        </w:rPr>
      </w:pPr>
      <w:r w:rsidRPr="0030480D">
        <w:rPr>
          <w:rFonts w:ascii="Arial" w:hAnsi="Arial" w:cs="Arial"/>
          <w:i/>
          <w:iCs/>
        </w:rPr>
        <w:lastRenderedPageBreak/>
        <w:t xml:space="preserve">Equity and Social Justice Strategic Plan. </w:t>
      </w:r>
      <w:r>
        <w:rPr>
          <w:rFonts w:ascii="Arial" w:hAnsi="Arial" w:cs="Arial"/>
          <w:i/>
          <w:iCs/>
        </w:rPr>
        <w:t xml:space="preserve"> </w:t>
      </w:r>
      <w:r w:rsidRPr="0030480D">
        <w:rPr>
          <w:rFonts w:ascii="Arial" w:hAnsi="Arial" w:cs="Arial"/>
        </w:rPr>
        <w:t>Under the 2016-2022 ESJ Strategic Plan</w:t>
      </w:r>
      <w:r w:rsidRPr="0030480D">
        <w:rPr>
          <w:rStyle w:val="FootnoteReference"/>
          <w:rFonts w:ascii="Arial" w:hAnsi="Arial" w:cs="Arial"/>
        </w:rPr>
        <w:footnoteReference w:id="7"/>
      </w:r>
      <w:r w:rsidRPr="0030480D">
        <w:rPr>
          <w:rFonts w:ascii="Arial" w:hAnsi="Arial" w:cs="Arial"/>
        </w:rPr>
        <w:t>, King County seeks to eliminate racially disparate health and human services outcomes in the region.</w:t>
      </w:r>
      <w:r w:rsidRPr="0030480D">
        <w:rPr>
          <w:rFonts w:ascii="Arial" w:hAnsi="Arial" w:cs="Arial"/>
          <w:i/>
          <w:iCs/>
        </w:rPr>
        <w:t xml:space="preserve"> </w:t>
      </w:r>
      <w:r w:rsidRPr="0030480D">
        <w:rPr>
          <w:rFonts w:ascii="Arial" w:hAnsi="Arial" w:cs="Arial"/>
        </w:rPr>
        <w:t xml:space="preserve">According to the </w:t>
      </w:r>
      <w:r>
        <w:rPr>
          <w:rFonts w:ascii="Arial" w:hAnsi="Arial" w:cs="Arial"/>
        </w:rPr>
        <w:t>proposed I</w:t>
      </w:r>
      <w:r w:rsidRPr="0030480D">
        <w:rPr>
          <w:rFonts w:ascii="Arial" w:hAnsi="Arial" w:cs="Arial"/>
        </w:rPr>
        <w:t xml:space="preserve">nitial HtH </w:t>
      </w:r>
      <w:r>
        <w:rPr>
          <w:rFonts w:ascii="Arial" w:hAnsi="Arial" w:cs="Arial"/>
        </w:rPr>
        <w:t>I</w:t>
      </w:r>
      <w:r w:rsidRPr="0030480D">
        <w:rPr>
          <w:rFonts w:ascii="Arial" w:hAnsi="Arial" w:cs="Arial"/>
        </w:rPr>
        <w:t xml:space="preserve">mplementation </w:t>
      </w:r>
      <w:r>
        <w:rPr>
          <w:rFonts w:ascii="Arial" w:hAnsi="Arial" w:cs="Arial"/>
        </w:rPr>
        <w:t>P</w:t>
      </w:r>
      <w:r w:rsidRPr="0030480D">
        <w:rPr>
          <w:rFonts w:ascii="Arial" w:hAnsi="Arial" w:cs="Arial"/>
        </w:rPr>
        <w:t xml:space="preserve">lan, HtH </w:t>
      </w:r>
      <w:r>
        <w:rPr>
          <w:rFonts w:ascii="Arial" w:hAnsi="Arial" w:cs="Arial"/>
        </w:rPr>
        <w:t>would support</w:t>
      </w:r>
      <w:r w:rsidRPr="0030480D">
        <w:rPr>
          <w:rFonts w:ascii="Arial" w:hAnsi="Arial" w:cs="Arial"/>
        </w:rPr>
        <w:t xml:space="preserve"> the ESJ Strategic Plan by directly targeting racial-ethnic disproportionality among people experiencing homelessness, incorporating a pro-equity approach, focusing on people and places with the greatest needs, and targeting funding to address specific affordable housing needs through housing interventions.</w:t>
      </w:r>
    </w:p>
    <w:p w14:paraId="0095FD45" w14:textId="77777777" w:rsidR="001C5C9A" w:rsidRPr="0030480D" w:rsidRDefault="001C5C9A" w:rsidP="003650F8">
      <w:pPr>
        <w:jc w:val="both"/>
        <w:rPr>
          <w:rFonts w:ascii="Arial" w:hAnsi="Arial" w:cs="Arial"/>
        </w:rPr>
      </w:pPr>
    </w:p>
    <w:p w14:paraId="1521E648" w14:textId="77777777" w:rsidR="001C5C9A" w:rsidRPr="0030480D" w:rsidRDefault="001C5C9A" w:rsidP="003650F8">
      <w:pPr>
        <w:jc w:val="both"/>
        <w:rPr>
          <w:rFonts w:ascii="Arial" w:hAnsi="Arial" w:cs="Arial"/>
        </w:rPr>
      </w:pPr>
      <w:r w:rsidRPr="0030480D">
        <w:rPr>
          <w:rFonts w:ascii="Arial" w:hAnsi="Arial" w:cs="Arial"/>
          <w:i/>
          <w:iCs/>
        </w:rPr>
        <w:t>King County Regional Affordable Housing Task Force Five-Year Action Plan</w:t>
      </w:r>
      <w:r w:rsidRPr="0030480D">
        <w:rPr>
          <w:rFonts w:ascii="Arial" w:hAnsi="Arial" w:cs="Arial"/>
        </w:rPr>
        <w:t>.</w:t>
      </w:r>
      <w:r>
        <w:rPr>
          <w:rFonts w:ascii="Arial" w:hAnsi="Arial" w:cs="Arial"/>
        </w:rPr>
        <w:t xml:space="preserve"> </w:t>
      </w:r>
      <w:r w:rsidRPr="0030480D">
        <w:rPr>
          <w:rFonts w:ascii="Arial" w:hAnsi="Arial" w:cs="Arial"/>
        </w:rPr>
        <w:t xml:space="preserve"> In 2016 and 2017, Motions 14754</w:t>
      </w:r>
      <w:r w:rsidRPr="0030480D">
        <w:rPr>
          <w:rStyle w:val="FootnoteReference"/>
          <w:rFonts w:ascii="Arial" w:hAnsi="Arial" w:cs="Arial"/>
        </w:rPr>
        <w:footnoteReference w:id="8"/>
      </w:r>
      <w:r w:rsidRPr="0030480D">
        <w:rPr>
          <w:rFonts w:ascii="Arial" w:hAnsi="Arial" w:cs="Arial"/>
        </w:rPr>
        <w:t xml:space="preserve"> and 14873</w:t>
      </w:r>
      <w:r w:rsidRPr="0030480D">
        <w:rPr>
          <w:rStyle w:val="FootnoteReference"/>
          <w:rFonts w:ascii="Arial" w:hAnsi="Arial" w:cs="Arial"/>
        </w:rPr>
        <w:footnoteReference w:id="9"/>
      </w:r>
      <w:r w:rsidRPr="0030480D">
        <w:rPr>
          <w:rFonts w:ascii="Arial" w:hAnsi="Arial" w:cs="Arial"/>
        </w:rPr>
        <w:t xml:space="preserve"> established the Regional Affordable Housing Task Force (RAHTF), which convened regional elected officials and stakeholders over 18 months to produce the RAHTF Five-Year Action Plan.</w:t>
      </w:r>
      <w:r w:rsidRPr="0030480D">
        <w:rPr>
          <w:rStyle w:val="FootnoteReference"/>
          <w:rFonts w:ascii="Arial" w:hAnsi="Arial" w:cs="Arial"/>
        </w:rPr>
        <w:footnoteReference w:id="10"/>
      </w:r>
      <w:r w:rsidRPr="0030480D">
        <w:rPr>
          <w:rFonts w:ascii="Arial" w:hAnsi="Arial" w:cs="Arial"/>
        </w:rPr>
        <w:t xml:space="preserve"> This Plan was accepted by Motion 15372</w:t>
      </w:r>
      <w:r w:rsidRPr="0030480D">
        <w:rPr>
          <w:rStyle w:val="FootnoteReference"/>
          <w:rFonts w:ascii="Arial" w:hAnsi="Arial" w:cs="Arial"/>
        </w:rPr>
        <w:footnoteReference w:id="11"/>
      </w:r>
      <w:r w:rsidRPr="0030480D">
        <w:rPr>
          <w:rFonts w:ascii="Arial" w:hAnsi="Arial" w:cs="Arial"/>
        </w:rPr>
        <w:t xml:space="preserve"> in 2019 and includes seven goals. According to the </w:t>
      </w:r>
      <w:r>
        <w:rPr>
          <w:rFonts w:ascii="Arial" w:hAnsi="Arial" w:cs="Arial"/>
        </w:rPr>
        <w:t>proposed Plan, HtH</w:t>
      </w:r>
      <w:r w:rsidRPr="0030480D">
        <w:rPr>
          <w:rFonts w:ascii="Arial" w:hAnsi="Arial" w:cs="Arial"/>
        </w:rPr>
        <w:t xml:space="preserve"> </w:t>
      </w:r>
      <w:r>
        <w:rPr>
          <w:rFonts w:ascii="Arial" w:hAnsi="Arial" w:cs="Arial"/>
        </w:rPr>
        <w:t>would support</w:t>
      </w:r>
      <w:r w:rsidRPr="0030480D">
        <w:rPr>
          <w:rFonts w:ascii="Arial" w:hAnsi="Arial" w:cs="Arial"/>
        </w:rPr>
        <w:t xml:space="preserve"> the following goals from the Five-Year Action Plan:</w:t>
      </w:r>
    </w:p>
    <w:p w14:paraId="508C240F" w14:textId="77777777" w:rsidR="001C5C9A" w:rsidRPr="0030480D" w:rsidRDefault="001C5C9A" w:rsidP="003650F8">
      <w:pPr>
        <w:pStyle w:val="ListParagraph0"/>
        <w:numPr>
          <w:ilvl w:val="0"/>
          <w:numId w:val="17"/>
        </w:numPr>
        <w:spacing w:line="240" w:lineRule="auto"/>
        <w:contextualSpacing/>
        <w:jc w:val="both"/>
        <w:rPr>
          <w:rFonts w:ascii="Arial" w:hAnsi="Arial" w:cs="Arial"/>
        </w:rPr>
      </w:pPr>
      <w:r w:rsidRPr="0030480D">
        <w:rPr>
          <w:rFonts w:ascii="Arial" w:hAnsi="Arial" w:cs="Arial"/>
        </w:rPr>
        <w:t>Goal 2: Increase construction and preservation of affordable homes for households earning less than 50% of AMI; and</w:t>
      </w:r>
    </w:p>
    <w:p w14:paraId="2B5038DE" w14:textId="77777777" w:rsidR="001C5C9A" w:rsidRDefault="001C5C9A" w:rsidP="003650F8">
      <w:pPr>
        <w:pStyle w:val="ListParagraph0"/>
        <w:numPr>
          <w:ilvl w:val="0"/>
          <w:numId w:val="17"/>
        </w:numPr>
        <w:spacing w:line="240" w:lineRule="auto"/>
        <w:contextualSpacing/>
        <w:jc w:val="both"/>
        <w:rPr>
          <w:rFonts w:ascii="Arial" w:hAnsi="Arial" w:cs="Arial"/>
        </w:rPr>
      </w:pPr>
      <w:r w:rsidRPr="00CC74DA">
        <w:rPr>
          <w:rFonts w:ascii="Arial" w:hAnsi="Arial" w:cs="Arial"/>
        </w:rPr>
        <w:t>Goal 7: Better engage local communities and other partners in addressing the urgent need for</w:t>
      </w:r>
      <w:r>
        <w:rPr>
          <w:rFonts w:ascii="Arial" w:hAnsi="Arial" w:cs="Arial"/>
        </w:rPr>
        <w:t xml:space="preserve"> </w:t>
      </w:r>
      <w:r w:rsidRPr="00CC74DA">
        <w:rPr>
          <w:rFonts w:ascii="Arial" w:hAnsi="Arial" w:cs="Arial"/>
        </w:rPr>
        <w:t>and benefits of affordable housing.</w:t>
      </w:r>
    </w:p>
    <w:p w14:paraId="3FA25D89" w14:textId="77777777" w:rsidR="001C5C9A" w:rsidRDefault="001C5C9A" w:rsidP="003650F8">
      <w:pPr>
        <w:jc w:val="both"/>
        <w:rPr>
          <w:rFonts w:ascii="Arial" w:hAnsi="Arial" w:cs="Arial"/>
        </w:rPr>
      </w:pPr>
    </w:p>
    <w:p w14:paraId="16963DDB" w14:textId="4774E0AE" w:rsidR="001C5C9A" w:rsidRPr="001C5C9A" w:rsidRDefault="001C5C9A" w:rsidP="003650F8">
      <w:pPr>
        <w:jc w:val="both"/>
        <w:rPr>
          <w:rFonts w:ascii="Arial" w:hAnsi="Arial" w:cs="Arial"/>
          <w:i/>
          <w:iCs/>
        </w:rPr>
      </w:pPr>
      <w:r w:rsidRPr="00CC74DA">
        <w:rPr>
          <w:rFonts w:ascii="Arial" w:hAnsi="Arial" w:cs="Arial"/>
          <w:i/>
          <w:iCs/>
        </w:rPr>
        <w:t>Affordable Housing Com</w:t>
      </w:r>
      <w:r>
        <w:rPr>
          <w:rFonts w:ascii="Arial" w:hAnsi="Arial" w:cs="Arial"/>
          <w:i/>
          <w:iCs/>
        </w:rPr>
        <w:t>m</w:t>
      </w:r>
      <w:r w:rsidRPr="00CC74DA">
        <w:rPr>
          <w:rFonts w:ascii="Arial" w:hAnsi="Arial" w:cs="Arial"/>
          <w:i/>
          <w:iCs/>
        </w:rPr>
        <w:t>ittee.</w:t>
      </w:r>
      <w:r>
        <w:rPr>
          <w:rFonts w:ascii="Arial" w:hAnsi="Arial" w:cs="Arial"/>
          <w:i/>
          <w:iCs/>
        </w:rPr>
        <w:t xml:space="preserve">  </w:t>
      </w:r>
      <w:r>
        <w:rPr>
          <w:rFonts w:ascii="Arial" w:hAnsi="Arial" w:cs="Arial"/>
        </w:rPr>
        <w:t xml:space="preserve">King County’s Affordable Housing Committee (AHC) is a regional advisory body, established by the Growth Management Planning Council in 2019, that leads interjurisdictional work to implement the RAHTF Five-Year Action Plan. The overall goal of the AHC is to strive to eliminate housing cost burden for households with 80% of </w:t>
      </w:r>
      <w:r w:rsidR="001A32D5">
        <w:rPr>
          <w:rFonts w:ascii="Arial" w:hAnsi="Arial" w:cs="Arial"/>
        </w:rPr>
        <w:t>AMI</w:t>
      </w:r>
      <w:r>
        <w:rPr>
          <w:rFonts w:ascii="Arial" w:hAnsi="Arial" w:cs="Arial"/>
        </w:rPr>
        <w:t xml:space="preserve"> or below, with a priority to serve households at or below 50% of AMI.</w:t>
      </w:r>
      <w:r>
        <w:rPr>
          <w:rStyle w:val="FootnoteReference"/>
          <w:rFonts w:ascii="Arial" w:hAnsi="Arial" w:cs="Arial"/>
        </w:rPr>
        <w:footnoteReference w:id="12"/>
      </w:r>
      <w:r>
        <w:rPr>
          <w:rFonts w:ascii="Arial" w:hAnsi="Arial" w:cs="Arial"/>
        </w:rPr>
        <w:t xml:space="preserve">  All HtH homes would serve persons with incomes at or below 30% of AMI.</w:t>
      </w:r>
    </w:p>
    <w:p w14:paraId="078BB2CC" w14:textId="1556F9C7" w:rsidR="00C97FBC" w:rsidRPr="00A62F1C" w:rsidRDefault="00C97FBC" w:rsidP="003650F8">
      <w:pPr>
        <w:jc w:val="both"/>
        <w:rPr>
          <w:rFonts w:ascii="Arial" w:hAnsi="Arial" w:cs="Arial"/>
        </w:rPr>
      </w:pPr>
    </w:p>
    <w:p w14:paraId="3E3C2F80" w14:textId="77777777" w:rsidR="004C019E" w:rsidRPr="00A62F1C" w:rsidRDefault="00C97FBC" w:rsidP="004C019E">
      <w:pPr>
        <w:jc w:val="both"/>
        <w:rPr>
          <w:rFonts w:ascii="Arial" w:hAnsi="Arial" w:cs="Arial"/>
          <w:b/>
          <w:bCs/>
        </w:rPr>
      </w:pPr>
      <w:r w:rsidRPr="00A62F1C">
        <w:rPr>
          <w:rFonts w:ascii="Arial" w:hAnsi="Arial" w:cs="Arial"/>
          <w:b/>
          <w:bCs/>
        </w:rPr>
        <w:t>Homelessness in King County.</w:t>
      </w:r>
      <w:r w:rsidR="00D858C0" w:rsidRPr="00A62F1C">
        <w:rPr>
          <w:rFonts w:ascii="Arial" w:hAnsi="Arial" w:cs="Arial"/>
          <w:b/>
          <w:bCs/>
        </w:rPr>
        <w:t xml:space="preserve"> </w:t>
      </w:r>
      <w:r w:rsidR="004C019E" w:rsidRPr="00A62F1C">
        <w:rPr>
          <w:rFonts w:ascii="Arial" w:hAnsi="Arial" w:cs="Arial"/>
          <w:b/>
          <w:bCs/>
        </w:rPr>
        <w:t xml:space="preserve"> </w:t>
      </w:r>
    </w:p>
    <w:p w14:paraId="1398CD83" w14:textId="77777777" w:rsidR="004C019E" w:rsidRPr="00A62F1C" w:rsidRDefault="004C019E" w:rsidP="004C019E">
      <w:pPr>
        <w:jc w:val="both"/>
        <w:rPr>
          <w:rFonts w:ascii="Arial" w:hAnsi="Arial" w:cs="Arial"/>
          <w:b/>
          <w:bCs/>
        </w:rPr>
      </w:pPr>
    </w:p>
    <w:p w14:paraId="68694C8C" w14:textId="3D0BDA86" w:rsidR="004C019E" w:rsidRPr="00A62F1C" w:rsidRDefault="004C019E" w:rsidP="004C019E">
      <w:pPr>
        <w:jc w:val="both"/>
        <w:rPr>
          <w:rFonts w:ascii="Arial" w:hAnsi="Arial" w:cs="Arial"/>
        </w:rPr>
      </w:pPr>
      <w:r w:rsidRPr="00A62F1C">
        <w:rPr>
          <w:rFonts w:ascii="Arial" w:hAnsi="Arial" w:cs="Arial"/>
          <w:u w:val="single"/>
        </w:rPr>
        <w:t>Proclamation of Emergency.</w:t>
      </w:r>
      <w:r w:rsidRPr="00A62F1C">
        <w:rPr>
          <w:rFonts w:ascii="Arial" w:hAnsi="Arial" w:cs="Arial"/>
        </w:rPr>
        <w:t xml:space="preserve">  In November 2015, Executive Constantine and </w:t>
      </w:r>
      <w:r w:rsidR="00F07928">
        <w:rPr>
          <w:rFonts w:ascii="Arial" w:hAnsi="Arial" w:cs="Arial"/>
        </w:rPr>
        <w:t xml:space="preserve">Seattle </w:t>
      </w:r>
      <w:r w:rsidRPr="00A62F1C">
        <w:rPr>
          <w:rFonts w:ascii="Arial" w:hAnsi="Arial" w:cs="Arial"/>
        </w:rPr>
        <w:t>Mayor Ed Murray announced local proclamations of emergency</w:t>
      </w:r>
      <w:r w:rsidRPr="00A62F1C">
        <w:rPr>
          <w:rStyle w:val="FootnoteReference"/>
          <w:rFonts w:ascii="Arial" w:hAnsi="Arial" w:cs="Arial"/>
        </w:rPr>
        <w:footnoteReference w:id="13"/>
      </w:r>
      <w:r w:rsidRPr="00A62F1C">
        <w:rPr>
          <w:rFonts w:ascii="Arial" w:hAnsi="Arial" w:cs="Arial"/>
        </w:rPr>
        <w:t xml:space="preserve"> due to homelessness and proposed new investments.  The initial investment related to this proclamation was $2 million in additional funding to address root causes of homelessness.</w:t>
      </w:r>
    </w:p>
    <w:p w14:paraId="2AAA88D4" w14:textId="77777777" w:rsidR="004C019E" w:rsidRPr="00A62F1C" w:rsidRDefault="004C019E" w:rsidP="004C019E">
      <w:pPr>
        <w:jc w:val="both"/>
        <w:rPr>
          <w:rFonts w:ascii="Arial" w:hAnsi="Arial" w:cs="Arial"/>
        </w:rPr>
      </w:pPr>
    </w:p>
    <w:p w14:paraId="6B4FEB0E" w14:textId="77777777" w:rsidR="004C019E" w:rsidRPr="00A62F1C" w:rsidRDefault="004C019E" w:rsidP="004C019E">
      <w:pPr>
        <w:jc w:val="both"/>
        <w:rPr>
          <w:rFonts w:ascii="Arial" w:hAnsi="Arial" w:cs="Arial"/>
        </w:rPr>
      </w:pPr>
      <w:r w:rsidRPr="00A62F1C">
        <w:rPr>
          <w:rFonts w:ascii="Arial" w:hAnsi="Arial" w:cs="Arial"/>
        </w:rPr>
        <w:t>Executive Constantine's proclamation called for the federal and state governments to respond by investing in affordable housing, mental health treatment and addiction services.  The proclamation also included specific actions that King County will take to combat homelessness, including securing at least 50 additional shelter beds in Seattle, providing 20 new housing vouchers for those exiting drug court, increasing incentives for landlords to rent to veterans, among others.</w:t>
      </w:r>
    </w:p>
    <w:p w14:paraId="44B90D93" w14:textId="08DE4C42" w:rsidR="00C97FBC" w:rsidRPr="00A62F1C" w:rsidRDefault="00C97FBC" w:rsidP="00A77CB9">
      <w:pPr>
        <w:rPr>
          <w:rFonts w:ascii="Arial" w:hAnsi="Arial" w:cs="Arial"/>
        </w:rPr>
      </w:pPr>
    </w:p>
    <w:p w14:paraId="173A8BF7" w14:textId="28DF334B" w:rsidR="004C019E" w:rsidRPr="00A62F1C" w:rsidRDefault="004C019E" w:rsidP="004C019E">
      <w:pPr>
        <w:rPr>
          <w:rFonts w:ascii="Arial" w:hAnsi="Arial" w:cs="Arial"/>
        </w:rPr>
      </w:pPr>
      <w:r w:rsidRPr="00A62F1C">
        <w:rPr>
          <w:rFonts w:ascii="Arial" w:hAnsi="Arial" w:cs="Arial"/>
          <w:u w:val="single"/>
        </w:rPr>
        <w:lastRenderedPageBreak/>
        <w:t>King County Regional Homelessness Authority.</w:t>
      </w:r>
      <w:r w:rsidRPr="00A62F1C">
        <w:rPr>
          <w:rFonts w:ascii="Arial" w:hAnsi="Arial" w:cs="Arial"/>
        </w:rPr>
        <w:t xml:space="preserve">  On December 11, 2019, Council passed Ordinance 19039</w:t>
      </w:r>
      <w:r w:rsidRPr="00A62F1C">
        <w:rPr>
          <w:rStyle w:val="FootnoteReference"/>
          <w:rFonts w:ascii="Arial" w:hAnsi="Arial" w:cs="Arial"/>
        </w:rPr>
        <w:footnoteReference w:id="14"/>
      </w:r>
      <w:r w:rsidRPr="00A62F1C">
        <w:rPr>
          <w:rFonts w:ascii="Arial" w:hAnsi="Arial" w:cs="Arial"/>
        </w:rPr>
        <w:t xml:space="preserve">, authorizing the Executive to enter into an interlocal agreement </w:t>
      </w:r>
      <w:r w:rsidR="003650F8">
        <w:rPr>
          <w:rFonts w:ascii="Arial" w:hAnsi="Arial" w:cs="Arial"/>
        </w:rPr>
        <w:t xml:space="preserve">(ILA) </w:t>
      </w:r>
      <w:r w:rsidRPr="00A62F1C">
        <w:rPr>
          <w:rFonts w:ascii="Arial" w:hAnsi="Arial" w:cs="Arial"/>
        </w:rPr>
        <w:t>with the City of Seattle for the establishment of the King County Regional Homelessness Authority (KCRHA), with the mission to "significantly decrease the incidence of homelessness throughout King County, using equity and social justice principles".</w:t>
      </w:r>
      <w:r w:rsidRPr="00A62F1C">
        <w:rPr>
          <w:rStyle w:val="FootnoteReference"/>
          <w:rFonts w:ascii="Arial" w:hAnsi="Arial" w:cs="Arial"/>
        </w:rPr>
        <w:footnoteReference w:id="15"/>
      </w:r>
    </w:p>
    <w:p w14:paraId="3C183B3A" w14:textId="77777777" w:rsidR="004C019E" w:rsidRPr="00A62F1C" w:rsidRDefault="004C019E" w:rsidP="004C019E">
      <w:pPr>
        <w:jc w:val="both"/>
        <w:rPr>
          <w:rFonts w:ascii="Arial" w:hAnsi="Arial" w:cs="Arial"/>
        </w:rPr>
      </w:pPr>
    </w:p>
    <w:p w14:paraId="08A4F844" w14:textId="77777777" w:rsidR="004C019E" w:rsidRPr="00A62F1C" w:rsidRDefault="004C019E" w:rsidP="004C019E">
      <w:pPr>
        <w:jc w:val="both"/>
        <w:rPr>
          <w:rFonts w:ascii="Arial" w:hAnsi="Arial" w:cs="Arial"/>
        </w:rPr>
      </w:pPr>
      <w:r w:rsidRPr="00A62F1C">
        <w:rPr>
          <w:rFonts w:ascii="Arial" w:hAnsi="Arial" w:cs="Arial"/>
        </w:rPr>
        <w:t>Since the creation of the KCRHA, the blocs</w:t>
      </w:r>
      <w:r w:rsidRPr="00A62F1C">
        <w:rPr>
          <w:rStyle w:val="FootnoteReference"/>
          <w:rFonts w:ascii="Arial" w:hAnsi="Arial" w:cs="Arial"/>
        </w:rPr>
        <w:footnoteReference w:id="16"/>
      </w:r>
      <w:r w:rsidRPr="00A62F1C">
        <w:rPr>
          <w:rFonts w:ascii="Arial" w:hAnsi="Arial" w:cs="Arial"/>
        </w:rPr>
        <w:t xml:space="preserve"> have appointed members to the Governing Committee and Implementation Board, the Authority has hired Chief Executive Officer Marc Dones, and a staffing plan has been developed, among other things.</w:t>
      </w:r>
    </w:p>
    <w:p w14:paraId="3BD4F42A" w14:textId="77777777" w:rsidR="004C019E" w:rsidRPr="00A62F1C" w:rsidRDefault="004C019E" w:rsidP="004C019E">
      <w:pPr>
        <w:jc w:val="both"/>
        <w:rPr>
          <w:rFonts w:ascii="Arial" w:hAnsi="Arial" w:cs="Arial"/>
        </w:rPr>
      </w:pPr>
    </w:p>
    <w:p w14:paraId="73A7B038" w14:textId="77777777" w:rsidR="004C019E" w:rsidRPr="00A62F1C" w:rsidRDefault="004C019E" w:rsidP="004C019E">
      <w:pPr>
        <w:jc w:val="both"/>
        <w:rPr>
          <w:rFonts w:ascii="Arial" w:hAnsi="Arial" w:cs="Arial"/>
        </w:rPr>
      </w:pPr>
      <w:r w:rsidRPr="00A62F1C">
        <w:rPr>
          <w:rFonts w:ascii="Arial" w:hAnsi="Arial" w:cs="Arial"/>
        </w:rPr>
        <w:t>The KCRHA was established with the following purposes:</w:t>
      </w:r>
    </w:p>
    <w:p w14:paraId="032040B2" w14:textId="77777777" w:rsidR="004C019E" w:rsidRPr="00A62F1C" w:rsidRDefault="004C019E" w:rsidP="004C019E">
      <w:pPr>
        <w:jc w:val="both"/>
        <w:rPr>
          <w:rFonts w:ascii="Arial" w:hAnsi="Arial" w:cs="Arial"/>
        </w:rPr>
      </w:pPr>
    </w:p>
    <w:p w14:paraId="075E92F5" w14:textId="77777777" w:rsidR="004C019E" w:rsidRPr="00A62F1C" w:rsidRDefault="004C019E" w:rsidP="00A62F1C">
      <w:pPr>
        <w:pStyle w:val="ListParagraph0"/>
        <w:numPr>
          <w:ilvl w:val="0"/>
          <w:numId w:val="7"/>
        </w:numPr>
        <w:jc w:val="both"/>
        <w:rPr>
          <w:rFonts w:ascii="Arial" w:hAnsi="Arial" w:cs="Arial"/>
        </w:rPr>
      </w:pPr>
      <w:r w:rsidRPr="00A62F1C">
        <w:rPr>
          <w:rFonts w:ascii="Arial" w:hAnsi="Arial" w:cs="Arial"/>
        </w:rPr>
        <w:t>Providing consolidated, aligned services for individuals and families who are experiencing homelessness or who are at imminent risk of experiencing homelessness in the jurisdictional boundaries of King County;</w:t>
      </w:r>
    </w:p>
    <w:p w14:paraId="52386D83" w14:textId="77777777" w:rsidR="004C019E" w:rsidRPr="00A62F1C" w:rsidRDefault="004C019E" w:rsidP="004C019E">
      <w:pPr>
        <w:pStyle w:val="ListParagraph0"/>
        <w:jc w:val="both"/>
        <w:rPr>
          <w:rFonts w:ascii="Arial" w:hAnsi="Arial" w:cs="Arial"/>
        </w:rPr>
      </w:pPr>
    </w:p>
    <w:p w14:paraId="59CE2760" w14:textId="0ACB18BB" w:rsidR="004C019E" w:rsidRPr="00A62F1C" w:rsidRDefault="004C019E" w:rsidP="00A62F1C">
      <w:pPr>
        <w:pStyle w:val="ListParagraph0"/>
        <w:numPr>
          <w:ilvl w:val="0"/>
          <w:numId w:val="7"/>
        </w:numPr>
        <w:jc w:val="both"/>
        <w:rPr>
          <w:rFonts w:ascii="Arial" w:hAnsi="Arial" w:cs="Arial"/>
        </w:rPr>
      </w:pPr>
      <w:r w:rsidRPr="00A62F1C">
        <w:rPr>
          <w:rFonts w:ascii="Arial" w:hAnsi="Arial" w:cs="Arial"/>
        </w:rPr>
        <w:t xml:space="preserve">Receiving revenues from King County, the </w:t>
      </w:r>
      <w:r w:rsidR="003650F8">
        <w:rPr>
          <w:rFonts w:ascii="Arial" w:hAnsi="Arial" w:cs="Arial"/>
        </w:rPr>
        <w:t>C</w:t>
      </w:r>
      <w:r w:rsidR="003650F8" w:rsidRPr="00A62F1C">
        <w:rPr>
          <w:rFonts w:ascii="Arial" w:hAnsi="Arial" w:cs="Arial"/>
        </w:rPr>
        <w:t xml:space="preserve">ity </w:t>
      </w:r>
      <w:r w:rsidRPr="00A62F1C">
        <w:rPr>
          <w:rFonts w:ascii="Arial" w:hAnsi="Arial" w:cs="Arial"/>
        </w:rPr>
        <w:t>of Seattle, funders and other public and private sources for the purposes of the Authority, and applying such revenues; and</w:t>
      </w:r>
    </w:p>
    <w:p w14:paraId="54C974E7" w14:textId="77777777" w:rsidR="004C019E" w:rsidRPr="00A62F1C" w:rsidRDefault="004C019E" w:rsidP="004C019E">
      <w:pPr>
        <w:pStyle w:val="ListParagraph0"/>
        <w:jc w:val="both"/>
        <w:rPr>
          <w:rFonts w:ascii="Arial" w:hAnsi="Arial" w:cs="Arial"/>
        </w:rPr>
      </w:pPr>
    </w:p>
    <w:p w14:paraId="4F969264" w14:textId="77777777" w:rsidR="004C019E" w:rsidRPr="00A62F1C" w:rsidRDefault="004C019E" w:rsidP="00A62F1C">
      <w:pPr>
        <w:pStyle w:val="ListParagraph0"/>
        <w:numPr>
          <w:ilvl w:val="0"/>
          <w:numId w:val="7"/>
        </w:numPr>
        <w:jc w:val="both"/>
        <w:rPr>
          <w:rFonts w:ascii="Arial" w:hAnsi="Arial" w:cs="Arial"/>
        </w:rPr>
      </w:pPr>
      <w:r w:rsidRPr="00A62F1C">
        <w:rPr>
          <w:rFonts w:ascii="Arial" w:hAnsi="Arial" w:cs="Arial"/>
        </w:rPr>
        <w:t>Providing other services as determined to be necessary to implement the ILA.</w:t>
      </w:r>
    </w:p>
    <w:p w14:paraId="5E7AE350" w14:textId="00119CEE" w:rsidR="004C019E" w:rsidRPr="00A62F1C" w:rsidRDefault="004C019E" w:rsidP="004C019E">
      <w:pPr>
        <w:jc w:val="both"/>
        <w:rPr>
          <w:rFonts w:ascii="Arial" w:hAnsi="Arial" w:cs="Arial"/>
          <w:b/>
          <w:bCs/>
        </w:rPr>
      </w:pPr>
    </w:p>
    <w:p w14:paraId="3EBDFEFF" w14:textId="5B3BA6B5" w:rsidR="004C019E" w:rsidRPr="00A62F1C" w:rsidRDefault="004C019E" w:rsidP="004C019E">
      <w:pPr>
        <w:jc w:val="both"/>
        <w:rPr>
          <w:rFonts w:ascii="Arial" w:hAnsi="Arial" w:cs="Arial"/>
        </w:rPr>
      </w:pPr>
      <w:r w:rsidRPr="00A62F1C">
        <w:rPr>
          <w:rFonts w:ascii="Arial" w:hAnsi="Arial" w:cs="Arial"/>
          <w:u w:val="single"/>
        </w:rPr>
        <w:t>Current Conditions.</w:t>
      </w:r>
      <w:r w:rsidRPr="00A62F1C">
        <w:rPr>
          <w:rFonts w:ascii="Arial" w:hAnsi="Arial" w:cs="Arial"/>
        </w:rPr>
        <w:t xml:space="preserve">  The proposed Initial Implementation Plan states that, in December 2019, Homelessness Management Information System (HMIS) data shows more than 4,600 households were chronically homeless.</w:t>
      </w:r>
      <w:r w:rsidRPr="00A62F1C">
        <w:rPr>
          <w:rStyle w:val="FootnoteReference"/>
          <w:rFonts w:ascii="Arial" w:hAnsi="Arial" w:cs="Arial"/>
        </w:rPr>
        <w:footnoteReference w:id="17"/>
      </w:r>
      <w:r w:rsidRPr="00A62F1C">
        <w:rPr>
          <w:rFonts w:ascii="Arial" w:hAnsi="Arial" w:cs="Arial"/>
        </w:rPr>
        <w:t xml:space="preserve">  Subsequently, the January 2020 Point-in-Time Count identified more than 5,500 individuals living unsheltered.</w:t>
      </w:r>
      <w:r w:rsidRPr="00A62F1C">
        <w:rPr>
          <w:rStyle w:val="FootnoteReference"/>
          <w:rFonts w:ascii="Arial" w:hAnsi="Arial" w:cs="Arial"/>
        </w:rPr>
        <w:footnoteReference w:id="18"/>
      </w:r>
      <w:r w:rsidRPr="00A62F1C">
        <w:rPr>
          <w:rFonts w:ascii="Arial" w:hAnsi="Arial" w:cs="Arial"/>
        </w:rPr>
        <w:t xml:space="preserve">  The COVID-19 pandemic has prevented more recent comprehensive counts on homelessness.</w:t>
      </w:r>
    </w:p>
    <w:p w14:paraId="4AC6B886" w14:textId="44A1BA15" w:rsidR="00C97FBC" w:rsidRPr="00A62F1C" w:rsidRDefault="00C97FBC" w:rsidP="00A77CB9">
      <w:pPr>
        <w:rPr>
          <w:rFonts w:ascii="Arial" w:hAnsi="Arial" w:cs="Arial"/>
        </w:rPr>
      </w:pPr>
    </w:p>
    <w:p w14:paraId="0B6C8376" w14:textId="1DA69ABB" w:rsidR="00C97FBC" w:rsidRDefault="00C97FBC" w:rsidP="00A77CB9">
      <w:pPr>
        <w:rPr>
          <w:rFonts w:ascii="Arial" w:hAnsi="Arial" w:cs="Arial"/>
        </w:rPr>
      </w:pPr>
      <w:r w:rsidRPr="00A62F1C">
        <w:rPr>
          <w:rFonts w:ascii="Arial" w:hAnsi="Arial" w:cs="Arial"/>
          <w:b/>
          <w:bCs/>
        </w:rPr>
        <w:t xml:space="preserve">2021 </w:t>
      </w:r>
      <w:r w:rsidR="00F07928">
        <w:rPr>
          <w:rFonts w:ascii="Arial" w:hAnsi="Arial" w:cs="Arial"/>
          <w:b/>
          <w:bCs/>
        </w:rPr>
        <w:t>HtH</w:t>
      </w:r>
      <w:r w:rsidRPr="00A62F1C">
        <w:rPr>
          <w:rFonts w:ascii="Arial" w:hAnsi="Arial" w:cs="Arial"/>
          <w:b/>
          <w:bCs/>
        </w:rPr>
        <w:t xml:space="preserve"> Expenditures.</w:t>
      </w:r>
      <w:r w:rsidR="00D858C0" w:rsidRPr="00A62F1C">
        <w:rPr>
          <w:rFonts w:ascii="Arial" w:hAnsi="Arial" w:cs="Arial"/>
        </w:rPr>
        <w:t xml:space="preserve"> </w:t>
      </w:r>
    </w:p>
    <w:p w14:paraId="0B81498D" w14:textId="79EF6C6D" w:rsidR="009C79F6" w:rsidRDefault="009C79F6" w:rsidP="00A77CB9">
      <w:pPr>
        <w:rPr>
          <w:rFonts w:ascii="Arial" w:hAnsi="Arial" w:cs="Arial"/>
        </w:rPr>
      </w:pPr>
    </w:p>
    <w:p w14:paraId="6DA94B53" w14:textId="6FC50464" w:rsidR="00667D27" w:rsidRDefault="00E768CC" w:rsidP="00667D27">
      <w:pPr>
        <w:jc w:val="both"/>
        <w:rPr>
          <w:rFonts w:ascii="Arial" w:eastAsia="Courier New" w:hAnsi="Arial" w:cs="Arial"/>
          <w:szCs w:val="24"/>
        </w:rPr>
      </w:pPr>
      <w:r>
        <w:rPr>
          <w:rFonts w:ascii="Arial" w:hAnsi="Arial" w:cs="Arial"/>
        </w:rPr>
        <w:t xml:space="preserve">In </w:t>
      </w:r>
      <w:r w:rsidR="00AC4672">
        <w:rPr>
          <w:rFonts w:ascii="Arial" w:hAnsi="Arial" w:cs="Arial"/>
        </w:rPr>
        <w:t>2021</w:t>
      </w:r>
      <w:r w:rsidR="00667D27">
        <w:rPr>
          <w:rFonts w:ascii="Arial" w:hAnsi="Arial" w:cs="Arial"/>
        </w:rPr>
        <w:t>,</w:t>
      </w:r>
      <w:r w:rsidR="00AC4672">
        <w:rPr>
          <w:rFonts w:ascii="Arial" w:hAnsi="Arial" w:cs="Arial"/>
        </w:rPr>
        <w:t xml:space="preserve"> </w:t>
      </w:r>
      <w:r w:rsidR="00F07928">
        <w:rPr>
          <w:rFonts w:ascii="Arial" w:hAnsi="Arial" w:cs="Arial"/>
        </w:rPr>
        <w:t>HtH</w:t>
      </w:r>
      <w:r w:rsidR="009C79F6">
        <w:rPr>
          <w:rFonts w:ascii="Arial" w:hAnsi="Arial" w:cs="Arial"/>
        </w:rPr>
        <w:t xml:space="preserve"> </w:t>
      </w:r>
      <w:r>
        <w:rPr>
          <w:rFonts w:ascii="Arial" w:hAnsi="Arial" w:cs="Arial"/>
        </w:rPr>
        <w:t xml:space="preserve">revenue </w:t>
      </w:r>
      <w:r w:rsidR="009C79F6">
        <w:rPr>
          <w:rFonts w:ascii="Arial" w:hAnsi="Arial" w:cs="Arial"/>
        </w:rPr>
        <w:t>expenditure</w:t>
      </w:r>
      <w:r w:rsidR="00667D27">
        <w:rPr>
          <w:rFonts w:ascii="Arial" w:hAnsi="Arial" w:cs="Arial"/>
        </w:rPr>
        <w:t xml:space="preserve">s primarily went toward purchasing properties under Strategy 1: Capital Financing and Improvement of </w:t>
      </w:r>
      <w:r w:rsidR="00F07928">
        <w:rPr>
          <w:rFonts w:ascii="Arial" w:hAnsi="Arial" w:cs="Arial"/>
        </w:rPr>
        <w:t>HtH</w:t>
      </w:r>
      <w:r w:rsidR="00667D27">
        <w:rPr>
          <w:rFonts w:ascii="Arial" w:hAnsi="Arial" w:cs="Arial"/>
        </w:rPr>
        <w:t xml:space="preserve"> Sites. </w:t>
      </w:r>
      <w:r w:rsidR="00667D27">
        <w:rPr>
          <w:rFonts w:ascii="Arial" w:eastAsia="Courier New" w:hAnsi="Arial" w:cs="Arial"/>
          <w:szCs w:val="24"/>
        </w:rPr>
        <w:t xml:space="preserve">At time of transmittal, </w:t>
      </w:r>
      <w:r w:rsidR="00667D27" w:rsidRPr="00276EDA">
        <w:rPr>
          <w:rFonts w:ascii="Arial" w:eastAsia="Courier New" w:hAnsi="Arial" w:cs="Arial"/>
          <w:szCs w:val="24"/>
        </w:rPr>
        <w:t xml:space="preserve">King County has closed on purchases or entered into purchase and sale agreements for nine </w:t>
      </w:r>
      <w:r w:rsidR="00667D27">
        <w:rPr>
          <w:rFonts w:ascii="Arial" w:eastAsia="Courier New" w:hAnsi="Arial" w:cs="Arial"/>
          <w:szCs w:val="24"/>
        </w:rPr>
        <w:t>properties</w:t>
      </w:r>
      <w:r w:rsidR="00667D27" w:rsidRPr="00276EDA">
        <w:rPr>
          <w:rFonts w:ascii="Arial" w:eastAsia="Courier New" w:hAnsi="Arial" w:cs="Arial"/>
          <w:szCs w:val="24"/>
        </w:rPr>
        <w:t xml:space="preserve"> totaling 859 units of housing</w:t>
      </w:r>
      <w:r w:rsidR="00667D27">
        <w:rPr>
          <w:rFonts w:ascii="Arial" w:eastAsia="Courier New" w:hAnsi="Arial" w:cs="Arial"/>
          <w:szCs w:val="24"/>
        </w:rPr>
        <w:t xml:space="preserve"> in Seattle, Renton, Redmond, Auburn, and Federal Way. These properties are described in Figure 5 on pages 18 through 24 of the Implementation Plan. According to the Plan, King County anticipates acquiring an additional three locations by 2022 adding 296 more units and 95 operations-only units of permanent supportive housing. </w:t>
      </w:r>
    </w:p>
    <w:p w14:paraId="3988307E" w14:textId="77777777" w:rsidR="00667D27" w:rsidRDefault="00667D27" w:rsidP="00667D27">
      <w:pPr>
        <w:jc w:val="both"/>
        <w:rPr>
          <w:rFonts w:ascii="Arial" w:eastAsia="Courier New" w:hAnsi="Arial" w:cs="Arial"/>
          <w:szCs w:val="24"/>
        </w:rPr>
      </w:pPr>
    </w:p>
    <w:p w14:paraId="644B8A15" w14:textId="18079148" w:rsidR="009C79F6" w:rsidRDefault="00667D27" w:rsidP="00667D27">
      <w:pPr>
        <w:jc w:val="both"/>
        <w:rPr>
          <w:rFonts w:ascii="Arial" w:hAnsi="Arial" w:cs="Arial"/>
        </w:rPr>
      </w:pPr>
      <w:r>
        <w:rPr>
          <w:rFonts w:ascii="Arial" w:hAnsi="Arial" w:cs="Arial"/>
        </w:rPr>
        <w:lastRenderedPageBreak/>
        <w:t xml:space="preserve">Table </w:t>
      </w:r>
      <w:r w:rsidR="00F547C8">
        <w:rPr>
          <w:rFonts w:ascii="Arial" w:hAnsi="Arial" w:cs="Arial"/>
        </w:rPr>
        <w:t>2</w:t>
      </w:r>
      <w:r>
        <w:rPr>
          <w:rFonts w:ascii="Arial" w:hAnsi="Arial" w:cs="Arial"/>
        </w:rPr>
        <w:t xml:space="preserve"> below shows the approximate allocations for 2021. To date, Executive staff indicate that $170.87 million has been expended under Strategy 1 and $600,000 has been expended for administrative costs. </w:t>
      </w:r>
    </w:p>
    <w:p w14:paraId="693F22E5" w14:textId="362A8D93" w:rsidR="00667D27" w:rsidRDefault="00667D27" w:rsidP="00667D27">
      <w:pPr>
        <w:jc w:val="both"/>
        <w:rPr>
          <w:rFonts w:ascii="Arial" w:hAnsi="Arial" w:cs="Arial"/>
        </w:rPr>
      </w:pPr>
    </w:p>
    <w:p w14:paraId="45C10FB1" w14:textId="190910AF" w:rsidR="00667D27" w:rsidRPr="00104794" w:rsidRDefault="00667D27" w:rsidP="00667D27">
      <w:pPr>
        <w:jc w:val="center"/>
      </w:pPr>
      <w:r>
        <w:rPr>
          <w:rFonts w:ascii="Arial" w:eastAsia="Arial" w:hAnsi="Arial" w:cs="Arial"/>
          <w:b/>
          <w:bCs/>
        </w:rPr>
        <w:t>Table</w:t>
      </w:r>
      <w:r w:rsidR="00F547C8">
        <w:rPr>
          <w:rFonts w:ascii="Arial" w:eastAsia="Arial" w:hAnsi="Arial" w:cs="Arial"/>
          <w:b/>
          <w:bCs/>
        </w:rPr>
        <w:t xml:space="preserve"> 2. </w:t>
      </w:r>
      <w:r w:rsidRPr="00104794">
        <w:rPr>
          <w:rFonts w:ascii="Arial" w:eastAsia="Arial" w:hAnsi="Arial" w:cs="Arial"/>
          <w:b/>
          <w:bCs/>
        </w:rPr>
        <w:t>2021 Approximate Allocation in Millions by Strategy</w:t>
      </w:r>
    </w:p>
    <w:tbl>
      <w:tblPr>
        <w:tblStyle w:val="TableGrid"/>
        <w:tblW w:w="8102" w:type="dxa"/>
        <w:jc w:val="center"/>
        <w:tblLook w:val="04A0" w:firstRow="1" w:lastRow="0" w:firstColumn="1" w:lastColumn="0" w:noHBand="0" w:noVBand="1"/>
      </w:tblPr>
      <w:tblGrid>
        <w:gridCol w:w="7151"/>
        <w:gridCol w:w="951"/>
      </w:tblGrid>
      <w:tr w:rsidR="00667D27" w:rsidRPr="00763D0E" w14:paraId="661C7430" w14:textId="77777777" w:rsidTr="00667D27">
        <w:trPr>
          <w:trHeight w:val="68"/>
          <w:jc w:val="center"/>
        </w:trPr>
        <w:tc>
          <w:tcPr>
            <w:tcW w:w="7175" w:type="dxa"/>
            <w:shd w:val="clear" w:color="auto" w:fill="000000" w:themeFill="text1"/>
          </w:tcPr>
          <w:p w14:paraId="471384B5" w14:textId="77777777" w:rsidR="00667D27" w:rsidRPr="00763D0E" w:rsidRDefault="00667D27" w:rsidP="003650F8">
            <w:pPr>
              <w:keepNext/>
              <w:rPr>
                <w:rFonts w:ascii="Arial" w:hAnsi="Arial" w:cs="Arial"/>
                <w:i/>
                <w:szCs w:val="24"/>
              </w:rPr>
            </w:pPr>
          </w:p>
        </w:tc>
        <w:tc>
          <w:tcPr>
            <w:tcW w:w="927" w:type="dxa"/>
            <w:shd w:val="clear" w:color="auto" w:fill="000000" w:themeFill="text1"/>
            <w:hideMark/>
          </w:tcPr>
          <w:p w14:paraId="52D6F5D6" w14:textId="77777777" w:rsidR="00667D27" w:rsidRPr="00763D0E" w:rsidRDefault="00667D27" w:rsidP="003650F8">
            <w:pPr>
              <w:keepNext/>
              <w:jc w:val="center"/>
              <w:rPr>
                <w:rFonts w:ascii="Arial" w:hAnsi="Arial" w:cs="Arial"/>
                <w:b/>
                <w:bCs/>
                <w:iCs/>
                <w:szCs w:val="24"/>
              </w:rPr>
            </w:pPr>
            <w:r w:rsidRPr="00763D0E">
              <w:rPr>
                <w:rFonts w:ascii="Arial" w:hAnsi="Arial" w:cs="Arial"/>
                <w:b/>
                <w:bCs/>
                <w:iCs/>
                <w:szCs w:val="24"/>
              </w:rPr>
              <w:t>2021</w:t>
            </w:r>
          </w:p>
        </w:tc>
      </w:tr>
      <w:tr w:rsidR="00667D27" w:rsidRPr="00763D0E" w14:paraId="03D291F1" w14:textId="77777777" w:rsidTr="00667D27">
        <w:trPr>
          <w:trHeight w:val="351"/>
          <w:jc w:val="center"/>
        </w:trPr>
        <w:tc>
          <w:tcPr>
            <w:tcW w:w="7175" w:type="dxa"/>
            <w:hideMark/>
          </w:tcPr>
          <w:p w14:paraId="6CA244DA" w14:textId="77777777" w:rsidR="00667D27" w:rsidRPr="00763D0E" w:rsidRDefault="00667D27" w:rsidP="003650F8">
            <w:pPr>
              <w:keepNext/>
              <w:rPr>
                <w:rFonts w:ascii="Arial" w:hAnsi="Arial" w:cs="Arial"/>
                <w:i/>
                <w:szCs w:val="24"/>
              </w:rPr>
            </w:pPr>
            <w:r w:rsidRPr="00763D0E">
              <w:rPr>
                <w:rFonts w:ascii="Arial" w:hAnsi="Arial" w:cs="Arial"/>
                <w:i/>
                <w:szCs w:val="24"/>
              </w:rPr>
              <w:t>Strategy 1</w:t>
            </w:r>
          </w:p>
          <w:p w14:paraId="28386339" w14:textId="4B46FAF3" w:rsidR="00667D27" w:rsidRPr="00763D0E" w:rsidRDefault="00667D27" w:rsidP="003650F8">
            <w:pPr>
              <w:keepNext/>
              <w:rPr>
                <w:rFonts w:ascii="Arial" w:hAnsi="Arial" w:cs="Arial"/>
                <w:b/>
                <w:bCs/>
                <w:i/>
                <w:szCs w:val="24"/>
              </w:rPr>
            </w:pPr>
            <w:r w:rsidRPr="00763D0E">
              <w:rPr>
                <w:rFonts w:ascii="Arial" w:hAnsi="Arial" w:cs="Arial"/>
                <w:b/>
                <w:bCs/>
                <w:szCs w:val="24"/>
              </w:rPr>
              <w:t xml:space="preserve">Capital Financing and Improvements for </w:t>
            </w:r>
            <w:r w:rsidR="00F07928">
              <w:rPr>
                <w:rFonts w:ascii="Arial" w:hAnsi="Arial" w:cs="Arial"/>
                <w:b/>
                <w:bCs/>
                <w:szCs w:val="24"/>
              </w:rPr>
              <w:t>HtH</w:t>
            </w:r>
            <w:r w:rsidRPr="00763D0E">
              <w:rPr>
                <w:rFonts w:ascii="Arial" w:hAnsi="Arial" w:cs="Arial"/>
                <w:b/>
                <w:bCs/>
                <w:szCs w:val="24"/>
              </w:rPr>
              <w:t xml:space="preserve"> Sites</w:t>
            </w:r>
          </w:p>
        </w:tc>
        <w:tc>
          <w:tcPr>
            <w:tcW w:w="927" w:type="dxa"/>
            <w:hideMark/>
          </w:tcPr>
          <w:p w14:paraId="16433749" w14:textId="531344A0" w:rsidR="00667D27" w:rsidRPr="00763D0E" w:rsidRDefault="00667D27" w:rsidP="003650F8">
            <w:pPr>
              <w:keepNext/>
              <w:jc w:val="right"/>
              <w:rPr>
                <w:rFonts w:ascii="Arial" w:hAnsi="Arial" w:cs="Arial"/>
                <w:i/>
                <w:szCs w:val="24"/>
              </w:rPr>
            </w:pPr>
            <w:r>
              <w:rPr>
                <w:rFonts w:ascii="Arial" w:hAnsi="Arial" w:cs="Arial"/>
                <w:szCs w:val="24"/>
              </w:rPr>
              <w:t>$</w:t>
            </w:r>
            <w:r w:rsidRPr="00763D0E">
              <w:rPr>
                <w:rFonts w:ascii="Arial" w:hAnsi="Arial" w:cs="Arial"/>
                <w:szCs w:val="24"/>
              </w:rPr>
              <w:t>264.3</w:t>
            </w:r>
          </w:p>
        </w:tc>
      </w:tr>
      <w:tr w:rsidR="00667D27" w:rsidRPr="00763D0E" w14:paraId="5EDD16C7" w14:textId="77777777" w:rsidTr="00667D27">
        <w:trPr>
          <w:trHeight w:val="493"/>
          <w:jc w:val="center"/>
        </w:trPr>
        <w:tc>
          <w:tcPr>
            <w:tcW w:w="7175" w:type="dxa"/>
            <w:hideMark/>
          </w:tcPr>
          <w:p w14:paraId="40357470" w14:textId="77777777" w:rsidR="00667D27" w:rsidRPr="00763D0E" w:rsidRDefault="00667D27" w:rsidP="003650F8">
            <w:pPr>
              <w:keepNext/>
              <w:rPr>
                <w:rFonts w:ascii="Arial" w:hAnsi="Arial" w:cs="Arial"/>
                <w:i/>
                <w:szCs w:val="24"/>
              </w:rPr>
            </w:pPr>
            <w:r w:rsidRPr="00763D0E">
              <w:rPr>
                <w:rFonts w:ascii="Arial" w:hAnsi="Arial" w:cs="Arial"/>
                <w:i/>
                <w:szCs w:val="24"/>
              </w:rPr>
              <w:t>Strategy 2</w:t>
            </w:r>
          </w:p>
          <w:p w14:paraId="5DC0B4C4" w14:textId="77777777" w:rsidR="00667D27" w:rsidRPr="00763D0E" w:rsidRDefault="00667D27" w:rsidP="003650F8">
            <w:pPr>
              <w:keepNext/>
              <w:rPr>
                <w:rFonts w:ascii="Arial" w:hAnsi="Arial" w:cs="Arial"/>
                <w:b/>
                <w:bCs/>
                <w:i/>
                <w:szCs w:val="24"/>
              </w:rPr>
            </w:pPr>
            <w:r w:rsidRPr="00763D0E">
              <w:rPr>
                <w:rFonts w:ascii="Arial" w:hAnsi="Arial" w:cs="Arial"/>
                <w:b/>
                <w:bCs/>
                <w:szCs w:val="24"/>
              </w:rPr>
              <w:t>Emergency and Permanent Supportive Housing Operations</w:t>
            </w:r>
          </w:p>
        </w:tc>
        <w:tc>
          <w:tcPr>
            <w:tcW w:w="927" w:type="dxa"/>
            <w:hideMark/>
          </w:tcPr>
          <w:p w14:paraId="44E3B95D" w14:textId="253C8678" w:rsidR="00667D27" w:rsidRPr="00763D0E" w:rsidRDefault="00667D27" w:rsidP="003650F8">
            <w:pPr>
              <w:keepNext/>
              <w:jc w:val="right"/>
              <w:rPr>
                <w:rFonts w:ascii="Arial" w:hAnsi="Arial" w:cs="Arial"/>
                <w:i/>
                <w:szCs w:val="24"/>
              </w:rPr>
            </w:pPr>
            <w:r>
              <w:rPr>
                <w:rFonts w:ascii="Arial" w:hAnsi="Arial" w:cs="Arial"/>
                <w:szCs w:val="24"/>
              </w:rPr>
              <w:t>$</w:t>
            </w:r>
            <w:r w:rsidRPr="00763D0E">
              <w:rPr>
                <w:rFonts w:ascii="Arial" w:hAnsi="Arial" w:cs="Arial"/>
                <w:szCs w:val="24"/>
              </w:rPr>
              <w:t>9.6</w:t>
            </w:r>
          </w:p>
        </w:tc>
      </w:tr>
      <w:tr w:rsidR="00667D27" w:rsidRPr="00763D0E" w14:paraId="362AABEC" w14:textId="77777777" w:rsidTr="00667D27">
        <w:trPr>
          <w:trHeight w:val="424"/>
          <w:jc w:val="center"/>
        </w:trPr>
        <w:tc>
          <w:tcPr>
            <w:tcW w:w="7175" w:type="dxa"/>
            <w:hideMark/>
          </w:tcPr>
          <w:p w14:paraId="62BFA8A2" w14:textId="77777777" w:rsidR="00667D27" w:rsidRPr="00763D0E" w:rsidRDefault="00667D27" w:rsidP="003650F8">
            <w:pPr>
              <w:keepNext/>
              <w:rPr>
                <w:rFonts w:ascii="Arial" w:hAnsi="Arial" w:cs="Arial"/>
                <w:i/>
                <w:szCs w:val="24"/>
              </w:rPr>
            </w:pPr>
            <w:r w:rsidRPr="00763D0E">
              <w:rPr>
                <w:rFonts w:ascii="Arial" w:hAnsi="Arial" w:cs="Arial"/>
                <w:i/>
                <w:szCs w:val="24"/>
              </w:rPr>
              <w:t>Strategy 3</w:t>
            </w:r>
          </w:p>
          <w:p w14:paraId="6DB52E9C" w14:textId="52FF52B5" w:rsidR="00667D27" w:rsidRPr="00763D0E" w:rsidRDefault="00667D27" w:rsidP="003650F8">
            <w:pPr>
              <w:keepNext/>
              <w:rPr>
                <w:rFonts w:ascii="Arial" w:hAnsi="Arial" w:cs="Arial"/>
                <w:b/>
                <w:bCs/>
                <w:i/>
                <w:szCs w:val="24"/>
              </w:rPr>
            </w:pPr>
            <w:r w:rsidRPr="00763D0E">
              <w:rPr>
                <w:rFonts w:ascii="Arial" w:hAnsi="Arial" w:cs="Arial"/>
                <w:b/>
                <w:bCs/>
                <w:szCs w:val="24"/>
              </w:rPr>
              <w:t xml:space="preserve">Behavioral Health Services Outside </w:t>
            </w:r>
            <w:r w:rsidR="00F07928">
              <w:rPr>
                <w:rFonts w:ascii="Arial" w:hAnsi="Arial" w:cs="Arial"/>
                <w:b/>
                <w:bCs/>
                <w:szCs w:val="24"/>
              </w:rPr>
              <w:t>HtH</w:t>
            </w:r>
            <w:r w:rsidRPr="00763D0E">
              <w:rPr>
                <w:rFonts w:ascii="Arial" w:hAnsi="Arial" w:cs="Arial"/>
                <w:b/>
                <w:bCs/>
                <w:szCs w:val="24"/>
              </w:rPr>
              <w:t xml:space="preserve"> Sites</w:t>
            </w:r>
          </w:p>
        </w:tc>
        <w:tc>
          <w:tcPr>
            <w:tcW w:w="927" w:type="dxa"/>
            <w:hideMark/>
          </w:tcPr>
          <w:p w14:paraId="5AC9F5C1" w14:textId="1DFF62FE" w:rsidR="00667D27" w:rsidRPr="00763D0E" w:rsidRDefault="00667D27" w:rsidP="003650F8">
            <w:pPr>
              <w:keepNext/>
              <w:jc w:val="right"/>
              <w:rPr>
                <w:rFonts w:ascii="Arial" w:hAnsi="Arial" w:cs="Arial"/>
                <w:i/>
                <w:szCs w:val="24"/>
              </w:rPr>
            </w:pPr>
            <w:r>
              <w:rPr>
                <w:rFonts w:ascii="Arial" w:hAnsi="Arial" w:cs="Arial"/>
                <w:szCs w:val="24"/>
              </w:rPr>
              <w:t>$</w:t>
            </w:r>
            <w:r w:rsidRPr="00763D0E">
              <w:rPr>
                <w:rFonts w:ascii="Arial" w:hAnsi="Arial" w:cs="Arial"/>
                <w:szCs w:val="24"/>
              </w:rPr>
              <w:t>0.6</w:t>
            </w:r>
          </w:p>
        </w:tc>
      </w:tr>
      <w:tr w:rsidR="00667D27" w:rsidRPr="00763D0E" w14:paraId="2B4E72C5" w14:textId="77777777" w:rsidTr="00667D27">
        <w:trPr>
          <w:trHeight w:val="278"/>
          <w:jc w:val="center"/>
        </w:trPr>
        <w:tc>
          <w:tcPr>
            <w:tcW w:w="7175" w:type="dxa"/>
            <w:hideMark/>
          </w:tcPr>
          <w:p w14:paraId="1E1243D8" w14:textId="77777777" w:rsidR="00667D27" w:rsidRPr="00763D0E" w:rsidRDefault="00667D27" w:rsidP="003650F8">
            <w:pPr>
              <w:keepNext/>
              <w:rPr>
                <w:rFonts w:ascii="Arial" w:hAnsi="Arial" w:cs="Arial"/>
                <w:i/>
                <w:szCs w:val="24"/>
              </w:rPr>
            </w:pPr>
            <w:r w:rsidRPr="00763D0E">
              <w:rPr>
                <w:rFonts w:ascii="Arial" w:hAnsi="Arial" w:cs="Arial"/>
                <w:i/>
                <w:szCs w:val="24"/>
              </w:rPr>
              <w:t>Strategy 4</w:t>
            </w:r>
          </w:p>
          <w:p w14:paraId="3DC17768" w14:textId="77777777" w:rsidR="00667D27" w:rsidRPr="00763D0E" w:rsidRDefault="00667D27" w:rsidP="003650F8">
            <w:pPr>
              <w:keepNext/>
              <w:rPr>
                <w:rFonts w:ascii="Arial" w:hAnsi="Arial" w:cs="Arial"/>
                <w:b/>
                <w:bCs/>
                <w:i/>
                <w:szCs w:val="24"/>
              </w:rPr>
            </w:pPr>
            <w:r w:rsidRPr="00763D0E">
              <w:rPr>
                <w:rFonts w:ascii="Arial" w:eastAsia="Courier New" w:hAnsi="Arial" w:cs="Arial"/>
                <w:b/>
                <w:bCs/>
                <w:szCs w:val="24"/>
              </w:rPr>
              <w:t>Capacity Building Collaborative</w:t>
            </w:r>
          </w:p>
        </w:tc>
        <w:tc>
          <w:tcPr>
            <w:tcW w:w="927" w:type="dxa"/>
            <w:hideMark/>
          </w:tcPr>
          <w:p w14:paraId="420EA4A0" w14:textId="698562FE"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0.6</w:t>
            </w:r>
          </w:p>
        </w:tc>
      </w:tr>
      <w:tr w:rsidR="00667D27" w:rsidRPr="00763D0E" w14:paraId="26ADB072" w14:textId="77777777" w:rsidTr="00667D27">
        <w:trPr>
          <w:trHeight w:val="351"/>
          <w:jc w:val="center"/>
        </w:trPr>
        <w:tc>
          <w:tcPr>
            <w:tcW w:w="7175" w:type="dxa"/>
            <w:hideMark/>
          </w:tcPr>
          <w:p w14:paraId="7B95C475" w14:textId="77777777" w:rsidR="00667D27" w:rsidRPr="00763D0E" w:rsidRDefault="00667D27" w:rsidP="003650F8">
            <w:pPr>
              <w:keepNext/>
              <w:rPr>
                <w:rFonts w:ascii="Arial" w:hAnsi="Arial" w:cs="Arial"/>
                <w:i/>
                <w:szCs w:val="24"/>
              </w:rPr>
            </w:pPr>
            <w:r w:rsidRPr="00763D0E">
              <w:rPr>
                <w:rFonts w:ascii="Arial" w:hAnsi="Arial" w:cs="Arial"/>
                <w:i/>
                <w:szCs w:val="24"/>
              </w:rPr>
              <w:t>Strategy 5</w:t>
            </w:r>
          </w:p>
          <w:p w14:paraId="3B9EB4FD" w14:textId="77777777" w:rsidR="00667D27" w:rsidRPr="00763D0E" w:rsidRDefault="00667D27" w:rsidP="003650F8">
            <w:pPr>
              <w:keepNext/>
              <w:rPr>
                <w:rFonts w:ascii="Arial" w:hAnsi="Arial" w:cs="Arial"/>
                <w:b/>
                <w:bCs/>
                <w:i/>
                <w:szCs w:val="24"/>
              </w:rPr>
            </w:pPr>
            <w:r w:rsidRPr="00763D0E">
              <w:rPr>
                <w:rFonts w:ascii="Arial" w:eastAsia="Courier New" w:hAnsi="Arial" w:cs="Arial"/>
                <w:b/>
                <w:bCs/>
                <w:szCs w:val="24"/>
              </w:rPr>
              <w:t>Evaluation and Performance Measurement</w:t>
            </w:r>
          </w:p>
        </w:tc>
        <w:tc>
          <w:tcPr>
            <w:tcW w:w="927" w:type="dxa"/>
            <w:hideMark/>
          </w:tcPr>
          <w:p w14:paraId="52922ABF" w14:textId="3D33975F"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0.9</w:t>
            </w:r>
          </w:p>
        </w:tc>
      </w:tr>
      <w:tr w:rsidR="00667D27" w:rsidRPr="00763D0E" w14:paraId="1A7463F0" w14:textId="77777777" w:rsidTr="00667D27">
        <w:trPr>
          <w:trHeight w:val="351"/>
          <w:jc w:val="center"/>
        </w:trPr>
        <w:tc>
          <w:tcPr>
            <w:tcW w:w="7175" w:type="dxa"/>
            <w:hideMark/>
          </w:tcPr>
          <w:p w14:paraId="7056C0D4" w14:textId="77777777" w:rsidR="00667D27" w:rsidRPr="00763D0E" w:rsidRDefault="00667D27" w:rsidP="003650F8">
            <w:pPr>
              <w:keepNext/>
              <w:rPr>
                <w:rFonts w:ascii="Arial" w:hAnsi="Arial" w:cs="Arial"/>
                <w:i/>
                <w:szCs w:val="24"/>
              </w:rPr>
            </w:pPr>
            <w:r w:rsidRPr="00763D0E">
              <w:rPr>
                <w:rFonts w:ascii="Arial" w:hAnsi="Arial" w:cs="Arial"/>
                <w:i/>
                <w:szCs w:val="24"/>
              </w:rPr>
              <w:t>Strategy 6</w:t>
            </w:r>
          </w:p>
          <w:p w14:paraId="4B3086CB" w14:textId="77777777" w:rsidR="00667D27" w:rsidRPr="00763D0E" w:rsidRDefault="00667D27" w:rsidP="003650F8">
            <w:pPr>
              <w:keepNext/>
              <w:rPr>
                <w:rFonts w:ascii="Arial" w:hAnsi="Arial" w:cs="Arial"/>
                <w:b/>
                <w:bCs/>
                <w:i/>
                <w:szCs w:val="24"/>
              </w:rPr>
            </w:pPr>
            <w:r w:rsidRPr="00763D0E">
              <w:rPr>
                <w:rFonts w:ascii="Arial" w:eastAsia="Courier New" w:hAnsi="Arial" w:cs="Arial"/>
                <w:b/>
                <w:bCs/>
                <w:szCs w:val="24"/>
              </w:rPr>
              <w:t>Future Acquisition of Additional Facilities</w:t>
            </w:r>
          </w:p>
        </w:tc>
        <w:tc>
          <w:tcPr>
            <w:tcW w:w="927" w:type="dxa"/>
            <w:hideMark/>
          </w:tcPr>
          <w:p w14:paraId="1FAFE44D" w14:textId="7F42DCF7"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0.0</w:t>
            </w:r>
          </w:p>
        </w:tc>
      </w:tr>
      <w:tr w:rsidR="00667D27" w:rsidRPr="00763D0E" w14:paraId="10CAF85F" w14:textId="77777777" w:rsidTr="00667D27">
        <w:trPr>
          <w:trHeight w:val="141"/>
          <w:jc w:val="center"/>
        </w:trPr>
        <w:tc>
          <w:tcPr>
            <w:tcW w:w="7175" w:type="dxa"/>
            <w:hideMark/>
          </w:tcPr>
          <w:p w14:paraId="7E2AA81B" w14:textId="77777777" w:rsidR="00667D27" w:rsidRPr="00763D0E" w:rsidRDefault="00667D27" w:rsidP="003650F8">
            <w:pPr>
              <w:keepNext/>
              <w:rPr>
                <w:rFonts w:ascii="Arial" w:hAnsi="Arial" w:cs="Arial"/>
                <w:i/>
                <w:szCs w:val="24"/>
              </w:rPr>
            </w:pPr>
            <w:r w:rsidRPr="00763D0E">
              <w:rPr>
                <w:rFonts w:ascii="Arial" w:hAnsi="Arial" w:cs="Arial"/>
                <w:i/>
                <w:szCs w:val="24"/>
              </w:rPr>
              <w:t>Initiative Administration</w:t>
            </w:r>
          </w:p>
        </w:tc>
        <w:tc>
          <w:tcPr>
            <w:tcW w:w="927" w:type="dxa"/>
            <w:vAlign w:val="bottom"/>
            <w:hideMark/>
          </w:tcPr>
          <w:p w14:paraId="457FFD4F" w14:textId="4323FE8B"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2.9</w:t>
            </w:r>
          </w:p>
        </w:tc>
      </w:tr>
      <w:tr w:rsidR="00667D27" w:rsidRPr="00763D0E" w14:paraId="18352083" w14:textId="77777777" w:rsidTr="00667D27">
        <w:trPr>
          <w:trHeight w:val="136"/>
          <w:jc w:val="center"/>
        </w:trPr>
        <w:tc>
          <w:tcPr>
            <w:tcW w:w="7175" w:type="dxa"/>
            <w:hideMark/>
          </w:tcPr>
          <w:p w14:paraId="55A70344" w14:textId="77777777" w:rsidR="00667D27" w:rsidRPr="00763D0E" w:rsidRDefault="00667D27" w:rsidP="003650F8">
            <w:pPr>
              <w:keepNext/>
              <w:rPr>
                <w:rFonts w:ascii="Arial" w:hAnsi="Arial" w:cs="Arial"/>
                <w:i/>
                <w:szCs w:val="24"/>
              </w:rPr>
            </w:pPr>
            <w:r w:rsidRPr="00763D0E">
              <w:rPr>
                <w:rFonts w:ascii="Arial" w:hAnsi="Arial" w:cs="Arial"/>
                <w:i/>
                <w:szCs w:val="24"/>
              </w:rPr>
              <w:t>Bond Financing Cost</w:t>
            </w:r>
          </w:p>
        </w:tc>
        <w:tc>
          <w:tcPr>
            <w:tcW w:w="927" w:type="dxa"/>
            <w:vAlign w:val="bottom"/>
            <w:hideMark/>
          </w:tcPr>
          <w:p w14:paraId="03352EBC" w14:textId="56E8FC6D" w:rsidR="00667D27" w:rsidRPr="00763D0E" w:rsidRDefault="00667D27" w:rsidP="003650F8">
            <w:pPr>
              <w:keepNext/>
              <w:jc w:val="right"/>
              <w:rPr>
                <w:rFonts w:ascii="Arial" w:eastAsia="Courier New" w:hAnsi="Arial" w:cs="Arial"/>
                <w:szCs w:val="24"/>
              </w:rPr>
            </w:pPr>
            <w:r>
              <w:rPr>
                <w:rFonts w:ascii="Arial" w:eastAsia="Courier New" w:hAnsi="Arial" w:cs="Arial"/>
                <w:szCs w:val="24"/>
              </w:rPr>
              <w:t>$</w:t>
            </w:r>
            <w:r w:rsidRPr="00763D0E">
              <w:rPr>
                <w:rFonts w:ascii="Arial" w:eastAsia="Courier New" w:hAnsi="Arial" w:cs="Arial"/>
                <w:szCs w:val="24"/>
              </w:rPr>
              <w:t>0.6</w:t>
            </w:r>
          </w:p>
        </w:tc>
      </w:tr>
      <w:tr w:rsidR="00667D27" w:rsidRPr="00763D0E" w14:paraId="24378C12" w14:textId="77777777" w:rsidTr="00667D27">
        <w:trPr>
          <w:trHeight w:val="68"/>
          <w:jc w:val="center"/>
        </w:trPr>
        <w:tc>
          <w:tcPr>
            <w:tcW w:w="7175" w:type="dxa"/>
            <w:hideMark/>
          </w:tcPr>
          <w:p w14:paraId="492CF836" w14:textId="4218D370" w:rsidR="00667D27" w:rsidRPr="00763D0E" w:rsidRDefault="00F07928" w:rsidP="003650F8">
            <w:pPr>
              <w:keepNext/>
              <w:rPr>
                <w:rFonts w:ascii="Arial" w:hAnsi="Arial" w:cs="Arial"/>
                <w:i/>
                <w:szCs w:val="24"/>
              </w:rPr>
            </w:pPr>
            <w:r>
              <w:rPr>
                <w:rFonts w:ascii="Arial" w:hAnsi="Arial" w:cs="Arial"/>
                <w:i/>
                <w:szCs w:val="24"/>
              </w:rPr>
              <w:t>HtH</w:t>
            </w:r>
            <w:r w:rsidR="00667D27" w:rsidRPr="00763D0E">
              <w:rPr>
                <w:rFonts w:ascii="Arial" w:hAnsi="Arial" w:cs="Arial"/>
                <w:i/>
                <w:szCs w:val="24"/>
              </w:rPr>
              <w:t xml:space="preserve"> Reserve</w:t>
            </w:r>
            <w:r w:rsidR="00667D27" w:rsidRPr="00763D0E">
              <w:rPr>
                <w:rStyle w:val="FootnoteReference"/>
                <w:rFonts w:ascii="Arial" w:eastAsia="Courier New" w:hAnsi="Arial" w:cs="Arial"/>
                <w:szCs w:val="24"/>
              </w:rPr>
              <w:footnoteReference w:id="19"/>
            </w:r>
          </w:p>
        </w:tc>
        <w:tc>
          <w:tcPr>
            <w:tcW w:w="927" w:type="dxa"/>
            <w:vAlign w:val="bottom"/>
            <w:hideMark/>
          </w:tcPr>
          <w:p w14:paraId="5D3B196A" w14:textId="4328CAF2" w:rsidR="00667D27" w:rsidRPr="00763D0E" w:rsidRDefault="00667D27" w:rsidP="003650F8">
            <w:pPr>
              <w:keepNext/>
              <w:jc w:val="right"/>
              <w:rPr>
                <w:rFonts w:ascii="Arial" w:hAnsi="Arial" w:cs="Arial"/>
                <w:szCs w:val="24"/>
              </w:rPr>
            </w:pPr>
            <w:r>
              <w:rPr>
                <w:rFonts w:ascii="Arial" w:eastAsia="Courier New" w:hAnsi="Arial" w:cs="Arial"/>
                <w:szCs w:val="24"/>
              </w:rPr>
              <w:t>$</w:t>
            </w:r>
            <w:r w:rsidRPr="00763D0E">
              <w:rPr>
                <w:rFonts w:ascii="Arial" w:eastAsia="Courier New" w:hAnsi="Arial" w:cs="Arial"/>
                <w:szCs w:val="24"/>
              </w:rPr>
              <w:t>18.3</w:t>
            </w:r>
          </w:p>
        </w:tc>
      </w:tr>
      <w:tr w:rsidR="00667D27" w:rsidRPr="00763D0E" w14:paraId="066BEB15" w14:textId="77777777" w:rsidTr="00667D27">
        <w:trPr>
          <w:trHeight w:val="136"/>
          <w:jc w:val="center"/>
        </w:trPr>
        <w:tc>
          <w:tcPr>
            <w:tcW w:w="7175" w:type="dxa"/>
            <w:shd w:val="clear" w:color="auto" w:fill="000000" w:themeFill="text1"/>
            <w:hideMark/>
          </w:tcPr>
          <w:p w14:paraId="02054923" w14:textId="0654BA73" w:rsidR="00667D27" w:rsidRPr="00763D0E" w:rsidRDefault="00667D27" w:rsidP="003650F8">
            <w:pPr>
              <w:keepNext/>
              <w:rPr>
                <w:rFonts w:ascii="Arial" w:hAnsi="Arial" w:cs="Arial"/>
                <w:b/>
                <w:bCs/>
                <w:i/>
                <w:szCs w:val="24"/>
              </w:rPr>
            </w:pPr>
            <w:r w:rsidRPr="00763D0E">
              <w:rPr>
                <w:rFonts w:ascii="Arial" w:hAnsi="Arial" w:cs="Arial"/>
                <w:b/>
                <w:bCs/>
                <w:i/>
                <w:szCs w:val="24"/>
              </w:rPr>
              <w:t>Total Expenditure</w:t>
            </w:r>
            <w:r w:rsidR="000063D1">
              <w:rPr>
                <w:rFonts w:ascii="Arial" w:hAnsi="Arial" w:cs="Arial"/>
                <w:b/>
                <w:bCs/>
                <w:i/>
                <w:szCs w:val="24"/>
              </w:rPr>
              <w:t>s</w:t>
            </w:r>
          </w:p>
        </w:tc>
        <w:tc>
          <w:tcPr>
            <w:tcW w:w="927" w:type="dxa"/>
            <w:shd w:val="clear" w:color="auto" w:fill="000000" w:themeFill="text1"/>
            <w:vAlign w:val="bottom"/>
            <w:hideMark/>
          </w:tcPr>
          <w:p w14:paraId="1FD378D7" w14:textId="77777777" w:rsidR="00667D27" w:rsidRPr="00763D0E" w:rsidRDefault="00667D27" w:rsidP="003650F8">
            <w:pPr>
              <w:keepNext/>
              <w:jc w:val="right"/>
              <w:rPr>
                <w:rFonts w:ascii="Arial" w:hAnsi="Arial" w:cs="Arial"/>
                <w:b/>
                <w:bCs/>
                <w:i/>
                <w:szCs w:val="24"/>
              </w:rPr>
            </w:pPr>
            <w:r w:rsidRPr="00763D0E">
              <w:rPr>
                <w:rFonts w:ascii="Arial" w:eastAsia="Courier New" w:hAnsi="Arial" w:cs="Arial"/>
                <w:b/>
                <w:bCs/>
                <w:szCs w:val="24"/>
              </w:rPr>
              <w:t>$297.8</w:t>
            </w:r>
          </w:p>
        </w:tc>
      </w:tr>
    </w:tbl>
    <w:p w14:paraId="5A7E9160" w14:textId="449BE78B" w:rsidR="00D858C0" w:rsidRPr="00A62F1C" w:rsidRDefault="00D858C0" w:rsidP="00A77CB9">
      <w:pPr>
        <w:rPr>
          <w:rFonts w:ascii="Arial" w:hAnsi="Arial" w:cs="Arial"/>
        </w:rPr>
      </w:pPr>
    </w:p>
    <w:p w14:paraId="315E2DFE" w14:textId="2F70659C" w:rsidR="00465BAF" w:rsidRPr="00A62F1C" w:rsidRDefault="00D858C0" w:rsidP="00B32A06">
      <w:pPr>
        <w:jc w:val="both"/>
        <w:rPr>
          <w:rFonts w:ascii="Arial" w:hAnsi="Arial" w:cs="Arial"/>
        </w:rPr>
      </w:pPr>
      <w:r w:rsidRPr="00A62F1C">
        <w:rPr>
          <w:rFonts w:ascii="Arial" w:hAnsi="Arial" w:cs="Arial"/>
          <w:b/>
          <w:bCs/>
        </w:rPr>
        <w:t>Other Cities in King County.</w:t>
      </w:r>
      <w:r w:rsidRPr="00A62F1C">
        <w:rPr>
          <w:rFonts w:ascii="Arial" w:hAnsi="Arial" w:cs="Arial"/>
        </w:rPr>
        <w:t xml:space="preserve"> </w:t>
      </w:r>
      <w:r w:rsidR="00465BAF" w:rsidRPr="00A62F1C">
        <w:rPr>
          <w:rFonts w:ascii="Arial" w:hAnsi="Arial" w:cs="Arial"/>
        </w:rPr>
        <w:t xml:space="preserve"> Before the Council passed the </w:t>
      </w:r>
      <w:r w:rsidR="00F07928">
        <w:rPr>
          <w:rFonts w:ascii="Arial" w:hAnsi="Arial" w:cs="Arial"/>
        </w:rPr>
        <w:t>HtH</w:t>
      </w:r>
      <w:r w:rsidR="00465BAF" w:rsidRPr="00A62F1C">
        <w:rPr>
          <w:rFonts w:ascii="Arial" w:hAnsi="Arial" w:cs="Arial"/>
        </w:rPr>
        <w:t xml:space="preserve"> sales tax, 8 </w:t>
      </w:r>
      <w:r w:rsidR="00F07928">
        <w:rPr>
          <w:rFonts w:ascii="Arial" w:hAnsi="Arial" w:cs="Arial"/>
        </w:rPr>
        <w:t>cities</w:t>
      </w:r>
      <w:r w:rsidR="00465BAF" w:rsidRPr="00A62F1C">
        <w:rPr>
          <w:rFonts w:ascii="Arial" w:hAnsi="Arial" w:cs="Arial"/>
        </w:rPr>
        <w:t xml:space="preserve"> chose to impose the sales tax within their own jurisdictions</w:t>
      </w:r>
      <w:r w:rsidR="00A515B0">
        <w:rPr>
          <w:rStyle w:val="FootnoteReference"/>
          <w:rFonts w:ascii="Arial" w:hAnsi="Arial" w:cs="Arial"/>
        </w:rPr>
        <w:footnoteReference w:id="20"/>
      </w:r>
      <w:r w:rsidR="00465BAF" w:rsidRPr="00A62F1C">
        <w:rPr>
          <w:rFonts w:ascii="Arial" w:hAnsi="Arial" w:cs="Arial"/>
        </w:rPr>
        <w:t>.  According the HB 1590, the county must provide a credit to those cities for the full amount collected within each jurisdiction.</w:t>
      </w:r>
    </w:p>
    <w:p w14:paraId="35728AC9" w14:textId="06430A87" w:rsidR="00465BAF" w:rsidRPr="00A62F1C" w:rsidRDefault="00465BAF" w:rsidP="00B32A06">
      <w:pPr>
        <w:jc w:val="both"/>
        <w:rPr>
          <w:rFonts w:ascii="Arial" w:hAnsi="Arial" w:cs="Arial"/>
        </w:rPr>
      </w:pPr>
    </w:p>
    <w:p w14:paraId="54F797C9" w14:textId="10D59A19" w:rsidR="00465BAF" w:rsidRPr="00A62F1C" w:rsidRDefault="00465BAF" w:rsidP="00A515B0">
      <w:pPr>
        <w:jc w:val="both"/>
        <w:rPr>
          <w:rFonts w:ascii="Arial" w:hAnsi="Arial" w:cs="Arial"/>
        </w:rPr>
      </w:pPr>
      <w:r w:rsidRPr="00A62F1C">
        <w:rPr>
          <w:rFonts w:ascii="Arial" w:hAnsi="Arial" w:cs="Arial"/>
        </w:rPr>
        <w:t xml:space="preserve">Based on </w:t>
      </w:r>
      <w:r w:rsidR="00E93CD7">
        <w:rPr>
          <w:rFonts w:ascii="Arial" w:hAnsi="Arial" w:cs="Arial"/>
        </w:rPr>
        <w:t>Office of Economic and Financial Analysis (</w:t>
      </w:r>
      <w:r w:rsidRPr="00A62F1C">
        <w:rPr>
          <w:rFonts w:ascii="Arial" w:hAnsi="Arial" w:cs="Arial"/>
        </w:rPr>
        <w:t>OEFA</w:t>
      </w:r>
      <w:r w:rsidR="00E93CD7">
        <w:rPr>
          <w:rFonts w:ascii="Arial" w:hAnsi="Arial" w:cs="Arial"/>
        </w:rPr>
        <w:t>)</w:t>
      </w:r>
      <w:r w:rsidRPr="00A62F1C">
        <w:rPr>
          <w:rFonts w:ascii="Arial" w:hAnsi="Arial" w:cs="Arial"/>
        </w:rPr>
        <w:t xml:space="preserve"> projections from </w:t>
      </w:r>
      <w:r w:rsidR="0002226B">
        <w:rPr>
          <w:rFonts w:ascii="Arial" w:hAnsi="Arial" w:cs="Arial"/>
        </w:rPr>
        <w:t xml:space="preserve">2016 to </w:t>
      </w:r>
      <w:r w:rsidRPr="00A62F1C">
        <w:rPr>
          <w:rFonts w:ascii="Arial" w:hAnsi="Arial" w:cs="Arial"/>
        </w:rPr>
        <w:t xml:space="preserve">2019, revenue generated within these 8 jurisdictions constitute </w:t>
      </w:r>
      <w:r w:rsidR="0002226B">
        <w:rPr>
          <w:rFonts w:ascii="Arial" w:hAnsi="Arial" w:cs="Arial"/>
        </w:rPr>
        <w:t xml:space="preserve">26% </w:t>
      </w:r>
      <w:r w:rsidRPr="00A62F1C">
        <w:rPr>
          <w:rFonts w:ascii="Arial" w:hAnsi="Arial" w:cs="Arial"/>
        </w:rPr>
        <w:t xml:space="preserve">of total countywide revenue </w:t>
      </w:r>
      <w:r w:rsidR="0002226B">
        <w:rPr>
          <w:rFonts w:ascii="Arial" w:hAnsi="Arial" w:cs="Arial"/>
        </w:rPr>
        <w:t xml:space="preserve">collections.  </w:t>
      </w:r>
    </w:p>
    <w:p w14:paraId="37A57B18" w14:textId="627019D7" w:rsidR="00465BAF" w:rsidRPr="00A62F1C" w:rsidRDefault="00465BAF" w:rsidP="00465BAF">
      <w:pPr>
        <w:rPr>
          <w:rFonts w:ascii="Arial" w:hAnsi="Arial" w:cs="Arial"/>
        </w:rPr>
      </w:pPr>
    </w:p>
    <w:p w14:paraId="019C29F2" w14:textId="2EDA0F7A" w:rsidR="00465BAF" w:rsidRPr="00A62F1C" w:rsidRDefault="0002226B" w:rsidP="00A515B0">
      <w:pPr>
        <w:jc w:val="both"/>
        <w:rPr>
          <w:rFonts w:ascii="Arial" w:hAnsi="Arial" w:cs="Arial"/>
        </w:rPr>
      </w:pPr>
      <w:r>
        <w:rPr>
          <w:rFonts w:ascii="Arial" w:hAnsi="Arial" w:cs="Arial"/>
        </w:rPr>
        <w:t xml:space="preserve">Executive </w:t>
      </w:r>
      <w:r w:rsidR="0061082D">
        <w:rPr>
          <w:rFonts w:ascii="Arial" w:hAnsi="Arial" w:cs="Arial"/>
        </w:rPr>
        <w:t xml:space="preserve">staff </w:t>
      </w:r>
      <w:r>
        <w:rPr>
          <w:rFonts w:ascii="Arial" w:hAnsi="Arial" w:cs="Arial"/>
        </w:rPr>
        <w:t>indicate that they are in active conversations with 4 of these jurisdictions—Bellevue, Issaquah, Kent, and Renton—for potential HtH partnerships moving forward.  At this time, Executive staff only anticipate a HtH project in the City of Renton, who they say has agreed to site a HtH building in a former Extended Stay.</w:t>
      </w:r>
    </w:p>
    <w:p w14:paraId="56E8A655" w14:textId="77777777" w:rsidR="00C97FBC" w:rsidRPr="00A62F1C" w:rsidRDefault="00C97FBC" w:rsidP="00A77CB9">
      <w:pPr>
        <w:rPr>
          <w:rFonts w:ascii="Arial" w:hAnsi="Arial" w:cs="Arial"/>
          <w:szCs w:val="24"/>
        </w:rPr>
      </w:pPr>
    </w:p>
    <w:p w14:paraId="391974C9" w14:textId="77777777" w:rsidR="00264BE1" w:rsidRPr="00A62F1C" w:rsidRDefault="00264BE1" w:rsidP="00264BE1">
      <w:pPr>
        <w:rPr>
          <w:rFonts w:ascii="Arial" w:hAnsi="Arial" w:cs="Arial"/>
          <w:b/>
          <w:smallCaps/>
          <w:szCs w:val="24"/>
          <w:u w:val="single"/>
        </w:rPr>
      </w:pPr>
      <w:r w:rsidRPr="00A62F1C">
        <w:rPr>
          <w:rFonts w:ascii="Arial" w:hAnsi="Arial" w:cs="Arial"/>
          <w:b/>
          <w:smallCaps/>
          <w:szCs w:val="24"/>
          <w:u w:val="single"/>
        </w:rPr>
        <w:t>ANALYSIS</w:t>
      </w:r>
    </w:p>
    <w:p w14:paraId="20A21DD6" w14:textId="77777777" w:rsidR="00D429AE" w:rsidRPr="00A62F1C" w:rsidRDefault="00D429AE" w:rsidP="00264BE1">
      <w:pPr>
        <w:rPr>
          <w:rFonts w:ascii="Arial" w:hAnsi="Arial" w:cs="Arial"/>
          <w:b/>
          <w:smallCaps/>
          <w:szCs w:val="24"/>
          <w:u w:val="single"/>
        </w:rPr>
      </w:pPr>
    </w:p>
    <w:p w14:paraId="31BAC058" w14:textId="12E25A4E" w:rsidR="00C97FBC" w:rsidRPr="00A62F1C" w:rsidRDefault="00C97FBC" w:rsidP="00A515B0">
      <w:pPr>
        <w:jc w:val="both"/>
        <w:rPr>
          <w:rFonts w:ascii="Arial" w:hAnsi="Arial" w:cs="Arial"/>
        </w:rPr>
      </w:pPr>
      <w:r w:rsidRPr="00A62F1C">
        <w:rPr>
          <w:rFonts w:ascii="Arial" w:hAnsi="Arial" w:cs="Arial"/>
        </w:rPr>
        <w:t>Proposed Ordinance 2021-0330 would adopt the Initial Health through Housing Implementation Plan to govern the expenditure of sales and use tax proceeds authorized by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4A.503 and RCW 82.14.530 from 2022 through 2028.  The Proposed Ordinance would also create the </w:t>
      </w:r>
      <w:r w:rsidR="0061082D">
        <w:rPr>
          <w:rFonts w:ascii="Arial" w:hAnsi="Arial" w:cs="Arial"/>
        </w:rPr>
        <w:t>H</w:t>
      </w:r>
      <w:r w:rsidRPr="00A62F1C">
        <w:rPr>
          <w:rFonts w:ascii="Arial" w:hAnsi="Arial" w:cs="Arial"/>
        </w:rPr>
        <w:t xml:space="preserve">ealth </w:t>
      </w:r>
      <w:r w:rsidR="0061082D">
        <w:rPr>
          <w:rFonts w:ascii="Arial" w:hAnsi="Arial" w:cs="Arial"/>
        </w:rPr>
        <w:t>T</w:t>
      </w:r>
      <w:r w:rsidRPr="00A62F1C">
        <w:rPr>
          <w:rFonts w:ascii="Arial" w:hAnsi="Arial" w:cs="Arial"/>
        </w:rPr>
        <w:t xml:space="preserve">hrough </w:t>
      </w:r>
      <w:r w:rsidR="0061082D">
        <w:rPr>
          <w:rFonts w:ascii="Arial" w:hAnsi="Arial" w:cs="Arial"/>
        </w:rPr>
        <w:t>H</w:t>
      </w:r>
      <w:r w:rsidRPr="00A62F1C">
        <w:rPr>
          <w:rFonts w:ascii="Arial" w:hAnsi="Arial" w:cs="Arial"/>
        </w:rPr>
        <w:t xml:space="preserve">ousing </w:t>
      </w:r>
      <w:r w:rsidR="0061082D">
        <w:rPr>
          <w:rFonts w:ascii="Arial" w:hAnsi="Arial" w:cs="Arial"/>
        </w:rPr>
        <w:t>A</w:t>
      </w:r>
      <w:r w:rsidRPr="00A62F1C">
        <w:rPr>
          <w:rFonts w:ascii="Arial" w:hAnsi="Arial" w:cs="Arial"/>
        </w:rPr>
        <w:t xml:space="preserve">dvisory </w:t>
      </w:r>
      <w:r w:rsidR="0061082D">
        <w:rPr>
          <w:rFonts w:ascii="Arial" w:hAnsi="Arial" w:cs="Arial"/>
        </w:rPr>
        <w:t>C</w:t>
      </w:r>
      <w:r w:rsidRPr="00A62F1C">
        <w:rPr>
          <w:rFonts w:ascii="Arial" w:hAnsi="Arial" w:cs="Arial"/>
        </w:rPr>
        <w:t>ommittee and add a new section to K</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C</w:t>
      </w:r>
      <w:r w:rsidR="00F871B1">
        <w:rPr>
          <w:rFonts w:ascii="Arial" w:hAnsi="Arial" w:cs="Arial"/>
        </w:rPr>
        <w:t>.</w:t>
      </w:r>
      <w:r w:rsidRPr="00A62F1C">
        <w:rPr>
          <w:rFonts w:ascii="Arial" w:hAnsi="Arial" w:cs="Arial"/>
        </w:rPr>
        <w:t xml:space="preserve"> 4A.300.</w:t>
      </w:r>
    </w:p>
    <w:p w14:paraId="62149A0B" w14:textId="4E36561E" w:rsidR="00B24961" w:rsidRPr="00A62F1C" w:rsidRDefault="00B24961" w:rsidP="00C97FBC">
      <w:pPr>
        <w:rPr>
          <w:rFonts w:ascii="Arial" w:hAnsi="Arial" w:cs="Arial"/>
          <w:iCs/>
          <w:szCs w:val="24"/>
        </w:rPr>
      </w:pPr>
    </w:p>
    <w:p w14:paraId="1592A700" w14:textId="339EAC31" w:rsidR="00C97FBC" w:rsidRPr="00A62F1C" w:rsidRDefault="004D5CA9" w:rsidP="00C97FBC">
      <w:pPr>
        <w:rPr>
          <w:rFonts w:ascii="Arial" w:hAnsi="Arial" w:cs="Arial"/>
          <w:iCs/>
          <w:szCs w:val="24"/>
        </w:rPr>
      </w:pPr>
      <w:r w:rsidRPr="00A62F1C">
        <w:rPr>
          <w:rFonts w:ascii="Arial" w:hAnsi="Arial" w:cs="Arial"/>
          <w:b/>
          <w:bCs/>
          <w:iCs/>
          <w:szCs w:val="24"/>
        </w:rPr>
        <w:t xml:space="preserve">Initial </w:t>
      </w:r>
      <w:r w:rsidR="00C97FBC" w:rsidRPr="00A62F1C">
        <w:rPr>
          <w:rFonts w:ascii="Arial" w:hAnsi="Arial" w:cs="Arial"/>
          <w:b/>
          <w:bCs/>
          <w:iCs/>
          <w:szCs w:val="24"/>
        </w:rPr>
        <w:t>Health through Housing Implementation Plan.</w:t>
      </w:r>
      <w:r w:rsidR="00C97FBC" w:rsidRPr="00A62F1C">
        <w:rPr>
          <w:rFonts w:ascii="Arial" w:hAnsi="Arial" w:cs="Arial"/>
          <w:iCs/>
          <w:szCs w:val="24"/>
        </w:rPr>
        <w:t xml:space="preserve"> </w:t>
      </w:r>
      <w:r w:rsidR="00A15335" w:rsidRPr="00A62F1C">
        <w:rPr>
          <w:rFonts w:ascii="Arial" w:hAnsi="Arial" w:cs="Arial"/>
          <w:iCs/>
          <w:szCs w:val="24"/>
        </w:rPr>
        <w:t>The proposed Initial Health through Housing Implementation Plan can be found in Attachment A of the Proposed Ordinance.</w:t>
      </w:r>
    </w:p>
    <w:p w14:paraId="6E818A79" w14:textId="7AAA2476" w:rsidR="00C97FBC" w:rsidRPr="00A62F1C" w:rsidRDefault="00C97FBC" w:rsidP="00C97FBC">
      <w:pPr>
        <w:rPr>
          <w:rFonts w:ascii="Arial" w:hAnsi="Arial" w:cs="Arial"/>
          <w:iCs/>
          <w:szCs w:val="24"/>
        </w:rPr>
      </w:pPr>
    </w:p>
    <w:p w14:paraId="0A749451" w14:textId="75C15C1A" w:rsidR="001C5C9A" w:rsidRDefault="00C97FBC" w:rsidP="001C5C9A">
      <w:pPr>
        <w:rPr>
          <w:rFonts w:ascii="Arial" w:hAnsi="Arial" w:cs="Arial"/>
          <w:iCs/>
          <w:szCs w:val="24"/>
        </w:rPr>
      </w:pPr>
      <w:r w:rsidRPr="00A62F1C">
        <w:rPr>
          <w:rFonts w:ascii="Arial" w:hAnsi="Arial" w:cs="Arial"/>
          <w:i/>
          <w:szCs w:val="24"/>
        </w:rPr>
        <w:t>Proposed Eligibility Requirements.</w:t>
      </w:r>
      <w:r w:rsidR="001C5C9A">
        <w:rPr>
          <w:rFonts w:ascii="Arial" w:hAnsi="Arial" w:cs="Arial"/>
          <w:i/>
          <w:szCs w:val="24"/>
        </w:rPr>
        <w:t xml:space="preserve"> </w:t>
      </w:r>
      <w:r w:rsidRPr="00A62F1C">
        <w:rPr>
          <w:rFonts w:ascii="Arial" w:hAnsi="Arial" w:cs="Arial"/>
          <w:i/>
          <w:szCs w:val="24"/>
        </w:rPr>
        <w:t xml:space="preserve"> </w:t>
      </w:r>
      <w:r w:rsidR="001C5C9A">
        <w:rPr>
          <w:rFonts w:ascii="Arial" w:hAnsi="Arial" w:cs="Arial"/>
          <w:iCs/>
          <w:szCs w:val="24"/>
        </w:rPr>
        <w:t>Eligibility requirements laid out in the Plan are based on RCW 82.14.530 and K</w:t>
      </w:r>
      <w:r w:rsidR="00F871B1">
        <w:rPr>
          <w:rFonts w:ascii="Arial" w:hAnsi="Arial" w:cs="Arial"/>
          <w:iCs/>
          <w:szCs w:val="24"/>
        </w:rPr>
        <w:t>.</w:t>
      </w:r>
      <w:r w:rsidR="001C5C9A">
        <w:rPr>
          <w:rFonts w:ascii="Arial" w:hAnsi="Arial" w:cs="Arial"/>
          <w:iCs/>
          <w:szCs w:val="24"/>
        </w:rPr>
        <w:t>C</w:t>
      </w:r>
      <w:r w:rsidR="00F871B1">
        <w:rPr>
          <w:rFonts w:ascii="Arial" w:hAnsi="Arial" w:cs="Arial"/>
          <w:iCs/>
          <w:szCs w:val="24"/>
        </w:rPr>
        <w:t>.</w:t>
      </w:r>
      <w:r w:rsidR="001C5C9A">
        <w:rPr>
          <w:rFonts w:ascii="Arial" w:hAnsi="Arial" w:cs="Arial"/>
          <w:iCs/>
          <w:szCs w:val="24"/>
        </w:rPr>
        <w:t>C</w:t>
      </w:r>
      <w:r w:rsidR="00F871B1">
        <w:rPr>
          <w:rFonts w:ascii="Arial" w:hAnsi="Arial" w:cs="Arial"/>
          <w:iCs/>
          <w:szCs w:val="24"/>
        </w:rPr>
        <w:t>.</w:t>
      </w:r>
      <w:r w:rsidR="001C5C9A">
        <w:rPr>
          <w:rFonts w:ascii="Arial" w:hAnsi="Arial" w:cs="Arial"/>
          <w:iCs/>
          <w:szCs w:val="24"/>
        </w:rPr>
        <w:t xml:space="preserve"> 4A.503 and 24.30. </w:t>
      </w:r>
      <w:r w:rsidR="001A32D5">
        <w:rPr>
          <w:rFonts w:ascii="Arial" w:hAnsi="Arial" w:cs="Arial"/>
          <w:iCs/>
          <w:szCs w:val="24"/>
        </w:rPr>
        <w:t xml:space="preserve"> </w:t>
      </w:r>
      <w:r w:rsidR="001C5C9A">
        <w:rPr>
          <w:rFonts w:ascii="Arial" w:hAnsi="Arial" w:cs="Arial"/>
          <w:iCs/>
          <w:szCs w:val="24"/>
        </w:rPr>
        <w:t xml:space="preserve">Based on state law and county code, eligibility for HtH requires individuals or households to meet the following criteria: </w:t>
      </w:r>
    </w:p>
    <w:p w14:paraId="356A9642" w14:textId="77777777" w:rsidR="001C5C9A" w:rsidRPr="00AF68AB" w:rsidRDefault="001C5C9A" w:rsidP="001C5C9A">
      <w:pPr>
        <w:rPr>
          <w:rFonts w:ascii="Arial" w:hAnsi="Arial" w:cs="Arial"/>
          <w:iCs/>
          <w:szCs w:val="24"/>
        </w:rPr>
      </w:pPr>
    </w:p>
    <w:p w14:paraId="5513299B" w14:textId="77777777" w:rsidR="001C5C9A" w:rsidRPr="00AF68AB" w:rsidRDefault="001C5C9A" w:rsidP="001C5C9A">
      <w:pPr>
        <w:pStyle w:val="ListParagraph0"/>
        <w:numPr>
          <w:ilvl w:val="0"/>
          <w:numId w:val="19"/>
        </w:numPr>
        <w:spacing w:line="240" w:lineRule="auto"/>
        <w:contextualSpacing/>
        <w:rPr>
          <w:rFonts w:ascii="Arial" w:hAnsi="Arial" w:cs="Arial"/>
          <w:iCs/>
          <w:u w:val="single"/>
        </w:rPr>
      </w:pPr>
      <w:r>
        <w:rPr>
          <w:rFonts w:ascii="Arial" w:hAnsi="Arial" w:cs="Arial"/>
          <w:iCs/>
        </w:rPr>
        <w:t>Income at or below 30% of AMI</w:t>
      </w:r>
    </w:p>
    <w:p w14:paraId="5B301206" w14:textId="77777777" w:rsidR="001C5C9A" w:rsidRPr="00AF68AB" w:rsidRDefault="001C5C9A" w:rsidP="001C5C9A">
      <w:pPr>
        <w:pStyle w:val="ListParagraph0"/>
        <w:numPr>
          <w:ilvl w:val="0"/>
          <w:numId w:val="19"/>
        </w:numPr>
        <w:spacing w:line="240" w:lineRule="auto"/>
        <w:contextualSpacing/>
        <w:rPr>
          <w:rFonts w:ascii="Arial" w:hAnsi="Arial" w:cs="Arial"/>
          <w:iCs/>
          <w:u w:val="single"/>
        </w:rPr>
      </w:pPr>
      <w:r>
        <w:rPr>
          <w:rFonts w:ascii="Arial" w:hAnsi="Arial" w:cs="Arial"/>
          <w:iCs/>
        </w:rPr>
        <w:t>Experiencing or at-risk of chronic homelessness</w:t>
      </w:r>
    </w:p>
    <w:p w14:paraId="5E304D8A" w14:textId="77777777" w:rsidR="001C5C9A" w:rsidRPr="00AF68AB" w:rsidRDefault="001C5C9A" w:rsidP="001C5C9A">
      <w:pPr>
        <w:pStyle w:val="ListParagraph0"/>
        <w:numPr>
          <w:ilvl w:val="0"/>
          <w:numId w:val="19"/>
        </w:numPr>
        <w:spacing w:line="240" w:lineRule="auto"/>
        <w:contextualSpacing/>
        <w:rPr>
          <w:rFonts w:ascii="Arial" w:hAnsi="Arial" w:cs="Arial"/>
          <w:iCs/>
          <w:u w:val="single"/>
        </w:rPr>
      </w:pPr>
      <w:r>
        <w:rPr>
          <w:rFonts w:ascii="Arial" w:hAnsi="Arial" w:cs="Arial"/>
          <w:iCs/>
        </w:rPr>
        <w:t>Household member or members in one or more of the following groups:</w:t>
      </w:r>
    </w:p>
    <w:p w14:paraId="7E1B8D68"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Persons with behavioral health disabilities</w:t>
      </w:r>
    </w:p>
    <w:p w14:paraId="020CCCAA"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Veterans</w:t>
      </w:r>
    </w:p>
    <w:p w14:paraId="40144F3A"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Senior citizens</w:t>
      </w:r>
    </w:p>
    <w:p w14:paraId="66304A1F"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Persons who are homeless or at-risk of being homeless, including families with children</w:t>
      </w:r>
    </w:p>
    <w:p w14:paraId="6598873D"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Unaccompanied homeless youth or young adults</w:t>
      </w:r>
    </w:p>
    <w:p w14:paraId="2789124B" w14:textId="77777777" w:rsidR="001C5C9A" w:rsidRPr="00AF68AB" w:rsidRDefault="001C5C9A" w:rsidP="001C5C9A">
      <w:pPr>
        <w:pStyle w:val="ListParagraph0"/>
        <w:numPr>
          <w:ilvl w:val="1"/>
          <w:numId w:val="19"/>
        </w:numPr>
        <w:spacing w:line="240" w:lineRule="auto"/>
        <w:contextualSpacing/>
        <w:rPr>
          <w:rFonts w:ascii="Arial" w:hAnsi="Arial" w:cs="Arial"/>
          <w:iCs/>
          <w:u w:val="single"/>
        </w:rPr>
      </w:pPr>
      <w:r>
        <w:rPr>
          <w:rFonts w:ascii="Arial" w:hAnsi="Arial" w:cs="Arial"/>
          <w:iCs/>
        </w:rPr>
        <w:t>Persons with disabilities</w:t>
      </w:r>
    </w:p>
    <w:p w14:paraId="6C45C145" w14:textId="7BD546E5" w:rsidR="00C97FBC" w:rsidRPr="001C5C9A" w:rsidRDefault="001C5C9A" w:rsidP="00C97FBC">
      <w:pPr>
        <w:pStyle w:val="ListParagraph0"/>
        <w:numPr>
          <w:ilvl w:val="1"/>
          <w:numId w:val="19"/>
        </w:numPr>
        <w:spacing w:line="240" w:lineRule="auto"/>
        <w:contextualSpacing/>
        <w:rPr>
          <w:rFonts w:ascii="Arial" w:hAnsi="Arial" w:cs="Arial"/>
          <w:iCs/>
          <w:u w:val="single"/>
        </w:rPr>
      </w:pPr>
      <w:r>
        <w:rPr>
          <w:rFonts w:ascii="Arial" w:hAnsi="Arial" w:cs="Arial"/>
          <w:iCs/>
        </w:rPr>
        <w:t>Domestic violence survivors</w:t>
      </w:r>
    </w:p>
    <w:p w14:paraId="4C5ABD40" w14:textId="501B312B" w:rsidR="00C97FBC" w:rsidRPr="00A62F1C" w:rsidRDefault="00C97FBC" w:rsidP="00C97FBC">
      <w:pPr>
        <w:rPr>
          <w:rFonts w:ascii="Arial" w:hAnsi="Arial" w:cs="Arial"/>
          <w:i/>
          <w:szCs w:val="24"/>
        </w:rPr>
      </w:pPr>
    </w:p>
    <w:p w14:paraId="7900D1EE" w14:textId="77777777" w:rsidR="00A62F1C" w:rsidRPr="00A62F1C" w:rsidRDefault="00C97FBC" w:rsidP="00A515B0">
      <w:pPr>
        <w:jc w:val="both"/>
        <w:rPr>
          <w:rFonts w:ascii="Arial" w:hAnsi="Arial" w:cs="Arial"/>
          <w:iCs/>
          <w:szCs w:val="24"/>
        </w:rPr>
      </w:pPr>
      <w:r w:rsidRPr="00A62F1C">
        <w:rPr>
          <w:rFonts w:ascii="Arial" w:hAnsi="Arial" w:cs="Arial"/>
          <w:i/>
          <w:szCs w:val="24"/>
        </w:rPr>
        <w:t>Proposed Implementation Plan Goals.</w:t>
      </w:r>
      <w:r w:rsidR="00B26A7B" w:rsidRPr="00A62F1C">
        <w:rPr>
          <w:rFonts w:ascii="Arial" w:hAnsi="Arial" w:cs="Arial"/>
          <w:iCs/>
          <w:szCs w:val="24"/>
        </w:rPr>
        <w:t xml:space="preserve"> </w:t>
      </w:r>
      <w:r w:rsidR="00A62F1C" w:rsidRPr="00A62F1C">
        <w:rPr>
          <w:rFonts w:ascii="Arial" w:hAnsi="Arial" w:cs="Arial"/>
          <w:iCs/>
          <w:szCs w:val="24"/>
        </w:rPr>
        <w:t>The Plan describes a "goal" as an outcome that the Plan is designed to accomplish.  The paramount goal of the Plan is defined in K.C.C. 24.30.030 as "the creation and ongoing operation of 1,600 units of affordable housing with housing-related services for eligible households in King County that are experiencing chronic homelessness or that are at risk of experiencing chronic homelessness."  The Plan states that acquisition and ongoing operations of 1,155 affordable emergency or permanent supportive homes across and 445 units of operations-only funding for permanent supportive homes will satisfy the paramount goal.</w:t>
      </w:r>
    </w:p>
    <w:p w14:paraId="2F82974A" w14:textId="77777777" w:rsidR="00A62F1C" w:rsidRPr="00A62F1C" w:rsidRDefault="00A62F1C" w:rsidP="00A62F1C">
      <w:pPr>
        <w:rPr>
          <w:rFonts w:ascii="Arial" w:hAnsi="Arial" w:cs="Arial"/>
          <w:iCs/>
          <w:szCs w:val="24"/>
        </w:rPr>
      </w:pPr>
    </w:p>
    <w:p w14:paraId="3FF2C73A" w14:textId="5B0FE353" w:rsidR="00A62F1C" w:rsidRPr="00A62F1C" w:rsidRDefault="00A62F1C" w:rsidP="00A62F1C">
      <w:pPr>
        <w:rPr>
          <w:rFonts w:ascii="Arial" w:hAnsi="Arial" w:cs="Arial"/>
          <w:iCs/>
          <w:szCs w:val="24"/>
        </w:rPr>
      </w:pPr>
      <w:r w:rsidRPr="00A62F1C">
        <w:rPr>
          <w:rFonts w:ascii="Arial" w:hAnsi="Arial" w:cs="Arial"/>
          <w:iCs/>
          <w:szCs w:val="24"/>
        </w:rPr>
        <w:t>The remaining goals are called "Supporting Goals", which are laid out below.  The first two supporting goals reflect outcomes required by K.C.C. 24.30.030.</w:t>
      </w:r>
    </w:p>
    <w:p w14:paraId="0B90C5B7" w14:textId="77777777" w:rsidR="00A62F1C" w:rsidRPr="00A62F1C" w:rsidRDefault="00A62F1C" w:rsidP="00A62F1C">
      <w:pPr>
        <w:rPr>
          <w:rFonts w:ascii="Arial" w:hAnsi="Arial" w:cs="Arial"/>
          <w:iCs/>
          <w:szCs w:val="24"/>
        </w:rPr>
      </w:pPr>
    </w:p>
    <w:p w14:paraId="5FD1D1A3" w14:textId="47076BEE" w:rsidR="00A62F1C" w:rsidRDefault="00A62F1C" w:rsidP="00A62F1C">
      <w:pPr>
        <w:pStyle w:val="ListParagraph0"/>
        <w:numPr>
          <w:ilvl w:val="0"/>
          <w:numId w:val="14"/>
        </w:numPr>
        <w:rPr>
          <w:rFonts w:ascii="Arial" w:hAnsi="Arial" w:cs="Arial"/>
          <w:iCs/>
        </w:rPr>
      </w:pPr>
      <w:r w:rsidRPr="00A62F1C">
        <w:rPr>
          <w:rFonts w:ascii="Arial" w:hAnsi="Arial" w:cs="Arial"/>
          <w:iCs/>
          <w:u w:val="single"/>
        </w:rPr>
        <w:t>Supporting Goal 1:</w:t>
      </w:r>
      <w:r w:rsidRPr="00A62F1C">
        <w:rPr>
          <w:rFonts w:ascii="Arial" w:hAnsi="Arial" w:cs="Arial"/>
          <w:iCs/>
        </w:rPr>
        <w:t xml:space="preserve"> Annually reduce racial and ethnic disproportionality among persons experiencing chronic homelessness in King County (required by K</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 xml:space="preserve"> 24.30.030.A.1)</w:t>
      </w:r>
    </w:p>
    <w:p w14:paraId="24CAED72" w14:textId="77777777" w:rsidR="00DC784F" w:rsidRPr="00A62F1C" w:rsidRDefault="00DC784F" w:rsidP="00DC784F">
      <w:pPr>
        <w:pStyle w:val="ListParagraph0"/>
        <w:rPr>
          <w:rFonts w:ascii="Arial" w:hAnsi="Arial" w:cs="Arial"/>
          <w:iCs/>
        </w:rPr>
      </w:pPr>
    </w:p>
    <w:p w14:paraId="0F6444B1" w14:textId="79491784" w:rsidR="00A62F1C" w:rsidRDefault="00A62F1C" w:rsidP="00A62F1C">
      <w:pPr>
        <w:pStyle w:val="ListParagraph0"/>
        <w:numPr>
          <w:ilvl w:val="0"/>
          <w:numId w:val="13"/>
        </w:numPr>
        <w:rPr>
          <w:rFonts w:ascii="Arial" w:hAnsi="Arial" w:cs="Arial"/>
          <w:iCs/>
        </w:rPr>
      </w:pPr>
      <w:r w:rsidRPr="00A62F1C">
        <w:rPr>
          <w:rFonts w:ascii="Arial" w:hAnsi="Arial" w:cs="Arial"/>
          <w:iCs/>
          <w:u w:val="single"/>
        </w:rPr>
        <w:t>Supporting Goal 2:</w:t>
      </w:r>
      <w:r w:rsidRPr="00A62F1C">
        <w:rPr>
          <w:rFonts w:ascii="Arial" w:hAnsi="Arial" w:cs="Arial"/>
          <w:iCs/>
        </w:rPr>
        <w:t xml:space="preserve"> Create and operate a mobile behavioral health intervention program with access for its clients to housing created, operated, or otherwise funded by HtH proceeds (required by K</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C</w:t>
      </w:r>
      <w:r w:rsidR="00F871B1">
        <w:rPr>
          <w:rFonts w:ascii="Arial" w:hAnsi="Arial" w:cs="Arial"/>
          <w:iCs/>
        </w:rPr>
        <w:t>.</w:t>
      </w:r>
      <w:r w:rsidRPr="00A62F1C">
        <w:rPr>
          <w:rFonts w:ascii="Arial" w:hAnsi="Arial" w:cs="Arial"/>
          <w:iCs/>
        </w:rPr>
        <w:t xml:space="preserve"> 24.30.030.A.5)</w:t>
      </w:r>
    </w:p>
    <w:p w14:paraId="69A4467D" w14:textId="77777777" w:rsidR="00DC784F" w:rsidRPr="00A62F1C" w:rsidRDefault="00DC784F" w:rsidP="00DC784F">
      <w:pPr>
        <w:pStyle w:val="ListParagraph0"/>
        <w:rPr>
          <w:rFonts w:ascii="Arial" w:hAnsi="Arial" w:cs="Arial"/>
          <w:iCs/>
        </w:rPr>
      </w:pPr>
    </w:p>
    <w:p w14:paraId="14ABF20D" w14:textId="5E310AD1" w:rsidR="00A62F1C" w:rsidRDefault="00A62F1C" w:rsidP="00A62F1C">
      <w:pPr>
        <w:pStyle w:val="ListParagraph0"/>
        <w:numPr>
          <w:ilvl w:val="0"/>
          <w:numId w:val="12"/>
        </w:numPr>
        <w:rPr>
          <w:rFonts w:ascii="Arial" w:hAnsi="Arial" w:cs="Arial"/>
          <w:iCs/>
        </w:rPr>
      </w:pPr>
      <w:r w:rsidRPr="00A62F1C">
        <w:rPr>
          <w:rFonts w:ascii="Arial" w:hAnsi="Arial" w:cs="Arial"/>
          <w:iCs/>
          <w:u w:val="single"/>
        </w:rPr>
        <w:t>Supporting Goal 3:</w:t>
      </w:r>
      <w:r w:rsidRPr="00A62F1C">
        <w:rPr>
          <w:rFonts w:ascii="Arial" w:hAnsi="Arial" w:cs="Arial"/>
          <w:iCs/>
        </w:rPr>
        <w:t xml:space="preserve"> Increase HtH resident health by providing health care system enrollment and access on-demand to integrated healthcare for all HtH property residents while they reside in a HtH building</w:t>
      </w:r>
    </w:p>
    <w:p w14:paraId="1A78D2DD" w14:textId="77777777" w:rsidR="00DC784F" w:rsidRPr="00A62F1C" w:rsidRDefault="00DC784F" w:rsidP="00DC784F">
      <w:pPr>
        <w:pStyle w:val="ListParagraph0"/>
        <w:rPr>
          <w:rFonts w:ascii="Arial" w:hAnsi="Arial" w:cs="Arial"/>
          <w:iCs/>
        </w:rPr>
      </w:pPr>
    </w:p>
    <w:p w14:paraId="23719598" w14:textId="28CDABE3" w:rsidR="00A62F1C" w:rsidRDefault="00A62F1C" w:rsidP="00A62F1C">
      <w:pPr>
        <w:pStyle w:val="ListParagraph0"/>
        <w:numPr>
          <w:ilvl w:val="0"/>
          <w:numId w:val="11"/>
        </w:numPr>
        <w:rPr>
          <w:rFonts w:ascii="Arial" w:hAnsi="Arial" w:cs="Arial"/>
          <w:iCs/>
        </w:rPr>
      </w:pPr>
      <w:r w:rsidRPr="00A62F1C">
        <w:rPr>
          <w:rFonts w:ascii="Arial" w:hAnsi="Arial" w:cs="Arial"/>
          <w:iCs/>
          <w:u w:val="single"/>
        </w:rPr>
        <w:lastRenderedPageBreak/>
        <w:t>Supporting Goal 4:</w:t>
      </w:r>
      <w:r w:rsidRPr="00A62F1C">
        <w:rPr>
          <w:rFonts w:ascii="Arial" w:hAnsi="Arial" w:cs="Arial"/>
          <w:iCs/>
        </w:rPr>
        <w:t xml:space="preserve"> Convert (through rehabilitation or “rehab”) into permanent supportive housing by December 31, 2028 at least 50</w:t>
      </w:r>
      <w:r w:rsidR="00F871B1">
        <w:rPr>
          <w:rFonts w:ascii="Arial" w:hAnsi="Arial" w:cs="Arial"/>
          <w:iCs/>
        </w:rPr>
        <w:t xml:space="preserve">% </w:t>
      </w:r>
      <w:r w:rsidRPr="00A62F1C">
        <w:rPr>
          <w:rFonts w:ascii="Arial" w:hAnsi="Arial" w:cs="Arial"/>
          <w:iCs/>
        </w:rPr>
        <w:t>of HtH units that enter the portfolio as emergency housing</w:t>
      </w:r>
    </w:p>
    <w:p w14:paraId="7287F054" w14:textId="77777777" w:rsidR="00DC784F" w:rsidRPr="00A62F1C" w:rsidRDefault="00DC784F" w:rsidP="00DC784F">
      <w:pPr>
        <w:pStyle w:val="ListParagraph0"/>
        <w:rPr>
          <w:rFonts w:ascii="Arial" w:hAnsi="Arial" w:cs="Arial"/>
          <w:iCs/>
        </w:rPr>
      </w:pPr>
    </w:p>
    <w:p w14:paraId="5784BCE3" w14:textId="641BAE37" w:rsidR="00A62F1C" w:rsidRDefault="00A62F1C" w:rsidP="00A62F1C">
      <w:pPr>
        <w:pStyle w:val="ListParagraph0"/>
        <w:numPr>
          <w:ilvl w:val="0"/>
          <w:numId w:val="10"/>
        </w:numPr>
        <w:rPr>
          <w:rFonts w:ascii="Arial" w:hAnsi="Arial" w:cs="Arial"/>
          <w:iCs/>
        </w:rPr>
      </w:pPr>
      <w:r w:rsidRPr="00A62F1C">
        <w:rPr>
          <w:rFonts w:ascii="Arial" w:hAnsi="Arial" w:cs="Arial"/>
          <w:iCs/>
          <w:u w:val="single"/>
        </w:rPr>
        <w:t>Supporting Goal 5:</w:t>
      </w:r>
      <w:r w:rsidRPr="00A62F1C">
        <w:rPr>
          <w:rFonts w:ascii="Arial" w:hAnsi="Arial" w:cs="Arial"/>
          <w:iCs/>
        </w:rPr>
        <w:t xml:space="preserve"> Increase the number of organizations who can operate emergency, supportive, or other affordable housing who also specialize in serving a demographically overrepresented population or community amongst King County’s chronically homeless population</w:t>
      </w:r>
    </w:p>
    <w:p w14:paraId="14F75CCF" w14:textId="77777777" w:rsidR="00DC784F" w:rsidRPr="00A62F1C" w:rsidRDefault="00DC784F" w:rsidP="00DC784F">
      <w:pPr>
        <w:pStyle w:val="ListParagraph0"/>
        <w:rPr>
          <w:rFonts w:ascii="Arial" w:hAnsi="Arial" w:cs="Arial"/>
          <w:iCs/>
        </w:rPr>
      </w:pPr>
    </w:p>
    <w:p w14:paraId="1A4F340C" w14:textId="70B02918" w:rsidR="00A62F1C" w:rsidRDefault="00A62F1C" w:rsidP="00A62F1C">
      <w:pPr>
        <w:pStyle w:val="ListParagraph0"/>
        <w:numPr>
          <w:ilvl w:val="0"/>
          <w:numId w:val="9"/>
        </w:numPr>
        <w:rPr>
          <w:rFonts w:ascii="Arial" w:hAnsi="Arial" w:cs="Arial"/>
          <w:iCs/>
        </w:rPr>
      </w:pPr>
      <w:r w:rsidRPr="00A62F1C">
        <w:rPr>
          <w:rFonts w:ascii="Arial" w:hAnsi="Arial" w:cs="Arial"/>
          <w:iCs/>
          <w:u w:val="single"/>
        </w:rPr>
        <w:t>Supporting Goal 6:</w:t>
      </w:r>
      <w:r w:rsidRPr="00A62F1C">
        <w:rPr>
          <w:rFonts w:ascii="Arial" w:hAnsi="Arial" w:cs="Arial"/>
          <w:iCs/>
        </w:rPr>
        <w:t xml:space="preserve"> Establish and maintain an online, publicly reviewable “dashboard” depicting current and historical performance data and information about the Health through Housing initiative</w:t>
      </w:r>
    </w:p>
    <w:p w14:paraId="31256AE4" w14:textId="77777777" w:rsidR="00DC784F" w:rsidRPr="00A62F1C" w:rsidRDefault="00DC784F" w:rsidP="00DC784F">
      <w:pPr>
        <w:pStyle w:val="ListParagraph0"/>
        <w:rPr>
          <w:rFonts w:ascii="Arial" w:hAnsi="Arial" w:cs="Arial"/>
          <w:iCs/>
        </w:rPr>
      </w:pPr>
    </w:p>
    <w:p w14:paraId="1A16B472" w14:textId="1DA8AEC6" w:rsidR="00B65A9E" w:rsidRPr="00A62F1C" w:rsidRDefault="00A62F1C" w:rsidP="00FD7907">
      <w:pPr>
        <w:pStyle w:val="ListParagraph0"/>
        <w:numPr>
          <w:ilvl w:val="0"/>
          <w:numId w:val="8"/>
        </w:numPr>
        <w:rPr>
          <w:iCs/>
        </w:rPr>
      </w:pPr>
      <w:r w:rsidRPr="00A62F1C">
        <w:rPr>
          <w:rFonts w:ascii="Arial" w:hAnsi="Arial" w:cs="Arial"/>
          <w:iCs/>
          <w:u w:val="single"/>
        </w:rPr>
        <w:t>Supporting Goal 7:</w:t>
      </w:r>
      <w:r w:rsidRPr="00A62F1C">
        <w:rPr>
          <w:rFonts w:ascii="Arial" w:hAnsi="Arial" w:cs="Arial"/>
          <w:iCs/>
        </w:rPr>
        <w:t xml:space="preserve"> Publish by December 31, 2026</w:t>
      </w:r>
      <w:r w:rsidR="00F07928">
        <w:rPr>
          <w:rFonts w:ascii="Arial" w:hAnsi="Arial" w:cs="Arial"/>
          <w:iCs/>
        </w:rPr>
        <w:t>,</w:t>
      </w:r>
      <w:r w:rsidRPr="00A62F1C">
        <w:rPr>
          <w:rFonts w:ascii="Arial" w:hAnsi="Arial" w:cs="Arial"/>
          <w:iCs/>
        </w:rPr>
        <w:t xml:space="preserve"> an in-depth evaluation of the HtH initiative’s effectiveness</w:t>
      </w:r>
    </w:p>
    <w:p w14:paraId="2EF6D564" w14:textId="4E652BED" w:rsidR="00C97FBC" w:rsidRPr="00B32A06" w:rsidRDefault="00C97FBC" w:rsidP="00FD7907">
      <w:pPr>
        <w:jc w:val="both"/>
        <w:rPr>
          <w:rFonts w:ascii="Arial" w:hAnsi="Arial" w:cs="Arial"/>
          <w:i/>
        </w:rPr>
      </w:pPr>
    </w:p>
    <w:p w14:paraId="1A5311B2" w14:textId="04F50101" w:rsidR="00C97FBC" w:rsidRPr="00A62F1C" w:rsidRDefault="00C97FBC" w:rsidP="00C97FBC">
      <w:pPr>
        <w:rPr>
          <w:rFonts w:ascii="Arial" w:hAnsi="Arial" w:cs="Arial"/>
          <w:iCs/>
          <w:szCs w:val="24"/>
        </w:rPr>
      </w:pPr>
      <w:r w:rsidRPr="00A62F1C">
        <w:rPr>
          <w:rFonts w:ascii="Arial" w:hAnsi="Arial" w:cs="Arial"/>
          <w:i/>
          <w:szCs w:val="24"/>
        </w:rPr>
        <w:t>Proposed 2022-2028 Annual Expenditure Plan.</w:t>
      </w:r>
      <w:r w:rsidR="00B26A7B" w:rsidRPr="00A62F1C">
        <w:rPr>
          <w:rFonts w:ascii="Arial" w:hAnsi="Arial" w:cs="Arial"/>
          <w:iCs/>
          <w:szCs w:val="24"/>
        </w:rPr>
        <w:t xml:space="preserve"> </w:t>
      </w:r>
    </w:p>
    <w:p w14:paraId="463426CE" w14:textId="59C18374" w:rsidR="009B06B2" w:rsidRPr="00A62F1C" w:rsidRDefault="009B06B2" w:rsidP="00C97FBC">
      <w:pPr>
        <w:rPr>
          <w:rFonts w:ascii="Arial" w:hAnsi="Arial" w:cs="Arial"/>
          <w:iCs/>
          <w:szCs w:val="24"/>
        </w:rPr>
      </w:pPr>
    </w:p>
    <w:p w14:paraId="41836196" w14:textId="1F630E61" w:rsidR="00BC3538" w:rsidRDefault="009B06B2" w:rsidP="00FD7907">
      <w:pPr>
        <w:jc w:val="both"/>
        <w:rPr>
          <w:rFonts w:ascii="Arial" w:hAnsi="Arial" w:cs="Arial"/>
          <w:iCs/>
          <w:szCs w:val="24"/>
        </w:rPr>
      </w:pPr>
      <w:bookmarkStart w:id="0" w:name="_Hlk82587264"/>
      <w:r w:rsidRPr="00A62F1C">
        <w:rPr>
          <w:rFonts w:ascii="Arial" w:hAnsi="Arial" w:cs="Arial"/>
          <w:iCs/>
          <w:szCs w:val="24"/>
          <w:u w:val="single"/>
        </w:rPr>
        <w:t>Revenue</w:t>
      </w:r>
      <w:r w:rsidR="00BC3538" w:rsidRPr="00BC3538">
        <w:rPr>
          <w:rFonts w:ascii="Arial" w:hAnsi="Arial" w:cs="Arial"/>
          <w:iCs/>
          <w:szCs w:val="24"/>
          <w:u w:val="single"/>
        </w:rPr>
        <w:t>.</w:t>
      </w:r>
      <w:r w:rsidR="00BC3538">
        <w:rPr>
          <w:rFonts w:ascii="Arial" w:hAnsi="Arial" w:cs="Arial"/>
          <w:iCs/>
          <w:szCs w:val="24"/>
        </w:rPr>
        <w:t xml:space="preserve">  Updated HtH revenue through the scope of this Plan</w:t>
      </w:r>
      <w:r w:rsidR="00BC3538">
        <w:rPr>
          <w:rStyle w:val="FootnoteReference"/>
          <w:rFonts w:ascii="Arial" w:hAnsi="Arial" w:cs="Arial"/>
          <w:iCs/>
          <w:szCs w:val="24"/>
        </w:rPr>
        <w:footnoteReference w:id="21"/>
      </w:r>
      <w:r w:rsidR="00BC3538">
        <w:rPr>
          <w:rFonts w:ascii="Arial" w:hAnsi="Arial" w:cs="Arial"/>
          <w:iCs/>
          <w:szCs w:val="24"/>
        </w:rPr>
        <w:t xml:space="preserve"> is laid out in Table </w:t>
      </w:r>
      <w:r w:rsidR="007362E3">
        <w:rPr>
          <w:rFonts w:ascii="Arial" w:hAnsi="Arial" w:cs="Arial"/>
          <w:iCs/>
          <w:szCs w:val="24"/>
        </w:rPr>
        <w:t>3</w:t>
      </w:r>
      <w:r w:rsidR="0002226B">
        <w:rPr>
          <w:rFonts w:ascii="Arial" w:hAnsi="Arial" w:cs="Arial"/>
          <w:iCs/>
          <w:szCs w:val="24"/>
        </w:rPr>
        <w:t xml:space="preserve"> </w:t>
      </w:r>
      <w:r w:rsidR="00BC3538">
        <w:rPr>
          <w:rFonts w:ascii="Arial" w:hAnsi="Arial" w:cs="Arial"/>
          <w:iCs/>
          <w:szCs w:val="24"/>
        </w:rPr>
        <w:t>below based on OEFA forecasts from July 2021.  The table reflects $260 million in bonded revenue in 2021</w:t>
      </w:r>
      <w:r w:rsidR="00BC3538">
        <w:rPr>
          <w:rStyle w:val="FootnoteReference"/>
          <w:rFonts w:ascii="Arial" w:hAnsi="Arial" w:cs="Arial"/>
          <w:iCs/>
          <w:szCs w:val="24"/>
        </w:rPr>
        <w:footnoteReference w:id="22"/>
      </w:r>
      <w:r w:rsidR="00BC3538">
        <w:rPr>
          <w:rFonts w:ascii="Arial" w:hAnsi="Arial" w:cs="Arial"/>
          <w:iCs/>
          <w:szCs w:val="24"/>
        </w:rPr>
        <w:t xml:space="preserve">, which is under the $400 million in bonded revenue appropriated by the Council </w:t>
      </w:r>
      <w:r w:rsidR="00B267B5">
        <w:rPr>
          <w:rFonts w:ascii="Arial" w:hAnsi="Arial" w:cs="Arial"/>
          <w:iCs/>
          <w:szCs w:val="24"/>
        </w:rPr>
        <w:t xml:space="preserve">in </w:t>
      </w:r>
      <w:r w:rsidR="00BC3538">
        <w:rPr>
          <w:rFonts w:ascii="Arial" w:hAnsi="Arial" w:cs="Arial"/>
          <w:iCs/>
          <w:szCs w:val="24"/>
        </w:rPr>
        <w:t xml:space="preserve">the 2021-2022 Biennial Budget.  The Plan proposes to bond $60 million in 2024 </w:t>
      </w:r>
      <w:r w:rsidR="004C0D08">
        <w:rPr>
          <w:rFonts w:ascii="Arial" w:hAnsi="Arial" w:cs="Arial"/>
          <w:iCs/>
          <w:szCs w:val="24"/>
        </w:rPr>
        <w:t>to fund costs of converting emergency supportive housing units within the HtH portfolio to permanent supportive housing</w:t>
      </w:r>
      <w:r w:rsidR="00BC3538">
        <w:rPr>
          <w:rFonts w:ascii="Arial" w:hAnsi="Arial" w:cs="Arial"/>
          <w:iCs/>
          <w:szCs w:val="24"/>
        </w:rPr>
        <w:t>.</w:t>
      </w:r>
    </w:p>
    <w:p w14:paraId="68438963" w14:textId="37529EEE" w:rsidR="00BC3538" w:rsidRDefault="00BC3538" w:rsidP="00BC3538">
      <w:pPr>
        <w:jc w:val="center"/>
        <w:rPr>
          <w:rFonts w:ascii="Arial" w:hAnsi="Arial" w:cs="Arial"/>
          <w:b/>
          <w:bCs/>
          <w:iCs/>
          <w:szCs w:val="24"/>
        </w:rPr>
      </w:pPr>
    </w:p>
    <w:p w14:paraId="712624B0" w14:textId="089C1CDD" w:rsidR="007000F9" w:rsidRDefault="007000F9" w:rsidP="007000F9">
      <w:pPr>
        <w:jc w:val="both"/>
        <w:rPr>
          <w:rFonts w:ascii="Arial" w:hAnsi="Arial" w:cs="Arial"/>
          <w:iCs/>
          <w:szCs w:val="24"/>
        </w:rPr>
      </w:pPr>
      <w:r>
        <w:rPr>
          <w:rFonts w:ascii="Arial" w:hAnsi="Arial" w:cs="Arial"/>
          <w:iCs/>
          <w:szCs w:val="24"/>
          <w:u w:val="single"/>
        </w:rPr>
        <w:t>Expenditures and Strategies.</w:t>
      </w:r>
      <w:r>
        <w:rPr>
          <w:rFonts w:ascii="Arial" w:hAnsi="Arial" w:cs="Arial"/>
          <w:iCs/>
          <w:szCs w:val="24"/>
        </w:rPr>
        <w:t xml:space="preserve">  The Plan would include proposed strategies are meant to accomplish the paramount and supporting goals described above.  Approximate allocations by strategy from 2021-2028 as described in the section below can be seen in Table 3 at the end of this section. </w:t>
      </w:r>
    </w:p>
    <w:p w14:paraId="5F5A5C9C" w14:textId="77777777" w:rsidR="007000F9" w:rsidRDefault="007000F9" w:rsidP="007000F9">
      <w:pPr>
        <w:jc w:val="both"/>
        <w:rPr>
          <w:rFonts w:ascii="Arial" w:hAnsi="Arial" w:cs="Arial"/>
          <w:iCs/>
          <w:szCs w:val="24"/>
        </w:rPr>
      </w:pPr>
    </w:p>
    <w:p w14:paraId="70173580" w14:textId="77777777" w:rsidR="00F66F75" w:rsidRPr="00FD7907" w:rsidRDefault="007000F9" w:rsidP="00FD7907">
      <w:pPr>
        <w:jc w:val="both"/>
        <w:rPr>
          <w:rFonts w:ascii="Arial" w:hAnsi="Arial" w:cs="Arial"/>
          <w:iCs/>
        </w:rPr>
      </w:pPr>
      <w:r w:rsidRPr="00FD7907">
        <w:rPr>
          <w:rFonts w:ascii="Arial" w:hAnsi="Arial" w:cs="Arial"/>
          <w:i/>
          <w:szCs w:val="24"/>
        </w:rPr>
        <w:t xml:space="preserve">Strategy 1: Capital Financing and Improvements for HtH Sites. </w:t>
      </w:r>
      <w:r w:rsidR="00F66F75" w:rsidRPr="00FD7907">
        <w:rPr>
          <w:rFonts w:ascii="Arial" w:hAnsi="Arial" w:cs="Arial"/>
          <w:iCs/>
        </w:rPr>
        <w:t xml:space="preserve">This strategy would allow for the operation of a capital finance program necessary to manage bonding of proceeds, initial rehab preparation and repair of housing units for residents, ongoing ownership and maintenance of units, and maximizing use or transfer of properties for additional development, redevelopment or use as affordable housing or behavioral health treatment facilities. Facilities purchased using HtH revenue may qualify immediately as permanent supportive housing if certain amenities are available in-unit, such as a kitchenette. If these amenities are not available upon purchase, the property may be used as emergency housing and converted into permanent supportive housing in the future. </w:t>
      </w:r>
    </w:p>
    <w:p w14:paraId="185CE335" w14:textId="77777777" w:rsidR="00F66F75" w:rsidRDefault="00F66F75" w:rsidP="00F66F75">
      <w:pPr>
        <w:pStyle w:val="ListParagraph0"/>
        <w:rPr>
          <w:rFonts w:ascii="Arial" w:hAnsi="Arial" w:cs="Arial"/>
          <w:iCs/>
          <w:u w:val="single"/>
        </w:rPr>
      </w:pPr>
    </w:p>
    <w:p w14:paraId="0A8F6598" w14:textId="362B66A5" w:rsidR="00F66F75" w:rsidRDefault="00F66F75" w:rsidP="00FD7907">
      <w:r w:rsidRPr="00FD7907">
        <w:rPr>
          <w:rFonts w:ascii="Arial" w:hAnsi="Arial" w:cs="Arial"/>
          <w:iCs/>
        </w:rPr>
        <w:t xml:space="preserve">Under HtH Strategy 1, the Implementation Plan indicates that the County will assign a name to each HtH building by December 2023 in consultation with the host jurisdiction and the Advisory Committee. DCHS will send a letter to the Council Chair within 90 days of when these sites are renamed.  </w:t>
      </w:r>
    </w:p>
    <w:p w14:paraId="155751A8" w14:textId="77777777" w:rsidR="00F66F75" w:rsidRDefault="00F66F75" w:rsidP="00F66F75">
      <w:pPr>
        <w:jc w:val="both"/>
        <w:rPr>
          <w:rFonts w:ascii="Arial" w:hAnsi="Arial" w:cs="Arial"/>
          <w:i/>
          <w:szCs w:val="24"/>
        </w:rPr>
      </w:pPr>
    </w:p>
    <w:p w14:paraId="289FC36F" w14:textId="3E8527DE" w:rsidR="007000F9" w:rsidRDefault="007000F9" w:rsidP="00B32A06">
      <w:pPr>
        <w:jc w:val="both"/>
        <w:rPr>
          <w:rFonts w:ascii="Arial" w:hAnsi="Arial" w:cs="Arial"/>
          <w:iCs/>
          <w:szCs w:val="24"/>
        </w:rPr>
      </w:pPr>
      <w:r>
        <w:rPr>
          <w:rFonts w:ascii="Arial" w:hAnsi="Arial" w:cs="Arial"/>
          <w:iCs/>
          <w:szCs w:val="24"/>
        </w:rPr>
        <w:t xml:space="preserve">Total expenditures for 2021-2028 are anticipated to be approximately </w:t>
      </w:r>
      <w:r w:rsidRPr="00916FE9">
        <w:rPr>
          <w:rFonts w:ascii="Arial" w:hAnsi="Arial" w:cs="Arial"/>
          <w:iCs/>
          <w:szCs w:val="24"/>
        </w:rPr>
        <w:t>$333.7</w:t>
      </w:r>
      <w:r>
        <w:rPr>
          <w:rFonts w:ascii="Arial" w:hAnsi="Arial" w:cs="Arial"/>
          <w:iCs/>
          <w:szCs w:val="24"/>
        </w:rPr>
        <w:t xml:space="preserve"> million with about 80% expended in 2021 primarily due to property acquisition. According to the Plan, the breakdown of this allocation is as follows:</w:t>
      </w:r>
    </w:p>
    <w:p w14:paraId="14194F58" w14:textId="77777777" w:rsidR="007000F9" w:rsidRDefault="007000F9" w:rsidP="007000F9">
      <w:pPr>
        <w:jc w:val="both"/>
        <w:rPr>
          <w:rFonts w:ascii="Arial" w:hAnsi="Arial" w:cs="Arial"/>
          <w:iCs/>
          <w:szCs w:val="24"/>
        </w:rPr>
      </w:pPr>
    </w:p>
    <w:p w14:paraId="2A05AA87" w14:textId="77777777" w:rsidR="007000F9" w:rsidRDefault="007000F9" w:rsidP="007000F9">
      <w:pPr>
        <w:pStyle w:val="ListParagraph0"/>
        <w:numPr>
          <w:ilvl w:val="0"/>
          <w:numId w:val="3"/>
        </w:numPr>
        <w:jc w:val="both"/>
        <w:rPr>
          <w:rFonts w:ascii="Arial" w:hAnsi="Arial" w:cs="Arial"/>
          <w:iCs/>
        </w:rPr>
      </w:pPr>
      <w:r>
        <w:rPr>
          <w:rFonts w:ascii="Arial" w:hAnsi="Arial" w:cs="Arial"/>
          <w:iCs/>
        </w:rPr>
        <w:t>P</w:t>
      </w:r>
      <w:r w:rsidRPr="00054A02">
        <w:rPr>
          <w:rFonts w:ascii="Arial" w:hAnsi="Arial" w:cs="Arial"/>
          <w:iCs/>
        </w:rPr>
        <w:t>roperty acquisition</w:t>
      </w:r>
      <w:r>
        <w:rPr>
          <w:rFonts w:ascii="Arial" w:hAnsi="Arial" w:cs="Arial"/>
          <w:iCs/>
        </w:rPr>
        <w:t xml:space="preserve">: </w:t>
      </w:r>
      <w:r w:rsidRPr="00054A02">
        <w:rPr>
          <w:rFonts w:ascii="Arial" w:hAnsi="Arial" w:cs="Arial"/>
          <w:iCs/>
        </w:rPr>
        <w:t>$254.5 million</w:t>
      </w:r>
    </w:p>
    <w:p w14:paraId="366BC26D" w14:textId="77777777" w:rsidR="007000F9" w:rsidRDefault="007000F9" w:rsidP="007000F9">
      <w:pPr>
        <w:pStyle w:val="ListParagraph0"/>
        <w:numPr>
          <w:ilvl w:val="0"/>
          <w:numId w:val="3"/>
        </w:numPr>
        <w:jc w:val="both"/>
        <w:rPr>
          <w:rFonts w:ascii="Arial" w:hAnsi="Arial" w:cs="Arial"/>
          <w:iCs/>
        </w:rPr>
      </w:pPr>
      <w:r>
        <w:rPr>
          <w:rFonts w:ascii="Arial" w:hAnsi="Arial" w:cs="Arial"/>
          <w:iCs/>
        </w:rPr>
        <w:t>I</w:t>
      </w:r>
      <w:r w:rsidRPr="00054A02">
        <w:rPr>
          <w:rFonts w:ascii="Arial" w:hAnsi="Arial" w:cs="Arial"/>
          <w:iCs/>
        </w:rPr>
        <w:t>nitial rehab</w:t>
      </w:r>
      <w:r>
        <w:rPr>
          <w:rFonts w:ascii="Arial" w:hAnsi="Arial" w:cs="Arial"/>
          <w:iCs/>
        </w:rPr>
        <w:t xml:space="preserve">: </w:t>
      </w:r>
      <w:r w:rsidRPr="00054A02">
        <w:rPr>
          <w:rFonts w:ascii="Arial" w:hAnsi="Arial" w:cs="Arial"/>
          <w:iCs/>
        </w:rPr>
        <w:t>$4.8 million</w:t>
      </w:r>
    </w:p>
    <w:p w14:paraId="5F0EB114" w14:textId="77777777" w:rsidR="007000F9" w:rsidRDefault="007000F9" w:rsidP="007000F9">
      <w:pPr>
        <w:pStyle w:val="ListParagraph0"/>
        <w:numPr>
          <w:ilvl w:val="0"/>
          <w:numId w:val="3"/>
        </w:numPr>
        <w:jc w:val="both"/>
        <w:rPr>
          <w:rFonts w:ascii="Arial" w:hAnsi="Arial" w:cs="Arial"/>
          <w:iCs/>
        </w:rPr>
      </w:pPr>
      <w:r>
        <w:rPr>
          <w:rFonts w:ascii="Arial" w:hAnsi="Arial" w:cs="Arial"/>
          <w:iCs/>
        </w:rPr>
        <w:t>C</w:t>
      </w:r>
      <w:r w:rsidRPr="00054A02">
        <w:rPr>
          <w:rFonts w:ascii="Arial" w:hAnsi="Arial" w:cs="Arial"/>
          <w:iCs/>
        </w:rPr>
        <w:t>onversion rehab</w:t>
      </w:r>
      <w:r>
        <w:rPr>
          <w:rFonts w:ascii="Arial" w:hAnsi="Arial" w:cs="Arial"/>
          <w:iCs/>
        </w:rPr>
        <w:t xml:space="preserve">: </w:t>
      </w:r>
      <w:r w:rsidRPr="00054A02">
        <w:rPr>
          <w:rFonts w:ascii="Arial" w:hAnsi="Arial" w:cs="Arial"/>
          <w:iCs/>
        </w:rPr>
        <w:t>$64.5 million</w:t>
      </w:r>
    </w:p>
    <w:p w14:paraId="51AC322B" w14:textId="77777777" w:rsidR="007000F9" w:rsidRPr="00054A02" w:rsidRDefault="007000F9" w:rsidP="007000F9">
      <w:pPr>
        <w:pStyle w:val="ListParagraph0"/>
        <w:numPr>
          <w:ilvl w:val="0"/>
          <w:numId w:val="3"/>
        </w:numPr>
        <w:jc w:val="both"/>
        <w:rPr>
          <w:rFonts w:ascii="Arial" w:hAnsi="Arial" w:cs="Arial"/>
          <w:iCs/>
        </w:rPr>
      </w:pPr>
      <w:r>
        <w:rPr>
          <w:rFonts w:ascii="Arial" w:hAnsi="Arial" w:cs="Arial"/>
          <w:iCs/>
        </w:rPr>
        <w:t>C</w:t>
      </w:r>
      <w:r w:rsidRPr="00054A02">
        <w:rPr>
          <w:rFonts w:ascii="Arial" w:hAnsi="Arial" w:cs="Arial"/>
          <w:iCs/>
        </w:rPr>
        <w:t>apital reserve</w:t>
      </w:r>
      <w:r>
        <w:rPr>
          <w:rFonts w:ascii="Arial" w:hAnsi="Arial" w:cs="Arial"/>
          <w:iCs/>
        </w:rPr>
        <w:t xml:space="preserve">: </w:t>
      </w:r>
      <w:r w:rsidRPr="00054A02">
        <w:rPr>
          <w:rFonts w:ascii="Arial" w:hAnsi="Arial" w:cs="Arial"/>
          <w:iCs/>
        </w:rPr>
        <w:t>$10 million</w:t>
      </w:r>
      <w:r>
        <w:rPr>
          <w:rStyle w:val="FootnoteReference"/>
          <w:rFonts w:ascii="Arial" w:hAnsi="Arial" w:cs="Arial"/>
          <w:iCs/>
        </w:rPr>
        <w:footnoteReference w:id="23"/>
      </w:r>
    </w:p>
    <w:p w14:paraId="560D76A8" w14:textId="77777777" w:rsidR="007000F9" w:rsidRDefault="007000F9" w:rsidP="007000F9">
      <w:pPr>
        <w:jc w:val="both"/>
        <w:rPr>
          <w:rFonts w:ascii="Arial" w:hAnsi="Arial" w:cs="Arial"/>
          <w:i/>
          <w:szCs w:val="24"/>
        </w:rPr>
      </w:pPr>
    </w:p>
    <w:p w14:paraId="6F588C73" w14:textId="77777777" w:rsidR="00F66F75" w:rsidRPr="00FD7907" w:rsidRDefault="007000F9" w:rsidP="00FD7907">
      <w:pPr>
        <w:jc w:val="both"/>
        <w:rPr>
          <w:rFonts w:ascii="Arial" w:hAnsi="Arial" w:cs="Arial"/>
          <w:iCs/>
        </w:rPr>
      </w:pPr>
      <w:r w:rsidRPr="00FD7907">
        <w:rPr>
          <w:rFonts w:ascii="Arial" w:hAnsi="Arial" w:cs="Arial"/>
          <w:i/>
          <w:szCs w:val="24"/>
        </w:rPr>
        <w:t>Strategy 2:  Emergency and Permanent Supportive Housing Operations.</w:t>
      </w:r>
      <w:r w:rsidRPr="00FD7907">
        <w:rPr>
          <w:rFonts w:ascii="Arial" w:hAnsi="Arial" w:cs="Arial"/>
          <w:iCs/>
          <w:szCs w:val="24"/>
        </w:rPr>
        <w:t xml:space="preserve"> </w:t>
      </w:r>
      <w:r w:rsidR="00F66F75" w:rsidRPr="00FD7907">
        <w:rPr>
          <w:rFonts w:ascii="Arial" w:hAnsi="Arial" w:cs="Arial"/>
          <w:iCs/>
        </w:rPr>
        <w:t>This strategy would allow for the operations of emergency and permanent supportive housing including staffing, property management, case management and healthcare coordination for residents, street outreach for potential residents, and supports "tailored to communities and persons whose identity, culture, experience, or circumstances warrant particular expertise."</w:t>
      </w:r>
      <w:r w:rsidR="00F66F75">
        <w:rPr>
          <w:rStyle w:val="FootnoteReference"/>
          <w:rFonts w:ascii="Arial" w:hAnsi="Arial" w:cs="Arial"/>
          <w:iCs/>
        </w:rPr>
        <w:footnoteReference w:id="24"/>
      </w:r>
      <w:r w:rsidR="00F66F75" w:rsidRPr="00FD7907">
        <w:rPr>
          <w:rFonts w:ascii="Arial" w:hAnsi="Arial" w:cs="Arial"/>
          <w:iCs/>
        </w:rPr>
        <w:t xml:space="preserve"> Under Strategy 2, the Executive plans to fund 445 "Operations-Only Units." These are units created by other jurisdictions or programs not using HtH monies.</w:t>
      </w:r>
      <w:r w:rsidR="00F66F75">
        <w:rPr>
          <w:rStyle w:val="FootnoteReference"/>
          <w:rFonts w:ascii="Arial" w:hAnsi="Arial" w:cs="Arial"/>
          <w:iCs/>
        </w:rPr>
        <w:footnoteReference w:id="25"/>
      </w:r>
      <w:r w:rsidR="00F66F75" w:rsidRPr="00FD7907">
        <w:rPr>
          <w:rFonts w:ascii="Arial" w:hAnsi="Arial" w:cs="Arial"/>
          <w:iCs/>
        </w:rPr>
        <w:t xml:space="preserve"> According to the Implementation Plan, 350 units would be in the City of Seattle and the remaining 95 would be outside of Seattle in a building funded by King County using non-HtH monies.</w:t>
      </w:r>
      <w:r w:rsidR="00F66F75">
        <w:rPr>
          <w:rStyle w:val="FootnoteReference"/>
          <w:rFonts w:ascii="Arial" w:hAnsi="Arial" w:cs="Arial"/>
          <w:iCs/>
        </w:rPr>
        <w:footnoteReference w:id="26"/>
      </w:r>
      <w:r w:rsidR="00F66F75" w:rsidRPr="00FD7907">
        <w:rPr>
          <w:rFonts w:ascii="Arial" w:hAnsi="Arial" w:cs="Arial"/>
          <w:iCs/>
        </w:rPr>
        <w:t xml:space="preserve"> According to Executive staff, these units will be funded through a competitive procurement, so the exact building and fund sources are not currently determined but could include sources such as the King County Housing Finance Program, the Washington Housing Trust Fund, and Low Income Housing Tax Credit Equity. </w:t>
      </w:r>
    </w:p>
    <w:p w14:paraId="331118F4" w14:textId="77777777" w:rsidR="00F66F75" w:rsidRDefault="00F66F75" w:rsidP="00F66F75">
      <w:pPr>
        <w:ind w:left="720"/>
        <w:jc w:val="both"/>
        <w:rPr>
          <w:rFonts w:ascii="Arial" w:hAnsi="Arial" w:cs="Arial"/>
          <w:iCs/>
        </w:rPr>
      </w:pPr>
    </w:p>
    <w:p w14:paraId="31F7282D" w14:textId="77777777" w:rsidR="00F66F75" w:rsidRDefault="00F66F75" w:rsidP="00FD7907">
      <w:pPr>
        <w:jc w:val="both"/>
        <w:rPr>
          <w:rFonts w:ascii="Arial" w:hAnsi="Arial" w:cs="Arial"/>
          <w:iCs/>
        </w:rPr>
      </w:pPr>
      <w:r>
        <w:rPr>
          <w:rFonts w:ascii="Arial" w:hAnsi="Arial" w:cs="Arial"/>
          <w:iCs/>
        </w:rPr>
        <w:t>The Executive intends to use a two-phased selection process to retain providers for HtH sites who can provide property management, are experienced in trauma-informed care, have multi-system expertise and in-depth knowledge of the population residing at each site. Phase One of the selection process was implemented in 2021 through a Request for Qualifications (RFQ) process t</w:t>
      </w:r>
      <w:r w:rsidRPr="002B10E8">
        <w:rPr>
          <w:rFonts w:ascii="Arial" w:hAnsi="Arial" w:cs="Arial"/>
          <w:iCs/>
        </w:rPr>
        <w:t>o qualify a set of providers</w:t>
      </w:r>
      <w:r>
        <w:rPr>
          <w:rFonts w:ascii="Arial" w:hAnsi="Arial" w:cs="Arial"/>
          <w:iCs/>
        </w:rPr>
        <w:t xml:space="preserve"> to serve HtH facilities through </w:t>
      </w:r>
      <w:r w:rsidRPr="002B10E8">
        <w:rPr>
          <w:rFonts w:ascii="Arial" w:hAnsi="Arial" w:cs="Arial"/>
          <w:iCs/>
        </w:rPr>
        <w:t>building operations, resident</w:t>
      </w:r>
      <w:r>
        <w:rPr>
          <w:rFonts w:ascii="Arial" w:hAnsi="Arial" w:cs="Arial"/>
          <w:iCs/>
        </w:rPr>
        <w:t xml:space="preserve"> </w:t>
      </w:r>
      <w:r w:rsidRPr="002B10E8">
        <w:rPr>
          <w:rFonts w:ascii="Arial" w:hAnsi="Arial" w:cs="Arial"/>
          <w:iCs/>
        </w:rPr>
        <w:t>supports, community-based organizations and outreach</w:t>
      </w:r>
      <w:r>
        <w:rPr>
          <w:rFonts w:ascii="Arial" w:hAnsi="Arial" w:cs="Arial"/>
          <w:iCs/>
        </w:rPr>
        <w:t>.</w:t>
      </w:r>
      <w:r>
        <w:rPr>
          <w:rStyle w:val="FootnoteReference"/>
          <w:rFonts w:ascii="Arial" w:hAnsi="Arial" w:cs="Arial"/>
          <w:iCs/>
        </w:rPr>
        <w:footnoteReference w:id="27"/>
      </w:r>
      <w:r>
        <w:rPr>
          <w:rFonts w:ascii="Arial" w:hAnsi="Arial" w:cs="Arial"/>
          <w:iCs/>
        </w:rPr>
        <w:t xml:space="preserve"> Phase Two will be site-specific and involve a Request for Bid (RFB) of the providers identified in Phase One to provide building operations, resident supports, or community-based organization activities for individual HtH facilities. DCHS and the jurisdiction each site is located in will jointly evaluate the bids and select the provider for each facility.  According to the Implementation Plan, "</w:t>
      </w:r>
      <w:r w:rsidRPr="008D70C9">
        <w:rPr>
          <w:rFonts w:ascii="Arial" w:hAnsi="Arial" w:cs="Arial"/>
          <w:iCs/>
        </w:rPr>
        <w:t xml:space="preserve">Depending on the population that eventually resides in a </w:t>
      </w:r>
      <w:r>
        <w:rPr>
          <w:rFonts w:ascii="Arial" w:hAnsi="Arial" w:cs="Arial"/>
          <w:iCs/>
        </w:rPr>
        <w:t xml:space="preserve">HtH </w:t>
      </w:r>
      <w:r w:rsidRPr="008D70C9">
        <w:rPr>
          <w:rFonts w:ascii="Arial" w:hAnsi="Arial" w:cs="Arial"/>
          <w:iCs/>
        </w:rPr>
        <w:t xml:space="preserve">building and upon available </w:t>
      </w:r>
      <w:r>
        <w:rPr>
          <w:rFonts w:ascii="Arial" w:hAnsi="Arial" w:cs="Arial"/>
          <w:iCs/>
        </w:rPr>
        <w:t>HtH</w:t>
      </w:r>
      <w:r w:rsidRPr="008D70C9">
        <w:rPr>
          <w:rFonts w:ascii="Arial" w:hAnsi="Arial" w:cs="Arial"/>
          <w:iCs/>
        </w:rPr>
        <w:t xml:space="preserve"> proceeds, DCHS may partner with the host city in completing a</w:t>
      </w:r>
      <w:r>
        <w:rPr>
          <w:rFonts w:ascii="Arial" w:hAnsi="Arial" w:cs="Arial"/>
          <w:iCs/>
        </w:rPr>
        <w:t xml:space="preserve"> </w:t>
      </w:r>
      <w:r w:rsidRPr="008D70C9">
        <w:rPr>
          <w:rFonts w:ascii="Arial" w:hAnsi="Arial" w:cs="Arial"/>
          <w:iCs/>
        </w:rPr>
        <w:t>secondary RFB process for additional community-based organizations or resident support</w:t>
      </w:r>
      <w:r>
        <w:rPr>
          <w:rFonts w:ascii="Arial" w:hAnsi="Arial" w:cs="Arial"/>
          <w:iCs/>
        </w:rPr>
        <w:t xml:space="preserve"> </w:t>
      </w:r>
      <w:r w:rsidRPr="008D70C9">
        <w:rPr>
          <w:rFonts w:ascii="Arial" w:hAnsi="Arial" w:cs="Arial"/>
          <w:iCs/>
        </w:rPr>
        <w:t>organizations to enhance operations for residents of the building.</w:t>
      </w:r>
      <w:r>
        <w:rPr>
          <w:rFonts w:ascii="Arial" w:hAnsi="Arial" w:cs="Arial"/>
          <w:iCs/>
        </w:rPr>
        <w:t>"</w:t>
      </w:r>
      <w:r>
        <w:rPr>
          <w:rStyle w:val="FootnoteReference"/>
          <w:rFonts w:ascii="Arial" w:hAnsi="Arial" w:cs="Arial"/>
          <w:iCs/>
        </w:rPr>
        <w:footnoteReference w:id="28"/>
      </w:r>
      <w:r>
        <w:rPr>
          <w:rFonts w:ascii="Arial" w:hAnsi="Arial" w:cs="Arial"/>
          <w:iCs/>
        </w:rPr>
        <w:t xml:space="preserve"> </w:t>
      </w:r>
    </w:p>
    <w:p w14:paraId="71CD1086" w14:textId="77777777" w:rsidR="00F66F75" w:rsidRDefault="00F66F75" w:rsidP="00F66F75">
      <w:pPr>
        <w:ind w:left="720"/>
        <w:jc w:val="both"/>
        <w:rPr>
          <w:rFonts w:ascii="Arial" w:hAnsi="Arial" w:cs="Arial"/>
          <w:iCs/>
        </w:rPr>
      </w:pPr>
    </w:p>
    <w:p w14:paraId="62FFDE23" w14:textId="77777777" w:rsidR="00F66F75" w:rsidRDefault="00F66F75" w:rsidP="00FD7907">
      <w:pPr>
        <w:jc w:val="both"/>
        <w:rPr>
          <w:rFonts w:ascii="Arial" w:hAnsi="Arial" w:cs="Arial"/>
          <w:iCs/>
        </w:rPr>
      </w:pPr>
      <w:r>
        <w:rPr>
          <w:rFonts w:ascii="Arial" w:hAnsi="Arial" w:cs="Arial"/>
          <w:iCs/>
        </w:rPr>
        <w:lastRenderedPageBreak/>
        <w:t>The Implementation Plan also includes three objectives intended to "annually reduce racial-ethnic disproportionality among persons experiencing chronic homelessness."</w:t>
      </w:r>
      <w:r>
        <w:rPr>
          <w:rStyle w:val="FootnoteReference"/>
          <w:rFonts w:ascii="Arial" w:hAnsi="Arial" w:cs="Arial"/>
          <w:iCs/>
        </w:rPr>
        <w:footnoteReference w:id="29"/>
      </w:r>
      <w:r>
        <w:rPr>
          <w:rFonts w:ascii="Arial" w:hAnsi="Arial" w:cs="Arial"/>
          <w:iCs/>
        </w:rPr>
        <w:t xml:space="preserve"> These include "pro-equity" components of an inclusive RFQ process designed to qualify a broad range of service agencies, subregional outreach teams in North/East and South King County, and a provider Capacity Building Collaborative. The Capacity Building Collaborative would provide a learning environment between agencies identified in Appendix E of the IP,</w:t>
      </w:r>
      <w:r>
        <w:rPr>
          <w:rStyle w:val="FootnoteReference"/>
          <w:rFonts w:ascii="Arial" w:hAnsi="Arial" w:cs="Arial"/>
          <w:iCs/>
        </w:rPr>
        <w:footnoteReference w:id="30"/>
      </w:r>
      <w:r>
        <w:rPr>
          <w:rFonts w:ascii="Arial" w:hAnsi="Arial" w:cs="Arial"/>
          <w:iCs/>
        </w:rPr>
        <w:t xml:space="preserve"> experienced housing operators and community-based organizations to "empower and resource community-based organizations to operate housing that best serves their own communities."</w:t>
      </w:r>
    </w:p>
    <w:p w14:paraId="0CF9CF7E" w14:textId="77777777" w:rsidR="00F66F75" w:rsidRDefault="00F66F75" w:rsidP="00F66F75">
      <w:pPr>
        <w:ind w:left="720"/>
        <w:jc w:val="both"/>
        <w:rPr>
          <w:rFonts w:ascii="Arial" w:hAnsi="Arial" w:cs="Arial"/>
          <w:iCs/>
        </w:rPr>
      </w:pPr>
    </w:p>
    <w:p w14:paraId="10E87855" w14:textId="5B255193" w:rsidR="00F66F75" w:rsidRPr="00B32A06" w:rsidRDefault="00F66F75" w:rsidP="00B32A06">
      <w:pPr>
        <w:jc w:val="both"/>
        <w:rPr>
          <w:rFonts w:ascii="Arial" w:hAnsi="Arial" w:cs="Arial"/>
          <w:iCs/>
        </w:rPr>
      </w:pPr>
      <w:r>
        <w:rPr>
          <w:rFonts w:ascii="Arial" w:hAnsi="Arial" w:cs="Arial"/>
          <w:iCs/>
        </w:rPr>
        <w:t>Figure 8 of Appendix A</w:t>
      </w:r>
      <w:r>
        <w:rPr>
          <w:rStyle w:val="FootnoteReference"/>
          <w:rFonts w:ascii="Arial" w:hAnsi="Arial" w:cs="Arial"/>
          <w:iCs/>
        </w:rPr>
        <w:footnoteReference w:id="31"/>
      </w:r>
      <w:r>
        <w:rPr>
          <w:rFonts w:ascii="Arial" w:hAnsi="Arial" w:cs="Arial"/>
          <w:iCs/>
        </w:rPr>
        <w:t xml:space="preserve"> shows the projected timing for program startup by site. There is a staggered estimated start time that goes from quarter three of 2021 to quarter three of 2022.</w:t>
      </w:r>
    </w:p>
    <w:p w14:paraId="2A9D4B25" w14:textId="77777777" w:rsidR="00F66F75" w:rsidRDefault="00F66F75" w:rsidP="007000F9">
      <w:pPr>
        <w:jc w:val="both"/>
        <w:rPr>
          <w:rFonts w:ascii="Arial" w:hAnsi="Arial" w:cs="Arial"/>
          <w:iCs/>
          <w:szCs w:val="24"/>
        </w:rPr>
      </w:pPr>
    </w:p>
    <w:p w14:paraId="5D8DFF78" w14:textId="415D128C" w:rsidR="007000F9" w:rsidRDefault="007000F9" w:rsidP="007000F9">
      <w:pPr>
        <w:jc w:val="both"/>
        <w:rPr>
          <w:rFonts w:ascii="Arial" w:hAnsi="Arial" w:cs="Arial"/>
          <w:iCs/>
          <w:szCs w:val="24"/>
        </w:rPr>
      </w:pPr>
      <w:r>
        <w:rPr>
          <w:rFonts w:ascii="Arial" w:hAnsi="Arial" w:cs="Arial"/>
          <w:iCs/>
          <w:szCs w:val="24"/>
        </w:rPr>
        <w:t xml:space="preserve">Estimated expenditures under Strategy 2 are anticipated to increase over time with the opening of HtH properties in late 2021 and full ramp up anticipated to occur in 2022-23. According to the Plan, </w:t>
      </w:r>
      <w:r w:rsidRPr="00CD2304">
        <w:rPr>
          <w:rFonts w:ascii="Arial" w:hAnsi="Arial" w:cs="Arial"/>
          <w:iCs/>
          <w:szCs w:val="24"/>
        </w:rPr>
        <w:t xml:space="preserve">allocations for this strategy are modeled on the assumption that </w:t>
      </w:r>
      <w:r>
        <w:rPr>
          <w:rFonts w:ascii="Arial" w:hAnsi="Arial" w:cs="Arial"/>
          <w:iCs/>
          <w:szCs w:val="24"/>
        </w:rPr>
        <w:t>HtH units will have an average cost of</w:t>
      </w:r>
      <w:r w:rsidRPr="00CD2304">
        <w:rPr>
          <w:rFonts w:ascii="Arial" w:hAnsi="Arial" w:cs="Arial"/>
          <w:iCs/>
          <w:szCs w:val="24"/>
        </w:rPr>
        <w:t xml:space="preserve"> $25,000</w:t>
      </w:r>
      <w:r>
        <w:rPr>
          <w:rFonts w:ascii="Arial" w:hAnsi="Arial" w:cs="Arial"/>
          <w:iCs/>
          <w:szCs w:val="24"/>
        </w:rPr>
        <w:t xml:space="preserve"> per unit</w:t>
      </w:r>
      <w:r w:rsidRPr="00CD2304">
        <w:rPr>
          <w:rFonts w:ascii="Arial" w:hAnsi="Arial" w:cs="Arial"/>
          <w:iCs/>
          <w:szCs w:val="24"/>
        </w:rPr>
        <w:t xml:space="preserve"> </w:t>
      </w:r>
      <w:r>
        <w:rPr>
          <w:rFonts w:ascii="Arial" w:hAnsi="Arial" w:cs="Arial"/>
          <w:iCs/>
          <w:szCs w:val="24"/>
        </w:rPr>
        <w:t>in 2022, increasing approximately 3% per year thereafter.</w:t>
      </w:r>
      <w:r>
        <w:rPr>
          <w:rStyle w:val="FootnoteReference"/>
          <w:rFonts w:ascii="Arial" w:hAnsi="Arial" w:cs="Arial"/>
          <w:iCs/>
          <w:szCs w:val="24"/>
        </w:rPr>
        <w:footnoteReference w:id="32"/>
      </w:r>
      <w:r>
        <w:rPr>
          <w:rFonts w:ascii="Arial" w:hAnsi="Arial" w:cs="Arial"/>
          <w:iCs/>
          <w:szCs w:val="24"/>
        </w:rPr>
        <w:t xml:space="preserve"> According to the Executive, if program administration is successful in securing other funding to support HtH units King County may use under-expended Strategy 2 monies in two ways: funding operation-only units above the 1,600-unit goal or </w:t>
      </w:r>
      <w:r w:rsidRPr="00A26B37">
        <w:rPr>
          <w:rFonts w:ascii="Arial" w:hAnsi="Arial" w:cs="Arial"/>
          <w:iCs/>
          <w:szCs w:val="24"/>
        </w:rPr>
        <w:t>adjust</w:t>
      </w:r>
      <w:r>
        <w:rPr>
          <w:rFonts w:ascii="Arial" w:hAnsi="Arial" w:cs="Arial"/>
          <w:iCs/>
          <w:szCs w:val="24"/>
        </w:rPr>
        <w:t>ing</w:t>
      </w:r>
      <w:r w:rsidRPr="00A26B37">
        <w:rPr>
          <w:rFonts w:ascii="Arial" w:hAnsi="Arial" w:cs="Arial"/>
          <w:iCs/>
          <w:szCs w:val="24"/>
        </w:rPr>
        <w:t xml:space="preserve"> allocations among the strategies.</w:t>
      </w:r>
      <w:r>
        <w:rPr>
          <w:rFonts w:ascii="Arial" w:hAnsi="Arial" w:cs="Arial"/>
          <w:iCs/>
          <w:szCs w:val="24"/>
        </w:rPr>
        <w:t xml:space="preserve"> According to the Plan, the Executive can make substantive changes</w:t>
      </w:r>
      <w:r>
        <w:rPr>
          <w:rStyle w:val="FootnoteReference"/>
          <w:rFonts w:ascii="Arial" w:hAnsi="Arial" w:cs="Arial"/>
          <w:iCs/>
          <w:szCs w:val="24"/>
        </w:rPr>
        <w:footnoteReference w:id="33"/>
      </w:r>
      <w:r>
        <w:rPr>
          <w:rFonts w:ascii="Arial" w:hAnsi="Arial" w:cs="Arial"/>
          <w:iCs/>
          <w:szCs w:val="24"/>
        </w:rPr>
        <w:t xml:space="preserve"> to the funding allocations in the plan. The Plan states that the Executive will notify the Council providing information about the scope and rationale for the change and if Council does not pass a motion rejecting the change within thirty days of the Executive's transmittal, the Executive can proceed with the change as described in the notification letter. The Plan described priorities to be taken into account when reducing allocations due to changes in revenue projections.</w:t>
      </w:r>
    </w:p>
    <w:p w14:paraId="2B8E82C6" w14:textId="77777777" w:rsidR="007000F9" w:rsidRDefault="007000F9" w:rsidP="007000F9">
      <w:pPr>
        <w:jc w:val="both"/>
        <w:rPr>
          <w:rFonts w:ascii="Arial" w:hAnsi="Arial" w:cs="Arial"/>
          <w:iCs/>
          <w:szCs w:val="24"/>
        </w:rPr>
      </w:pPr>
    </w:p>
    <w:p w14:paraId="153BBA27" w14:textId="77777777" w:rsidR="007000F9" w:rsidRPr="008A32A2" w:rsidRDefault="007000F9" w:rsidP="007000F9">
      <w:pPr>
        <w:jc w:val="both"/>
        <w:rPr>
          <w:rFonts w:ascii="Arial" w:hAnsi="Arial" w:cs="Arial"/>
          <w:iCs/>
          <w:szCs w:val="24"/>
        </w:rPr>
      </w:pPr>
      <w:r>
        <w:rPr>
          <w:rFonts w:ascii="Arial" w:hAnsi="Arial" w:cs="Arial"/>
          <w:iCs/>
          <w:szCs w:val="24"/>
        </w:rPr>
        <w:t xml:space="preserve">Strategy 2 includes a reserve of $3 million with an annual increase of $500,000 each year between 2022-2024 and $200,000 each year thereafter. </w:t>
      </w:r>
    </w:p>
    <w:p w14:paraId="2F6123F0" w14:textId="77777777" w:rsidR="007000F9" w:rsidRDefault="007000F9" w:rsidP="007000F9">
      <w:pPr>
        <w:jc w:val="both"/>
        <w:rPr>
          <w:rFonts w:ascii="Arial" w:hAnsi="Arial" w:cs="Arial"/>
          <w:i/>
          <w:szCs w:val="24"/>
        </w:rPr>
      </w:pPr>
    </w:p>
    <w:p w14:paraId="6C973A21" w14:textId="7D7A719A" w:rsidR="002C4018" w:rsidRDefault="007000F9" w:rsidP="002C4018">
      <w:pPr>
        <w:jc w:val="both"/>
        <w:rPr>
          <w:rFonts w:ascii="Arial" w:hAnsi="Arial" w:cs="Arial"/>
          <w:iCs/>
          <w:szCs w:val="24"/>
        </w:rPr>
      </w:pPr>
      <w:r w:rsidRPr="00FD7907">
        <w:rPr>
          <w:rFonts w:ascii="Arial" w:hAnsi="Arial" w:cs="Arial"/>
          <w:i/>
          <w:szCs w:val="24"/>
        </w:rPr>
        <w:t xml:space="preserve">Strategy 3:  Behavioral Health Services Outside of HtH Sites. </w:t>
      </w:r>
      <w:r w:rsidR="002C4018">
        <w:rPr>
          <w:rFonts w:ascii="Arial" w:hAnsi="Arial" w:cs="Arial"/>
          <w:iCs/>
          <w:szCs w:val="24"/>
        </w:rPr>
        <w:t>King County Code</w:t>
      </w:r>
      <w:r w:rsidR="002C4018">
        <w:rPr>
          <w:rStyle w:val="FootnoteReference"/>
          <w:rFonts w:ascii="Arial" w:hAnsi="Arial" w:cs="Arial"/>
          <w:iCs/>
          <w:szCs w:val="24"/>
        </w:rPr>
        <w:footnoteReference w:id="34"/>
      </w:r>
      <w:r w:rsidR="002C4018">
        <w:rPr>
          <w:rFonts w:ascii="Arial" w:hAnsi="Arial" w:cs="Arial"/>
          <w:iCs/>
          <w:szCs w:val="24"/>
        </w:rPr>
        <w:t xml:space="preserve"> requires that at least nine, but no more than 13%, of revenues must be spent on </w:t>
      </w:r>
      <w:r w:rsidR="002C4018" w:rsidRPr="001166BB">
        <w:rPr>
          <w:rFonts w:ascii="Arial" w:hAnsi="Arial" w:cs="Arial"/>
          <w:iCs/>
          <w:szCs w:val="24"/>
        </w:rPr>
        <w:t>behavioral health services that are not part of the supportive services provided within affordable housing or behavioral health facilities supported by proceeds</w:t>
      </w:r>
      <w:r w:rsidR="002C4018">
        <w:rPr>
          <w:rFonts w:ascii="Arial" w:hAnsi="Arial" w:cs="Arial"/>
          <w:iCs/>
          <w:szCs w:val="24"/>
        </w:rPr>
        <w:t xml:space="preserve">. The Executive's expenditure plan states that 13% of revenue is dedicated for behavioral health services from 2022-2028 in accordance with King County Code. </w:t>
      </w:r>
    </w:p>
    <w:p w14:paraId="5D650FFD" w14:textId="77777777" w:rsidR="002C4018" w:rsidRDefault="002C4018" w:rsidP="002C4018">
      <w:pPr>
        <w:jc w:val="both"/>
        <w:rPr>
          <w:rFonts w:ascii="Arial" w:hAnsi="Arial" w:cs="Arial"/>
          <w:iCs/>
          <w:szCs w:val="24"/>
        </w:rPr>
      </w:pPr>
    </w:p>
    <w:p w14:paraId="7B6E3B5D" w14:textId="2787740D" w:rsidR="00F66F75" w:rsidRPr="00FD7907" w:rsidRDefault="00F66F75" w:rsidP="00FD7907">
      <w:pPr>
        <w:jc w:val="both"/>
        <w:rPr>
          <w:rFonts w:ascii="Arial" w:hAnsi="Arial" w:cs="Arial"/>
          <w:iCs/>
        </w:rPr>
      </w:pPr>
      <w:r w:rsidRPr="00FD7907">
        <w:rPr>
          <w:rFonts w:ascii="Arial" w:hAnsi="Arial" w:cs="Arial"/>
          <w:iCs/>
        </w:rPr>
        <w:t xml:space="preserve">This strategy </w:t>
      </w:r>
      <w:r w:rsidR="009F73D0">
        <w:rPr>
          <w:rFonts w:ascii="Arial" w:hAnsi="Arial" w:cs="Arial"/>
          <w:iCs/>
        </w:rPr>
        <w:t>has</w:t>
      </w:r>
      <w:r w:rsidRPr="00FD7907">
        <w:rPr>
          <w:rFonts w:ascii="Arial" w:hAnsi="Arial" w:cs="Arial"/>
          <w:iCs/>
        </w:rPr>
        <w:t xml:space="preserve"> two sub-strategies</w:t>
      </w:r>
      <w:r w:rsidR="009F73D0">
        <w:rPr>
          <w:rFonts w:ascii="Arial" w:hAnsi="Arial" w:cs="Arial"/>
          <w:iCs/>
        </w:rPr>
        <w:t>: s</w:t>
      </w:r>
      <w:r w:rsidRPr="00FD7907">
        <w:rPr>
          <w:rFonts w:ascii="Arial" w:hAnsi="Arial" w:cs="Arial"/>
          <w:iCs/>
        </w:rPr>
        <w:t xml:space="preserve">ub-strategy 3A is a mobile behavioral health team and sub-strategy 3B is behavioral health services ineligible for Medicaid funding. </w:t>
      </w:r>
      <w:r w:rsidRPr="00FD7907">
        <w:rPr>
          <w:rFonts w:ascii="Arial" w:hAnsi="Arial" w:cs="Arial"/>
          <w:iCs/>
        </w:rPr>
        <w:lastRenderedPageBreak/>
        <w:t xml:space="preserve">The mobile behavioral health team is intended to provide an alternative to the use of law enforcement to respond to behavioral health crises for residents of HtH locations. DCHS intends to stand this program up in 2024 and serve clients through 2028 at the end of the Implementation Plan term. Currently, there are three temporary, non-HtH-funded mobile behavioral health teams in operation. Two are funded through the County's federal American Rescue Plan Act funds and one funded through a state pilot project and partnership with several south King County cities. </w:t>
      </w:r>
    </w:p>
    <w:p w14:paraId="2AC764E1" w14:textId="77777777" w:rsidR="005A76B4" w:rsidRDefault="005A76B4" w:rsidP="007000F9">
      <w:pPr>
        <w:jc w:val="both"/>
        <w:rPr>
          <w:rFonts w:ascii="Arial" w:hAnsi="Arial" w:cs="Arial"/>
          <w:iCs/>
        </w:rPr>
      </w:pPr>
    </w:p>
    <w:p w14:paraId="624508DA" w14:textId="20A620AD" w:rsidR="007000F9" w:rsidRPr="005A76B4" w:rsidRDefault="007000F9" w:rsidP="007000F9">
      <w:pPr>
        <w:jc w:val="both"/>
        <w:rPr>
          <w:rFonts w:ascii="Arial" w:hAnsi="Arial" w:cs="Arial"/>
          <w:i/>
          <w:szCs w:val="24"/>
        </w:rPr>
      </w:pPr>
      <w:r>
        <w:rPr>
          <w:rFonts w:ascii="Arial" w:hAnsi="Arial" w:cs="Arial"/>
          <w:iCs/>
          <w:szCs w:val="24"/>
        </w:rPr>
        <w:t>According to the Executive, the $8.7 million allocated to Strategy 3 in 2021-2022 is planned to be</w:t>
      </w:r>
      <w:r w:rsidRPr="00A2784F">
        <w:rPr>
          <w:rFonts w:ascii="Arial" w:hAnsi="Arial" w:cs="Arial"/>
          <w:iCs/>
          <w:szCs w:val="24"/>
        </w:rPr>
        <w:t xml:space="preserve"> transferred to the </w:t>
      </w:r>
      <w:r>
        <w:rPr>
          <w:rFonts w:ascii="Arial" w:hAnsi="Arial" w:cs="Arial"/>
          <w:iCs/>
          <w:szCs w:val="24"/>
        </w:rPr>
        <w:t>B</w:t>
      </w:r>
      <w:r w:rsidRPr="00A2784F">
        <w:rPr>
          <w:rFonts w:ascii="Arial" w:hAnsi="Arial" w:cs="Arial"/>
          <w:iCs/>
          <w:szCs w:val="24"/>
        </w:rPr>
        <w:t xml:space="preserve">ehavioral </w:t>
      </w:r>
      <w:r>
        <w:rPr>
          <w:rFonts w:ascii="Arial" w:hAnsi="Arial" w:cs="Arial"/>
          <w:iCs/>
          <w:szCs w:val="24"/>
        </w:rPr>
        <w:t>H</w:t>
      </w:r>
      <w:r w:rsidRPr="00A2784F">
        <w:rPr>
          <w:rFonts w:ascii="Arial" w:hAnsi="Arial" w:cs="Arial"/>
          <w:iCs/>
          <w:szCs w:val="24"/>
        </w:rPr>
        <w:t xml:space="preserve">ealth </w:t>
      </w:r>
      <w:r>
        <w:rPr>
          <w:rFonts w:ascii="Arial" w:hAnsi="Arial" w:cs="Arial"/>
          <w:iCs/>
          <w:szCs w:val="24"/>
        </w:rPr>
        <w:t>F</w:t>
      </w:r>
      <w:r w:rsidRPr="00A2784F">
        <w:rPr>
          <w:rFonts w:ascii="Arial" w:hAnsi="Arial" w:cs="Arial"/>
          <w:iCs/>
          <w:szCs w:val="24"/>
        </w:rPr>
        <w:t xml:space="preserve">und </w:t>
      </w:r>
      <w:r w:rsidR="002C4018">
        <w:rPr>
          <w:rFonts w:ascii="Arial" w:hAnsi="Arial" w:cs="Arial"/>
          <w:iCs/>
          <w:szCs w:val="24"/>
        </w:rPr>
        <w:t>to pay for specific programs</w:t>
      </w:r>
      <w:r w:rsidRPr="00A2784F">
        <w:rPr>
          <w:rFonts w:ascii="Arial" w:hAnsi="Arial" w:cs="Arial"/>
          <w:iCs/>
          <w:szCs w:val="24"/>
        </w:rPr>
        <w:t xml:space="preserve"> in alignment with Sub-Strategy 3B</w:t>
      </w:r>
      <w:r w:rsidR="002C4018">
        <w:rPr>
          <w:rFonts w:ascii="Arial" w:hAnsi="Arial" w:cs="Arial"/>
          <w:iCs/>
        </w:rPr>
        <w:t xml:space="preserve"> with transfers of up to 13% annually continuing after 2022.</w:t>
      </w:r>
      <w:r w:rsidR="002C4018">
        <w:rPr>
          <w:rStyle w:val="FootnoteReference"/>
          <w:rFonts w:ascii="Arial" w:hAnsi="Arial" w:cs="Arial"/>
          <w:iCs/>
        </w:rPr>
        <w:footnoteReference w:id="35"/>
      </w:r>
      <w:r>
        <w:rPr>
          <w:rFonts w:ascii="Arial" w:hAnsi="Arial" w:cs="Arial"/>
          <w:iCs/>
          <w:szCs w:val="24"/>
        </w:rPr>
        <w:t xml:space="preserve">. Executive staff stated that this amount will fill the $8.7 million gap in the Behavioral Health Fund </w:t>
      </w:r>
      <w:r w:rsidRPr="00414863">
        <w:rPr>
          <w:rFonts w:ascii="Arial" w:hAnsi="Arial" w:cs="Arial"/>
          <w:iCs/>
          <w:szCs w:val="24"/>
        </w:rPr>
        <w:t xml:space="preserve">previously funded through state non-Medicaid funding </w:t>
      </w:r>
      <w:r>
        <w:rPr>
          <w:rFonts w:ascii="Arial" w:hAnsi="Arial" w:cs="Arial"/>
          <w:iCs/>
          <w:szCs w:val="24"/>
        </w:rPr>
        <w:t xml:space="preserve">that was identified during the 2021-22 </w:t>
      </w:r>
      <w:r w:rsidRPr="00504E10">
        <w:rPr>
          <w:rFonts w:ascii="Arial" w:hAnsi="Arial" w:cs="Arial"/>
          <w:iCs/>
          <w:szCs w:val="24"/>
        </w:rPr>
        <w:t>budget</w:t>
      </w:r>
      <w:r>
        <w:rPr>
          <w:rFonts w:ascii="Arial" w:hAnsi="Arial" w:cs="Arial"/>
          <w:iCs/>
          <w:szCs w:val="24"/>
        </w:rPr>
        <w:t xml:space="preserve">. </w:t>
      </w:r>
      <w:r w:rsidRPr="00504E10">
        <w:rPr>
          <w:rFonts w:ascii="Arial" w:hAnsi="Arial" w:cs="Arial"/>
        </w:rPr>
        <w:t xml:space="preserve">The Executive expects </w:t>
      </w:r>
      <w:r>
        <w:rPr>
          <w:rFonts w:ascii="Arial" w:hAnsi="Arial" w:cs="Arial"/>
        </w:rPr>
        <w:t xml:space="preserve">the </w:t>
      </w:r>
      <w:r w:rsidR="009F73D0">
        <w:rPr>
          <w:rFonts w:ascii="Arial" w:hAnsi="Arial" w:cs="Arial"/>
        </w:rPr>
        <w:t xml:space="preserve">amount allocated for 2021-2022 </w:t>
      </w:r>
      <w:r w:rsidRPr="00504E10">
        <w:rPr>
          <w:rFonts w:ascii="Arial" w:hAnsi="Arial" w:cs="Arial"/>
        </w:rPr>
        <w:t>to fund the following services:</w:t>
      </w:r>
      <w:r>
        <w:rPr>
          <w:rFonts w:ascii="Arial" w:hAnsi="Arial" w:cs="Arial"/>
        </w:rPr>
        <w:t xml:space="preserve"> </w:t>
      </w:r>
    </w:p>
    <w:p w14:paraId="0D719067" w14:textId="77777777" w:rsidR="007000F9" w:rsidRDefault="007000F9" w:rsidP="007000F9">
      <w:pPr>
        <w:jc w:val="both"/>
        <w:rPr>
          <w:rFonts w:ascii="Arial" w:hAnsi="Arial" w:cs="Arial"/>
        </w:rPr>
      </w:pPr>
    </w:p>
    <w:p w14:paraId="58BD86E6" w14:textId="77777777" w:rsidR="007000F9" w:rsidRDefault="007000F9" w:rsidP="007000F9">
      <w:pPr>
        <w:pStyle w:val="ListParagraph0"/>
        <w:numPr>
          <w:ilvl w:val="0"/>
          <w:numId w:val="27"/>
        </w:numPr>
        <w:rPr>
          <w:rFonts w:ascii="Arial" w:hAnsi="Arial" w:cs="Arial"/>
        </w:rPr>
      </w:pPr>
      <w:r>
        <w:rPr>
          <w:rFonts w:ascii="Arial" w:hAnsi="Arial" w:cs="Arial"/>
        </w:rPr>
        <w:t xml:space="preserve">$2.8M - </w:t>
      </w:r>
      <w:r w:rsidRPr="00504E10">
        <w:rPr>
          <w:rFonts w:ascii="Arial" w:hAnsi="Arial" w:cs="Arial"/>
        </w:rPr>
        <w:t>Medication Assisted Treatment (MAT) for non-Medicaid clients</w:t>
      </w:r>
    </w:p>
    <w:p w14:paraId="79ED0A54" w14:textId="77777777" w:rsidR="007000F9" w:rsidRDefault="007000F9" w:rsidP="007000F9">
      <w:pPr>
        <w:pStyle w:val="ListParagraph0"/>
        <w:numPr>
          <w:ilvl w:val="0"/>
          <w:numId w:val="27"/>
        </w:numPr>
        <w:rPr>
          <w:rFonts w:ascii="Arial" w:hAnsi="Arial" w:cs="Arial"/>
        </w:rPr>
      </w:pPr>
      <w:r>
        <w:rPr>
          <w:rFonts w:ascii="Arial" w:hAnsi="Arial" w:cs="Arial"/>
        </w:rPr>
        <w:t xml:space="preserve">$2.7M - </w:t>
      </w:r>
      <w:r w:rsidRPr="00504E10">
        <w:rPr>
          <w:rFonts w:ascii="Arial" w:hAnsi="Arial" w:cs="Arial"/>
        </w:rPr>
        <w:t>Mental Health Residential Program</w:t>
      </w:r>
    </w:p>
    <w:p w14:paraId="15B2447C" w14:textId="77777777" w:rsidR="007000F9" w:rsidRDefault="007000F9" w:rsidP="007000F9">
      <w:pPr>
        <w:pStyle w:val="ListParagraph0"/>
        <w:numPr>
          <w:ilvl w:val="0"/>
          <w:numId w:val="27"/>
        </w:numPr>
        <w:rPr>
          <w:rFonts w:ascii="Arial" w:hAnsi="Arial" w:cs="Arial"/>
        </w:rPr>
      </w:pPr>
      <w:r>
        <w:rPr>
          <w:rFonts w:ascii="Arial" w:hAnsi="Arial" w:cs="Arial"/>
        </w:rPr>
        <w:t xml:space="preserve">$900,000 - </w:t>
      </w:r>
      <w:r w:rsidRPr="00504E10">
        <w:rPr>
          <w:rFonts w:ascii="Arial" w:hAnsi="Arial" w:cs="Arial"/>
        </w:rPr>
        <w:t>Transitional Support Program</w:t>
      </w:r>
    </w:p>
    <w:p w14:paraId="72FA0835" w14:textId="77777777" w:rsidR="007000F9" w:rsidRDefault="007000F9" w:rsidP="007000F9">
      <w:pPr>
        <w:pStyle w:val="ListParagraph0"/>
        <w:numPr>
          <w:ilvl w:val="0"/>
          <w:numId w:val="27"/>
        </w:numPr>
        <w:rPr>
          <w:rFonts w:ascii="Arial" w:hAnsi="Arial" w:cs="Arial"/>
        </w:rPr>
      </w:pPr>
      <w:r>
        <w:rPr>
          <w:rFonts w:ascii="Arial" w:hAnsi="Arial" w:cs="Arial"/>
        </w:rPr>
        <w:t xml:space="preserve">$200,000 - </w:t>
      </w:r>
      <w:r w:rsidRPr="00504E10">
        <w:rPr>
          <w:rFonts w:ascii="Arial" w:hAnsi="Arial" w:cs="Arial"/>
        </w:rPr>
        <w:t>Next Day Appointment Program</w:t>
      </w:r>
    </w:p>
    <w:p w14:paraId="7D19DE2C" w14:textId="77777777" w:rsidR="007000F9" w:rsidRDefault="007000F9" w:rsidP="007000F9">
      <w:pPr>
        <w:pStyle w:val="ListParagraph0"/>
        <w:numPr>
          <w:ilvl w:val="0"/>
          <w:numId w:val="27"/>
        </w:numPr>
        <w:rPr>
          <w:rFonts w:ascii="Arial" w:hAnsi="Arial" w:cs="Arial"/>
        </w:rPr>
      </w:pPr>
      <w:r>
        <w:rPr>
          <w:rFonts w:ascii="Arial" w:hAnsi="Arial" w:cs="Arial"/>
        </w:rPr>
        <w:t xml:space="preserve">$700,000 - </w:t>
      </w:r>
      <w:r w:rsidRPr="00504E10">
        <w:rPr>
          <w:rFonts w:ascii="Arial" w:hAnsi="Arial" w:cs="Arial"/>
        </w:rPr>
        <w:t>Homeless Outreach Stabilization and Transition (HOST) Program</w:t>
      </w:r>
    </w:p>
    <w:p w14:paraId="646D472D" w14:textId="77777777" w:rsidR="007000F9" w:rsidRDefault="007000F9" w:rsidP="007000F9">
      <w:pPr>
        <w:pStyle w:val="ListParagraph0"/>
        <w:numPr>
          <w:ilvl w:val="0"/>
          <w:numId w:val="27"/>
        </w:numPr>
        <w:rPr>
          <w:rFonts w:ascii="Arial" w:hAnsi="Arial" w:cs="Arial"/>
        </w:rPr>
      </w:pPr>
      <w:r>
        <w:rPr>
          <w:rFonts w:ascii="Arial" w:hAnsi="Arial" w:cs="Arial"/>
        </w:rPr>
        <w:t xml:space="preserve">$500,000 - </w:t>
      </w:r>
      <w:r w:rsidRPr="00504E10">
        <w:rPr>
          <w:rFonts w:ascii="Arial" w:hAnsi="Arial" w:cs="Arial"/>
        </w:rPr>
        <w:t>Extraordinary Treatment Program</w:t>
      </w:r>
    </w:p>
    <w:p w14:paraId="4F5079AA" w14:textId="77777777" w:rsidR="007000F9" w:rsidRDefault="007000F9" w:rsidP="007000F9">
      <w:pPr>
        <w:pStyle w:val="ListParagraph0"/>
        <w:numPr>
          <w:ilvl w:val="0"/>
          <w:numId w:val="27"/>
        </w:numPr>
        <w:rPr>
          <w:rFonts w:ascii="Arial" w:hAnsi="Arial" w:cs="Arial"/>
        </w:rPr>
      </w:pPr>
      <w:r>
        <w:rPr>
          <w:rFonts w:ascii="Arial" w:hAnsi="Arial" w:cs="Arial"/>
        </w:rPr>
        <w:t xml:space="preserve">$200,000 - </w:t>
      </w:r>
      <w:r w:rsidRPr="00504E10">
        <w:rPr>
          <w:rFonts w:ascii="Arial" w:hAnsi="Arial" w:cs="Arial"/>
        </w:rPr>
        <w:t>Substance Use Disorder (SUD) Recovery/Advocacy Program</w:t>
      </w:r>
    </w:p>
    <w:p w14:paraId="5D58534F" w14:textId="77777777" w:rsidR="007000F9" w:rsidRDefault="007000F9" w:rsidP="007000F9">
      <w:pPr>
        <w:pStyle w:val="ListParagraph0"/>
        <w:numPr>
          <w:ilvl w:val="0"/>
          <w:numId w:val="27"/>
        </w:numPr>
        <w:rPr>
          <w:rFonts w:ascii="Arial" w:hAnsi="Arial" w:cs="Arial"/>
        </w:rPr>
      </w:pPr>
      <w:r>
        <w:rPr>
          <w:rFonts w:ascii="Arial" w:hAnsi="Arial" w:cs="Arial"/>
        </w:rPr>
        <w:t xml:space="preserve">$400,000 - </w:t>
      </w:r>
      <w:r w:rsidRPr="00504E10">
        <w:rPr>
          <w:rFonts w:ascii="Arial" w:hAnsi="Arial" w:cs="Arial"/>
        </w:rPr>
        <w:t>SUD Residential Program</w:t>
      </w:r>
    </w:p>
    <w:p w14:paraId="2080F4C3" w14:textId="77777777" w:rsidR="007000F9" w:rsidRPr="00504E10" w:rsidRDefault="007000F9" w:rsidP="007000F9">
      <w:pPr>
        <w:pStyle w:val="ListParagraph0"/>
        <w:numPr>
          <w:ilvl w:val="0"/>
          <w:numId w:val="27"/>
        </w:numPr>
        <w:rPr>
          <w:rFonts w:ascii="Arial" w:hAnsi="Arial" w:cs="Arial"/>
        </w:rPr>
      </w:pPr>
      <w:r>
        <w:rPr>
          <w:rFonts w:ascii="Arial" w:hAnsi="Arial" w:cs="Arial"/>
        </w:rPr>
        <w:t xml:space="preserve">$300,000 - </w:t>
      </w:r>
      <w:r w:rsidRPr="00504E10">
        <w:rPr>
          <w:rFonts w:ascii="Arial" w:hAnsi="Arial" w:cs="Arial"/>
        </w:rPr>
        <w:t>Crisis Respite Program</w:t>
      </w:r>
    </w:p>
    <w:p w14:paraId="0E3AA85F" w14:textId="77777777" w:rsidR="007000F9" w:rsidRPr="00504E10" w:rsidRDefault="007000F9" w:rsidP="007000F9">
      <w:pPr>
        <w:rPr>
          <w:rFonts w:ascii="Arial" w:hAnsi="Arial" w:cs="Arial"/>
        </w:rPr>
      </w:pPr>
    </w:p>
    <w:p w14:paraId="121877D1" w14:textId="70B2A1A0" w:rsidR="002C4018" w:rsidRDefault="002C4018" w:rsidP="00FD7907">
      <w:pPr>
        <w:jc w:val="both"/>
        <w:rPr>
          <w:rFonts w:ascii="Arial" w:hAnsi="Arial" w:cs="Arial"/>
          <w:iCs/>
          <w:szCs w:val="24"/>
        </w:rPr>
      </w:pPr>
      <w:r>
        <w:rPr>
          <w:rFonts w:ascii="Arial" w:hAnsi="Arial" w:cs="Arial"/>
          <w:iCs/>
          <w:szCs w:val="24"/>
        </w:rPr>
        <w:t>Council Staff analysis is ongoing for this strategy.</w:t>
      </w:r>
    </w:p>
    <w:p w14:paraId="0FEF625A" w14:textId="77777777" w:rsidR="002C4018" w:rsidRDefault="002C4018" w:rsidP="00FD7907">
      <w:pPr>
        <w:jc w:val="both"/>
        <w:rPr>
          <w:rFonts w:ascii="Arial" w:hAnsi="Arial" w:cs="Arial"/>
          <w:i/>
          <w:szCs w:val="24"/>
        </w:rPr>
      </w:pPr>
    </w:p>
    <w:p w14:paraId="04C2D54F" w14:textId="07F9B81A" w:rsidR="00F66F75" w:rsidRPr="00FD7907" w:rsidRDefault="007000F9" w:rsidP="00FD7907">
      <w:pPr>
        <w:jc w:val="both"/>
        <w:rPr>
          <w:rFonts w:ascii="Arial" w:hAnsi="Arial" w:cs="Arial"/>
          <w:iCs/>
        </w:rPr>
      </w:pPr>
      <w:r w:rsidRPr="00FD7907">
        <w:rPr>
          <w:rFonts w:ascii="Arial" w:hAnsi="Arial" w:cs="Arial"/>
          <w:i/>
          <w:szCs w:val="24"/>
        </w:rPr>
        <w:t xml:space="preserve">Strategy 4: Capacity Building Collaborative. </w:t>
      </w:r>
      <w:r w:rsidR="00F66F75" w:rsidRPr="00FD7907">
        <w:rPr>
          <w:rFonts w:ascii="Arial" w:hAnsi="Arial" w:cs="Arial"/>
          <w:iCs/>
        </w:rPr>
        <w:t>This strategy would build the capacity of contracted agencies who represent communities disproportionately experiencing chronic homelessness.  Capacity building would be intended to equip such providers with resources and support to provide services in ways that reduce disproportionality among individuals experiencing chronic homelessness.  Activities under this strategy could include: training, communities of practice, and funding and promoting partnerships between participating organizations.  DCHS intends to initiate this strategy by March 1, 2022.</w:t>
      </w:r>
    </w:p>
    <w:p w14:paraId="61E762B6" w14:textId="77777777" w:rsidR="00F66F75" w:rsidRDefault="00F66F75" w:rsidP="007000F9">
      <w:pPr>
        <w:jc w:val="both"/>
        <w:rPr>
          <w:rFonts w:ascii="Arial" w:hAnsi="Arial" w:cs="Arial"/>
          <w:i/>
          <w:szCs w:val="24"/>
        </w:rPr>
      </w:pPr>
    </w:p>
    <w:p w14:paraId="7B59FB95" w14:textId="2BF49AE7" w:rsidR="007000F9" w:rsidRPr="00586B5D" w:rsidRDefault="007000F9" w:rsidP="007000F9">
      <w:pPr>
        <w:jc w:val="both"/>
        <w:rPr>
          <w:rFonts w:ascii="Arial" w:hAnsi="Arial" w:cs="Arial"/>
          <w:iCs/>
          <w:szCs w:val="24"/>
        </w:rPr>
      </w:pPr>
      <w:r w:rsidRPr="00504E10">
        <w:rPr>
          <w:rFonts w:ascii="Arial" w:hAnsi="Arial" w:cs="Arial"/>
          <w:iCs/>
          <w:szCs w:val="24"/>
        </w:rPr>
        <w:t xml:space="preserve">In alignment with King County Code, the </w:t>
      </w:r>
      <w:r>
        <w:rPr>
          <w:rFonts w:ascii="Arial" w:hAnsi="Arial" w:cs="Arial"/>
          <w:iCs/>
          <w:szCs w:val="24"/>
        </w:rPr>
        <w:t>HtH</w:t>
      </w:r>
      <w:r w:rsidRPr="00504E10">
        <w:rPr>
          <w:rFonts w:ascii="Arial" w:hAnsi="Arial" w:cs="Arial"/>
          <w:iCs/>
          <w:szCs w:val="24"/>
        </w:rPr>
        <w:t xml:space="preserve"> Annual Expenditure Plan designates an average of approximately</w:t>
      </w:r>
      <w:r>
        <w:rPr>
          <w:rFonts w:ascii="Arial" w:hAnsi="Arial" w:cs="Arial"/>
          <w:iCs/>
          <w:szCs w:val="24"/>
        </w:rPr>
        <w:t xml:space="preserve"> $460,000 annually ($3.7 million from 2021-2028) for capacity building. According to the Plan, t</w:t>
      </w:r>
      <w:r w:rsidRPr="00DE44D1">
        <w:rPr>
          <w:rFonts w:ascii="Arial" w:hAnsi="Arial" w:cs="Arial"/>
          <w:iCs/>
          <w:szCs w:val="24"/>
        </w:rPr>
        <w:t xml:space="preserve">he Capacity Building Collaborative </w:t>
      </w:r>
      <w:r>
        <w:rPr>
          <w:rFonts w:ascii="Arial" w:hAnsi="Arial" w:cs="Arial"/>
          <w:iCs/>
          <w:szCs w:val="24"/>
        </w:rPr>
        <w:t>is intended to</w:t>
      </w:r>
      <w:r w:rsidRPr="00DE44D1">
        <w:rPr>
          <w:rFonts w:ascii="Arial" w:hAnsi="Arial" w:cs="Arial"/>
          <w:iCs/>
          <w:szCs w:val="24"/>
        </w:rPr>
        <w:t xml:space="preserve"> increase the capacity of existing housing nonprofits </w:t>
      </w:r>
      <w:r>
        <w:rPr>
          <w:rFonts w:ascii="Arial" w:hAnsi="Arial" w:cs="Arial"/>
          <w:iCs/>
          <w:szCs w:val="24"/>
        </w:rPr>
        <w:t>to meet</w:t>
      </w:r>
      <w:r w:rsidRPr="00DE44D1">
        <w:rPr>
          <w:rFonts w:ascii="Arial" w:hAnsi="Arial" w:cs="Arial"/>
          <w:iCs/>
          <w:szCs w:val="24"/>
        </w:rPr>
        <w:t xml:space="preserve"> </w:t>
      </w:r>
      <w:r>
        <w:rPr>
          <w:rFonts w:ascii="Arial" w:hAnsi="Arial" w:cs="Arial"/>
          <w:iCs/>
          <w:szCs w:val="24"/>
        </w:rPr>
        <w:t>the</w:t>
      </w:r>
      <w:r w:rsidRPr="00DE44D1">
        <w:rPr>
          <w:rFonts w:ascii="Arial" w:hAnsi="Arial" w:cs="Arial"/>
          <w:iCs/>
          <w:szCs w:val="24"/>
        </w:rPr>
        <w:t xml:space="preserve"> needs of BIPOC </w:t>
      </w:r>
      <w:r>
        <w:rPr>
          <w:rFonts w:ascii="Arial" w:hAnsi="Arial" w:cs="Arial"/>
          <w:iCs/>
          <w:szCs w:val="24"/>
        </w:rPr>
        <w:t>people who are overrepresented in the population of people experiencing homelessness</w:t>
      </w:r>
      <w:r w:rsidRPr="00DE44D1">
        <w:rPr>
          <w:rFonts w:ascii="Arial" w:hAnsi="Arial" w:cs="Arial"/>
          <w:iCs/>
          <w:szCs w:val="24"/>
        </w:rPr>
        <w:t xml:space="preserve"> and allow </w:t>
      </w:r>
      <w:r>
        <w:rPr>
          <w:rFonts w:ascii="Arial" w:hAnsi="Arial" w:cs="Arial"/>
          <w:iCs/>
          <w:szCs w:val="24"/>
        </w:rPr>
        <w:t>community-based organizations</w:t>
      </w:r>
      <w:r w:rsidRPr="00DE44D1">
        <w:rPr>
          <w:rFonts w:ascii="Arial" w:hAnsi="Arial" w:cs="Arial"/>
          <w:iCs/>
          <w:szCs w:val="24"/>
        </w:rPr>
        <w:t xml:space="preserve"> to grow in their ability to operate supportive housing.</w:t>
      </w:r>
      <w:r>
        <w:rPr>
          <w:rStyle w:val="FootnoteReference"/>
          <w:rFonts w:ascii="Arial" w:hAnsi="Arial" w:cs="Arial"/>
          <w:iCs/>
          <w:szCs w:val="24"/>
        </w:rPr>
        <w:footnoteReference w:id="36"/>
      </w:r>
      <w:r>
        <w:rPr>
          <w:rFonts w:ascii="Arial" w:hAnsi="Arial" w:cs="Arial"/>
          <w:iCs/>
          <w:szCs w:val="24"/>
        </w:rPr>
        <w:t xml:space="preserve"> </w:t>
      </w:r>
    </w:p>
    <w:p w14:paraId="46157060" w14:textId="77777777" w:rsidR="007000F9" w:rsidRDefault="007000F9" w:rsidP="007000F9">
      <w:pPr>
        <w:jc w:val="both"/>
        <w:rPr>
          <w:rFonts w:ascii="Arial" w:hAnsi="Arial" w:cs="Arial"/>
          <w:i/>
          <w:szCs w:val="24"/>
        </w:rPr>
      </w:pPr>
    </w:p>
    <w:p w14:paraId="7BD44E0C" w14:textId="77777777" w:rsidR="00F66F75" w:rsidRPr="00FD7907" w:rsidRDefault="007000F9" w:rsidP="00FD7907">
      <w:pPr>
        <w:jc w:val="both"/>
        <w:rPr>
          <w:rFonts w:ascii="Arial" w:hAnsi="Arial" w:cs="Arial"/>
          <w:iCs/>
        </w:rPr>
      </w:pPr>
      <w:r w:rsidRPr="00FD7907">
        <w:rPr>
          <w:rFonts w:ascii="Arial" w:hAnsi="Arial" w:cs="Arial"/>
          <w:i/>
          <w:szCs w:val="24"/>
        </w:rPr>
        <w:lastRenderedPageBreak/>
        <w:t>Strategy 5:  Evaluation.</w:t>
      </w:r>
      <w:r w:rsidRPr="00FD7907">
        <w:rPr>
          <w:rFonts w:ascii="Arial" w:hAnsi="Arial" w:cs="Arial"/>
          <w:iCs/>
          <w:szCs w:val="24"/>
        </w:rPr>
        <w:t xml:space="preserve"> </w:t>
      </w:r>
      <w:r w:rsidR="00F66F75" w:rsidRPr="00FD7907">
        <w:rPr>
          <w:rFonts w:ascii="Arial" w:hAnsi="Arial" w:cs="Arial"/>
          <w:iCs/>
        </w:rPr>
        <w:t>This strategy would evaluate implementation and assess the effectiveness of HtH initiatives.  This strategy is intended to accomplish Supporting Goals 6 (to develop a HtH Dashboard) and 7 (to deliver an in-depth evaluation by the end of 2026).  More information on this strategy is provided in the "Evaluation and Performance Measurement" section below.  Activities under this strategy could include: collecting and analyzing data, conducting in-depth evaluations and using data to measure the equity, effectiveness and efficiency of HtH strategies.</w:t>
      </w:r>
    </w:p>
    <w:p w14:paraId="034EA9CA" w14:textId="77777777" w:rsidR="00F66F75" w:rsidRDefault="00F66F75" w:rsidP="007000F9">
      <w:pPr>
        <w:jc w:val="both"/>
        <w:rPr>
          <w:rFonts w:ascii="Arial" w:hAnsi="Arial" w:cs="Arial"/>
          <w:iCs/>
          <w:szCs w:val="24"/>
        </w:rPr>
      </w:pPr>
    </w:p>
    <w:p w14:paraId="3F84E66C" w14:textId="4E7BED62" w:rsidR="007000F9" w:rsidRPr="008E7AA2" w:rsidRDefault="007000F9" w:rsidP="007000F9">
      <w:pPr>
        <w:jc w:val="both"/>
        <w:rPr>
          <w:iCs/>
        </w:rPr>
      </w:pPr>
      <w:r>
        <w:rPr>
          <w:rFonts w:ascii="Arial" w:hAnsi="Arial" w:cs="Arial"/>
          <w:iCs/>
          <w:szCs w:val="24"/>
        </w:rPr>
        <w:t xml:space="preserve">The HtH Annual Expenditure Plan allocates a total of $5.5 million between 2021-2028 to cover the costs of staff and data infrastructure to support ongoing performance measurement, evaluation, and reporting. This amount includes estimated costs for </w:t>
      </w:r>
      <w:r w:rsidRPr="00775C1E">
        <w:rPr>
          <w:rFonts w:ascii="Arial" w:hAnsi="Arial" w:cs="Arial"/>
          <w:iCs/>
          <w:szCs w:val="24"/>
        </w:rPr>
        <w:t xml:space="preserve">contracted evaluators and data collection. </w:t>
      </w:r>
      <w:r>
        <w:rPr>
          <w:rFonts w:ascii="Arial" w:hAnsi="Arial" w:cs="Arial"/>
          <w:iCs/>
          <w:szCs w:val="24"/>
        </w:rPr>
        <w:t>This is in alignment with King C</w:t>
      </w:r>
      <w:r w:rsidRPr="00775C1E">
        <w:rPr>
          <w:rFonts w:ascii="Arial" w:hAnsi="Arial" w:cs="Arial"/>
          <w:iCs/>
          <w:szCs w:val="24"/>
        </w:rPr>
        <w:t xml:space="preserve">ounty </w:t>
      </w:r>
      <w:r>
        <w:rPr>
          <w:rFonts w:ascii="Arial" w:hAnsi="Arial" w:cs="Arial"/>
          <w:iCs/>
          <w:szCs w:val="24"/>
        </w:rPr>
        <w:t>C</w:t>
      </w:r>
      <w:r w:rsidRPr="00775C1E">
        <w:rPr>
          <w:rFonts w:ascii="Arial" w:hAnsi="Arial" w:cs="Arial"/>
          <w:iCs/>
          <w:szCs w:val="24"/>
        </w:rPr>
        <w:t>ode</w:t>
      </w:r>
      <w:r>
        <w:rPr>
          <w:rFonts w:ascii="Arial" w:hAnsi="Arial" w:cs="Arial"/>
          <w:iCs/>
          <w:szCs w:val="24"/>
        </w:rPr>
        <w:t xml:space="preserve"> which</w:t>
      </w:r>
      <w:r w:rsidRPr="00775C1E">
        <w:rPr>
          <w:rFonts w:ascii="Arial" w:hAnsi="Arial" w:cs="Arial"/>
          <w:iCs/>
          <w:szCs w:val="24"/>
        </w:rPr>
        <w:t xml:space="preserve"> limits evaluation costs to 1.5</w:t>
      </w:r>
      <w:r>
        <w:rPr>
          <w:rFonts w:ascii="Arial" w:hAnsi="Arial" w:cs="Arial"/>
          <w:iCs/>
          <w:szCs w:val="24"/>
        </w:rPr>
        <w:t xml:space="preserve">% </w:t>
      </w:r>
      <w:r w:rsidRPr="00775C1E">
        <w:rPr>
          <w:rFonts w:ascii="Arial" w:hAnsi="Arial" w:cs="Arial"/>
          <w:iCs/>
          <w:szCs w:val="24"/>
        </w:rPr>
        <w:t>of revenue after bonding and behavioral health expenditures.</w:t>
      </w:r>
      <w:r w:rsidRPr="00775C1E">
        <w:rPr>
          <w:rStyle w:val="FootnoteReference"/>
          <w:rFonts w:ascii="Arial" w:hAnsi="Arial" w:cs="Arial"/>
          <w:iCs/>
          <w:szCs w:val="24"/>
        </w:rPr>
        <w:footnoteReference w:id="37"/>
      </w:r>
    </w:p>
    <w:p w14:paraId="68888503" w14:textId="77777777" w:rsidR="007000F9" w:rsidRDefault="007000F9" w:rsidP="007000F9">
      <w:pPr>
        <w:jc w:val="both"/>
        <w:rPr>
          <w:rFonts w:ascii="Arial" w:hAnsi="Arial" w:cs="Arial"/>
          <w:i/>
          <w:szCs w:val="24"/>
        </w:rPr>
      </w:pPr>
    </w:p>
    <w:p w14:paraId="193F5469" w14:textId="411486DB" w:rsidR="00F66F75" w:rsidRDefault="007000F9" w:rsidP="007000F9">
      <w:pPr>
        <w:jc w:val="both"/>
        <w:rPr>
          <w:rFonts w:ascii="Arial" w:hAnsi="Arial" w:cs="Arial"/>
          <w:iCs/>
          <w:szCs w:val="24"/>
        </w:rPr>
      </w:pPr>
      <w:r w:rsidRPr="00FD7907">
        <w:rPr>
          <w:rFonts w:ascii="Arial" w:hAnsi="Arial" w:cs="Arial"/>
          <w:i/>
          <w:szCs w:val="24"/>
        </w:rPr>
        <w:t>Strategy 6:  Future Acquisition of Additional Properties.</w:t>
      </w:r>
      <w:r w:rsidRPr="00FD7907">
        <w:rPr>
          <w:rFonts w:ascii="Arial" w:hAnsi="Arial" w:cs="Arial"/>
          <w:iCs/>
          <w:szCs w:val="24"/>
        </w:rPr>
        <w:t xml:space="preserve"> </w:t>
      </w:r>
      <w:r w:rsidR="00F66F75" w:rsidRPr="00FD7907">
        <w:rPr>
          <w:rFonts w:ascii="Arial" w:hAnsi="Arial" w:cs="Arial"/>
          <w:iCs/>
        </w:rPr>
        <w:t>This strategy would create additional HtH properties through acquisition or construction.  The Plan would not allocate any monies to Strategy 6, as the Executive does not intend to acquire or construct any new HtH properties between 2022 and 2028.  The Plan states that if the Executive determines a need for additional acquisition or construction, he will send a letter to the Council.  Unless the Council passes a motion rejecting the acquisition or construction within 30 days, the Executive would be able to proceed, pending budget authority.  Activities under this strategy could include: acquisition or construction of additional HtH sites.</w:t>
      </w:r>
    </w:p>
    <w:p w14:paraId="70590245" w14:textId="77777777" w:rsidR="00F66F75" w:rsidRDefault="00F66F75" w:rsidP="007000F9">
      <w:pPr>
        <w:jc w:val="both"/>
        <w:rPr>
          <w:rFonts w:ascii="Arial" w:hAnsi="Arial" w:cs="Arial"/>
          <w:iCs/>
          <w:szCs w:val="24"/>
        </w:rPr>
      </w:pPr>
    </w:p>
    <w:p w14:paraId="5863C4BE" w14:textId="2D960C0C" w:rsidR="007000F9" w:rsidRPr="00D44009" w:rsidRDefault="007000F9" w:rsidP="007000F9">
      <w:pPr>
        <w:jc w:val="both"/>
        <w:rPr>
          <w:rFonts w:ascii="Arial" w:hAnsi="Arial" w:cs="Arial"/>
          <w:iCs/>
          <w:szCs w:val="24"/>
        </w:rPr>
      </w:pPr>
      <w:r>
        <w:rPr>
          <w:rFonts w:ascii="Arial" w:hAnsi="Arial" w:cs="Arial"/>
          <w:iCs/>
          <w:szCs w:val="24"/>
        </w:rPr>
        <w:t xml:space="preserve">According to the IP, Strategy 6 is unfunded but may be receive future allocations if Strategy 2 has a substantive underexpenditure. Executive staff also indicated that, "if </w:t>
      </w:r>
      <w:r w:rsidRPr="00F02187">
        <w:rPr>
          <w:rFonts w:ascii="Arial" w:hAnsi="Arial" w:cs="Arial"/>
          <w:iCs/>
          <w:szCs w:val="24"/>
        </w:rPr>
        <w:t>insufficient buildings are acquired in 2021 to reach the 1</w:t>
      </w:r>
      <w:r>
        <w:rPr>
          <w:rFonts w:ascii="Arial" w:hAnsi="Arial" w:cs="Arial"/>
          <w:iCs/>
          <w:szCs w:val="24"/>
        </w:rPr>
        <w:t>,</w:t>
      </w:r>
      <w:r w:rsidRPr="00F02187">
        <w:rPr>
          <w:rFonts w:ascii="Arial" w:hAnsi="Arial" w:cs="Arial"/>
          <w:iCs/>
          <w:szCs w:val="24"/>
        </w:rPr>
        <w:t>600-unit goal</w:t>
      </w:r>
      <w:r>
        <w:rPr>
          <w:rFonts w:ascii="Arial" w:hAnsi="Arial" w:cs="Arial"/>
          <w:iCs/>
          <w:szCs w:val="24"/>
        </w:rPr>
        <w:t xml:space="preserve"> […]</w:t>
      </w:r>
      <w:r w:rsidRPr="00F02187">
        <w:rPr>
          <w:rFonts w:ascii="Arial" w:hAnsi="Arial" w:cs="Arial"/>
          <w:iCs/>
          <w:szCs w:val="24"/>
        </w:rPr>
        <w:t xml:space="preserve"> savings from Strategy 1 would be deployed as part of Strategy 6 to fund acquisition to achieve the 1</w:t>
      </w:r>
      <w:r>
        <w:rPr>
          <w:rFonts w:ascii="Arial" w:hAnsi="Arial" w:cs="Arial"/>
          <w:iCs/>
          <w:szCs w:val="24"/>
        </w:rPr>
        <w:t>,</w:t>
      </w:r>
      <w:r w:rsidRPr="00F02187">
        <w:rPr>
          <w:rFonts w:ascii="Arial" w:hAnsi="Arial" w:cs="Arial"/>
          <w:iCs/>
          <w:szCs w:val="24"/>
        </w:rPr>
        <w:t>600</w:t>
      </w:r>
      <w:r>
        <w:rPr>
          <w:rFonts w:ascii="Arial" w:hAnsi="Arial" w:cs="Arial"/>
          <w:iCs/>
          <w:szCs w:val="24"/>
        </w:rPr>
        <w:t>-</w:t>
      </w:r>
      <w:r w:rsidRPr="00F02187">
        <w:rPr>
          <w:rFonts w:ascii="Arial" w:hAnsi="Arial" w:cs="Arial"/>
          <w:iCs/>
          <w:szCs w:val="24"/>
        </w:rPr>
        <w:t>unit goal.</w:t>
      </w:r>
      <w:r>
        <w:rPr>
          <w:rFonts w:ascii="Arial" w:hAnsi="Arial" w:cs="Arial"/>
          <w:iCs/>
          <w:szCs w:val="24"/>
        </w:rPr>
        <w:t>"</w:t>
      </w:r>
    </w:p>
    <w:p w14:paraId="064820B4" w14:textId="067F8225" w:rsidR="007000F9" w:rsidRPr="00FD7907" w:rsidRDefault="007000F9" w:rsidP="00FD7907">
      <w:pPr>
        <w:rPr>
          <w:rFonts w:ascii="Arial" w:hAnsi="Arial" w:cs="Arial"/>
          <w:iCs/>
          <w:szCs w:val="24"/>
        </w:rPr>
      </w:pPr>
    </w:p>
    <w:p w14:paraId="11043BC1" w14:textId="1F5CFE14" w:rsidR="007000F9" w:rsidRPr="001C4B19" w:rsidRDefault="007000F9" w:rsidP="007000F9">
      <w:pPr>
        <w:keepNext/>
        <w:jc w:val="center"/>
        <w:rPr>
          <w:rFonts w:ascii="Arial" w:hAnsi="Arial" w:cs="Arial"/>
          <w:b/>
          <w:szCs w:val="24"/>
        </w:rPr>
      </w:pPr>
      <w:r>
        <w:rPr>
          <w:rFonts w:ascii="Arial" w:hAnsi="Arial" w:cs="Arial"/>
          <w:b/>
          <w:szCs w:val="24"/>
        </w:rPr>
        <w:lastRenderedPageBreak/>
        <w:t>Table 3. Revenue and Approximate Allocations in Millions by Strategy (2021-2028)</w:t>
      </w:r>
      <w:r>
        <w:rPr>
          <w:rStyle w:val="FootnoteReference"/>
          <w:rFonts w:ascii="Arial" w:hAnsi="Arial" w:cs="Arial"/>
          <w:b/>
          <w:szCs w:val="24"/>
        </w:rPr>
        <w:footnoteReference w:id="38"/>
      </w:r>
    </w:p>
    <w:p w14:paraId="6A75249E" w14:textId="77777777" w:rsidR="007000F9" w:rsidRDefault="007000F9" w:rsidP="007000F9">
      <w:pPr>
        <w:keepNext/>
        <w:jc w:val="both"/>
        <w:rPr>
          <w:rFonts w:ascii="Arial" w:hAnsi="Arial" w:cs="Arial"/>
          <w:b/>
          <w:szCs w:val="24"/>
        </w:rPr>
      </w:pPr>
    </w:p>
    <w:tbl>
      <w:tblPr>
        <w:tblStyle w:val="TableGrid"/>
        <w:tblW w:w="10299" w:type="dxa"/>
        <w:jc w:val="center"/>
        <w:tblLook w:val="04A0" w:firstRow="1" w:lastRow="0" w:firstColumn="1" w:lastColumn="0" w:noHBand="0" w:noVBand="1"/>
      </w:tblPr>
      <w:tblGrid>
        <w:gridCol w:w="2169"/>
        <w:gridCol w:w="951"/>
        <w:gridCol w:w="856"/>
        <w:gridCol w:w="857"/>
        <w:gridCol w:w="951"/>
        <w:gridCol w:w="900"/>
        <w:gridCol w:w="857"/>
        <w:gridCol w:w="857"/>
        <w:gridCol w:w="817"/>
        <w:gridCol w:w="1084"/>
      </w:tblGrid>
      <w:tr w:rsidR="007000F9" w:rsidRPr="00763D0E" w14:paraId="3DA2F799" w14:textId="77777777" w:rsidTr="001166BB">
        <w:trPr>
          <w:trHeight w:val="259"/>
          <w:jc w:val="center"/>
        </w:trPr>
        <w:tc>
          <w:tcPr>
            <w:tcW w:w="2661" w:type="dxa"/>
            <w:shd w:val="clear" w:color="auto" w:fill="000000" w:themeFill="text1"/>
          </w:tcPr>
          <w:p w14:paraId="2B0AA282" w14:textId="77777777" w:rsidR="007000F9" w:rsidRPr="00763D0E" w:rsidRDefault="007000F9" w:rsidP="001166BB">
            <w:pPr>
              <w:keepNext/>
              <w:rPr>
                <w:rFonts w:ascii="Arial" w:hAnsi="Arial" w:cs="Arial"/>
                <w:i/>
                <w:szCs w:val="24"/>
              </w:rPr>
            </w:pPr>
          </w:p>
        </w:tc>
        <w:tc>
          <w:tcPr>
            <w:tcW w:w="952" w:type="dxa"/>
            <w:shd w:val="clear" w:color="auto" w:fill="000000" w:themeFill="text1"/>
            <w:hideMark/>
          </w:tcPr>
          <w:p w14:paraId="52091849"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2021</w:t>
            </w:r>
          </w:p>
        </w:tc>
        <w:tc>
          <w:tcPr>
            <w:tcW w:w="918" w:type="dxa"/>
            <w:shd w:val="clear" w:color="auto" w:fill="000000" w:themeFill="text1"/>
            <w:hideMark/>
          </w:tcPr>
          <w:p w14:paraId="41F5982A"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2022</w:t>
            </w:r>
          </w:p>
        </w:tc>
        <w:tc>
          <w:tcPr>
            <w:tcW w:w="919" w:type="dxa"/>
            <w:shd w:val="clear" w:color="auto" w:fill="000000" w:themeFill="text1"/>
            <w:hideMark/>
          </w:tcPr>
          <w:p w14:paraId="05DB4F77"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2023</w:t>
            </w:r>
          </w:p>
        </w:tc>
        <w:tc>
          <w:tcPr>
            <w:tcW w:w="919" w:type="dxa"/>
            <w:shd w:val="clear" w:color="auto" w:fill="000000" w:themeFill="text1"/>
            <w:hideMark/>
          </w:tcPr>
          <w:p w14:paraId="4984314A"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2024</w:t>
            </w:r>
          </w:p>
        </w:tc>
        <w:tc>
          <w:tcPr>
            <w:tcW w:w="1032" w:type="dxa"/>
            <w:shd w:val="clear" w:color="auto" w:fill="000000" w:themeFill="text1"/>
            <w:hideMark/>
          </w:tcPr>
          <w:p w14:paraId="6F63D266"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2025</w:t>
            </w:r>
          </w:p>
        </w:tc>
        <w:tc>
          <w:tcPr>
            <w:tcW w:w="919" w:type="dxa"/>
            <w:shd w:val="clear" w:color="auto" w:fill="000000" w:themeFill="text1"/>
            <w:hideMark/>
          </w:tcPr>
          <w:p w14:paraId="638B902F"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2026</w:t>
            </w:r>
          </w:p>
        </w:tc>
        <w:tc>
          <w:tcPr>
            <w:tcW w:w="919" w:type="dxa"/>
            <w:shd w:val="clear" w:color="auto" w:fill="000000" w:themeFill="text1"/>
            <w:hideMark/>
          </w:tcPr>
          <w:p w14:paraId="7C274219"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2027</w:t>
            </w:r>
          </w:p>
        </w:tc>
        <w:tc>
          <w:tcPr>
            <w:tcW w:w="817" w:type="dxa"/>
            <w:shd w:val="clear" w:color="auto" w:fill="000000" w:themeFill="text1"/>
            <w:hideMark/>
          </w:tcPr>
          <w:p w14:paraId="091FAFEC" w14:textId="77777777" w:rsidR="007000F9" w:rsidRPr="00763D0E" w:rsidRDefault="007000F9" w:rsidP="001166BB">
            <w:pPr>
              <w:keepNext/>
              <w:jc w:val="center"/>
              <w:rPr>
                <w:rFonts w:ascii="Arial" w:hAnsi="Arial" w:cs="Arial"/>
                <w:b/>
                <w:bCs/>
                <w:iCs/>
                <w:szCs w:val="24"/>
              </w:rPr>
            </w:pPr>
            <w:r w:rsidRPr="00763D0E">
              <w:rPr>
                <w:rFonts w:ascii="Arial" w:hAnsi="Arial" w:cs="Arial"/>
                <w:b/>
                <w:bCs/>
                <w:iCs/>
                <w:szCs w:val="24"/>
              </w:rPr>
              <w:t>2028</w:t>
            </w:r>
          </w:p>
        </w:tc>
        <w:tc>
          <w:tcPr>
            <w:tcW w:w="243" w:type="dxa"/>
            <w:shd w:val="clear" w:color="auto" w:fill="000000" w:themeFill="text1"/>
          </w:tcPr>
          <w:p w14:paraId="1FACA782" w14:textId="77777777" w:rsidR="007000F9" w:rsidRPr="00763D0E" w:rsidRDefault="007000F9" w:rsidP="001166BB">
            <w:pPr>
              <w:keepNext/>
              <w:jc w:val="center"/>
              <w:rPr>
                <w:rFonts w:ascii="Arial" w:hAnsi="Arial" w:cs="Arial"/>
                <w:b/>
                <w:bCs/>
                <w:iCs/>
                <w:szCs w:val="24"/>
              </w:rPr>
            </w:pPr>
            <w:r>
              <w:rPr>
                <w:rFonts w:ascii="Arial" w:hAnsi="Arial" w:cs="Arial"/>
                <w:b/>
                <w:bCs/>
                <w:iCs/>
                <w:szCs w:val="24"/>
              </w:rPr>
              <w:t>Total</w:t>
            </w:r>
          </w:p>
        </w:tc>
      </w:tr>
      <w:tr w:rsidR="007000F9" w:rsidRPr="00763D0E" w14:paraId="474C0179" w14:textId="77777777" w:rsidTr="001166BB">
        <w:trPr>
          <w:trHeight w:val="1331"/>
          <w:jc w:val="center"/>
        </w:trPr>
        <w:tc>
          <w:tcPr>
            <w:tcW w:w="2661" w:type="dxa"/>
            <w:hideMark/>
          </w:tcPr>
          <w:p w14:paraId="30018C76" w14:textId="77777777" w:rsidR="007000F9" w:rsidRPr="00763D0E" w:rsidRDefault="007000F9" w:rsidP="001166BB">
            <w:pPr>
              <w:keepNext/>
              <w:rPr>
                <w:rFonts w:ascii="Arial" w:hAnsi="Arial" w:cs="Arial"/>
                <w:i/>
                <w:szCs w:val="24"/>
              </w:rPr>
            </w:pPr>
            <w:r w:rsidRPr="00763D0E">
              <w:rPr>
                <w:rFonts w:ascii="Arial" w:hAnsi="Arial" w:cs="Arial"/>
                <w:i/>
                <w:szCs w:val="24"/>
              </w:rPr>
              <w:t>Strategy 1</w:t>
            </w:r>
          </w:p>
          <w:p w14:paraId="46766994" w14:textId="77777777" w:rsidR="007000F9" w:rsidRPr="00763D0E" w:rsidRDefault="007000F9" w:rsidP="001166BB">
            <w:pPr>
              <w:keepNext/>
              <w:rPr>
                <w:rFonts w:ascii="Arial" w:hAnsi="Arial" w:cs="Arial"/>
                <w:b/>
                <w:bCs/>
                <w:i/>
                <w:szCs w:val="24"/>
              </w:rPr>
            </w:pPr>
            <w:r w:rsidRPr="00763D0E">
              <w:rPr>
                <w:rFonts w:ascii="Arial" w:hAnsi="Arial" w:cs="Arial"/>
                <w:b/>
                <w:bCs/>
                <w:szCs w:val="24"/>
              </w:rPr>
              <w:t xml:space="preserve">Capital Financing and Improvements for </w:t>
            </w:r>
            <w:r>
              <w:rPr>
                <w:rFonts w:ascii="Arial" w:hAnsi="Arial" w:cs="Arial"/>
                <w:b/>
                <w:bCs/>
                <w:szCs w:val="24"/>
              </w:rPr>
              <w:t>HtH</w:t>
            </w:r>
            <w:r w:rsidRPr="00763D0E">
              <w:rPr>
                <w:rFonts w:ascii="Arial" w:hAnsi="Arial" w:cs="Arial"/>
                <w:b/>
                <w:bCs/>
                <w:szCs w:val="24"/>
              </w:rPr>
              <w:t xml:space="preserve"> Sites</w:t>
            </w:r>
          </w:p>
        </w:tc>
        <w:tc>
          <w:tcPr>
            <w:tcW w:w="952" w:type="dxa"/>
            <w:hideMark/>
          </w:tcPr>
          <w:p w14:paraId="47BD1D05" w14:textId="77777777" w:rsidR="007000F9" w:rsidRPr="00763D0E" w:rsidRDefault="007000F9" w:rsidP="001166BB">
            <w:pPr>
              <w:keepNext/>
              <w:jc w:val="right"/>
              <w:rPr>
                <w:rFonts w:ascii="Arial" w:hAnsi="Arial" w:cs="Arial"/>
                <w:i/>
                <w:szCs w:val="24"/>
              </w:rPr>
            </w:pPr>
            <w:r w:rsidRPr="00763D0E">
              <w:rPr>
                <w:rFonts w:ascii="Arial" w:hAnsi="Arial" w:cs="Arial"/>
                <w:szCs w:val="24"/>
              </w:rPr>
              <w:t>264.3</w:t>
            </w:r>
          </w:p>
        </w:tc>
        <w:tc>
          <w:tcPr>
            <w:tcW w:w="918" w:type="dxa"/>
            <w:hideMark/>
          </w:tcPr>
          <w:p w14:paraId="3D0F22E1" w14:textId="77777777" w:rsidR="007000F9" w:rsidRPr="00763D0E" w:rsidRDefault="007000F9" w:rsidP="001166BB">
            <w:pPr>
              <w:keepNext/>
              <w:jc w:val="right"/>
              <w:rPr>
                <w:rFonts w:ascii="Arial" w:hAnsi="Arial" w:cs="Arial"/>
                <w:i/>
                <w:szCs w:val="24"/>
              </w:rPr>
            </w:pPr>
            <w:r w:rsidRPr="00763D0E">
              <w:rPr>
                <w:rFonts w:ascii="Arial" w:hAnsi="Arial" w:cs="Arial"/>
                <w:szCs w:val="24"/>
              </w:rPr>
              <w:t>1.0</w:t>
            </w:r>
          </w:p>
        </w:tc>
        <w:tc>
          <w:tcPr>
            <w:tcW w:w="919" w:type="dxa"/>
            <w:hideMark/>
          </w:tcPr>
          <w:p w14:paraId="08B9F852" w14:textId="77777777" w:rsidR="007000F9" w:rsidRPr="00763D0E" w:rsidRDefault="007000F9" w:rsidP="001166BB">
            <w:pPr>
              <w:keepNext/>
              <w:jc w:val="right"/>
              <w:rPr>
                <w:rFonts w:ascii="Arial" w:hAnsi="Arial" w:cs="Arial"/>
                <w:i/>
                <w:szCs w:val="24"/>
              </w:rPr>
            </w:pPr>
            <w:r w:rsidRPr="00763D0E">
              <w:rPr>
                <w:rFonts w:ascii="Arial" w:hAnsi="Arial" w:cs="Arial"/>
                <w:szCs w:val="24"/>
              </w:rPr>
              <w:t>1.0</w:t>
            </w:r>
          </w:p>
        </w:tc>
        <w:tc>
          <w:tcPr>
            <w:tcW w:w="919" w:type="dxa"/>
            <w:hideMark/>
          </w:tcPr>
          <w:p w14:paraId="61780873" w14:textId="77777777" w:rsidR="007000F9" w:rsidRPr="00763D0E" w:rsidRDefault="007000F9" w:rsidP="001166BB">
            <w:pPr>
              <w:keepNext/>
              <w:jc w:val="right"/>
              <w:rPr>
                <w:rFonts w:ascii="Arial" w:hAnsi="Arial" w:cs="Arial"/>
                <w:i/>
                <w:szCs w:val="24"/>
              </w:rPr>
            </w:pPr>
            <w:r w:rsidRPr="00763D0E">
              <w:rPr>
                <w:rFonts w:ascii="Arial" w:hAnsi="Arial" w:cs="Arial"/>
                <w:szCs w:val="24"/>
              </w:rPr>
              <w:t>17.1</w:t>
            </w:r>
          </w:p>
        </w:tc>
        <w:tc>
          <w:tcPr>
            <w:tcW w:w="1032" w:type="dxa"/>
            <w:hideMark/>
          </w:tcPr>
          <w:p w14:paraId="54E9197D" w14:textId="77777777" w:rsidR="007000F9" w:rsidRPr="00763D0E" w:rsidRDefault="007000F9" w:rsidP="001166BB">
            <w:pPr>
              <w:keepNext/>
              <w:jc w:val="right"/>
              <w:rPr>
                <w:rFonts w:ascii="Arial" w:hAnsi="Arial" w:cs="Arial"/>
                <w:i/>
                <w:szCs w:val="24"/>
              </w:rPr>
            </w:pPr>
            <w:r w:rsidRPr="00763D0E">
              <w:rPr>
                <w:rFonts w:ascii="Arial" w:hAnsi="Arial" w:cs="Arial"/>
                <w:szCs w:val="24"/>
              </w:rPr>
              <w:t>17.1</w:t>
            </w:r>
          </w:p>
        </w:tc>
        <w:tc>
          <w:tcPr>
            <w:tcW w:w="919" w:type="dxa"/>
            <w:hideMark/>
          </w:tcPr>
          <w:p w14:paraId="0D83B7F7" w14:textId="77777777" w:rsidR="007000F9" w:rsidRPr="00763D0E" w:rsidRDefault="007000F9" w:rsidP="001166BB">
            <w:pPr>
              <w:keepNext/>
              <w:jc w:val="right"/>
              <w:rPr>
                <w:rFonts w:ascii="Arial" w:hAnsi="Arial" w:cs="Arial"/>
                <w:i/>
                <w:szCs w:val="24"/>
              </w:rPr>
            </w:pPr>
            <w:r w:rsidRPr="00763D0E">
              <w:rPr>
                <w:rFonts w:ascii="Arial" w:hAnsi="Arial" w:cs="Arial"/>
                <w:szCs w:val="24"/>
              </w:rPr>
              <w:t>17.1</w:t>
            </w:r>
          </w:p>
        </w:tc>
        <w:tc>
          <w:tcPr>
            <w:tcW w:w="919" w:type="dxa"/>
            <w:hideMark/>
          </w:tcPr>
          <w:p w14:paraId="11353342" w14:textId="77777777" w:rsidR="007000F9" w:rsidRPr="00763D0E" w:rsidRDefault="007000F9" w:rsidP="001166BB">
            <w:pPr>
              <w:keepNext/>
              <w:jc w:val="right"/>
              <w:rPr>
                <w:rFonts w:ascii="Arial" w:hAnsi="Arial" w:cs="Arial"/>
                <w:i/>
                <w:szCs w:val="24"/>
              </w:rPr>
            </w:pPr>
            <w:r w:rsidRPr="00763D0E">
              <w:rPr>
                <w:rFonts w:ascii="Arial" w:hAnsi="Arial" w:cs="Arial"/>
                <w:szCs w:val="24"/>
              </w:rPr>
              <w:t>16.1</w:t>
            </w:r>
          </w:p>
        </w:tc>
        <w:tc>
          <w:tcPr>
            <w:tcW w:w="817" w:type="dxa"/>
            <w:hideMark/>
          </w:tcPr>
          <w:p w14:paraId="40FC2B1E" w14:textId="77777777" w:rsidR="007000F9" w:rsidRPr="00763D0E" w:rsidRDefault="007000F9" w:rsidP="001166BB">
            <w:pPr>
              <w:keepNext/>
              <w:jc w:val="right"/>
              <w:rPr>
                <w:rFonts w:ascii="Arial" w:hAnsi="Arial" w:cs="Arial"/>
                <w:i/>
                <w:szCs w:val="24"/>
              </w:rPr>
            </w:pPr>
            <w:r w:rsidRPr="00763D0E">
              <w:rPr>
                <w:rFonts w:ascii="Arial" w:hAnsi="Arial" w:cs="Arial"/>
                <w:szCs w:val="24"/>
              </w:rPr>
              <w:t>0.0</w:t>
            </w:r>
          </w:p>
        </w:tc>
        <w:tc>
          <w:tcPr>
            <w:tcW w:w="243" w:type="dxa"/>
            <w:shd w:val="clear" w:color="auto" w:fill="D9D9D9" w:themeFill="background1" w:themeFillShade="D9"/>
          </w:tcPr>
          <w:p w14:paraId="250EE3F5" w14:textId="77777777" w:rsidR="007000F9" w:rsidRPr="00F63383" w:rsidRDefault="007000F9" w:rsidP="001166BB">
            <w:pPr>
              <w:keepNext/>
              <w:jc w:val="right"/>
              <w:rPr>
                <w:rFonts w:ascii="Arial" w:hAnsi="Arial" w:cs="Arial"/>
                <w:b/>
                <w:bCs/>
                <w:szCs w:val="24"/>
              </w:rPr>
            </w:pPr>
            <w:r w:rsidRPr="00F63383">
              <w:rPr>
                <w:rFonts w:ascii="Arial" w:hAnsi="Arial" w:cs="Arial"/>
                <w:b/>
                <w:bCs/>
                <w:szCs w:val="24"/>
              </w:rPr>
              <w:t>$333.7</w:t>
            </w:r>
          </w:p>
        </w:tc>
      </w:tr>
      <w:tr w:rsidR="007000F9" w:rsidRPr="00763D0E" w14:paraId="68FE174F" w14:textId="77777777" w:rsidTr="001166BB">
        <w:trPr>
          <w:trHeight w:val="1868"/>
          <w:jc w:val="center"/>
        </w:trPr>
        <w:tc>
          <w:tcPr>
            <w:tcW w:w="2661" w:type="dxa"/>
            <w:hideMark/>
          </w:tcPr>
          <w:p w14:paraId="49E16622" w14:textId="77777777" w:rsidR="007000F9" w:rsidRPr="00763D0E" w:rsidRDefault="007000F9" w:rsidP="001166BB">
            <w:pPr>
              <w:keepNext/>
              <w:rPr>
                <w:rFonts w:ascii="Arial" w:hAnsi="Arial" w:cs="Arial"/>
                <w:i/>
                <w:szCs w:val="24"/>
              </w:rPr>
            </w:pPr>
            <w:r w:rsidRPr="00763D0E">
              <w:rPr>
                <w:rFonts w:ascii="Arial" w:hAnsi="Arial" w:cs="Arial"/>
                <w:i/>
                <w:szCs w:val="24"/>
              </w:rPr>
              <w:t>Strategy 2</w:t>
            </w:r>
          </w:p>
          <w:p w14:paraId="671804C2" w14:textId="77777777" w:rsidR="007000F9" w:rsidRPr="00763D0E" w:rsidRDefault="007000F9" w:rsidP="001166BB">
            <w:pPr>
              <w:keepNext/>
              <w:rPr>
                <w:rFonts w:ascii="Arial" w:hAnsi="Arial" w:cs="Arial"/>
                <w:b/>
                <w:bCs/>
                <w:i/>
                <w:szCs w:val="24"/>
              </w:rPr>
            </w:pPr>
            <w:r w:rsidRPr="00763D0E">
              <w:rPr>
                <w:rFonts w:ascii="Arial" w:hAnsi="Arial" w:cs="Arial"/>
                <w:b/>
                <w:bCs/>
                <w:szCs w:val="24"/>
              </w:rPr>
              <w:t>Emergency and Permanent Supportive Housing Operations</w:t>
            </w:r>
          </w:p>
        </w:tc>
        <w:tc>
          <w:tcPr>
            <w:tcW w:w="952" w:type="dxa"/>
            <w:hideMark/>
          </w:tcPr>
          <w:p w14:paraId="1F7B8196" w14:textId="77777777" w:rsidR="007000F9" w:rsidRPr="00763D0E" w:rsidRDefault="007000F9" w:rsidP="001166BB">
            <w:pPr>
              <w:keepNext/>
              <w:jc w:val="right"/>
              <w:rPr>
                <w:rFonts w:ascii="Arial" w:hAnsi="Arial" w:cs="Arial"/>
                <w:i/>
                <w:szCs w:val="24"/>
              </w:rPr>
            </w:pPr>
            <w:r w:rsidRPr="00763D0E">
              <w:rPr>
                <w:rFonts w:ascii="Arial" w:hAnsi="Arial" w:cs="Arial"/>
                <w:szCs w:val="24"/>
              </w:rPr>
              <w:t>9.6</w:t>
            </w:r>
          </w:p>
        </w:tc>
        <w:tc>
          <w:tcPr>
            <w:tcW w:w="918" w:type="dxa"/>
            <w:hideMark/>
          </w:tcPr>
          <w:p w14:paraId="60271BAD" w14:textId="77777777" w:rsidR="007000F9" w:rsidRPr="00763D0E" w:rsidRDefault="007000F9" w:rsidP="001166BB">
            <w:pPr>
              <w:keepNext/>
              <w:jc w:val="right"/>
              <w:rPr>
                <w:rFonts w:ascii="Arial" w:hAnsi="Arial" w:cs="Arial"/>
                <w:i/>
                <w:szCs w:val="24"/>
              </w:rPr>
            </w:pPr>
            <w:r w:rsidRPr="00763D0E">
              <w:rPr>
                <w:rFonts w:ascii="Arial" w:hAnsi="Arial" w:cs="Arial"/>
                <w:szCs w:val="24"/>
              </w:rPr>
              <w:t>36.1</w:t>
            </w:r>
          </w:p>
        </w:tc>
        <w:tc>
          <w:tcPr>
            <w:tcW w:w="919" w:type="dxa"/>
            <w:hideMark/>
          </w:tcPr>
          <w:p w14:paraId="575DA0ED" w14:textId="77777777" w:rsidR="007000F9" w:rsidRPr="00763D0E" w:rsidRDefault="007000F9" w:rsidP="001166BB">
            <w:pPr>
              <w:keepNext/>
              <w:jc w:val="right"/>
              <w:rPr>
                <w:rFonts w:ascii="Arial" w:hAnsi="Arial" w:cs="Arial"/>
                <w:i/>
                <w:szCs w:val="24"/>
              </w:rPr>
            </w:pPr>
            <w:r w:rsidRPr="00763D0E">
              <w:rPr>
                <w:rFonts w:ascii="Arial" w:hAnsi="Arial" w:cs="Arial"/>
                <w:szCs w:val="24"/>
              </w:rPr>
              <w:t>40.9</w:t>
            </w:r>
          </w:p>
        </w:tc>
        <w:tc>
          <w:tcPr>
            <w:tcW w:w="919" w:type="dxa"/>
            <w:hideMark/>
          </w:tcPr>
          <w:p w14:paraId="3DF37F36" w14:textId="77777777" w:rsidR="007000F9" w:rsidRPr="00763D0E" w:rsidRDefault="007000F9" w:rsidP="001166BB">
            <w:pPr>
              <w:keepNext/>
              <w:jc w:val="right"/>
              <w:rPr>
                <w:rFonts w:ascii="Arial" w:hAnsi="Arial" w:cs="Arial"/>
                <w:i/>
                <w:szCs w:val="24"/>
              </w:rPr>
            </w:pPr>
            <w:r w:rsidRPr="00763D0E">
              <w:rPr>
                <w:rFonts w:ascii="Arial" w:hAnsi="Arial" w:cs="Arial"/>
                <w:szCs w:val="24"/>
              </w:rPr>
              <w:t>42.4</w:t>
            </w:r>
          </w:p>
        </w:tc>
        <w:tc>
          <w:tcPr>
            <w:tcW w:w="1032" w:type="dxa"/>
            <w:hideMark/>
          </w:tcPr>
          <w:p w14:paraId="41640FA9" w14:textId="77777777" w:rsidR="007000F9" w:rsidRPr="00763D0E" w:rsidRDefault="007000F9" w:rsidP="001166BB">
            <w:pPr>
              <w:keepNext/>
              <w:jc w:val="right"/>
              <w:rPr>
                <w:rFonts w:ascii="Arial" w:hAnsi="Arial" w:cs="Arial"/>
                <w:i/>
                <w:szCs w:val="24"/>
              </w:rPr>
            </w:pPr>
            <w:r w:rsidRPr="00763D0E">
              <w:rPr>
                <w:rFonts w:ascii="Arial" w:hAnsi="Arial" w:cs="Arial"/>
                <w:szCs w:val="24"/>
              </w:rPr>
              <w:t>43.3</w:t>
            </w:r>
          </w:p>
        </w:tc>
        <w:tc>
          <w:tcPr>
            <w:tcW w:w="919" w:type="dxa"/>
            <w:hideMark/>
          </w:tcPr>
          <w:p w14:paraId="36B9A674" w14:textId="77777777" w:rsidR="007000F9" w:rsidRPr="00763D0E" w:rsidRDefault="007000F9" w:rsidP="001166BB">
            <w:pPr>
              <w:keepNext/>
              <w:jc w:val="right"/>
              <w:rPr>
                <w:rFonts w:ascii="Arial" w:hAnsi="Arial" w:cs="Arial"/>
                <w:i/>
                <w:szCs w:val="24"/>
              </w:rPr>
            </w:pPr>
            <w:r w:rsidRPr="00763D0E">
              <w:rPr>
                <w:rFonts w:ascii="Arial" w:hAnsi="Arial" w:cs="Arial"/>
                <w:szCs w:val="24"/>
              </w:rPr>
              <w:t>44.5</w:t>
            </w:r>
          </w:p>
        </w:tc>
        <w:tc>
          <w:tcPr>
            <w:tcW w:w="919" w:type="dxa"/>
            <w:hideMark/>
          </w:tcPr>
          <w:p w14:paraId="0B3384BD" w14:textId="77777777" w:rsidR="007000F9" w:rsidRPr="00763D0E" w:rsidRDefault="007000F9" w:rsidP="001166BB">
            <w:pPr>
              <w:keepNext/>
              <w:jc w:val="right"/>
              <w:rPr>
                <w:rFonts w:ascii="Arial" w:hAnsi="Arial" w:cs="Arial"/>
                <w:i/>
                <w:szCs w:val="24"/>
              </w:rPr>
            </w:pPr>
            <w:r w:rsidRPr="00763D0E">
              <w:rPr>
                <w:rFonts w:ascii="Arial" w:hAnsi="Arial" w:cs="Arial"/>
                <w:szCs w:val="24"/>
              </w:rPr>
              <w:t>45.7</w:t>
            </w:r>
          </w:p>
        </w:tc>
        <w:tc>
          <w:tcPr>
            <w:tcW w:w="817" w:type="dxa"/>
            <w:hideMark/>
          </w:tcPr>
          <w:p w14:paraId="5277FCE8" w14:textId="77777777" w:rsidR="007000F9" w:rsidRPr="00763D0E" w:rsidRDefault="007000F9" w:rsidP="001166BB">
            <w:pPr>
              <w:keepNext/>
              <w:jc w:val="right"/>
              <w:rPr>
                <w:rFonts w:ascii="Arial" w:hAnsi="Arial" w:cs="Arial"/>
                <w:i/>
                <w:szCs w:val="24"/>
              </w:rPr>
            </w:pPr>
            <w:r w:rsidRPr="00763D0E">
              <w:rPr>
                <w:rFonts w:ascii="Arial" w:hAnsi="Arial" w:cs="Arial"/>
                <w:szCs w:val="24"/>
              </w:rPr>
              <w:t>47.0</w:t>
            </w:r>
          </w:p>
        </w:tc>
        <w:tc>
          <w:tcPr>
            <w:tcW w:w="243" w:type="dxa"/>
            <w:shd w:val="clear" w:color="auto" w:fill="D9D9D9" w:themeFill="background1" w:themeFillShade="D9"/>
          </w:tcPr>
          <w:p w14:paraId="602E3D9A" w14:textId="77777777" w:rsidR="007000F9" w:rsidRPr="00F63383" w:rsidRDefault="007000F9" w:rsidP="001166BB">
            <w:pPr>
              <w:keepNext/>
              <w:jc w:val="right"/>
              <w:rPr>
                <w:rFonts w:ascii="Arial" w:hAnsi="Arial" w:cs="Arial"/>
                <w:b/>
                <w:bCs/>
                <w:szCs w:val="24"/>
              </w:rPr>
            </w:pPr>
            <w:r w:rsidRPr="00F63383">
              <w:rPr>
                <w:rFonts w:ascii="Arial" w:hAnsi="Arial" w:cs="Arial"/>
                <w:b/>
                <w:bCs/>
                <w:szCs w:val="24"/>
              </w:rPr>
              <w:t>$309.5</w:t>
            </w:r>
          </w:p>
        </w:tc>
      </w:tr>
      <w:tr w:rsidR="007000F9" w:rsidRPr="00763D0E" w14:paraId="4130203F" w14:textId="77777777" w:rsidTr="001166BB">
        <w:trPr>
          <w:trHeight w:val="1608"/>
          <w:jc w:val="center"/>
        </w:trPr>
        <w:tc>
          <w:tcPr>
            <w:tcW w:w="2661" w:type="dxa"/>
            <w:hideMark/>
          </w:tcPr>
          <w:p w14:paraId="76D10DC8" w14:textId="77777777" w:rsidR="007000F9" w:rsidRPr="00763D0E" w:rsidRDefault="007000F9" w:rsidP="001166BB">
            <w:pPr>
              <w:keepNext/>
              <w:rPr>
                <w:rFonts w:ascii="Arial" w:hAnsi="Arial" w:cs="Arial"/>
                <w:i/>
                <w:szCs w:val="24"/>
              </w:rPr>
            </w:pPr>
            <w:r w:rsidRPr="00763D0E">
              <w:rPr>
                <w:rFonts w:ascii="Arial" w:hAnsi="Arial" w:cs="Arial"/>
                <w:i/>
                <w:szCs w:val="24"/>
              </w:rPr>
              <w:t>Strategy 3</w:t>
            </w:r>
          </w:p>
          <w:p w14:paraId="4D0ABAED" w14:textId="77777777" w:rsidR="007000F9" w:rsidRPr="00763D0E" w:rsidRDefault="007000F9" w:rsidP="001166BB">
            <w:pPr>
              <w:keepNext/>
              <w:rPr>
                <w:rFonts w:ascii="Arial" w:hAnsi="Arial" w:cs="Arial"/>
                <w:b/>
                <w:bCs/>
                <w:i/>
                <w:szCs w:val="24"/>
              </w:rPr>
            </w:pPr>
            <w:r w:rsidRPr="00763D0E">
              <w:rPr>
                <w:rFonts w:ascii="Arial" w:hAnsi="Arial" w:cs="Arial"/>
                <w:b/>
                <w:bCs/>
                <w:szCs w:val="24"/>
              </w:rPr>
              <w:t xml:space="preserve">Behavioral Health Services Outside </w:t>
            </w:r>
            <w:r>
              <w:rPr>
                <w:rFonts w:ascii="Arial" w:hAnsi="Arial" w:cs="Arial"/>
                <w:b/>
                <w:bCs/>
                <w:szCs w:val="24"/>
              </w:rPr>
              <w:t>HtH</w:t>
            </w:r>
            <w:r w:rsidRPr="00763D0E">
              <w:rPr>
                <w:rFonts w:ascii="Arial" w:hAnsi="Arial" w:cs="Arial"/>
                <w:b/>
                <w:bCs/>
                <w:szCs w:val="24"/>
              </w:rPr>
              <w:t xml:space="preserve"> Sites</w:t>
            </w:r>
          </w:p>
        </w:tc>
        <w:tc>
          <w:tcPr>
            <w:tcW w:w="952" w:type="dxa"/>
            <w:hideMark/>
          </w:tcPr>
          <w:p w14:paraId="2FB1E6F2" w14:textId="77777777" w:rsidR="007000F9" w:rsidRPr="00763D0E" w:rsidRDefault="007000F9" w:rsidP="001166BB">
            <w:pPr>
              <w:keepNext/>
              <w:jc w:val="right"/>
              <w:rPr>
                <w:rFonts w:ascii="Arial" w:hAnsi="Arial" w:cs="Arial"/>
                <w:i/>
                <w:szCs w:val="24"/>
              </w:rPr>
            </w:pPr>
            <w:r w:rsidRPr="00763D0E">
              <w:rPr>
                <w:rFonts w:ascii="Arial" w:hAnsi="Arial" w:cs="Arial"/>
                <w:szCs w:val="24"/>
              </w:rPr>
              <w:t>0.6</w:t>
            </w:r>
          </w:p>
        </w:tc>
        <w:tc>
          <w:tcPr>
            <w:tcW w:w="918" w:type="dxa"/>
            <w:hideMark/>
          </w:tcPr>
          <w:p w14:paraId="56F5AB61" w14:textId="77777777" w:rsidR="007000F9" w:rsidRPr="00763D0E" w:rsidRDefault="007000F9" w:rsidP="001166BB">
            <w:pPr>
              <w:keepNext/>
              <w:jc w:val="right"/>
              <w:rPr>
                <w:rFonts w:ascii="Arial" w:hAnsi="Arial" w:cs="Arial"/>
                <w:i/>
                <w:szCs w:val="24"/>
              </w:rPr>
            </w:pPr>
            <w:r w:rsidRPr="00763D0E">
              <w:rPr>
                <w:rFonts w:ascii="Arial" w:hAnsi="Arial" w:cs="Arial"/>
                <w:szCs w:val="24"/>
              </w:rPr>
              <w:t>8.1</w:t>
            </w:r>
          </w:p>
        </w:tc>
        <w:tc>
          <w:tcPr>
            <w:tcW w:w="919" w:type="dxa"/>
            <w:hideMark/>
          </w:tcPr>
          <w:p w14:paraId="29BC7D6F" w14:textId="77777777" w:rsidR="007000F9" w:rsidRPr="00763D0E" w:rsidRDefault="007000F9" w:rsidP="001166BB">
            <w:pPr>
              <w:keepNext/>
              <w:jc w:val="right"/>
              <w:rPr>
                <w:rFonts w:ascii="Arial" w:hAnsi="Arial" w:cs="Arial"/>
                <w:i/>
                <w:szCs w:val="24"/>
              </w:rPr>
            </w:pPr>
            <w:r w:rsidRPr="00763D0E">
              <w:rPr>
                <w:rFonts w:ascii="Arial" w:hAnsi="Arial" w:cs="Arial"/>
                <w:szCs w:val="24"/>
              </w:rPr>
              <w:t>8.5</w:t>
            </w:r>
          </w:p>
        </w:tc>
        <w:tc>
          <w:tcPr>
            <w:tcW w:w="919" w:type="dxa"/>
            <w:hideMark/>
          </w:tcPr>
          <w:p w14:paraId="3F24D2F5" w14:textId="77777777" w:rsidR="007000F9" w:rsidRPr="00763D0E" w:rsidRDefault="007000F9" w:rsidP="001166BB">
            <w:pPr>
              <w:keepNext/>
              <w:jc w:val="right"/>
              <w:rPr>
                <w:rFonts w:ascii="Arial" w:hAnsi="Arial" w:cs="Arial"/>
                <w:i/>
                <w:szCs w:val="24"/>
              </w:rPr>
            </w:pPr>
            <w:r w:rsidRPr="00763D0E">
              <w:rPr>
                <w:rFonts w:ascii="Arial" w:hAnsi="Arial" w:cs="Arial"/>
                <w:szCs w:val="24"/>
              </w:rPr>
              <w:t>9.0</w:t>
            </w:r>
          </w:p>
        </w:tc>
        <w:tc>
          <w:tcPr>
            <w:tcW w:w="1032" w:type="dxa"/>
            <w:hideMark/>
          </w:tcPr>
          <w:p w14:paraId="02BDCD5C" w14:textId="77777777" w:rsidR="007000F9" w:rsidRPr="00763D0E" w:rsidRDefault="007000F9" w:rsidP="001166BB">
            <w:pPr>
              <w:keepNext/>
              <w:jc w:val="right"/>
              <w:rPr>
                <w:rFonts w:ascii="Arial" w:hAnsi="Arial" w:cs="Arial"/>
                <w:i/>
                <w:szCs w:val="24"/>
              </w:rPr>
            </w:pPr>
            <w:r w:rsidRPr="00763D0E">
              <w:rPr>
                <w:rFonts w:ascii="Arial" w:hAnsi="Arial" w:cs="Arial"/>
                <w:szCs w:val="24"/>
              </w:rPr>
              <w:t>9.5</w:t>
            </w:r>
          </w:p>
        </w:tc>
        <w:tc>
          <w:tcPr>
            <w:tcW w:w="919" w:type="dxa"/>
            <w:hideMark/>
          </w:tcPr>
          <w:p w14:paraId="467BF96B" w14:textId="77777777" w:rsidR="007000F9" w:rsidRPr="00763D0E" w:rsidRDefault="007000F9" w:rsidP="001166BB">
            <w:pPr>
              <w:keepNext/>
              <w:jc w:val="right"/>
              <w:rPr>
                <w:rFonts w:ascii="Arial" w:hAnsi="Arial" w:cs="Arial"/>
                <w:i/>
                <w:szCs w:val="24"/>
              </w:rPr>
            </w:pPr>
            <w:r w:rsidRPr="00763D0E">
              <w:rPr>
                <w:rFonts w:ascii="Arial" w:hAnsi="Arial" w:cs="Arial"/>
                <w:szCs w:val="24"/>
              </w:rPr>
              <w:t>10.0</w:t>
            </w:r>
          </w:p>
        </w:tc>
        <w:tc>
          <w:tcPr>
            <w:tcW w:w="919" w:type="dxa"/>
            <w:hideMark/>
          </w:tcPr>
          <w:p w14:paraId="1D1C6427" w14:textId="77777777" w:rsidR="007000F9" w:rsidRPr="00763D0E" w:rsidRDefault="007000F9" w:rsidP="001166BB">
            <w:pPr>
              <w:keepNext/>
              <w:jc w:val="right"/>
              <w:rPr>
                <w:rFonts w:ascii="Arial" w:hAnsi="Arial" w:cs="Arial"/>
                <w:i/>
                <w:szCs w:val="24"/>
              </w:rPr>
            </w:pPr>
            <w:r w:rsidRPr="00763D0E">
              <w:rPr>
                <w:rFonts w:ascii="Arial" w:hAnsi="Arial" w:cs="Arial"/>
                <w:szCs w:val="24"/>
              </w:rPr>
              <w:t>10.5</w:t>
            </w:r>
          </w:p>
        </w:tc>
        <w:tc>
          <w:tcPr>
            <w:tcW w:w="817" w:type="dxa"/>
            <w:hideMark/>
          </w:tcPr>
          <w:p w14:paraId="653AF452" w14:textId="77777777" w:rsidR="007000F9" w:rsidRPr="00763D0E" w:rsidRDefault="007000F9" w:rsidP="001166BB">
            <w:pPr>
              <w:keepNext/>
              <w:jc w:val="right"/>
              <w:rPr>
                <w:rFonts w:ascii="Arial" w:hAnsi="Arial" w:cs="Arial"/>
                <w:i/>
                <w:szCs w:val="24"/>
              </w:rPr>
            </w:pPr>
            <w:r w:rsidRPr="00763D0E">
              <w:rPr>
                <w:rFonts w:ascii="Arial" w:hAnsi="Arial" w:cs="Arial"/>
                <w:szCs w:val="24"/>
              </w:rPr>
              <w:t>11.0</w:t>
            </w:r>
          </w:p>
        </w:tc>
        <w:tc>
          <w:tcPr>
            <w:tcW w:w="243" w:type="dxa"/>
            <w:shd w:val="clear" w:color="auto" w:fill="D9D9D9" w:themeFill="background1" w:themeFillShade="D9"/>
          </w:tcPr>
          <w:p w14:paraId="21BBEAEC" w14:textId="77777777" w:rsidR="007000F9" w:rsidRPr="00F63383" w:rsidRDefault="007000F9" w:rsidP="001166BB">
            <w:pPr>
              <w:keepNext/>
              <w:jc w:val="right"/>
              <w:rPr>
                <w:rFonts w:ascii="Arial" w:hAnsi="Arial" w:cs="Arial"/>
                <w:b/>
                <w:bCs/>
                <w:szCs w:val="24"/>
              </w:rPr>
            </w:pPr>
            <w:r w:rsidRPr="00F63383">
              <w:rPr>
                <w:rFonts w:ascii="Arial" w:hAnsi="Arial" w:cs="Arial"/>
                <w:b/>
                <w:bCs/>
                <w:szCs w:val="24"/>
              </w:rPr>
              <w:t>$67.2</w:t>
            </w:r>
          </w:p>
        </w:tc>
      </w:tr>
      <w:tr w:rsidR="007000F9" w:rsidRPr="00763D0E" w14:paraId="4638D37B" w14:textId="77777777" w:rsidTr="001166BB">
        <w:trPr>
          <w:trHeight w:val="1055"/>
          <w:jc w:val="center"/>
        </w:trPr>
        <w:tc>
          <w:tcPr>
            <w:tcW w:w="2661" w:type="dxa"/>
            <w:hideMark/>
          </w:tcPr>
          <w:p w14:paraId="6E51F9C9" w14:textId="77777777" w:rsidR="007000F9" w:rsidRPr="00763D0E" w:rsidRDefault="007000F9" w:rsidP="001166BB">
            <w:pPr>
              <w:keepNext/>
              <w:rPr>
                <w:rFonts w:ascii="Arial" w:hAnsi="Arial" w:cs="Arial"/>
                <w:i/>
                <w:szCs w:val="24"/>
              </w:rPr>
            </w:pPr>
            <w:r w:rsidRPr="00763D0E">
              <w:rPr>
                <w:rFonts w:ascii="Arial" w:hAnsi="Arial" w:cs="Arial"/>
                <w:i/>
                <w:szCs w:val="24"/>
              </w:rPr>
              <w:t>Strategy 4</w:t>
            </w:r>
          </w:p>
          <w:p w14:paraId="59E8793F" w14:textId="77777777" w:rsidR="007000F9" w:rsidRPr="00763D0E" w:rsidRDefault="007000F9" w:rsidP="001166BB">
            <w:pPr>
              <w:keepNext/>
              <w:rPr>
                <w:rFonts w:ascii="Arial" w:hAnsi="Arial" w:cs="Arial"/>
                <w:b/>
                <w:bCs/>
                <w:i/>
                <w:szCs w:val="24"/>
              </w:rPr>
            </w:pPr>
            <w:r w:rsidRPr="00763D0E">
              <w:rPr>
                <w:rFonts w:ascii="Arial" w:eastAsia="Courier New" w:hAnsi="Arial" w:cs="Arial"/>
                <w:b/>
                <w:bCs/>
                <w:szCs w:val="24"/>
              </w:rPr>
              <w:t>Capacity Building Collaborative</w:t>
            </w:r>
          </w:p>
        </w:tc>
        <w:tc>
          <w:tcPr>
            <w:tcW w:w="952" w:type="dxa"/>
            <w:hideMark/>
          </w:tcPr>
          <w:p w14:paraId="46804F03"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8" w:type="dxa"/>
            <w:hideMark/>
          </w:tcPr>
          <w:p w14:paraId="4363F9D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919" w:type="dxa"/>
            <w:hideMark/>
          </w:tcPr>
          <w:p w14:paraId="6D75499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919" w:type="dxa"/>
            <w:hideMark/>
          </w:tcPr>
          <w:p w14:paraId="4795B399"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1032" w:type="dxa"/>
            <w:hideMark/>
          </w:tcPr>
          <w:p w14:paraId="5517CAD3"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0.4</w:t>
            </w:r>
          </w:p>
        </w:tc>
        <w:tc>
          <w:tcPr>
            <w:tcW w:w="919" w:type="dxa"/>
            <w:hideMark/>
          </w:tcPr>
          <w:p w14:paraId="0CCCDD1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0.5</w:t>
            </w:r>
          </w:p>
        </w:tc>
        <w:tc>
          <w:tcPr>
            <w:tcW w:w="919" w:type="dxa"/>
            <w:hideMark/>
          </w:tcPr>
          <w:p w14:paraId="2A4B80E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0.5</w:t>
            </w:r>
          </w:p>
        </w:tc>
        <w:tc>
          <w:tcPr>
            <w:tcW w:w="817" w:type="dxa"/>
            <w:hideMark/>
          </w:tcPr>
          <w:p w14:paraId="2D9D99FA"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0.5</w:t>
            </w:r>
          </w:p>
        </w:tc>
        <w:tc>
          <w:tcPr>
            <w:tcW w:w="243" w:type="dxa"/>
            <w:shd w:val="clear" w:color="auto" w:fill="D9D9D9" w:themeFill="background1" w:themeFillShade="D9"/>
          </w:tcPr>
          <w:p w14:paraId="1228E729"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$3.70</w:t>
            </w:r>
          </w:p>
        </w:tc>
      </w:tr>
      <w:tr w:rsidR="007000F9" w:rsidRPr="00763D0E" w14:paraId="55A877B3" w14:textId="77777777" w:rsidTr="001166BB">
        <w:trPr>
          <w:trHeight w:val="1331"/>
          <w:jc w:val="center"/>
        </w:trPr>
        <w:tc>
          <w:tcPr>
            <w:tcW w:w="2661" w:type="dxa"/>
            <w:hideMark/>
          </w:tcPr>
          <w:p w14:paraId="0D15E962" w14:textId="77777777" w:rsidR="007000F9" w:rsidRPr="00763D0E" w:rsidRDefault="007000F9" w:rsidP="001166BB">
            <w:pPr>
              <w:keepNext/>
              <w:rPr>
                <w:rFonts w:ascii="Arial" w:hAnsi="Arial" w:cs="Arial"/>
                <w:i/>
                <w:szCs w:val="24"/>
              </w:rPr>
            </w:pPr>
            <w:r w:rsidRPr="00763D0E">
              <w:rPr>
                <w:rFonts w:ascii="Arial" w:hAnsi="Arial" w:cs="Arial"/>
                <w:i/>
                <w:szCs w:val="24"/>
              </w:rPr>
              <w:t>Strategy 5</w:t>
            </w:r>
          </w:p>
          <w:p w14:paraId="1CA703F5" w14:textId="77777777" w:rsidR="007000F9" w:rsidRPr="00763D0E" w:rsidRDefault="007000F9" w:rsidP="001166BB">
            <w:pPr>
              <w:keepNext/>
              <w:rPr>
                <w:rFonts w:ascii="Arial" w:hAnsi="Arial" w:cs="Arial"/>
                <w:b/>
                <w:bCs/>
                <w:i/>
                <w:szCs w:val="24"/>
              </w:rPr>
            </w:pPr>
            <w:r w:rsidRPr="00763D0E">
              <w:rPr>
                <w:rFonts w:ascii="Arial" w:eastAsia="Courier New" w:hAnsi="Arial" w:cs="Arial"/>
                <w:b/>
                <w:bCs/>
                <w:szCs w:val="24"/>
              </w:rPr>
              <w:t>Evaluation and Performance Measurement</w:t>
            </w:r>
          </w:p>
        </w:tc>
        <w:tc>
          <w:tcPr>
            <w:tcW w:w="952" w:type="dxa"/>
            <w:hideMark/>
          </w:tcPr>
          <w:p w14:paraId="4E4FA00D"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0.9</w:t>
            </w:r>
          </w:p>
        </w:tc>
        <w:tc>
          <w:tcPr>
            <w:tcW w:w="918" w:type="dxa"/>
            <w:hideMark/>
          </w:tcPr>
          <w:p w14:paraId="5FBBE897"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9" w:type="dxa"/>
            <w:hideMark/>
          </w:tcPr>
          <w:p w14:paraId="46D6C8D7"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9" w:type="dxa"/>
            <w:hideMark/>
          </w:tcPr>
          <w:p w14:paraId="38E3ADB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1032" w:type="dxa"/>
            <w:hideMark/>
          </w:tcPr>
          <w:p w14:paraId="118CBFA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0.6</w:t>
            </w:r>
          </w:p>
        </w:tc>
        <w:tc>
          <w:tcPr>
            <w:tcW w:w="919" w:type="dxa"/>
            <w:hideMark/>
          </w:tcPr>
          <w:p w14:paraId="5FA1C9B4"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0.7</w:t>
            </w:r>
          </w:p>
        </w:tc>
        <w:tc>
          <w:tcPr>
            <w:tcW w:w="919" w:type="dxa"/>
            <w:hideMark/>
          </w:tcPr>
          <w:p w14:paraId="5CC3DC46"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0.7</w:t>
            </w:r>
          </w:p>
        </w:tc>
        <w:tc>
          <w:tcPr>
            <w:tcW w:w="817" w:type="dxa"/>
            <w:hideMark/>
          </w:tcPr>
          <w:p w14:paraId="60E65A1F"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0.8</w:t>
            </w:r>
          </w:p>
        </w:tc>
        <w:tc>
          <w:tcPr>
            <w:tcW w:w="243" w:type="dxa"/>
            <w:shd w:val="clear" w:color="auto" w:fill="D9D9D9" w:themeFill="background1" w:themeFillShade="D9"/>
          </w:tcPr>
          <w:p w14:paraId="001C384C"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$5.50</w:t>
            </w:r>
          </w:p>
        </w:tc>
      </w:tr>
      <w:tr w:rsidR="007000F9" w:rsidRPr="00763D0E" w14:paraId="6DCE51B9" w14:textId="77777777" w:rsidTr="001166BB">
        <w:trPr>
          <w:trHeight w:val="1331"/>
          <w:jc w:val="center"/>
        </w:trPr>
        <w:tc>
          <w:tcPr>
            <w:tcW w:w="2661" w:type="dxa"/>
            <w:hideMark/>
          </w:tcPr>
          <w:p w14:paraId="3B0501CB" w14:textId="77777777" w:rsidR="007000F9" w:rsidRPr="00763D0E" w:rsidRDefault="007000F9" w:rsidP="001166BB">
            <w:pPr>
              <w:keepNext/>
              <w:rPr>
                <w:rFonts w:ascii="Arial" w:hAnsi="Arial" w:cs="Arial"/>
                <w:i/>
                <w:szCs w:val="24"/>
              </w:rPr>
            </w:pPr>
            <w:r w:rsidRPr="00763D0E">
              <w:rPr>
                <w:rFonts w:ascii="Arial" w:hAnsi="Arial" w:cs="Arial"/>
                <w:i/>
                <w:szCs w:val="24"/>
              </w:rPr>
              <w:t>Strategy 6</w:t>
            </w:r>
          </w:p>
          <w:p w14:paraId="4A22A2F6" w14:textId="77777777" w:rsidR="007000F9" w:rsidRPr="00763D0E" w:rsidRDefault="007000F9" w:rsidP="001166BB">
            <w:pPr>
              <w:keepNext/>
              <w:rPr>
                <w:rFonts w:ascii="Arial" w:hAnsi="Arial" w:cs="Arial"/>
                <w:b/>
                <w:bCs/>
                <w:i/>
                <w:szCs w:val="24"/>
              </w:rPr>
            </w:pPr>
            <w:r w:rsidRPr="00763D0E">
              <w:rPr>
                <w:rFonts w:ascii="Arial" w:eastAsia="Courier New" w:hAnsi="Arial" w:cs="Arial"/>
                <w:b/>
                <w:bCs/>
                <w:szCs w:val="24"/>
              </w:rPr>
              <w:t>Future Acquisition of Additional Facilities</w:t>
            </w:r>
          </w:p>
        </w:tc>
        <w:tc>
          <w:tcPr>
            <w:tcW w:w="952" w:type="dxa"/>
            <w:hideMark/>
          </w:tcPr>
          <w:p w14:paraId="2DD2858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8" w:type="dxa"/>
            <w:hideMark/>
          </w:tcPr>
          <w:p w14:paraId="0059041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71FF298A"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64E99A01"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1032" w:type="dxa"/>
            <w:hideMark/>
          </w:tcPr>
          <w:p w14:paraId="70C5FECA"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76CC70D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1C11997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817" w:type="dxa"/>
            <w:hideMark/>
          </w:tcPr>
          <w:p w14:paraId="6A39F87F"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243" w:type="dxa"/>
            <w:shd w:val="clear" w:color="auto" w:fill="D9D9D9" w:themeFill="background1" w:themeFillShade="D9"/>
          </w:tcPr>
          <w:p w14:paraId="4CFF00CB"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$0.0</w:t>
            </w:r>
          </w:p>
        </w:tc>
      </w:tr>
      <w:tr w:rsidR="007000F9" w:rsidRPr="00763D0E" w14:paraId="3FEB89C2" w14:textId="77777777" w:rsidTr="001166BB">
        <w:trPr>
          <w:trHeight w:val="536"/>
          <w:jc w:val="center"/>
        </w:trPr>
        <w:tc>
          <w:tcPr>
            <w:tcW w:w="2661" w:type="dxa"/>
            <w:hideMark/>
          </w:tcPr>
          <w:p w14:paraId="1F220837" w14:textId="77777777" w:rsidR="007000F9" w:rsidRPr="00763D0E" w:rsidRDefault="007000F9" w:rsidP="001166BB">
            <w:pPr>
              <w:keepNext/>
              <w:rPr>
                <w:rFonts w:ascii="Arial" w:hAnsi="Arial" w:cs="Arial"/>
                <w:i/>
                <w:szCs w:val="24"/>
              </w:rPr>
            </w:pPr>
            <w:r w:rsidRPr="00763D0E">
              <w:rPr>
                <w:rFonts w:ascii="Arial" w:hAnsi="Arial" w:cs="Arial"/>
                <w:i/>
                <w:szCs w:val="24"/>
              </w:rPr>
              <w:t>Initiative Administration</w:t>
            </w:r>
          </w:p>
        </w:tc>
        <w:tc>
          <w:tcPr>
            <w:tcW w:w="952" w:type="dxa"/>
            <w:vAlign w:val="bottom"/>
            <w:hideMark/>
          </w:tcPr>
          <w:p w14:paraId="77A1EFE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2.9</w:t>
            </w:r>
          </w:p>
        </w:tc>
        <w:tc>
          <w:tcPr>
            <w:tcW w:w="918" w:type="dxa"/>
            <w:vAlign w:val="bottom"/>
            <w:hideMark/>
          </w:tcPr>
          <w:p w14:paraId="1A7E8861"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1.9</w:t>
            </w:r>
          </w:p>
        </w:tc>
        <w:tc>
          <w:tcPr>
            <w:tcW w:w="919" w:type="dxa"/>
            <w:vAlign w:val="bottom"/>
            <w:hideMark/>
          </w:tcPr>
          <w:p w14:paraId="0342C217"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2.0</w:t>
            </w:r>
          </w:p>
        </w:tc>
        <w:tc>
          <w:tcPr>
            <w:tcW w:w="919" w:type="dxa"/>
            <w:vAlign w:val="bottom"/>
            <w:hideMark/>
          </w:tcPr>
          <w:p w14:paraId="331C9F7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2.0</w:t>
            </w:r>
          </w:p>
        </w:tc>
        <w:tc>
          <w:tcPr>
            <w:tcW w:w="1032" w:type="dxa"/>
            <w:vAlign w:val="bottom"/>
            <w:hideMark/>
          </w:tcPr>
          <w:p w14:paraId="6C1E20B3"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2.2</w:t>
            </w:r>
          </w:p>
        </w:tc>
        <w:tc>
          <w:tcPr>
            <w:tcW w:w="919" w:type="dxa"/>
            <w:vAlign w:val="bottom"/>
            <w:hideMark/>
          </w:tcPr>
          <w:p w14:paraId="5AD951A9"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2.3</w:t>
            </w:r>
          </w:p>
        </w:tc>
        <w:tc>
          <w:tcPr>
            <w:tcW w:w="919" w:type="dxa"/>
            <w:vAlign w:val="bottom"/>
            <w:hideMark/>
          </w:tcPr>
          <w:p w14:paraId="5E1EAA1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2.5</w:t>
            </w:r>
          </w:p>
        </w:tc>
        <w:tc>
          <w:tcPr>
            <w:tcW w:w="817" w:type="dxa"/>
            <w:vAlign w:val="bottom"/>
            <w:hideMark/>
          </w:tcPr>
          <w:p w14:paraId="5971260D"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2.7</w:t>
            </w:r>
          </w:p>
        </w:tc>
        <w:tc>
          <w:tcPr>
            <w:tcW w:w="243" w:type="dxa"/>
            <w:shd w:val="clear" w:color="auto" w:fill="D9D9D9" w:themeFill="background1" w:themeFillShade="D9"/>
          </w:tcPr>
          <w:p w14:paraId="64CDA2CD"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$18.50</w:t>
            </w:r>
          </w:p>
        </w:tc>
      </w:tr>
      <w:tr w:rsidR="007000F9" w:rsidRPr="00763D0E" w14:paraId="6945E37B" w14:textId="77777777" w:rsidTr="001166BB">
        <w:trPr>
          <w:trHeight w:val="519"/>
          <w:jc w:val="center"/>
        </w:trPr>
        <w:tc>
          <w:tcPr>
            <w:tcW w:w="2661" w:type="dxa"/>
            <w:hideMark/>
          </w:tcPr>
          <w:p w14:paraId="4A10B7E9" w14:textId="77777777" w:rsidR="007000F9" w:rsidRPr="00763D0E" w:rsidRDefault="007000F9" w:rsidP="001166BB">
            <w:pPr>
              <w:keepNext/>
              <w:rPr>
                <w:rFonts w:ascii="Arial" w:hAnsi="Arial" w:cs="Arial"/>
                <w:i/>
                <w:szCs w:val="24"/>
              </w:rPr>
            </w:pPr>
            <w:r w:rsidRPr="00763D0E">
              <w:rPr>
                <w:rFonts w:ascii="Arial" w:hAnsi="Arial" w:cs="Arial"/>
                <w:i/>
                <w:szCs w:val="24"/>
              </w:rPr>
              <w:t>Bond Financing Cost</w:t>
            </w:r>
          </w:p>
        </w:tc>
        <w:tc>
          <w:tcPr>
            <w:tcW w:w="952" w:type="dxa"/>
            <w:vAlign w:val="bottom"/>
            <w:hideMark/>
          </w:tcPr>
          <w:p w14:paraId="7E6C36B7"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0.6</w:t>
            </w:r>
          </w:p>
        </w:tc>
        <w:tc>
          <w:tcPr>
            <w:tcW w:w="918" w:type="dxa"/>
            <w:vAlign w:val="bottom"/>
            <w:hideMark/>
          </w:tcPr>
          <w:p w14:paraId="187BF8DA"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16.8</w:t>
            </w:r>
          </w:p>
        </w:tc>
        <w:tc>
          <w:tcPr>
            <w:tcW w:w="919" w:type="dxa"/>
            <w:vAlign w:val="bottom"/>
            <w:hideMark/>
          </w:tcPr>
          <w:p w14:paraId="67068C19"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16.7</w:t>
            </w:r>
          </w:p>
        </w:tc>
        <w:tc>
          <w:tcPr>
            <w:tcW w:w="919" w:type="dxa"/>
            <w:vAlign w:val="bottom"/>
            <w:hideMark/>
          </w:tcPr>
          <w:p w14:paraId="0139912C"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20.6</w:t>
            </w:r>
          </w:p>
        </w:tc>
        <w:tc>
          <w:tcPr>
            <w:tcW w:w="1032" w:type="dxa"/>
            <w:vAlign w:val="bottom"/>
            <w:hideMark/>
          </w:tcPr>
          <w:p w14:paraId="188302A7"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20.6</w:t>
            </w:r>
          </w:p>
        </w:tc>
        <w:tc>
          <w:tcPr>
            <w:tcW w:w="919" w:type="dxa"/>
            <w:vAlign w:val="bottom"/>
            <w:hideMark/>
          </w:tcPr>
          <w:p w14:paraId="750986F3"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20.6</w:t>
            </w:r>
          </w:p>
        </w:tc>
        <w:tc>
          <w:tcPr>
            <w:tcW w:w="919" w:type="dxa"/>
            <w:vAlign w:val="bottom"/>
            <w:hideMark/>
          </w:tcPr>
          <w:p w14:paraId="098B0C28"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20.5</w:t>
            </w:r>
          </w:p>
        </w:tc>
        <w:tc>
          <w:tcPr>
            <w:tcW w:w="817" w:type="dxa"/>
            <w:vAlign w:val="bottom"/>
            <w:hideMark/>
          </w:tcPr>
          <w:p w14:paraId="365E1DBE" w14:textId="77777777" w:rsidR="007000F9" w:rsidRPr="00763D0E" w:rsidRDefault="007000F9" w:rsidP="001166BB">
            <w:pPr>
              <w:keepNext/>
              <w:jc w:val="right"/>
              <w:rPr>
                <w:rFonts w:ascii="Arial" w:eastAsia="Courier New" w:hAnsi="Arial" w:cs="Arial"/>
                <w:szCs w:val="24"/>
              </w:rPr>
            </w:pPr>
            <w:r w:rsidRPr="00763D0E">
              <w:rPr>
                <w:rFonts w:ascii="Arial" w:eastAsia="Courier New" w:hAnsi="Arial" w:cs="Arial"/>
                <w:szCs w:val="24"/>
              </w:rPr>
              <w:t>20.5</w:t>
            </w:r>
          </w:p>
        </w:tc>
        <w:tc>
          <w:tcPr>
            <w:tcW w:w="243" w:type="dxa"/>
            <w:shd w:val="clear" w:color="auto" w:fill="D9D9D9" w:themeFill="background1" w:themeFillShade="D9"/>
          </w:tcPr>
          <w:p w14:paraId="53A7D93D"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$136.90</w:t>
            </w:r>
          </w:p>
        </w:tc>
      </w:tr>
      <w:tr w:rsidR="007000F9" w:rsidRPr="00763D0E" w14:paraId="0C743427" w14:textId="77777777" w:rsidTr="001166BB">
        <w:trPr>
          <w:trHeight w:val="259"/>
          <w:jc w:val="center"/>
        </w:trPr>
        <w:tc>
          <w:tcPr>
            <w:tcW w:w="2661" w:type="dxa"/>
            <w:hideMark/>
          </w:tcPr>
          <w:p w14:paraId="3934DC39" w14:textId="77777777" w:rsidR="007000F9" w:rsidRPr="00763D0E" w:rsidRDefault="007000F9" w:rsidP="001166BB">
            <w:pPr>
              <w:keepNext/>
              <w:rPr>
                <w:rFonts w:ascii="Arial" w:hAnsi="Arial" w:cs="Arial"/>
                <w:i/>
                <w:szCs w:val="24"/>
              </w:rPr>
            </w:pPr>
            <w:r>
              <w:rPr>
                <w:rFonts w:ascii="Arial" w:hAnsi="Arial" w:cs="Arial"/>
                <w:i/>
                <w:szCs w:val="24"/>
              </w:rPr>
              <w:t>HtH</w:t>
            </w:r>
            <w:r w:rsidRPr="00763D0E">
              <w:rPr>
                <w:rFonts w:ascii="Arial" w:hAnsi="Arial" w:cs="Arial"/>
                <w:i/>
                <w:szCs w:val="24"/>
              </w:rPr>
              <w:t xml:space="preserve"> Reserve</w:t>
            </w:r>
            <w:r w:rsidRPr="00763D0E">
              <w:rPr>
                <w:rStyle w:val="FootnoteReference"/>
                <w:rFonts w:ascii="Arial" w:eastAsia="Courier New" w:hAnsi="Arial" w:cs="Arial"/>
                <w:szCs w:val="24"/>
              </w:rPr>
              <w:footnoteReference w:id="39"/>
            </w:r>
          </w:p>
        </w:tc>
        <w:tc>
          <w:tcPr>
            <w:tcW w:w="952" w:type="dxa"/>
            <w:vAlign w:val="bottom"/>
            <w:hideMark/>
          </w:tcPr>
          <w:p w14:paraId="3BF137D2"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18.3</w:t>
            </w:r>
          </w:p>
        </w:tc>
        <w:tc>
          <w:tcPr>
            <w:tcW w:w="918" w:type="dxa"/>
            <w:hideMark/>
          </w:tcPr>
          <w:p w14:paraId="2FF74736"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3C73A6E1"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3BD5CB6C"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1032" w:type="dxa"/>
            <w:hideMark/>
          </w:tcPr>
          <w:p w14:paraId="13E9C53B"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0A40177E"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919" w:type="dxa"/>
            <w:hideMark/>
          </w:tcPr>
          <w:p w14:paraId="57D1F2F2"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817" w:type="dxa"/>
            <w:hideMark/>
          </w:tcPr>
          <w:p w14:paraId="2C621445" w14:textId="77777777" w:rsidR="007000F9" w:rsidRPr="00763D0E" w:rsidRDefault="007000F9" w:rsidP="001166BB">
            <w:pPr>
              <w:keepNext/>
              <w:jc w:val="right"/>
              <w:rPr>
                <w:rFonts w:ascii="Arial" w:hAnsi="Arial" w:cs="Arial"/>
                <w:szCs w:val="24"/>
              </w:rPr>
            </w:pPr>
            <w:r w:rsidRPr="00763D0E">
              <w:rPr>
                <w:rFonts w:ascii="Arial" w:eastAsia="Courier New" w:hAnsi="Arial" w:cs="Arial"/>
                <w:szCs w:val="24"/>
              </w:rPr>
              <w:t>0.0</w:t>
            </w:r>
          </w:p>
        </w:tc>
        <w:tc>
          <w:tcPr>
            <w:tcW w:w="243" w:type="dxa"/>
            <w:shd w:val="clear" w:color="auto" w:fill="D9D9D9" w:themeFill="background1" w:themeFillShade="D9"/>
          </w:tcPr>
          <w:p w14:paraId="49B05330" w14:textId="77777777" w:rsidR="007000F9" w:rsidRPr="00F63383" w:rsidRDefault="007000F9" w:rsidP="001166BB">
            <w:pPr>
              <w:keepNext/>
              <w:jc w:val="right"/>
              <w:rPr>
                <w:rFonts w:ascii="Arial" w:eastAsia="Courier New" w:hAnsi="Arial" w:cs="Arial"/>
                <w:b/>
                <w:bCs/>
                <w:szCs w:val="24"/>
              </w:rPr>
            </w:pPr>
            <w:r w:rsidRPr="00F63383">
              <w:rPr>
                <w:rFonts w:ascii="Arial" w:eastAsia="Courier New" w:hAnsi="Arial" w:cs="Arial"/>
                <w:b/>
                <w:bCs/>
                <w:szCs w:val="24"/>
              </w:rPr>
              <w:t>$18.30</w:t>
            </w:r>
          </w:p>
        </w:tc>
      </w:tr>
      <w:tr w:rsidR="007000F9" w:rsidRPr="00763D0E" w14:paraId="69ECC84F" w14:textId="77777777" w:rsidTr="001166BB">
        <w:trPr>
          <w:trHeight w:val="519"/>
          <w:jc w:val="center"/>
        </w:trPr>
        <w:tc>
          <w:tcPr>
            <w:tcW w:w="2661" w:type="dxa"/>
            <w:shd w:val="clear" w:color="auto" w:fill="000000" w:themeFill="text1"/>
            <w:hideMark/>
          </w:tcPr>
          <w:p w14:paraId="61017C3B" w14:textId="77777777" w:rsidR="007000F9" w:rsidRPr="00763D0E" w:rsidRDefault="007000F9" w:rsidP="001166BB">
            <w:pPr>
              <w:keepNext/>
              <w:rPr>
                <w:rFonts w:ascii="Arial" w:hAnsi="Arial" w:cs="Arial"/>
                <w:b/>
                <w:bCs/>
                <w:i/>
                <w:szCs w:val="24"/>
              </w:rPr>
            </w:pPr>
            <w:r w:rsidRPr="00763D0E">
              <w:rPr>
                <w:rFonts w:ascii="Arial" w:hAnsi="Arial" w:cs="Arial"/>
                <w:b/>
                <w:bCs/>
                <w:i/>
                <w:szCs w:val="24"/>
              </w:rPr>
              <w:t>Total Annual Expenditure</w:t>
            </w:r>
          </w:p>
        </w:tc>
        <w:tc>
          <w:tcPr>
            <w:tcW w:w="952" w:type="dxa"/>
            <w:shd w:val="clear" w:color="auto" w:fill="000000" w:themeFill="text1"/>
            <w:vAlign w:val="bottom"/>
            <w:hideMark/>
          </w:tcPr>
          <w:p w14:paraId="1107C8E4"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$297.8</w:t>
            </w:r>
          </w:p>
        </w:tc>
        <w:tc>
          <w:tcPr>
            <w:tcW w:w="918" w:type="dxa"/>
            <w:shd w:val="clear" w:color="auto" w:fill="000000" w:themeFill="text1"/>
            <w:vAlign w:val="bottom"/>
            <w:hideMark/>
          </w:tcPr>
          <w:p w14:paraId="72B2840E"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$64.</w:t>
            </w:r>
            <w:r>
              <w:rPr>
                <w:rFonts w:ascii="Arial" w:eastAsia="Courier New" w:hAnsi="Arial" w:cs="Arial"/>
                <w:b/>
                <w:bCs/>
                <w:szCs w:val="24"/>
              </w:rPr>
              <w:t>9</w:t>
            </w:r>
          </w:p>
        </w:tc>
        <w:tc>
          <w:tcPr>
            <w:tcW w:w="919" w:type="dxa"/>
            <w:shd w:val="clear" w:color="auto" w:fill="000000" w:themeFill="text1"/>
            <w:vAlign w:val="bottom"/>
            <w:hideMark/>
          </w:tcPr>
          <w:p w14:paraId="4580F3E3"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$70.</w:t>
            </w:r>
            <w:r>
              <w:rPr>
                <w:rFonts w:ascii="Arial" w:eastAsia="Courier New" w:hAnsi="Arial" w:cs="Arial"/>
                <w:b/>
                <w:bCs/>
                <w:szCs w:val="24"/>
              </w:rPr>
              <w:t>1</w:t>
            </w:r>
          </w:p>
        </w:tc>
        <w:tc>
          <w:tcPr>
            <w:tcW w:w="919" w:type="dxa"/>
            <w:shd w:val="clear" w:color="auto" w:fill="000000" w:themeFill="text1"/>
            <w:vAlign w:val="bottom"/>
            <w:hideMark/>
          </w:tcPr>
          <w:p w14:paraId="7F192D65"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$92.</w:t>
            </w:r>
            <w:r>
              <w:rPr>
                <w:rFonts w:ascii="Arial" w:eastAsia="Courier New" w:hAnsi="Arial" w:cs="Arial"/>
                <w:b/>
                <w:bCs/>
                <w:szCs w:val="24"/>
              </w:rPr>
              <w:t>1</w:t>
            </w:r>
          </w:p>
        </w:tc>
        <w:tc>
          <w:tcPr>
            <w:tcW w:w="1032" w:type="dxa"/>
            <w:shd w:val="clear" w:color="auto" w:fill="000000" w:themeFill="text1"/>
            <w:vAlign w:val="bottom"/>
            <w:hideMark/>
          </w:tcPr>
          <w:p w14:paraId="03EF650B"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$93.</w:t>
            </w:r>
            <w:r>
              <w:rPr>
                <w:rFonts w:ascii="Arial" w:eastAsia="Courier New" w:hAnsi="Arial" w:cs="Arial"/>
                <w:b/>
                <w:bCs/>
                <w:szCs w:val="24"/>
              </w:rPr>
              <w:t>7</w:t>
            </w:r>
          </w:p>
        </w:tc>
        <w:tc>
          <w:tcPr>
            <w:tcW w:w="919" w:type="dxa"/>
            <w:shd w:val="clear" w:color="auto" w:fill="000000" w:themeFill="text1"/>
            <w:vAlign w:val="bottom"/>
            <w:hideMark/>
          </w:tcPr>
          <w:p w14:paraId="12041976"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$95.</w:t>
            </w:r>
            <w:r>
              <w:rPr>
                <w:rFonts w:ascii="Arial" w:eastAsia="Courier New" w:hAnsi="Arial" w:cs="Arial"/>
                <w:b/>
                <w:bCs/>
                <w:szCs w:val="24"/>
              </w:rPr>
              <w:t>7</w:t>
            </w:r>
          </w:p>
        </w:tc>
        <w:tc>
          <w:tcPr>
            <w:tcW w:w="919" w:type="dxa"/>
            <w:shd w:val="clear" w:color="auto" w:fill="000000" w:themeFill="text1"/>
            <w:vAlign w:val="bottom"/>
            <w:hideMark/>
          </w:tcPr>
          <w:p w14:paraId="42517BC4"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$96.</w:t>
            </w:r>
            <w:r>
              <w:rPr>
                <w:rFonts w:ascii="Arial" w:eastAsia="Courier New" w:hAnsi="Arial" w:cs="Arial"/>
                <w:b/>
                <w:bCs/>
                <w:szCs w:val="24"/>
              </w:rPr>
              <w:t>5</w:t>
            </w:r>
          </w:p>
        </w:tc>
        <w:tc>
          <w:tcPr>
            <w:tcW w:w="817" w:type="dxa"/>
            <w:shd w:val="clear" w:color="auto" w:fill="000000" w:themeFill="text1"/>
            <w:vAlign w:val="bottom"/>
            <w:hideMark/>
          </w:tcPr>
          <w:p w14:paraId="4B05D503" w14:textId="77777777" w:rsidR="007000F9" w:rsidRPr="00763D0E" w:rsidRDefault="007000F9" w:rsidP="001166BB">
            <w:pPr>
              <w:keepNext/>
              <w:jc w:val="right"/>
              <w:rPr>
                <w:rFonts w:ascii="Arial" w:hAnsi="Arial" w:cs="Arial"/>
                <w:b/>
                <w:bCs/>
                <w:i/>
                <w:szCs w:val="24"/>
              </w:rPr>
            </w:pPr>
            <w:r w:rsidRPr="00763D0E">
              <w:rPr>
                <w:rFonts w:ascii="Arial" w:eastAsia="Courier New" w:hAnsi="Arial" w:cs="Arial"/>
                <w:b/>
                <w:bCs/>
                <w:szCs w:val="24"/>
              </w:rPr>
              <w:t>$82.</w:t>
            </w:r>
            <w:r>
              <w:rPr>
                <w:rFonts w:ascii="Arial" w:eastAsia="Courier New" w:hAnsi="Arial" w:cs="Arial"/>
                <w:b/>
                <w:bCs/>
                <w:szCs w:val="24"/>
              </w:rPr>
              <w:t>5</w:t>
            </w:r>
          </w:p>
        </w:tc>
        <w:tc>
          <w:tcPr>
            <w:tcW w:w="243" w:type="dxa"/>
            <w:shd w:val="clear" w:color="auto" w:fill="D9D9D9" w:themeFill="background1" w:themeFillShade="D9"/>
          </w:tcPr>
          <w:p w14:paraId="39C9A084" w14:textId="77777777" w:rsidR="007000F9" w:rsidRPr="00947246" w:rsidRDefault="007000F9" w:rsidP="001166BB">
            <w:pPr>
              <w:keepNext/>
              <w:jc w:val="right"/>
              <w:rPr>
                <w:rFonts w:ascii="Arial" w:eastAsia="Courier New" w:hAnsi="Arial" w:cs="Arial"/>
                <w:b/>
                <w:bCs/>
                <w:color w:val="FF0000"/>
                <w:szCs w:val="24"/>
              </w:rPr>
            </w:pPr>
            <w:r w:rsidRPr="00947246">
              <w:rPr>
                <w:rFonts w:ascii="Arial" w:eastAsia="Courier New" w:hAnsi="Arial" w:cs="Arial"/>
                <w:b/>
                <w:bCs/>
                <w:color w:val="FF0000"/>
                <w:szCs w:val="24"/>
              </w:rPr>
              <w:t xml:space="preserve"> </w:t>
            </w:r>
          </w:p>
          <w:p w14:paraId="071FCC49" w14:textId="77777777" w:rsidR="007000F9" w:rsidRPr="00947246" w:rsidRDefault="007000F9" w:rsidP="001166BB">
            <w:pPr>
              <w:keepNext/>
              <w:jc w:val="right"/>
              <w:rPr>
                <w:rFonts w:ascii="Arial" w:eastAsia="Courier New" w:hAnsi="Arial" w:cs="Arial"/>
                <w:b/>
                <w:bCs/>
                <w:color w:val="FF0000"/>
                <w:szCs w:val="24"/>
              </w:rPr>
            </w:pPr>
            <w:r w:rsidRPr="009F3116">
              <w:rPr>
                <w:rFonts w:ascii="Arial" w:eastAsia="Courier New" w:hAnsi="Arial" w:cs="Arial"/>
                <w:b/>
                <w:bCs/>
                <w:szCs w:val="24"/>
              </w:rPr>
              <w:t>$893.3</w:t>
            </w:r>
          </w:p>
        </w:tc>
      </w:tr>
      <w:tr w:rsidR="007000F9" w:rsidRPr="00763D0E" w14:paraId="09ECCBD0" w14:textId="77777777" w:rsidTr="00FD7907">
        <w:trPr>
          <w:trHeight w:val="519"/>
          <w:jc w:val="center"/>
        </w:trPr>
        <w:tc>
          <w:tcPr>
            <w:tcW w:w="2661" w:type="dxa"/>
            <w:shd w:val="clear" w:color="auto" w:fill="000000" w:themeFill="text1"/>
          </w:tcPr>
          <w:p w14:paraId="664BAF43" w14:textId="6EC9A6D9" w:rsidR="007000F9" w:rsidRPr="00763D0E" w:rsidRDefault="007000F9" w:rsidP="001166BB">
            <w:pPr>
              <w:keepNext/>
              <w:rPr>
                <w:rFonts w:ascii="Arial" w:hAnsi="Arial" w:cs="Arial"/>
                <w:b/>
                <w:bCs/>
                <w:i/>
                <w:szCs w:val="24"/>
              </w:rPr>
            </w:pPr>
            <w:r>
              <w:rPr>
                <w:rFonts w:ascii="Arial" w:hAnsi="Arial" w:cs="Arial"/>
                <w:b/>
                <w:bCs/>
                <w:i/>
                <w:szCs w:val="24"/>
              </w:rPr>
              <w:lastRenderedPageBreak/>
              <w:t>Total Annual Revenue</w:t>
            </w:r>
          </w:p>
        </w:tc>
        <w:tc>
          <w:tcPr>
            <w:tcW w:w="952" w:type="dxa"/>
            <w:shd w:val="clear" w:color="auto" w:fill="000000" w:themeFill="text1"/>
            <w:vAlign w:val="bottom"/>
          </w:tcPr>
          <w:p w14:paraId="008F7995" w14:textId="277BAB76"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$320.2</w:t>
            </w:r>
          </w:p>
        </w:tc>
        <w:tc>
          <w:tcPr>
            <w:tcW w:w="918" w:type="dxa"/>
            <w:shd w:val="clear" w:color="auto" w:fill="000000" w:themeFill="text1"/>
            <w:vAlign w:val="bottom"/>
          </w:tcPr>
          <w:p w14:paraId="1B37ED3F" w14:textId="6218A10C"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$62.3</w:t>
            </w:r>
          </w:p>
        </w:tc>
        <w:tc>
          <w:tcPr>
            <w:tcW w:w="919" w:type="dxa"/>
            <w:shd w:val="clear" w:color="auto" w:fill="000000" w:themeFill="text1"/>
            <w:vAlign w:val="bottom"/>
          </w:tcPr>
          <w:p w14:paraId="4B95527E" w14:textId="328D5584"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$65.9</w:t>
            </w:r>
          </w:p>
        </w:tc>
        <w:tc>
          <w:tcPr>
            <w:tcW w:w="919" w:type="dxa"/>
            <w:shd w:val="clear" w:color="auto" w:fill="000000" w:themeFill="text1"/>
            <w:vAlign w:val="bottom"/>
          </w:tcPr>
          <w:p w14:paraId="3A8A917D" w14:textId="55A633D5"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$129.7</w:t>
            </w:r>
          </w:p>
        </w:tc>
        <w:tc>
          <w:tcPr>
            <w:tcW w:w="1032" w:type="dxa"/>
            <w:shd w:val="clear" w:color="auto" w:fill="000000" w:themeFill="text1"/>
            <w:vAlign w:val="bottom"/>
          </w:tcPr>
          <w:p w14:paraId="70FC452B" w14:textId="0BA6BC67"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$73.5</w:t>
            </w:r>
          </w:p>
        </w:tc>
        <w:tc>
          <w:tcPr>
            <w:tcW w:w="919" w:type="dxa"/>
            <w:shd w:val="clear" w:color="auto" w:fill="000000" w:themeFill="text1"/>
            <w:vAlign w:val="bottom"/>
          </w:tcPr>
          <w:p w14:paraId="18F67DE1" w14:textId="2066D2DB"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$76.8</w:t>
            </w:r>
          </w:p>
        </w:tc>
        <w:tc>
          <w:tcPr>
            <w:tcW w:w="919" w:type="dxa"/>
            <w:shd w:val="clear" w:color="auto" w:fill="000000" w:themeFill="text1"/>
            <w:vAlign w:val="bottom"/>
          </w:tcPr>
          <w:p w14:paraId="4347F2EF" w14:textId="333D6FD1"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$80.6</w:t>
            </w:r>
          </w:p>
        </w:tc>
        <w:tc>
          <w:tcPr>
            <w:tcW w:w="817" w:type="dxa"/>
            <w:shd w:val="clear" w:color="auto" w:fill="000000" w:themeFill="text1"/>
            <w:vAlign w:val="bottom"/>
          </w:tcPr>
          <w:p w14:paraId="3A3F9EA1" w14:textId="77D7221C" w:rsidR="007000F9" w:rsidRPr="00763D0E" w:rsidRDefault="007000F9" w:rsidP="001166BB">
            <w:pPr>
              <w:keepNext/>
              <w:jc w:val="right"/>
              <w:rPr>
                <w:rFonts w:ascii="Arial" w:eastAsia="Courier New" w:hAnsi="Arial" w:cs="Arial"/>
                <w:b/>
                <w:bCs/>
                <w:szCs w:val="24"/>
              </w:rPr>
            </w:pPr>
            <w:r>
              <w:rPr>
                <w:rFonts w:ascii="Arial" w:eastAsia="Courier New" w:hAnsi="Arial" w:cs="Arial"/>
                <w:b/>
                <w:bCs/>
                <w:szCs w:val="24"/>
              </w:rPr>
              <w:t>$84.5</w:t>
            </w:r>
          </w:p>
        </w:tc>
        <w:tc>
          <w:tcPr>
            <w:tcW w:w="243" w:type="dxa"/>
            <w:shd w:val="clear" w:color="auto" w:fill="D9D9D9" w:themeFill="background1" w:themeFillShade="D9"/>
            <w:vAlign w:val="bottom"/>
          </w:tcPr>
          <w:p w14:paraId="35B55E3B" w14:textId="10368906" w:rsidR="007000F9" w:rsidRPr="00947246" w:rsidRDefault="007000F9" w:rsidP="00FD7907">
            <w:pPr>
              <w:keepNext/>
              <w:jc w:val="center"/>
              <w:rPr>
                <w:rFonts w:ascii="Arial" w:eastAsia="Courier New" w:hAnsi="Arial" w:cs="Arial"/>
                <w:b/>
                <w:bCs/>
                <w:color w:val="FF0000"/>
                <w:szCs w:val="24"/>
              </w:rPr>
            </w:pPr>
            <w:r w:rsidRPr="00FD7907">
              <w:rPr>
                <w:rFonts w:ascii="Arial" w:eastAsia="Courier New" w:hAnsi="Arial" w:cs="Arial"/>
                <w:b/>
                <w:bCs/>
                <w:szCs w:val="24"/>
              </w:rPr>
              <w:t>$893.5</w:t>
            </w:r>
          </w:p>
        </w:tc>
      </w:tr>
      <w:bookmarkEnd w:id="0"/>
    </w:tbl>
    <w:p w14:paraId="6428CF43" w14:textId="77777777" w:rsidR="00F66F75" w:rsidRPr="00A62F1C" w:rsidRDefault="00F66F75" w:rsidP="00C97FBC">
      <w:pPr>
        <w:rPr>
          <w:rFonts w:ascii="Arial" w:hAnsi="Arial" w:cs="Arial"/>
          <w:iCs/>
          <w:szCs w:val="24"/>
        </w:rPr>
      </w:pPr>
    </w:p>
    <w:p w14:paraId="2CA66089" w14:textId="77777777" w:rsidR="00CD4590" w:rsidRDefault="00CD4590" w:rsidP="00B32185">
      <w:pPr>
        <w:jc w:val="both"/>
        <w:rPr>
          <w:rFonts w:ascii="Arial" w:hAnsi="Arial" w:cs="Arial"/>
          <w:b/>
          <w:szCs w:val="24"/>
        </w:rPr>
      </w:pPr>
    </w:p>
    <w:p w14:paraId="7F5DC21E" w14:textId="7E15FD61" w:rsidR="00B32185" w:rsidRDefault="00B32185" w:rsidP="00A515B0">
      <w:pPr>
        <w:jc w:val="both"/>
        <w:rPr>
          <w:rFonts w:ascii="Arial" w:hAnsi="Arial" w:cs="Arial"/>
          <w:i/>
          <w:szCs w:val="24"/>
        </w:rPr>
      </w:pPr>
      <w:r>
        <w:rPr>
          <w:rFonts w:ascii="Arial" w:hAnsi="Arial" w:cs="Arial"/>
          <w:i/>
          <w:szCs w:val="24"/>
        </w:rPr>
        <w:t>Evaluation and Performance Measurement.</w:t>
      </w:r>
    </w:p>
    <w:p w14:paraId="4AECEBFD" w14:textId="77777777" w:rsidR="00B32185" w:rsidRDefault="00B32185" w:rsidP="00A515B0">
      <w:pPr>
        <w:jc w:val="both"/>
        <w:rPr>
          <w:rFonts w:ascii="Arial" w:hAnsi="Arial" w:cs="Arial"/>
          <w:iCs/>
          <w:szCs w:val="24"/>
        </w:rPr>
      </w:pPr>
    </w:p>
    <w:p w14:paraId="7E2622BF" w14:textId="7B1B05F8" w:rsidR="00B32185" w:rsidRPr="00231CA5" w:rsidRDefault="00B32185" w:rsidP="00A515B0">
      <w:pPr>
        <w:jc w:val="both"/>
        <w:rPr>
          <w:rFonts w:ascii="Arial" w:hAnsi="Arial" w:cs="Arial"/>
          <w:iCs/>
          <w:szCs w:val="24"/>
        </w:rPr>
      </w:pPr>
      <w:r>
        <w:rPr>
          <w:rFonts w:ascii="Arial" w:hAnsi="Arial" w:cs="Arial"/>
          <w:iCs/>
          <w:szCs w:val="24"/>
        </w:rPr>
        <w:t xml:space="preserve">According to the </w:t>
      </w:r>
      <w:r w:rsidR="009C79F6">
        <w:rPr>
          <w:rFonts w:ascii="Arial" w:hAnsi="Arial" w:cs="Arial"/>
          <w:iCs/>
          <w:szCs w:val="24"/>
        </w:rPr>
        <w:t>Plan</w:t>
      </w:r>
      <w:r>
        <w:rPr>
          <w:rFonts w:ascii="Arial" w:hAnsi="Arial" w:cs="Arial"/>
          <w:iCs/>
          <w:szCs w:val="24"/>
        </w:rPr>
        <w:t xml:space="preserve">, the Executive intends to implement a Results Based Accountability approach to assess </w:t>
      </w:r>
      <w:r w:rsidR="00F07928">
        <w:rPr>
          <w:rFonts w:ascii="Arial" w:hAnsi="Arial" w:cs="Arial"/>
          <w:iCs/>
          <w:szCs w:val="24"/>
        </w:rPr>
        <w:t>HtH</w:t>
      </w:r>
      <w:r>
        <w:rPr>
          <w:rFonts w:ascii="Arial" w:hAnsi="Arial" w:cs="Arial"/>
          <w:iCs/>
          <w:szCs w:val="24"/>
        </w:rPr>
        <w:t xml:space="preserve"> strategies using population indicators, performance measurement, and in-depth evaluation. Population level measures would identify needs, set a baseline, and monitor trends of chronic homelessness in King County and racial-ethnic disproportionality among the population of chronically homeless households. Performance measurements will be taken regularly on program outcomes to answer three realms of inquiry, "How much did we do? How well did we do it? Is anyone better off?"</w:t>
      </w:r>
      <w:r>
        <w:rPr>
          <w:rStyle w:val="FootnoteReference"/>
          <w:rFonts w:ascii="Arial" w:hAnsi="Arial" w:cs="Arial"/>
          <w:iCs/>
          <w:szCs w:val="24"/>
        </w:rPr>
        <w:footnoteReference w:id="40"/>
      </w:r>
      <w:r>
        <w:rPr>
          <w:rFonts w:ascii="Arial" w:hAnsi="Arial" w:cs="Arial"/>
          <w:iCs/>
          <w:szCs w:val="24"/>
        </w:rPr>
        <w:t xml:space="preserve"> According to the </w:t>
      </w:r>
      <w:r w:rsidR="00BD6B60">
        <w:rPr>
          <w:rFonts w:ascii="Arial" w:hAnsi="Arial" w:cs="Arial"/>
          <w:iCs/>
          <w:szCs w:val="24"/>
        </w:rPr>
        <w:t>P</w:t>
      </w:r>
      <w:r>
        <w:rPr>
          <w:rFonts w:ascii="Arial" w:hAnsi="Arial" w:cs="Arial"/>
          <w:iCs/>
          <w:szCs w:val="24"/>
        </w:rPr>
        <w:t>lan, in-depth evaluation activities will "complement performance measurement to deepen learnings" and offer an overall evaluation of the initiative by December 31, 2026.</w:t>
      </w:r>
      <w:r>
        <w:rPr>
          <w:rStyle w:val="FootnoteReference"/>
          <w:rFonts w:ascii="Arial" w:hAnsi="Arial" w:cs="Arial"/>
          <w:iCs/>
          <w:szCs w:val="24"/>
        </w:rPr>
        <w:footnoteReference w:id="41"/>
      </w:r>
      <w:r>
        <w:rPr>
          <w:rFonts w:ascii="Arial" w:hAnsi="Arial" w:cs="Arial"/>
          <w:iCs/>
          <w:szCs w:val="24"/>
        </w:rPr>
        <w:t xml:space="preserve"> </w:t>
      </w:r>
    </w:p>
    <w:p w14:paraId="180FF16D" w14:textId="77777777" w:rsidR="00B32185" w:rsidRDefault="00B32185" w:rsidP="00A515B0">
      <w:pPr>
        <w:jc w:val="both"/>
        <w:rPr>
          <w:rFonts w:ascii="Arial" w:hAnsi="Arial" w:cs="Arial"/>
          <w:i/>
          <w:szCs w:val="24"/>
        </w:rPr>
      </w:pPr>
    </w:p>
    <w:p w14:paraId="36AD95C6" w14:textId="26C996B9" w:rsidR="00B32185" w:rsidRDefault="00B32185" w:rsidP="007000F9">
      <w:pPr>
        <w:jc w:val="both"/>
        <w:rPr>
          <w:rFonts w:ascii="Arial" w:hAnsi="Arial" w:cs="Arial"/>
          <w:iCs/>
          <w:szCs w:val="24"/>
        </w:rPr>
      </w:pPr>
      <w:r>
        <w:rPr>
          <w:rFonts w:ascii="Arial" w:hAnsi="Arial" w:cs="Arial"/>
          <w:iCs/>
          <w:szCs w:val="24"/>
        </w:rPr>
        <w:t xml:space="preserve">Executive staff will use the </w:t>
      </w:r>
      <w:r w:rsidRPr="005F143F">
        <w:rPr>
          <w:rFonts w:ascii="Arial" w:hAnsi="Arial" w:cs="Arial"/>
          <w:iCs/>
          <w:szCs w:val="24"/>
        </w:rPr>
        <w:t>Seattle-King County Homeless Management Information System (HMIS)</w:t>
      </w:r>
      <w:r>
        <w:rPr>
          <w:rFonts w:ascii="Arial" w:hAnsi="Arial" w:cs="Arial"/>
          <w:iCs/>
          <w:szCs w:val="24"/>
        </w:rPr>
        <w:t xml:space="preserve"> to set baseline data and track population indicator changes to analyze the extent of chronic homelessness and disproportionality in King County. Executive staff will track the annualized count of households experiencing chronic homelessness and the </w:t>
      </w:r>
      <w:r w:rsidR="00BD6B60">
        <w:rPr>
          <w:rFonts w:ascii="Arial" w:hAnsi="Arial" w:cs="Arial"/>
          <w:iCs/>
          <w:szCs w:val="24"/>
        </w:rPr>
        <w:t>P</w:t>
      </w:r>
      <w:r>
        <w:rPr>
          <w:rFonts w:ascii="Arial" w:hAnsi="Arial" w:cs="Arial"/>
          <w:iCs/>
          <w:szCs w:val="24"/>
        </w:rPr>
        <w:t>oint-in-</w:t>
      </w:r>
      <w:r w:rsidR="00BD6B60">
        <w:rPr>
          <w:rFonts w:ascii="Arial" w:hAnsi="Arial" w:cs="Arial"/>
          <w:iCs/>
          <w:szCs w:val="24"/>
        </w:rPr>
        <w:t>T</w:t>
      </w:r>
      <w:r>
        <w:rPr>
          <w:rFonts w:ascii="Arial" w:hAnsi="Arial" w:cs="Arial"/>
          <w:iCs/>
          <w:szCs w:val="24"/>
        </w:rPr>
        <w:t xml:space="preserve">ime estimate of those currently receiving services and experiencing chronic homelessness in order to determine how chronic homelessness is changing in King County. According to the Plan, available demographic data in the HMIS will also allow the County to assess </w:t>
      </w:r>
      <w:r w:rsidR="009C79F6">
        <w:rPr>
          <w:rFonts w:ascii="Arial" w:hAnsi="Arial" w:cs="Arial"/>
          <w:iCs/>
          <w:szCs w:val="24"/>
        </w:rPr>
        <w:t>whether</w:t>
      </w:r>
      <w:r>
        <w:rPr>
          <w:rFonts w:ascii="Arial" w:hAnsi="Arial" w:cs="Arial"/>
          <w:iCs/>
          <w:szCs w:val="24"/>
        </w:rPr>
        <w:t xml:space="preserve"> </w:t>
      </w:r>
      <w:r w:rsidR="00F07928">
        <w:rPr>
          <w:rFonts w:ascii="Arial" w:hAnsi="Arial" w:cs="Arial"/>
          <w:iCs/>
          <w:szCs w:val="24"/>
        </w:rPr>
        <w:t>HtH</w:t>
      </w:r>
      <w:r>
        <w:rPr>
          <w:rFonts w:ascii="Arial" w:hAnsi="Arial" w:cs="Arial"/>
          <w:iCs/>
          <w:szCs w:val="24"/>
        </w:rPr>
        <w:t xml:space="preserve"> programs and services are reducing racial-ethnic disproportionality among the County's chronically homeless population. </w:t>
      </w:r>
    </w:p>
    <w:p w14:paraId="3C57A918" w14:textId="77777777" w:rsidR="00B32185" w:rsidRDefault="00B32185" w:rsidP="007000F9">
      <w:pPr>
        <w:jc w:val="both"/>
        <w:rPr>
          <w:rFonts w:ascii="Arial" w:hAnsi="Arial" w:cs="Arial"/>
          <w:iCs/>
          <w:szCs w:val="24"/>
        </w:rPr>
      </w:pPr>
    </w:p>
    <w:p w14:paraId="09FEC13C" w14:textId="0F602C03" w:rsidR="00B32185" w:rsidRDefault="00B32185" w:rsidP="007000F9">
      <w:pPr>
        <w:jc w:val="both"/>
        <w:rPr>
          <w:rFonts w:ascii="Arial" w:hAnsi="Arial" w:cs="Arial"/>
          <w:iCs/>
          <w:szCs w:val="24"/>
        </w:rPr>
      </w:pPr>
      <w:r>
        <w:rPr>
          <w:rFonts w:ascii="Arial" w:hAnsi="Arial" w:cs="Arial"/>
          <w:iCs/>
          <w:szCs w:val="24"/>
        </w:rPr>
        <w:t xml:space="preserve">The Plan states that performance measures </w:t>
      </w:r>
      <w:r w:rsidR="00BD6B60">
        <w:rPr>
          <w:rFonts w:ascii="Arial" w:hAnsi="Arial" w:cs="Arial"/>
          <w:iCs/>
          <w:szCs w:val="24"/>
        </w:rPr>
        <w:t>would</w:t>
      </w:r>
      <w:r>
        <w:rPr>
          <w:rFonts w:ascii="Arial" w:hAnsi="Arial" w:cs="Arial"/>
          <w:iCs/>
          <w:szCs w:val="24"/>
        </w:rPr>
        <w:t xml:space="preserve"> be developed in collaboration with program staff, providers, and the </w:t>
      </w:r>
      <w:r w:rsidR="00F07928">
        <w:rPr>
          <w:rFonts w:ascii="Arial" w:hAnsi="Arial" w:cs="Arial"/>
          <w:iCs/>
          <w:szCs w:val="24"/>
        </w:rPr>
        <w:t>HtH</w:t>
      </w:r>
      <w:r>
        <w:rPr>
          <w:rFonts w:ascii="Arial" w:hAnsi="Arial" w:cs="Arial"/>
          <w:iCs/>
          <w:szCs w:val="24"/>
        </w:rPr>
        <w:t xml:space="preserve"> Advisory Committee and are intended to be presented publicly through an online dashboard showing performance data. Performance metrics </w:t>
      </w:r>
      <w:r w:rsidR="00BD6B60">
        <w:rPr>
          <w:rFonts w:ascii="Arial" w:hAnsi="Arial" w:cs="Arial"/>
          <w:iCs/>
          <w:szCs w:val="24"/>
        </w:rPr>
        <w:t>would</w:t>
      </w:r>
      <w:r>
        <w:rPr>
          <w:rFonts w:ascii="Arial" w:hAnsi="Arial" w:cs="Arial"/>
          <w:iCs/>
          <w:szCs w:val="24"/>
        </w:rPr>
        <w:t xml:space="preserve"> be redefined periodically in consultation with the committee. </w:t>
      </w:r>
      <w:r w:rsidR="00B44608">
        <w:rPr>
          <w:rFonts w:ascii="Arial" w:hAnsi="Arial" w:cs="Arial"/>
          <w:iCs/>
          <w:szCs w:val="24"/>
        </w:rPr>
        <w:t xml:space="preserve">Executive staff stated that metrics </w:t>
      </w:r>
      <w:r w:rsidR="00BD6B60">
        <w:rPr>
          <w:rFonts w:ascii="Arial" w:hAnsi="Arial" w:cs="Arial"/>
          <w:iCs/>
          <w:szCs w:val="24"/>
        </w:rPr>
        <w:t>would</w:t>
      </w:r>
      <w:r w:rsidR="00B44608">
        <w:rPr>
          <w:rFonts w:ascii="Arial" w:hAnsi="Arial" w:cs="Arial"/>
          <w:iCs/>
          <w:szCs w:val="24"/>
        </w:rPr>
        <w:t xml:space="preserve"> be "</w:t>
      </w:r>
      <w:r w:rsidR="00B44608" w:rsidRPr="00B44608">
        <w:rPr>
          <w:rFonts w:ascii="Arial" w:hAnsi="Arial" w:cs="Arial"/>
          <w:iCs/>
          <w:szCs w:val="24"/>
        </w:rPr>
        <w:t>kept consistent whenever possible to facilitate longitudinal analysis. Any periodic refinements to measures would be to align with any substantive changes to the program or services, accommodate changes in the data source (</w:t>
      </w:r>
      <w:r w:rsidR="00CD4590" w:rsidRPr="00B44608">
        <w:rPr>
          <w:rFonts w:ascii="Arial" w:hAnsi="Arial" w:cs="Arial"/>
          <w:iCs/>
          <w:szCs w:val="24"/>
        </w:rPr>
        <w:t>e.g.,</w:t>
      </w:r>
      <w:r w:rsidR="00B44608" w:rsidRPr="00B44608">
        <w:rPr>
          <w:rFonts w:ascii="Arial" w:hAnsi="Arial" w:cs="Arial"/>
          <w:iCs/>
          <w:szCs w:val="24"/>
        </w:rPr>
        <w:t xml:space="preserve"> HMIS updates), or bring in additional measures that come available.</w:t>
      </w:r>
      <w:r w:rsidR="00B44608">
        <w:rPr>
          <w:rFonts w:ascii="Arial" w:hAnsi="Arial" w:cs="Arial"/>
          <w:iCs/>
          <w:szCs w:val="24"/>
        </w:rPr>
        <w:t xml:space="preserve">" </w:t>
      </w:r>
      <w:r>
        <w:rPr>
          <w:rFonts w:ascii="Arial" w:hAnsi="Arial" w:cs="Arial"/>
          <w:iCs/>
          <w:szCs w:val="24"/>
        </w:rPr>
        <w:t xml:space="preserve">Draft performance measures for Strategies 1 and 2 appear in Figure 17 on page 59 of Appendix A and include such </w:t>
      </w:r>
      <w:r w:rsidR="00B267B5">
        <w:rPr>
          <w:rFonts w:ascii="Arial" w:hAnsi="Arial" w:cs="Arial"/>
          <w:iCs/>
          <w:szCs w:val="24"/>
        </w:rPr>
        <w:t xml:space="preserve">measures </w:t>
      </w:r>
      <w:r>
        <w:rPr>
          <w:rFonts w:ascii="Arial" w:hAnsi="Arial" w:cs="Arial"/>
          <w:iCs/>
          <w:szCs w:val="24"/>
        </w:rPr>
        <w:t xml:space="preserve">as number of households enrolled in emergency housing created through </w:t>
      </w:r>
      <w:r w:rsidR="00F07928">
        <w:rPr>
          <w:rFonts w:ascii="Arial" w:hAnsi="Arial" w:cs="Arial"/>
          <w:iCs/>
          <w:szCs w:val="24"/>
        </w:rPr>
        <w:t>HtH</w:t>
      </w:r>
      <w:r>
        <w:rPr>
          <w:rFonts w:ascii="Arial" w:hAnsi="Arial" w:cs="Arial"/>
          <w:iCs/>
          <w:szCs w:val="24"/>
        </w:rPr>
        <w:t xml:space="preserve">, the average length of stay in </w:t>
      </w:r>
      <w:r w:rsidR="00F07928">
        <w:rPr>
          <w:rFonts w:ascii="Arial" w:hAnsi="Arial" w:cs="Arial"/>
          <w:iCs/>
          <w:szCs w:val="24"/>
        </w:rPr>
        <w:t>HtH</w:t>
      </w:r>
      <w:r>
        <w:rPr>
          <w:rFonts w:ascii="Arial" w:hAnsi="Arial" w:cs="Arial"/>
          <w:iCs/>
          <w:szCs w:val="24"/>
        </w:rPr>
        <w:t xml:space="preserve"> housing, and the percent of households who maintain or exist to permanent housing from permanent supportive or emergency housing.  </w:t>
      </w:r>
    </w:p>
    <w:p w14:paraId="0D47C12A" w14:textId="77777777" w:rsidR="00B32185" w:rsidRDefault="00B32185" w:rsidP="007000F9">
      <w:pPr>
        <w:jc w:val="both"/>
        <w:rPr>
          <w:rFonts w:ascii="Arial" w:hAnsi="Arial" w:cs="Arial"/>
          <w:iCs/>
          <w:szCs w:val="24"/>
        </w:rPr>
      </w:pPr>
    </w:p>
    <w:p w14:paraId="14CA1BBD" w14:textId="77E19A20" w:rsidR="00B32185" w:rsidRPr="001E1694" w:rsidRDefault="00B32185" w:rsidP="007000F9">
      <w:pPr>
        <w:jc w:val="both"/>
        <w:rPr>
          <w:rFonts w:ascii="Arial" w:hAnsi="Arial" w:cs="Arial"/>
          <w:b/>
          <w:szCs w:val="24"/>
        </w:rPr>
      </w:pPr>
      <w:r>
        <w:rPr>
          <w:rFonts w:ascii="Arial" w:hAnsi="Arial" w:cs="Arial"/>
          <w:iCs/>
          <w:szCs w:val="24"/>
        </w:rPr>
        <w:t xml:space="preserve">Supporting Goal 7 of the </w:t>
      </w:r>
      <w:r w:rsidR="009C79F6">
        <w:rPr>
          <w:rFonts w:ascii="Arial" w:hAnsi="Arial" w:cs="Arial"/>
          <w:iCs/>
          <w:szCs w:val="24"/>
        </w:rPr>
        <w:t>Plan</w:t>
      </w:r>
      <w:r>
        <w:rPr>
          <w:rFonts w:ascii="Arial" w:hAnsi="Arial" w:cs="Arial"/>
          <w:iCs/>
          <w:szCs w:val="24"/>
        </w:rPr>
        <w:t xml:space="preserve"> is to produce an in-depth evaluation of the overall effectiveness of </w:t>
      </w:r>
      <w:r w:rsidR="00F07928">
        <w:rPr>
          <w:rFonts w:ascii="Arial" w:hAnsi="Arial" w:cs="Arial"/>
          <w:iCs/>
          <w:szCs w:val="24"/>
        </w:rPr>
        <w:t>HtH</w:t>
      </w:r>
      <w:r>
        <w:rPr>
          <w:rFonts w:ascii="Arial" w:hAnsi="Arial" w:cs="Arial"/>
          <w:iCs/>
          <w:szCs w:val="24"/>
        </w:rPr>
        <w:t xml:space="preserve"> by December 31, 2026 with questions, timeframe, methodology, and data collection strategies finalized by March 2022. DCHS </w:t>
      </w:r>
      <w:r w:rsidR="00BD6B60">
        <w:rPr>
          <w:rFonts w:ascii="Arial" w:hAnsi="Arial" w:cs="Arial"/>
          <w:iCs/>
          <w:szCs w:val="24"/>
        </w:rPr>
        <w:t>could</w:t>
      </w:r>
      <w:r>
        <w:rPr>
          <w:rFonts w:ascii="Arial" w:hAnsi="Arial" w:cs="Arial"/>
          <w:iCs/>
          <w:szCs w:val="24"/>
        </w:rPr>
        <w:t xml:space="preserve"> contract with external research partners to supplement its own evaluation efforts and will work with the </w:t>
      </w:r>
      <w:r w:rsidR="00F07928">
        <w:rPr>
          <w:rFonts w:ascii="Arial" w:hAnsi="Arial" w:cs="Arial"/>
          <w:iCs/>
          <w:szCs w:val="24"/>
        </w:rPr>
        <w:t>HtH</w:t>
      </w:r>
      <w:r>
        <w:rPr>
          <w:rFonts w:ascii="Arial" w:hAnsi="Arial" w:cs="Arial"/>
          <w:iCs/>
          <w:szCs w:val="24"/>
        </w:rPr>
        <w:t xml:space="preserve"> Advisory Committee to select priority areas for evaluation. According to the plan, "the design of the evaluations will be based on what is appropriate for the </w:t>
      </w:r>
      <w:r>
        <w:rPr>
          <w:rFonts w:ascii="Arial" w:hAnsi="Arial" w:cs="Arial"/>
          <w:iCs/>
          <w:szCs w:val="24"/>
        </w:rPr>
        <w:lastRenderedPageBreak/>
        <w:t>program's stage of implementation and existing evidence base for effectiveness of the selected program models."</w:t>
      </w:r>
      <w:r>
        <w:rPr>
          <w:rStyle w:val="FootnoteReference"/>
          <w:rFonts w:ascii="Arial" w:hAnsi="Arial" w:cs="Arial"/>
          <w:iCs/>
          <w:szCs w:val="24"/>
        </w:rPr>
        <w:footnoteReference w:id="42"/>
      </w:r>
      <w:r>
        <w:rPr>
          <w:rFonts w:ascii="Arial" w:hAnsi="Arial" w:cs="Arial"/>
          <w:iCs/>
          <w:szCs w:val="24"/>
        </w:rPr>
        <w:t xml:space="preserve"> The timeline for completing the in-depth evaluation </w:t>
      </w:r>
      <w:r w:rsidR="00BD6B60">
        <w:rPr>
          <w:rFonts w:ascii="Arial" w:hAnsi="Arial" w:cs="Arial"/>
          <w:iCs/>
          <w:szCs w:val="24"/>
        </w:rPr>
        <w:t>would</w:t>
      </w:r>
      <w:r>
        <w:rPr>
          <w:rFonts w:ascii="Arial" w:hAnsi="Arial" w:cs="Arial"/>
          <w:iCs/>
          <w:szCs w:val="24"/>
        </w:rPr>
        <w:t xml:space="preserve"> be based on when baseline data becomes available, enough </w:t>
      </w:r>
      <w:r w:rsidR="00F07928">
        <w:rPr>
          <w:rFonts w:ascii="Arial" w:hAnsi="Arial" w:cs="Arial"/>
          <w:iCs/>
          <w:szCs w:val="24"/>
        </w:rPr>
        <w:t>HtH</w:t>
      </w:r>
      <w:r>
        <w:rPr>
          <w:rFonts w:ascii="Arial" w:hAnsi="Arial" w:cs="Arial"/>
          <w:iCs/>
          <w:szCs w:val="24"/>
        </w:rPr>
        <w:t xml:space="preserve"> program participants have reached a outcomes to allow for statistical analysis, and time needed to produce the evaluation. Plans for performance measurement and evaluation activities </w:t>
      </w:r>
      <w:r w:rsidR="00BD6B60">
        <w:rPr>
          <w:rFonts w:ascii="Arial" w:hAnsi="Arial" w:cs="Arial"/>
          <w:iCs/>
          <w:szCs w:val="24"/>
        </w:rPr>
        <w:t>would</w:t>
      </w:r>
      <w:r>
        <w:rPr>
          <w:rFonts w:ascii="Arial" w:hAnsi="Arial" w:cs="Arial"/>
          <w:iCs/>
          <w:szCs w:val="24"/>
        </w:rPr>
        <w:t xml:space="preserve"> be finalized with the </w:t>
      </w:r>
      <w:r w:rsidR="00F07928">
        <w:rPr>
          <w:rFonts w:ascii="Arial" w:hAnsi="Arial" w:cs="Arial"/>
          <w:iCs/>
          <w:szCs w:val="24"/>
        </w:rPr>
        <w:t>HtH</w:t>
      </w:r>
      <w:r>
        <w:rPr>
          <w:rFonts w:ascii="Arial" w:hAnsi="Arial" w:cs="Arial"/>
          <w:iCs/>
          <w:szCs w:val="24"/>
        </w:rPr>
        <w:t xml:space="preserve"> Advisory Committee. </w:t>
      </w:r>
    </w:p>
    <w:p w14:paraId="52C44624" w14:textId="4EC3BB27" w:rsidR="00B65A9E" w:rsidRPr="00A62F1C" w:rsidRDefault="00B65A9E" w:rsidP="00A515B0">
      <w:pPr>
        <w:jc w:val="both"/>
        <w:rPr>
          <w:rFonts w:ascii="Arial" w:hAnsi="Arial" w:cs="Arial"/>
          <w:i/>
          <w:szCs w:val="24"/>
        </w:rPr>
      </w:pPr>
    </w:p>
    <w:p w14:paraId="4B5AA392" w14:textId="428637C7" w:rsidR="001C5C9A" w:rsidRDefault="00B65A9E" w:rsidP="00A515B0">
      <w:pPr>
        <w:jc w:val="both"/>
        <w:rPr>
          <w:rFonts w:ascii="Arial" w:hAnsi="Arial" w:cs="Arial"/>
          <w:iCs/>
          <w:szCs w:val="24"/>
        </w:rPr>
      </w:pPr>
      <w:r w:rsidRPr="00A62F1C">
        <w:rPr>
          <w:rFonts w:ascii="Arial" w:hAnsi="Arial" w:cs="Arial"/>
          <w:i/>
          <w:szCs w:val="24"/>
        </w:rPr>
        <w:t>Health through Housing Advisory Committee and Annual Reporting.</w:t>
      </w:r>
      <w:r w:rsidR="00B26A7B" w:rsidRPr="00A62F1C">
        <w:rPr>
          <w:rFonts w:ascii="Arial" w:hAnsi="Arial" w:cs="Arial"/>
          <w:i/>
          <w:szCs w:val="24"/>
        </w:rPr>
        <w:t xml:space="preserve"> </w:t>
      </w:r>
      <w:r w:rsidR="001C5C9A">
        <w:rPr>
          <w:rFonts w:ascii="Arial" w:hAnsi="Arial" w:cs="Arial"/>
          <w:i/>
          <w:szCs w:val="24"/>
        </w:rPr>
        <w:t xml:space="preserve"> </w:t>
      </w:r>
      <w:r w:rsidR="001C5C9A">
        <w:rPr>
          <w:rFonts w:ascii="Arial" w:hAnsi="Arial" w:cs="Arial"/>
          <w:iCs/>
          <w:szCs w:val="24"/>
        </w:rPr>
        <w:t>According to the proposed Plan, an Advisory Committee would be established to:</w:t>
      </w:r>
    </w:p>
    <w:p w14:paraId="6F420090" w14:textId="77777777" w:rsidR="001C5C9A" w:rsidRPr="00A93384" w:rsidRDefault="001C5C9A" w:rsidP="00A515B0">
      <w:pPr>
        <w:jc w:val="both"/>
        <w:rPr>
          <w:rFonts w:ascii="Arial" w:hAnsi="Arial" w:cs="Arial"/>
          <w:iCs/>
          <w:szCs w:val="24"/>
        </w:rPr>
      </w:pPr>
    </w:p>
    <w:p w14:paraId="521C7D10" w14:textId="77777777" w:rsidR="001C5C9A"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Advise</w:t>
      </w:r>
      <w:r>
        <w:rPr>
          <w:rFonts w:ascii="Arial" w:hAnsi="Arial" w:cs="Arial"/>
          <w:iCs/>
        </w:rPr>
        <w:t xml:space="preserve"> </w:t>
      </w:r>
      <w:r w:rsidRPr="004E211D">
        <w:rPr>
          <w:rFonts w:ascii="Arial" w:hAnsi="Arial" w:cs="Arial"/>
          <w:iCs/>
        </w:rPr>
        <w:t xml:space="preserve">the Executive and Council on matters affecting the </w:t>
      </w:r>
      <w:r>
        <w:rPr>
          <w:rFonts w:ascii="Arial" w:hAnsi="Arial" w:cs="Arial"/>
          <w:iCs/>
        </w:rPr>
        <w:t>HtH</w:t>
      </w:r>
      <w:r w:rsidRPr="004E211D">
        <w:rPr>
          <w:rFonts w:ascii="Arial" w:hAnsi="Arial" w:cs="Arial"/>
          <w:iCs/>
        </w:rPr>
        <w:t xml:space="preserve"> initiative</w:t>
      </w:r>
      <w:r>
        <w:rPr>
          <w:rFonts w:ascii="Arial" w:hAnsi="Arial" w:cs="Arial"/>
          <w:iCs/>
        </w:rPr>
        <w:t>;</w:t>
      </w:r>
    </w:p>
    <w:p w14:paraId="29F6A641" w14:textId="77777777" w:rsidR="001C5C9A"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 xml:space="preserve">Advise DCHS on implementation of the </w:t>
      </w:r>
      <w:r>
        <w:rPr>
          <w:rFonts w:ascii="Arial" w:hAnsi="Arial" w:cs="Arial"/>
          <w:iCs/>
        </w:rPr>
        <w:t>HtH</w:t>
      </w:r>
      <w:r w:rsidRPr="004E211D">
        <w:rPr>
          <w:rFonts w:ascii="Arial" w:hAnsi="Arial" w:cs="Arial"/>
          <w:iCs/>
        </w:rPr>
        <w:t xml:space="preserve"> initiative</w:t>
      </w:r>
      <w:r>
        <w:rPr>
          <w:rFonts w:ascii="Arial" w:hAnsi="Arial" w:cs="Arial"/>
          <w:iCs/>
        </w:rPr>
        <w:t>;</w:t>
      </w:r>
    </w:p>
    <w:p w14:paraId="7654E47A" w14:textId="77777777" w:rsidR="001C5C9A"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 xml:space="preserve">Review performance data of the </w:t>
      </w:r>
      <w:r>
        <w:rPr>
          <w:rFonts w:ascii="Arial" w:hAnsi="Arial" w:cs="Arial"/>
          <w:iCs/>
        </w:rPr>
        <w:t>HtH</w:t>
      </w:r>
      <w:r w:rsidRPr="004E211D">
        <w:rPr>
          <w:rFonts w:ascii="Arial" w:hAnsi="Arial" w:cs="Arial"/>
          <w:iCs/>
        </w:rPr>
        <w:t xml:space="preserve"> initiative</w:t>
      </w:r>
      <w:r>
        <w:rPr>
          <w:rFonts w:ascii="Arial" w:hAnsi="Arial" w:cs="Arial"/>
          <w:iCs/>
        </w:rPr>
        <w:t>;</w:t>
      </w:r>
      <w:r w:rsidRPr="004E211D">
        <w:rPr>
          <w:rFonts w:ascii="Arial" w:hAnsi="Arial" w:cs="Arial"/>
          <w:iCs/>
        </w:rPr>
        <w:t xml:space="preserve"> and</w:t>
      </w:r>
    </w:p>
    <w:p w14:paraId="31CE067F" w14:textId="77777777" w:rsidR="001C5C9A" w:rsidRPr="004E211D" w:rsidRDefault="001C5C9A" w:rsidP="00A515B0">
      <w:pPr>
        <w:pStyle w:val="ListParagraph0"/>
        <w:numPr>
          <w:ilvl w:val="0"/>
          <w:numId w:val="20"/>
        </w:numPr>
        <w:spacing w:line="240" w:lineRule="auto"/>
        <w:contextualSpacing/>
        <w:jc w:val="both"/>
        <w:rPr>
          <w:rFonts w:ascii="Arial" w:hAnsi="Arial" w:cs="Arial"/>
          <w:iCs/>
        </w:rPr>
      </w:pPr>
      <w:r w:rsidRPr="004E211D">
        <w:rPr>
          <w:rFonts w:ascii="Arial" w:hAnsi="Arial" w:cs="Arial"/>
          <w:iCs/>
        </w:rPr>
        <w:t>Report annually to the Council and the community on the expenditures, accomplishments</w:t>
      </w:r>
      <w:r>
        <w:rPr>
          <w:rFonts w:ascii="Arial" w:hAnsi="Arial" w:cs="Arial"/>
          <w:iCs/>
        </w:rPr>
        <w:t>,</w:t>
      </w:r>
      <w:r w:rsidRPr="004E211D">
        <w:rPr>
          <w:rFonts w:ascii="Arial" w:hAnsi="Arial" w:cs="Arial"/>
          <w:iCs/>
        </w:rPr>
        <w:t xml:space="preserve"> and</w:t>
      </w:r>
      <w:r>
        <w:rPr>
          <w:rFonts w:ascii="Arial" w:hAnsi="Arial" w:cs="Arial"/>
          <w:iCs/>
        </w:rPr>
        <w:t xml:space="preserve"> </w:t>
      </w:r>
      <w:r w:rsidRPr="004E211D">
        <w:rPr>
          <w:rFonts w:ascii="Arial" w:hAnsi="Arial" w:cs="Arial"/>
          <w:iCs/>
        </w:rPr>
        <w:t xml:space="preserve">effectiveness of the </w:t>
      </w:r>
      <w:r>
        <w:rPr>
          <w:rFonts w:ascii="Arial" w:hAnsi="Arial" w:cs="Arial"/>
          <w:iCs/>
        </w:rPr>
        <w:t>HtH</w:t>
      </w:r>
      <w:r w:rsidRPr="004E211D">
        <w:rPr>
          <w:rFonts w:ascii="Arial" w:hAnsi="Arial" w:cs="Arial"/>
          <w:iCs/>
        </w:rPr>
        <w:t xml:space="preserve"> initiative.</w:t>
      </w:r>
    </w:p>
    <w:p w14:paraId="47DBF873" w14:textId="77777777" w:rsidR="001C5C9A" w:rsidRDefault="001C5C9A" w:rsidP="00A515B0">
      <w:pPr>
        <w:jc w:val="both"/>
        <w:rPr>
          <w:rFonts w:ascii="Arial" w:hAnsi="Arial" w:cs="Arial"/>
          <w:iCs/>
          <w:szCs w:val="24"/>
        </w:rPr>
      </w:pPr>
    </w:p>
    <w:p w14:paraId="5CD72419" w14:textId="4950D255" w:rsidR="001C5C9A" w:rsidRDefault="001C5C9A" w:rsidP="00A515B0">
      <w:pPr>
        <w:jc w:val="both"/>
        <w:rPr>
          <w:rFonts w:ascii="Arial" w:hAnsi="Arial" w:cs="Arial"/>
          <w:iCs/>
          <w:szCs w:val="24"/>
        </w:rPr>
      </w:pPr>
      <w:r>
        <w:rPr>
          <w:rFonts w:ascii="Arial" w:hAnsi="Arial" w:cs="Arial"/>
          <w:iCs/>
          <w:szCs w:val="24"/>
        </w:rPr>
        <w:t>The proposed ordinance would add a section of code to establish the Advisory Committee.  Proposed code changes and more detail on committee member</w:t>
      </w:r>
      <w:r w:rsidR="003A0C6C">
        <w:rPr>
          <w:rFonts w:ascii="Arial" w:hAnsi="Arial" w:cs="Arial"/>
          <w:iCs/>
          <w:szCs w:val="24"/>
        </w:rPr>
        <w:t>ship</w:t>
      </w:r>
      <w:r>
        <w:rPr>
          <w:rFonts w:ascii="Arial" w:hAnsi="Arial" w:cs="Arial"/>
          <w:iCs/>
          <w:szCs w:val="24"/>
        </w:rPr>
        <w:t xml:space="preserve"> is discussed below under the section "Proposed Code Changes" of this staff report.  </w:t>
      </w:r>
    </w:p>
    <w:p w14:paraId="4490C87F" w14:textId="77777777" w:rsidR="001C5C9A" w:rsidRDefault="001C5C9A" w:rsidP="00A515B0">
      <w:pPr>
        <w:jc w:val="both"/>
        <w:rPr>
          <w:rFonts w:ascii="Arial" w:hAnsi="Arial" w:cs="Arial"/>
          <w:iCs/>
          <w:szCs w:val="24"/>
        </w:rPr>
      </w:pPr>
    </w:p>
    <w:p w14:paraId="01687BD2" w14:textId="77777777" w:rsidR="001C5C9A" w:rsidRDefault="001C5C9A" w:rsidP="00A515B0">
      <w:pPr>
        <w:jc w:val="both"/>
        <w:rPr>
          <w:rFonts w:ascii="Arial" w:hAnsi="Arial" w:cs="Arial"/>
          <w:iCs/>
          <w:szCs w:val="24"/>
        </w:rPr>
      </w:pPr>
      <w:r>
        <w:rPr>
          <w:rFonts w:ascii="Arial" w:hAnsi="Arial" w:cs="Arial"/>
          <w:iCs/>
          <w:szCs w:val="24"/>
        </w:rPr>
        <w:t xml:space="preserve">The Executive would convene the Advisory Committee by March 31, 2022 and once per quarter thereafter. </w:t>
      </w:r>
    </w:p>
    <w:p w14:paraId="2062C5F0" w14:textId="77777777" w:rsidR="001C5C9A" w:rsidRDefault="001C5C9A" w:rsidP="00A515B0">
      <w:pPr>
        <w:jc w:val="both"/>
        <w:rPr>
          <w:rFonts w:ascii="Arial" w:hAnsi="Arial" w:cs="Arial"/>
          <w:iCs/>
          <w:szCs w:val="24"/>
        </w:rPr>
      </w:pPr>
    </w:p>
    <w:p w14:paraId="085046D5" w14:textId="77777777" w:rsidR="001C5C9A" w:rsidRDefault="001C5C9A" w:rsidP="00A515B0">
      <w:pPr>
        <w:jc w:val="both"/>
        <w:rPr>
          <w:rFonts w:ascii="Arial" w:hAnsi="Arial" w:cs="Arial"/>
          <w:iCs/>
          <w:szCs w:val="24"/>
        </w:rPr>
      </w:pPr>
      <w:r>
        <w:rPr>
          <w:rFonts w:ascii="Arial" w:hAnsi="Arial" w:cs="Arial"/>
          <w:iCs/>
          <w:szCs w:val="24"/>
        </w:rPr>
        <w:t xml:space="preserve">The Executive would recruit from: </w:t>
      </w:r>
    </w:p>
    <w:p w14:paraId="0ABA12AA" w14:textId="77777777" w:rsidR="001C5C9A" w:rsidRPr="00113266" w:rsidRDefault="001C5C9A" w:rsidP="00A515B0">
      <w:pPr>
        <w:jc w:val="both"/>
        <w:rPr>
          <w:rFonts w:ascii="Arial" w:hAnsi="Arial" w:cs="Arial"/>
          <w:iCs/>
          <w:szCs w:val="24"/>
          <w:u w:val="single"/>
        </w:rPr>
      </w:pPr>
    </w:p>
    <w:p w14:paraId="1F6AC536" w14:textId="77777777" w:rsidR="001C5C9A" w:rsidRPr="006D423F" w:rsidRDefault="001C5C9A" w:rsidP="00A515B0">
      <w:pPr>
        <w:pStyle w:val="ListParagraph0"/>
        <w:numPr>
          <w:ilvl w:val="0"/>
          <w:numId w:val="23"/>
        </w:numPr>
        <w:spacing w:line="240" w:lineRule="auto"/>
        <w:contextualSpacing/>
        <w:jc w:val="both"/>
        <w:rPr>
          <w:rFonts w:ascii="Arial" w:hAnsi="Arial" w:cs="Arial"/>
          <w:iCs/>
        </w:rPr>
      </w:pPr>
      <w:r>
        <w:rPr>
          <w:rFonts w:ascii="Arial" w:hAnsi="Arial" w:cs="Arial"/>
          <w:iCs/>
        </w:rPr>
        <w:t>R</w:t>
      </w:r>
      <w:r w:rsidRPr="006D423F">
        <w:rPr>
          <w:rFonts w:ascii="Arial" w:hAnsi="Arial" w:cs="Arial"/>
          <w:iCs/>
        </w:rPr>
        <w:t>egional and subregional boards or committees focused on human services or housing</w:t>
      </w:r>
      <w:r>
        <w:rPr>
          <w:rFonts w:ascii="Arial" w:hAnsi="Arial" w:cs="Arial"/>
          <w:iCs/>
        </w:rPr>
        <w:t>;</w:t>
      </w:r>
    </w:p>
    <w:p w14:paraId="5E1C6259" w14:textId="77777777" w:rsidR="001C5C9A" w:rsidRPr="006D423F" w:rsidRDefault="001C5C9A" w:rsidP="00A515B0">
      <w:pPr>
        <w:pStyle w:val="ListParagraph0"/>
        <w:numPr>
          <w:ilvl w:val="0"/>
          <w:numId w:val="22"/>
        </w:numPr>
        <w:spacing w:line="240" w:lineRule="auto"/>
        <w:contextualSpacing/>
        <w:jc w:val="both"/>
        <w:rPr>
          <w:rFonts w:ascii="Arial" w:hAnsi="Arial" w:cs="Arial"/>
          <w:iCs/>
        </w:rPr>
      </w:pPr>
      <w:r w:rsidRPr="006D423F">
        <w:rPr>
          <w:rFonts w:ascii="Arial" w:hAnsi="Arial" w:cs="Arial"/>
          <w:iCs/>
        </w:rPr>
        <w:t xml:space="preserve">County boards overseeing human services or housing </w:t>
      </w:r>
      <w:r>
        <w:rPr>
          <w:rFonts w:ascii="Arial" w:hAnsi="Arial" w:cs="Arial"/>
          <w:iCs/>
        </w:rPr>
        <w:t>m</w:t>
      </w:r>
      <w:r w:rsidRPr="006D423F">
        <w:rPr>
          <w:rFonts w:ascii="Arial" w:hAnsi="Arial" w:cs="Arial"/>
          <w:iCs/>
        </w:rPr>
        <w:t>atters</w:t>
      </w:r>
      <w:r>
        <w:rPr>
          <w:rFonts w:ascii="Arial" w:hAnsi="Arial" w:cs="Arial"/>
          <w:iCs/>
        </w:rPr>
        <w:t>;</w:t>
      </w:r>
    </w:p>
    <w:p w14:paraId="01F5DB99" w14:textId="77777777" w:rsidR="001C5C9A" w:rsidRPr="006D423F" w:rsidRDefault="001C5C9A" w:rsidP="00A515B0">
      <w:pPr>
        <w:pStyle w:val="ListParagraph0"/>
        <w:numPr>
          <w:ilvl w:val="0"/>
          <w:numId w:val="22"/>
        </w:numPr>
        <w:spacing w:line="240" w:lineRule="auto"/>
        <w:contextualSpacing/>
        <w:jc w:val="both"/>
        <w:rPr>
          <w:rFonts w:ascii="Arial" w:hAnsi="Arial" w:cs="Arial"/>
          <w:iCs/>
        </w:rPr>
      </w:pPr>
      <w:r w:rsidRPr="006D423F">
        <w:rPr>
          <w:rFonts w:ascii="Arial" w:hAnsi="Arial" w:cs="Arial"/>
          <w:iCs/>
        </w:rPr>
        <w:t>City-level human services or housing commissions or lead staff from departments supporting such boards, with a priority for cities with populations over 60,000;</w:t>
      </w:r>
      <w:r>
        <w:rPr>
          <w:rFonts w:ascii="Arial" w:hAnsi="Arial" w:cs="Arial"/>
          <w:iCs/>
        </w:rPr>
        <w:t xml:space="preserve"> and</w:t>
      </w:r>
    </w:p>
    <w:p w14:paraId="4FF61D8D" w14:textId="77777777" w:rsidR="001C5C9A" w:rsidRDefault="001C5C9A" w:rsidP="00A515B0">
      <w:pPr>
        <w:pStyle w:val="ListParagraph0"/>
        <w:numPr>
          <w:ilvl w:val="0"/>
          <w:numId w:val="22"/>
        </w:numPr>
        <w:spacing w:line="240" w:lineRule="auto"/>
        <w:contextualSpacing/>
        <w:jc w:val="both"/>
      </w:pPr>
      <w:r w:rsidRPr="006D423F">
        <w:rPr>
          <w:rFonts w:ascii="Arial" w:hAnsi="Arial" w:cs="Arial"/>
          <w:iCs/>
        </w:rPr>
        <w:t>Current and past residents of HtH sites.</w:t>
      </w:r>
    </w:p>
    <w:p w14:paraId="2FD88111" w14:textId="77777777" w:rsidR="001C5C9A" w:rsidRDefault="001C5C9A" w:rsidP="001C5C9A">
      <w:pPr>
        <w:rPr>
          <w:rFonts w:ascii="Arial" w:hAnsi="Arial" w:cs="Arial"/>
          <w:iCs/>
          <w:szCs w:val="24"/>
        </w:rPr>
      </w:pPr>
    </w:p>
    <w:p w14:paraId="1FDC47AA" w14:textId="77777777" w:rsidR="001C5C9A" w:rsidRPr="00416377" w:rsidRDefault="001C5C9A" w:rsidP="00A515B0">
      <w:pPr>
        <w:jc w:val="both"/>
        <w:rPr>
          <w:rFonts w:ascii="Arial" w:hAnsi="Arial" w:cs="Arial"/>
          <w:iCs/>
          <w:szCs w:val="24"/>
        </w:rPr>
      </w:pPr>
      <w:r w:rsidRPr="00410FFC">
        <w:rPr>
          <w:rFonts w:ascii="Arial" w:hAnsi="Arial" w:cs="Arial"/>
          <w:iCs/>
          <w:szCs w:val="24"/>
          <w:u w:val="single"/>
        </w:rPr>
        <w:t>Annual Reporting.</w:t>
      </w:r>
      <w:r>
        <w:rPr>
          <w:rFonts w:ascii="Arial" w:hAnsi="Arial" w:cs="Arial"/>
          <w:iCs/>
          <w:szCs w:val="24"/>
          <w:u w:val="single"/>
        </w:rPr>
        <w:t xml:space="preserve"> </w:t>
      </w:r>
      <w:r>
        <w:rPr>
          <w:rFonts w:ascii="Arial" w:hAnsi="Arial" w:cs="Arial"/>
          <w:iCs/>
          <w:szCs w:val="24"/>
        </w:rPr>
        <w:t>The Advisory Committee would report annually to the Council and public on expenditures, accomplishments, and effectiveness of the HtH initiative through an online HtH dashboard. According to the initial HtH implementation plan, the purpose of using an online dashboard is to increase community access to reporting, use an online platform to present interactive data, allow faster data updates, and reduce environmental impact of printing reports.</w:t>
      </w:r>
    </w:p>
    <w:p w14:paraId="60B5FA1B" w14:textId="77777777" w:rsidR="001C5C9A" w:rsidRDefault="001C5C9A" w:rsidP="00A515B0">
      <w:pPr>
        <w:jc w:val="both"/>
        <w:rPr>
          <w:rFonts w:ascii="Arial" w:hAnsi="Arial" w:cs="Arial"/>
        </w:rPr>
      </w:pPr>
    </w:p>
    <w:p w14:paraId="4048C43C" w14:textId="77777777" w:rsidR="001C5C9A" w:rsidRDefault="001C5C9A" w:rsidP="00A515B0">
      <w:pPr>
        <w:jc w:val="both"/>
        <w:rPr>
          <w:rFonts w:ascii="Arial" w:hAnsi="Arial" w:cs="Arial"/>
        </w:rPr>
      </w:pPr>
      <w:r>
        <w:rPr>
          <w:rFonts w:ascii="Arial" w:hAnsi="Arial" w:cs="Arial"/>
        </w:rPr>
        <w:t>The dashboard would be updated by June 15 each year starting in 2023 and would include, at a minimum:</w:t>
      </w:r>
    </w:p>
    <w:p w14:paraId="429D1740" w14:textId="77777777" w:rsidR="001C5C9A" w:rsidRDefault="001C5C9A" w:rsidP="00A515B0">
      <w:pPr>
        <w:jc w:val="both"/>
        <w:rPr>
          <w:rFonts w:ascii="Arial" w:hAnsi="Arial" w:cs="Arial"/>
        </w:rPr>
      </w:pPr>
    </w:p>
    <w:p w14:paraId="1F91C9D8"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A list of Advisory Committee members;</w:t>
      </w:r>
    </w:p>
    <w:p w14:paraId="36F923E8"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A map of locations of sites constructed or acquired, and locations and numbers of housing units;</w:t>
      </w:r>
    </w:p>
    <w:p w14:paraId="0EE35D37"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lastRenderedPageBreak/>
        <w:t>Demographic data of population residing in HtH-funding housing, including race and ethnicity;</w:t>
      </w:r>
    </w:p>
    <w:p w14:paraId="437BC9F7"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HtH initiative financial information, including annual revenue, allocation of proceeds for housing and operations to jurisdictions with HtH sites, actual expenditures of previous year’s proceeds among expenditure categories;</w:t>
      </w:r>
    </w:p>
    <w:p w14:paraId="7EFFF167" w14:textId="77777777" w:rsidR="001C5C9A" w:rsidRDefault="001C5C9A" w:rsidP="00A515B0">
      <w:pPr>
        <w:pStyle w:val="ListParagraph0"/>
        <w:numPr>
          <w:ilvl w:val="0"/>
          <w:numId w:val="21"/>
        </w:numPr>
        <w:spacing w:line="240" w:lineRule="auto"/>
        <w:contextualSpacing/>
        <w:jc w:val="both"/>
        <w:rPr>
          <w:rFonts w:ascii="Arial" w:hAnsi="Arial" w:cs="Arial"/>
        </w:rPr>
      </w:pPr>
      <w:r>
        <w:rPr>
          <w:rFonts w:ascii="Arial" w:hAnsi="Arial" w:cs="Arial"/>
        </w:rPr>
        <w:t>Data on how HtH performs on the following population-level and program performance measures:</w:t>
      </w:r>
    </w:p>
    <w:p w14:paraId="3BDCF31B"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Cumulative number of people who moved from chronic homelessness into permanent housing via HtH</w:t>
      </w:r>
    </w:p>
    <w:p w14:paraId="266721DC"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Progress on reducing disproportionality in experience of chronic homelessness</w:t>
      </w:r>
    </w:p>
    <w:p w14:paraId="5D8AC099"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Percentage of residents who maintain their housing in HtH or exit to permanent housing from HtH-funded emergency or permanent supportive housing</w:t>
      </w:r>
    </w:p>
    <w:p w14:paraId="2F0B98F5"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Average length of stay of residents in HtH-funded emergency or permanent supportive housing</w:t>
      </w:r>
    </w:p>
    <w:p w14:paraId="6AF7ADA4" w14:textId="77777777" w:rsidR="001C5C9A"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Percentage of residents who receive physical or behavioral healthcare supports or care while residing in a HtH unit</w:t>
      </w:r>
    </w:p>
    <w:p w14:paraId="3ACD6716" w14:textId="77777777" w:rsidR="001C5C9A" w:rsidRPr="008E5949" w:rsidRDefault="001C5C9A" w:rsidP="00A515B0">
      <w:pPr>
        <w:pStyle w:val="ListParagraph0"/>
        <w:numPr>
          <w:ilvl w:val="1"/>
          <w:numId w:val="21"/>
        </w:numPr>
        <w:spacing w:line="240" w:lineRule="auto"/>
        <w:contextualSpacing/>
        <w:jc w:val="both"/>
        <w:rPr>
          <w:rFonts w:ascii="Arial" w:hAnsi="Arial" w:cs="Arial"/>
        </w:rPr>
      </w:pPr>
      <w:r>
        <w:rPr>
          <w:rFonts w:ascii="Arial" w:hAnsi="Arial" w:cs="Arial"/>
        </w:rPr>
        <w:t>Additional measures of improvements in health or well-being, as data are available</w:t>
      </w:r>
    </w:p>
    <w:p w14:paraId="76F41714" w14:textId="0D264B43" w:rsidR="00B65A9E" w:rsidRPr="00A62F1C" w:rsidRDefault="00B65A9E" w:rsidP="00A515B0">
      <w:pPr>
        <w:jc w:val="both"/>
        <w:rPr>
          <w:rFonts w:ascii="Arial" w:hAnsi="Arial" w:cs="Arial"/>
          <w:i/>
          <w:szCs w:val="24"/>
        </w:rPr>
      </w:pPr>
    </w:p>
    <w:p w14:paraId="09F94176" w14:textId="182ACCCB" w:rsidR="00E0219F" w:rsidRPr="00E0219F" w:rsidRDefault="00B65A9E" w:rsidP="00A515B0">
      <w:pPr>
        <w:jc w:val="both"/>
        <w:rPr>
          <w:rFonts w:ascii="Arial" w:hAnsi="Arial" w:cs="Arial"/>
          <w:iCs/>
          <w:szCs w:val="24"/>
        </w:rPr>
      </w:pPr>
      <w:r w:rsidRPr="00A62F1C">
        <w:rPr>
          <w:rFonts w:ascii="Arial" w:hAnsi="Arial" w:cs="Arial"/>
          <w:i/>
          <w:szCs w:val="24"/>
        </w:rPr>
        <w:t>Communication and Partnership Plan.</w:t>
      </w:r>
      <w:r w:rsidR="00B26A7B" w:rsidRPr="00A62F1C">
        <w:rPr>
          <w:rFonts w:ascii="Arial" w:hAnsi="Arial" w:cs="Arial"/>
          <w:i/>
          <w:szCs w:val="24"/>
        </w:rPr>
        <w:t xml:space="preserve"> </w:t>
      </w:r>
      <w:r w:rsidR="00E0219F">
        <w:rPr>
          <w:rFonts w:ascii="Arial" w:hAnsi="Arial" w:cs="Arial"/>
          <w:i/>
          <w:szCs w:val="24"/>
        </w:rPr>
        <w:t xml:space="preserve"> </w:t>
      </w:r>
      <w:r w:rsidR="00E0219F" w:rsidRPr="00E0219F">
        <w:rPr>
          <w:rFonts w:ascii="Arial" w:hAnsi="Arial" w:cs="Arial"/>
          <w:iCs/>
          <w:szCs w:val="24"/>
        </w:rPr>
        <w:t>The Communication and Partnership Plan section would lay out communication and outreach protocols that King County will use to work with cities and other partners.  This Plan would include communication in the following categories:</w:t>
      </w:r>
    </w:p>
    <w:p w14:paraId="42756130" w14:textId="77777777" w:rsidR="00E0219F" w:rsidRDefault="00E0219F" w:rsidP="00A515B0">
      <w:pPr>
        <w:jc w:val="both"/>
        <w:rPr>
          <w:rFonts w:ascii="Arial" w:hAnsi="Arial" w:cs="Arial"/>
          <w:iCs/>
          <w:szCs w:val="24"/>
        </w:rPr>
      </w:pPr>
    </w:p>
    <w:p w14:paraId="3A50FCA5" w14:textId="56DA9697" w:rsid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Informing jurisdictions across King County about HtH implementation progress.</w:t>
      </w:r>
      <w:r w:rsidRPr="00E0219F">
        <w:rPr>
          <w:rFonts w:ascii="Arial" w:hAnsi="Arial" w:cs="Arial"/>
          <w:iCs/>
        </w:rPr>
        <w:t xml:space="preserve">  This would be primarily through HtH Advisory Committee meetings, informational updates and annual presentations to the County Council, as well as the </w:t>
      </w:r>
      <w:r w:rsidR="00CD4590" w:rsidRPr="00E0219F">
        <w:rPr>
          <w:rFonts w:ascii="Arial" w:hAnsi="Arial" w:cs="Arial"/>
          <w:iCs/>
        </w:rPr>
        <w:t>ARCH Board</w:t>
      </w:r>
      <w:r w:rsidRPr="00E0219F">
        <w:rPr>
          <w:rFonts w:ascii="Arial" w:hAnsi="Arial" w:cs="Arial"/>
          <w:iCs/>
        </w:rPr>
        <w:t>, SKHHP Board</w:t>
      </w:r>
      <w:r w:rsidR="003A0C6C">
        <w:rPr>
          <w:rFonts w:ascii="Arial" w:hAnsi="Arial" w:cs="Arial"/>
          <w:iCs/>
        </w:rPr>
        <w:t>,</w:t>
      </w:r>
      <w:r w:rsidRPr="00E0219F">
        <w:rPr>
          <w:rFonts w:ascii="Arial" w:hAnsi="Arial" w:cs="Arial"/>
          <w:iCs/>
        </w:rPr>
        <w:t xml:space="preserve"> and city councils of cities with populations above 60,000.</w:t>
      </w:r>
    </w:p>
    <w:p w14:paraId="438A1F6B" w14:textId="77777777" w:rsidR="00E0219F" w:rsidRPr="00E0219F" w:rsidRDefault="00E0219F" w:rsidP="00A515B0">
      <w:pPr>
        <w:pStyle w:val="ListParagraph0"/>
        <w:jc w:val="both"/>
        <w:rPr>
          <w:rFonts w:ascii="Arial" w:hAnsi="Arial" w:cs="Arial"/>
          <w:iCs/>
        </w:rPr>
      </w:pPr>
    </w:p>
    <w:p w14:paraId="4FF9294C" w14:textId="7A16413D" w:rsidR="00E0219F" w:rsidRP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Siting of New HtH Sites.</w:t>
      </w:r>
      <w:r w:rsidRPr="00E0219F">
        <w:rPr>
          <w:rFonts w:ascii="Arial" w:hAnsi="Arial" w:cs="Arial"/>
          <w:iCs/>
        </w:rPr>
        <w:t xml:space="preserve">  The Plan assumes acquisitions to accomplish the paramount goal of 1,600 units will be complete by the end of 2021.  However, this section of the Communications and Partnership Plan states that, if additional properties are purchased, DCHS would follow noticing and siting process requirements as outlined in Strategy 6 (discuss</w:t>
      </w:r>
      <w:r w:rsidR="003A0C6C">
        <w:rPr>
          <w:rFonts w:ascii="Arial" w:hAnsi="Arial" w:cs="Arial"/>
          <w:iCs/>
        </w:rPr>
        <w:t>ed</w:t>
      </w:r>
      <w:r w:rsidRPr="00E0219F">
        <w:rPr>
          <w:rFonts w:ascii="Arial" w:hAnsi="Arial" w:cs="Arial"/>
          <w:iCs/>
        </w:rPr>
        <w:t xml:space="preserve"> above).  That strategy states that a city must agree for a site to be acquired within that city.</w:t>
      </w:r>
    </w:p>
    <w:p w14:paraId="05FD896A" w14:textId="77777777" w:rsidR="00E0219F" w:rsidRDefault="00E0219F" w:rsidP="00A515B0">
      <w:pPr>
        <w:jc w:val="both"/>
        <w:rPr>
          <w:rFonts w:ascii="Arial" w:hAnsi="Arial" w:cs="Arial"/>
          <w:iCs/>
          <w:szCs w:val="24"/>
        </w:rPr>
      </w:pPr>
    </w:p>
    <w:p w14:paraId="24B21CE8" w14:textId="12B35CD8" w:rsidR="00E0219F" w:rsidRP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Leasing Up and Operating Sites.</w:t>
      </w:r>
      <w:r w:rsidRPr="00E0219F">
        <w:rPr>
          <w:rFonts w:ascii="Arial" w:hAnsi="Arial" w:cs="Arial"/>
          <w:iCs/>
        </w:rPr>
        <w:t xml:space="preserve">  DCHS would partner with host jurisdictions on leasing and operating specifics, including jointly selecting operators and service providers.  HtH sites would also have a code of conduct agreement, referred to in the Plan as a "Good Neighbor Commitment". </w:t>
      </w:r>
    </w:p>
    <w:p w14:paraId="1440D25D" w14:textId="77777777" w:rsidR="00E0219F" w:rsidRDefault="00E0219F" w:rsidP="00A515B0">
      <w:pPr>
        <w:jc w:val="both"/>
        <w:rPr>
          <w:rFonts w:ascii="Arial" w:hAnsi="Arial" w:cs="Arial"/>
          <w:iCs/>
          <w:szCs w:val="24"/>
        </w:rPr>
      </w:pPr>
    </w:p>
    <w:p w14:paraId="1121F986" w14:textId="778A6B3C" w:rsidR="00B65A9E" w:rsidRPr="00E0219F" w:rsidRDefault="00E0219F" w:rsidP="00A515B0">
      <w:pPr>
        <w:pStyle w:val="ListParagraph0"/>
        <w:numPr>
          <w:ilvl w:val="0"/>
          <w:numId w:val="16"/>
        </w:numPr>
        <w:jc w:val="both"/>
        <w:rPr>
          <w:rFonts w:ascii="Arial" w:hAnsi="Arial" w:cs="Arial"/>
          <w:iCs/>
        </w:rPr>
      </w:pPr>
      <w:r w:rsidRPr="00E0219F">
        <w:rPr>
          <w:rFonts w:ascii="Arial" w:hAnsi="Arial" w:cs="Arial"/>
          <w:iCs/>
          <w:u w:val="single"/>
        </w:rPr>
        <w:t>Ongoing Management of HtH Sites.</w:t>
      </w:r>
      <w:r w:rsidRPr="00E0219F">
        <w:rPr>
          <w:rFonts w:ascii="Arial" w:hAnsi="Arial" w:cs="Arial"/>
          <w:iCs/>
        </w:rPr>
        <w:t xml:space="preserve">  Cities that host HtH sites would receive additional communication with DCHS.  HtH site operators and providers would be required to work with DCHS and host jurisdictions on any challenges, including for program outcomes and good neighbor agreements.  Additionally, DCHS </w:t>
      </w:r>
      <w:r w:rsidRPr="00E0219F">
        <w:rPr>
          <w:rFonts w:ascii="Arial" w:hAnsi="Arial" w:cs="Arial"/>
          <w:iCs/>
        </w:rPr>
        <w:lastRenderedPageBreak/>
        <w:t>would commit to at least annual meetings between DCHS, the host jurisdiction and site contractors.  DCHS would additionally commit to annual city council briefings for host jurisdictions.</w:t>
      </w:r>
    </w:p>
    <w:p w14:paraId="58F106ED" w14:textId="31A399BA" w:rsidR="00B65A9E" w:rsidRPr="00A62F1C" w:rsidRDefault="00B65A9E" w:rsidP="00C97FBC">
      <w:pPr>
        <w:rPr>
          <w:rFonts w:ascii="Arial" w:hAnsi="Arial" w:cs="Arial"/>
          <w:iCs/>
          <w:szCs w:val="24"/>
        </w:rPr>
      </w:pPr>
    </w:p>
    <w:p w14:paraId="70C8C6FD" w14:textId="47E51177" w:rsidR="001C5C9A" w:rsidRDefault="00B65A9E" w:rsidP="00A515B0">
      <w:pPr>
        <w:jc w:val="both"/>
        <w:rPr>
          <w:rFonts w:ascii="Arial" w:hAnsi="Arial" w:cs="Arial"/>
        </w:rPr>
      </w:pPr>
      <w:r w:rsidRPr="00A62F1C">
        <w:rPr>
          <w:rFonts w:ascii="Arial" w:hAnsi="Arial" w:cs="Arial"/>
          <w:b/>
          <w:bCs/>
          <w:iCs/>
          <w:szCs w:val="24"/>
        </w:rPr>
        <w:t>Proposed Code Changes.</w:t>
      </w:r>
      <w:r w:rsidR="00D858C0" w:rsidRPr="00A62F1C">
        <w:rPr>
          <w:rFonts w:ascii="Arial" w:hAnsi="Arial" w:cs="Arial"/>
          <w:b/>
          <w:bCs/>
          <w:iCs/>
          <w:szCs w:val="24"/>
        </w:rPr>
        <w:t xml:space="preserve"> </w:t>
      </w:r>
      <w:r w:rsidR="001C5C9A">
        <w:rPr>
          <w:rFonts w:ascii="Arial" w:hAnsi="Arial" w:cs="Arial"/>
          <w:iCs/>
          <w:szCs w:val="24"/>
        </w:rPr>
        <w:t xml:space="preserve"> </w:t>
      </w:r>
      <w:r w:rsidR="001C5C9A" w:rsidRPr="001C5C9A">
        <w:rPr>
          <w:rFonts w:ascii="Arial" w:hAnsi="Arial" w:cs="Arial"/>
        </w:rPr>
        <w:t xml:space="preserve">The </w:t>
      </w:r>
      <w:r w:rsidR="001C5C9A">
        <w:rPr>
          <w:rFonts w:ascii="Arial" w:hAnsi="Arial" w:cs="Arial"/>
        </w:rPr>
        <w:t>proposed ordinance would add a new section to K</w:t>
      </w:r>
      <w:r w:rsidR="00F871B1">
        <w:rPr>
          <w:rFonts w:ascii="Arial" w:hAnsi="Arial" w:cs="Arial"/>
        </w:rPr>
        <w:t>.</w:t>
      </w:r>
      <w:r w:rsidR="001C5C9A">
        <w:rPr>
          <w:rFonts w:ascii="Arial" w:hAnsi="Arial" w:cs="Arial"/>
        </w:rPr>
        <w:t>C</w:t>
      </w:r>
      <w:r w:rsidR="00F871B1">
        <w:rPr>
          <w:rFonts w:ascii="Arial" w:hAnsi="Arial" w:cs="Arial"/>
        </w:rPr>
        <w:t>.</w:t>
      </w:r>
      <w:r w:rsidR="001C5C9A">
        <w:rPr>
          <w:rFonts w:ascii="Arial" w:hAnsi="Arial" w:cs="Arial"/>
        </w:rPr>
        <w:t>C</w:t>
      </w:r>
      <w:r w:rsidR="00F871B1">
        <w:rPr>
          <w:rFonts w:ascii="Arial" w:hAnsi="Arial" w:cs="Arial"/>
        </w:rPr>
        <w:t>.</w:t>
      </w:r>
      <w:r w:rsidR="001C5C9A">
        <w:rPr>
          <w:rFonts w:ascii="Arial" w:hAnsi="Arial" w:cs="Arial"/>
        </w:rPr>
        <w:t xml:space="preserve"> 2A.300 establishing the HtH Advisory Committee. The Advisory Committee would be created to provide advice to the Executive and Council and report annually to the Council and community on accomplishments and effectiveness of the sales tax.</w:t>
      </w:r>
    </w:p>
    <w:p w14:paraId="6186D8EF" w14:textId="77777777" w:rsidR="001C5C9A" w:rsidRDefault="001C5C9A" w:rsidP="00A515B0">
      <w:pPr>
        <w:jc w:val="both"/>
        <w:rPr>
          <w:rFonts w:ascii="Arial" w:hAnsi="Arial" w:cs="Arial"/>
        </w:rPr>
      </w:pPr>
    </w:p>
    <w:p w14:paraId="0D3D40F0" w14:textId="77777777" w:rsidR="001C5C9A" w:rsidRDefault="001C5C9A" w:rsidP="00A515B0">
      <w:pPr>
        <w:jc w:val="both"/>
        <w:rPr>
          <w:rFonts w:ascii="Arial" w:hAnsi="Arial" w:cs="Arial"/>
        </w:rPr>
      </w:pPr>
      <w:r>
        <w:rPr>
          <w:rFonts w:ascii="Arial" w:hAnsi="Arial" w:cs="Arial"/>
        </w:rPr>
        <w:t>The new section would establish requirements of committee membership, appointments, and reporting:</w:t>
      </w:r>
    </w:p>
    <w:p w14:paraId="01F0F130" w14:textId="77777777" w:rsidR="001C5C9A" w:rsidRPr="0051529F" w:rsidRDefault="001C5C9A" w:rsidP="00A515B0">
      <w:pPr>
        <w:jc w:val="both"/>
        <w:rPr>
          <w:rFonts w:ascii="Arial" w:hAnsi="Arial" w:cs="Arial"/>
          <w:i/>
          <w:iCs/>
        </w:rPr>
      </w:pPr>
    </w:p>
    <w:p w14:paraId="1361622E"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Annual reporting would include information on allocation by jurisdiction of sales and use tax proceeds.</w:t>
      </w:r>
    </w:p>
    <w:p w14:paraId="1A004AD8"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Beginning in 2023, the Committee would send an electronic letter to the Executive and Clerk of the Council by June 15 notifying that annual reporting through a website update is available for review.</w:t>
      </w:r>
    </w:p>
    <w:p w14:paraId="1843F991" w14:textId="77777777" w:rsidR="001C5C9A" w:rsidRDefault="001C5C9A" w:rsidP="00A515B0">
      <w:pPr>
        <w:jc w:val="both"/>
        <w:rPr>
          <w:rFonts w:ascii="Arial" w:hAnsi="Arial" w:cs="Arial"/>
        </w:rPr>
      </w:pPr>
    </w:p>
    <w:p w14:paraId="02C9F2E4" w14:textId="10BBBB82" w:rsidR="001C5C9A" w:rsidRDefault="001C5C9A" w:rsidP="00A515B0">
      <w:pPr>
        <w:jc w:val="both"/>
        <w:rPr>
          <w:rFonts w:ascii="Arial" w:hAnsi="Arial" w:cs="Arial"/>
        </w:rPr>
      </w:pPr>
      <w:r w:rsidRPr="00A93384">
        <w:rPr>
          <w:rFonts w:ascii="Arial" w:hAnsi="Arial" w:cs="Arial"/>
        </w:rPr>
        <w:t xml:space="preserve">The Committee </w:t>
      </w:r>
      <w:r>
        <w:rPr>
          <w:rFonts w:ascii="Arial" w:hAnsi="Arial" w:cs="Arial"/>
        </w:rPr>
        <w:t>would</w:t>
      </w:r>
      <w:r w:rsidRPr="00A93384">
        <w:rPr>
          <w:rFonts w:ascii="Arial" w:hAnsi="Arial" w:cs="Arial"/>
        </w:rPr>
        <w:t xml:space="preserve"> comprise </w:t>
      </w:r>
      <w:r>
        <w:rPr>
          <w:rFonts w:ascii="Arial" w:hAnsi="Arial" w:cs="Arial"/>
        </w:rPr>
        <w:t xml:space="preserve">of </w:t>
      </w:r>
      <w:r w:rsidRPr="00A93384">
        <w:rPr>
          <w:rFonts w:ascii="Arial" w:hAnsi="Arial" w:cs="Arial"/>
        </w:rPr>
        <w:t>12 to 16 members appointed by the Executive.</w:t>
      </w:r>
      <w:r>
        <w:rPr>
          <w:rFonts w:ascii="Arial" w:hAnsi="Arial" w:cs="Arial"/>
        </w:rPr>
        <w:t xml:space="preserve"> </w:t>
      </w:r>
      <w:r w:rsidRPr="00A93384">
        <w:rPr>
          <w:rFonts w:ascii="Arial" w:hAnsi="Arial" w:cs="Arial"/>
        </w:rPr>
        <w:t xml:space="preserve">Membership </w:t>
      </w:r>
      <w:r>
        <w:rPr>
          <w:rFonts w:ascii="Arial" w:hAnsi="Arial" w:cs="Arial"/>
        </w:rPr>
        <w:t>would</w:t>
      </w:r>
      <w:r w:rsidRPr="00A93384">
        <w:rPr>
          <w:rFonts w:ascii="Arial" w:hAnsi="Arial" w:cs="Arial"/>
        </w:rPr>
        <w:t xml:space="preserve"> include</w:t>
      </w:r>
      <w:r w:rsidR="00BD6B60">
        <w:rPr>
          <w:rFonts w:ascii="Arial" w:hAnsi="Arial" w:cs="Arial"/>
        </w:rPr>
        <w:t xml:space="preserve"> the following:</w:t>
      </w:r>
      <w:r w:rsidR="00BD6B60">
        <w:rPr>
          <w:rStyle w:val="FootnoteReference"/>
          <w:rFonts w:ascii="Arial" w:hAnsi="Arial" w:cs="Arial"/>
        </w:rPr>
        <w:footnoteReference w:id="43"/>
      </w:r>
    </w:p>
    <w:p w14:paraId="1877C5AF" w14:textId="77777777" w:rsidR="001C5C9A" w:rsidRPr="00A93384" w:rsidRDefault="001C5C9A" w:rsidP="00A515B0">
      <w:pPr>
        <w:jc w:val="both"/>
        <w:rPr>
          <w:rFonts w:ascii="Arial" w:hAnsi="Arial" w:cs="Arial"/>
        </w:rPr>
      </w:pPr>
    </w:p>
    <w:p w14:paraId="45E78E89" w14:textId="4D08577A"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Persons who have experienced homelessness;</w:t>
      </w:r>
    </w:p>
    <w:p w14:paraId="5F5404F2" w14:textId="705FDC12"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Persons representative of racial and ethnic communities that are demographically disproportionately represented among persons experiencing chronic homelessness in King County;</w:t>
      </w:r>
    </w:p>
    <w:p w14:paraId="354E9653"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Residents of cities with populations greater than 60,000 and of unincorporated areas; and</w:t>
      </w:r>
    </w:p>
    <w:p w14:paraId="22E9C2E6" w14:textId="77777777" w:rsidR="001C5C9A" w:rsidRDefault="001C5C9A" w:rsidP="00A515B0">
      <w:pPr>
        <w:pStyle w:val="ListParagraph0"/>
        <w:numPr>
          <w:ilvl w:val="0"/>
          <w:numId w:val="24"/>
        </w:numPr>
        <w:spacing w:line="240" w:lineRule="auto"/>
        <w:contextualSpacing/>
        <w:jc w:val="both"/>
        <w:rPr>
          <w:rFonts w:ascii="Arial" w:hAnsi="Arial" w:cs="Arial"/>
        </w:rPr>
      </w:pPr>
      <w:r>
        <w:rPr>
          <w:rFonts w:ascii="Arial" w:hAnsi="Arial" w:cs="Arial"/>
        </w:rPr>
        <w:t>Representatives from other county, city and subregional boards, commissions, or committees.</w:t>
      </w:r>
    </w:p>
    <w:p w14:paraId="7CE6B5BC" w14:textId="77777777" w:rsidR="001C5C9A" w:rsidRDefault="001C5C9A" w:rsidP="00A515B0">
      <w:pPr>
        <w:jc w:val="both"/>
        <w:rPr>
          <w:rFonts w:ascii="Arial" w:hAnsi="Arial" w:cs="Arial"/>
        </w:rPr>
      </w:pPr>
    </w:p>
    <w:p w14:paraId="39D6F8BD" w14:textId="77777777" w:rsidR="001C5C9A" w:rsidRPr="00A93384" w:rsidRDefault="001C5C9A" w:rsidP="00A515B0">
      <w:pPr>
        <w:jc w:val="both"/>
        <w:rPr>
          <w:rFonts w:ascii="Arial" w:hAnsi="Arial" w:cs="Arial"/>
        </w:rPr>
      </w:pPr>
      <w:r w:rsidRPr="00A93384">
        <w:rPr>
          <w:rFonts w:ascii="Arial" w:hAnsi="Arial" w:cs="Arial"/>
        </w:rPr>
        <w:t xml:space="preserve">The Executive </w:t>
      </w:r>
      <w:r>
        <w:rPr>
          <w:rFonts w:ascii="Arial" w:hAnsi="Arial" w:cs="Arial"/>
        </w:rPr>
        <w:t>would</w:t>
      </w:r>
      <w:r w:rsidRPr="00A93384">
        <w:rPr>
          <w:rFonts w:ascii="Arial" w:hAnsi="Arial" w:cs="Arial"/>
        </w:rPr>
        <w:t xml:space="preserve"> provide notice to the Council with the name, biography, and term of each proposed member. </w:t>
      </w:r>
      <w:r>
        <w:rPr>
          <w:rFonts w:ascii="Arial" w:hAnsi="Arial" w:cs="Arial"/>
        </w:rPr>
        <w:t xml:space="preserve">Under the proposed ordinance, no Council confirmation would be required.  Instead, </w:t>
      </w:r>
      <w:r w:rsidRPr="00A93384">
        <w:rPr>
          <w:rFonts w:ascii="Arial" w:hAnsi="Arial" w:cs="Arial"/>
        </w:rPr>
        <w:t xml:space="preserve">the Council </w:t>
      </w:r>
      <w:r>
        <w:rPr>
          <w:rFonts w:ascii="Arial" w:hAnsi="Arial" w:cs="Arial"/>
        </w:rPr>
        <w:t>would be able to adopt</w:t>
      </w:r>
      <w:r w:rsidRPr="00A93384">
        <w:rPr>
          <w:rFonts w:ascii="Arial" w:hAnsi="Arial" w:cs="Arial"/>
        </w:rPr>
        <w:t xml:space="preserve"> a motion requesting changes to the proposed appointments within 30 days of receipt of the Executive’s notice</w:t>
      </w:r>
      <w:r>
        <w:rPr>
          <w:rFonts w:ascii="Arial" w:hAnsi="Arial" w:cs="Arial"/>
        </w:rPr>
        <w:t xml:space="preserve">.  Otherwise, </w:t>
      </w:r>
      <w:r w:rsidRPr="00A93384">
        <w:rPr>
          <w:rFonts w:ascii="Arial" w:hAnsi="Arial" w:cs="Arial"/>
        </w:rPr>
        <w:t xml:space="preserve">the Executive </w:t>
      </w:r>
      <w:r>
        <w:rPr>
          <w:rFonts w:ascii="Arial" w:hAnsi="Arial" w:cs="Arial"/>
        </w:rPr>
        <w:t>would be able to</w:t>
      </w:r>
      <w:r w:rsidRPr="00A93384">
        <w:rPr>
          <w:rFonts w:ascii="Arial" w:hAnsi="Arial" w:cs="Arial"/>
        </w:rPr>
        <w:t xml:space="preserve"> proceed with appointments set forth in the notice.</w:t>
      </w:r>
    </w:p>
    <w:p w14:paraId="071145DA" w14:textId="77777777" w:rsidR="001C5C9A" w:rsidRDefault="001C5C9A" w:rsidP="00A515B0">
      <w:pPr>
        <w:jc w:val="both"/>
        <w:rPr>
          <w:rFonts w:ascii="Arial" w:hAnsi="Arial" w:cs="Arial"/>
        </w:rPr>
      </w:pPr>
    </w:p>
    <w:p w14:paraId="6C4D3010" w14:textId="4E27E4B5" w:rsidR="00B65A9E" w:rsidRPr="001C5C9A" w:rsidRDefault="001C5C9A" w:rsidP="00A515B0">
      <w:pPr>
        <w:jc w:val="both"/>
        <w:rPr>
          <w:rFonts w:ascii="Arial" w:hAnsi="Arial" w:cs="Arial"/>
        </w:rPr>
      </w:pPr>
      <w:r w:rsidRPr="00A93384">
        <w:rPr>
          <w:rFonts w:ascii="Arial" w:hAnsi="Arial" w:cs="Arial"/>
        </w:rPr>
        <w:t xml:space="preserve">The Executive </w:t>
      </w:r>
      <w:r>
        <w:rPr>
          <w:rFonts w:ascii="Arial" w:hAnsi="Arial" w:cs="Arial"/>
        </w:rPr>
        <w:t>would</w:t>
      </w:r>
      <w:r w:rsidRPr="00A93384">
        <w:rPr>
          <w:rFonts w:ascii="Arial" w:hAnsi="Arial" w:cs="Arial"/>
        </w:rPr>
        <w:t xml:space="preserve"> establish initial terms of appointment. One-third of positions</w:t>
      </w:r>
      <w:r>
        <w:rPr>
          <w:rFonts w:ascii="Arial" w:hAnsi="Arial" w:cs="Arial"/>
        </w:rPr>
        <w:t xml:space="preserve"> would</w:t>
      </w:r>
      <w:r w:rsidRPr="00A93384">
        <w:rPr>
          <w:rFonts w:ascii="Arial" w:hAnsi="Arial" w:cs="Arial"/>
        </w:rPr>
        <w:t xml:space="preserve"> have initial terms of 2 years, </w:t>
      </w:r>
      <w:r>
        <w:rPr>
          <w:rFonts w:ascii="Arial" w:hAnsi="Arial" w:cs="Arial"/>
        </w:rPr>
        <w:t xml:space="preserve">1/3 would </w:t>
      </w:r>
      <w:r w:rsidRPr="00A93384">
        <w:rPr>
          <w:rFonts w:ascii="Arial" w:hAnsi="Arial" w:cs="Arial"/>
        </w:rPr>
        <w:t xml:space="preserve">have initial terms of 3 years, and </w:t>
      </w:r>
      <w:r>
        <w:rPr>
          <w:rFonts w:ascii="Arial" w:hAnsi="Arial" w:cs="Arial"/>
        </w:rPr>
        <w:t xml:space="preserve">1/3 would </w:t>
      </w:r>
      <w:r w:rsidRPr="00A93384">
        <w:rPr>
          <w:rFonts w:ascii="Arial" w:hAnsi="Arial" w:cs="Arial"/>
        </w:rPr>
        <w:t xml:space="preserve">have </w:t>
      </w:r>
      <w:r w:rsidRPr="00A93384">
        <w:rPr>
          <w:rFonts w:ascii="Arial" w:hAnsi="Arial" w:cs="Arial"/>
        </w:rPr>
        <w:lastRenderedPageBreak/>
        <w:t>initial terms of 4 years. Subsequent terms are 4 years. Members may not serve for more than 4 consecutive years.</w:t>
      </w:r>
    </w:p>
    <w:p w14:paraId="262AD58E" w14:textId="544F6919" w:rsidR="00B65A9E" w:rsidRPr="00A62F1C" w:rsidRDefault="00B65A9E" w:rsidP="00A515B0">
      <w:pPr>
        <w:jc w:val="both"/>
        <w:rPr>
          <w:rFonts w:ascii="Arial" w:hAnsi="Arial" w:cs="Arial"/>
          <w:b/>
          <w:bCs/>
          <w:iCs/>
          <w:szCs w:val="24"/>
        </w:rPr>
      </w:pPr>
    </w:p>
    <w:p w14:paraId="12E79E6A" w14:textId="2D927474" w:rsidR="00B65A9E" w:rsidRPr="00A62F1C" w:rsidRDefault="00B65A9E" w:rsidP="00A515B0">
      <w:pPr>
        <w:jc w:val="both"/>
        <w:rPr>
          <w:rFonts w:ascii="Arial" w:hAnsi="Arial" w:cs="Arial"/>
          <w:iCs/>
          <w:szCs w:val="24"/>
        </w:rPr>
      </w:pPr>
      <w:bookmarkStart w:id="1" w:name="_Hlk82587284"/>
      <w:r w:rsidRPr="00A62F1C">
        <w:rPr>
          <w:rFonts w:ascii="Arial" w:hAnsi="Arial" w:cs="Arial"/>
          <w:b/>
          <w:bCs/>
          <w:iCs/>
          <w:szCs w:val="24"/>
        </w:rPr>
        <w:t xml:space="preserve">Compliance with Ordinance 19179 and 19236. </w:t>
      </w:r>
      <w:r w:rsidR="0081796B">
        <w:rPr>
          <w:rFonts w:ascii="Arial" w:hAnsi="Arial" w:cs="Arial"/>
          <w:iCs/>
          <w:szCs w:val="24"/>
        </w:rPr>
        <w:t xml:space="preserve"> Council staff has reviewed the proposed Plan to confirm inclusion of all components required in Ordinance 19236—the ordinance requiring development of an Implementation Plan—and for compliance with Ordinance 19179, which imposed the sales and use tax.  Council staff have not found any missing components that were not included in the transmitted Plan, nor have they found any issues of noncompliance with the ordinance imposing the sales tax.  Appendix C of the Plan reviews these requirements in detail.</w:t>
      </w:r>
    </w:p>
    <w:bookmarkEnd w:id="1"/>
    <w:p w14:paraId="1BB51814" w14:textId="0D6989FD" w:rsidR="00144E12" w:rsidRPr="00A62F1C" w:rsidRDefault="00144E12" w:rsidP="00A515B0">
      <w:pPr>
        <w:jc w:val="both"/>
        <w:rPr>
          <w:rFonts w:ascii="Arial" w:hAnsi="Arial" w:cs="Arial"/>
          <w:iCs/>
          <w:szCs w:val="24"/>
        </w:rPr>
      </w:pPr>
    </w:p>
    <w:p w14:paraId="224B34DD" w14:textId="77777777" w:rsidR="00A42008" w:rsidRPr="00A62F1C" w:rsidRDefault="00144E12" w:rsidP="00A515B0">
      <w:pPr>
        <w:jc w:val="both"/>
        <w:rPr>
          <w:rFonts w:ascii="Arial" w:hAnsi="Arial" w:cs="Arial"/>
          <w:iCs/>
          <w:szCs w:val="24"/>
        </w:rPr>
      </w:pPr>
      <w:r w:rsidRPr="00A62F1C">
        <w:rPr>
          <w:rFonts w:ascii="Arial" w:hAnsi="Arial" w:cs="Arial"/>
          <w:b/>
          <w:bCs/>
          <w:iCs/>
          <w:szCs w:val="24"/>
        </w:rPr>
        <w:t>Amendment Schedule.</w:t>
      </w:r>
      <w:r w:rsidRPr="00A62F1C">
        <w:rPr>
          <w:rFonts w:ascii="Arial" w:hAnsi="Arial" w:cs="Arial"/>
          <w:iCs/>
          <w:szCs w:val="24"/>
        </w:rPr>
        <w:t xml:space="preserve"> </w:t>
      </w:r>
      <w:r w:rsidR="00A42008" w:rsidRPr="00A62F1C">
        <w:rPr>
          <w:rFonts w:ascii="Arial" w:hAnsi="Arial" w:cs="Arial"/>
          <w:iCs/>
          <w:szCs w:val="24"/>
        </w:rPr>
        <w:t>Proposed Ordinance 2021-0330 was introduced on September 7</w:t>
      </w:r>
      <w:r w:rsidR="00A42008" w:rsidRPr="00A62F1C">
        <w:rPr>
          <w:rFonts w:ascii="Arial" w:hAnsi="Arial" w:cs="Arial"/>
          <w:iCs/>
          <w:szCs w:val="24"/>
          <w:vertAlign w:val="superscript"/>
        </w:rPr>
        <w:t>th</w:t>
      </w:r>
      <w:r w:rsidR="00A42008" w:rsidRPr="00A62F1C">
        <w:rPr>
          <w:rFonts w:ascii="Arial" w:hAnsi="Arial" w:cs="Arial"/>
          <w:iCs/>
          <w:szCs w:val="24"/>
        </w:rPr>
        <w:t xml:space="preserve">, 2021 and received a mandatory dual referral to the Committee of the Whole and the Regional Policy Committee.  </w:t>
      </w:r>
    </w:p>
    <w:p w14:paraId="0B273342" w14:textId="77777777" w:rsidR="00A42008" w:rsidRPr="00A62F1C" w:rsidRDefault="00A42008" w:rsidP="00A515B0">
      <w:pPr>
        <w:jc w:val="both"/>
        <w:rPr>
          <w:rFonts w:ascii="Arial" w:hAnsi="Arial" w:cs="Arial"/>
          <w:iCs/>
          <w:szCs w:val="24"/>
        </w:rPr>
      </w:pPr>
    </w:p>
    <w:p w14:paraId="24DF76C5" w14:textId="720BAA1C" w:rsidR="00144E12" w:rsidRDefault="00A42008" w:rsidP="00A515B0">
      <w:pPr>
        <w:jc w:val="both"/>
        <w:rPr>
          <w:rFonts w:ascii="Arial" w:hAnsi="Arial" w:cs="Arial"/>
          <w:iCs/>
          <w:szCs w:val="24"/>
        </w:rPr>
      </w:pPr>
      <w:r w:rsidRPr="00A62F1C">
        <w:rPr>
          <w:rFonts w:ascii="Arial" w:hAnsi="Arial" w:cs="Arial"/>
          <w:iCs/>
          <w:szCs w:val="24"/>
        </w:rPr>
        <w:t xml:space="preserve">COW Chair McDermott and RPC Chair von Reichbauer provided direction to committee members via email on September </w:t>
      </w:r>
      <w:r w:rsidR="0067602D">
        <w:rPr>
          <w:rFonts w:ascii="Arial" w:hAnsi="Arial" w:cs="Arial"/>
          <w:iCs/>
          <w:szCs w:val="24"/>
        </w:rPr>
        <w:t>10</w:t>
      </w:r>
      <w:r w:rsidRPr="00A62F1C">
        <w:rPr>
          <w:rFonts w:ascii="Arial" w:hAnsi="Arial" w:cs="Arial"/>
          <w:iCs/>
          <w:szCs w:val="24"/>
        </w:rPr>
        <w:t>, 2021 stating that the deadline for committee members to provide direction to Council policy staff on amendment concepts will be those laid out in Council Rule 16</w:t>
      </w:r>
      <w:r w:rsidR="0024640B" w:rsidRPr="00A62F1C">
        <w:rPr>
          <w:rFonts w:ascii="Arial" w:hAnsi="Arial" w:cs="Arial"/>
          <w:iCs/>
          <w:szCs w:val="24"/>
        </w:rPr>
        <w:t xml:space="preserve"> (K</w:t>
      </w:r>
      <w:r w:rsidR="00F871B1">
        <w:rPr>
          <w:rFonts w:ascii="Arial" w:hAnsi="Arial" w:cs="Arial"/>
          <w:iCs/>
          <w:szCs w:val="24"/>
        </w:rPr>
        <w:t>.</w:t>
      </w:r>
      <w:r w:rsidR="0024640B" w:rsidRPr="00A62F1C">
        <w:rPr>
          <w:rFonts w:ascii="Arial" w:hAnsi="Arial" w:cs="Arial"/>
          <w:iCs/>
          <w:szCs w:val="24"/>
        </w:rPr>
        <w:t>C</w:t>
      </w:r>
      <w:r w:rsidR="00F871B1">
        <w:rPr>
          <w:rFonts w:ascii="Arial" w:hAnsi="Arial" w:cs="Arial"/>
          <w:iCs/>
          <w:szCs w:val="24"/>
        </w:rPr>
        <w:t>.</w:t>
      </w:r>
      <w:r w:rsidR="0024640B" w:rsidRPr="00A62F1C">
        <w:rPr>
          <w:rFonts w:ascii="Arial" w:hAnsi="Arial" w:cs="Arial"/>
          <w:iCs/>
          <w:szCs w:val="24"/>
        </w:rPr>
        <w:t>C</w:t>
      </w:r>
      <w:r w:rsidR="00F871B1">
        <w:rPr>
          <w:rFonts w:ascii="Arial" w:hAnsi="Arial" w:cs="Arial"/>
          <w:iCs/>
          <w:szCs w:val="24"/>
        </w:rPr>
        <w:t>.</w:t>
      </w:r>
      <w:r w:rsidR="0024640B" w:rsidRPr="00A62F1C">
        <w:rPr>
          <w:rFonts w:ascii="Arial" w:hAnsi="Arial" w:cs="Arial"/>
          <w:iCs/>
          <w:szCs w:val="24"/>
        </w:rPr>
        <w:t xml:space="preserve"> 1.24.115)</w:t>
      </w:r>
      <w:r w:rsidR="0024640B" w:rsidRPr="00A62F1C">
        <w:rPr>
          <w:rStyle w:val="FootnoteReference"/>
          <w:rFonts w:ascii="Arial" w:hAnsi="Arial" w:cs="Arial"/>
          <w:iCs/>
          <w:szCs w:val="24"/>
        </w:rPr>
        <w:footnoteReference w:id="44"/>
      </w:r>
      <w:r w:rsidR="00A515B0">
        <w:rPr>
          <w:rFonts w:ascii="Arial" w:hAnsi="Arial" w:cs="Arial"/>
          <w:iCs/>
          <w:szCs w:val="24"/>
        </w:rPr>
        <w:t>, which are laid out below</w:t>
      </w:r>
      <w:r w:rsidRPr="00A62F1C">
        <w:rPr>
          <w:rFonts w:ascii="Arial" w:hAnsi="Arial" w:cs="Arial"/>
          <w:iCs/>
          <w:szCs w:val="24"/>
        </w:rPr>
        <w:t>.  Additionally, if special meetings are required, the respective Chair will send out a revised amendment deadline schedule for those meetings.</w:t>
      </w:r>
      <w:r w:rsidR="00F871B1">
        <w:rPr>
          <w:rFonts w:ascii="Arial" w:hAnsi="Arial" w:cs="Arial"/>
          <w:iCs/>
          <w:szCs w:val="24"/>
        </w:rPr>
        <w:t xml:space="preserve">  </w:t>
      </w:r>
    </w:p>
    <w:p w14:paraId="03A341DC" w14:textId="292235F8" w:rsidR="00A515B0" w:rsidRDefault="00A515B0" w:rsidP="00A515B0">
      <w:pPr>
        <w:jc w:val="both"/>
        <w:rPr>
          <w:rFonts w:ascii="Arial" w:hAnsi="Arial" w:cs="Arial"/>
          <w:iCs/>
          <w:szCs w:val="24"/>
        </w:rPr>
      </w:pPr>
    </w:p>
    <w:p w14:paraId="6956FD56" w14:textId="27103C15" w:rsidR="00A515B0" w:rsidRPr="00B32A06" w:rsidRDefault="00A515B0" w:rsidP="00B32A06">
      <w:pPr>
        <w:pStyle w:val="ListParagraph0"/>
        <w:numPr>
          <w:ilvl w:val="0"/>
          <w:numId w:val="28"/>
        </w:numPr>
        <w:jc w:val="both"/>
        <w:rPr>
          <w:rFonts w:ascii="Arial" w:hAnsi="Arial" w:cs="Arial"/>
          <w:iCs/>
        </w:rPr>
      </w:pPr>
      <w:r w:rsidRPr="00B32A06">
        <w:rPr>
          <w:rFonts w:ascii="Arial" w:hAnsi="Arial" w:cs="Arial"/>
          <w:iCs/>
          <w:u w:val="single"/>
        </w:rPr>
        <w:t>Deadline for Striking Amendments:</w:t>
      </w:r>
      <w:r w:rsidRPr="00B32A06">
        <w:rPr>
          <w:rFonts w:ascii="Arial" w:hAnsi="Arial" w:cs="Arial"/>
          <w:iCs/>
        </w:rPr>
        <w:t xml:space="preserve"> A member shall provide direction to staff no later than the end of the 5th business day before the legislation is considered in committee.</w:t>
      </w:r>
    </w:p>
    <w:p w14:paraId="4941B597" w14:textId="7794051B" w:rsidR="00A515B0" w:rsidRPr="00B32A06" w:rsidRDefault="00A515B0" w:rsidP="00B32A06">
      <w:pPr>
        <w:pStyle w:val="ListParagraph0"/>
        <w:numPr>
          <w:ilvl w:val="0"/>
          <w:numId w:val="28"/>
        </w:numPr>
        <w:jc w:val="both"/>
        <w:rPr>
          <w:rFonts w:ascii="Arial" w:hAnsi="Arial" w:cs="Arial"/>
          <w:iCs/>
        </w:rPr>
      </w:pPr>
      <w:r w:rsidRPr="00B32A06">
        <w:rPr>
          <w:rFonts w:ascii="Arial" w:hAnsi="Arial" w:cs="Arial"/>
          <w:iCs/>
          <w:u w:val="single"/>
        </w:rPr>
        <w:t>Deadline for Distribution of Striking Amendments:</w:t>
      </w:r>
      <w:r w:rsidRPr="00B32A06">
        <w:rPr>
          <w:rFonts w:ascii="Arial" w:hAnsi="Arial" w:cs="Arial"/>
          <w:iCs/>
        </w:rPr>
        <w:t xml:space="preserve"> The striking amendment’s sponsor shall distribute the striking amendment to all members of the committee no later than the end of the 3rd business day before the legislation is considered in committee.</w:t>
      </w:r>
    </w:p>
    <w:p w14:paraId="207D228B" w14:textId="5347629F" w:rsidR="00A515B0" w:rsidRPr="00B32A06" w:rsidRDefault="00A515B0" w:rsidP="00B32A06">
      <w:pPr>
        <w:pStyle w:val="ListParagraph0"/>
        <w:numPr>
          <w:ilvl w:val="0"/>
          <w:numId w:val="28"/>
        </w:numPr>
        <w:jc w:val="both"/>
        <w:rPr>
          <w:rFonts w:ascii="Arial" w:hAnsi="Arial" w:cs="Arial"/>
          <w:iCs/>
        </w:rPr>
      </w:pPr>
      <w:r w:rsidRPr="00B32A06">
        <w:rPr>
          <w:rFonts w:ascii="Arial" w:hAnsi="Arial" w:cs="Arial"/>
          <w:iCs/>
          <w:u w:val="single"/>
        </w:rPr>
        <w:t>Deadline for Line Amendments:</w:t>
      </w:r>
      <w:r w:rsidRPr="00B32A06">
        <w:rPr>
          <w:rFonts w:ascii="Arial" w:hAnsi="Arial" w:cs="Arial"/>
          <w:iCs/>
        </w:rPr>
        <w:t xml:space="preserve"> A member shall provide direction to staff no later than the end of the 2nd business day before the legislation is considered in committee.</w:t>
      </w:r>
    </w:p>
    <w:p w14:paraId="057FCCFC" w14:textId="77777777" w:rsidR="00B65A9E" w:rsidRPr="00A62F1C" w:rsidRDefault="00B65A9E" w:rsidP="00C97FBC">
      <w:pPr>
        <w:rPr>
          <w:rFonts w:ascii="Arial" w:hAnsi="Arial" w:cs="Arial"/>
          <w:b/>
          <w:bCs/>
          <w:iCs/>
          <w:szCs w:val="24"/>
        </w:rPr>
      </w:pPr>
    </w:p>
    <w:p w14:paraId="34664DB3" w14:textId="77777777" w:rsidR="00253303" w:rsidRPr="00A62F1C" w:rsidRDefault="00C44166" w:rsidP="001C4B19">
      <w:pPr>
        <w:jc w:val="both"/>
        <w:rPr>
          <w:rFonts w:ascii="Arial" w:hAnsi="Arial" w:cs="Arial"/>
          <w:b/>
          <w:szCs w:val="24"/>
          <w:u w:val="single"/>
        </w:rPr>
      </w:pPr>
      <w:r w:rsidRPr="00A62F1C">
        <w:rPr>
          <w:rFonts w:ascii="Arial" w:hAnsi="Arial" w:cs="Arial"/>
          <w:b/>
          <w:szCs w:val="24"/>
          <w:u w:val="single"/>
        </w:rPr>
        <w:t>INVITED</w:t>
      </w:r>
    </w:p>
    <w:p w14:paraId="53BF9B9A" w14:textId="77777777" w:rsidR="00734F2E" w:rsidRPr="00A62F1C" w:rsidRDefault="00734F2E" w:rsidP="001C4B19">
      <w:pPr>
        <w:jc w:val="both"/>
        <w:rPr>
          <w:rFonts w:ascii="Arial" w:hAnsi="Arial" w:cs="Arial"/>
          <w:szCs w:val="24"/>
        </w:rPr>
      </w:pPr>
    </w:p>
    <w:p w14:paraId="1D0CD51F" w14:textId="4B95BF8C" w:rsidR="00A172A6" w:rsidRDefault="00A172A6" w:rsidP="00A62F1C">
      <w:pPr>
        <w:pStyle w:val="ListParagraph0"/>
        <w:numPr>
          <w:ilvl w:val="0"/>
          <w:numId w:val="1"/>
        </w:numPr>
        <w:spacing w:line="240" w:lineRule="auto"/>
        <w:jc w:val="both"/>
        <w:rPr>
          <w:rFonts w:ascii="Arial" w:hAnsi="Arial" w:cs="Arial"/>
        </w:rPr>
      </w:pPr>
      <w:r>
        <w:rPr>
          <w:rFonts w:ascii="Arial" w:hAnsi="Arial" w:cs="Arial"/>
        </w:rPr>
        <w:t>Leo Flor, Director, Department of Community and Human Services</w:t>
      </w:r>
    </w:p>
    <w:p w14:paraId="61E49231" w14:textId="77777777" w:rsidR="00A172A6" w:rsidRPr="00A62F1C" w:rsidRDefault="00A172A6" w:rsidP="00A172A6">
      <w:pPr>
        <w:pStyle w:val="ListParagraph0"/>
        <w:numPr>
          <w:ilvl w:val="0"/>
          <w:numId w:val="1"/>
        </w:numPr>
        <w:spacing w:line="240" w:lineRule="auto"/>
        <w:jc w:val="both"/>
        <w:rPr>
          <w:rFonts w:ascii="Arial" w:hAnsi="Arial" w:cs="Arial"/>
        </w:rPr>
      </w:pPr>
      <w:r w:rsidRPr="00A62F1C">
        <w:rPr>
          <w:rFonts w:ascii="Arial" w:hAnsi="Arial" w:cs="Arial"/>
        </w:rPr>
        <w:t>Mark Ellerbrook, Division Director, Housing, Homelessness and Community Development Division, DCHS</w:t>
      </w:r>
    </w:p>
    <w:p w14:paraId="4AE22CFC" w14:textId="58D7E15D" w:rsidR="00A172A6" w:rsidRDefault="00A172A6" w:rsidP="00A62F1C">
      <w:pPr>
        <w:pStyle w:val="ListParagraph0"/>
        <w:numPr>
          <w:ilvl w:val="0"/>
          <w:numId w:val="1"/>
        </w:numPr>
        <w:spacing w:line="240" w:lineRule="auto"/>
        <w:jc w:val="both"/>
        <w:rPr>
          <w:rFonts w:ascii="Arial" w:hAnsi="Arial" w:cs="Arial"/>
        </w:rPr>
      </w:pPr>
      <w:r>
        <w:rPr>
          <w:rFonts w:ascii="Arial" w:hAnsi="Arial" w:cs="Arial"/>
        </w:rPr>
        <w:t>Mario Williams-Sweet, Special Projects Manager, Department of Community and Human Services</w:t>
      </w:r>
    </w:p>
    <w:p w14:paraId="78C13909" w14:textId="51F41D17" w:rsidR="00C521D8" w:rsidRPr="00A62F1C" w:rsidRDefault="004E05E0" w:rsidP="00A62F1C">
      <w:pPr>
        <w:pStyle w:val="ListParagraph0"/>
        <w:numPr>
          <w:ilvl w:val="0"/>
          <w:numId w:val="1"/>
        </w:numPr>
        <w:spacing w:line="240" w:lineRule="auto"/>
        <w:jc w:val="both"/>
        <w:rPr>
          <w:rFonts w:ascii="Arial" w:hAnsi="Arial" w:cs="Arial"/>
        </w:rPr>
      </w:pPr>
      <w:r w:rsidRPr="00A62F1C">
        <w:rPr>
          <w:rFonts w:ascii="Arial" w:hAnsi="Arial" w:cs="Arial"/>
        </w:rPr>
        <w:t>Kelly Rider, Government Relations, Department of Community and Human Services</w:t>
      </w:r>
    </w:p>
    <w:p w14:paraId="0A33C964" w14:textId="77777777" w:rsidR="00A9174F" w:rsidRPr="00A62F1C" w:rsidRDefault="00A9174F" w:rsidP="00A9174F">
      <w:pPr>
        <w:pStyle w:val="ListParagraph0"/>
        <w:spacing w:line="240" w:lineRule="auto"/>
        <w:ind w:left="1080"/>
        <w:jc w:val="both"/>
        <w:rPr>
          <w:rFonts w:ascii="Arial" w:hAnsi="Arial" w:cs="Arial"/>
        </w:rPr>
      </w:pPr>
    </w:p>
    <w:p w14:paraId="7FC1BD58" w14:textId="77777777" w:rsidR="00A9174F" w:rsidRPr="00A62F1C" w:rsidRDefault="00A9174F" w:rsidP="00A9174F">
      <w:pPr>
        <w:pStyle w:val="BodyText"/>
        <w:rPr>
          <w:rFonts w:ascii="Arial" w:hAnsi="Arial" w:cs="Arial"/>
          <w:i w:val="0"/>
          <w:szCs w:val="24"/>
        </w:rPr>
      </w:pPr>
      <w:r w:rsidRPr="00A62F1C">
        <w:rPr>
          <w:rFonts w:ascii="Arial" w:hAnsi="Arial" w:cs="Arial"/>
          <w:b/>
          <w:i w:val="0"/>
          <w:szCs w:val="24"/>
          <w:u w:val="single"/>
        </w:rPr>
        <w:t>ATTACHMENTS:</w:t>
      </w:r>
    </w:p>
    <w:p w14:paraId="4689C5C4" w14:textId="77777777" w:rsidR="00A9174F" w:rsidRPr="00A62F1C" w:rsidRDefault="00A9174F" w:rsidP="00A9174F">
      <w:pPr>
        <w:pStyle w:val="BodyText"/>
        <w:rPr>
          <w:rFonts w:ascii="Arial" w:hAnsi="Arial" w:cs="Arial"/>
          <w:i w:val="0"/>
          <w:szCs w:val="24"/>
        </w:rPr>
      </w:pPr>
    </w:p>
    <w:p w14:paraId="2E74C027" w14:textId="6508A8E1" w:rsidR="00A9174F" w:rsidRPr="00A62F1C" w:rsidRDefault="00A9174F" w:rsidP="00A62F1C">
      <w:pPr>
        <w:pStyle w:val="BodyText"/>
        <w:numPr>
          <w:ilvl w:val="0"/>
          <w:numId w:val="2"/>
        </w:numPr>
        <w:rPr>
          <w:rFonts w:ascii="Arial" w:hAnsi="Arial" w:cs="Arial"/>
          <w:i w:val="0"/>
          <w:szCs w:val="24"/>
        </w:rPr>
      </w:pPr>
      <w:r w:rsidRPr="00A62F1C">
        <w:rPr>
          <w:rFonts w:ascii="Arial" w:hAnsi="Arial" w:cs="Arial"/>
          <w:i w:val="0"/>
          <w:szCs w:val="24"/>
        </w:rPr>
        <w:t>Proposed Ordinance</w:t>
      </w:r>
      <w:r w:rsidR="00B65A9E" w:rsidRPr="00A62F1C">
        <w:rPr>
          <w:rFonts w:ascii="Arial" w:hAnsi="Arial" w:cs="Arial"/>
          <w:i w:val="0"/>
          <w:szCs w:val="24"/>
        </w:rPr>
        <w:t xml:space="preserve"> 2021-0330</w:t>
      </w:r>
      <w:r w:rsidRPr="00A62F1C">
        <w:rPr>
          <w:rFonts w:ascii="Arial" w:hAnsi="Arial" w:cs="Arial"/>
          <w:i w:val="0"/>
          <w:szCs w:val="24"/>
        </w:rPr>
        <w:t xml:space="preserve"> (and its attachments)</w:t>
      </w:r>
    </w:p>
    <w:p w14:paraId="2197B4F2" w14:textId="77777777" w:rsidR="00A9174F" w:rsidRPr="00A62F1C" w:rsidRDefault="00A9174F" w:rsidP="00A62F1C">
      <w:pPr>
        <w:pStyle w:val="BodyText"/>
        <w:numPr>
          <w:ilvl w:val="0"/>
          <w:numId w:val="2"/>
        </w:numPr>
        <w:rPr>
          <w:rFonts w:ascii="Arial" w:hAnsi="Arial" w:cs="Arial"/>
          <w:i w:val="0"/>
          <w:szCs w:val="24"/>
        </w:rPr>
      </w:pPr>
      <w:r w:rsidRPr="00A62F1C">
        <w:rPr>
          <w:rFonts w:ascii="Arial" w:hAnsi="Arial" w:cs="Arial"/>
          <w:i w:val="0"/>
          <w:szCs w:val="24"/>
        </w:rPr>
        <w:lastRenderedPageBreak/>
        <w:t>Transmittal Letter</w:t>
      </w:r>
    </w:p>
    <w:p w14:paraId="54056B0D" w14:textId="77777777" w:rsidR="00A9174F" w:rsidRPr="00A62F1C" w:rsidRDefault="00A9174F" w:rsidP="00A62F1C">
      <w:pPr>
        <w:pStyle w:val="BodyText"/>
        <w:numPr>
          <w:ilvl w:val="0"/>
          <w:numId w:val="2"/>
        </w:numPr>
        <w:rPr>
          <w:rFonts w:ascii="Arial" w:hAnsi="Arial" w:cs="Arial"/>
          <w:i w:val="0"/>
          <w:szCs w:val="24"/>
        </w:rPr>
      </w:pPr>
      <w:r w:rsidRPr="00A62F1C">
        <w:rPr>
          <w:rFonts w:ascii="Arial" w:hAnsi="Arial" w:cs="Arial"/>
          <w:i w:val="0"/>
          <w:szCs w:val="24"/>
        </w:rPr>
        <w:t>Fiscal Note</w:t>
      </w:r>
    </w:p>
    <w:p w14:paraId="7DB712E2" w14:textId="19112495" w:rsidR="001C4B19" w:rsidRPr="00A62F1C" w:rsidRDefault="001C4B19" w:rsidP="00A62F1C">
      <w:pPr>
        <w:jc w:val="both"/>
        <w:rPr>
          <w:rFonts w:ascii="Arial" w:hAnsi="Arial" w:cs="Arial"/>
          <w:szCs w:val="24"/>
        </w:rPr>
      </w:pPr>
    </w:p>
    <w:sectPr w:rsidR="001C4B19" w:rsidRPr="00A62F1C"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4302" w14:textId="77777777" w:rsidR="005A76B4" w:rsidRDefault="005A76B4">
      <w:r>
        <w:separator/>
      </w:r>
    </w:p>
  </w:endnote>
  <w:endnote w:type="continuationSeparator" w:id="0">
    <w:p w14:paraId="42114C6D" w14:textId="77777777" w:rsidR="005A76B4" w:rsidRDefault="005A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D4FF" w14:textId="77777777" w:rsidR="005A76B4" w:rsidRDefault="005A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D948" w14:textId="77777777" w:rsidR="005A76B4" w:rsidRDefault="005A7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2DCF" w14:textId="77777777" w:rsidR="005A76B4" w:rsidRDefault="005A7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7676" w14:textId="77777777" w:rsidR="005A76B4" w:rsidRDefault="005A76B4">
      <w:r>
        <w:separator/>
      </w:r>
    </w:p>
  </w:footnote>
  <w:footnote w:type="continuationSeparator" w:id="0">
    <w:p w14:paraId="64923586" w14:textId="77777777" w:rsidR="005A76B4" w:rsidRDefault="005A76B4">
      <w:r>
        <w:continuationSeparator/>
      </w:r>
    </w:p>
  </w:footnote>
  <w:footnote w:id="1">
    <w:p w14:paraId="54534A65" w14:textId="158755F2"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 w:history="1">
        <w:r w:rsidRPr="00F547C8">
          <w:rPr>
            <w:rStyle w:val="Hyperlink"/>
            <w:rFonts w:ascii="Arial" w:hAnsi="Arial" w:cs="Arial"/>
          </w:rPr>
          <w:t>1590 HBR APH 20.pdf (wa.gov)</w:t>
        </w:r>
      </w:hyperlink>
    </w:p>
  </w:footnote>
  <w:footnote w:id="2">
    <w:p w14:paraId="60C602D8" w14:textId="4C4551F7" w:rsidR="005A76B4" w:rsidRPr="0078131D" w:rsidRDefault="005A76B4">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2" w:history="1">
        <w:r w:rsidRPr="00F547C8">
          <w:rPr>
            <w:rStyle w:val="Hyperlink"/>
            <w:rFonts w:ascii="Arial" w:hAnsi="Arial" w:cs="Arial"/>
          </w:rPr>
          <w:t>1070-S.E.pdf (wa.gov)</w:t>
        </w:r>
      </w:hyperlink>
    </w:p>
  </w:footnote>
  <w:footnote w:id="3">
    <w:p w14:paraId="4AFE31E3" w14:textId="251B1295"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3" w:history="1">
        <w:r w:rsidRPr="00F547C8">
          <w:rPr>
            <w:rStyle w:val="Hyperlink"/>
            <w:rFonts w:ascii="Arial" w:hAnsi="Arial" w:cs="Arial"/>
          </w:rPr>
          <w:t>King County - File #: 2020-0337</w:t>
        </w:r>
      </w:hyperlink>
    </w:p>
  </w:footnote>
  <w:footnote w:id="4">
    <w:p w14:paraId="204A35C5" w14:textId="1769DB65" w:rsidR="005A76B4" w:rsidRPr="0078131D" w:rsidRDefault="005A76B4">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4" w:history="1">
        <w:r w:rsidRPr="00F547C8">
          <w:rPr>
            <w:rStyle w:val="Hyperlink"/>
            <w:rFonts w:ascii="Arial" w:hAnsi="Arial" w:cs="Arial"/>
          </w:rPr>
          <w:t>King County - File #: 2020-0319</w:t>
        </w:r>
      </w:hyperlink>
    </w:p>
  </w:footnote>
  <w:footnote w:id="5">
    <w:p w14:paraId="3BADE085"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5" w:history="1">
        <w:r w:rsidRPr="00F547C8">
          <w:rPr>
            <w:rStyle w:val="Hyperlink"/>
            <w:rFonts w:ascii="Arial" w:hAnsi="Arial" w:cs="Arial"/>
          </w:rPr>
          <w:t>King County Strategic Plan</w:t>
        </w:r>
      </w:hyperlink>
      <w:r w:rsidRPr="00F547C8">
        <w:rPr>
          <w:rFonts w:ascii="Arial" w:hAnsi="Arial" w:cs="Arial"/>
        </w:rPr>
        <w:t xml:space="preserve"> </w:t>
      </w:r>
    </w:p>
  </w:footnote>
  <w:footnote w:id="6">
    <w:p w14:paraId="188B2FE0"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6" w:history="1">
        <w:r w:rsidRPr="00F547C8">
          <w:rPr>
            <w:rStyle w:val="Hyperlink"/>
            <w:rFonts w:ascii="Arial" w:hAnsi="Arial" w:cs="Arial"/>
          </w:rPr>
          <w:t>King County - File #: 2014-0415</w:t>
        </w:r>
      </w:hyperlink>
      <w:r w:rsidRPr="00F547C8">
        <w:rPr>
          <w:rFonts w:ascii="Arial" w:hAnsi="Arial" w:cs="Arial"/>
        </w:rPr>
        <w:t xml:space="preserve"> </w:t>
      </w:r>
    </w:p>
  </w:footnote>
  <w:footnote w:id="7">
    <w:p w14:paraId="2EB86AE2"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7" w:history="1">
        <w:r w:rsidRPr="00F547C8">
          <w:rPr>
            <w:rStyle w:val="Hyperlink"/>
            <w:rFonts w:ascii="Arial" w:hAnsi="Arial" w:cs="Arial"/>
          </w:rPr>
          <w:t>King County Equity and Social Justice Strategic Plan</w:t>
        </w:r>
      </w:hyperlink>
    </w:p>
  </w:footnote>
  <w:footnote w:id="8">
    <w:p w14:paraId="73E93704"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8" w:history="1">
        <w:r w:rsidRPr="00F547C8">
          <w:rPr>
            <w:rStyle w:val="Hyperlink"/>
            <w:rFonts w:ascii="Arial" w:hAnsi="Arial" w:cs="Arial"/>
          </w:rPr>
          <w:t>King County - File #: 2016-0537</w:t>
        </w:r>
      </w:hyperlink>
      <w:r w:rsidRPr="00F547C8">
        <w:rPr>
          <w:rFonts w:ascii="Arial" w:hAnsi="Arial" w:cs="Arial"/>
        </w:rPr>
        <w:t xml:space="preserve"> </w:t>
      </w:r>
    </w:p>
  </w:footnote>
  <w:footnote w:id="9">
    <w:p w14:paraId="54F08944"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9" w:history="1">
        <w:r w:rsidRPr="00F547C8">
          <w:rPr>
            <w:rStyle w:val="Hyperlink"/>
            <w:rFonts w:ascii="Arial" w:hAnsi="Arial" w:cs="Arial"/>
          </w:rPr>
          <w:t>King County - File #: 2017-0171</w:t>
        </w:r>
      </w:hyperlink>
      <w:r w:rsidRPr="00F547C8">
        <w:rPr>
          <w:rFonts w:ascii="Arial" w:hAnsi="Arial" w:cs="Arial"/>
        </w:rPr>
        <w:t xml:space="preserve"> </w:t>
      </w:r>
    </w:p>
  </w:footnote>
  <w:footnote w:id="10">
    <w:p w14:paraId="2ACED670"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0" w:history="1">
        <w:r w:rsidRPr="00F547C8">
          <w:rPr>
            <w:rStyle w:val="Hyperlink"/>
            <w:rFonts w:ascii="Arial" w:hAnsi="Arial" w:cs="Arial"/>
          </w:rPr>
          <w:t>RAHTF Five-Year Action Plan</w:t>
        </w:r>
      </w:hyperlink>
      <w:r w:rsidRPr="00F547C8">
        <w:rPr>
          <w:rFonts w:ascii="Arial" w:hAnsi="Arial" w:cs="Arial"/>
        </w:rPr>
        <w:t xml:space="preserve"> </w:t>
      </w:r>
    </w:p>
  </w:footnote>
  <w:footnote w:id="11">
    <w:p w14:paraId="5C054D45" w14:textId="77777777" w:rsidR="005A76B4" w:rsidRPr="00F547C8" w:rsidRDefault="005A76B4" w:rsidP="001C5C9A">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1" w:history="1">
        <w:r w:rsidRPr="00F547C8">
          <w:rPr>
            <w:rStyle w:val="Hyperlink"/>
            <w:rFonts w:ascii="Arial" w:hAnsi="Arial" w:cs="Arial"/>
          </w:rPr>
          <w:t>King County - File #: 2019-0011</w:t>
        </w:r>
      </w:hyperlink>
      <w:r w:rsidRPr="00F547C8">
        <w:rPr>
          <w:rFonts w:ascii="Arial" w:hAnsi="Arial" w:cs="Arial"/>
        </w:rPr>
        <w:t xml:space="preserve"> </w:t>
      </w:r>
    </w:p>
  </w:footnote>
  <w:footnote w:id="12">
    <w:p w14:paraId="52722DF3" w14:textId="77777777" w:rsidR="005A76B4" w:rsidRPr="0078131D" w:rsidRDefault="005A76B4" w:rsidP="001C5C9A">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12" w:history="1">
        <w:r w:rsidRPr="00F547C8">
          <w:rPr>
            <w:rStyle w:val="Hyperlink"/>
            <w:rFonts w:ascii="Arial" w:hAnsi="Arial" w:cs="Arial"/>
          </w:rPr>
          <w:t>2019 Affordable Housing Committee Annual Report</w:t>
        </w:r>
      </w:hyperlink>
      <w:r w:rsidRPr="0078131D">
        <w:rPr>
          <w:sz w:val="22"/>
          <w:szCs w:val="22"/>
        </w:rPr>
        <w:t xml:space="preserve"> </w:t>
      </w:r>
    </w:p>
  </w:footnote>
  <w:footnote w:id="13">
    <w:p w14:paraId="65833B2D" w14:textId="23AE6192"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3" w:anchor=":~:text=Executive%20Constantine%20said%20homelessness%20is%20a%20human-made%20disaster,state%20of%20emergency%20in%20King%20County%20and%20Seattle." w:history="1">
        <w:r w:rsidRPr="00F547C8">
          <w:rPr>
            <w:rStyle w:val="Hyperlink"/>
            <w:rFonts w:ascii="Arial" w:hAnsi="Arial" w:cs="Arial"/>
          </w:rPr>
          <w:t>Executive, Seattle Mayor declare emergencies, announce new investments to respond to homelessness - King County</w:t>
        </w:r>
      </w:hyperlink>
    </w:p>
  </w:footnote>
  <w:footnote w:id="14">
    <w:p w14:paraId="2B6F5DDD" w14:textId="77777777" w:rsidR="005A76B4" w:rsidRPr="00F547C8" w:rsidRDefault="005A76B4" w:rsidP="004C019E">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4" w:history="1">
        <w:r w:rsidRPr="00F547C8">
          <w:rPr>
            <w:rStyle w:val="Hyperlink"/>
            <w:rFonts w:ascii="Arial" w:hAnsi="Arial" w:cs="Arial"/>
          </w:rPr>
          <w:t>King County - File #: 2019-0478</w:t>
        </w:r>
      </w:hyperlink>
    </w:p>
  </w:footnote>
  <w:footnote w:id="15">
    <w:p w14:paraId="6A70AD0B" w14:textId="77777777" w:rsidR="005A76B4" w:rsidRPr="00F547C8" w:rsidRDefault="005A76B4" w:rsidP="004C019E">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Interlocal Agreement for the Establishment of the King County Regional Homelessness Authority Between King County and the City of Seattle Pursuant to RCW 39.34.030, Article IV, Section 2</w:t>
      </w:r>
    </w:p>
  </w:footnote>
  <w:footnote w:id="16">
    <w:p w14:paraId="7FAB5CF4" w14:textId="423AC7E2" w:rsidR="005A76B4" w:rsidRPr="00F547C8" w:rsidRDefault="005A76B4" w:rsidP="004C019E">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King County, City of Seattle, Sound Cities Association and individuals with Lived Experience</w:t>
      </w:r>
    </w:p>
  </w:footnote>
  <w:footnote w:id="17">
    <w:p w14:paraId="310ED885" w14:textId="48B160D0" w:rsidR="005A76B4" w:rsidRPr="0078131D" w:rsidRDefault="005A76B4">
      <w:pPr>
        <w:pStyle w:val="FootnoteText"/>
        <w:rPr>
          <w:sz w:val="22"/>
          <w:szCs w:val="22"/>
        </w:rPr>
      </w:pPr>
      <w:r w:rsidRPr="00F547C8">
        <w:rPr>
          <w:rStyle w:val="FootnoteReference"/>
          <w:rFonts w:ascii="Arial" w:hAnsi="Arial" w:cs="Arial"/>
        </w:rPr>
        <w:footnoteRef/>
      </w:r>
      <w:r w:rsidRPr="00F547C8">
        <w:rPr>
          <w:rFonts w:ascii="Arial" w:hAnsi="Arial" w:cs="Arial"/>
        </w:rPr>
        <w:t xml:space="preserve"> </w:t>
      </w:r>
      <w:hyperlink r:id="rId15" w:history="1">
        <w:r w:rsidRPr="00F547C8">
          <w:rPr>
            <w:rStyle w:val="Hyperlink"/>
            <w:rFonts w:ascii="Arial" w:hAnsi="Arial" w:cs="Arial"/>
          </w:rPr>
          <w:t>https://kcrha.org/wp-content/uploads/2020/07/Count-Us-In-2020-Final_7.29.2020.pdf</w:t>
        </w:r>
      </w:hyperlink>
    </w:p>
  </w:footnote>
  <w:footnote w:id="18">
    <w:p w14:paraId="536A6577" w14:textId="4546BAFA" w:rsidR="005A76B4" w:rsidRPr="00F547C8" w:rsidRDefault="005A76B4">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hyperlink r:id="rId16" w:history="1">
        <w:r w:rsidRPr="00F547C8">
          <w:rPr>
            <w:rStyle w:val="Hyperlink"/>
            <w:rFonts w:ascii="Arial" w:hAnsi="Arial" w:cs="Arial"/>
          </w:rPr>
          <w:t>https://kcrha.org/wp-content/uploads/2020/07/Count-Us-In-2020-Final_7.29.2020.pdf</w:t>
        </w:r>
      </w:hyperlink>
    </w:p>
  </w:footnote>
  <w:footnote w:id="19">
    <w:p w14:paraId="6B86A641" w14:textId="61688FF6" w:rsidR="005A76B4" w:rsidRPr="00A515B0" w:rsidRDefault="005A76B4" w:rsidP="00667D27">
      <w:pPr>
        <w:pStyle w:val="FootnoteText"/>
        <w:ind w:left="180" w:hanging="180"/>
        <w:rPr>
          <w:rFonts w:ascii="Arial" w:hAnsi="Arial" w:cs="Arial"/>
          <w:sz w:val="22"/>
          <w:szCs w:val="22"/>
        </w:rPr>
      </w:pPr>
      <w:r w:rsidRPr="00A515B0">
        <w:rPr>
          <w:rStyle w:val="FootnoteReference"/>
          <w:rFonts w:ascii="Arial" w:eastAsia="Calibri Light" w:hAnsi="Arial" w:cs="Arial"/>
        </w:rPr>
        <w:footnoteRef/>
      </w:r>
      <w:r w:rsidRPr="00A515B0">
        <w:rPr>
          <w:rFonts w:ascii="Arial" w:eastAsia="Calibri Light" w:hAnsi="Arial" w:cs="Arial"/>
        </w:rPr>
        <w:t xml:space="preserve"> The HtH Reserve, funded in 2021, includes funding for a Debt Service Reserve equal to six months of debt service as well as a 60-day Rainy Day Reserve consistent with King County’s Comprehensive Financial Management Policies, </w:t>
      </w:r>
      <w:hyperlink r:id="rId17" w:history="1">
        <w:r w:rsidRPr="00A515B0">
          <w:rPr>
            <w:rStyle w:val="Hyperlink"/>
            <w:rFonts w:ascii="Arial" w:eastAsia="Calibri Light" w:hAnsi="Arial" w:cs="Arial"/>
          </w:rPr>
          <w:t>https://kingcounty.gov/~/media/exec/PSB/documents/CompFinMngmtPoliciesDoc.ashx?la=en</w:t>
        </w:r>
      </w:hyperlink>
    </w:p>
  </w:footnote>
  <w:footnote w:id="20">
    <w:p w14:paraId="05F6DC9B" w14:textId="648036AF" w:rsidR="005A76B4" w:rsidRDefault="005A76B4">
      <w:pPr>
        <w:pStyle w:val="FootnoteText"/>
      </w:pPr>
      <w:r w:rsidRPr="00A515B0">
        <w:rPr>
          <w:rStyle w:val="FootnoteReference"/>
          <w:rFonts w:ascii="Arial" w:hAnsi="Arial" w:cs="Arial"/>
        </w:rPr>
        <w:footnoteRef/>
      </w:r>
      <w:r w:rsidRPr="00A515B0">
        <w:rPr>
          <w:rFonts w:ascii="Arial" w:hAnsi="Arial" w:cs="Arial"/>
        </w:rPr>
        <w:t xml:space="preserve"> </w:t>
      </w:r>
      <w:r>
        <w:rPr>
          <w:rFonts w:ascii="Arial" w:hAnsi="Arial" w:cs="Arial"/>
        </w:rPr>
        <w:t>Bellevue, Covington, Issaquah, Kent, Maple Valley, North Bend, Renton, Snoqualmie</w:t>
      </w:r>
    </w:p>
  </w:footnote>
  <w:footnote w:id="21">
    <w:p w14:paraId="39BF38A0" w14:textId="77777777" w:rsidR="005A76B4" w:rsidRPr="00F547C8" w:rsidRDefault="005A76B4" w:rsidP="00BC3538">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2022 through 2028</w:t>
      </w:r>
    </w:p>
  </w:footnote>
  <w:footnote w:id="22">
    <w:p w14:paraId="77EC291D" w14:textId="77777777" w:rsidR="005A76B4" w:rsidRPr="00F547C8" w:rsidRDefault="005A76B4" w:rsidP="00BC3538">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The Plan notes that this bonding may occur in early 2022.</w:t>
      </w:r>
    </w:p>
  </w:footnote>
  <w:footnote w:id="23">
    <w:p w14:paraId="64B0861A"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This reserve is separate from the $18.3M HtH Reserve and can be used for unexpected capital expenses such as the repair of a major system within a HtH building, unexpected maintenance costs, or small variations in actual rehab costs more than this plan’s estimates</w:t>
      </w:r>
    </w:p>
  </w:footnote>
  <w:footnote w:id="24">
    <w:p w14:paraId="5455B233"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33 </w:t>
      </w:r>
    </w:p>
  </w:footnote>
  <w:footnote w:id="25">
    <w:p w14:paraId="76A22404"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w:t>
      </w:r>
      <w:r>
        <w:rPr>
          <w:rFonts w:ascii="Arial" w:hAnsi="Arial" w:cs="Arial"/>
        </w:rPr>
        <w:t>K.</w:t>
      </w:r>
      <w:r w:rsidRPr="00F547C8">
        <w:rPr>
          <w:rFonts w:ascii="Arial" w:hAnsi="Arial" w:cs="Arial"/>
        </w:rPr>
        <w:t>C</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 xml:space="preserve"> 24.30.030.A.3</w:t>
      </w:r>
    </w:p>
  </w:footnote>
  <w:footnote w:id="26">
    <w:p w14:paraId="454CB752"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34</w:t>
      </w:r>
    </w:p>
  </w:footnote>
  <w:footnote w:id="27">
    <w:p w14:paraId="2B21A706"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Qualified providers are listed in Appendix E to the Implementation Plan. </w:t>
      </w:r>
    </w:p>
  </w:footnote>
  <w:footnote w:id="28">
    <w:p w14:paraId="451149AD"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34</w:t>
      </w:r>
    </w:p>
  </w:footnote>
  <w:footnote w:id="29">
    <w:p w14:paraId="43444A0A"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35</w:t>
      </w:r>
    </w:p>
  </w:footnote>
  <w:footnote w:id="30">
    <w:p w14:paraId="2DD93375" w14:textId="77777777" w:rsidR="005A76B4" w:rsidRDefault="005A76B4" w:rsidP="00F66F75">
      <w:pPr>
        <w:pStyle w:val="FootnoteText"/>
      </w:pPr>
      <w:r w:rsidRPr="00F547C8">
        <w:rPr>
          <w:rStyle w:val="FootnoteReference"/>
          <w:rFonts w:ascii="Arial" w:hAnsi="Arial" w:cs="Arial"/>
        </w:rPr>
        <w:footnoteRef/>
      </w:r>
      <w:r w:rsidRPr="00F547C8">
        <w:rPr>
          <w:rFonts w:ascii="Arial" w:hAnsi="Arial" w:cs="Arial"/>
        </w:rPr>
        <w:t xml:space="preserve"> Attachment A, P .87</w:t>
      </w:r>
    </w:p>
  </w:footnote>
  <w:footnote w:id="31">
    <w:p w14:paraId="0097D079" w14:textId="77777777" w:rsidR="005A76B4" w:rsidRPr="00F547C8" w:rsidRDefault="005A76B4" w:rsidP="00F66F7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35</w:t>
      </w:r>
    </w:p>
  </w:footnote>
  <w:footnote w:id="32">
    <w:p w14:paraId="63158A48"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P. 50</w:t>
      </w:r>
    </w:p>
  </w:footnote>
  <w:footnote w:id="33">
    <w:p w14:paraId="4C66C924"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 change or series of changes within the same calendar year that change an HtH Strategy’s annual allocation by more than the greater of </w:t>
      </w:r>
      <w:r>
        <w:rPr>
          <w:rFonts w:ascii="Arial" w:hAnsi="Arial" w:cs="Arial"/>
        </w:rPr>
        <w:t>5%</w:t>
      </w:r>
      <w:r w:rsidRPr="00F547C8">
        <w:rPr>
          <w:rFonts w:ascii="Arial" w:hAnsi="Arial" w:cs="Arial"/>
        </w:rPr>
        <w:t xml:space="preserve"> or $150,000 p. 53</w:t>
      </w:r>
    </w:p>
  </w:footnote>
  <w:footnote w:id="34">
    <w:p w14:paraId="4872A4CA" w14:textId="77777777" w:rsidR="002C4018" w:rsidRPr="0078131D" w:rsidRDefault="002C4018" w:rsidP="002C4018">
      <w:pPr>
        <w:pStyle w:val="FootnoteText"/>
        <w:rPr>
          <w:sz w:val="22"/>
          <w:szCs w:val="22"/>
        </w:rPr>
      </w:pPr>
      <w:r w:rsidRPr="00F547C8">
        <w:rPr>
          <w:rStyle w:val="FootnoteReference"/>
          <w:rFonts w:ascii="Arial" w:hAnsi="Arial" w:cs="Arial"/>
        </w:rPr>
        <w:footnoteRef/>
      </w:r>
      <w:r w:rsidRPr="00F547C8">
        <w:rPr>
          <w:rFonts w:ascii="Arial" w:hAnsi="Arial" w:cs="Arial"/>
        </w:rPr>
        <w:t xml:space="preserve"> K</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 xml:space="preserve"> 24.30.030.A.9.d</w:t>
      </w:r>
    </w:p>
  </w:footnote>
  <w:footnote w:id="35">
    <w:p w14:paraId="767AE484" w14:textId="08D3219F" w:rsidR="002C4018" w:rsidRDefault="002C4018" w:rsidP="002C4018">
      <w:pPr>
        <w:pStyle w:val="FootnoteText"/>
      </w:pPr>
      <w:r>
        <w:rPr>
          <w:rStyle w:val="FootnoteReference"/>
        </w:rPr>
        <w:footnoteRef/>
      </w:r>
      <w:r>
        <w:t xml:space="preserve"> </w:t>
      </w:r>
      <w:r w:rsidR="009F73D0">
        <w:rPr>
          <w:rFonts w:ascii="Arial" w:hAnsi="Arial" w:cs="Arial"/>
        </w:rPr>
        <w:t>Attachment A, P. 37</w:t>
      </w:r>
    </w:p>
  </w:footnote>
  <w:footnote w:id="36">
    <w:p w14:paraId="7E81A47E"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Attachment A, P. 50</w:t>
      </w:r>
    </w:p>
  </w:footnote>
  <w:footnote w:id="37">
    <w:p w14:paraId="4E907A19" w14:textId="77777777" w:rsidR="005A76B4" w:rsidRPr="0078131D" w:rsidRDefault="005A76B4" w:rsidP="007000F9">
      <w:pPr>
        <w:pStyle w:val="FootnoteText"/>
        <w:rPr>
          <w:sz w:val="22"/>
          <w:szCs w:val="22"/>
        </w:rPr>
      </w:pPr>
      <w:r w:rsidRPr="00F547C8">
        <w:rPr>
          <w:rStyle w:val="FootnoteReference"/>
          <w:rFonts w:ascii="Arial" w:hAnsi="Arial" w:cs="Arial"/>
        </w:rPr>
        <w:footnoteRef/>
      </w:r>
      <w:r w:rsidRPr="00F547C8">
        <w:rPr>
          <w:rFonts w:ascii="Arial" w:hAnsi="Arial" w:cs="Arial"/>
        </w:rPr>
        <w:t xml:space="preserve"> K</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C</w:t>
      </w:r>
      <w:r>
        <w:rPr>
          <w:rFonts w:ascii="Arial" w:hAnsi="Arial" w:cs="Arial"/>
        </w:rPr>
        <w:t>.</w:t>
      </w:r>
      <w:r w:rsidRPr="00F547C8">
        <w:rPr>
          <w:rFonts w:ascii="Arial" w:hAnsi="Arial" w:cs="Arial"/>
        </w:rPr>
        <w:t xml:space="preserve"> 24.30.030.A.9.e</w:t>
      </w:r>
    </w:p>
  </w:footnote>
  <w:footnote w:id="38">
    <w:p w14:paraId="3BCD7CF4" w14:textId="77777777" w:rsidR="005A76B4" w:rsidRPr="00F547C8" w:rsidRDefault="005A76B4" w:rsidP="007000F9">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This table appears in Figure 2 page 8 of the IP, and Figure 12 on page 49.</w:t>
      </w:r>
    </w:p>
  </w:footnote>
  <w:footnote w:id="39">
    <w:p w14:paraId="553F78F4" w14:textId="77777777" w:rsidR="005A76B4" w:rsidRPr="0078131D" w:rsidRDefault="005A76B4" w:rsidP="007000F9">
      <w:pPr>
        <w:pStyle w:val="FootnoteText"/>
        <w:ind w:left="180" w:hanging="180"/>
        <w:rPr>
          <w:sz w:val="22"/>
          <w:szCs w:val="22"/>
        </w:rPr>
      </w:pPr>
      <w:r w:rsidRPr="00F547C8">
        <w:rPr>
          <w:rStyle w:val="FootnoteReference"/>
          <w:rFonts w:ascii="Arial" w:eastAsia="Calibri Light" w:hAnsi="Arial" w:cs="Arial"/>
        </w:rPr>
        <w:footnoteRef/>
      </w:r>
      <w:r w:rsidRPr="00F547C8">
        <w:rPr>
          <w:rFonts w:ascii="Arial" w:eastAsia="Calibri Light" w:hAnsi="Arial" w:cs="Arial"/>
        </w:rPr>
        <w:t xml:space="preserve"> The HtH Reserve, funded in 2021, includes funding for a Debt Service Reserve equal to six months of debt service as well as a 60-day Rainy Day Reserve consistent with King County’s Comprehensive Financial Management Policies, </w:t>
      </w:r>
      <w:hyperlink r:id="rId18" w:history="1">
        <w:r w:rsidRPr="00F547C8">
          <w:rPr>
            <w:rStyle w:val="Hyperlink"/>
            <w:rFonts w:ascii="Arial" w:eastAsia="Calibri Light" w:hAnsi="Arial" w:cs="Arial"/>
          </w:rPr>
          <w:t>https://kingcounty.gov/~/media/exec/PSB/documents/CompFinMngmtPoliciesDoc.ashx?la=en</w:t>
        </w:r>
      </w:hyperlink>
      <w:r w:rsidRPr="00F547C8">
        <w:rPr>
          <w:rFonts w:ascii="Arial" w:eastAsia="Calibri Light" w:hAnsi="Arial" w:cs="Arial"/>
        </w:rPr>
        <w:t xml:space="preserve"> </w:t>
      </w:r>
    </w:p>
  </w:footnote>
  <w:footnote w:id="40">
    <w:p w14:paraId="3710E4B9" w14:textId="77777777" w:rsidR="005A76B4" w:rsidRPr="00F547C8" w:rsidRDefault="005A76B4" w:rsidP="00B3218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P. 59</w:t>
      </w:r>
    </w:p>
  </w:footnote>
  <w:footnote w:id="41">
    <w:p w14:paraId="1E23537E" w14:textId="77777777" w:rsidR="005A76B4" w:rsidRPr="00F547C8" w:rsidRDefault="005A76B4" w:rsidP="00B32185">
      <w:pPr>
        <w:pStyle w:val="FootnoteText"/>
        <w:rPr>
          <w:rFonts w:ascii="Arial" w:hAnsi="Arial" w:cs="Arial"/>
        </w:rPr>
      </w:pPr>
      <w:r w:rsidRPr="00F547C8">
        <w:rPr>
          <w:rStyle w:val="FootnoteReference"/>
          <w:rFonts w:ascii="Arial" w:hAnsi="Arial" w:cs="Arial"/>
        </w:rPr>
        <w:footnoteRef/>
      </w:r>
      <w:r w:rsidRPr="00F547C8">
        <w:rPr>
          <w:rFonts w:ascii="Arial" w:hAnsi="Arial" w:cs="Arial"/>
        </w:rPr>
        <w:t xml:space="preserve"> P. 56</w:t>
      </w:r>
    </w:p>
  </w:footnote>
  <w:footnote w:id="42">
    <w:p w14:paraId="4C46CAC9" w14:textId="77777777" w:rsidR="005A76B4" w:rsidRPr="0078131D" w:rsidRDefault="005A76B4" w:rsidP="00B32185">
      <w:pPr>
        <w:pStyle w:val="FootnoteText"/>
        <w:rPr>
          <w:sz w:val="22"/>
          <w:szCs w:val="22"/>
        </w:rPr>
      </w:pPr>
      <w:r w:rsidRPr="00F547C8">
        <w:rPr>
          <w:rStyle w:val="FootnoteReference"/>
          <w:rFonts w:ascii="Arial" w:hAnsi="Arial" w:cs="Arial"/>
        </w:rPr>
        <w:footnoteRef/>
      </w:r>
      <w:r w:rsidRPr="00F547C8">
        <w:rPr>
          <w:rFonts w:ascii="Arial" w:hAnsi="Arial" w:cs="Arial"/>
        </w:rPr>
        <w:t xml:space="preserve"> P. 61</w:t>
      </w:r>
    </w:p>
  </w:footnote>
  <w:footnote w:id="43">
    <w:p w14:paraId="0D1523C6" w14:textId="135D9ABE" w:rsidR="005A76B4" w:rsidRPr="00DD3C06" w:rsidRDefault="005A76B4">
      <w:pPr>
        <w:pStyle w:val="FootnoteText"/>
        <w:rPr>
          <w:rFonts w:ascii="Arial" w:hAnsi="Arial" w:cs="Arial"/>
        </w:rPr>
      </w:pPr>
      <w:r w:rsidRPr="00DD3C06">
        <w:rPr>
          <w:rStyle w:val="FootnoteReference"/>
          <w:rFonts w:ascii="Arial" w:hAnsi="Arial" w:cs="Arial"/>
        </w:rPr>
        <w:footnoteRef/>
      </w:r>
      <w:r w:rsidRPr="00DD3C06">
        <w:rPr>
          <w:rFonts w:ascii="Arial" w:hAnsi="Arial" w:cs="Arial"/>
        </w:rPr>
        <w:t xml:space="preserve"> The proposed Plan further refines the membership criteria to provide the following membership counts:</w:t>
      </w:r>
    </w:p>
    <w:p w14:paraId="0F9E3797" w14:textId="34B20D63" w:rsidR="005A76B4" w:rsidRPr="00DD3C06" w:rsidRDefault="005A76B4" w:rsidP="00F871B1">
      <w:pPr>
        <w:pStyle w:val="FootnoteText"/>
        <w:rPr>
          <w:rFonts w:ascii="Arial" w:hAnsi="Arial" w:cs="Arial"/>
        </w:rPr>
      </w:pPr>
      <w:r w:rsidRPr="00DD3C06">
        <w:rPr>
          <w:rFonts w:ascii="Arial" w:hAnsi="Arial" w:cs="Arial"/>
        </w:rPr>
        <w:t>• Persons who have experienced homelessness: at least 1/3</w:t>
      </w:r>
      <w:r w:rsidRPr="00DD3C06">
        <w:rPr>
          <w:rFonts w:ascii="Arial" w:hAnsi="Arial" w:cs="Arial"/>
          <w:vertAlign w:val="superscript"/>
        </w:rPr>
        <w:t>rd</w:t>
      </w:r>
      <w:r w:rsidRPr="00DD3C06">
        <w:rPr>
          <w:rFonts w:ascii="Arial" w:hAnsi="Arial" w:cs="Arial"/>
        </w:rPr>
        <w:t xml:space="preserve"> of members;</w:t>
      </w:r>
    </w:p>
    <w:p w14:paraId="43C75E8B" w14:textId="5661C9D9" w:rsidR="005A76B4" w:rsidRPr="00DD3C06" w:rsidRDefault="005A76B4" w:rsidP="00F871B1">
      <w:pPr>
        <w:pStyle w:val="FootnoteText"/>
        <w:rPr>
          <w:rFonts w:ascii="Arial" w:hAnsi="Arial" w:cs="Arial"/>
        </w:rPr>
      </w:pPr>
      <w:r w:rsidRPr="00DD3C06">
        <w:rPr>
          <w:rFonts w:ascii="Arial" w:hAnsi="Arial" w:cs="Arial"/>
        </w:rPr>
        <w:t>• Persons representative of racial and ethnic communities that are demographically disproportionately represented among persons experiencing chronic homelessness in King County: at least half of members;</w:t>
      </w:r>
    </w:p>
    <w:p w14:paraId="5282C74C" w14:textId="431FE7BD" w:rsidR="005A76B4" w:rsidRPr="00DD3C06" w:rsidRDefault="005A76B4" w:rsidP="00F871B1">
      <w:pPr>
        <w:pStyle w:val="FootnoteText"/>
        <w:rPr>
          <w:rFonts w:ascii="Arial" w:hAnsi="Arial" w:cs="Arial"/>
        </w:rPr>
      </w:pPr>
      <w:r w:rsidRPr="00DD3C06">
        <w:rPr>
          <w:rFonts w:ascii="Arial" w:hAnsi="Arial" w:cs="Arial"/>
        </w:rPr>
        <w:t>• Residents of cities with populations greater than 60,000 and of unincorporated areas: at least 2 members, and prioritizing residents of cities with populations greater than 60,000 that did not separately impose the city level sales tax authority under RCW 82.14.530; and</w:t>
      </w:r>
    </w:p>
    <w:p w14:paraId="090632E2" w14:textId="2DB2ACB1" w:rsidR="005A76B4" w:rsidRPr="00DD3C06" w:rsidRDefault="005A76B4" w:rsidP="00F871B1">
      <w:pPr>
        <w:pStyle w:val="FootnoteText"/>
        <w:rPr>
          <w:rFonts w:ascii="Arial" w:hAnsi="Arial" w:cs="Arial"/>
        </w:rPr>
      </w:pPr>
      <w:r w:rsidRPr="00DD3C06">
        <w:rPr>
          <w:rFonts w:ascii="Arial" w:hAnsi="Arial" w:cs="Arial"/>
        </w:rPr>
        <w:t>• Representatives from other county, city and subregional boards, commissions, or committees: at least 2 members.</w:t>
      </w:r>
    </w:p>
  </w:footnote>
  <w:footnote w:id="44">
    <w:p w14:paraId="1211CCA1" w14:textId="545A9FF0" w:rsidR="005A76B4" w:rsidRPr="00DD3C06" w:rsidRDefault="005A76B4">
      <w:pPr>
        <w:pStyle w:val="FootnoteText"/>
        <w:rPr>
          <w:rFonts w:ascii="Arial" w:hAnsi="Arial" w:cs="Arial"/>
        </w:rPr>
      </w:pPr>
      <w:r w:rsidRPr="00DD3C06">
        <w:rPr>
          <w:rStyle w:val="FootnoteReference"/>
          <w:rFonts w:ascii="Arial" w:hAnsi="Arial" w:cs="Arial"/>
        </w:rPr>
        <w:footnoteRef/>
      </w:r>
      <w:r w:rsidRPr="00DD3C06">
        <w:rPr>
          <w:rFonts w:ascii="Arial" w:hAnsi="Arial" w:cs="Arial"/>
        </w:rPr>
        <w:t xml:space="preserve"> </w:t>
      </w:r>
      <w:hyperlink r:id="rId19" w:history="1">
        <w:r w:rsidRPr="00DD3C06">
          <w:rPr>
            <w:rStyle w:val="Hyperlink"/>
            <w:rFonts w:ascii="Arial" w:hAnsi="Arial" w:cs="Arial"/>
          </w:rPr>
          <w:t>Title 1 County Council and Elections - King County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956D" w14:textId="77777777" w:rsidR="005A76B4" w:rsidRDefault="005A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B8CA" w14:textId="77777777" w:rsidR="005A76B4" w:rsidRDefault="005A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D734" w14:textId="77777777" w:rsidR="005A76B4" w:rsidRDefault="005A76B4" w:rsidP="00C75025">
    <w:pPr>
      <w:jc w:val="center"/>
    </w:pPr>
    <w:r>
      <w:rPr>
        <w:noProof/>
      </w:rPr>
      <w:drawing>
        <wp:inline distT="0" distB="0" distL="0" distR="0" wp14:anchorId="189A5F32" wp14:editId="7542BA68">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009971" w14:textId="77777777" w:rsidR="005A76B4" w:rsidRPr="003B03EF" w:rsidRDefault="005A76B4" w:rsidP="00C75025">
    <w:pPr>
      <w:jc w:val="center"/>
      <w:rPr>
        <w:rFonts w:ascii="Arial" w:hAnsi="Arial"/>
        <w:szCs w:val="22"/>
      </w:rPr>
    </w:pPr>
  </w:p>
  <w:p w14:paraId="5A0B5CB1" w14:textId="77777777" w:rsidR="005A76B4" w:rsidRDefault="005A76B4" w:rsidP="00C75025">
    <w:pPr>
      <w:jc w:val="center"/>
      <w:rPr>
        <w:rFonts w:ascii="Verdana" w:hAnsi="Verdana"/>
        <w:b/>
        <w:sz w:val="28"/>
        <w:szCs w:val="28"/>
      </w:rPr>
    </w:pPr>
    <w:r>
      <w:rPr>
        <w:rFonts w:ascii="Verdana" w:hAnsi="Verdana"/>
        <w:b/>
        <w:sz w:val="28"/>
        <w:szCs w:val="28"/>
      </w:rPr>
      <w:t>Metropolitan King County Council</w:t>
    </w:r>
  </w:p>
  <w:p w14:paraId="00EFC793" w14:textId="77777777" w:rsidR="005A76B4" w:rsidRPr="004A1D48" w:rsidRDefault="005A76B4" w:rsidP="00050B5E">
    <w:pPr>
      <w:jc w:val="center"/>
      <w:rPr>
        <w:rFonts w:ascii="Verdana" w:hAnsi="Verdana"/>
        <w:b/>
        <w:sz w:val="28"/>
        <w:szCs w:val="28"/>
      </w:rPr>
    </w:pPr>
    <w:r>
      <w:rPr>
        <w:rFonts w:ascii="Verdana" w:hAnsi="Verdana"/>
        <w:b/>
        <w:sz w:val="28"/>
        <w:szCs w:val="28"/>
      </w:rPr>
      <w:t>Regional Policy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1B5"/>
    <w:multiLevelType w:val="hybridMultilevel"/>
    <w:tmpl w:val="4CAC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B7D80"/>
    <w:multiLevelType w:val="hybridMultilevel"/>
    <w:tmpl w:val="C24A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A19"/>
    <w:multiLevelType w:val="hybridMultilevel"/>
    <w:tmpl w:val="56C0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E2812"/>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0B2"/>
    <w:multiLevelType w:val="hybridMultilevel"/>
    <w:tmpl w:val="2A60EB08"/>
    <w:lvl w:ilvl="0" w:tplc="04090001">
      <w:start w:val="1"/>
      <w:numFmt w:val="bullet"/>
      <w:lvlText w:val=""/>
      <w:lvlJc w:val="left"/>
      <w:pPr>
        <w:ind w:left="720" w:hanging="360"/>
      </w:pPr>
      <w:rPr>
        <w:rFonts w:ascii="Symbol" w:hAnsi="Symbol" w:hint="default"/>
      </w:rPr>
    </w:lvl>
    <w:lvl w:ilvl="1" w:tplc="21FE930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F4089"/>
    <w:multiLevelType w:val="hybridMultilevel"/>
    <w:tmpl w:val="28C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A58D0"/>
    <w:multiLevelType w:val="hybridMultilevel"/>
    <w:tmpl w:val="4FDE6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0077B"/>
    <w:multiLevelType w:val="hybridMultilevel"/>
    <w:tmpl w:val="5284EA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8F0A92"/>
    <w:multiLevelType w:val="hybridMultilevel"/>
    <w:tmpl w:val="E93C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75A1A"/>
    <w:multiLevelType w:val="hybridMultilevel"/>
    <w:tmpl w:val="B48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21AA"/>
    <w:multiLevelType w:val="hybridMultilevel"/>
    <w:tmpl w:val="2BA4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47362"/>
    <w:multiLevelType w:val="hybridMultilevel"/>
    <w:tmpl w:val="91E81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707FF"/>
    <w:multiLevelType w:val="hybridMultilevel"/>
    <w:tmpl w:val="DC38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63AE"/>
    <w:multiLevelType w:val="hybridMultilevel"/>
    <w:tmpl w:val="52F6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04CE7"/>
    <w:multiLevelType w:val="hybridMultilevel"/>
    <w:tmpl w:val="0DBE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32636"/>
    <w:multiLevelType w:val="hybridMultilevel"/>
    <w:tmpl w:val="43A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7704E"/>
    <w:multiLevelType w:val="hybridMultilevel"/>
    <w:tmpl w:val="79F0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C7F16"/>
    <w:multiLevelType w:val="hybridMultilevel"/>
    <w:tmpl w:val="75C8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F3B05"/>
    <w:multiLevelType w:val="hybridMultilevel"/>
    <w:tmpl w:val="BB20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74975"/>
    <w:multiLevelType w:val="hybridMultilevel"/>
    <w:tmpl w:val="83D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B6BFE"/>
    <w:multiLevelType w:val="hybridMultilevel"/>
    <w:tmpl w:val="627C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33E62"/>
    <w:multiLevelType w:val="hybridMultilevel"/>
    <w:tmpl w:val="D96E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E3F3F"/>
    <w:multiLevelType w:val="hybridMultilevel"/>
    <w:tmpl w:val="2F88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C0667"/>
    <w:multiLevelType w:val="hybridMultilevel"/>
    <w:tmpl w:val="883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46894"/>
    <w:multiLevelType w:val="hybridMultilevel"/>
    <w:tmpl w:val="7B72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26371"/>
    <w:multiLevelType w:val="hybridMultilevel"/>
    <w:tmpl w:val="9D3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B398C"/>
    <w:multiLevelType w:val="hybridMultilevel"/>
    <w:tmpl w:val="F7A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6"/>
  </w:num>
  <w:num w:numId="4">
    <w:abstractNumId w:val="12"/>
  </w:num>
  <w:num w:numId="5">
    <w:abstractNumId w:val="3"/>
  </w:num>
  <w:num w:numId="6">
    <w:abstractNumId w:val="6"/>
  </w:num>
  <w:num w:numId="7">
    <w:abstractNumId w:val="23"/>
  </w:num>
  <w:num w:numId="8">
    <w:abstractNumId w:val="5"/>
  </w:num>
  <w:num w:numId="9">
    <w:abstractNumId w:val="9"/>
  </w:num>
  <w:num w:numId="10">
    <w:abstractNumId w:val="16"/>
  </w:num>
  <w:num w:numId="11">
    <w:abstractNumId w:val="0"/>
  </w:num>
  <w:num w:numId="12">
    <w:abstractNumId w:val="27"/>
  </w:num>
  <w:num w:numId="13">
    <w:abstractNumId w:val="13"/>
  </w:num>
  <w:num w:numId="14">
    <w:abstractNumId w:val="18"/>
  </w:num>
  <w:num w:numId="15">
    <w:abstractNumId w:val="14"/>
  </w:num>
  <w:num w:numId="16">
    <w:abstractNumId w:val="11"/>
  </w:num>
  <w:num w:numId="17">
    <w:abstractNumId w:val="4"/>
  </w:num>
  <w:num w:numId="18">
    <w:abstractNumId w:val="7"/>
  </w:num>
  <w:num w:numId="19">
    <w:abstractNumId w:val="22"/>
  </w:num>
  <w:num w:numId="20">
    <w:abstractNumId w:val="19"/>
  </w:num>
  <w:num w:numId="21">
    <w:abstractNumId w:val="15"/>
  </w:num>
  <w:num w:numId="22">
    <w:abstractNumId w:val="2"/>
  </w:num>
  <w:num w:numId="23">
    <w:abstractNumId w:val="21"/>
  </w:num>
  <w:num w:numId="24">
    <w:abstractNumId w:val="25"/>
  </w:num>
  <w:num w:numId="25">
    <w:abstractNumId w:val="1"/>
  </w:num>
  <w:num w:numId="26">
    <w:abstractNumId w:val="24"/>
  </w:num>
  <w:num w:numId="27">
    <w:abstractNumId w:val="20"/>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63D1"/>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26B"/>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B5E"/>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0D43"/>
    <w:rsid w:val="000C20E2"/>
    <w:rsid w:val="000C299B"/>
    <w:rsid w:val="000C311D"/>
    <w:rsid w:val="000C44B1"/>
    <w:rsid w:val="000C4BA4"/>
    <w:rsid w:val="000C4E99"/>
    <w:rsid w:val="000C4E9C"/>
    <w:rsid w:val="000C6442"/>
    <w:rsid w:val="000C6F99"/>
    <w:rsid w:val="000D077F"/>
    <w:rsid w:val="000D097E"/>
    <w:rsid w:val="000D0F7A"/>
    <w:rsid w:val="000D2BA0"/>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2E74"/>
    <w:rsid w:val="00113B09"/>
    <w:rsid w:val="001166BB"/>
    <w:rsid w:val="00117D3D"/>
    <w:rsid w:val="00121D0A"/>
    <w:rsid w:val="0012573D"/>
    <w:rsid w:val="00126322"/>
    <w:rsid w:val="00131D0E"/>
    <w:rsid w:val="001320CB"/>
    <w:rsid w:val="001323AC"/>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4E12"/>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2D5"/>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5C9A"/>
    <w:rsid w:val="001D0111"/>
    <w:rsid w:val="001D15FF"/>
    <w:rsid w:val="001D2DDB"/>
    <w:rsid w:val="001D396A"/>
    <w:rsid w:val="001D3D62"/>
    <w:rsid w:val="001D525A"/>
    <w:rsid w:val="001D5AB0"/>
    <w:rsid w:val="001D6FB9"/>
    <w:rsid w:val="001D7004"/>
    <w:rsid w:val="001D718E"/>
    <w:rsid w:val="001E0DD3"/>
    <w:rsid w:val="001E0E59"/>
    <w:rsid w:val="001E1042"/>
    <w:rsid w:val="001E2BAC"/>
    <w:rsid w:val="001E45BF"/>
    <w:rsid w:val="001E5D41"/>
    <w:rsid w:val="001E6331"/>
    <w:rsid w:val="001E6DFB"/>
    <w:rsid w:val="001E71FE"/>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4939"/>
    <w:rsid w:val="00236BA3"/>
    <w:rsid w:val="002413EE"/>
    <w:rsid w:val="00243C8C"/>
    <w:rsid w:val="00243CB5"/>
    <w:rsid w:val="002443A8"/>
    <w:rsid w:val="00246276"/>
    <w:rsid w:val="0024640B"/>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1558"/>
    <w:rsid w:val="00292DEC"/>
    <w:rsid w:val="00293B99"/>
    <w:rsid w:val="00293D02"/>
    <w:rsid w:val="00294222"/>
    <w:rsid w:val="00296690"/>
    <w:rsid w:val="002A1127"/>
    <w:rsid w:val="002A1228"/>
    <w:rsid w:val="002A2420"/>
    <w:rsid w:val="002A3588"/>
    <w:rsid w:val="002A6326"/>
    <w:rsid w:val="002B0E1F"/>
    <w:rsid w:val="002B376D"/>
    <w:rsid w:val="002B684E"/>
    <w:rsid w:val="002B76A4"/>
    <w:rsid w:val="002B7D72"/>
    <w:rsid w:val="002C13D3"/>
    <w:rsid w:val="002C1543"/>
    <w:rsid w:val="002C4018"/>
    <w:rsid w:val="002C42B2"/>
    <w:rsid w:val="002C4D38"/>
    <w:rsid w:val="002D15CD"/>
    <w:rsid w:val="002D1993"/>
    <w:rsid w:val="002D6D64"/>
    <w:rsid w:val="002E0EBA"/>
    <w:rsid w:val="002E4150"/>
    <w:rsid w:val="002E6164"/>
    <w:rsid w:val="002E61CB"/>
    <w:rsid w:val="002E6554"/>
    <w:rsid w:val="002E6838"/>
    <w:rsid w:val="002E71BD"/>
    <w:rsid w:val="002F318C"/>
    <w:rsid w:val="002F3DFD"/>
    <w:rsid w:val="002F6129"/>
    <w:rsid w:val="003002EE"/>
    <w:rsid w:val="00300581"/>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21C"/>
    <w:rsid w:val="00352E55"/>
    <w:rsid w:val="003531FC"/>
    <w:rsid w:val="003536EA"/>
    <w:rsid w:val="00353F01"/>
    <w:rsid w:val="00355729"/>
    <w:rsid w:val="00356FD8"/>
    <w:rsid w:val="00361436"/>
    <w:rsid w:val="003616DB"/>
    <w:rsid w:val="00362EF8"/>
    <w:rsid w:val="00363CBA"/>
    <w:rsid w:val="003648B8"/>
    <w:rsid w:val="003650F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C6C"/>
    <w:rsid w:val="003A0E1D"/>
    <w:rsid w:val="003A12AE"/>
    <w:rsid w:val="003A213C"/>
    <w:rsid w:val="003A2203"/>
    <w:rsid w:val="003A24D6"/>
    <w:rsid w:val="003A2766"/>
    <w:rsid w:val="003A374B"/>
    <w:rsid w:val="003A5C35"/>
    <w:rsid w:val="003A6408"/>
    <w:rsid w:val="003B0446"/>
    <w:rsid w:val="003B09C1"/>
    <w:rsid w:val="003B0BB7"/>
    <w:rsid w:val="003B184F"/>
    <w:rsid w:val="003B1B3D"/>
    <w:rsid w:val="003B2D4C"/>
    <w:rsid w:val="003B3318"/>
    <w:rsid w:val="003B3572"/>
    <w:rsid w:val="003B4653"/>
    <w:rsid w:val="003B52A7"/>
    <w:rsid w:val="003B6F51"/>
    <w:rsid w:val="003C027F"/>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4863"/>
    <w:rsid w:val="00415029"/>
    <w:rsid w:val="00415C99"/>
    <w:rsid w:val="004164CB"/>
    <w:rsid w:val="00416EC1"/>
    <w:rsid w:val="00421A90"/>
    <w:rsid w:val="00421B59"/>
    <w:rsid w:val="00421D84"/>
    <w:rsid w:val="00422570"/>
    <w:rsid w:val="00422ED9"/>
    <w:rsid w:val="00423F29"/>
    <w:rsid w:val="00424662"/>
    <w:rsid w:val="00426722"/>
    <w:rsid w:val="00431EEF"/>
    <w:rsid w:val="00432FFA"/>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BAF"/>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36C"/>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320F"/>
    <w:rsid w:val="004B5D19"/>
    <w:rsid w:val="004B74B3"/>
    <w:rsid w:val="004C019E"/>
    <w:rsid w:val="004C083D"/>
    <w:rsid w:val="004C0D08"/>
    <w:rsid w:val="004C20B1"/>
    <w:rsid w:val="004C241A"/>
    <w:rsid w:val="004C2642"/>
    <w:rsid w:val="004C2A6B"/>
    <w:rsid w:val="004C3D3A"/>
    <w:rsid w:val="004C4AA8"/>
    <w:rsid w:val="004C4EA9"/>
    <w:rsid w:val="004C4F9F"/>
    <w:rsid w:val="004C52D0"/>
    <w:rsid w:val="004C570A"/>
    <w:rsid w:val="004C76FB"/>
    <w:rsid w:val="004D160D"/>
    <w:rsid w:val="004D2FE8"/>
    <w:rsid w:val="004D30D7"/>
    <w:rsid w:val="004D31B6"/>
    <w:rsid w:val="004D3E48"/>
    <w:rsid w:val="004D4AF9"/>
    <w:rsid w:val="004D5297"/>
    <w:rsid w:val="004D5CA9"/>
    <w:rsid w:val="004D6102"/>
    <w:rsid w:val="004E03AF"/>
    <w:rsid w:val="004E05E0"/>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4E10"/>
    <w:rsid w:val="0050612C"/>
    <w:rsid w:val="0050732B"/>
    <w:rsid w:val="00507D97"/>
    <w:rsid w:val="005100F8"/>
    <w:rsid w:val="00510434"/>
    <w:rsid w:val="005110FE"/>
    <w:rsid w:val="00511CC0"/>
    <w:rsid w:val="00512D34"/>
    <w:rsid w:val="00512F16"/>
    <w:rsid w:val="00515150"/>
    <w:rsid w:val="00515368"/>
    <w:rsid w:val="005161FC"/>
    <w:rsid w:val="00516686"/>
    <w:rsid w:val="005218F6"/>
    <w:rsid w:val="00522D68"/>
    <w:rsid w:val="00527709"/>
    <w:rsid w:val="0053306D"/>
    <w:rsid w:val="005348A1"/>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2D06"/>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46C3"/>
    <w:rsid w:val="00596ACA"/>
    <w:rsid w:val="00597DE1"/>
    <w:rsid w:val="005A1377"/>
    <w:rsid w:val="005A1E4B"/>
    <w:rsid w:val="005A2AE5"/>
    <w:rsid w:val="005A2BC9"/>
    <w:rsid w:val="005A3FD9"/>
    <w:rsid w:val="005A4155"/>
    <w:rsid w:val="005A52E7"/>
    <w:rsid w:val="005A5CC1"/>
    <w:rsid w:val="005A76B4"/>
    <w:rsid w:val="005A7B2A"/>
    <w:rsid w:val="005A7E12"/>
    <w:rsid w:val="005B0541"/>
    <w:rsid w:val="005B0FD8"/>
    <w:rsid w:val="005B7D1A"/>
    <w:rsid w:val="005C44C6"/>
    <w:rsid w:val="005C484C"/>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82D"/>
    <w:rsid w:val="00610EE1"/>
    <w:rsid w:val="006131AB"/>
    <w:rsid w:val="00615547"/>
    <w:rsid w:val="00616C01"/>
    <w:rsid w:val="0062001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422"/>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67D27"/>
    <w:rsid w:val="006715A0"/>
    <w:rsid w:val="00671BEF"/>
    <w:rsid w:val="00675900"/>
    <w:rsid w:val="0067602D"/>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3389"/>
    <w:rsid w:val="006C7139"/>
    <w:rsid w:val="006C71C9"/>
    <w:rsid w:val="006D1FAB"/>
    <w:rsid w:val="006D2729"/>
    <w:rsid w:val="006D3174"/>
    <w:rsid w:val="006D4A90"/>
    <w:rsid w:val="006D5B17"/>
    <w:rsid w:val="006D6BEA"/>
    <w:rsid w:val="006D6C04"/>
    <w:rsid w:val="006D7272"/>
    <w:rsid w:val="006E1DED"/>
    <w:rsid w:val="006E3AAA"/>
    <w:rsid w:val="006E3EC7"/>
    <w:rsid w:val="006E7771"/>
    <w:rsid w:val="006F129F"/>
    <w:rsid w:val="006F4AD3"/>
    <w:rsid w:val="006F5E92"/>
    <w:rsid w:val="006F62F4"/>
    <w:rsid w:val="006F7148"/>
    <w:rsid w:val="006F715B"/>
    <w:rsid w:val="006F74E7"/>
    <w:rsid w:val="007000F9"/>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3999"/>
    <w:rsid w:val="00734103"/>
    <w:rsid w:val="0073475E"/>
    <w:rsid w:val="00734CFE"/>
    <w:rsid w:val="00734F1B"/>
    <w:rsid w:val="00734F2E"/>
    <w:rsid w:val="007362E3"/>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31D"/>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0F43"/>
    <w:rsid w:val="007E3231"/>
    <w:rsid w:val="007E541D"/>
    <w:rsid w:val="007F0F9A"/>
    <w:rsid w:val="007F2BDA"/>
    <w:rsid w:val="007F2EFD"/>
    <w:rsid w:val="007F566F"/>
    <w:rsid w:val="0080188E"/>
    <w:rsid w:val="008028FF"/>
    <w:rsid w:val="008029E9"/>
    <w:rsid w:val="00803ADB"/>
    <w:rsid w:val="0080466D"/>
    <w:rsid w:val="008054C0"/>
    <w:rsid w:val="00806E8B"/>
    <w:rsid w:val="0081445B"/>
    <w:rsid w:val="00816B49"/>
    <w:rsid w:val="0081796B"/>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4EC"/>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8F6775"/>
    <w:rsid w:val="0090209A"/>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C9A"/>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87CB5"/>
    <w:rsid w:val="009904BB"/>
    <w:rsid w:val="0099121E"/>
    <w:rsid w:val="00991B8E"/>
    <w:rsid w:val="00994872"/>
    <w:rsid w:val="00995712"/>
    <w:rsid w:val="00995A87"/>
    <w:rsid w:val="009A11A6"/>
    <w:rsid w:val="009A2222"/>
    <w:rsid w:val="009A504B"/>
    <w:rsid w:val="009A52E8"/>
    <w:rsid w:val="009A5B2B"/>
    <w:rsid w:val="009A672D"/>
    <w:rsid w:val="009B0304"/>
    <w:rsid w:val="009B06B2"/>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9F6"/>
    <w:rsid w:val="009C7DC6"/>
    <w:rsid w:val="009D2DE6"/>
    <w:rsid w:val="009D48A1"/>
    <w:rsid w:val="009D48CE"/>
    <w:rsid w:val="009D4FCF"/>
    <w:rsid w:val="009D55BB"/>
    <w:rsid w:val="009E3F80"/>
    <w:rsid w:val="009E3FF6"/>
    <w:rsid w:val="009E652E"/>
    <w:rsid w:val="009F356D"/>
    <w:rsid w:val="009F5577"/>
    <w:rsid w:val="009F73D0"/>
    <w:rsid w:val="00A0380E"/>
    <w:rsid w:val="00A05DA8"/>
    <w:rsid w:val="00A06458"/>
    <w:rsid w:val="00A06776"/>
    <w:rsid w:val="00A07959"/>
    <w:rsid w:val="00A124BC"/>
    <w:rsid w:val="00A13877"/>
    <w:rsid w:val="00A15161"/>
    <w:rsid w:val="00A15335"/>
    <w:rsid w:val="00A1689C"/>
    <w:rsid w:val="00A172A6"/>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008"/>
    <w:rsid w:val="00A42F0C"/>
    <w:rsid w:val="00A4406D"/>
    <w:rsid w:val="00A46752"/>
    <w:rsid w:val="00A515B0"/>
    <w:rsid w:val="00A5174B"/>
    <w:rsid w:val="00A55AAD"/>
    <w:rsid w:val="00A567DC"/>
    <w:rsid w:val="00A57E80"/>
    <w:rsid w:val="00A602E9"/>
    <w:rsid w:val="00A623C2"/>
    <w:rsid w:val="00A62920"/>
    <w:rsid w:val="00A62932"/>
    <w:rsid w:val="00A62F1C"/>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90FF6"/>
    <w:rsid w:val="00A914CD"/>
    <w:rsid w:val="00A9174F"/>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467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0D6"/>
    <w:rsid w:val="00AE338A"/>
    <w:rsid w:val="00AE34D3"/>
    <w:rsid w:val="00AE36AA"/>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34C"/>
    <w:rsid w:val="00B12B60"/>
    <w:rsid w:val="00B12F4B"/>
    <w:rsid w:val="00B13D04"/>
    <w:rsid w:val="00B15DFA"/>
    <w:rsid w:val="00B16296"/>
    <w:rsid w:val="00B17CEA"/>
    <w:rsid w:val="00B2043E"/>
    <w:rsid w:val="00B21EA6"/>
    <w:rsid w:val="00B23613"/>
    <w:rsid w:val="00B23B35"/>
    <w:rsid w:val="00B23E7A"/>
    <w:rsid w:val="00B2456C"/>
    <w:rsid w:val="00B24961"/>
    <w:rsid w:val="00B25D2E"/>
    <w:rsid w:val="00B267B5"/>
    <w:rsid w:val="00B26A7B"/>
    <w:rsid w:val="00B276F7"/>
    <w:rsid w:val="00B32185"/>
    <w:rsid w:val="00B32A06"/>
    <w:rsid w:val="00B32CF9"/>
    <w:rsid w:val="00B33ED2"/>
    <w:rsid w:val="00B34180"/>
    <w:rsid w:val="00B37B8A"/>
    <w:rsid w:val="00B410AF"/>
    <w:rsid w:val="00B418C2"/>
    <w:rsid w:val="00B424FA"/>
    <w:rsid w:val="00B445B5"/>
    <w:rsid w:val="00B44608"/>
    <w:rsid w:val="00B46027"/>
    <w:rsid w:val="00B47954"/>
    <w:rsid w:val="00B5059B"/>
    <w:rsid w:val="00B51CA8"/>
    <w:rsid w:val="00B51EFC"/>
    <w:rsid w:val="00B5298C"/>
    <w:rsid w:val="00B538B1"/>
    <w:rsid w:val="00B65A9E"/>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167"/>
    <w:rsid w:val="00BC3538"/>
    <w:rsid w:val="00BC369B"/>
    <w:rsid w:val="00BC4875"/>
    <w:rsid w:val="00BC5120"/>
    <w:rsid w:val="00BD004A"/>
    <w:rsid w:val="00BD1F11"/>
    <w:rsid w:val="00BD2360"/>
    <w:rsid w:val="00BD24E9"/>
    <w:rsid w:val="00BD2A49"/>
    <w:rsid w:val="00BD560A"/>
    <w:rsid w:val="00BD63E2"/>
    <w:rsid w:val="00BD6B60"/>
    <w:rsid w:val="00BE251E"/>
    <w:rsid w:val="00BE26EF"/>
    <w:rsid w:val="00BE3367"/>
    <w:rsid w:val="00BE4252"/>
    <w:rsid w:val="00BE46A7"/>
    <w:rsid w:val="00BE5F70"/>
    <w:rsid w:val="00BF0A06"/>
    <w:rsid w:val="00BF14DE"/>
    <w:rsid w:val="00BF201B"/>
    <w:rsid w:val="00BF2F40"/>
    <w:rsid w:val="00BF4A39"/>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0B50"/>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47E01"/>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97FBC"/>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590"/>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466"/>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287"/>
    <w:rsid w:val="00D41340"/>
    <w:rsid w:val="00D413F7"/>
    <w:rsid w:val="00D4155B"/>
    <w:rsid w:val="00D429AE"/>
    <w:rsid w:val="00D439A9"/>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58C0"/>
    <w:rsid w:val="00D87E48"/>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F18"/>
    <w:rsid w:val="00DC1F8D"/>
    <w:rsid w:val="00DC4642"/>
    <w:rsid w:val="00DC4F01"/>
    <w:rsid w:val="00DC600C"/>
    <w:rsid w:val="00DC6642"/>
    <w:rsid w:val="00DC6AED"/>
    <w:rsid w:val="00DC784F"/>
    <w:rsid w:val="00DD0717"/>
    <w:rsid w:val="00DD19E1"/>
    <w:rsid w:val="00DD1D0C"/>
    <w:rsid w:val="00DD1D99"/>
    <w:rsid w:val="00DD1E33"/>
    <w:rsid w:val="00DD2F63"/>
    <w:rsid w:val="00DD3BC4"/>
    <w:rsid w:val="00DD3C06"/>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219F"/>
    <w:rsid w:val="00E03679"/>
    <w:rsid w:val="00E03BED"/>
    <w:rsid w:val="00E04DC5"/>
    <w:rsid w:val="00E05578"/>
    <w:rsid w:val="00E07502"/>
    <w:rsid w:val="00E12016"/>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68CC"/>
    <w:rsid w:val="00E773DF"/>
    <w:rsid w:val="00E77788"/>
    <w:rsid w:val="00E85DF1"/>
    <w:rsid w:val="00E86124"/>
    <w:rsid w:val="00E866FF"/>
    <w:rsid w:val="00E867BD"/>
    <w:rsid w:val="00E9054A"/>
    <w:rsid w:val="00E91025"/>
    <w:rsid w:val="00E91CF3"/>
    <w:rsid w:val="00E93CD7"/>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EF7EFD"/>
    <w:rsid w:val="00F01092"/>
    <w:rsid w:val="00F02187"/>
    <w:rsid w:val="00F028A0"/>
    <w:rsid w:val="00F02BC8"/>
    <w:rsid w:val="00F051CE"/>
    <w:rsid w:val="00F06C8C"/>
    <w:rsid w:val="00F07928"/>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47C8"/>
    <w:rsid w:val="00F55BD7"/>
    <w:rsid w:val="00F56EBC"/>
    <w:rsid w:val="00F57996"/>
    <w:rsid w:val="00F57E55"/>
    <w:rsid w:val="00F60C80"/>
    <w:rsid w:val="00F628E5"/>
    <w:rsid w:val="00F62D63"/>
    <w:rsid w:val="00F65642"/>
    <w:rsid w:val="00F6619B"/>
    <w:rsid w:val="00F66401"/>
    <w:rsid w:val="00F66F75"/>
    <w:rsid w:val="00F768EB"/>
    <w:rsid w:val="00F77845"/>
    <w:rsid w:val="00F8004A"/>
    <w:rsid w:val="00F80769"/>
    <w:rsid w:val="00F80B33"/>
    <w:rsid w:val="00F8340D"/>
    <w:rsid w:val="00F835BA"/>
    <w:rsid w:val="00F85B55"/>
    <w:rsid w:val="00F864A5"/>
    <w:rsid w:val="00F871B1"/>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2DC7"/>
    <w:rsid w:val="00FD6012"/>
    <w:rsid w:val="00FD69DC"/>
    <w:rsid w:val="00FD7907"/>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B4F4C"/>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qFormat/>
    <w:rsid w:val="00C37A37"/>
    <w:rPr>
      <w:sz w:val="20"/>
    </w:rPr>
  </w:style>
  <w:style w:type="character" w:styleId="FootnoteReference">
    <w:name w:val="footnote reference"/>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19E"/>
    <w:rPr>
      <w:color w:val="605E5C"/>
      <w:shd w:val="clear" w:color="auto" w:fill="E1DFDD"/>
    </w:rPr>
  </w:style>
  <w:style w:type="character" w:customStyle="1" w:styleId="FootnoteTextChar">
    <w:name w:val="Footnote Text Char"/>
    <w:basedOn w:val="DefaultParagraphFont"/>
    <w:link w:val="FootnoteText"/>
    <w:rsid w:val="001C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95794552">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99724832">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kcclegisearch.kingcounty.gov/LegislationDetail.aspx?ID=2879280&amp;GUID=50696810-4608-4751-9FC8-1EDDE1273861&amp;Options=Advanced&amp;Search=" TargetMode="External"/><Relationship Id="rId13" Type="http://schemas.openxmlformats.org/officeDocument/2006/relationships/hyperlink" Target="https://kingcounty.gov/elected/executive/constantine/news/release/2015/November/02-homeless-emergency.aspx" TargetMode="External"/><Relationship Id="rId18" Type="http://schemas.openxmlformats.org/officeDocument/2006/relationships/hyperlink" Target="https://kingcounty.gov/~/media/exec/PSB/documents/CompFinMngmtPoliciesDoc.ashx?la=en" TargetMode="External"/><Relationship Id="rId3" Type="http://schemas.openxmlformats.org/officeDocument/2006/relationships/hyperlink" Target="https://mkcclegisearch.kingcounty.gov/LegislationDetail.aspx?ID=4652676&amp;GUID=8A31F2EE-23AF-4BA3-9306-CD87CD8B40A0&amp;Options=Advanced&amp;Search=" TargetMode="External"/><Relationship Id="rId7" Type="http://schemas.openxmlformats.org/officeDocument/2006/relationships/hyperlink" Target="https://kingcounty.gov/elected/executive/equity-social-justice/strategic-plan.aspx" TargetMode="External"/><Relationship Id="rId12" Type="http://schemas.openxmlformats.org/officeDocument/2006/relationships/hyperlink" Target="https://kingcounty.gov/~/media/depts/community-human-services/housing-homelessness-community-development/documents/affordable-housing-committee/AHC_AnnualReport2019_10-16-2020.ashx?la=en" TargetMode="External"/><Relationship Id="rId17" Type="http://schemas.openxmlformats.org/officeDocument/2006/relationships/hyperlink" Target="https://kingcounty.gov/~/media/exec/PSB/documents/CompFinMngmtPoliciesDoc.ashx?la=en" TargetMode="External"/><Relationship Id="rId2" Type="http://schemas.openxmlformats.org/officeDocument/2006/relationships/hyperlink" Target="http://lawfilesext.leg.wa.gov/biennium/2021-22/Pdf/Bills/House%20Bills/1070-S.E.pdf" TargetMode="External"/><Relationship Id="rId16" Type="http://schemas.openxmlformats.org/officeDocument/2006/relationships/hyperlink" Target="https://kcrha.org/wp-content/uploads/2020/07/Count-Us-In-2020-Final_7.29.2020.pdf" TargetMode="External"/><Relationship Id="rId1" Type="http://schemas.openxmlformats.org/officeDocument/2006/relationships/hyperlink" Target="http://lawfilesext.leg.wa.gov/biennium/2019-20/Pdf/Bill%20Reports/House/1590%20HBR%20APH%2020.pdf?q=20200221125034" TargetMode="External"/><Relationship Id="rId6" Type="http://schemas.openxmlformats.org/officeDocument/2006/relationships/hyperlink" Target="https://mkcclegisearch.kingcounty.gov/LegislationDetail.aspx?ID=1912040&amp;GUID=2523ABC0-535F-415D-AB4B-53528CC8E329&amp;Options=Advanced&amp;Search=" TargetMode="External"/><Relationship Id="rId11" Type="http://schemas.openxmlformats.org/officeDocument/2006/relationships/hyperlink" Target="https://mkcclegisearch.kingcounty.gov/LegislationDetail.aspx?ID=3821030&amp;GUID=F75728B6-5121-4552-949F-EC46E897BDDB&amp;Options=Advanced&amp;Search=" TargetMode="External"/><Relationship Id="rId5" Type="http://schemas.openxmlformats.org/officeDocument/2006/relationships/hyperlink" Target="https://kingcounty.gov/depts/executive/performance-strategy-budget/performance-strategy/Strategic-Planning/2015-strategic-plan-update.aspx" TargetMode="External"/><Relationship Id="rId15" Type="http://schemas.openxmlformats.org/officeDocument/2006/relationships/hyperlink" Target="https://kcrha.org/wp-content/uploads/2020/07/Count-Us-In-2020-Final_7.29.2020.pdf" TargetMode="External"/><Relationship Id="rId10" Type="http://schemas.openxmlformats.org/officeDocument/2006/relationships/hyperlink" Target="https://kingcounty.gov/~/media/initiatives/affordablehousing/documents/report/RAH_Report_Final.ashx?la=en" TargetMode="External"/><Relationship Id="rId19" Type="http://schemas.openxmlformats.org/officeDocument/2006/relationships/hyperlink" Target="https://kingcounty.gov/council/legislation/kc_code/04_Title_1.aspx" TargetMode="External"/><Relationship Id="rId4" Type="http://schemas.openxmlformats.org/officeDocument/2006/relationships/hyperlink" Target="https://mkcclegisearch.kingcounty.gov/LegislationDetail.aspx?ID=4648545&amp;GUID=5375B2B2-FED6-43E4-9394-15E081218D29&amp;Options=Advanced&amp;Search=" TargetMode="External"/><Relationship Id="rId9" Type="http://schemas.openxmlformats.org/officeDocument/2006/relationships/hyperlink" Target="https://mkcclegisearch.kingcounty.gov/LegislationDetail.aspx?ID=3012009&amp;GUID=37A7901A-8BC7-4B0B-AE99-E29B8103DDF5&amp;Options=Advanced&amp;Search=" TargetMode="External"/><Relationship Id="rId14" Type="http://schemas.openxmlformats.org/officeDocument/2006/relationships/hyperlink" Target="https://mkcclegisearch.kingcounty.gov/LegislationDetail.aspx?ID=4228198&amp;GUID=7AD532D2-2763-4E9F-8FD1-2687FE1BF165&amp;Options=Advanced&amp;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253D-A249-41BE-9403-4B1DBB5C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6771</Words>
  <Characters>38598</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2</cp:revision>
  <cp:lastPrinted>2015-03-13T15:09:00Z</cp:lastPrinted>
  <dcterms:created xsi:type="dcterms:W3CDTF">2021-10-11T17:35:00Z</dcterms:created>
  <dcterms:modified xsi:type="dcterms:W3CDTF">2021-10-11T17:35:00Z</dcterms:modified>
</cp:coreProperties>
</file>