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97807" w14:textId="77777777" w:rsidR="00001AFD" w:rsidRPr="004A3FBB" w:rsidRDefault="00001AFD" w:rsidP="00001AFD">
      <w:pPr>
        <w:pStyle w:val="Heading2"/>
        <w:rPr>
          <w:rFonts w:ascii="Arial" w:hAnsi="Arial" w:cs="Arial"/>
          <w:sz w:val="24"/>
        </w:rPr>
      </w:pPr>
      <w:r w:rsidRPr="004A3FBB">
        <w:rPr>
          <w:rFonts w:ascii="Arial" w:hAnsi="Arial" w:cs="Arial"/>
          <w:sz w:val="24"/>
        </w:rPr>
        <w:t>STAFF REPORT</w:t>
      </w:r>
    </w:p>
    <w:p w14:paraId="0B0E72C6" w14:textId="77777777" w:rsidR="00001AFD" w:rsidRPr="004A3FBB" w:rsidRDefault="00001AFD" w:rsidP="00001AFD">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001AFD" w:rsidRPr="004A3FBB" w14:paraId="31486B3C" w14:textId="77777777" w:rsidTr="00A9268D">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455BB52" w14:textId="77777777" w:rsidR="00001AFD" w:rsidRPr="004A3FBB" w:rsidRDefault="00001AFD" w:rsidP="00A9268D">
            <w:pPr>
              <w:spacing w:before="120"/>
              <w:rPr>
                <w:rFonts w:ascii="Arial" w:hAnsi="Arial" w:cs="Arial"/>
                <w:b/>
              </w:rPr>
            </w:pPr>
            <w:r w:rsidRPr="004A3FBB">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280004C5" w14:textId="30ED31EC" w:rsidR="00001AFD" w:rsidRPr="004A3FBB" w:rsidRDefault="00572E7E" w:rsidP="00A9268D">
            <w:pPr>
              <w:spacing w:before="120"/>
              <w:rPr>
                <w:rFonts w:ascii="Arial" w:hAnsi="Arial" w:cs="Arial"/>
              </w:rPr>
            </w:pPr>
            <w:r>
              <w:rPr>
                <w:rFonts w:ascii="Arial" w:hAnsi="Arial" w:cs="Arial"/>
              </w:rPr>
              <w:t>7</w:t>
            </w:r>
          </w:p>
        </w:tc>
        <w:tc>
          <w:tcPr>
            <w:tcW w:w="1170" w:type="dxa"/>
            <w:tcBorders>
              <w:top w:val="single" w:sz="4" w:space="0" w:color="auto"/>
              <w:left w:val="single" w:sz="4" w:space="0" w:color="auto"/>
              <w:bottom w:val="single" w:sz="4" w:space="0" w:color="auto"/>
              <w:right w:val="single" w:sz="4" w:space="0" w:color="auto"/>
            </w:tcBorders>
            <w:vAlign w:val="center"/>
          </w:tcPr>
          <w:p w14:paraId="23C3B416" w14:textId="77777777" w:rsidR="00001AFD" w:rsidRPr="004A3FBB" w:rsidRDefault="00001AFD" w:rsidP="00A9268D">
            <w:pPr>
              <w:spacing w:before="120"/>
              <w:rPr>
                <w:rFonts w:ascii="Arial" w:hAnsi="Arial" w:cs="Arial"/>
                <w:b/>
              </w:rPr>
            </w:pPr>
            <w:r w:rsidRPr="004A3FBB">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25E08483" w14:textId="77777777" w:rsidR="00001AFD" w:rsidRPr="004A3FBB" w:rsidRDefault="00001AFD" w:rsidP="00A9268D">
            <w:pPr>
              <w:spacing w:before="120"/>
              <w:rPr>
                <w:rFonts w:ascii="Arial" w:hAnsi="Arial" w:cs="Arial"/>
              </w:rPr>
            </w:pPr>
            <w:r>
              <w:rPr>
                <w:rFonts w:ascii="Arial" w:hAnsi="Arial" w:cs="Arial"/>
              </w:rPr>
              <w:t>Mike Reed</w:t>
            </w:r>
          </w:p>
        </w:tc>
      </w:tr>
      <w:tr w:rsidR="00001AFD" w:rsidRPr="004A3FBB" w14:paraId="03A54315" w14:textId="77777777" w:rsidTr="00A9268D">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246A7E0" w14:textId="77777777" w:rsidR="00001AFD" w:rsidRPr="004A3FBB" w:rsidRDefault="00001AFD" w:rsidP="00A9268D">
            <w:pPr>
              <w:spacing w:before="120"/>
              <w:rPr>
                <w:rFonts w:ascii="Arial" w:hAnsi="Arial" w:cs="Arial"/>
              </w:rPr>
            </w:pPr>
            <w:r w:rsidRPr="004A3FBB">
              <w:rPr>
                <w:rFonts w:ascii="Arial" w:hAnsi="Arial" w:cs="Arial"/>
                <w:b/>
              </w:rPr>
              <w:t>Proposed No</w:t>
            </w:r>
            <w:r w:rsidRPr="004A3FBB">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2BA3165E" w14:textId="659D27C1" w:rsidR="00001AFD" w:rsidRPr="004A3FBB" w:rsidRDefault="00572E7E" w:rsidP="00A9268D">
            <w:pPr>
              <w:rPr>
                <w:rFonts w:ascii="Arial" w:hAnsi="Arial" w:cs="Arial"/>
              </w:rPr>
            </w:pPr>
            <w:r>
              <w:rPr>
                <w:rFonts w:ascii="Arial" w:hAnsi="Arial" w:cs="Arial"/>
              </w:rPr>
              <w:t>2021-</w:t>
            </w:r>
            <w:r w:rsidR="00940F63">
              <w:rPr>
                <w:rFonts w:ascii="Arial" w:hAnsi="Arial" w:cs="Arial"/>
              </w:rPr>
              <w:t>B</w:t>
            </w:r>
            <w:r>
              <w:rPr>
                <w:rFonts w:ascii="Arial" w:hAnsi="Arial" w:cs="Arial"/>
              </w:rPr>
              <w:t>0051</w:t>
            </w:r>
          </w:p>
        </w:tc>
        <w:tc>
          <w:tcPr>
            <w:tcW w:w="1170" w:type="dxa"/>
            <w:tcBorders>
              <w:top w:val="single" w:sz="4" w:space="0" w:color="auto"/>
              <w:left w:val="single" w:sz="4" w:space="0" w:color="auto"/>
              <w:bottom w:val="single" w:sz="4" w:space="0" w:color="auto"/>
              <w:right w:val="single" w:sz="4" w:space="0" w:color="auto"/>
            </w:tcBorders>
            <w:vAlign w:val="center"/>
          </w:tcPr>
          <w:p w14:paraId="2A9DCD65" w14:textId="77777777" w:rsidR="00001AFD" w:rsidRPr="004A3FBB" w:rsidRDefault="00001AFD" w:rsidP="00A9268D">
            <w:pPr>
              <w:spacing w:before="120"/>
              <w:ind w:right="-108"/>
              <w:rPr>
                <w:rFonts w:ascii="Arial" w:hAnsi="Arial" w:cs="Arial"/>
              </w:rPr>
            </w:pPr>
            <w:r w:rsidRPr="004A3FBB">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02DD6CD8" w14:textId="18A00171" w:rsidR="00001AFD" w:rsidRPr="004A3FBB" w:rsidRDefault="00937C0C" w:rsidP="00A9268D">
            <w:pPr>
              <w:spacing w:before="120"/>
              <w:rPr>
                <w:rFonts w:ascii="Arial" w:hAnsi="Arial" w:cs="Arial"/>
              </w:rPr>
            </w:pPr>
            <w:r>
              <w:rPr>
                <w:rFonts w:ascii="Arial" w:hAnsi="Arial" w:cs="Arial"/>
              </w:rPr>
              <w:t>April 7</w:t>
            </w:r>
            <w:r w:rsidR="00001AFD">
              <w:rPr>
                <w:rFonts w:ascii="Arial" w:hAnsi="Arial" w:cs="Arial"/>
              </w:rPr>
              <w:t>, 2021</w:t>
            </w:r>
          </w:p>
        </w:tc>
      </w:tr>
    </w:tbl>
    <w:p w14:paraId="760B4156" w14:textId="77777777" w:rsidR="00001AFD" w:rsidRPr="004A3FBB" w:rsidRDefault="00001AFD" w:rsidP="00001AFD">
      <w:pPr>
        <w:rPr>
          <w:rFonts w:ascii="Arial" w:hAnsi="Arial" w:cs="Arial"/>
          <w:b/>
          <w:szCs w:val="24"/>
          <w:u w:val="single"/>
        </w:rPr>
      </w:pPr>
    </w:p>
    <w:p w14:paraId="28D686BB" w14:textId="77777777" w:rsidR="00001AFD" w:rsidRDefault="00001AFD" w:rsidP="00001AFD">
      <w:pPr>
        <w:rPr>
          <w:rFonts w:ascii="Arial" w:hAnsi="Arial" w:cs="Arial"/>
          <w:b/>
          <w:szCs w:val="24"/>
          <w:u w:val="single"/>
        </w:rPr>
      </w:pPr>
      <w:r w:rsidRPr="004A3FBB">
        <w:rPr>
          <w:rFonts w:ascii="Arial" w:hAnsi="Arial" w:cs="Arial"/>
          <w:b/>
          <w:szCs w:val="24"/>
          <w:u w:val="single"/>
        </w:rPr>
        <w:t>SUBJECT</w:t>
      </w:r>
    </w:p>
    <w:p w14:paraId="48FB8049" w14:textId="77777777" w:rsidR="00001AFD" w:rsidRPr="004A3FBB" w:rsidRDefault="00001AFD" w:rsidP="00001AFD">
      <w:pPr>
        <w:rPr>
          <w:rFonts w:ascii="Arial" w:hAnsi="Arial" w:cs="Arial"/>
          <w:b/>
          <w:szCs w:val="24"/>
          <w:u w:val="single"/>
        </w:rPr>
      </w:pPr>
    </w:p>
    <w:p w14:paraId="73754DE1" w14:textId="176E8003" w:rsidR="00001AFD" w:rsidRPr="00381FEA" w:rsidRDefault="00001AFD" w:rsidP="00001AFD">
      <w:pPr>
        <w:jc w:val="both"/>
        <w:rPr>
          <w:rFonts w:ascii="Arial" w:hAnsi="Arial" w:cs="Arial"/>
          <w:szCs w:val="24"/>
        </w:rPr>
      </w:pPr>
      <w:r>
        <w:rPr>
          <w:rFonts w:ascii="Arial" w:hAnsi="Arial" w:cs="Arial"/>
          <w:szCs w:val="24"/>
        </w:rPr>
        <w:t xml:space="preserve">RWQC Engagement process preliminary to the 2022 wastewater rate </w:t>
      </w:r>
      <w:r w:rsidR="00197F0D">
        <w:rPr>
          <w:rFonts w:ascii="Arial" w:hAnsi="Arial" w:cs="Arial"/>
          <w:szCs w:val="24"/>
        </w:rPr>
        <w:t>transmittal</w:t>
      </w:r>
      <w:r>
        <w:rPr>
          <w:rFonts w:ascii="Arial" w:hAnsi="Arial" w:cs="Arial"/>
          <w:szCs w:val="24"/>
        </w:rPr>
        <w:t>.</w:t>
      </w:r>
    </w:p>
    <w:p w14:paraId="76399703" w14:textId="77777777" w:rsidR="00001AFD" w:rsidRPr="004A3FBB" w:rsidRDefault="00001AFD" w:rsidP="00001AFD">
      <w:pPr>
        <w:jc w:val="both"/>
        <w:rPr>
          <w:rFonts w:ascii="Arial" w:hAnsi="Arial" w:cs="Arial"/>
          <w:b/>
          <w:szCs w:val="24"/>
          <w:u w:val="single"/>
        </w:rPr>
      </w:pPr>
    </w:p>
    <w:p w14:paraId="1A634C0C" w14:textId="77777777" w:rsidR="00001AFD" w:rsidRDefault="00001AFD" w:rsidP="00001AFD">
      <w:pPr>
        <w:jc w:val="both"/>
        <w:rPr>
          <w:rFonts w:ascii="Arial" w:hAnsi="Arial" w:cs="Arial"/>
          <w:b/>
          <w:szCs w:val="24"/>
          <w:u w:val="single"/>
        </w:rPr>
      </w:pPr>
      <w:r>
        <w:rPr>
          <w:rFonts w:ascii="Arial" w:hAnsi="Arial" w:cs="Arial"/>
          <w:b/>
          <w:szCs w:val="24"/>
          <w:u w:val="single"/>
        </w:rPr>
        <w:t>SUMMARY</w:t>
      </w:r>
    </w:p>
    <w:p w14:paraId="6E6928DF" w14:textId="77777777" w:rsidR="00001AFD" w:rsidRPr="004A3FBB" w:rsidRDefault="00001AFD" w:rsidP="00001AFD">
      <w:pPr>
        <w:jc w:val="both"/>
        <w:rPr>
          <w:rFonts w:ascii="Arial" w:hAnsi="Arial" w:cs="Arial"/>
          <w:b/>
          <w:szCs w:val="24"/>
          <w:u w:val="single"/>
        </w:rPr>
      </w:pPr>
    </w:p>
    <w:p w14:paraId="5351DBE9" w14:textId="0531BEC5" w:rsidR="00001AFD" w:rsidRPr="004A3FBB" w:rsidRDefault="00001AFD" w:rsidP="00001AFD">
      <w:pPr>
        <w:jc w:val="both"/>
        <w:rPr>
          <w:rFonts w:ascii="Arial" w:hAnsi="Arial" w:cs="Arial"/>
          <w:szCs w:val="24"/>
        </w:rPr>
      </w:pPr>
      <w:r>
        <w:rPr>
          <w:rFonts w:ascii="Arial" w:hAnsi="Arial" w:cs="Arial"/>
          <w:szCs w:val="24"/>
        </w:rPr>
        <w:t>The Regional Water Quality Committee is briefed annually on recommended sewer rates and capacity charges, prior to adoption by Council.  In the 2021 rate setting process, significant projected rate increases in coming years became a point of discussion, and Asset Management emerged as a key element in those discussions.  For the 2022 rate setting process, the Wastewater Treatment Division committed to engaging key participants, including the Regional Water Quality Committee, in framework discussions to inform that rate setting effort.  At the September, October and December, 2020 RWQC meetings, WTD briefed the Committee on asset management needs including the development of the wastewater physical plant, the executive review process for asset updating and upgrading, the history of wastewater asset management, the life cycle of wastewater assets, capital project prioritization, and asset management at regional treatment plants.  At the March meeting, the Committee was briefed on the schedule for development of the sewer rate, with an anticipated April 15 transmittal date.  The agency has noted that it anticipates briefing the Metropolitan Water Pollution Abatement Advisory Committee on the preliminary rate recommendation prior to the transmittal date; RWQC members have expressed interest in an early briefing on the rate recommendation.   It is anticipated that today’s briefing will provide information on a preliminary rate recommendation.</w:t>
      </w:r>
    </w:p>
    <w:p w14:paraId="066E5EE0" w14:textId="77777777" w:rsidR="00001AFD" w:rsidRPr="004A3FBB" w:rsidRDefault="00001AFD" w:rsidP="00001AFD">
      <w:pPr>
        <w:jc w:val="both"/>
        <w:rPr>
          <w:rFonts w:ascii="Arial" w:hAnsi="Arial" w:cs="Arial"/>
          <w:szCs w:val="24"/>
        </w:rPr>
      </w:pPr>
    </w:p>
    <w:p w14:paraId="533A7A0F" w14:textId="77777777" w:rsidR="00001AFD" w:rsidRDefault="00001AFD" w:rsidP="00001AFD">
      <w:pPr>
        <w:jc w:val="both"/>
        <w:rPr>
          <w:rFonts w:ascii="Arial" w:hAnsi="Arial" w:cs="Arial"/>
          <w:b/>
          <w:szCs w:val="24"/>
          <w:u w:val="single"/>
        </w:rPr>
      </w:pPr>
      <w:r>
        <w:rPr>
          <w:rFonts w:ascii="Arial" w:hAnsi="Arial" w:cs="Arial"/>
          <w:b/>
          <w:szCs w:val="24"/>
          <w:u w:val="single"/>
        </w:rPr>
        <w:t>BACKGROUND</w:t>
      </w:r>
    </w:p>
    <w:p w14:paraId="0569849E" w14:textId="77777777" w:rsidR="00001AFD" w:rsidRDefault="00001AFD" w:rsidP="00001AFD">
      <w:pPr>
        <w:jc w:val="both"/>
        <w:rPr>
          <w:rFonts w:ascii="Arial" w:hAnsi="Arial" w:cs="Arial"/>
          <w:b/>
          <w:szCs w:val="24"/>
          <w:u w:val="single"/>
        </w:rPr>
      </w:pPr>
    </w:p>
    <w:p w14:paraId="7B91D893" w14:textId="117BB1F4" w:rsidR="004E5289" w:rsidRDefault="004E5289" w:rsidP="00001AFD">
      <w:pPr>
        <w:jc w:val="both"/>
        <w:rPr>
          <w:rFonts w:ascii="Arial" w:hAnsi="Arial" w:cs="Arial"/>
          <w:szCs w:val="24"/>
        </w:rPr>
      </w:pPr>
      <w:r>
        <w:rPr>
          <w:rFonts w:ascii="Arial" w:hAnsi="Arial" w:cs="Arial"/>
          <w:szCs w:val="24"/>
        </w:rPr>
        <w:t>Each year, the Executive recommends a proposed rate level for the sewer rate and capacity charge, pursuant to KCC 28.86.160 C:</w:t>
      </w:r>
    </w:p>
    <w:p w14:paraId="69CC89D8" w14:textId="7DEE0AB3" w:rsidR="004E5289" w:rsidRDefault="004E5289" w:rsidP="00001AFD">
      <w:pPr>
        <w:jc w:val="both"/>
        <w:rPr>
          <w:rFonts w:ascii="Arial" w:hAnsi="Arial" w:cs="Arial"/>
          <w:szCs w:val="24"/>
        </w:rPr>
      </w:pPr>
      <w:r>
        <w:rPr>
          <w:rFonts w:ascii="Arial" w:hAnsi="Arial" w:cs="Arial"/>
          <w:szCs w:val="24"/>
        </w:rPr>
        <w:tab/>
      </w:r>
    </w:p>
    <w:p w14:paraId="5C2F6D22" w14:textId="1B62EB31" w:rsidR="004E5289" w:rsidRPr="00EF5E2A" w:rsidRDefault="004E5289" w:rsidP="00EF5E2A">
      <w:pPr>
        <w:pStyle w:val="BodyText"/>
        <w:tabs>
          <w:tab w:val="clear" w:pos="480"/>
          <w:tab w:val="clear" w:pos="600"/>
          <w:tab w:val="left" w:pos="720"/>
        </w:tabs>
        <w:ind w:left="720"/>
        <w:rPr>
          <w:i/>
          <w:iCs/>
          <w:sz w:val="24"/>
          <w:szCs w:val="24"/>
        </w:rPr>
      </w:pPr>
      <w:r>
        <w:rPr>
          <w:rFonts w:cs="Arial"/>
          <w:szCs w:val="24"/>
        </w:rPr>
        <w:tab/>
      </w:r>
      <w:r w:rsidRPr="00EF5E2A">
        <w:rPr>
          <w:i/>
          <w:iCs/>
          <w:sz w:val="24"/>
          <w:szCs w:val="24"/>
        </w:rPr>
        <w:t>FP-15:  King County shall charge its customers sewer rates and capacity charges sufficient to cover the costs of constructing and operating its wastewater system.  Revenues shall be sufficient to maintain capital assets in sound working condition, providing for maintenance and rehabilitation of facilities so that total system costs are minimized while continuing to provide reliable, high quality service and maintaining high water quality standards.</w:t>
      </w:r>
    </w:p>
    <w:p w14:paraId="03D71FA9" w14:textId="77777777" w:rsidR="004E5289" w:rsidRPr="00EF5E2A" w:rsidRDefault="004E5289" w:rsidP="00EF5E2A">
      <w:pPr>
        <w:pStyle w:val="BodyText"/>
        <w:tabs>
          <w:tab w:val="clear" w:pos="480"/>
          <w:tab w:val="clear" w:pos="600"/>
          <w:tab w:val="left" w:pos="720"/>
        </w:tabs>
        <w:ind w:left="720"/>
        <w:rPr>
          <w:i/>
          <w:iCs/>
          <w:sz w:val="24"/>
          <w:szCs w:val="24"/>
        </w:rPr>
      </w:pPr>
      <w:r w:rsidRPr="00EF5E2A">
        <w:rPr>
          <w:i/>
          <w:iCs/>
          <w:sz w:val="24"/>
          <w:szCs w:val="24"/>
        </w:rPr>
        <w:lastRenderedPageBreak/>
        <w:t>2.  Sewer rate.  King County shall maintain a uniform monthly sewer rate expressed as charges per residential customer equivalent for all customers.</w:t>
      </w:r>
    </w:p>
    <w:p w14:paraId="6EE64C31" w14:textId="77777777" w:rsidR="004E5289" w:rsidRPr="00EF5E2A" w:rsidRDefault="004E5289" w:rsidP="00EF5E2A">
      <w:pPr>
        <w:pStyle w:val="BodyText"/>
        <w:tabs>
          <w:tab w:val="clear" w:pos="480"/>
          <w:tab w:val="clear" w:pos="600"/>
          <w:tab w:val="left" w:pos="720"/>
        </w:tabs>
        <w:ind w:left="720"/>
        <w:rPr>
          <w:i/>
          <w:iCs/>
          <w:sz w:val="24"/>
          <w:szCs w:val="24"/>
        </w:rPr>
      </w:pPr>
      <w:r w:rsidRPr="00EF5E2A">
        <w:rPr>
          <w:i/>
          <w:iCs/>
          <w:sz w:val="24"/>
          <w:szCs w:val="24"/>
        </w:rPr>
        <w:tab/>
        <w:t xml:space="preserve">    a.  Sewer rates shall be designed to generate revenue sufficient to cover, at a minimum, all costs of system operation and maintenance and all capital costs incurred to serve existing customers.</w:t>
      </w:r>
    </w:p>
    <w:p w14:paraId="301D7036" w14:textId="27707B1D" w:rsidR="004E5289" w:rsidRPr="00EF5E2A" w:rsidRDefault="004E5289" w:rsidP="00EF5E2A">
      <w:pPr>
        <w:ind w:left="720"/>
        <w:jc w:val="both"/>
        <w:rPr>
          <w:rFonts w:ascii="Arial" w:hAnsi="Arial" w:cs="Arial"/>
          <w:i/>
          <w:iCs/>
          <w:szCs w:val="24"/>
        </w:rPr>
      </w:pPr>
    </w:p>
    <w:p w14:paraId="29AC94A7" w14:textId="269414B4" w:rsidR="00EF5E2A" w:rsidRPr="00EF5E2A" w:rsidRDefault="00EF5E2A" w:rsidP="00EF5E2A">
      <w:pPr>
        <w:pStyle w:val="BodyText"/>
        <w:tabs>
          <w:tab w:val="clear" w:pos="480"/>
          <w:tab w:val="clear" w:pos="600"/>
          <w:tab w:val="left" w:pos="720"/>
        </w:tabs>
        <w:ind w:left="720"/>
        <w:rPr>
          <w:i/>
          <w:iCs/>
          <w:sz w:val="24"/>
          <w:szCs w:val="24"/>
        </w:rPr>
      </w:pPr>
      <w:r w:rsidRPr="00EF5E2A">
        <w:rPr>
          <w:i/>
          <w:iCs/>
          <w:sz w:val="24"/>
          <w:szCs w:val="24"/>
        </w:rPr>
        <w:t xml:space="preserve">3.  Capacity charge.  The amount of the capacity charge shall be a uniform charge applied to each residential customer class structure type based on an estimate of the average persons-per-household occupancy for each such a residential customer class structure type.  The amount shall be approved annually and shall not exceed the cost of capital facilities necessary to serve new customers.  </w:t>
      </w:r>
    </w:p>
    <w:p w14:paraId="212FD517" w14:textId="5CCF8DCD" w:rsidR="004E5289" w:rsidRDefault="00EF5E2A" w:rsidP="00EF5E2A">
      <w:pPr>
        <w:jc w:val="both"/>
        <w:rPr>
          <w:rFonts w:ascii="Arial" w:hAnsi="Arial" w:cs="Arial"/>
          <w:szCs w:val="24"/>
        </w:rPr>
      </w:pPr>
      <w:r>
        <w:rPr>
          <w:szCs w:val="24"/>
        </w:rPr>
        <w:tab/>
        <w:t xml:space="preserve">   </w:t>
      </w:r>
    </w:p>
    <w:p w14:paraId="65FF8766" w14:textId="47D0AE90" w:rsidR="004E5289" w:rsidRDefault="00937C0C" w:rsidP="00001AFD">
      <w:pPr>
        <w:jc w:val="both"/>
        <w:rPr>
          <w:rFonts w:ascii="Arial" w:hAnsi="Arial" w:cs="Arial"/>
          <w:szCs w:val="24"/>
        </w:rPr>
      </w:pPr>
      <w:r>
        <w:rPr>
          <w:rFonts w:ascii="Arial" w:hAnsi="Arial" w:cs="Arial"/>
          <w:szCs w:val="24"/>
        </w:rPr>
        <w:t xml:space="preserve">Interlocal agreements with participating cities and sewer districts establish July 1 of each year as the date by which the County must approve the sewer rate. </w:t>
      </w:r>
    </w:p>
    <w:p w14:paraId="58A758CB" w14:textId="77777777" w:rsidR="00937C0C" w:rsidRDefault="00937C0C" w:rsidP="00001AFD">
      <w:pPr>
        <w:jc w:val="both"/>
        <w:rPr>
          <w:rFonts w:ascii="Arial" w:hAnsi="Arial" w:cs="Arial"/>
          <w:szCs w:val="24"/>
        </w:rPr>
      </w:pPr>
    </w:p>
    <w:p w14:paraId="3A0D2045" w14:textId="6C5E8009" w:rsidR="00937C0C" w:rsidRPr="00937C0C" w:rsidRDefault="00937C0C" w:rsidP="00001AFD">
      <w:pPr>
        <w:jc w:val="both"/>
        <w:rPr>
          <w:rFonts w:ascii="Arial" w:hAnsi="Arial" w:cs="Arial"/>
          <w:b/>
          <w:bCs/>
          <w:szCs w:val="24"/>
          <w:u w:val="single"/>
        </w:rPr>
      </w:pPr>
      <w:r w:rsidRPr="00937C0C">
        <w:rPr>
          <w:rFonts w:ascii="Arial" w:hAnsi="Arial" w:cs="Arial"/>
          <w:b/>
          <w:bCs/>
          <w:szCs w:val="24"/>
          <w:u w:val="single"/>
        </w:rPr>
        <w:t>Rate Setting Process for 2021 Sewer Rate</w:t>
      </w:r>
    </w:p>
    <w:p w14:paraId="3C115BD8" w14:textId="27065C3C" w:rsidR="00001AFD" w:rsidRDefault="00001AFD" w:rsidP="00001AFD">
      <w:pPr>
        <w:jc w:val="both"/>
        <w:rPr>
          <w:rFonts w:ascii="Arial" w:hAnsi="Arial" w:cs="Arial"/>
          <w:szCs w:val="24"/>
        </w:rPr>
      </w:pPr>
      <w:r>
        <w:rPr>
          <w:rFonts w:ascii="Arial" w:hAnsi="Arial" w:cs="Arial"/>
          <w:szCs w:val="24"/>
        </w:rPr>
        <w:t>The regional wastewater rate-setting process for 2021 rates, which occurred at the MWPAAC and Council level in the spring of 2020, resulted in a heightened regional recognition of significant upward pressure on sewer rates that are projected to result in recommendations for substantial rate increases in coming years.  Table 1 below depicts the rate history of recent years, and projected rates for coming years.</w:t>
      </w:r>
    </w:p>
    <w:p w14:paraId="00FD3B06" w14:textId="77777777" w:rsidR="00001AFD" w:rsidRDefault="00001AFD" w:rsidP="00001AFD">
      <w:pPr>
        <w:jc w:val="both"/>
        <w:rPr>
          <w:rFonts w:ascii="Arial" w:hAnsi="Arial" w:cs="Arial"/>
          <w:szCs w:val="24"/>
        </w:rPr>
      </w:pPr>
    </w:p>
    <w:p w14:paraId="0DCE0895" w14:textId="77777777" w:rsidR="00001AFD" w:rsidRPr="003204CC" w:rsidRDefault="00001AFD" w:rsidP="00001AFD">
      <w:pPr>
        <w:spacing w:after="120"/>
        <w:jc w:val="both"/>
        <w:rPr>
          <w:rFonts w:ascii="Arial" w:hAnsi="Arial" w:cs="Arial"/>
          <w:b/>
          <w:szCs w:val="24"/>
        </w:rPr>
      </w:pPr>
      <w:r>
        <w:rPr>
          <w:rFonts w:ascii="Arial" w:hAnsi="Arial" w:cs="Arial"/>
          <w:b/>
          <w:bCs/>
        </w:rPr>
        <w:t xml:space="preserve">Table 1. Sewer Rates </w:t>
      </w:r>
      <w:r>
        <w:rPr>
          <w:rFonts w:ascii="Arial" w:hAnsi="Arial" w:cs="Arial"/>
          <w:b/>
          <w:szCs w:val="24"/>
        </w:rPr>
        <w:t>(2009-2020</w:t>
      </w:r>
      <w:r w:rsidRPr="003204CC">
        <w:rPr>
          <w:rFonts w:ascii="Arial" w:hAnsi="Arial" w:cs="Arial"/>
          <w:b/>
          <w:szCs w:val="24"/>
        </w:rPr>
        <w:t xml:space="preserve"> Actual; </w:t>
      </w:r>
      <w:r>
        <w:rPr>
          <w:rFonts w:ascii="Arial" w:hAnsi="Arial" w:cs="Arial"/>
          <w:b/>
          <w:szCs w:val="24"/>
        </w:rPr>
        <w:t xml:space="preserve">2021 Proposed; </w:t>
      </w:r>
      <w:r w:rsidRPr="003204CC">
        <w:rPr>
          <w:rFonts w:ascii="Arial" w:hAnsi="Arial" w:cs="Arial"/>
          <w:b/>
          <w:szCs w:val="24"/>
        </w:rPr>
        <w:t>20</w:t>
      </w:r>
      <w:r>
        <w:rPr>
          <w:rFonts w:ascii="Arial" w:hAnsi="Arial" w:cs="Arial"/>
          <w:b/>
          <w:szCs w:val="24"/>
        </w:rPr>
        <w:t>22-2025</w:t>
      </w:r>
      <w:r w:rsidRPr="003204CC">
        <w:rPr>
          <w:rFonts w:ascii="Arial" w:hAnsi="Arial" w:cs="Arial"/>
          <w:b/>
          <w:szCs w:val="24"/>
        </w:rPr>
        <w:t xml:space="preserve"> Projected)</w:t>
      </w:r>
    </w:p>
    <w:tbl>
      <w:tblPr>
        <w:tblW w:w="0" w:type="auto"/>
        <w:jc w:val="center"/>
        <w:tblCellMar>
          <w:left w:w="0" w:type="dxa"/>
          <w:right w:w="0" w:type="dxa"/>
        </w:tblCellMar>
        <w:tblLook w:val="04A0" w:firstRow="1" w:lastRow="0" w:firstColumn="1" w:lastColumn="0" w:noHBand="0" w:noVBand="1"/>
      </w:tblPr>
      <w:tblGrid>
        <w:gridCol w:w="1695"/>
        <w:gridCol w:w="1985"/>
        <w:gridCol w:w="1710"/>
      </w:tblGrid>
      <w:tr w:rsidR="00001AFD" w14:paraId="499EC3A3" w14:textId="77777777" w:rsidTr="00A9268D">
        <w:trPr>
          <w:cantSplit/>
          <w:tblHeader/>
          <w:jc w:val="center"/>
        </w:trPr>
        <w:tc>
          <w:tcPr>
            <w:tcW w:w="1695" w:type="dxa"/>
            <w:tcBorders>
              <w:top w:val="single" w:sz="8" w:space="0" w:color="auto"/>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vAlign w:val="bottom"/>
          </w:tcPr>
          <w:p w14:paraId="342C06D6" w14:textId="77777777" w:rsidR="00001AFD" w:rsidRDefault="00001AFD" w:rsidP="00A9268D">
            <w:pPr>
              <w:jc w:val="both"/>
              <w:rPr>
                <w:rFonts w:ascii="Arial" w:hAnsi="Arial" w:cs="Arial"/>
                <w:b/>
                <w:bCs/>
              </w:rPr>
            </w:pPr>
          </w:p>
          <w:p w14:paraId="180F0265" w14:textId="77777777" w:rsidR="00001AFD" w:rsidRDefault="00001AFD" w:rsidP="00A9268D">
            <w:pPr>
              <w:jc w:val="both"/>
              <w:rPr>
                <w:rFonts w:ascii="Arial" w:hAnsi="Arial" w:cs="Arial"/>
                <w:b/>
                <w:bCs/>
              </w:rPr>
            </w:pPr>
            <w:r>
              <w:rPr>
                <w:rFonts w:ascii="Arial" w:hAnsi="Arial" w:cs="Arial"/>
                <w:b/>
                <w:bCs/>
              </w:rPr>
              <w:t>Year(s)</w:t>
            </w:r>
          </w:p>
        </w:tc>
        <w:tc>
          <w:tcPr>
            <w:tcW w:w="1985" w:type="dxa"/>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vAlign w:val="bottom"/>
            <w:hideMark/>
          </w:tcPr>
          <w:p w14:paraId="12DB92D5" w14:textId="77777777" w:rsidR="00001AFD" w:rsidRDefault="00001AFD" w:rsidP="00A9268D">
            <w:pPr>
              <w:jc w:val="both"/>
              <w:rPr>
                <w:rFonts w:ascii="Arial" w:hAnsi="Arial" w:cs="Arial"/>
                <w:b/>
                <w:bCs/>
              </w:rPr>
            </w:pPr>
            <w:r>
              <w:rPr>
                <w:rFonts w:ascii="Arial" w:hAnsi="Arial" w:cs="Arial"/>
                <w:b/>
                <w:bCs/>
              </w:rPr>
              <w:t>Rate</w:t>
            </w:r>
          </w:p>
          <w:p w14:paraId="0C9C9EB5" w14:textId="77777777" w:rsidR="00001AFD" w:rsidRDefault="00001AFD" w:rsidP="00A9268D">
            <w:pPr>
              <w:jc w:val="both"/>
              <w:rPr>
                <w:rFonts w:ascii="Arial" w:hAnsi="Arial" w:cs="Arial"/>
                <w:b/>
                <w:bCs/>
              </w:rPr>
            </w:pPr>
            <w:r>
              <w:rPr>
                <w:rFonts w:ascii="Arial" w:hAnsi="Arial" w:cs="Arial"/>
                <w:b/>
                <w:bCs/>
              </w:rPr>
              <w:t>($/RCE/ Month)</w:t>
            </w:r>
          </w:p>
        </w:tc>
        <w:tc>
          <w:tcPr>
            <w:tcW w:w="1710" w:type="dxa"/>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vAlign w:val="bottom"/>
            <w:hideMark/>
          </w:tcPr>
          <w:p w14:paraId="6F812CC0" w14:textId="77777777" w:rsidR="00001AFD" w:rsidRDefault="00001AFD" w:rsidP="00A9268D">
            <w:pPr>
              <w:jc w:val="both"/>
              <w:rPr>
                <w:rFonts w:ascii="Arial" w:hAnsi="Arial" w:cs="Arial"/>
                <w:b/>
                <w:bCs/>
              </w:rPr>
            </w:pPr>
            <w:r>
              <w:rPr>
                <w:rFonts w:ascii="Arial" w:hAnsi="Arial" w:cs="Arial"/>
                <w:b/>
                <w:bCs/>
              </w:rPr>
              <w:t>% Increase</w:t>
            </w:r>
          </w:p>
        </w:tc>
      </w:tr>
      <w:tr w:rsidR="00001AFD" w14:paraId="0A42E8D0" w14:textId="77777777" w:rsidTr="00A9268D">
        <w:trPr>
          <w:cantSplit/>
          <w:jc w:val="center"/>
        </w:trPr>
        <w:tc>
          <w:tcPr>
            <w:tcW w:w="1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C42C70" w14:textId="77777777" w:rsidR="00001AFD" w:rsidRDefault="00001AFD" w:rsidP="00A9268D">
            <w:pPr>
              <w:jc w:val="both"/>
              <w:rPr>
                <w:rFonts w:ascii="Arial" w:hAnsi="Arial" w:cs="Arial"/>
              </w:rPr>
            </w:pPr>
            <w:r>
              <w:rPr>
                <w:rFonts w:ascii="Arial" w:hAnsi="Arial" w:cs="Arial"/>
              </w:rPr>
              <w:t>2009 – 2010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02E9B7EE" w14:textId="77777777" w:rsidR="00001AFD" w:rsidRDefault="00001AFD" w:rsidP="00A9268D">
            <w:pPr>
              <w:jc w:val="both"/>
              <w:rPr>
                <w:rFonts w:ascii="Arial" w:hAnsi="Arial" w:cs="Arial"/>
              </w:rPr>
            </w:pPr>
            <w:r>
              <w:rPr>
                <w:rFonts w:ascii="Arial" w:hAnsi="Arial" w:cs="Arial"/>
              </w:rPr>
              <w:t>31.90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5B41E6DF" w14:textId="77777777" w:rsidR="00001AFD" w:rsidRDefault="00001AFD" w:rsidP="00A9268D">
            <w:pPr>
              <w:jc w:val="both"/>
              <w:rPr>
                <w:rFonts w:ascii="Arial" w:hAnsi="Arial" w:cs="Arial"/>
              </w:rPr>
            </w:pPr>
            <w:r>
              <w:rPr>
                <w:rFonts w:ascii="Arial" w:hAnsi="Arial" w:cs="Arial"/>
              </w:rPr>
              <w:t>14.1%</w:t>
            </w:r>
          </w:p>
        </w:tc>
      </w:tr>
      <w:tr w:rsidR="00001AFD" w14:paraId="2692D60B" w14:textId="77777777" w:rsidTr="00A9268D">
        <w:trPr>
          <w:cantSplit/>
          <w:jc w:val="center"/>
        </w:trPr>
        <w:tc>
          <w:tcPr>
            <w:tcW w:w="1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EA17FA" w14:textId="77777777" w:rsidR="00001AFD" w:rsidRDefault="00001AFD" w:rsidP="00A9268D">
            <w:pPr>
              <w:jc w:val="both"/>
              <w:rPr>
                <w:rFonts w:ascii="Arial" w:hAnsi="Arial" w:cs="Arial"/>
              </w:rPr>
            </w:pPr>
            <w:r>
              <w:rPr>
                <w:rFonts w:ascii="Arial" w:hAnsi="Arial" w:cs="Arial"/>
              </w:rPr>
              <w:t>2011 – 2012</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06A6B64E" w14:textId="77777777" w:rsidR="00001AFD" w:rsidRDefault="00001AFD" w:rsidP="00A9268D">
            <w:pPr>
              <w:jc w:val="both"/>
              <w:rPr>
                <w:rFonts w:ascii="Arial" w:hAnsi="Arial" w:cs="Arial"/>
              </w:rPr>
            </w:pPr>
            <w:r>
              <w:rPr>
                <w:rFonts w:ascii="Arial" w:hAnsi="Arial" w:cs="Arial"/>
              </w:rPr>
              <w:t>36.10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44AC71B4" w14:textId="77777777" w:rsidR="00001AFD" w:rsidRDefault="00001AFD" w:rsidP="00A9268D">
            <w:pPr>
              <w:jc w:val="both"/>
              <w:rPr>
                <w:rFonts w:ascii="Arial" w:hAnsi="Arial" w:cs="Arial"/>
              </w:rPr>
            </w:pPr>
            <w:r>
              <w:rPr>
                <w:rFonts w:ascii="Arial" w:hAnsi="Arial" w:cs="Arial"/>
              </w:rPr>
              <w:t>13.2%</w:t>
            </w:r>
          </w:p>
        </w:tc>
      </w:tr>
      <w:tr w:rsidR="00001AFD" w14:paraId="5DE2B1AE" w14:textId="77777777" w:rsidTr="00A9268D">
        <w:trPr>
          <w:cantSplit/>
          <w:jc w:val="center"/>
        </w:trPr>
        <w:tc>
          <w:tcPr>
            <w:tcW w:w="1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2A1AB1" w14:textId="77777777" w:rsidR="00001AFD" w:rsidRDefault="00001AFD" w:rsidP="00A9268D">
            <w:pPr>
              <w:jc w:val="both"/>
              <w:rPr>
                <w:rFonts w:ascii="Arial" w:hAnsi="Arial" w:cs="Arial"/>
              </w:rPr>
            </w:pPr>
            <w:r>
              <w:rPr>
                <w:rFonts w:ascii="Arial" w:hAnsi="Arial" w:cs="Arial"/>
              </w:rPr>
              <w:t>2013 – 2014</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6C4EE911" w14:textId="77777777" w:rsidR="00001AFD" w:rsidRDefault="00001AFD" w:rsidP="00A9268D">
            <w:pPr>
              <w:jc w:val="both"/>
              <w:rPr>
                <w:rFonts w:ascii="Arial" w:hAnsi="Arial" w:cs="Arial"/>
              </w:rPr>
            </w:pPr>
            <w:r>
              <w:rPr>
                <w:rFonts w:ascii="Arial" w:hAnsi="Arial" w:cs="Arial"/>
              </w:rPr>
              <w:t>39.79</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2A50192E" w14:textId="77777777" w:rsidR="00001AFD" w:rsidRDefault="00001AFD" w:rsidP="00A9268D">
            <w:pPr>
              <w:jc w:val="both"/>
              <w:rPr>
                <w:rFonts w:ascii="Arial" w:hAnsi="Arial" w:cs="Arial"/>
              </w:rPr>
            </w:pPr>
            <w:r>
              <w:rPr>
                <w:rFonts w:ascii="Arial" w:hAnsi="Arial" w:cs="Arial"/>
              </w:rPr>
              <w:t>10.4%</w:t>
            </w:r>
          </w:p>
        </w:tc>
      </w:tr>
      <w:tr w:rsidR="00001AFD" w14:paraId="45C47D06" w14:textId="77777777" w:rsidTr="00A9268D">
        <w:trPr>
          <w:cantSplit/>
          <w:jc w:val="center"/>
        </w:trPr>
        <w:tc>
          <w:tcPr>
            <w:tcW w:w="1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C75459" w14:textId="77777777" w:rsidR="00001AFD" w:rsidRDefault="00001AFD" w:rsidP="00A9268D">
            <w:pPr>
              <w:jc w:val="both"/>
              <w:rPr>
                <w:rFonts w:ascii="Arial" w:hAnsi="Arial" w:cs="Arial"/>
              </w:rPr>
            </w:pPr>
            <w:r>
              <w:rPr>
                <w:rFonts w:ascii="Arial" w:hAnsi="Arial" w:cs="Arial"/>
              </w:rPr>
              <w:t>2015 – 2016</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65FBC900" w14:textId="77777777" w:rsidR="00001AFD" w:rsidRDefault="00001AFD" w:rsidP="00A9268D">
            <w:pPr>
              <w:jc w:val="both"/>
              <w:rPr>
                <w:rFonts w:ascii="Arial" w:hAnsi="Arial" w:cs="Arial"/>
              </w:rPr>
            </w:pPr>
            <w:r>
              <w:rPr>
                <w:rFonts w:ascii="Arial" w:hAnsi="Arial" w:cs="Arial"/>
              </w:rPr>
              <w:t>42.03</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075AE9B5" w14:textId="77777777" w:rsidR="00001AFD" w:rsidRDefault="00001AFD" w:rsidP="00A9268D">
            <w:pPr>
              <w:jc w:val="both"/>
              <w:rPr>
                <w:rFonts w:ascii="Arial" w:hAnsi="Arial" w:cs="Arial"/>
              </w:rPr>
            </w:pPr>
            <w:r>
              <w:rPr>
                <w:rFonts w:ascii="Arial" w:hAnsi="Arial" w:cs="Arial"/>
              </w:rPr>
              <w:t>5.6%</w:t>
            </w:r>
          </w:p>
        </w:tc>
      </w:tr>
      <w:tr w:rsidR="00001AFD" w14:paraId="77300B7A" w14:textId="77777777" w:rsidTr="00A9268D">
        <w:trPr>
          <w:cantSplit/>
          <w:jc w:val="center"/>
        </w:trPr>
        <w:tc>
          <w:tcPr>
            <w:tcW w:w="16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DFD38D5" w14:textId="77777777" w:rsidR="00001AFD" w:rsidRPr="00C73B81" w:rsidRDefault="00001AFD" w:rsidP="00A9268D">
            <w:pPr>
              <w:jc w:val="both"/>
              <w:rPr>
                <w:rFonts w:ascii="Arial" w:hAnsi="Arial" w:cs="Arial"/>
                <w:bCs/>
              </w:rPr>
            </w:pPr>
            <w:r w:rsidRPr="00C73B81">
              <w:rPr>
                <w:rFonts w:ascii="Arial" w:hAnsi="Arial" w:cs="Arial"/>
                <w:bCs/>
              </w:rPr>
              <w:t>2017</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79FB34" w14:textId="77777777" w:rsidR="00001AFD" w:rsidRPr="00C73B81" w:rsidRDefault="00001AFD" w:rsidP="00A9268D">
            <w:pPr>
              <w:jc w:val="both"/>
              <w:rPr>
                <w:rFonts w:ascii="Arial" w:hAnsi="Arial" w:cs="Arial"/>
                <w:bCs/>
              </w:rPr>
            </w:pPr>
            <w:r w:rsidRPr="00C73B81">
              <w:rPr>
                <w:rFonts w:ascii="Arial" w:hAnsi="Arial" w:cs="Arial"/>
                <w:bCs/>
              </w:rPr>
              <w:t>44.22</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A6B9BA" w14:textId="77777777" w:rsidR="00001AFD" w:rsidRPr="00C73B81" w:rsidRDefault="00001AFD" w:rsidP="00A9268D">
            <w:pPr>
              <w:jc w:val="both"/>
              <w:rPr>
                <w:rFonts w:ascii="Arial" w:hAnsi="Arial" w:cs="Arial"/>
                <w:bCs/>
              </w:rPr>
            </w:pPr>
            <w:r w:rsidRPr="00C73B81">
              <w:rPr>
                <w:rFonts w:ascii="Arial" w:hAnsi="Arial" w:cs="Arial"/>
                <w:bCs/>
              </w:rPr>
              <w:t>5.2%</w:t>
            </w:r>
          </w:p>
        </w:tc>
      </w:tr>
      <w:tr w:rsidR="00001AFD" w14:paraId="7955705E" w14:textId="77777777" w:rsidTr="00A9268D">
        <w:trPr>
          <w:cantSplit/>
          <w:jc w:val="center"/>
        </w:trPr>
        <w:tc>
          <w:tcPr>
            <w:tcW w:w="16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93551A4" w14:textId="77777777" w:rsidR="00001AFD" w:rsidRDefault="00001AFD" w:rsidP="00A9268D">
            <w:pPr>
              <w:jc w:val="both"/>
              <w:rPr>
                <w:rFonts w:ascii="Arial" w:hAnsi="Arial" w:cs="Arial"/>
              </w:rPr>
            </w:pPr>
            <w:r>
              <w:rPr>
                <w:rFonts w:ascii="Arial" w:hAnsi="Arial" w:cs="Arial"/>
              </w:rPr>
              <w:t>2018</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89C00A" w14:textId="77777777" w:rsidR="00001AFD" w:rsidRDefault="00001AFD" w:rsidP="00A9268D">
            <w:pPr>
              <w:jc w:val="both"/>
              <w:rPr>
                <w:rFonts w:ascii="Arial" w:hAnsi="Arial" w:cs="Arial"/>
              </w:rPr>
            </w:pPr>
            <w:r>
              <w:rPr>
                <w:rFonts w:ascii="Arial" w:hAnsi="Arial" w:cs="Arial"/>
              </w:rPr>
              <w:t>44.22</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993A12" w14:textId="77777777" w:rsidR="00001AFD" w:rsidRDefault="00001AFD" w:rsidP="00A9268D">
            <w:pPr>
              <w:jc w:val="both"/>
              <w:rPr>
                <w:rFonts w:ascii="Arial" w:hAnsi="Arial" w:cs="Arial"/>
              </w:rPr>
            </w:pPr>
            <w:r>
              <w:rPr>
                <w:rFonts w:ascii="Arial" w:hAnsi="Arial" w:cs="Arial"/>
              </w:rPr>
              <w:t>0.0%</w:t>
            </w:r>
          </w:p>
        </w:tc>
      </w:tr>
      <w:tr w:rsidR="00001AFD" w14:paraId="50CF1653" w14:textId="77777777" w:rsidTr="00A9268D">
        <w:trPr>
          <w:cantSplit/>
          <w:jc w:val="center"/>
        </w:trPr>
        <w:tc>
          <w:tcPr>
            <w:tcW w:w="16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DC4D051" w14:textId="77777777" w:rsidR="00001AFD" w:rsidRPr="007C5765" w:rsidRDefault="00001AFD" w:rsidP="00A9268D">
            <w:pPr>
              <w:jc w:val="both"/>
              <w:rPr>
                <w:rFonts w:ascii="Arial" w:hAnsi="Arial" w:cs="Arial"/>
              </w:rPr>
            </w:pPr>
            <w:r w:rsidRPr="007C5765">
              <w:rPr>
                <w:rFonts w:ascii="Arial" w:hAnsi="Arial" w:cs="Arial"/>
              </w:rPr>
              <w:t>2019</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788B2A" w14:textId="77777777" w:rsidR="00001AFD" w:rsidRPr="007C5765" w:rsidRDefault="00001AFD" w:rsidP="00A9268D">
            <w:pPr>
              <w:jc w:val="both"/>
              <w:rPr>
                <w:rFonts w:ascii="Arial" w:hAnsi="Arial" w:cs="Arial"/>
              </w:rPr>
            </w:pPr>
            <w:r w:rsidRPr="007C5765">
              <w:rPr>
                <w:rFonts w:ascii="Arial" w:hAnsi="Arial" w:cs="Arial"/>
              </w:rPr>
              <w:t>45.33</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7FBEFF" w14:textId="77777777" w:rsidR="00001AFD" w:rsidRPr="007C5765" w:rsidRDefault="00001AFD" w:rsidP="00A9268D">
            <w:pPr>
              <w:jc w:val="both"/>
              <w:rPr>
                <w:rFonts w:ascii="Arial" w:hAnsi="Arial" w:cs="Arial"/>
              </w:rPr>
            </w:pPr>
            <w:r w:rsidRPr="007C5765">
              <w:rPr>
                <w:rFonts w:ascii="Arial" w:hAnsi="Arial" w:cs="Arial"/>
              </w:rPr>
              <w:t>2.5%</w:t>
            </w:r>
          </w:p>
        </w:tc>
      </w:tr>
      <w:tr w:rsidR="00001AFD" w14:paraId="5A6F0FB6" w14:textId="77777777" w:rsidTr="00A9268D">
        <w:trPr>
          <w:cantSplit/>
          <w:jc w:val="center"/>
        </w:trPr>
        <w:tc>
          <w:tcPr>
            <w:tcW w:w="16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3985840" w14:textId="77777777" w:rsidR="00001AFD" w:rsidRPr="00344C55" w:rsidRDefault="00001AFD" w:rsidP="00A9268D">
            <w:pPr>
              <w:jc w:val="both"/>
              <w:rPr>
                <w:rFonts w:ascii="Arial" w:hAnsi="Arial" w:cs="Arial"/>
              </w:rPr>
            </w:pPr>
            <w:r w:rsidRPr="00344C55">
              <w:rPr>
                <w:rFonts w:ascii="Arial" w:hAnsi="Arial" w:cs="Arial"/>
              </w:rPr>
              <w:t>2020</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7E70E1" w14:textId="77777777" w:rsidR="00001AFD" w:rsidRPr="00344C55" w:rsidRDefault="00001AFD" w:rsidP="00A9268D">
            <w:pPr>
              <w:jc w:val="both"/>
              <w:rPr>
                <w:rFonts w:ascii="Arial" w:hAnsi="Arial" w:cs="Arial"/>
              </w:rPr>
            </w:pPr>
            <w:r w:rsidRPr="00344C55">
              <w:rPr>
                <w:rFonts w:ascii="Arial" w:hAnsi="Arial" w:cs="Arial"/>
              </w:rPr>
              <w:t>45.33</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BD5B93" w14:textId="77777777" w:rsidR="00001AFD" w:rsidRPr="00344C55" w:rsidRDefault="00001AFD" w:rsidP="00A9268D">
            <w:pPr>
              <w:jc w:val="both"/>
              <w:rPr>
                <w:rFonts w:ascii="Arial" w:hAnsi="Arial" w:cs="Arial"/>
              </w:rPr>
            </w:pPr>
            <w:r w:rsidRPr="00344C55">
              <w:rPr>
                <w:rFonts w:ascii="Arial" w:hAnsi="Arial" w:cs="Arial"/>
              </w:rPr>
              <w:t>0.0%</w:t>
            </w:r>
          </w:p>
        </w:tc>
      </w:tr>
      <w:tr w:rsidR="00001AFD" w14:paraId="7182CA3C" w14:textId="77777777" w:rsidTr="00A9268D">
        <w:trPr>
          <w:cantSplit/>
          <w:jc w:val="center"/>
        </w:trPr>
        <w:tc>
          <w:tcPr>
            <w:tcW w:w="1695" w:type="dxa"/>
            <w:tcBorders>
              <w:top w:val="nil"/>
              <w:left w:val="single" w:sz="8"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14:paraId="71BA95F3" w14:textId="77777777" w:rsidR="00001AFD" w:rsidRPr="00344C55" w:rsidRDefault="00001AFD" w:rsidP="00A9268D">
            <w:pPr>
              <w:jc w:val="both"/>
              <w:rPr>
                <w:rFonts w:ascii="Arial" w:hAnsi="Arial" w:cs="Arial"/>
                <w:b/>
              </w:rPr>
            </w:pPr>
            <w:r w:rsidRPr="00344C55">
              <w:rPr>
                <w:rFonts w:ascii="Arial" w:hAnsi="Arial" w:cs="Arial"/>
                <w:b/>
              </w:rPr>
              <w:t>2021</w:t>
            </w:r>
          </w:p>
        </w:tc>
        <w:tc>
          <w:tcPr>
            <w:tcW w:w="1985" w:type="dxa"/>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14:paraId="1E178D81" w14:textId="77777777" w:rsidR="00001AFD" w:rsidRPr="00344C55" w:rsidRDefault="00001AFD" w:rsidP="00A9268D">
            <w:pPr>
              <w:jc w:val="both"/>
              <w:rPr>
                <w:rFonts w:ascii="Arial" w:hAnsi="Arial" w:cs="Arial"/>
                <w:b/>
              </w:rPr>
            </w:pPr>
            <w:r w:rsidRPr="00344C55">
              <w:rPr>
                <w:rFonts w:ascii="Arial" w:hAnsi="Arial" w:cs="Arial"/>
                <w:b/>
              </w:rPr>
              <w:t>47.37</w:t>
            </w:r>
          </w:p>
        </w:tc>
        <w:tc>
          <w:tcPr>
            <w:tcW w:w="1710" w:type="dxa"/>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14:paraId="089C5C04" w14:textId="77777777" w:rsidR="00001AFD" w:rsidRPr="00344C55" w:rsidRDefault="00001AFD" w:rsidP="00A9268D">
            <w:pPr>
              <w:jc w:val="both"/>
              <w:rPr>
                <w:rFonts w:ascii="Arial" w:hAnsi="Arial" w:cs="Arial"/>
                <w:b/>
              </w:rPr>
            </w:pPr>
            <w:r w:rsidRPr="00344C55">
              <w:rPr>
                <w:rFonts w:ascii="Arial" w:hAnsi="Arial" w:cs="Arial"/>
                <w:b/>
              </w:rPr>
              <w:t>4.5%</w:t>
            </w:r>
          </w:p>
        </w:tc>
      </w:tr>
      <w:tr w:rsidR="00001AFD" w:rsidRPr="00C73B81" w14:paraId="329DCB22" w14:textId="77777777" w:rsidTr="00A9268D">
        <w:trPr>
          <w:cantSplit/>
          <w:jc w:val="center"/>
        </w:trPr>
        <w:tc>
          <w:tcPr>
            <w:tcW w:w="1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41955642" w14:textId="77777777" w:rsidR="00001AFD" w:rsidRPr="00FA4E2A" w:rsidRDefault="00001AFD" w:rsidP="00A9268D">
            <w:pPr>
              <w:jc w:val="both"/>
              <w:rPr>
                <w:rFonts w:ascii="Arial" w:hAnsi="Arial" w:cs="Arial"/>
              </w:rPr>
            </w:pPr>
            <w:r w:rsidRPr="00FA4E2A">
              <w:rPr>
                <w:rFonts w:ascii="Arial" w:hAnsi="Arial" w:cs="Arial"/>
              </w:rPr>
              <w:t>2022</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191B0290" w14:textId="77777777" w:rsidR="00001AFD" w:rsidRPr="00FE3911" w:rsidRDefault="00001AFD" w:rsidP="00A9268D">
            <w:pPr>
              <w:jc w:val="both"/>
              <w:rPr>
                <w:rFonts w:ascii="Arial" w:hAnsi="Arial" w:cs="Arial"/>
              </w:rPr>
            </w:pPr>
            <w:r w:rsidRPr="00FE3911">
              <w:rPr>
                <w:rFonts w:ascii="Arial" w:hAnsi="Arial" w:cs="Arial"/>
              </w:rPr>
              <w:t>47.37</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3C3E06F5" w14:textId="77777777" w:rsidR="00001AFD" w:rsidRPr="00CC099B" w:rsidRDefault="00001AFD" w:rsidP="00A9268D">
            <w:pPr>
              <w:jc w:val="both"/>
              <w:rPr>
                <w:rFonts w:ascii="Arial" w:hAnsi="Arial" w:cs="Arial"/>
              </w:rPr>
            </w:pPr>
            <w:r w:rsidRPr="00CC099B">
              <w:rPr>
                <w:rFonts w:ascii="Arial" w:hAnsi="Arial" w:cs="Arial"/>
              </w:rPr>
              <w:t>0</w:t>
            </w:r>
            <w:r>
              <w:rPr>
                <w:rFonts w:ascii="Arial" w:hAnsi="Arial" w:cs="Arial"/>
              </w:rPr>
              <w:t>.0</w:t>
            </w:r>
            <w:r w:rsidRPr="00CC099B">
              <w:rPr>
                <w:rFonts w:ascii="Arial" w:hAnsi="Arial" w:cs="Arial"/>
              </w:rPr>
              <w:t>%</w:t>
            </w:r>
          </w:p>
        </w:tc>
      </w:tr>
      <w:tr w:rsidR="00001AFD" w:rsidRPr="00C73B81" w14:paraId="30EFFD8F" w14:textId="77777777" w:rsidTr="00A9268D">
        <w:trPr>
          <w:cantSplit/>
          <w:jc w:val="center"/>
        </w:trPr>
        <w:tc>
          <w:tcPr>
            <w:tcW w:w="1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A86A0EE" w14:textId="77777777" w:rsidR="00001AFD" w:rsidRPr="00C73B81" w:rsidRDefault="00001AFD" w:rsidP="00A9268D">
            <w:pPr>
              <w:jc w:val="both"/>
              <w:rPr>
                <w:rFonts w:ascii="Arial" w:hAnsi="Arial" w:cs="Arial"/>
              </w:rPr>
            </w:pPr>
            <w:r w:rsidRPr="00C73B81">
              <w:rPr>
                <w:rFonts w:ascii="Arial" w:hAnsi="Arial" w:cs="Arial"/>
              </w:rPr>
              <w:t>2023</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9D8B289" w14:textId="77777777" w:rsidR="00001AFD" w:rsidRPr="00C73B81" w:rsidDel="00CE6442" w:rsidRDefault="00001AFD" w:rsidP="00A9268D">
            <w:pPr>
              <w:jc w:val="both"/>
              <w:rPr>
                <w:rFonts w:ascii="Arial" w:hAnsi="Arial" w:cs="Arial"/>
              </w:rPr>
            </w:pPr>
            <w:r>
              <w:rPr>
                <w:rFonts w:ascii="Arial" w:hAnsi="Arial" w:cs="Arial"/>
              </w:rPr>
              <w:t>52.23</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9461713" w14:textId="77777777" w:rsidR="00001AFD" w:rsidRPr="00FA4E2A" w:rsidDel="00CE6442" w:rsidRDefault="00001AFD" w:rsidP="00A9268D">
            <w:pPr>
              <w:jc w:val="both"/>
              <w:rPr>
                <w:rFonts w:ascii="Arial" w:hAnsi="Arial" w:cs="Arial"/>
              </w:rPr>
            </w:pPr>
            <w:r>
              <w:rPr>
                <w:rFonts w:ascii="Arial" w:hAnsi="Arial" w:cs="Arial"/>
              </w:rPr>
              <w:t>10.25%</w:t>
            </w:r>
          </w:p>
        </w:tc>
      </w:tr>
      <w:tr w:rsidR="00001AFD" w:rsidRPr="00C73B81" w14:paraId="78E1581D" w14:textId="77777777" w:rsidTr="00A9268D">
        <w:trPr>
          <w:cantSplit/>
          <w:jc w:val="center"/>
        </w:trPr>
        <w:tc>
          <w:tcPr>
            <w:tcW w:w="1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1DF1FA2" w14:textId="77777777" w:rsidR="00001AFD" w:rsidRPr="00C73B81" w:rsidRDefault="00001AFD" w:rsidP="00A9268D">
            <w:pPr>
              <w:jc w:val="both"/>
              <w:rPr>
                <w:rFonts w:ascii="Arial" w:hAnsi="Arial" w:cs="Arial"/>
              </w:rPr>
            </w:pPr>
            <w:r w:rsidRPr="00C73B81">
              <w:rPr>
                <w:rFonts w:ascii="Arial" w:hAnsi="Arial" w:cs="Arial"/>
              </w:rPr>
              <w:t>2024</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7CD44AB" w14:textId="77777777" w:rsidR="00001AFD" w:rsidRPr="00C73B81" w:rsidDel="00CE6442" w:rsidRDefault="00001AFD" w:rsidP="00A9268D">
            <w:pPr>
              <w:jc w:val="both"/>
              <w:rPr>
                <w:rFonts w:ascii="Arial" w:hAnsi="Arial" w:cs="Arial"/>
              </w:rPr>
            </w:pPr>
            <w:r>
              <w:rPr>
                <w:rFonts w:ascii="Arial" w:hAnsi="Arial" w:cs="Arial"/>
              </w:rPr>
              <w:t>52.23</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8D04484" w14:textId="77777777" w:rsidR="00001AFD" w:rsidRPr="00FA4E2A" w:rsidDel="00CE6442" w:rsidRDefault="00001AFD" w:rsidP="00A9268D">
            <w:pPr>
              <w:jc w:val="both"/>
              <w:rPr>
                <w:rFonts w:ascii="Arial" w:hAnsi="Arial" w:cs="Arial"/>
              </w:rPr>
            </w:pPr>
            <w:r>
              <w:rPr>
                <w:rFonts w:ascii="Arial" w:hAnsi="Arial" w:cs="Arial"/>
              </w:rPr>
              <w:t>0.0%</w:t>
            </w:r>
          </w:p>
        </w:tc>
      </w:tr>
      <w:tr w:rsidR="00001AFD" w:rsidRPr="00C73B81" w14:paraId="5C7364B4" w14:textId="77777777" w:rsidTr="00A9268D">
        <w:trPr>
          <w:cantSplit/>
          <w:jc w:val="center"/>
        </w:trPr>
        <w:tc>
          <w:tcPr>
            <w:tcW w:w="1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7FE3A68" w14:textId="77777777" w:rsidR="00001AFD" w:rsidRPr="00C73B81" w:rsidRDefault="00001AFD" w:rsidP="00A9268D">
            <w:pPr>
              <w:jc w:val="both"/>
              <w:rPr>
                <w:rFonts w:ascii="Arial" w:hAnsi="Arial" w:cs="Arial"/>
              </w:rPr>
            </w:pPr>
            <w:r>
              <w:rPr>
                <w:rFonts w:ascii="Arial" w:hAnsi="Arial" w:cs="Arial"/>
              </w:rPr>
              <w:t>2025</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F139AF2" w14:textId="77777777" w:rsidR="00001AFD" w:rsidRPr="00C73B81" w:rsidRDefault="00001AFD" w:rsidP="00A9268D">
            <w:pPr>
              <w:jc w:val="both"/>
              <w:rPr>
                <w:rFonts w:ascii="Arial" w:hAnsi="Arial" w:cs="Arial"/>
              </w:rPr>
            </w:pPr>
            <w:r>
              <w:rPr>
                <w:rFonts w:ascii="Arial" w:hAnsi="Arial" w:cs="Arial"/>
              </w:rPr>
              <w:t>57.58</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E2C16CB" w14:textId="77777777" w:rsidR="00001AFD" w:rsidRDefault="00001AFD" w:rsidP="00A9268D">
            <w:pPr>
              <w:jc w:val="both"/>
              <w:rPr>
                <w:rFonts w:ascii="Arial" w:hAnsi="Arial" w:cs="Arial"/>
              </w:rPr>
            </w:pPr>
            <w:r>
              <w:rPr>
                <w:rFonts w:ascii="Arial" w:hAnsi="Arial" w:cs="Arial"/>
              </w:rPr>
              <w:t>10.25%</w:t>
            </w:r>
          </w:p>
        </w:tc>
      </w:tr>
    </w:tbl>
    <w:p w14:paraId="51EB2A00" w14:textId="77777777" w:rsidR="00001AFD" w:rsidRDefault="00001AFD" w:rsidP="00001AFD">
      <w:pPr>
        <w:jc w:val="both"/>
        <w:rPr>
          <w:rFonts w:ascii="Arial" w:hAnsi="Arial" w:cs="Arial"/>
          <w:szCs w:val="24"/>
        </w:rPr>
      </w:pPr>
    </w:p>
    <w:p w14:paraId="45B72F52" w14:textId="77777777" w:rsidR="00001AFD" w:rsidRDefault="00001AFD" w:rsidP="00001AFD">
      <w:pPr>
        <w:jc w:val="both"/>
        <w:rPr>
          <w:rFonts w:ascii="Arial" w:hAnsi="Arial" w:cs="Arial"/>
          <w:szCs w:val="24"/>
        </w:rPr>
      </w:pPr>
      <w:r>
        <w:rPr>
          <w:rFonts w:ascii="Arial" w:hAnsi="Arial" w:cs="Arial"/>
          <w:szCs w:val="24"/>
        </w:rPr>
        <w:t>It is important to note that, while the 2022 rate is projected to hold constant in the table above, that projection was included as a “placeholder” after initial indications of significantly higher level projected rates for the 2021-2022 period; it was inserted pending a robust engagement process leading to the development of a 2022 rate recommendation.</w:t>
      </w:r>
    </w:p>
    <w:p w14:paraId="1F9F3728" w14:textId="77777777" w:rsidR="00001AFD" w:rsidRDefault="00001AFD" w:rsidP="00001AFD">
      <w:pPr>
        <w:jc w:val="both"/>
        <w:rPr>
          <w:rFonts w:ascii="Arial" w:hAnsi="Arial" w:cs="Arial"/>
          <w:szCs w:val="24"/>
        </w:rPr>
      </w:pPr>
    </w:p>
    <w:p w14:paraId="3A13AF41" w14:textId="77777777" w:rsidR="00001AFD" w:rsidRPr="007634F7" w:rsidRDefault="00001AFD" w:rsidP="00001AFD">
      <w:pPr>
        <w:jc w:val="both"/>
        <w:rPr>
          <w:rFonts w:ascii="Arial" w:hAnsi="Arial" w:cs="Arial"/>
          <w:szCs w:val="24"/>
        </w:rPr>
      </w:pPr>
      <w:r>
        <w:rPr>
          <w:rFonts w:ascii="Arial" w:hAnsi="Arial" w:cs="Arial"/>
          <w:szCs w:val="24"/>
        </w:rPr>
        <w:t>There are a number of rate “drivers” that are often discussed as shaping the emerging rate picture.  These include:</w:t>
      </w:r>
    </w:p>
    <w:p w14:paraId="20373385" w14:textId="77777777" w:rsidR="00001AFD" w:rsidRDefault="00001AFD" w:rsidP="00001AFD">
      <w:pPr>
        <w:jc w:val="both"/>
        <w:rPr>
          <w:rFonts w:ascii="Arial" w:hAnsi="Arial" w:cs="Arial"/>
          <w:b/>
          <w:szCs w:val="24"/>
          <w:u w:val="single"/>
        </w:rPr>
      </w:pPr>
    </w:p>
    <w:p w14:paraId="00C0462B" w14:textId="77777777" w:rsidR="00001AFD" w:rsidRPr="009620C0" w:rsidRDefault="00001AFD" w:rsidP="00001AFD">
      <w:pPr>
        <w:pStyle w:val="ListParagraph"/>
        <w:numPr>
          <w:ilvl w:val="1"/>
          <w:numId w:val="2"/>
        </w:numPr>
        <w:jc w:val="both"/>
        <w:rPr>
          <w:rFonts w:ascii="Arial" w:hAnsi="Arial" w:cs="Arial"/>
          <w:b/>
          <w:szCs w:val="24"/>
          <w:u w:val="single"/>
        </w:rPr>
      </w:pPr>
      <w:r>
        <w:rPr>
          <w:rFonts w:ascii="Arial" w:hAnsi="Arial" w:cs="Arial"/>
          <w:szCs w:val="24"/>
        </w:rPr>
        <w:lastRenderedPageBreak/>
        <w:t>The requirement for establishment of Combined Sewer Overflow facilities to control discharge of untreated wastes during periods of high stormflow, resulting from the CSO Consent Decree between King County, the Washington Department of Ecology, the federal Environmental Protection Agency and the federal Department of Justice.</w:t>
      </w:r>
    </w:p>
    <w:p w14:paraId="6B5092B8" w14:textId="77777777" w:rsidR="00001AFD" w:rsidRPr="00012DC2" w:rsidRDefault="00001AFD" w:rsidP="00001AFD">
      <w:pPr>
        <w:pStyle w:val="ListParagraph"/>
        <w:numPr>
          <w:ilvl w:val="1"/>
          <w:numId w:val="2"/>
        </w:numPr>
        <w:jc w:val="both"/>
        <w:rPr>
          <w:rFonts w:ascii="Arial" w:hAnsi="Arial" w:cs="Arial"/>
          <w:b/>
          <w:szCs w:val="24"/>
          <w:u w:val="single"/>
        </w:rPr>
      </w:pPr>
      <w:r>
        <w:rPr>
          <w:rFonts w:ascii="Arial" w:hAnsi="Arial" w:cs="Arial"/>
          <w:szCs w:val="24"/>
        </w:rPr>
        <w:t>The Washington Department of Ecology is moving forward with development of a regulatory project that is expected to result in a limitation on the level of nutrients that can be discharged in the effluent of wastewater plants discharging into Puget Sound.  Response to those regulations may have significant capital cost implications for King County wastewater processing facilities over the years.</w:t>
      </w:r>
    </w:p>
    <w:p w14:paraId="0D199868" w14:textId="77777777" w:rsidR="00001AFD" w:rsidRPr="00C745E0" w:rsidRDefault="00001AFD" w:rsidP="00001AFD">
      <w:pPr>
        <w:pStyle w:val="ListParagraph"/>
        <w:numPr>
          <w:ilvl w:val="1"/>
          <w:numId w:val="2"/>
        </w:numPr>
        <w:jc w:val="both"/>
        <w:rPr>
          <w:rFonts w:ascii="Arial" w:hAnsi="Arial" w:cs="Arial"/>
          <w:b/>
          <w:szCs w:val="24"/>
          <w:u w:val="single"/>
        </w:rPr>
      </w:pPr>
      <w:r>
        <w:rPr>
          <w:rFonts w:ascii="Arial" w:hAnsi="Arial" w:cs="Arial"/>
          <w:szCs w:val="24"/>
        </w:rPr>
        <w:t>Regional population growth, requiring assessment of the capacity of the existing system to effectively capture and process anticipated wastewater volumes; a briefing has been presented to the Committee on the Division’s Flows and Loadings study which has identified a number of near-term and longer-term capital project needs.</w:t>
      </w:r>
    </w:p>
    <w:p w14:paraId="29F87AAA" w14:textId="77777777" w:rsidR="00001AFD" w:rsidRPr="00C745E0" w:rsidRDefault="00001AFD" w:rsidP="00001AFD">
      <w:pPr>
        <w:pStyle w:val="ListParagraph"/>
        <w:numPr>
          <w:ilvl w:val="1"/>
          <w:numId w:val="2"/>
        </w:numPr>
        <w:jc w:val="both"/>
        <w:rPr>
          <w:rFonts w:ascii="Arial" w:hAnsi="Arial" w:cs="Arial"/>
          <w:b/>
          <w:szCs w:val="24"/>
          <w:u w:val="single"/>
        </w:rPr>
      </w:pPr>
      <w:r>
        <w:rPr>
          <w:rFonts w:ascii="Arial" w:hAnsi="Arial" w:cs="Arial"/>
          <w:szCs w:val="24"/>
        </w:rPr>
        <w:t>The need for system resilience, which was dramatically illustrated by the West Point system failure in 2017, and which resulted in a third-party analysis that emphasized system resilience as a key means of preventing recurrence of similar events</w:t>
      </w:r>
    </w:p>
    <w:p w14:paraId="3C869E08" w14:textId="19EB0207" w:rsidR="00001AFD" w:rsidRPr="009401A2" w:rsidRDefault="00001AFD" w:rsidP="00001AFD">
      <w:pPr>
        <w:pStyle w:val="ListParagraph"/>
        <w:numPr>
          <w:ilvl w:val="1"/>
          <w:numId w:val="2"/>
        </w:numPr>
        <w:jc w:val="both"/>
        <w:rPr>
          <w:rFonts w:ascii="Arial" w:hAnsi="Arial" w:cs="Arial"/>
          <w:b/>
          <w:szCs w:val="24"/>
          <w:u w:val="single"/>
        </w:rPr>
      </w:pPr>
      <w:r>
        <w:rPr>
          <w:rFonts w:ascii="Arial" w:hAnsi="Arial" w:cs="Arial"/>
          <w:szCs w:val="24"/>
        </w:rPr>
        <w:t>Aging of the physical plant.  The primary elements of the wastewater conveyance and processing system, including the interceptor pipelines and West Point and South treatment plants, were constructed in the 1960s and 1970s.  Those facilities are now approaching or exceeding 50 years old, and to a greater or lesser extent, experiencing the challenges of an aging system.  The Wastewater Treatment Division is addressing the need to evaluate, rehabilitate and replace aging segments of the conveyance system through the Conveyance System Improvement project, which identifies segments in need of upgrade to assure conveyance capacity capable of handling a 20-year peak flood through the year 2060.  The need to address conveyance system needs was highlighted in the 2021 rate discussion.  Figure 1 below illustrates the age of various interceptor system segments:</w:t>
      </w:r>
    </w:p>
    <w:p w14:paraId="13695D52" w14:textId="77777777" w:rsidR="00001AFD" w:rsidRDefault="00001AFD" w:rsidP="00001AFD">
      <w:pPr>
        <w:rPr>
          <w:rFonts w:ascii="Arial" w:hAnsi="Arial" w:cs="Arial"/>
          <w:b/>
          <w:szCs w:val="24"/>
          <w:u w:val="single"/>
        </w:rPr>
      </w:pPr>
    </w:p>
    <w:p w14:paraId="0542C1F6" w14:textId="77777777" w:rsidR="00001AFD" w:rsidRDefault="00001AFD" w:rsidP="00001AFD">
      <w:pPr>
        <w:jc w:val="both"/>
        <w:rPr>
          <w:rFonts w:ascii="Arial" w:hAnsi="Arial" w:cs="Arial"/>
          <w:szCs w:val="24"/>
        </w:rPr>
      </w:pPr>
      <w:r>
        <w:rPr>
          <w:rFonts w:ascii="Arial" w:hAnsi="Arial" w:cs="Arial"/>
          <w:b/>
          <w:szCs w:val="24"/>
        </w:rPr>
        <w:tab/>
      </w:r>
      <w:r>
        <w:rPr>
          <w:rFonts w:ascii="Arial" w:hAnsi="Arial" w:cs="Arial"/>
          <w:b/>
          <w:szCs w:val="24"/>
        </w:rPr>
        <w:tab/>
      </w:r>
      <w:r>
        <w:rPr>
          <w:rFonts w:ascii="Arial" w:hAnsi="Arial" w:cs="Arial"/>
          <w:szCs w:val="24"/>
        </w:rPr>
        <w:t>These aging wastewater facilities, or system “assets”, are the subject of the agency Asset Management program.  Asset Management is the systematic evaluation, project development, costing, and scheduling of projects intended to address the functioning and reliability of the wastewater physical plant.</w:t>
      </w:r>
    </w:p>
    <w:p w14:paraId="6D17AC91" w14:textId="77777777" w:rsidR="00001AFD" w:rsidRDefault="00001AFD" w:rsidP="00001AFD">
      <w:pPr>
        <w:jc w:val="both"/>
        <w:rPr>
          <w:rFonts w:ascii="Arial" w:hAnsi="Arial" w:cs="Arial"/>
          <w:szCs w:val="24"/>
        </w:rPr>
      </w:pPr>
    </w:p>
    <w:p w14:paraId="40442B57" w14:textId="7FD13B16" w:rsidR="00001AFD" w:rsidRDefault="00001AFD" w:rsidP="00001AFD">
      <w:pPr>
        <w:jc w:val="both"/>
        <w:rPr>
          <w:rFonts w:ascii="Arial" w:hAnsi="Arial" w:cs="Arial"/>
          <w:szCs w:val="24"/>
        </w:rPr>
      </w:pPr>
      <w:r>
        <w:rPr>
          <w:rFonts w:ascii="Arial" w:hAnsi="Arial" w:cs="Arial"/>
          <w:szCs w:val="24"/>
        </w:rPr>
        <w:t xml:space="preserve">Asset Management is emerging as a key element in discussions regarding rate drivers.  The Wastewater Treatment Division </w:t>
      </w:r>
      <w:r w:rsidR="00EF5E2A">
        <w:rPr>
          <w:rFonts w:ascii="Arial" w:hAnsi="Arial" w:cs="Arial"/>
          <w:szCs w:val="24"/>
        </w:rPr>
        <w:t>has</w:t>
      </w:r>
      <w:r>
        <w:rPr>
          <w:rFonts w:ascii="Arial" w:hAnsi="Arial" w:cs="Arial"/>
          <w:szCs w:val="24"/>
        </w:rPr>
        <w:t xml:space="preserve"> present</w:t>
      </w:r>
      <w:r w:rsidR="00EF5E2A">
        <w:rPr>
          <w:rFonts w:ascii="Arial" w:hAnsi="Arial" w:cs="Arial"/>
          <w:szCs w:val="24"/>
        </w:rPr>
        <w:t>ed</w:t>
      </w:r>
      <w:r>
        <w:rPr>
          <w:rFonts w:ascii="Arial" w:hAnsi="Arial" w:cs="Arial"/>
          <w:szCs w:val="24"/>
        </w:rPr>
        <w:t xml:space="preserve"> a series of briefings to city and sewer district participants in the wastewater system, through the Metropolitan Water Pollution Abatement Advisory Committee.  </w:t>
      </w:r>
    </w:p>
    <w:p w14:paraId="123F7B68" w14:textId="77777777" w:rsidR="00001AFD" w:rsidRDefault="00001AFD" w:rsidP="00001AFD">
      <w:pPr>
        <w:jc w:val="both"/>
        <w:rPr>
          <w:rFonts w:ascii="Arial" w:hAnsi="Arial" w:cs="Arial"/>
          <w:szCs w:val="24"/>
        </w:rPr>
      </w:pPr>
    </w:p>
    <w:p w14:paraId="19F913E4" w14:textId="77777777" w:rsidR="003A430E" w:rsidRDefault="00001AFD" w:rsidP="00001AFD">
      <w:pPr>
        <w:jc w:val="both"/>
        <w:rPr>
          <w:rFonts w:ascii="Arial" w:hAnsi="Arial" w:cs="Arial"/>
          <w:szCs w:val="24"/>
        </w:rPr>
      </w:pPr>
      <w:r>
        <w:rPr>
          <w:rFonts w:ascii="Arial" w:hAnsi="Arial" w:cs="Arial"/>
          <w:szCs w:val="24"/>
        </w:rPr>
        <w:t xml:space="preserve">At the </w:t>
      </w:r>
      <w:r w:rsidR="00EF5E2A">
        <w:rPr>
          <w:rFonts w:ascii="Arial" w:hAnsi="Arial" w:cs="Arial"/>
          <w:szCs w:val="24"/>
        </w:rPr>
        <w:t>March 3, 2021</w:t>
      </w:r>
      <w:r>
        <w:rPr>
          <w:rFonts w:ascii="Arial" w:hAnsi="Arial" w:cs="Arial"/>
          <w:szCs w:val="24"/>
        </w:rPr>
        <w:t xml:space="preserve"> meeting of the Regional Water Quality Committee, the Wastewater Treatment Division briefed the Committee on asset management </w:t>
      </w:r>
      <w:r w:rsidR="003A430E">
        <w:rPr>
          <w:rFonts w:ascii="Arial" w:hAnsi="Arial" w:cs="Arial"/>
          <w:szCs w:val="24"/>
        </w:rPr>
        <w:t>in the regional conveyance system, addressing:</w:t>
      </w:r>
    </w:p>
    <w:p w14:paraId="647C1513" w14:textId="5C3D0A27" w:rsidR="003A430E" w:rsidRDefault="003A430E" w:rsidP="003A430E">
      <w:pPr>
        <w:pStyle w:val="ListParagraph"/>
        <w:numPr>
          <w:ilvl w:val="0"/>
          <w:numId w:val="4"/>
        </w:numPr>
        <w:jc w:val="both"/>
        <w:rPr>
          <w:rFonts w:ascii="Arial" w:hAnsi="Arial" w:cs="Arial"/>
          <w:szCs w:val="24"/>
        </w:rPr>
      </w:pPr>
      <w:r>
        <w:rPr>
          <w:rFonts w:ascii="Arial" w:hAnsi="Arial" w:cs="Arial"/>
          <w:szCs w:val="24"/>
        </w:rPr>
        <w:t>Upcoming major asset replacements or upgrades, such as</w:t>
      </w:r>
    </w:p>
    <w:p w14:paraId="2511F173" w14:textId="5D3AC689" w:rsidR="003A430E" w:rsidRDefault="003A430E" w:rsidP="003A430E">
      <w:pPr>
        <w:pStyle w:val="ListParagraph"/>
        <w:numPr>
          <w:ilvl w:val="1"/>
          <w:numId w:val="4"/>
        </w:numPr>
        <w:jc w:val="both"/>
        <w:rPr>
          <w:rFonts w:ascii="Arial" w:hAnsi="Arial" w:cs="Arial"/>
          <w:szCs w:val="24"/>
        </w:rPr>
      </w:pPr>
      <w:r>
        <w:rPr>
          <w:rFonts w:ascii="Arial" w:hAnsi="Arial" w:cs="Arial"/>
          <w:szCs w:val="24"/>
        </w:rPr>
        <w:t>North Mercer and Enatai Interceptors Upgrade</w:t>
      </w:r>
    </w:p>
    <w:p w14:paraId="32DF53A8" w14:textId="39E79C74" w:rsidR="003A430E" w:rsidRDefault="003A430E" w:rsidP="003A430E">
      <w:pPr>
        <w:pStyle w:val="ListParagraph"/>
        <w:numPr>
          <w:ilvl w:val="1"/>
          <w:numId w:val="4"/>
        </w:numPr>
        <w:jc w:val="both"/>
        <w:rPr>
          <w:rFonts w:ascii="Arial" w:hAnsi="Arial" w:cs="Arial"/>
          <w:szCs w:val="24"/>
        </w:rPr>
      </w:pPr>
      <w:r>
        <w:rPr>
          <w:rFonts w:ascii="Arial" w:hAnsi="Arial" w:cs="Arial"/>
          <w:szCs w:val="24"/>
        </w:rPr>
        <w:lastRenderedPageBreak/>
        <w:t>Coal Creek Trunk capacity expansion</w:t>
      </w:r>
    </w:p>
    <w:p w14:paraId="0569F0E6" w14:textId="273BF3FE" w:rsidR="003A430E" w:rsidRDefault="003A430E" w:rsidP="003A430E">
      <w:pPr>
        <w:pStyle w:val="ListParagraph"/>
        <w:numPr>
          <w:ilvl w:val="1"/>
          <w:numId w:val="4"/>
        </w:numPr>
        <w:jc w:val="both"/>
        <w:rPr>
          <w:rFonts w:ascii="Arial" w:hAnsi="Arial" w:cs="Arial"/>
          <w:szCs w:val="24"/>
        </w:rPr>
      </w:pPr>
      <w:r>
        <w:rPr>
          <w:rFonts w:ascii="Arial" w:hAnsi="Arial" w:cs="Arial"/>
          <w:szCs w:val="24"/>
        </w:rPr>
        <w:t>Lake Hills Trunk and Northwest Lake Sammamish Interceptor upgrade</w:t>
      </w:r>
    </w:p>
    <w:p w14:paraId="420C1CE2" w14:textId="1CA7003D" w:rsidR="003A430E" w:rsidRDefault="003A430E" w:rsidP="003A430E">
      <w:pPr>
        <w:pStyle w:val="ListParagraph"/>
        <w:numPr>
          <w:ilvl w:val="1"/>
          <w:numId w:val="4"/>
        </w:numPr>
        <w:jc w:val="both"/>
        <w:rPr>
          <w:rFonts w:ascii="Arial" w:hAnsi="Arial" w:cs="Arial"/>
          <w:szCs w:val="24"/>
        </w:rPr>
      </w:pPr>
      <w:r>
        <w:rPr>
          <w:rFonts w:ascii="Arial" w:hAnsi="Arial" w:cs="Arial"/>
          <w:szCs w:val="24"/>
        </w:rPr>
        <w:t>Interbay Force Main upgrade</w:t>
      </w:r>
    </w:p>
    <w:p w14:paraId="6A4C8591" w14:textId="69569F0B" w:rsidR="003A430E" w:rsidRDefault="003A430E" w:rsidP="003A430E">
      <w:pPr>
        <w:pStyle w:val="ListParagraph"/>
        <w:numPr>
          <w:ilvl w:val="1"/>
          <w:numId w:val="4"/>
        </w:numPr>
        <w:jc w:val="both"/>
        <w:rPr>
          <w:rFonts w:ascii="Arial" w:hAnsi="Arial" w:cs="Arial"/>
          <w:szCs w:val="24"/>
        </w:rPr>
      </w:pPr>
      <w:r>
        <w:rPr>
          <w:rFonts w:ascii="Arial" w:hAnsi="Arial" w:cs="Arial"/>
          <w:szCs w:val="24"/>
        </w:rPr>
        <w:t>Pump station upgrades</w:t>
      </w:r>
    </w:p>
    <w:p w14:paraId="6DC6A6C2" w14:textId="77777777" w:rsidR="003A430E" w:rsidRDefault="003A430E" w:rsidP="003A430E">
      <w:pPr>
        <w:pStyle w:val="ListParagraph"/>
        <w:numPr>
          <w:ilvl w:val="2"/>
          <w:numId w:val="4"/>
        </w:numPr>
        <w:jc w:val="both"/>
        <w:rPr>
          <w:rFonts w:ascii="Arial" w:hAnsi="Arial" w:cs="Arial"/>
          <w:szCs w:val="24"/>
        </w:rPr>
      </w:pPr>
      <w:r>
        <w:rPr>
          <w:rFonts w:ascii="Arial" w:hAnsi="Arial" w:cs="Arial"/>
          <w:szCs w:val="24"/>
        </w:rPr>
        <w:t>Systemwide variable frequency drive replacements at pump stations</w:t>
      </w:r>
    </w:p>
    <w:p w14:paraId="3B2065E7" w14:textId="7A45A794" w:rsidR="003A430E" w:rsidRDefault="003A430E" w:rsidP="003A430E">
      <w:pPr>
        <w:pStyle w:val="ListParagraph"/>
        <w:numPr>
          <w:ilvl w:val="2"/>
          <w:numId w:val="4"/>
        </w:numPr>
        <w:jc w:val="both"/>
        <w:rPr>
          <w:rFonts w:ascii="Arial" w:hAnsi="Arial" w:cs="Arial"/>
          <w:szCs w:val="24"/>
        </w:rPr>
      </w:pPr>
      <w:r>
        <w:rPr>
          <w:rFonts w:ascii="Arial" w:hAnsi="Arial" w:cs="Arial"/>
          <w:szCs w:val="24"/>
        </w:rPr>
        <w:t>Medina and Alki pump station upgrades</w:t>
      </w:r>
    </w:p>
    <w:p w14:paraId="211B92C0" w14:textId="77777777" w:rsidR="003A430E" w:rsidRPr="003A430E" w:rsidRDefault="003A430E" w:rsidP="003A430E">
      <w:pPr>
        <w:pStyle w:val="ListParagraph"/>
        <w:ind w:left="1440"/>
        <w:jc w:val="both"/>
        <w:rPr>
          <w:rFonts w:ascii="Arial" w:hAnsi="Arial" w:cs="Arial"/>
          <w:szCs w:val="24"/>
        </w:rPr>
      </w:pPr>
    </w:p>
    <w:p w14:paraId="744702E0" w14:textId="0EBDE009" w:rsidR="003A430E" w:rsidRDefault="00715266" w:rsidP="00001AFD">
      <w:pPr>
        <w:jc w:val="both"/>
        <w:rPr>
          <w:rFonts w:ascii="Arial" w:hAnsi="Arial" w:cs="Arial"/>
          <w:szCs w:val="24"/>
        </w:rPr>
      </w:pPr>
      <w:r>
        <w:rPr>
          <w:rFonts w:ascii="Arial" w:hAnsi="Arial" w:cs="Arial"/>
          <w:szCs w:val="24"/>
        </w:rPr>
        <w:t>The briefing also addressed the rate schedule, and revenue needs;</w:t>
      </w:r>
      <w:r w:rsidRPr="00715266">
        <w:rPr>
          <w:rFonts w:ascii="Arial" w:hAnsi="Arial" w:cs="Arial"/>
          <w:szCs w:val="24"/>
        </w:rPr>
        <w:t xml:space="preserve"> </w:t>
      </w:r>
      <w:r>
        <w:rPr>
          <w:rFonts w:ascii="Arial" w:hAnsi="Arial" w:cs="Arial"/>
          <w:szCs w:val="24"/>
        </w:rPr>
        <w:t>.  Highlights included:</w:t>
      </w:r>
    </w:p>
    <w:p w14:paraId="65CE7513" w14:textId="3F424AB7" w:rsidR="00715266" w:rsidRDefault="00715266" w:rsidP="00715266">
      <w:pPr>
        <w:ind w:firstLine="720"/>
        <w:jc w:val="both"/>
        <w:rPr>
          <w:rFonts w:ascii="Arial" w:hAnsi="Arial" w:cs="Arial"/>
          <w:szCs w:val="24"/>
        </w:rPr>
      </w:pPr>
      <w:r>
        <w:rPr>
          <w:rFonts w:ascii="Arial" w:hAnsi="Arial" w:cs="Arial"/>
          <w:szCs w:val="24"/>
        </w:rPr>
        <w:t>Rate Schedule:</w:t>
      </w:r>
    </w:p>
    <w:p w14:paraId="048E8AB9" w14:textId="6BD288FD" w:rsidR="00715266" w:rsidRDefault="00715266" w:rsidP="00715266">
      <w:pPr>
        <w:pStyle w:val="ListParagraph"/>
        <w:numPr>
          <w:ilvl w:val="1"/>
          <w:numId w:val="4"/>
        </w:numPr>
        <w:jc w:val="both"/>
        <w:rPr>
          <w:rFonts w:ascii="Arial" w:hAnsi="Arial" w:cs="Arial"/>
          <w:szCs w:val="24"/>
        </w:rPr>
      </w:pPr>
      <w:r>
        <w:rPr>
          <w:rFonts w:ascii="Arial" w:hAnsi="Arial" w:cs="Arial"/>
          <w:szCs w:val="24"/>
        </w:rPr>
        <w:t>March 8—Executive Briefing, direction provided</w:t>
      </w:r>
    </w:p>
    <w:p w14:paraId="06DE3977" w14:textId="766CC670" w:rsidR="00715266" w:rsidRDefault="00715266" w:rsidP="00715266">
      <w:pPr>
        <w:pStyle w:val="ListParagraph"/>
        <w:numPr>
          <w:ilvl w:val="1"/>
          <w:numId w:val="4"/>
        </w:numPr>
        <w:jc w:val="both"/>
        <w:rPr>
          <w:rFonts w:ascii="Arial" w:hAnsi="Arial" w:cs="Arial"/>
          <w:szCs w:val="24"/>
        </w:rPr>
      </w:pPr>
      <w:r>
        <w:rPr>
          <w:rFonts w:ascii="Arial" w:hAnsi="Arial" w:cs="Arial"/>
          <w:szCs w:val="24"/>
        </w:rPr>
        <w:t>March 24—MWPAAC vote on recommendation letter to Executive</w:t>
      </w:r>
    </w:p>
    <w:p w14:paraId="46059DB7" w14:textId="450E811D" w:rsidR="00715266" w:rsidRDefault="00715266" w:rsidP="00715266">
      <w:pPr>
        <w:pStyle w:val="ListParagraph"/>
        <w:numPr>
          <w:ilvl w:val="1"/>
          <w:numId w:val="4"/>
        </w:numPr>
        <w:jc w:val="both"/>
        <w:rPr>
          <w:rFonts w:ascii="Arial" w:hAnsi="Arial" w:cs="Arial"/>
          <w:szCs w:val="24"/>
        </w:rPr>
      </w:pPr>
      <w:r>
        <w:rPr>
          <w:rFonts w:ascii="Arial" w:hAnsi="Arial" w:cs="Arial"/>
          <w:szCs w:val="24"/>
        </w:rPr>
        <w:t>April 1—MWPAAC Rates and Finance Subcommittee briefing</w:t>
      </w:r>
    </w:p>
    <w:p w14:paraId="587C1AD6" w14:textId="050C4480" w:rsidR="00715266" w:rsidRDefault="00715266" w:rsidP="00715266">
      <w:pPr>
        <w:pStyle w:val="ListParagraph"/>
        <w:numPr>
          <w:ilvl w:val="1"/>
          <w:numId w:val="4"/>
        </w:numPr>
        <w:jc w:val="both"/>
        <w:rPr>
          <w:rFonts w:ascii="Arial" w:hAnsi="Arial" w:cs="Arial"/>
          <w:szCs w:val="24"/>
        </w:rPr>
      </w:pPr>
      <w:r>
        <w:rPr>
          <w:rFonts w:ascii="Arial" w:hAnsi="Arial" w:cs="Arial"/>
          <w:szCs w:val="24"/>
        </w:rPr>
        <w:t>April 15—Executive’s 2022 Sewer Rate and Capacity Charge Proposal transmitted to King County Council</w:t>
      </w:r>
    </w:p>
    <w:p w14:paraId="4182DD3D" w14:textId="761F1341" w:rsidR="00715266" w:rsidRDefault="00715266" w:rsidP="00715266">
      <w:pPr>
        <w:pStyle w:val="ListParagraph"/>
        <w:numPr>
          <w:ilvl w:val="1"/>
          <w:numId w:val="4"/>
        </w:numPr>
        <w:jc w:val="both"/>
        <w:rPr>
          <w:rFonts w:ascii="Arial" w:hAnsi="Arial" w:cs="Arial"/>
          <w:szCs w:val="24"/>
        </w:rPr>
      </w:pPr>
      <w:r>
        <w:rPr>
          <w:rFonts w:ascii="Arial" w:hAnsi="Arial" w:cs="Arial"/>
          <w:szCs w:val="24"/>
        </w:rPr>
        <w:t>April 28—MWPAAC General Meeting—possible consideration of a recommendation letter to King County Council regarding proposed rate</w:t>
      </w:r>
    </w:p>
    <w:p w14:paraId="2132A51E" w14:textId="156F7509" w:rsidR="00715266" w:rsidRDefault="00715266" w:rsidP="00715266">
      <w:pPr>
        <w:pStyle w:val="ListParagraph"/>
        <w:numPr>
          <w:ilvl w:val="1"/>
          <w:numId w:val="4"/>
        </w:numPr>
        <w:jc w:val="both"/>
        <w:rPr>
          <w:rFonts w:ascii="Arial" w:hAnsi="Arial" w:cs="Arial"/>
          <w:szCs w:val="24"/>
        </w:rPr>
      </w:pPr>
      <w:r>
        <w:rPr>
          <w:rFonts w:ascii="Arial" w:hAnsi="Arial" w:cs="Arial"/>
          <w:szCs w:val="24"/>
        </w:rPr>
        <w:t>May 5—RWQC briefing</w:t>
      </w:r>
    </w:p>
    <w:p w14:paraId="6FE98B58" w14:textId="44387305" w:rsidR="00715266" w:rsidRDefault="00715266" w:rsidP="00715266">
      <w:pPr>
        <w:pStyle w:val="ListParagraph"/>
        <w:numPr>
          <w:ilvl w:val="1"/>
          <w:numId w:val="4"/>
        </w:numPr>
        <w:jc w:val="both"/>
        <w:rPr>
          <w:rFonts w:ascii="Arial" w:hAnsi="Arial" w:cs="Arial"/>
          <w:szCs w:val="24"/>
        </w:rPr>
      </w:pPr>
      <w:r>
        <w:rPr>
          <w:rFonts w:ascii="Arial" w:hAnsi="Arial" w:cs="Arial"/>
          <w:szCs w:val="24"/>
        </w:rPr>
        <w:t>May-June—King County Council Budget and Fiscal Management Committee briefings and Council action</w:t>
      </w:r>
    </w:p>
    <w:p w14:paraId="44A160CE" w14:textId="77777777" w:rsidR="00937C0C" w:rsidRPr="00937C0C" w:rsidRDefault="00937C0C" w:rsidP="00937C0C">
      <w:pPr>
        <w:jc w:val="both"/>
        <w:rPr>
          <w:rFonts w:ascii="Arial" w:hAnsi="Arial" w:cs="Arial"/>
          <w:szCs w:val="24"/>
        </w:rPr>
      </w:pPr>
    </w:p>
    <w:p w14:paraId="6E7E26C2" w14:textId="7BCCCA01" w:rsidR="00715266" w:rsidRDefault="00715266" w:rsidP="00001AFD">
      <w:pPr>
        <w:jc w:val="both"/>
        <w:rPr>
          <w:rFonts w:ascii="Arial" w:hAnsi="Arial" w:cs="Arial"/>
          <w:szCs w:val="24"/>
        </w:rPr>
      </w:pPr>
    </w:p>
    <w:p w14:paraId="7A6E8EDB" w14:textId="5493C6A4" w:rsidR="00937C0C" w:rsidRDefault="00937C0C" w:rsidP="00001AFD">
      <w:pPr>
        <w:jc w:val="both"/>
        <w:rPr>
          <w:rFonts w:ascii="Arial" w:hAnsi="Arial" w:cs="Arial"/>
          <w:szCs w:val="24"/>
        </w:rPr>
      </w:pPr>
      <w:r>
        <w:rPr>
          <w:rFonts w:ascii="Arial" w:hAnsi="Arial" w:cs="Arial"/>
          <w:szCs w:val="24"/>
        </w:rPr>
        <w:t>The Wastewater Treatment Division has also acknowledged the interest of RWQC committee members in a briefing on the preliminary sewer rate prior to the April 15 transmittal date.</w:t>
      </w:r>
    </w:p>
    <w:p w14:paraId="297D5467" w14:textId="77777777" w:rsidR="00001AFD" w:rsidRDefault="00001AFD" w:rsidP="00001AFD">
      <w:pPr>
        <w:jc w:val="both"/>
        <w:rPr>
          <w:rFonts w:ascii="Arial" w:hAnsi="Arial" w:cs="Arial"/>
          <w:szCs w:val="24"/>
        </w:rPr>
      </w:pPr>
    </w:p>
    <w:p w14:paraId="481BADF0" w14:textId="77777777" w:rsidR="00001AFD" w:rsidRPr="00F00884" w:rsidRDefault="00001AFD" w:rsidP="00001AFD">
      <w:pPr>
        <w:rPr>
          <w:rFonts w:ascii="Arial" w:hAnsi="Arial" w:cs="Arial"/>
          <w:b/>
          <w:szCs w:val="24"/>
          <w:u w:val="single"/>
        </w:rPr>
      </w:pPr>
      <w:r w:rsidRPr="00F00884">
        <w:rPr>
          <w:rFonts w:ascii="Arial" w:hAnsi="Arial" w:cs="Arial"/>
          <w:b/>
          <w:szCs w:val="24"/>
          <w:u w:val="single"/>
        </w:rPr>
        <w:t>INVITED</w:t>
      </w:r>
    </w:p>
    <w:p w14:paraId="68ECA4B4" w14:textId="77777777" w:rsidR="00001AFD" w:rsidRPr="004A3FBB" w:rsidRDefault="00001AFD" w:rsidP="00001AFD">
      <w:pPr>
        <w:rPr>
          <w:rFonts w:ascii="Arial" w:hAnsi="Arial" w:cs="Arial"/>
          <w:szCs w:val="24"/>
        </w:rPr>
      </w:pPr>
    </w:p>
    <w:p w14:paraId="59778965" w14:textId="77777777" w:rsidR="00001AFD" w:rsidRDefault="00001AFD" w:rsidP="00001AFD">
      <w:pPr>
        <w:numPr>
          <w:ilvl w:val="0"/>
          <w:numId w:val="1"/>
        </w:numPr>
        <w:rPr>
          <w:rFonts w:ascii="Arial" w:hAnsi="Arial" w:cs="Arial"/>
          <w:szCs w:val="24"/>
        </w:rPr>
      </w:pPr>
      <w:r>
        <w:rPr>
          <w:rFonts w:ascii="Arial" w:hAnsi="Arial" w:cs="Arial"/>
          <w:szCs w:val="24"/>
        </w:rPr>
        <w:t>Hiedi Popochock, Financial Services Manager, Wastewater Treatment Division</w:t>
      </w:r>
    </w:p>
    <w:p w14:paraId="59DED922" w14:textId="6D4A9967" w:rsidR="00001AFD" w:rsidRDefault="00001AFD" w:rsidP="00001AFD">
      <w:pPr>
        <w:numPr>
          <w:ilvl w:val="0"/>
          <w:numId w:val="1"/>
        </w:numPr>
        <w:rPr>
          <w:rFonts w:ascii="Arial" w:hAnsi="Arial" w:cs="Arial"/>
          <w:szCs w:val="24"/>
        </w:rPr>
      </w:pPr>
      <w:r>
        <w:rPr>
          <w:rFonts w:ascii="Arial" w:hAnsi="Arial" w:cs="Arial"/>
          <w:szCs w:val="24"/>
        </w:rPr>
        <w:t>Courtney Black, Rates, Capital and Debt Management Supervisor, Wastewater Treatment Division</w:t>
      </w:r>
    </w:p>
    <w:p w14:paraId="61EBF209" w14:textId="33B13995" w:rsidR="00F00884" w:rsidRDefault="00F00884" w:rsidP="00F00884">
      <w:pPr>
        <w:rPr>
          <w:rFonts w:ascii="Arial" w:hAnsi="Arial" w:cs="Arial"/>
          <w:szCs w:val="24"/>
        </w:rPr>
      </w:pPr>
    </w:p>
    <w:p w14:paraId="22CB4250" w14:textId="77777777" w:rsidR="00F00884" w:rsidRPr="00F00884" w:rsidRDefault="00F00884" w:rsidP="00F00884">
      <w:pPr>
        <w:rPr>
          <w:rFonts w:ascii="Arial" w:hAnsi="Arial" w:cs="Arial"/>
          <w:b/>
          <w:szCs w:val="24"/>
          <w:u w:val="single"/>
        </w:rPr>
      </w:pPr>
      <w:r w:rsidRPr="001C4B19">
        <w:rPr>
          <w:rFonts w:ascii="Arial" w:hAnsi="Arial" w:cs="Arial"/>
          <w:b/>
          <w:szCs w:val="24"/>
          <w:u w:val="single"/>
        </w:rPr>
        <w:t>ATTACHMENTS</w:t>
      </w:r>
    </w:p>
    <w:p w14:paraId="6ABBBA32" w14:textId="77777777" w:rsidR="00F00884" w:rsidRDefault="00F00884" w:rsidP="00F00884">
      <w:pPr>
        <w:pStyle w:val="BodyText"/>
        <w:rPr>
          <w:rFonts w:cs="Arial"/>
          <w:b/>
          <w:i/>
          <w:szCs w:val="24"/>
          <w:u w:val="single"/>
        </w:rPr>
      </w:pPr>
    </w:p>
    <w:p w14:paraId="30FADBB3" w14:textId="30E595F7" w:rsidR="00F00884" w:rsidRPr="00F00884" w:rsidRDefault="007F3740" w:rsidP="00F00884">
      <w:pPr>
        <w:pStyle w:val="ListParagraph"/>
        <w:numPr>
          <w:ilvl w:val="0"/>
          <w:numId w:val="5"/>
        </w:numPr>
        <w:rPr>
          <w:rFonts w:ascii="Arial" w:hAnsi="Arial" w:cs="Arial"/>
          <w:szCs w:val="24"/>
        </w:rPr>
      </w:pPr>
      <w:r>
        <w:rPr>
          <w:rFonts w:ascii="Arial" w:hAnsi="Arial" w:cs="Arial"/>
          <w:szCs w:val="24"/>
        </w:rPr>
        <w:t>2022 Sewer Rate Plan and 10-Year Sewer Rate Plan (2022-2031) Presentation</w:t>
      </w:r>
    </w:p>
    <w:p w14:paraId="4D23B103" w14:textId="77777777" w:rsidR="00F00884" w:rsidRDefault="00F00884" w:rsidP="00F00884">
      <w:pPr>
        <w:ind w:left="360"/>
        <w:rPr>
          <w:rFonts w:ascii="Arial" w:hAnsi="Arial" w:cs="Arial"/>
          <w:szCs w:val="24"/>
        </w:rPr>
      </w:pPr>
    </w:p>
    <w:p w14:paraId="17B83437" w14:textId="77777777" w:rsidR="00001AFD" w:rsidRDefault="00001AFD" w:rsidP="00001AFD"/>
    <w:p w14:paraId="10B7F322" w14:textId="77777777" w:rsidR="00001AFD" w:rsidRDefault="00001AFD" w:rsidP="00001AFD"/>
    <w:p w14:paraId="7BF707F6" w14:textId="77777777" w:rsidR="00001AFD" w:rsidRDefault="00001AFD" w:rsidP="00001AFD"/>
    <w:p w14:paraId="23FFFB8F" w14:textId="77777777" w:rsidR="008C4AFA" w:rsidRDefault="00940F63"/>
    <w:sectPr w:rsidR="008C4AFA" w:rsidSect="00012DC2">
      <w:headerReference w:type="first" r:id="rId7"/>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2C809" w14:textId="77777777" w:rsidR="00001AFD" w:rsidRDefault="00001AFD" w:rsidP="00001AFD">
      <w:r>
        <w:separator/>
      </w:r>
    </w:p>
  </w:endnote>
  <w:endnote w:type="continuationSeparator" w:id="0">
    <w:p w14:paraId="3C81196F" w14:textId="77777777" w:rsidR="00001AFD" w:rsidRDefault="00001AFD" w:rsidP="0000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13B73" w14:textId="77777777" w:rsidR="00001AFD" w:rsidRDefault="00001AFD" w:rsidP="00001AFD">
      <w:r>
        <w:separator/>
      </w:r>
    </w:p>
  </w:footnote>
  <w:footnote w:type="continuationSeparator" w:id="0">
    <w:p w14:paraId="56C94553" w14:textId="77777777" w:rsidR="00001AFD" w:rsidRDefault="00001AFD" w:rsidP="00001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41FED" w14:textId="77777777" w:rsidR="00C75025" w:rsidRDefault="00572E7E" w:rsidP="00C75025">
    <w:pPr>
      <w:jc w:val="center"/>
    </w:pPr>
    <w:r>
      <w:rPr>
        <w:noProof/>
      </w:rPr>
      <w:drawing>
        <wp:inline distT="0" distB="0" distL="0" distR="0" wp14:anchorId="1265EBFE" wp14:editId="6B1B26DE">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668975DA" w14:textId="77777777" w:rsidR="00C75025" w:rsidRPr="003B03EF" w:rsidRDefault="00940F63" w:rsidP="00C75025">
    <w:pPr>
      <w:jc w:val="center"/>
      <w:rPr>
        <w:rFonts w:ascii="Arial" w:hAnsi="Arial"/>
        <w:szCs w:val="22"/>
      </w:rPr>
    </w:pPr>
  </w:p>
  <w:p w14:paraId="427B1339" w14:textId="77777777" w:rsidR="00C75025" w:rsidRDefault="00572E7E" w:rsidP="00C75025">
    <w:pPr>
      <w:jc w:val="center"/>
      <w:rPr>
        <w:rFonts w:ascii="Verdana" w:hAnsi="Verdana"/>
        <w:b/>
        <w:sz w:val="28"/>
        <w:szCs w:val="28"/>
      </w:rPr>
    </w:pPr>
    <w:r>
      <w:rPr>
        <w:rFonts w:ascii="Verdana" w:hAnsi="Verdana"/>
        <w:b/>
        <w:sz w:val="28"/>
        <w:szCs w:val="28"/>
      </w:rPr>
      <w:t>Metropolitan King County Council</w:t>
    </w:r>
  </w:p>
  <w:p w14:paraId="069D422F" w14:textId="77777777" w:rsidR="00C75025" w:rsidRDefault="00572E7E" w:rsidP="00050B5E">
    <w:pPr>
      <w:jc w:val="center"/>
      <w:rPr>
        <w:rFonts w:ascii="Verdana" w:hAnsi="Verdana"/>
        <w:b/>
        <w:sz w:val="28"/>
        <w:szCs w:val="28"/>
      </w:rPr>
    </w:pPr>
    <w:r>
      <w:rPr>
        <w:rFonts w:ascii="Verdana" w:hAnsi="Verdana"/>
        <w:b/>
        <w:sz w:val="28"/>
        <w:szCs w:val="28"/>
      </w:rPr>
      <w:t>Regional Water Quality Committee</w:t>
    </w:r>
  </w:p>
  <w:p w14:paraId="5A00BBB2" w14:textId="77777777" w:rsidR="002C3B29" w:rsidRPr="004A1D48" w:rsidRDefault="00940F63" w:rsidP="00050B5E">
    <w:pPr>
      <w:jc w:val="center"/>
      <w:rPr>
        <w:rFonts w:ascii="Verdana" w:hAnsi="Verdan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92BC1"/>
    <w:multiLevelType w:val="hybridMultilevel"/>
    <w:tmpl w:val="938CE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1F22F8"/>
    <w:multiLevelType w:val="hybridMultilevel"/>
    <w:tmpl w:val="1632F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75A68"/>
    <w:multiLevelType w:val="hybridMultilevel"/>
    <w:tmpl w:val="04D2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451B63"/>
    <w:multiLevelType w:val="hybridMultilevel"/>
    <w:tmpl w:val="7A0C9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386C21"/>
    <w:multiLevelType w:val="hybridMultilevel"/>
    <w:tmpl w:val="EDC4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AFD"/>
    <w:rsid w:val="00001AFD"/>
    <w:rsid w:val="001224A6"/>
    <w:rsid w:val="00197F0D"/>
    <w:rsid w:val="003A430E"/>
    <w:rsid w:val="004E5289"/>
    <w:rsid w:val="00572E7E"/>
    <w:rsid w:val="006E52AB"/>
    <w:rsid w:val="00715266"/>
    <w:rsid w:val="00784340"/>
    <w:rsid w:val="007F3740"/>
    <w:rsid w:val="00937C0C"/>
    <w:rsid w:val="00940F63"/>
    <w:rsid w:val="00C9083E"/>
    <w:rsid w:val="00EF5E2A"/>
    <w:rsid w:val="00F00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529E1"/>
  <w15:chartTrackingRefBased/>
  <w15:docId w15:val="{E2560FD5-14CD-4EF5-8B95-B0D93F73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AFD"/>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001AFD"/>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1AFD"/>
    <w:rPr>
      <w:rFonts w:ascii="Times New Roman" w:eastAsia="Times New Roman" w:hAnsi="Times New Roman" w:cs="Times New Roman"/>
      <w:b/>
      <w:sz w:val="32"/>
      <w:szCs w:val="20"/>
      <w:u w:val="single"/>
    </w:rPr>
  </w:style>
  <w:style w:type="paragraph" w:styleId="ListParagraph">
    <w:name w:val="List Paragraph"/>
    <w:basedOn w:val="Normal"/>
    <w:uiPriority w:val="34"/>
    <w:qFormat/>
    <w:rsid w:val="00001AFD"/>
    <w:pPr>
      <w:ind w:left="720"/>
      <w:contextualSpacing/>
    </w:pPr>
  </w:style>
  <w:style w:type="paragraph" w:styleId="FootnoteText">
    <w:name w:val="footnote text"/>
    <w:basedOn w:val="Normal"/>
    <w:link w:val="FootnoteTextChar"/>
    <w:uiPriority w:val="99"/>
    <w:semiHidden/>
    <w:unhideWhenUsed/>
    <w:rsid w:val="00001AFD"/>
    <w:rPr>
      <w:sz w:val="20"/>
    </w:rPr>
  </w:style>
  <w:style w:type="character" w:customStyle="1" w:styleId="FootnoteTextChar">
    <w:name w:val="Footnote Text Char"/>
    <w:basedOn w:val="DefaultParagraphFont"/>
    <w:link w:val="FootnoteText"/>
    <w:uiPriority w:val="99"/>
    <w:semiHidden/>
    <w:rsid w:val="00001AF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01AFD"/>
    <w:rPr>
      <w:vertAlign w:val="superscript"/>
    </w:rPr>
  </w:style>
  <w:style w:type="paragraph" w:styleId="BodyText">
    <w:name w:val="Body Text"/>
    <w:basedOn w:val="Normal"/>
    <w:link w:val="BodyTextChar"/>
    <w:semiHidden/>
    <w:unhideWhenUsed/>
    <w:rsid w:val="004E5289"/>
    <w:pPr>
      <w:tabs>
        <w:tab w:val="left" w:pos="480"/>
        <w:tab w:val="left" w:pos="600"/>
        <w:tab w:val="left" w:pos="840"/>
        <w:tab w:val="left" w:pos="1080"/>
        <w:tab w:val="left" w:pos="1440"/>
        <w:tab w:val="left" w:pos="1800"/>
        <w:tab w:val="left" w:pos="2040"/>
        <w:tab w:val="left" w:pos="2280"/>
        <w:tab w:val="left" w:pos="2520"/>
        <w:tab w:val="left" w:pos="2760"/>
        <w:tab w:val="left" w:pos="3000"/>
        <w:tab w:val="left" w:pos="3240"/>
        <w:tab w:val="left" w:pos="3480"/>
        <w:tab w:val="left" w:pos="4320"/>
        <w:tab w:val="left" w:pos="5040"/>
        <w:tab w:val="left" w:pos="5760"/>
        <w:tab w:val="left" w:pos="6480"/>
        <w:tab w:val="left" w:pos="7200"/>
        <w:tab w:val="left" w:pos="7920"/>
        <w:tab w:val="left" w:pos="8640"/>
        <w:tab w:val="left" w:pos="9360"/>
      </w:tabs>
      <w:jc w:val="both"/>
    </w:pPr>
    <w:rPr>
      <w:rFonts w:ascii="Arial" w:hAnsi="Arial"/>
      <w:sz w:val="20"/>
    </w:rPr>
  </w:style>
  <w:style w:type="character" w:customStyle="1" w:styleId="BodyTextChar">
    <w:name w:val="Body Text Char"/>
    <w:basedOn w:val="DefaultParagraphFont"/>
    <w:link w:val="BodyText"/>
    <w:semiHidden/>
    <w:rsid w:val="004E5289"/>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582777">
      <w:bodyDiv w:val="1"/>
      <w:marLeft w:val="0"/>
      <w:marRight w:val="0"/>
      <w:marTop w:val="0"/>
      <w:marBottom w:val="0"/>
      <w:divBdr>
        <w:top w:val="none" w:sz="0" w:space="0" w:color="auto"/>
        <w:left w:val="none" w:sz="0" w:space="0" w:color="auto"/>
        <w:bottom w:val="none" w:sz="0" w:space="0" w:color="auto"/>
        <w:right w:val="none" w:sz="0" w:space="0" w:color="auto"/>
      </w:divBdr>
    </w:div>
    <w:div w:id="1398283676">
      <w:bodyDiv w:val="1"/>
      <w:marLeft w:val="0"/>
      <w:marRight w:val="0"/>
      <w:marTop w:val="0"/>
      <w:marBottom w:val="0"/>
      <w:divBdr>
        <w:top w:val="none" w:sz="0" w:space="0" w:color="auto"/>
        <w:left w:val="none" w:sz="0" w:space="0" w:color="auto"/>
        <w:bottom w:val="none" w:sz="0" w:space="0" w:color="auto"/>
        <w:right w:val="none" w:sz="0" w:space="0" w:color="auto"/>
      </w:divBdr>
    </w:div>
    <w:div w:id="168527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1253</Words>
  <Characters>7586</Characters>
  <Application>Microsoft Office Word</Application>
  <DocSecurity>0</DocSecurity>
  <Lines>194</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Mike</dc:creator>
  <cp:keywords/>
  <dc:description/>
  <cp:lastModifiedBy>Daly, Sharon</cp:lastModifiedBy>
  <cp:revision>4</cp:revision>
  <dcterms:created xsi:type="dcterms:W3CDTF">2021-04-01T17:26:00Z</dcterms:created>
  <dcterms:modified xsi:type="dcterms:W3CDTF">2021-04-01T19:16:00Z</dcterms:modified>
</cp:coreProperties>
</file>