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BA6B" w14:textId="77777777" w:rsidR="00EB5A13" w:rsidRPr="009E34F8" w:rsidRDefault="00EB5A13" w:rsidP="00EB5A13">
      <w:pPr>
        <w:pStyle w:val="Heading2"/>
        <w:rPr>
          <w:rFonts w:ascii="Arial" w:hAnsi="Arial" w:cs="Arial"/>
          <w:b w:val="0"/>
          <w:sz w:val="24"/>
          <w:szCs w:val="24"/>
          <w:u w:val="none"/>
        </w:rPr>
      </w:pPr>
    </w:p>
    <w:p w14:paraId="1F1F86C5" w14:textId="77777777" w:rsidR="00EB5A13" w:rsidRPr="009E34F8" w:rsidRDefault="00EB5A13" w:rsidP="00EB5A13">
      <w:pPr>
        <w:pStyle w:val="Heading2"/>
        <w:rPr>
          <w:rFonts w:ascii="Arial" w:hAnsi="Arial" w:cs="Arial"/>
          <w:sz w:val="24"/>
          <w:szCs w:val="24"/>
        </w:rPr>
      </w:pPr>
      <w:r w:rsidRPr="009E34F8">
        <w:rPr>
          <w:rFonts w:ascii="Arial" w:hAnsi="Arial" w:cs="Arial"/>
          <w:sz w:val="24"/>
          <w:szCs w:val="24"/>
        </w:rPr>
        <w:t>STAFF REPORT</w:t>
      </w:r>
    </w:p>
    <w:p w14:paraId="1781FCA0" w14:textId="77777777" w:rsidR="00EB5A13" w:rsidRPr="009E34F8" w:rsidRDefault="00EB5A13" w:rsidP="00EB5A13">
      <w:pPr>
        <w:jc w:val="center"/>
        <w:rPr>
          <w:rFonts w:ascii="Arial" w:hAnsi="Arial" w:cs="Arial"/>
          <w:szCs w:val="24"/>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E34F8" w14:paraId="3C169D2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0C53D6B" w14:textId="77777777" w:rsidR="00EB5A13" w:rsidRPr="009E34F8" w:rsidRDefault="00EB5A13" w:rsidP="00074A56">
            <w:pPr>
              <w:spacing w:before="40" w:after="40"/>
              <w:rPr>
                <w:rFonts w:ascii="Arial" w:hAnsi="Arial" w:cs="Arial"/>
                <w:b/>
                <w:szCs w:val="24"/>
              </w:rPr>
            </w:pPr>
            <w:r w:rsidRPr="009E34F8">
              <w:rPr>
                <w:rFonts w:ascii="Arial" w:hAnsi="Arial" w:cs="Arial"/>
                <w:b/>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9D23405" w14:textId="0389E5A9" w:rsidR="00EB5A13" w:rsidRPr="009E34F8" w:rsidRDefault="00B44B21" w:rsidP="00074A56">
            <w:pPr>
              <w:spacing w:before="40" w:after="40"/>
              <w:rPr>
                <w:rFonts w:ascii="Arial" w:hAnsi="Arial" w:cs="Arial"/>
                <w:szCs w:val="24"/>
              </w:rPr>
            </w:pPr>
            <w:r>
              <w:rPr>
                <w:rFonts w:ascii="Arial" w:hAnsi="Arial" w:cs="Arial"/>
                <w:szCs w:val="24"/>
              </w:rPr>
              <w:t>6</w:t>
            </w:r>
          </w:p>
        </w:tc>
        <w:tc>
          <w:tcPr>
            <w:tcW w:w="1170" w:type="dxa"/>
            <w:tcBorders>
              <w:top w:val="single" w:sz="4" w:space="0" w:color="auto"/>
              <w:left w:val="single" w:sz="4" w:space="0" w:color="auto"/>
              <w:bottom w:val="single" w:sz="4" w:space="0" w:color="auto"/>
              <w:right w:val="single" w:sz="4" w:space="0" w:color="auto"/>
            </w:tcBorders>
            <w:vAlign w:val="center"/>
          </w:tcPr>
          <w:p w14:paraId="70229149" w14:textId="77777777" w:rsidR="00EB5A13" w:rsidRPr="009E34F8" w:rsidRDefault="00EB5A13" w:rsidP="00074A56">
            <w:pPr>
              <w:spacing w:before="40" w:after="40"/>
              <w:rPr>
                <w:rFonts w:ascii="Arial" w:hAnsi="Arial" w:cs="Arial"/>
                <w:b/>
                <w:szCs w:val="24"/>
              </w:rPr>
            </w:pPr>
            <w:r w:rsidRPr="009E34F8">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92C85D1" w14:textId="77777777" w:rsidR="00EB5A13" w:rsidRPr="009E34F8" w:rsidRDefault="008F657A" w:rsidP="00074A56">
            <w:pPr>
              <w:spacing w:before="40" w:after="40"/>
              <w:rPr>
                <w:rFonts w:ascii="Arial" w:hAnsi="Arial" w:cs="Arial"/>
                <w:szCs w:val="24"/>
              </w:rPr>
            </w:pPr>
            <w:r w:rsidRPr="009E34F8">
              <w:rPr>
                <w:rFonts w:ascii="Arial" w:hAnsi="Arial" w:cs="Arial"/>
                <w:szCs w:val="24"/>
              </w:rPr>
              <w:t>Jake Tracy</w:t>
            </w:r>
          </w:p>
        </w:tc>
      </w:tr>
      <w:tr w:rsidR="00EB5A13" w:rsidRPr="009E34F8" w14:paraId="4637256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A970515" w14:textId="77777777" w:rsidR="00EB5A13" w:rsidRPr="009E34F8" w:rsidRDefault="00EB5A13" w:rsidP="00074A56">
            <w:pPr>
              <w:spacing w:before="40" w:after="40"/>
              <w:rPr>
                <w:rFonts w:ascii="Arial" w:hAnsi="Arial" w:cs="Arial"/>
                <w:szCs w:val="24"/>
              </w:rPr>
            </w:pPr>
            <w:r w:rsidRPr="009E34F8">
              <w:rPr>
                <w:rFonts w:ascii="Arial" w:hAnsi="Arial" w:cs="Arial"/>
                <w:b/>
                <w:szCs w:val="24"/>
              </w:rPr>
              <w:t>Proposed No</w:t>
            </w:r>
            <w:r w:rsidRPr="009E34F8">
              <w:rPr>
                <w:rFonts w:ascii="Arial" w:hAnsi="Arial" w:cs="Arial"/>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1EAAC767" w14:textId="77777777" w:rsidR="00EB5A13" w:rsidRPr="009E34F8" w:rsidRDefault="008F657A" w:rsidP="00074A56">
            <w:pPr>
              <w:spacing w:before="40" w:after="40"/>
              <w:rPr>
                <w:rFonts w:ascii="Arial" w:hAnsi="Arial" w:cs="Arial"/>
                <w:szCs w:val="24"/>
              </w:rPr>
            </w:pPr>
            <w:r w:rsidRPr="009E34F8">
              <w:rPr>
                <w:rFonts w:ascii="Arial" w:hAnsi="Arial" w:cs="Arial"/>
                <w:szCs w:val="24"/>
              </w:rPr>
              <w:t>2020-0417</w:t>
            </w:r>
          </w:p>
        </w:tc>
        <w:tc>
          <w:tcPr>
            <w:tcW w:w="1170" w:type="dxa"/>
            <w:tcBorders>
              <w:top w:val="single" w:sz="4" w:space="0" w:color="auto"/>
              <w:left w:val="single" w:sz="4" w:space="0" w:color="auto"/>
              <w:bottom w:val="single" w:sz="4" w:space="0" w:color="auto"/>
              <w:right w:val="single" w:sz="4" w:space="0" w:color="auto"/>
            </w:tcBorders>
            <w:vAlign w:val="center"/>
          </w:tcPr>
          <w:p w14:paraId="18B08CEB" w14:textId="77777777" w:rsidR="00EB5A13" w:rsidRPr="009E34F8" w:rsidRDefault="00EB5A13" w:rsidP="00074A56">
            <w:pPr>
              <w:spacing w:before="40" w:after="40"/>
              <w:ind w:right="-108"/>
              <w:rPr>
                <w:rFonts w:ascii="Arial" w:hAnsi="Arial" w:cs="Arial"/>
                <w:szCs w:val="24"/>
              </w:rPr>
            </w:pPr>
            <w:r w:rsidRPr="009E34F8">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81AC652" w14:textId="67CC5B5D" w:rsidR="00EB5A13" w:rsidRPr="009E34F8" w:rsidRDefault="00B44B21" w:rsidP="00074A56">
            <w:pPr>
              <w:spacing w:before="40" w:after="40"/>
              <w:rPr>
                <w:rFonts w:ascii="Arial" w:hAnsi="Arial" w:cs="Arial"/>
                <w:szCs w:val="24"/>
              </w:rPr>
            </w:pPr>
            <w:r>
              <w:rPr>
                <w:rFonts w:ascii="Arial" w:hAnsi="Arial" w:cs="Arial"/>
                <w:szCs w:val="24"/>
              </w:rPr>
              <w:t>March 23</w:t>
            </w:r>
            <w:r w:rsidR="008F657A" w:rsidRPr="009E34F8">
              <w:rPr>
                <w:rFonts w:ascii="Arial" w:hAnsi="Arial" w:cs="Arial"/>
                <w:szCs w:val="24"/>
              </w:rPr>
              <w:t>, 2021</w:t>
            </w:r>
          </w:p>
        </w:tc>
      </w:tr>
    </w:tbl>
    <w:p w14:paraId="4CA2FD05" w14:textId="77777777" w:rsidR="004349B7" w:rsidRPr="009E34F8" w:rsidRDefault="004349B7" w:rsidP="00F31CDD">
      <w:pPr>
        <w:rPr>
          <w:rFonts w:ascii="Arial" w:hAnsi="Arial" w:cs="Arial"/>
          <w:b/>
          <w:smallCaps/>
          <w:szCs w:val="24"/>
          <w:u w:val="single"/>
        </w:rPr>
      </w:pPr>
    </w:p>
    <w:p w14:paraId="23D1746C" w14:textId="77777777" w:rsidR="00C75025" w:rsidRPr="009E34F8" w:rsidRDefault="00C75025" w:rsidP="005B478C">
      <w:pPr>
        <w:jc w:val="both"/>
        <w:rPr>
          <w:rFonts w:ascii="Arial" w:hAnsi="Arial" w:cs="Arial"/>
          <w:b/>
          <w:szCs w:val="24"/>
          <w:u w:val="single"/>
        </w:rPr>
      </w:pPr>
      <w:r w:rsidRPr="009E34F8">
        <w:rPr>
          <w:rFonts w:ascii="Arial" w:hAnsi="Arial" w:cs="Arial"/>
          <w:b/>
          <w:szCs w:val="24"/>
          <w:u w:val="single"/>
        </w:rPr>
        <w:t>SUBJECT</w:t>
      </w:r>
    </w:p>
    <w:p w14:paraId="356C1147" w14:textId="77777777" w:rsidR="00074A56" w:rsidRPr="009E34F8" w:rsidRDefault="00074A56" w:rsidP="005B478C">
      <w:pPr>
        <w:jc w:val="both"/>
        <w:rPr>
          <w:rFonts w:ascii="Arial" w:hAnsi="Arial" w:cs="Arial"/>
          <w:szCs w:val="24"/>
        </w:rPr>
      </w:pPr>
    </w:p>
    <w:p w14:paraId="0DDF938F" w14:textId="77777777" w:rsidR="00C75025" w:rsidRPr="009E34F8" w:rsidRDefault="008F657A" w:rsidP="005B478C">
      <w:pPr>
        <w:jc w:val="both"/>
        <w:rPr>
          <w:rFonts w:ascii="Arial" w:hAnsi="Arial" w:cs="Arial"/>
          <w:b/>
          <w:szCs w:val="24"/>
          <w:u w:val="single"/>
        </w:rPr>
      </w:pPr>
      <w:r w:rsidRPr="009E34F8">
        <w:rPr>
          <w:rFonts w:ascii="Arial" w:hAnsi="Arial" w:cs="Arial"/>
          <w:szCs w:val="24"/>
        </w:rPr>
        <w:t>Proposed Ordinance (PO) 2020-0417 would amend King County Code to require electric vehicle</w:t>
      </w:r>
      <w:r w:rsidR="006638DF" w:rsidRPr="009E34F8">
        <w:rPr>
          <w:rFonts w:ascii="Arial" w:hAnsi="Arial" w:cs="Arial"/>
          <w:szCs w:val="24"/>
        </w:rPr>
        <w:t xml:space="preserve"> (EV)</w:t>
      </w:r>
      <w:r w:rsidRPr="009E34F8">
        <w:rPr>
          <w:rFonts w:ascii="Arial" w:hAnsi="Arial" w:cs="Arial"/>
          <w:szCs w:val="24"/>
        </w:rPr>
        <w:t xml:space="preserve"> infrastructure in association with certain development activities in unincorporated King County and would set standards for th</w:t>
      </w:r>
      <w:r w:rsidR="006A2FBE" w:rsidRPr="009E34F8">
        <w:rPr>
          <w:rFonts w:ascii="Arial" w:hAnsi="Arial" w:cs="Arial"/>
          <w:szCs w:val="24"/>
        </w:rPr>
        <w:t>e installation and placement of that infrastructure</w:t>
      </w:r>
      <w:r w:rsidRPr="009E34F8">
        <w:rPr>
          <w:rFonts w:ascii="Arial" w:hAnsi="Arial" w:cs="Arial"/>
          <w:szCs w:val="24"/>
        </w:rPr>
        <w:t>.</w:t>
      </w:r>
    </w:p>
    <w:p w14:paraId="552C825B" w14:textId="77777777" w:rsidR="00C75025" w:rsidRPr="009E34F8" w:rsidRDefault="00C75025" w:rsidP="005B478C">
      <w:pPr>
        <w:jc w:val="both"/>
        <w:rPr>
          <w:rFonts w:ascii="Arial" w:hAnsi="Arial" w:cs="Arial"/>
          <w:b/>
          <w:smallCaps/>
          <w:szCs w:val="24"/>
          <w:u w:val="single"/>
        </w:rPr>
      </w:pPr>
    </w:p>
    <w:p w14:paraId="2791B9BF" w14:textId="77777777" w:rsidR="00C37A37" w:rsidRPr="009E34F8" w:rsidRDefault="007470ED" w:rsidP="005B478C">
      <w:pPr>
        <w:jc w:val="both"/>
        <w:rPr>
          <w:rFonts w:ascii="Arial" w:hAnsi="Arial" w:cs="Arial"/>
          <w:b/>
          <w:smallCaps/>
          <w:szCs w:val="24"/>
          <w:u w:val="single"/>
        </w:rPr>
      </w:pPr>
      <w:r w:rsidRPr="009E34F8">
        <w:rPr>
          <w:rFonts w:ascii="Arial" w:hAnsi="Arial" w:cs="Arial"/>
          <w:b/>
          <w:smallCaps/>
          <w:szCs w:val="24"/>
          <w:u w:val="single"/>
        </w:rPr>
        <w:t>SUMMARY</w:t>
      </w:r>
    </w:p>
    <w:p w14:paraId="1C8FA251" w14:textId="77777777" w:rsidR="00074A56" w:rsidRDefault="00074A56" w:rsidP="005B478C">
      <w:pPr>
        <w:jc w:val="both"/>
        <w:rPr>
          <w:rFonts w:ascii="Arial" w:hAnsi="Arial" w:cs="Arial"/>
          <w:szCs w:val="24"/>
        </w:rPr>
      </w:pPr>
    </w:p>
    <w:p w14:paraId="4D52AD4E" w14:textId="77777777" w:rsidR="00F36138" w:rsidRDefault="00F36138" w:rsidP="005B478C">
      <w:pPr>
        <w:jc w:val="both"/>
        <w:rPr>
          <w:rFonts w:ascii="Arial" w:hAnsi="Arial" w:cs="Arial"/>
          <w:szCs w:val="24"/>
        </w:rPr>
      </w:pPr>
      <w:r w:rsidRPr="009E34F8">
        <w:rPr>
          <w:rFonts w:ascii="Arial" w:hAnsi="Arial" w:cs="Arial"/>
          <w:szCs w:val="24"/>
        </w:rPr>
        <w:t>The proposed 2020 Strategic Climate Action Plan (SCAP)</w:t>
      </w:r>
      <w:r w:rsidRPr="009E34F8">
        <w:rPr>
          <w:rStyle w:val="FootnoteReference"/>
          <w:rFonts w:cs="Arial"/>
          <w:szCs w:val="24"/>
        </w:rPr>
        <w:footnoteReference w:id="1"/>
      </w:r>
      <w:r w:rsidRPr="009E34F8">
        <w:rPr>
          <w:rFonts w:ascii="Arial" w:hAnsi="Arial" w:cs="Arial"/>
          <w:szCs w:val="24"/>
        </w:rPr>
        <w:t xml:space="preserve"> </w:t>
      </w:r>
      <w:r w:rsidR="006E3DEF" w:rsidRPr="009E34F8">
        <w:rPr>
          <w:rFonts w:ascii="Arial" w:hAnsi="Arial" w:cs="Arial"/>
          <w:szCs w:val="24"/>
        </w:rPr>
        <w:t xml:space="preserve">includes a performance measure target relating to electric vehicle adoption. The target would be that, in 2035, 100% of light-duty vehicles, 50% of medium-duty vehicles, and 28% of </w:t>
      </w:r>
      <w:r w:rsidR="001E7F70" w:rsidRPr="009E34F8">
        <w:rPr>
          <w:rFonts w:ascii="Arial" w:hAnsi="Arial" w:cs="Arial"/>
          <w:szCs w:val="24"/>
        </w:rPr>
        <w:t>heavy-duty</w:t>
      </w:r>
      <w:r w:rsidR="006E3DEF" w:rsidRPr="009E34F8">
        <w:rPr>
          <w:rFonts w:ascii="Arial" w:hAnsi="Arial" w:cs="Arial"/>
          <w:szCs w:val="24"/>
        </w:rPr>
        <w:t xml:space="preserve"> vehicles sold in the county are EVs. According to the proposed 2020 SCAP, 7% of all new vehicles sold in 2018 were EVs.</w:t>
      </w:r>
    </w:p>
    <w:p w14:paraId="77CF65CB" w14:textId="77777777" w:rsidR="006E3DEF" w:rsidRDefault="006E3DEF" w:rsidP="005B478C">
      <w:pPr>
        <w:jc w:val="both"/>
        <w:rPr>
          <w:rFonts w:ascii="Arial" w:hAnsi="Arial" w:cs="Arial"/>
          <w:szCs w:val="24"/>
        </w:rPr>
      </w:pPr>
    </w:p>
    <w:p w14:paraId="6A81227E" w14:textId="77777777" w:rsidR="006E3DEF" w:rsidRDefault="006E3DEF" w:rsidP="006E3DEF">
      <w:pPr>
        <w:jc w:val="both"/>
        <w:rPr>
          <w:rFonts w:ascii="Arial" w:hAnsi="Arial" w:cs="Arial"/>
          <w:szCs w:val="24"/>
        </w:rPr>
      </w:pPr>
      <w:r w:rsidRPr="009E34F8">
        <w:rPr>
          <w:rFonts w:ascii="Arial" w:hAnsi="Arial" w:cs="Arial"/>
          <w:szCs w:val="24"/>
        </w:rPr>
        <w:t xml:space="preserve">In 2020, the King County Council adopted Ordinance 19052 to accelerate the adoption of EVs. In addition to goals for King County-owned vehicles and charging stations at County facilities, the ordinance included </w:t>
      </w:r>
      <w:r>
        <w:rPr>
          <w:rFonts w:ascii="Arial" w:hAnsi="Arial" w:cs="Arial"/>
          <w:szCs w:val="24"/>
        </w:rPr>
        <w:t xml:space="preserve">a requirement that the executive produce a report evaluating options for increasing electric vehicle infrastructure associated with multifamily development and new or expanded parking areas, and to transmit an ordinance </w:t>
      </w:r>
      <w:r w:rsidRPr="006E3DEF">
        <w:rPr>
          <w:rFonts w:ascii="Arial" w:hAnsi="Arial" w:cs="Arial"/>
          <w:szCs w:val="24"/>
        </w:rPr>
        <w:t>that would establish requirements to ensure that new parking areas are designed to include some amount of electric vehicle charging infrastructure</w:t>
      </w:r>
      <w:r>
        <w:rPr>
          <w:rFonts w:ascii="Arial" w:hAnsi="Arial" w:cs="Arial"/>
          <w:szCs w:val="24"/>
        </w:rPr>
        <w:t>.</w:t>
      </w:r>
    </w:p>
    <w:p w14:paraId="77151E73" w14:textId="77777777" w:rsidR="006E3DEF" w:rsidRDefault="006E3DEF" w:rsidP="006E3DEF">
      <w:pPr>
        <w:jc w:val="both"/>
        <w:rPr>
          <w:rFonts w:ascii="Arial" w:hAnsi="Arial" w:cs="Arial"/>
          <w:szCs w:val="24"/>
        </w:rPr>
      </w:pPr>
    </w:p>
    <w:p w14:paraId="003E2A73" w14:textId="021CAA7B" w:rsidR="006E3DEF" w:rsidRPr="009E34F8" w:rsidRDefault="006E3DEF" w:rsidP="006E3DEF">
      <w:pPr>
        <w:jc w:val="both"/>
        <w:rPr>
          <w:rFonts w:ascii="Arial" w:hAnsi="Arial" w:cs="Arial"/>
          <w:szCs w:val="24"/>
        </w:rPr>
      </w:pPr>
      <w:r>
        <w:rPr>
          <w:rFonts w:ascii="Arial" w:hAnsi="Arial" w:cs="Arial"/>
          <w:szCs w:val="24"/>
        </w:rPr>
        <w:t xml:space="preserve">The executive transmitted the report and PO 2020-0417 to implement EV infrastructure requirements in unincorporated King County. The regulations would set minimum amounts of EV infrastructure for a variety of development proposals, which would result in most new paved parking areas </w:t>
      </w:r>
      <w:r w:rsidR="00055BE3">
        <w:rPr>
          <w:rFonts w:ascii="Arial" w:hAnsi="Arial" w:cs="Arial"/>
          <w:szCs w:val="24"/>
        </w:rPr>
        <w:t xml:space="preserve">and </w:t>
      </w:r>
      <w:r>
        <w:rPr>
          <w:rFonts w:ascii="Arial" w:hAnsi="Arial" w:cs="Arial"/>
          <w:szCs w:val="24"/>
        </w:rPr>
        <w:t xml:space="preserve">all new detached </w:t>
      </w:r>
      <w:r w:rsidR="001E7F70">
        <w:rPr>
          <w:rFonts w:ascii="Arial" w:hAnsi="Arial" w:cs="Arial"/>
          <w:szCs w:val="24"/>
        </w:rPr>
        <w:t>single-family</w:t>
      </w:r>
      <w:r>
        <w:rPr>
          <w:rFonts w:ascii="Arial" w:hAnsi="Arial" w:cs="Arial"/>
          <w:szCs w:val="24"/>
        </w:rPr>
        <w:t xml:space="preserve"> homes and townhouses</w:t>
      </w:r>
      <w:r w:rsidR="00055BE3">
        <w:rPr>
          <w:rFonts w:ascii="Arial" w:hAnsi="Arial" w:cs="Arial"/>
          <w:szCs w:val="24"/>
        </w:rPr>
        <w:t xml:space="preserve"> in unincorporated King County</w:t>
      </w:r>
      <w:r>
        <w:rPr>
          <w:rFonts w:ascii="Arial" w:hAnsi="Arial" w:cs="Arial"/>
          <w:szCs w:val="24"/>
        </w:rPr>
        <w:t xml:space="preserve"> having some level of EV infrastructure.</w:t>
      </w:r>
    </w:p>
    <w:p w14:paraId="6BEF3D3D" w14:textId="77777777" w:rsidR="006E3DEF" w:rsidRDefault="006E3DEF" w:rsidP="005B478C">
      <w:pPr>
        <w:jc w:val="both"/>
        <w:rPr>
          <w:rFonts w:ascii="Arial" w:hAnsi="Arial" w:cs="Arial"/>
          <w:szCs w:val="24"/>
        </w:rPr>
      </w:pPr>
    </w:p>
    <w:p w14:paraId="7FC93D1B" w14:textId="77777777" w:rsidR="00DC4654" w:rsidRDefault="00B44B21" w:rsidP="005B478C">
      <w:pPr>
        <w:jc w:val="both"/>
        <w:rPr>
          <w:rFonts w:ascii="Arial" w:hAnsi="Arial" w:cs="Arial"/>
          <w:szCs w:val="24"/>
        </w:rPr>
      </w:pPr>
      <w:bookmarkStart w:id="0" w:name="_Hlk66788031"/>
      <w:r>
        <w:rPr>
          <w:rFonts w:ascii="Arial" w:hAnsi="Arial" w:cs="Arial"/>
          <w:szCs w:val="24"/>
        </w:rPr>
        <w:t>Striking amendment S2 would make a number of changes to match executive intent, and would remove EV requirements for single family detached, cottage housing, and certain types of</w:t>
      </w:r>
      <w:r w:rsidR="00DC4654">
        <w:rPr>
          <w:rFonts w:ascii="Arial" w:hAnsi="Arial" w:cs="Arial"/>
          <w:szCs w:val="24"/>
        </w:rPr>
        <w:t xml:space="preserve"> common-wall development, and would reference requirements in state code. </w:t>
      </w:r>
    </w:p>
    <w:p w14:paraId="1547B5EA" w14:textId="489BE2E8" w:rsidR="00DC4654" w:rsidRDefault="00DC4654" w:rsidP="005B478C">
      <w:pPr>
        <w:jc w:val="both"/>
        <w:rPr>
          <w:rFonts w:ascii="Arial" w:hAnsi="Arial" w:cs="Arial"/>
          <w:szCs w:val="24"/>
        </w:rPr>
      </w:pPr>
      <w:r>
        <w:rPr>
          <w:rFonts w:ascii="Arial" w:hAnsi="Arial" w:cs="Arial"/>
          <w:szCs w:val="24"/>
        </w:rPr>
        <w:lastRenderedPageBreak/>
        <w:t>Amendment 1 would allow EV-ready spaces to replace EVSE spaces for apartment, group residential, temporary lodging, and noncommercial uses where the total number of parking spaces required is six or fewer.</w:t>
      </w:r>
    </w:p>
    <w:bookmarkEnd w:id="0"/>
    <w:p w14:paraId="06C1017C" w14:textId="77777777" w:rsidR="006E3DEF" w:rsidRDefault="006E3DEF" w:rsidP="005B478C">
      <w:pPr>
        <w:jc w:val="both"/>
        <w:rPr>
          <w:rFonts w:ascii="Arial" w:hAnsi="Arial" w:cs="Arial"/>
          <w:szCs w:val="24"/>
        </w:rPr>
      </w:pPr>
    </w:p>
    <w:p w14:paraId="264C4225" w14:textId="77777777" w:rsidR="00716F37" w:rsidRPr="009E34F8" w:rsidRDefault="00716F37" w:rsidP="005B478C">
      <w:pPr>
        <w:jc w:val="both"/>
        <w:rPr>
          <w:rFonts w:ascii="Arial" w:hAnsi="Arial" w:cs="Arial"/>
          <w:szCs w:val="24"/>
        </w:rPr>
      </w:pPr>
    </w:p>
    <w:p w14:paraId="56924727" w14:textId="77777777" w:rsidR="00E15C29" w:rsidRPr="009E34F8" w:rsidRDefault="00E15C29" w:rsidP="005B478C">
      <w:pPr>
        <w:jc w:val="both"/>
        <w:rPr>
          <w:rFonts w:ascii="Arial" w:hAnsi="Arial" w:cs="Arial"/>
          <w:szCs w:val="24"/>
        </w:rPr>
      </w:pPr>
      <w:r w:rsidRPr="009E34F8">
        <w:rPr>
          <w:rFonts w:ascii="Arial" w:hAnsi="Arial" w:cs="Arial"/>
          <w:b/>
          <w:smallCaps/>
          <w:szCs w:val="24"/>
          <w:u w:val="single"/>
        </w:rPr>
        <w:t>BACKGROUND</w:t>
      </w:r>
      <w:r w:rsidR="00082009" w:rsidRPr="009E34F8">
        <w:rPr>
          <w:rFonts w:ascii="Arial" w:hAnsi="Arial" w:cs="Arial"/>
          <w:b/>
          <w:smallCaps/>
          <w:szCs w:val="24"/>
          <w:u w:val="single"/>
        </w:rPr>
        <w:t xml:space="preserve"> </w:t>
      </w:r>
    </w:p>
    <w:p w14:paraId="44C08879" w14:textId="77777777" w:rsidR="00074A56" w:rsidRPr="009E34F8" w:rsidRDefault="00074A56" w:rsidP="005B478C">
      <w:pPr>
        <w:jc w:val="both"/>
        <w:rPr>
          <w:rFonts w:ascii="Arial" w:hAnsi="Arial" w:cs="Arial"/>
          <w:szCs w:val="24"/>
        </w:rPr>
      </w:pPr>
    </w:p>
    <w:p w14:paraId="2940539D" w14:textId="77777777" w:rsidR="00DE5253" w:rsidRPr="009E34F8" w:rsidRDefault="00DE5253" w:rsidP="00DE5253">
      <w:pPr>
        <w:jc w:val="both"/>
        <w:rPr>
          <w:rFonts w:ascii="Arial" w:hAnsi="Arial" w:cs="Arial"/>
          <w:szCs w:val="24"/>
        </w:rPr>
      </w:pPr>
      <w:r w:rsidRPr="009E34F8">
        <w:rPr>
          <w:rFonts w:ascii="Arial" w:hAnsi="Arial" w:cs="Arial"/>
          <w:szCs w:val="24"/>
        </w:rPr>
        <w:t>The executive's proposed 2020</w:t>
      </w:r>
      <w:r w:rsidR="006E3DEF">
        <w:rPr>
          <w:rFonts w:ascii="Arial" w:hAnsi="Arial" w:cs="Arial"/>
          <w:szCs w:val="24"/>
        </w:rPr>
        <w:t xml:space="preserve"> SCAP</w:t>
      </w:r>
      <w:r w:rsidRPr="009E34F8">
        <w:rPr>
          <w:rFonts w:ascii="Arial" w:hAnsi="Arial" w:cs="Arial"/>
          <w:szCs w:val="24"/>
        </w:rPr>
        <w:t xml:space="preserve"> lists "increase adoption of electric vehicles" as one of its nine strategies needed to meet King County's targets of a 50% reduction in greenhouse gas (GHG) emissions by 2030 and an 80% reduction in GHG emissions by 2050.</w:t>
      </w:r>
      <w:r w:rsidRPr="009E34F8">
        <w:rPr>
          <w:rStyle w:val="FootnoteReference"/>
          <w:rFonts w:cs="Arial"/>
          <w:szCs w:val="24"/>
        </w:rPr>
        <w:footnoteReference w:id="2"/>
      </w:r>
      <w:r w:rsidRPr="009E34F8">
        <w:rPr>
          <w:rFonts w:ascii="Arial" w:hAnsi="Arial" w:cs="Arial"/>
          <w:szCs w:val="24"/>
        </w:rPr>
        <w:t xml:space="preserve"> </w:t>
      </w:r>
    </w:p>
    <w:p w14:paraId="23D476B8" w14:textId="77777777" w:rsidR="00DE5253" w:rsidRPr="009E34F8" w:rsidRDefault="00DE5253" w:rsidP="00DE5253">
      <w:pPr>
        <w:jc w:val="both"/>
        <w:rPr>
          <w:rFonts w:ascii="Arial" w:hAnsi="Arial" w:cs="Arial"/>
          <w:szCs w:val="24"/>
        </w:rPr>
      </w:pPr>
    </w:p>
    <w:p w14:paraId="28DB2BAA" w14:textId="77777777" w:rsidR="00DE5253" w:rsidRPr="009E34F8" w:rsidRDefault="00DE5253" w:rsidP="00DE5253">
      <w:pPr>
        <w:jc w:val="both"/>
        <w:rPr>
          <w:rFonts w:ascii="Arial" w:hAnsi="Arial" w:cs="Arial"/>
          <w:szCs w:val="24"/>
        </w:rPr>
      </w:pPr>
      <w:r w:rsidRPr="009E34F8">
        <w:rPr>
          <w:rFonts w:ascii="Arial" w:hAnsi="Arial" w:cs="Arial"/>
          <w:szCs w:val="24"/>
        </w:rPr>
        <w:t xml:space="preserve">The proposed 2020 SCAP includes a performance measure target relating to electric vehicle adoption. The target would be that, in 2035, 100% of light-duty vehicles, 50% of medium-duty vehicles, and 28% of </w:t>
      </w:r>
      <w:r w:rsidR="001E7F70" w:rsidRPr="009E34F8">
        <w:rPr>
          <w:rFonts w:ascii="Arial" w:hAnsi="Arial" w:cs="Arial"/>
          <w:szCs w:val="24"/>
        </w:rPr>
        <w:t>heavy-duty</w:t>
      </w:r>
      <w:r w:rsidRPr="009E34F8">
        <w:rPr>
          <w:rFonts w:ascii="Arial" w:hAnsi="Arial" w:cs="Arial"/>
          <w:szCs w:val="24"/>
        </w:rPr>
        <w:t xml:space="preserve"> vehicles sold in the county are EVs. According to the proposed 2020 SCAP, 7% of all new vehicles sold in 2018 were EVs. </w:t>
      </w:r>
    </w:p>
    <w:p w14:paraId="7B26E2C9" w14:textId="77777777" w:rsidR="00DE5253" w:rsidRPr="009E34F8" w:rsidRDefault="00DE5253" w:rsidP="00DE5253">
      <w:pPr>
        <w:jc w:val="both"/>
        <w:rPr>
          <w:rFonts w:ascii="Arial" w:hAnsi="Arial" w:cs="Arial"/>
          <w:szCs w:val="24"/>
        </w:rPr>
      </w:pPr>
    </w:p>
    <w:p w14:paraId="1DD7248B" w14:textId="77777777" w:rsidR="00DE5253" w:rsidRPr="009E34F8" w:rsidRDefault="00DE5253" w:rsidP="00DE5253">
      <w:pPr>
        <w:jc w:val="both"/>
        <w:rPr>
          <w:rFonts w:ascii="Arial" w:hAnsi="Arial" w:cs="Arial"/>
          <w:szCs w:val="24"/>
        </w:rPr>
      </w:pPr>
      <w:r w:rsidRPr="009E34F8">
        <w:rPr>
          <w:rFonts w:ascii="Arial" w:hAnsi="Arial" w:cs="Arial"/>
          <w:szCs w:val="24"/>
        </w:rPr>
        <w:t xml:space="preserve">In 2020, the King County Council adopted Ordinance 19052 to accelerate the adoption of </w:t>
      </w:r>
      <w:r w:rsidR="001475E5" w:rsidRPr="009E34F8">
        <w:rPr>
          <w:rFonts w:ascii="Arial" w:hAnsi="Arial" w:cs="Arial"/>
          <w:szCs w:val="24"/>
        </w:rPr>
        <w:t>EVs</w:t>
      </w:r>
      <w:r w:rsidRPr="009E34F8">
        <w:rPr>
          <w:rFonts w:ascii="Arial" w:hAnsi="Arial" w:cs="Arial"/>
          <w:szCs w:val="24"/>
        </w:rPr>
        <w:t>. In addition to goals for King County-owned vehicles and charging stations at County facilities, the ordinance included the following requirement:</w:t>
      </w:r>
    </w:p>
    <w:p w14:paraId="61A1B525" w14:textId="77777777" w:rsidR="00DE5253" w:rsidRPr="009E34F8" w:rsidRDefault="00DE5253" w:rsidP="00DE5253">
      <w:pPr>
        <w:jc w:val="both"/>
        <w:rPr>
          <w:rFonts w:ascii="Arial" w:hAnsi="Arial" w:cs="Arial"/>
          <w:szCs w:val="24"/>
        </w:rPr>
      </w:pPr>
    </w:p>
    <w:p w14:paraId="13AF45AE" w14:textId="72FFA689" w:rsidR="00DE5253" w:rsidRPr="009E34F8" w:rsidRDefault="00DE5253" w:rsidP="00DE5253">
      <w:pPr>
        <w:jc w:val="both"/>
        <w:rPr>
          <w:rFonts w:ascii="Arial" w:hAnsi="Arial" w:cs="Arial"/>
          <w:i/>
          <w:iCs/>
          <w:szCs w:val="24"/>
        </w:rPr>
      </w:pPr>
      <w:r w:rsidRPr="009E34F8">
        <w:rPr>
          <w:rFonts w:ascii="Arial" w:hAnsi="Arial" w:cs="Arial"/>
          <w:i/>
          <w:iCs/>
          <w:szCs w:val="24"/>
        </w:rPr>
        <w:t>The executive shall transmit a report on options to require, incentivize or otherwise ensure electric vehicle charging infrastructure in new multifamily construction and other development proposals that include expansion of parking areas in the unincorporated area and an ordinance that would establish requirements to ensure that new parking areas are designed to include some amount of electric vehicle charging infrastructure to account for increased use of electric vehicles in the future.  The report and ordinance shall be developed in consultation with stakeholder groups, including representatives of the building and electric vehicle industries and utilities.  The executive must transmit the report and recommendations by September 14, 2020, in the form of a paper original and an electronic copy with the clerk of the council, who shall retain the original and provide an electronic copy to all councilmembers, the council chief of staff and the lead staff for the local services committee or its successor.</w:t>
      </w:r>
      <w:r w:rsidRPr="009E34F8">
        <w:rPr>
          <w:rStyle w:val="FootnoteReference"/>
          <w:rFonts w:cs="Arial"/>
          <w:i/>
          <w:iCs/>
          <w:szCs w:val="24"/>
        </w:rPr>
        <w:footnoteReference w:id="3"/>
      </w:r>
    </w:p>
    <w:p w14:paraId="4610D3A4" w14:textId="77777777" w:rsidR="00DE5253" w:rsidRPr="009E34F8" w:rsidRDefault="00DE5253" w:rsidP="00DE5253">
      <w:pPr>
        <w:jc w:val="both"/>
        <w:rPr>
          <w:rFonts w:ascii="Arial" w:hAnsi="Arial" w:cs="Arial"/>
          <w:i/>
          <w:iCs/>
          <w:szCs w:val="24"/>
        </w:rPr>
      </w:pPr>
    </w:p>
    <w:p w14:paraId="0E941399" w14:textId="1F5CAB29" w:rsidR="00DE5253" w:rsidRDefault="00DE5253" w:rsidP="00DE5253">
      <w:pPr>
        <w:jc w:val="both"/>
        <w:rPr>
          <w:rFonts w:ascii="Arial" w:hAnsi="Arial" w:cs="Arial"/>
          <w:szCs w:val="24"/>
        </w:rPr>
      </w:pPr>
      <w:r w:rsidRPr="009E34F8">
        <w:rPr>
          <w:rFonts w:ascii="Arial" w:hAnsi="Arial" w:cs="Arial"/>
          <w:szCs w:val="24"/>
        </w:rPr>
        <w:t>This requirement was also included in a budget proviso on the Local Services Administration fund.</w:t>
      </w:r>
      <w:r w:rsidRPr="009E34F8">
        <w:rPr>
          <w:rStyle w:val="FootnoteReference"/>
          <w:rFonts w:cs="Arial"/>
          <w:szCs w:val="24"/>
        </w:rPr>
        <w:footnoteReference w:id="4"/>
      </w:r>
    </w:p>
    <w:p w14:paraId="61C07FF7" w14:textId="77777777" w:rsidR="00575B03" w:rsidRPr="009E34F8" w:rsidRDefault="00575B03" w:rsidP="005B478C">
      <w:pPr>
        <w:jc w:val="both"/>
        <w:rPr>
          <w:rFonts w:ascii="Arial" w:hAnsi="Arial" w:cs="Arial"/>
          <w:szCs w:val="24"/>
        </w:rPr>
      </w:pPr>
    </w:p>
    <w:p w14:paraId="30FA0717" w14:textId="77777777" w:rsidR="00264BE1" w:rsidRPr="009E34F8" w:rsidRDefault="00264BE1" w:rsidP="005B478C">
      <w:pPr>
        <w:jc w:val="both"/>
        <w:rPr>
          <w:rFonts w:ascii="Arial" w:hAnsi="Arial" w:cs="Arial"/>
          <w:b/>
          <w:smallCaps/>
          <w:szCs w:val="24"/>
          <w:u w:val="single"/>
        </w:rPr>
      </w:pPr>
      <w:r w:rsidRPr="009E34F8">
        <w:rPr>
          <w:rFonts w:ascii="Arial" w:hAnsi="Arial" w:cs="Arial"/>
          <w:b/>
          <w:smallCaps/>
          <w:szCs w:val="24"/>
          <w:u w:val="single"/>
        </w:rPr>
        <w:t>ANALYSIS</w:t>
      </w:r>
    </w:p>
    <w:p w14:paraId="02EEC777" w14:textId="77777777" w:rsidR="00074A56" w:rsidRPr="009E34F8" w:rsidRDefault="00074A56" w:rsidP="005B478C">
      <w:pPr>
        <w:jc w:val="both"/>
        <w:rPr>
          <w:rFonts w:ascii="Arial" w:hAnsi="Arial" w:cs="Arial"/>
          <w:szCs w:val="24"/>
        </w:rPr>
      </w:pPr>
    </w:p>
    <w:p w14:paraId="1D66C5FF" w14:textId="77777777" w:rsidR="00881630" w:rsidRPr="009E34F8" w:rsidRDefault="00592B20" w:rsidP="005B478C">
      <w:pPr>
        <w:jc w:val="both"/>
        <w:rPr>
          <w:rFonts w:ascii="Arial" w:hAnsi="Arial" w:cs="Arial"/>
          <w:szCs w:val="24"/>
        </w:rPr>
      </w:pPr>
      <w:r w:rsidRPr="009E34F8">
        <w:rPr>
          <w:rFonts w:ascii="Arial" w:hAnsi="Arial" w:cs="Arial"/>
          <w:szCs w:val="24"/>
        </w:rPr>
        <w:t>In response to the proviso and code requirement discussed above, the executive transmitted a</w:t>
      </w:r>
      <w:r w:rsidR="001141E7" w:rsidRPr="009E34F8">
        <w:rPr>
          <w:rFonts w:ascii="Arial" w:hAnsi="Arial" w:cs="Arial"/>
          <w:szCs w:val="24"/>
        </w:rPr>
        <w:t xml:space="preserve">n Electric Vehicle Charging Infrastructure Options Report and proposed ordinance containing EV charging requirements for some development activities in unincorporated King County. </w:t>
      </w:r>
    </w:p>
    <w:p w14:paraId="0AC69019" w14:textId="77777777" w:rsidR="00404531" w:rsidRPr="009E34F8" w:rsidRDefault="00404531" w:rsidP="005B478C">
      <w:pPr>
        <w:jc w:val="both"/>
        <w:rPr>
          <w:rFonts w:ascii="Arial" w:hAnsi="Arial" w:cs="Arial"/>
          <w:szCs w:val="24"/>
        </w:rPr>
      </w:pPr>
    </w:p>
    <w:p w14:paraId="7E92CBFF" w14:textId="77777777" w:rsidR="001A3316" w:rsidRPr="009E34F8" w:rsidRDefault="00ED4AC0" w:rsidP="005B478C">
      <w:pPr>
        <w:jc w:val="both"/>
        <w:rPr>
          <w:rFonts w:ascii="Arial" w:hAnsi="Arial" w:cs="Arial"/>
          <w:bCs/>
          <w:szCs w:val="24"/>
        </w:rPr>
      </w:pPr>
      <w:r w:rsidRPr="009E34F8">
        <w:rPr>
          <w:rFonts w:ascii="Arial" w:hAnsi="Arial" w:cs="Arial"/>
          <w:b/>
          <w:szCs w:val="24"/>
        </w:rPr>
        <w:t>Electric Vehicle Charging Infrastructure Options Report.</w:t>
      </w:r>
      <w:r w:rsidR="00CF1465" w:rsidRPr="009E34F8">
        <w:rPr>
          <w:rFonts w:ascii="Arial" w:hAnsi="Arial" w:cs="Arial"/>
          <w:b/>
          <w:szCs w:val="24"/>
        </w:rPr>
        <w:t xml:space="preserve"> </w:t>
      </w:r>
      <w:r w:rsidR="001475E5" w:rsidRPr="009E34F8">
        <w:rPr>
          <w:rFonts w:ascii="Arial" w:hAnsi="Arial" w:cs="Arial"/>
          <w:bCs/>
          <w:szCs w:val="24"/>
        </w:rPr>
        <w:t xml:space="preserve">The Executive's Electric Vehicle Charging Infrastructure Options Report reviews the history of electric vehicles </w:t>
      </w:r>
      <w:r w:rsidR="001475E5" w:rsidRPr="009E34F8">
        <w:rPr>
          <w:rFonts w:ascii="Arial" w:hAnsi="Arial" w:cs="Arial"/>
          <w:bCs/>
          <w:szCs w:val="24"/>
        </w:rPr>
        <w:lastRenderedPageBreak/>
        <w:t xml:space="preserve">(EVs), barriers to EV acquisition, current and projected EV ownership, potential benefits to historically disadvantaged communities, and both current and projected charging patterns. The report also reviews different EV charging types, tiers of EV infrastructure provision and their cost implications, and EV incentives and requirements used by other local governments. The report concludes with recommendations to increase EV infrastructure in King County. </w:t>
      </w:r>
    </w:p>
    <w:p w14:paraId="60A8E953" w14:textId="77777777" w:rsidR="001A3316" w:rsidRPr="009E34F8" w:rsidRDefault="001A3316" w:rsidP="005B478C">
      <w:pPr>
        <w:jc w:val="both"/>
        <w:rPr>
          <w:rFonts w:ascii="Arial" w:hAnsi="Arial" w:cs="Arial"/>
          <w:bCs/>
          <w:szCs w:val="24"/>
        </w:rPr>
      </w:pPr>
    </w:p>
    <w:p w14:paraId="4B0C0060" w14:textId="77777777" w:rsidR="001475E5" w:rsidRPr="009E34F8" w:rsidRDefault="001A3316" w:rsidP="005B478C">
      <w:pPr>
        <w:jc w:val="both"/>
        <w:rPr>
          <w:rFonts w:ascii="Arial" w:hAnsi="Arial" w:cs="Arial"/>
          <w:bCs/>
          <w:szCs w:val="24"/>
        </w:rPr>
      </w:pPr>
      <w:r w:rsidRPr="009E34F8">
        <w:rPr>
          <w:rFonts w:ascii="Arial" w:hAnsi="Arial" w:cs="Arial"/>
          <w:bCs/>
          <w:i/>
          <w:iCs/>
          <w:szCs w:val="24"/>
        </w:rPr>
        <w:t xml:space="preserve">Context. </w:t>
      </w:r>
      <w:r w:rsidR="001475E5" w:rsidRPr="009E34F8">
        <w:rPr>
          <w:rFonts w:ascii="Arial" w:hAnsi="Arial" w:cs="Arial"/>
          <w:bCs/>
          <w:szCs w:val="24"/>
        </w:rPr>
        <w:t xml:space="preserve">The following bullets summarize key points </w:t>
      </w:r>
      <w:r w:rsidRPr="009E34F8">
        <w:rPr>
          <w:rFonts w:ascii="Arial" w:hAnsi="Arial" w:cs="Arial"/>
          <w:bCs/>
          <w:szCs w:val="24"/>
        </w:rPr>
        <w:t>provided as context in the report</w:t>
      </w:r>
      <w:r w:rsidR="001475E5" w:rsidRPr="009E34F8">
        <w:rPr>
          <w:rFonts w:ascii="Arial" w:hAnsi="Arial" w:cs="Arial"/>
          <w:bCs/>
          <w:szCs w:val="24"/>
        </w:rPr>
        <w:t>:</w:t>
      </w:r>
    </w:p>
    <w:p w14:paraId="267739F2" w14:textId="77777777" w:rsidR="001475E5" w:rsidRPr="009E34F8" w:rsidRDefault="001475E5" w:rsidP="005B478C">
      <w:pPr>
        <w:jc w:val="both"/>
        <w:rPr>
          <w:rFonts w:ascii="Arial" w:hAnsi="Arial" w:cs="Arial"/>
          <w:bCs/>
          <w:szCs w:val="24"/>
        </w:rPr>
      </w:pPr>
    </w:p>
    <w:p w14:paraId="46F6AEF0" w14:textId="77777777" w:rsidR="001A3316" w:rsidRPr="00524931" w:rsidRDefault="001475E5" w:rsidP="00524931">
      <w:pPr>
        <w:pStyle w:val="ListParagraph0"/>
        <w:numPr>
          <w:ilvl w:val="0"/>
          <w:numId w:val="48"/>
        </w:numPr>
        <w:spacing w:after="120"/>
        <w:jc w:val="both"/>
        <w:rPr>
          <w:rFonts w:ascii="Arial" w:hAnsi="Arial" w:cs="Arial"/>
        </w:rPr>
      </w:pPr>
      <w:r w:rsidRPr="009E34F8">
        <w:rPr>
          <w:rFonts w:ascii="Arial" w:hAnsi="Arial" w:cs="Arial"/>
          <w:bCs/>
        </w:rPr>
        <w:t xml:space="preserve">Although King County has the highest number of EVs in the state, EVs still make </w:t>
      </w:r>
      <w:r w:rsidRPr="00524931">
        <w:rPr>
          <w:rFonts w:ascii="Arial" w:hAnsi="Arial" w:cs="Arial"/>
        </w:rPr>
        <w:t>up a small proportion of total vehicles.</w:t>
      </w:r>
    </w:p>
    <w:p w14:paraId="00A2059B" w14:textId="77777777" w:rsidR="001A3316" w:rsidRPr="00524931" w:rsidRDefault="001A3316" w:rsidP="00524931">
      <w:pPr>
        <w:pStyle w:val="ListParagraph0"/>
        <w:numPr>
          <w:ilvl w:val="0"/>
          <w:numId w:val="48"/>
        </w:numPr>
        <w:spacing w:after="120"/>
        <w:jc w:val="both"/>
        <w:rPr>
          <w:rFonts w:ascii="Arial" w:hAnsi="Arial" w:cs="Arial"/>
        </w:rPr>
      </w:pPr>
      <w:r w:rsidRPr="00524931">
        <w:rPr>
          <w:rFonts w:ascii="Arial" w:hAnsi="Arial" w:cs="Arial"/>
        </w:rPr>
        <w:t>One identified barrier to increased EV adoption is lack access to charging stations.</w:t>
      </w:r>
    </w:p>
    <w:p w14:paraId="62BDCBAC" w14:textId="77777777" w:rsidR="001475E5" w:rsidRPr="00524931" w:rsidRDefault="001475E5" w:rsidP="00524931">
      <w:pPr>
        <w:pStyle w:val="ListParagraph0"/>
        <w:numPr>
          <w:ilvl w:val="0"/>
          <w:numId w:val="48"/>
        </w:numPr>
        <w:spacing w:after="120"/>
        <w:jc w:val="both"/>
        <w:rPr>
          <w:rFonts w:ascii="Arial" w:hAnsi="Arial" w:cs="Arial"/>
        </w:rPr>
      </w:pPr>
      <w:r w:rsidRPr="00524931">
        <w:rPr>
          <w:rFonts w:ascii="Arial" w:hAnsi="Arial" w:cs="Arial"/>
        </w:rPr>
        <w:t>Seventy to eighty percent of EV drivers in the US charge their vehicles at home, and those with access to home charging are more likely to own EVs.</w:t>
      </w:r>
    </w:p>
    <w:p w14:paraId="263B6073" w14:textId="77777777" w:rsidR="001A3316" w:rsidRPr="00524931" w:rsidRDefault="001A3316" w:rsidP="00524931">
      <w:pPr>
        <w:pStyle w:val="ListParagraph0"/>
        <w:numPr>
          <w:ilvl w:val="0"/>
          <w:numId w:val="48"/>
        </w:numPr>
        <w:spacing w:after="120"/>
        <w:jc w:val="both"/>
        <w:rPr>
          <w:rFonts w:ascii="Arial" w:hAnsi="Arial" w:cs="Arial"/>
        </w:rPr>
      </w:pPr>
      <w:r w:rsidRPr="00524931">
        <w:rPr>
          <w:rFonts w:ascii="Arial" w:hAnsi="Arial" w:cs="Arial"/>
        </w:rPr>
        <w:t>Buildings constructed today will likely still be around in 2035 and beyond, when, if SCAP goals are met, 100% of light-duty vehicles sold in the county are EVs.</w:t>
      </w:r>
    </w:p>
    <w:p w14:paraId="4EEFEE59" w14:textId="77777777" w:rsidR="001A3316" w:rsidRPr="00524931" w:rsidRDefault="001A3316" w:rsidP="00524931">
      <w:pPr>
        <w:pStyle w:val="ListParagraph0"/>
        <w:numPr>
          <w:ilvl w:val="0"/>
          <w:numId w:val="48"/>
        </w:numPr>
        <w:spacing w:after="120"/>
        <w:jc w:val="both"/>
        <w:rPr>
          <w:rFonts w:ascii="Arial" w:hAnsi="Arial" w:cs="Arial"/>
        </w:rPr>
      </w:pPr>
      <w:r w:rsidRPr="00524931">
        <w:rPr>
          <w:rFonts w:ascii="Arial" w:hAnsi="Arial" w:cs="Arial"/>
        </w:rPr>
        <w:t>Increased EVs result in less GHGs and other pollution, which can contribute to positive health outcomes.</w:t>
      </w:r>
    </w:p>
    <w:p w14:paraId="6597AC9D" w14:textId="77777777" w:rsidR="001A3316" w:rsidRPr="009E34F8" w:rsidRDefault="00885FCB" w:rsidP="00524931">
      <w:pPr>
        <w:pStyle w:val="ListParagraph0"/>
        <w:numPr>
          <w:ilvl w:val="0"/>
          <w:numId w:val="48"/>
        </w:numPr>
        <w:spacing w:after="120"/>
        <w:jc w:val="both"/>
        <w:rPr>
          <w:rFonts w:ascii="Arial" w:hAnsi="Arial" w:cs="Arial"/>
          <w:bCs/>
        </w:rPr>
      </w:pPr>
      <w:r w:rsidRPr="00524931">
        <w:rPr>
          <w:rFonts w:ascii="Arial" w:hAnsi="Arial" w:cs="Arial"/>
        </w:rPr>
        <w:t>Despite</w:t>
      </w:r>
      <w:r w:rsidRPr="009E34F8">
        <w:rPr>
          <w:rFonts w:ascii="Arial" w:hAnsi="Arial" w:cs="Arial"/>
          <w:bCs/>
        </w:rPr>
        <w:t xml:space="preserve"> a higher initial cost, the annual cost to charge an EV in King County is estimated to be a third of the cost to fuel a gas-powered vehicle in Washington.</w:t>
      </w:r>
    </w:p>
    <w:p w14:paraId="06C5EC8A" w14:textId="77777777" w:rsidR="00CF1465" w:rsidRPr="009E34F8" w:rsidRDefault="00CF1465" w:rsidP="005B478C">
      <w:pPr>
        <w:jc w:val="both"/>
        <w:rPr>
          <w:rFonts w:ascii="Arial" w:hAnsi="Arial" w:cs="Arial"/>
          <w:b/>
          <w:szCs w:val="24"/>
        </w:rPr>
      </w:pPr>
    </w:p>
    <w:p w14:paraId="72101404" w14:textId="63D5BCFB" w:rsidR="00885FCB" w:rsidRDefault="00885FCB" w:rsidP="005B478C">
      <w:pPr>
        <w:jc w:val="both"/>
        <w:rPr>
          <w:rFonts w:ascii="Arial" w:hAnsi="Arial" w:cs="Arial"/>
          <w:bCs/>
          <w:szCs w:val="24"/>
        </w:rPr>
      </w:pPr>
      <w:r w:rsidRPr="009E34F8">
        <w:rPr>
          <w:rFonts w:ascii="Arial" w:hAnsi="Arial" w:cs="Arial"/>
          <w:bCs/>
          <w:i/>
          <w:iCs/>
          <w:szCs w:val="24"/>
        </w:rPr>
        <w:t xml:space="preserve">Electric Vehicle Charging Levels. </w:t>
      </w:r>
      <w:r w:rsidRPr="009E34F8">
        <w:rPr>
          <w:rFonts w:ascii="Arial" w:hAnsi="Arial" w:cs="Arial"/>
          <w:bCs/>
          <w:szCs w:val="24"/>
        </w:rPr>
        <w:t>The report discusses the three levels of charging currently available for electric vehicles. Each level requires a different level of power and therefore can provide a faster or slower rate of charging. The three charging levels are summarized in Table 1 below:</w:t>
      </w:r>
    </w:p>
    <w:p w14:paraId="6DDCCBE5" w14:textId="77777777" w:rsidR="00885FCB" w:rsidRPr="009E34F8" w:rsidRDefault="00885FCB" w:rsidP="005B478C">
      <w:pPr>
        <w:jc w:val="both"/>
        <w:rPr>
          <w:rFonts w:ascii="Arial" w:hAnsi="Arial" w:cs="Arial"/>
          <w:bCs/>
          <w:szCs w:val="24"/>
        </w:rPr>
      </w:pPr>
    </w:p>
    <w:p w14:paraId="4A870681" w14:textId="77777777" w:rsidR="00885FCB" w:rsidRPr="009E34F8" w:rsidRDefault="00885FCB" w:rsidP="00885FCB">
      <w:pPr>
        <w:jc w:val="center"/>
        <w:rPr>
          <w:rFonts w:ascii="Arial" w:hAnsi="Arial" w:cs="Arial"/>
          <w:b/>
          <w:szCs w:val="24"/>
        </w:rPr>
      </w:pPr>
      <w:r w:rsidRPr="009E34F8">
        <w:rPr>
          <w:rFonts w:ascii="Arial" w:hAnsi="Arial" w:cs="Arial"/>
          <w:b/>
          <w:szCs w:val="24"/>
        </w:rPr>
        <w:t>Table 1: EV Charging Levels and Statistics</w:t>
      </w:r>
    </w:p>
    <w:tbl>
      <w:tblPr>
        <w:tblStyle w:val="TableGrid"/>
        <w:tblW w:w="0" w:type="auto"/>
        <w:tblInd w:w="715" w:type="dxa"/>
        <w:tblLook w:val="04A0" w:firstRow="1" w:lastRow="0" w:firstColumn="1" w:lastColumn="0" w:noHBand="0" w:noVBand="1"/>
      </w:tblPr>
      <w:tblGrid>
        <w:gridCol w:w="2790"/>
        <w:gridCol w:w="1350"/>
        <w:gridCol w:w="1980"/>
        <w:gridCol w:w="2070"/>
      </w:tblGrid>
      <w:tr w:rsidR="00885FCB" w:rsidRPr="009E34F8" w14:paraId="0281E0A2" w14:textId="77777777" w:rsidTr="00E36AA8">
        <w:tc>
          <w:tcPr>
            <w:tcW w:w="2790" w:type="dxa"/>
            <w:shd w:val="clear" w:color="auto" w:fill="000000" w:themeFill="text1"/>
          </w:tcPr>
          <w:p w14:paraId="39115583" w14:textId="77777777" w:rsidR="00885FCB" w:rsidRPr="009E34F8" w:rsidRDefault="00885FCB" w:rsidP="00235E10">
            <w:pPr>
              <w:rPr>
                <w:rFonts w:ascii="Arial" w:hAnsi="Arial" w:cs="Arial"/>
                <w:szCs w:val="24"/>
              </w:rPr>
            </w:pPr>
          </w:p>
        </w:tc>
        <w:tc>
          <w:tcPr>
            <w:tcW w:w="1350" w:type="dxa"/>
            <w:shd w:val="clear" w:color="auto" w:fill="000000" w:themeFill="text1"/>
          </w:tcPr>
          <w:p w14:paraId="690A437A" w14:textId="77777777" w:rsidR="00885FCB" w:rsidRPr="009E34F8" w:rsidRDefault="00885FCB" w:rsidP="00235E10">
            <w:pPr>
              <w:rPr>
                <w:rFonts w:ascii="Arial" w:hAnsi="Arial" w:cs="Arial"/>
                <w:b/>
                <w:bCs/>
                <w:szCs w:val="24"/>
              </w:rPr>
            </w:pPr>
            <w:r w:rsidRPr="009E34F8">
              <w:rPr>
                <w:rFonts w:ascii="Arial" w:hAnsi="Arial" w:cs="Arial"/>
                <w:b/>
                <w:bCs/>
                <w:szCs w:val="24"/>
              </w:rPr>
              <w:t>Level 1</w:t>
            </w:r>
          </w:p>
        </w:tc>
        <w:tc>
          <w:tcPr>
            <w:tcW w:w="1980" w:type="dxa"/>
            <w:shd w:val="clear" w:color="auto" w:fill="000000" w:themeFill="text1"/>
          </w:tcPr>
          <w:p w14:paraId="49CB84B3" w14:textId="77777777" w:rsidR="00885FCB" w:rsidRPr="009E34F8" w:rsidRDefault="00885FCB" w:rsidP="00235E10">
            <w:pPr>
              <w:rPr>
                <w:rFonts w:ascii="Arial" w:hAnsi="Arial" w:cs="Arial"/>
                <w:b/>
                <w:bCs/>
                <w:szCs w:val="24"/>
              </w:rPr>
            </w:pPr>
            <w:r w:rsidRPr="009E34F8">
              <w:rPr>
                <w:rFonts w:ascii="Arial" w:hAnsi="Arial" w:cs="Arial"/>
                <w:b/>
                <w:bCs/>
                <w:szCs w:val="24"/>
              </w:rPr>
              <w:t>Level 2</w:t>
            </w:r>
          </w:p>
        </w:tc>
        <w:tc>
          <w:tcPr>
            <w:tcW w:w="2070" w:type="dxa"/>
            <w:shd w:val="clear" w:color="auto" w:fill="000000" w:themeFill="text1"/>
          </w:tcPr>
          <w:p w14:paraId="1FAE97A7" w14:textId="77777777" w:rsidR="00885FCB" w:rsidRPr="009E34F8" w:rsidRDefault="00885FCB" w:rsidP="00235E10">
            <w:pPr>
              <w:rPr>
                <w:rFonts w:ascii="Arial" w:hAnsi="Arial" w:cs="Arial"/>
                <w:b/>
                <w:bCs/>
                <w:szCs w:val="24"/>
              </w:rPr>
            </w:pPr>
            <w:r w:rsidRPr="009E34F8">
              <w:rPr>
                <w:rFonts w:ascii="Arial" w:hAnsi="Arial" w:cs="Arial"/>
                <w:b/>
                <w:bCs/>
                <w:szCs w:val="24"/>
              </w:rPr>
              <w:t>Level 3</w:t>
            </w:r>
          </w:p>
          <w:p w14:paraId="07FCA63B" w14:textId="77777777" w:rsidR="00885FCB" w:rsidRPr="009E34F8" w:rsidRDefault="00885FCB" w:rsidP="00235E10">
            <w:pPr>
              <w:rPr>
                <w:rFonts w:ascii="Arial" w:hAnsi="Arial" w:cs="Arial"/>
                <w:szCs w:val="24"/>
              </w:rPr>
            </w:pPr>
            <w:r w:rsidRPr="009E34F8">
              <w:rPr>
                <w:rFonts w:ascii="Arial" w:hAnsi="Arial" w:cs="Arial"/>
                <w:szCs w:val="24"/>
              </w:rPr>
              <w:t>DC Fast Charge</w:t>
            </w:r>
          </w:p>
        </w:tc>
      </w:tr>
      <w:tr w:rsidR="00885FCB" w:rsidRPr="009E34F8" w14:paraId="31BCDC7C" w14:textId="77777777" w:rsidTr="00235E10">
        <w:tc>
          <w:tcPr>
            <w:tcW w:w="2790" w:type="dxa"/>
          </w:tcPr>
          <w:p w14:paraId="4B9346FF" w14:textId="77777777" w:rsidR="00885FCB" w:rsidRPr="009E34F8" w:rsidRDefault="00885FCB" w:rsidP="00235E10">
            <w:pPr>
              <w:rPr>
                <w:rFonts w:ascii="Arial" w:hAnsi="Arial" w:cs="Arial"/>
                <w:szCs w:val="24"/>
              </w:rPr>
            </w:pPr>
            <w:r w:rsidRPr="009E34F8">
              <w:rPr>
                <w:rFonts w:ascii="Arial" w:hAnsi="Arial" w:cs="Arial"/>
                <w:szCs w:val="24"/>
              </w:rPr>
              <w:t>Electric/Power Needs</w:t>
            </w:r>
          </w:p>
        </w:tc>
        <w:tc>
          <w:tcPr>
            <w:tcW w:w="1350" w:type="dxa"/>
          </w:tcPr>
          <w:p w14:paraId="6C177B8E" w14:textId="77777777" w:rsidR="00885FCB" w:rsidRPr="009E34F8" w:rsidRDefault="00885FCB" w:rsidP="00235E10">
            <w:pPr>
              <w:rPr>
                <w:rFonts w:ascii="Arial" w:hAnsi="Arial" w:cs="Arial"/>
                <w:szCs w:val="24"/>
              </w:rPr>
            </w:pPr>
            <w:r w:rsidRPr="009E34F8">
              <w:rPr>
                <w:rFonts w:ascii="Arial" w:hAnsi="Arial" w:cs="Arial"/>
                <w:szCs w:val="24"/>
              </w:rPr>
              <w:t>120 Volt</w:t>
            </w:r>
          </w:p>
          <w:p w14:paraId="5BEBDC0A" w14:textId="77777777" w:rsidR="00885FCB" w:rsidRPr="009E34F8" w:rsidRDefault="00885FCB" w:rsidP="00235E10">
            <w:pPr>
              <w:rPr>
                <w:rFonts w:ascii="Arial" w:hAnsi="Arial" w:cs="Arial"/>
                <w:szCs w:val="24"/>
              </w:rPr>
            </w:pPr>
          </w:p>
          <w:p w14:paraId="02654361" w14:textId="77777777" w:rsidR="00885FCB" w:rsidRPr="009E34F8" w:rsidRDefault="00885FCB" w:rsidP="00235E10">
            <w:pPr>
              <w:rPr>
                <w:rFonts w:ascii="Arial" w:hAnsi="Arial" w:cs="Arial"/>
                <w:szCs w:val="24"/>
              </w:rPr>
            </w:pPr>
            <w:r w:rsidRPr="009E34F8">
              <w:rPr>
                <w:rFonts w:ascii="Arial" w:hAnsi="Arial" w:cs="Arial"/>
                <w:szCs w:val="24"/>
              </w:rPr>
              <w:t>20 Amp</w:t>
            </w:r>
          </w:p>
        </w:tc>
        <w:tc>
          <w:tcPr>
            <w:tcW w:w="1980" w:type="dxa"/>
          </w:tcPr>
          <w:p w14:paraId="01D68841" w14:textId="77777777" w:rsidR="00885FCB" w:rsidRPr="009E34F8" w:rsidRDefault="00885FCB" w:rsidP="00235E10">
            <w:pPr>
              <w:rPr>
                <w:rFonts w:ascii="Arial" w:hAnsi="Arial" w:cs="Arial"/>
                <w:szCs w:val="24"/>
              </w:rPr>
            </w:pPr>
            <w:r w:rsidRPr="009E34F8">
              <w:rPr>
                <w:rFonts w:ascii="Arial" w:hAnsi="Arial" w:cs="Arial"/>
                <w:szCs w:val="24"/>
              </w:rPr>
              <w:t>240 Volt (R)</w:t>
            </w:r>
          </w:p>
          <w:p w14:paraId="1E35D8F2" w14:textId="77777777" w:rsidR="00885FCB" w:rsidRPr="009E34F8" w:rsidRDefault="00885FCB" w:rsidP="00235E10">
            <w:pPr>
              <w:rPr>
                <w:rFonts w:ascii="Arial" w:hAnsi="Arial" w:cs="Arial"/>
                <w:szCs w:val="24"/>
              </w:rPr>
            </w:pPr>
            <w:r w:rsidRPr="009E34F8">
              <w:rPr>
                <w:rFonts w:ascii="Arial" w:hAnsi="Arial" w:cs="Arial"/>
                <w:szCs w:val="24"/>
              </w:rPr>
              <w:t>208 Volt (C)</w:t>
            </w:r>
          </w:p>
          <w:p w14:paraId="12D0704A" w14:textId="77777777" w:rsidR="00885FCB" w:rsidRPr="009E34F8" w:rsidRDefault="00885FCB" w:rsidP="00235E10">
            <w:pPr>
              <w:rPr>
                <w:rFonts w:ascii="Arial" w:hAnsi="Arial" w:cs="Arial"/>
                <w:szCs w:val="24"/>
              </w:rPr>
            </w:pPr>
            <w:r w:rsidRPr="009E34F8">
              <w:rPr>
                <w:rFonts w:ascii="Arial" w:hAnsi="Arial" w:cs="Arial"/>
                <w:szCs w:val="24"/>
              </w:rPr>
              <w:t>30-40 Amp typ.</w:t>
            </w:r>
          </w:p>
        </w:tc>
        <w:tc>
          <w:tcPr>
            <w:tcW w:w="2070" w:type="dxa"/>
          </w:tcPr>
          <w:p w14:paraId="61707171" w14:textId="77777777" w:rsidR="00885FCB" w:rsidRPr="009E34F8" w:rsidRDefault="00885FCB" w:rsidP="00235E10">
            <w:pPr>
              <w:rPr>
                <w:rFonts w:ascii="Arial" w:hAnsi="Arial" w:cs="Arial"/>
                <w:szCs w:val="24"/>
              </w:rPr>
            </w:pPr>
            <w:r w:rsidRPr="009E34F8">
              <w:rPr>
                <w:rFonts w:ascii="Arial" w:hAnsi="Arial" w:cs="Arial"/>
                <w:szCs w:val="24"/>
              </w:rPr>
              <w:t>480 Volt</w:t>
            </w:r>
          </w:p>
        </w:tc>
      </w:tr>
      <w:tr w:rsidR="00885FCB" w:rsidRPr="009E34F8" w14:paraId="6618F03B" w14:textId="77777777" w:rsidTr="00235E10">
        <w:tc>
          <w:tcPr>
            <w:tcW w:w="2790" w:type="dxa"/>
          </w:tcPr>
          <w:p w14:paraId="3563521F" w14:textId="77777777" w:rsidR="00885FCB" w:rsidRPr="009E34F8" w:rsidRDefault="00885FCB" w:rsidP="00235E10">
            <w:pPr>
              <w:rPr>
                <w:rFonts w:ascii="Arial" w:hAnsi="Arial" w:cs="Arial"/>
                <w:szCs w:val="24"/>
              </w:rPr>
            </w:pPr>
            <w:r w:rsidRPr="009E34F8">
              <w:rPr>
                <w:rFonts w:ascii="Arial" w:hAnsi="Arial" w:cs="Arial"/>
                <w:szCs w:val="24"/>
              </w:rPr>
              <w:t>Miles of Range Per Hour of Charging (RPH)</w:t>
            </w:r>
          </w:p>
        </w:tc>
        <w:tc>
          <w:tcPr>
            <w:tcW w:w="1350" w:type="dxa"/>
          </w:tcPr>
          <w:p w14:paraId="3E523745" w14:textId="77777777" w:rsidR="00885FCB" w:rsidRPr="009E34F8" w:rsidRDefault="00885FCB" w:rsidP="00235E10">
            <w:pPr>
              <w:rPr>
                <w:rFonts w:ascii="Arial" w:hAnsi="Arial" w:cs="Arial"/>
                <w:szCs w:val="24"/>
              </w:rPr>
            </w:pPr>
            <w:r w:rsidRPr="009E34F8">
              <w:rPr>
                <w:rFonts w:ascii="Arial" w:hAnsi="Arial" w:cs="Arial"/>
                <w:szCs w:val="24"/>
              </w:rPr>
              <w:t>5 RPH</w:t>
            </w:r>
          </w:p>
        </w:tc>
        <w:tc>
          <w:tcPr>
            <w:tcW w:w="1980" w:type="dxa"/>
          </w:tcPr>
          <w:p w14:paraId="731F1AE5" w14:textId="77777777" w:rsidR="00885FCB" w:rsidRPr="009E34F8" w:rsidRDefault="00885FCB" w:rsidP="00235E10">
            <w:pPr>
              <w:rPr>
                <w:rFonts w:ascii="Arial" w:hAnsi="Arial" w:cs="Arial"/>
                <w:szCs w:val="24"/>
              </w:rPr>
            </w:pPr>
            <w:r w:rsidRPr="009E34F8">
              <w:rPr>
                <w:rFonts w:ascii="Arial" w:hAnsi="Arial" w:cs="Arial"/>
                <w:szCs w:val="24"/>
              </w:rPr>
              <w:t>12 RPH (3.7 kw)</w:t>
            </w:r>
          </w:p>
          <w:p w14:paraId="0B57B250" w14:textId="77777777" w:rsidR="00885FCB" w:rsidRPr="009E34F8" w:rsidRDefault="00885FCB" w:rsidP="00235E10">
            <w:pPr>
              <w:rPr>
                <w:rFonts w:ascii="Arial" w:hAnsi="Arial" w:cs="Arial"/>
                <w:i/>
                <w:iCs/>
                <w:szCs w:val="24"/>
              </w:rPr>
            </w:pPr>
            <w:r w:rsidRPr="009E34F8">
              <w:rPr>
                <w:rFonts w:ascii="Arial" w:hAnsi="Arial" w:cs="Arial"/>
                <w:i/>
                <w:iCs/>
                <w:szCs w:val="24"/>
              </w:rPr>
              <w:t>Range 2.9 – 7.7 kw</w:t>
            </w:r>
          </w:p>
        </w:tc>
        <w:tc>
          <w:tcPr>
            <w:tcW w:w="2070" w:type="dxa"/>
          </w:tcPr>
          <w:p w14:paraId="3E6068ED" w14:textId="77777777" w:rsidR="00885FCB" w:rsidRPr="009E34F8" w:rsidRDefault="00885FCB" w:rsidP="00235E10">
            <w:pPr>
              <w:rPr>
                <w:rFonts w:ascii="Arial" w:hAnsi="Arial" w:cs="Arial"/>
                <w:szCs w:val="24"/>
              </w:rPr>
            </w:pPr>
            <w:r w:rsidRPr="009E34F8">
              <w:rPr>
                <w:rFonts w:ascii="Arial" w:hAnsi="Arial" w:cs="Arial"/>
                <w:szCs w:val="24"/>
              </w:rPr>
              <w:t>100 RPH (24 kw)</w:t>
            </w:r>
          </w:p>
          <w:p w14:paraId="13A618FA" w14:textId="77777777" w:rsidR="00885FCB" w:rsidRPr="009E34F8" w:rsidRDefault="00885FCB" w:rsidP="00235E10">
            <w:pPr>
              <w:rPr>
                <w:rFonts w:ascii="Arial" w:hAnsi="Arial" w:cs="Arial"/>
                <w:szCs w:val="24"/>
              </w:rPr>
            </w:pPr>
            <w:r w:rsidRPr="009E34F8">
              <w:rPr>
                <w:rFonts w:ascii="Arial" w:hAnsi="Arial" w:cs="Arial"/>
                <w:szCs w:val="24"/>
              </w:rPr>
              <w:t>200 RPH (40+ kw)</w:t>
            </w:r>
          </w:p>
        </w:tc>
      </w:tr>
      <w:tr w:rsidR="00885FCB" w:rsidRPr="009E34F8" w14:paraId="368C2C9E" w14:textId="77777777" w:rsidTr="00235E10">
        <w:tc>
          <w:tcPr>
            <w:tcW w:w="2790" w:type="dxa"/>
          </w:tcPr>
          <w:p w14:paraId="65C4F73A" w14:textId="77777777" w:rsidR="00885FCB" w:rsidRPr="009E34F8" w:rsidRDefault="00885FCB" w:rsidP="00235E10">
            <w:pPr>
              <w:rPr>
                <w:rFonts w:ascii="Arial" w:hAnsi="Arial" w:cs="Arial"/>
                <w:szCs w:val="24"/>
              </w:rPr>
            </w:pPr>
            <w:r w:rsidRPr="009E34F8">
              <w:rPr>
                <w:rFonts w:ascii="Arial" w:hAnsi="Arial" w:cs="Arial"/>
                <w:szCs w:val="24"/>
              </w:rPr>
              <w:t>Time to Charge an</w:t>
            </w:r>
          </w:p>
          <w:p w14:paraId="504D4635" w14:textId="77777777" w:rsidR="00885FCB" w:rsidRPr="009E34F8" w:rsidRDefault="00885FCB" w:rsidP="00235E10">
            <w:pPr>
              <w:rPr>
                <w:rFonts w:ascii="Arial" w:hAnsi="Arial" w:cs="Arial"/>
                <w:szCs w:val="24"/>
              </w:rPr>
            </w:pPr>
            <w:r w:rsidRPr="009E34F8">
              <w:rPr>
                <w:rFonts w:ascii="Arial" w:hAnsi="Arial" w:cs="Arial"/>
                <w:szCs w:val="24"/>
              </w:rPr>
              <w:t>80-mile Battery</w:t>
            </w:r>
          </w:p>
        </w:tc>
        <w:tc>
          <w:tcPr>
            <w:tcW w:w="1350" w:type="dxa"/>
          </w:tcPr>
          <w:p w14:paraId="3F8B4CCD" w14:textId="77777777" w:rsidR="00885FCB" w:rsidRPr="009E34F8" w:rsidRDefault="00885FCB" w:rsidP="00235E10">
            <w:pPr>
              <w:rPr>
                <w:rFonts w:ascii="Arial" w:hAnsi="Arial" w:cs="Arial"/>
                <w:szCs w:val="24"/>
              </w:rPr>
            </w:pPr>
            <w:r w:rsidRPr="009E34F8">
              <w:rPr>
                <w:rFonts w:ascii="Arial" w:hAnsi="Arial" w:cs="Arial"/>
                <w:i/>
                <w:iCs/>
                <w:szCs w:val="24"/>
              </w:rPr>
              <w:t>Overnight</w:t>
            </w:r>
            <w:r w:rsidRPr="009E34F8">
              <w:rPr>
                <w:rFonts w:ascii="Arial" w:hAnsi="Arial" w:cs="Arial"/>
                <w:szCs w:val="24"/>
              </w:rPr>
              <w:t xml:space="preserve"> 16 hours</w:t>
            </w:r>
          </w:p>
        </w:tc>
        <w:tc>
          <w:tcPr>
            <w:tcW w:w="1980" w:type="dxa"/>
          </w:tcPr>
          <w:p w14:paraId="5E0E1D60" w14:textId="77777777" w:rsidR="00885FCB" w:rsidRPr="009E34F8" w:rsidRDefault="00885FCB" w:rsidP="00235E10">
            <w:pPr>
              <w:rPr>
                <w:rFonts w:ascii="Arial" w:hAnsi="Arial" w:cs="Arial"/>
                <w:i/>
                <w:iCs/>
                <w:szCs w:val="24"/>
              </w:rPr>
            </w:pPr>
            <w:r w:rsidRPr="009E34F8">
              <w:rPr>
                <w:rFonts w:ascii="Arial" w:hAnsi="Arial" w:cs="Arial"/>
                <w:i/>
                <w:iCs/>
                <w:szCs w:val="24"/>
              </w:rPr>
              <w:t>Longer Stop</w:t>
            </w:r>
          </w:p>
          <w:p w14:paraId="5E89E1F6" w14:textId="77777777" w:rsidR="00885FCB" w:rsidRPr="009E34F8" w:rsidRDefault="00885FCB" w:rsidP="00235E10">
            <w:pPr>
              <w:rPr>
                <w:rFonts w:ascii="Arial" w:hAnsi="Arial" w:cs="Arial"/>
                <w:szCs w:val="24"/>
              </w:rPr>
            </w:pPr>
            <w:r w:rsidRPr="009E34F8">
              <w:rPr>
                <w:rFonts w:ascii="Arial" w:hAnsi="Arial" w:cs="Arial"/>
                <w:szCs w:val="24"/>
              </w:rPr>
              <w:t>3.5 Hours</w:t>
            </w:r>
          </w:p>
        </w:tc>
        <w:tc>
          <w:tcPr>
            <w:tcW w:w="2070" w:type="dxa"/>
          </w:tcPr>
          <w:p w14:paraId="6AAE7E65" w14:textId="77777777" w:rsidR="00885FCB" w:rsidRPr="009E34F8" w:rsidRDefault="00885FCB" w:rsidP="00235E10">
            <w:pPr>
              <w:rPr>
                <w:rFonts w:ascii="Arial" w:hAnsi="Arial" w:cs="Arial"/>
                <w:i/>
                <w:iCs/>
                <w:szCs w:val="24"/>
              </w:rPr>
            </w:pPr>
            <w:r w:rsidRPr="009E34F8">
              <w:rPr>
                <w:rFonts w:ascii="Arial" w:hAnsi="Arial" w:cs="Arial"/>
                <w:i/>
                <w:iCs/>
                <w:szCs w:val="24"/>
              </w:rPr>
              <w:t>Quick Stop</w:t>
            </w:r>
          </w:p>
          <w:p w14:paraId="4333D556" w14:textId="77777777" w:rsidR="00885FCB" w:rsidRPr="009E34F8" w:rsidRDefault="00885FCB" w:rsidP="00235E10">
            <w:pPr>
              <w:rPr>
                <w:rFonts w:ascii="Arial" w:hAnsi="Arial" w:cs="Arial"/>
                <w:szCs w:val="24"/>
              </w:rPr>
            </w:pPr>
            <w:r w:rsidRPr="009E34F8">
              <w:rPr>
                <w:rFonts w:ascii="Arial" w:hAnsi="Arial" w:cs="Arial"/>
                <w:szCs w:val="24"/>
              </w:rPr>
              <w:t>0.5 Hours</w:t>
            </w:r>
          </w:p>
        </w:tc>
      </w:tr>
    </w:tbl>
    <w:p w14:paraId="3A988436" w14:textId="77777777" w:rsidR="00885FCB" w:rsidRPr="009E34F8" w:rsidRDefault="00885FCB" w:rsidP="005B478C">
      <w:pPr>
        <w:jc w:val="both"/>
        <w:rPr>
          <w:rFonts w:ascii="Arial" w:hAnsi="Arial" w:cs="Arial"/>
          <w:bCs/>
          <w:szCs w:val="24"/>
        </w:rPr>
      </w:pPr>
    </w:p>
    <w:p w14:paraId="0814EB28" w14:textId="77777777" w:rsidR="00885FCB" w:rsidRPr="009E34F8" w:rsidRDefault="00885FCB" w:rsidP="00CF1465">
      <w:pPr>
        <w:jc w:val="both"/>
        <w:rPr>
          <w:rFonts w:ascii="Arial" w:hAnsi="Arial" w:cs="Arial"/>
          <w:bCs/>
          <w:szCs w:val="24"/>
        </w:rPr>
      </w:pPr>
      <w:r w:rsidRPr="009E34F8">
        <w:rPr>
          <w:rFonts w:ascii="Arial" w:hAnsi="Arial" w:cs="Arial"/>
          <w:bCs/>
          <w:szCs w:val="24"/>
        </w:rPr>
        <w:t>The report states that Level</w:t>
      </w:r>
      <w:r w:rsidR="006E3DEF">
        <w:rPr>
          <w:rFonts w:ascii="Arial" w:hAnsi="Arial" w:cs="Arial"/>
          <w:bCs/>
          <w:szCs w:val="24"/>
        </w:rPr>
        <w:t>-</w:t>
      </w:r>
      <w:r w:rsidRPr="009E34F8">
        <w:rPr>
          <w:rFonts w:ascii="Arial" w:hAnsi="Arial" w:cs="Arial"/>
          <w:bCs/>
          <w:szCs w:val="24"/>
        </w:rPr>
        <w:t xml:space="preserve">1 chargers, due to their longer charge times, are less suitable for multifamily and commercial charging than the other levels. </w:t>
      </w:r>
      <w:r w:rsidR="007F31C4" w:rsidRPr="009E34F8">
        <w:rPr>
          <w:rFonts w:ascii="Arial" w:hAnsi="Arial" w:cs="Arial"/>
          <w:bCs/>
          <w:szCs w:val="24"/>
        </w:rPr>
        <w:t>Additionally, the report states that, while Level-2 chargers are largely standardized across vehicles, there is no one accepted Level-3 charger at this point. The report concludes that targeting installation of Level-2 charging should be the County's priority.</w:t>
      </w:r>
    </w:p>
    <w:p w14:paraId="258E0159" w14:textId="77777777" w:rsidR="007F31C4" w:rsidRPr="009E34F8" w:rsidRDefault="007F31C4" w:rsidP="00CF1465">
      <w:pPr>
        <w:jc w:val="both"/>
        <w:rPr>
          <w:rFonts w:ascii="Arial" w:hAnsi="Arial" w:cs="Arial"/>
          <w:bCs/>
          <w:szCs w:val="24"/>
        </w:rPr>
      </w:pPr>
    </w:p>
    <w:p w14:paraId="53D6866D" w14:textId="77777777" w:rsidR="007F31C4" w:rsidRPr="009E34F8" w:rsidRDefault="007C6AB8" w:rsidP="00CF1465">
      <w:pPr>
        <w:jc w:val="both"/>
        <w:rPr>
          <w:rFonts w:ascii="Arial" w:hAnsi="Arial" w:cs="Arial"/>
          <w:bCs/>
          <w:szCs w:val="24"/>
        </w:rPr>
      </w:pPr>
      <w:r w:rsidRPr="009E34F8">
        <w:rPr>
          <w:rFonts w:ascii="Arial" w:hAnsi="Arial" w:cs="Arial"/>
          <w:bCs/>
          <w:i/>
          <w:iCs/>
          <w:szCs w:val="24"/>
        </w:rPr>
        <w:lastRenderedPageBreak/>
        <w:t xml:space="preserve">Electric Vehicle Supply Equipment. </w:t>
      </w:r>
      <w:r w:rsidR="009E34F8" w:rsidRPr="009E34F8">
        <w:rPr>
          <w:rFonts w:ascii="Arial" w:hAnsi="Arial" w:cs="Arial"/>
          <w:bCs/>
          <w:szCs w:val="24"/>
        </w:rPr>
        <w:t>The report discussed three types of EV parking spaces, each with a different level of EV infrastructure:</w:t>
      </w:r>
    </w:p>
    <w:p w14:paraId="67EFEE4B" w14:textId="77777777" w:rsidR="009E34F8" w:rsidRPr="009E34F8" w:rsidRDefault="009E34F8" w:rsidP="00CF1465">
      <w:pPr>
        <w:jc w:val="both"/>
        <w:rPr>
          <w:rFonts w:ascii="Arial" w:hAnsi="Arial" w:cs="Arial"/>
          <w:bCs/>
          <w:szCs w:val="24"/>
        </w:rPr>
      </w:pPr>
    </w:p>
    <w:p w14:paraId="7A95A642" w14:textId="77777777" w:rsidR="009E34F8" w:rsidRPr="009E34F8" w:rsidRDefault="009E34F8" w:rsidP="009E34F8">
      <w:pPr>
        <w:pStyle w:val="ListParagraph0"/>
        <w:numPr>
          <w:ilvl w:val="0"/>
          <w:numId w:val="48"/>
        </w:numPr>
        <w:spacing w:after="120"/>
        <w:jc w:val="both"/>
        <w:rPr>
          <w:rFonts w:ascii="Arial" w:hAnsi="Arial" w:cs="Arial"/>
        </w:rPr>
      </w:pPr>
      <w:r w:rsidRPr="009E34F8">
        <w:rPr>
          <w:rFonts w:ascii="Arial" w:hAnsi="Arial" w:cs="Arial"/>
        </w:rPr>
        <w:t>EV</w:t>
      </w:r>
      <w:r w:rsidR="00821054">
        <w:rPr>
          <w:rFonts w:ascii="Arial" w:hAnsi="Arial" w:cs="Arial"/>
        </w:rPr>
        <w:t>-</w:t>
      </w:r>
      <w:r w:rsidRPr="009E34F8">
        <w:rPr>
          <w:rFonts w:ascii="Arial" w:hAnsi="Arial" w:cs="Arial"/>
        </w:rPr>
        <w:t xml:space="preserve">Capable Space: Electrical panel </w:t>
      </w:r>
      <w:r w:rsidRPr="006E3DEF">
        <w:rPr>
          <w:rFonts w:ascii="Arial" w:hAnsi="Arial" w:cs="Arial"/>
        </w:rPr>
        <w:t>capacity and space to</w:t>
      </w:r>
      <w:r w:rsidRPr="009E34F8">
        <w:rPr>
          <w:rFonts w:ascii="Arial" w:hAnsi="Arial" w:cs="Arial"/>
        </w:rPr>
        <w:t xml:space="preserve"> support a minimum 40-ampere, 208/240-volt branch circuit for each EV parking space, and the installation of raceways, both underground and surface mounted, to support the EVSE.</w:t>
      </w:r>
    </w:p>
    <w:p w14:paraId="5A182B36" w14:textId="77777777" w:rsidR="009E34F8" w:rsidRPr="009E34F8" w:rsidRDefault="009E34F8" w:rsidP="009E34F8">
      <w:pPr>
        <w:pStyle w:val="ListParagraph0"/>
        <w:numPr>
          <w:ilvl w:val="0"/>
          <w:numId w:val="48"/>
        </w:numPr>
        <w:spacing w:after="120"/>
        <w:jc w:val="both"/>
        <w:rPr>
          <w:rFonts w:ascii="Arial" w:hAnsi="Arial" w:cs="Arial"/>
        </w:rPr>
      </w:pPr>
      <w:r w:rsidRPr="009E34F8">
        <w:rPr>
          <w:rFonts w:ascii="Arial" w:hAnsi="Arial" w:cs="Arial"/>
        </w:rPr>
        <w:t>EV-Ready Space: A parking space that is provided with a minimum 208/240-volt dedicated branch circuit for electric vehicle supply equipment that is terminated at a receptacle, junction box or electric vehicle supply equipment within the parking space in order to allow for future installation of electric vehicle supply equipment.</w:t>
      </w:r>
    </w:p>
    <w:p w14:paraId="6C3E8C8F" w14:textId="77777777" w:rsidR="009E34F8" w:rsidRDefault="009E34F8" w:rsidP="009E34F8">
      <w:pPr>
        <w:pStyle w:val="ListParagraph0"/>
        <w:numPr>
          <w:ilvl w:val="0"/>
          <w:numId w:val="48"/>
        </w:numPr>
        <w:jc w:val="both"/>
        <w:rPr>
          <w:rFonts w:ascii="Arial" w:hAnsi="Arial" w:cs="Arial"/>
          <w:color w:val="000000"/>
          <w:shd w:val="clear" w:color="auto" w:fill="FFFFFF"/>
        </w:rPr>
      </w:pPr>
      <w:r w:rsidRPr="009E34F8">
        <w:rPr>
          <w:rFonts w:ascii="Arial" w:hAnsi="Arial" w:cs="Arial"/>
        </w:rPr>
        <w:t xml:space="preserve">Electric Vehicle Supply Equipment (EVSE) Parking Space: </w:t>
      </w:r>
      <w:r w:rsidRPr="009E34F8">
        <w:rPr>
          <w:rFonts w:ascii="Arial" w:hAnsi="Arial" w:cs="Arial"/>
          <w:color w:val="000000"/>
          <w:shd w:val="clear" w:color="auto" w:fill="FFFFFF"/>
        </w:rPr>
        <w:t xml:space="preserve">The conductors, including the ungrounded, </w:t>
      </w:r>
      <w:r w:rsidRPr="009E34F8">
        <w:rPr>
          <w:rFonts w:ascii="Arial" w:hAnsi="Arial" w:cs="Arial"/>
        </w:rPr>
        <w:t xml:space="preserve">grounded, and equipment grounding conductors, and the electric vehicle connectors, attachment </w:t>
      </w:r>
      <w:r w:rsidRPr="009E34F8">
        <w:rPr>
          <w:rFonts w:ascii="Arial" w:hAnsi="Arial" w:cs="Arial"/>
        </w:rPr>
        <w:tab/>
        <w:t>plugs, personnel protection system,  and all other fittings, devices, power outlets, or</w:t>
      </w:r>
      <w:r w:rsidRPr="009E34F8">
        <w:rPr>
          <w:rFonts w:ascii="Arial" w:hAnsi="Arial" w:cs="Arial"/>
          <w:color w:val="000000"/>
          <w:shd w:val="clear" w:color="auto" w:fill="FFFFFF"/>
        </w:rPr>
        <w:t xml:space="preserve"> apparatus installed specifically for the purpose of transferring energy between the premises' wiring and the electric vehicle.</w:t>
      </w:r>
    </w:p>
    <w:p w14:paraId="36A330E7" w14:textId="77777777" w:rsidR="00441071" w:rsidRDefault="00441071" w:rsidP="00441071">
      <w:pPr>
        <w:pStyle w:val="ListParagraph0"/>
        <w:jc w:val="both"/>
        <w:rPr>
          <w:rFonts w:ascii="Arial" w:hAnsi="Arial" w:cs="Arial"/>
          <w:color w:val="000000"/>
          <w:shd w:val="clear" w:color="auto" w:fill="FFFFFF"/>
        </w:rPr>
      </w:pPr>
    </w:p>
    <w:p w14:paraId="2D97D793" w14:textId="77777777" w:rsidR="00441071" w:rsidRDefault="00441071" w:rsidP="00441071">
      <w:pPr>
        <w:jc w:val="both"/>
        <w:rPr>
          <w:rFonts w:ascii="Arial" w:hAnsi="Arial" w:cs="Arial"/>
          <w:color w:val="000000"/>
          <w:szCs w:val="24"/>
          <w:shd w:val="clear" w:color="auto" w:fill="FFFFFF"/>
        </w:rPr>
      </w:pPr>
      <w:r w:rsidRPr="009E34F8">
        <w:rPr>
          <w:rFonts w:ascii="Arial" w:hAnsi="Arial" w:cs="Arial"/>
          <w:color w:val="000000"/>
          <w:szCs w:val="24"/>
          <w:shd w:val="clear" w:color="auto" w:fill="FFFFFF"/>
        </w:rPr>
        <w:t xml:space="preserve">As the bullets above show, an EVSE space is a parking space that </w:t>
      </w:r>
      <w:r>
        <w:rPr>
          <w:rFonts w:ascii="Arial" w:hAnsi="Arial" w:cs="Arial"/>
          <w:color w:val="000000"/>
          <w:szCs w:val="24"/>
          <w:shd w:val="clear" w:color="auto" w:fill="FFFFFF"/>
        </w:rPr>
        <w:t xml:space="preserve">has all EVSE installed, and which </w:t>
      </w:r>
      <w:r w:rsidRPr="009E34F8">
        <w:rPr>
          <w:rFonts w:ascii="Arial" w:hAnsi="Arial" w:cs="Arial"/>
          <w:color w:val="000000"/>
          <w:szCs w:val="24"/>
          <w:shd w:val="clear" w:color="auto" w:fill="FFFFFF"/>
        </w:rPr>
        <w:t xml:space="preserve">a person can immediately pull into and charge their vehicle. EV-Ready </w:t>
      </w:r>
      <w:r>
        <w:rPr>
          <w:rFonts w:ascii="Arial" w:hAnsi="Arial" w:cs="Arial"/>
          <w:color w:val="000000"/>
          <w:szCs w:val="24"/>
          <w:shd w:val="clear" w:color="auto" w:fill="FFFFFF"/>
        </w:rPr>
        <w:t>spaces, on the other hand, have the electrical infrastructure for the space installed, but do not have an actual charger installed. EV-capable would designate that the electrical system has capacity to add EVSE, and enclosed conduit raceways that can later be wired, but no wiring in place.</w:t>
      </w:r>
      <w:r w:rsidRPr="009E34F8">
        <w:rPr>
          <w:rFonts w:ascii="Arial" w:hAnsi="Arial" w:cs="Arial"/>
          <w:color w:val="000000"/>
          <w:szCs w:val="24"/>
          <w:shd w:val="clear" w:color="auto" w:fill="FFFFFF"/>
        </w:rPr>
        <w:t xml:space="preserve"> </w:t>
      </w:r>
    </w:p>
    <w:p w14:paraId="3535EB15" w14:textId="77777777" w:rsidR="00441071" w:rsidRDefault="00441071" w:rsidP="00441071">
      <w:pPr>
        <w:jc w:val="both"/>
        <w:rPr>
          <w:rFonts w:ascii="Arial" w:hAnsi="Arial" w:cs="Arial"/>
          <w:color w:val="000000"/>
          <w:shd w:val="clear" w:color="auto" w:fill="FFFFFF"/>
        </w:rPr>
      </w:pPr>
    </w:p>
    <w:p w14:paraId="708865CF" w14:textId="77777777" w:rsidR="00441071" w:rsidRPr="009E34F8" w:rsidRDefault="00441071" w:rsidP="00441071">
      <w:pPr>
        <w:jc w:val="both"/>
        <w:rPr>
          <w:rFonts w:ascii="Arial" w:hAnsi="Arial" w:cs="Arial"/>
          <w:color w:val="000000"/>
          <w:szCs w:val="24"/>
          <w:shd w:val="clear" w:color="auto" w:fill="FFFFFF"/>
        </w:rPr>
      </w:pPr>
      <w:r>
        <w:rPr>
          <w:rFonts w:ascii="Arial" w:hAnsi="Arial" w:cs="Arial"/>
          <w:color w:val="000000"/>
          <w:szCs w:val="24"/>
          <w:shd w:val="clear" w:color="auto" w:fill="FFFFFF"/>
        </w:rPr>
        <w:t>The report states that, because EV-capable spaces pass the majority of the cost on to future actors, the Executive recommends focusing on EVSE and EV-ready spaces, and that these should be installed at the time of construction to avoid the increased costs that would be involved in retrofitting existing development with EV infrastructure. Further discussion of cost considerations is found on pages 17-19 of the report.</w:t>
      </w:r>
    </w:p>
    <w:p w14:paraId="3BB6A698" w14:textId="77777777" w:rsidR="00441071" w:rsidRDefault="00441071" w:rsidP="00821054">
      <w:pPr>
        <w:jc w:val="both"/>
        <w:rPr>
          <w:rFonts w:ascii="Arial" w:hAnsi="Arial" w:cs="Arial"/>
          <w:color w:val="000000"/>
          <w:shd w:val="clear" w:color="auto" w:fill="FFFFFF"/>
        </w:rPr>
      </w:pPr>
    </w:p>
    <w:p w14:paraId="6921DA60" w14:textId="77777777" w:rsidR="00821054" w:rsidRDefault="00821054" w:rsidP="00821054">
      <w:pPr>
        <w:jc w:val="both"/>
        <w:rPr>
          <w:rFonts w:ascii="Arial" w:hAnsi="Arial" w:cs="Arial"/>
          <w:color w:val="000000"/>
          <w:shd w:val="clear" w:color="auto" w:fill="FFFFFF"/>
        </w:rPr>
      </w:pPr>
      <w:r>
        <w:rPr>
          <w:rFonts w:ascii="Arial" w:hAnsi="Arial" w:cs="Arial"/>
          <w:i/>
          <w:iCs/>
          <w:color w:val="000000"/>
          <w:shd w:val="clear" w:color="auto" w:fill="FFFFFF"/>
        </w:rPr>
        <w:t>Incentive</w:t>
      </w:r>
      <w:r w:rsidR="00BC38B9">
        <w:rPr>
          <w:rFonts w:ascii="Arial" w:hAnsi="Arial" w:cs="Arial"/>
          <w:i/>
          <w:iCs/>
          <w:color w:val="000000"/>
          <w:shd w:val="clear" w:color="auto" w:fill="FFFFFF"/>
        </w:rPr>
        <w:t xml:space="preserve"> </w:t>
      </w:r>
      <w:r>
        <w:rPr>
          <w:rFonts w:ascii="Arial" w:hAnsi="Arial" w:cs="Arial"/>
          <w:i/>
          <w:iCs/>
          <w:color w:val="000000"/>
          <w:shd w:val="clear" w:color="auto" w:fill="FFFFFF"/>
        </w:rPr>
        <w:t xml:space="preserve">Options. </w:t>
      </w:r>
      <w:r w:rsidR="00AA4F28">
        <w:rPr>
          <w:rFonts w:ascii="Arial" w:hAnsi="Arial" w:cs="Arial"/>
          <w:color w:val="000000"/>
          <w:shd w:val="clear" w:color="auto" w:fill="FFFFFF"/>
        </w:rPr>
        <w:t xml:space="preserve">As required by K.C.C. 18.22.010.F.2., the report discusses both incentive and code requirement options to increase EV infrastructure in unincorporated King County. According to the report, most </w:t>
      </w:r>
      <w:r w:rsidR="00441071">
        <w:rPr>
          <w:rFonts w:ascii="Arial" w:hAnsi="Arial" w:cs="Arial"/>
          <w:color w:val="000000"/>
          <w:shd w:val="clear" w:color="auto" w:fill="FFFFFF"/>
        </w:rPr>
        <w:t xml:space="preserve">fiscal </w:t>
      </w:r>
      <w:r w:rsidR="00AA4F28">
        <w:rPr>
          <w:rFonts w:ascii="Arial" w:hAnsi="Arial" w:cs="Arial"/>
          <w:color w:val="000000"/>
          <w:shd w:val="clear" w:color="auto" w:fill="FFFFFF"/>
        </w:rPr>
        <w:t xml:space="preserve">incentive options that executive staff found during their research were provided either by the federal government, state government, or </w:t>
      </w:r>
      <w:r w:rsidR="00441071">
        <w:rPr>
          <w:rFonts w:ascii="Arial" w:hAnsi="Arial" w:cs="Arial"/>
          <w:color w:val="000000"/>
          <w:shd w:val="clear" w:color="auto" w:fill="FFFFFF"/>
        </w:rPr>
        <w:t>municipal-owned</w:t>
      </w:r>
      <w:r w:rsidR="00AA4F28">
        <w:rPr>
          <w:rFonts w:ascii="Arial" w:hAnsi="Arial" w:cs="Arial"/>
          <w:color w:val="000000"/>
          <w:shd w:val="clear" w:color="auto" w:fill="FFFFFF"/>
        </w:rPr>
        <w:t xml:space="preserve"> utilities. These </w:t>
      </w:r>
      <w:r w:rsidR="00441071">
        <w:rPr>
          <w:rFonts w:ascii="Arial" w:hAnsi="Arial" w:cs="Arial"/>
          <w:color w:val="000000"/>
          <w:shd w:val="clear" w:color="auto" w:fill="FFFFFF"/>
        </w:rPr>
        <w:t>often</w:t>
      </w:r>
      <w:r w:rsidR="00AA4F28">
        <w:rPr>
          <w:rFonts w:ascii="Arial" w:hAnsi="Arial" w:cs="Arial"/>
          <w:color w:val="000000"/>
          <w:shd w:val="clear" w:color="auto" w:fill="FFFFFF"/>
        </w:rPr>
        <w:t xml:space="preserve"> t</w:t>
      </w:r>
      <w:r w:rsidR="00441071">
        <w:rPr>
          <w:rFonts w:ascii="Arial" w:hAnsi="Arial" w:cs="Arial"/>
          <w:color w:val="000000"/>
          <w:shd w:val="clear" w:color="auto" w:fill="FFFFFF"/>
        </w:rPr>
        <w:t>ake</w:t>
      </w:r>
      <w:r w:rsidR="00AA4F28">
        <w:rPr>
          <w:rFonts w:ascii="Arial" w:hAnsi="Arial" w:cs="Arial"/>
          <w:color w:val="000000"/>
          <w:shd w:val="clear" w:color="auto" w:fill="FFFFFF"/>
        </w:rPr>
        <w:t xml:space="preserve"> the form of rebates or grants for installation of EVSE installation, sometimes with larger incentives for certain types of sites, such as affordable housing and schools. </w:t>
      </w:r>
    </w:p>
    <w:p w14:paraId="52C387D0" w14:textId="77777777" w:rsidR="00441071" w:rsidRDefault="00441071" w:rsidP="00821054">
      <w:pPr>
        <w:jc w:val="both"/>
        <w:rPr>
          <w:rFonts w:ascii="Arial" w:hAnsi="Arial" w:cs="Arial"/>
          <w:color w:val="000000"/>
          <w:shd w:val="clear" w:color="auto" w:fill="FFFFFF"/>
        </w:rPr>
      </w:pPr>
    </w:p>
    <w:p w14:paraId="323E28D4" w14:textId="77777777" w:rsidR="00441071" w:rsidRDefault="00441071" w:rsidP="00821054">
      <w:pPr>
        <w:jc w:val="both"/>
        <w:rPr>
          <w:rFonts w:ascii="Arial" w:hAnsi="Arial" w:cs="Arial"/>
          <w:color w:val="000000"/>
          <w:shd w:val="clear" w:color="auto" w:fill="FFFFFF"/>
        </w:rPr>
      </w:pPr>
      <w:r>
        <w:rPr>
          <w:rFonts w:ascii="Arial" w:hAnsi="Arial" w:cs="Arial"/>
          <w:color w:val="000000"/>
          <w:shd w:val="clear" w:color="auto" w:fill="FFFFFF"/>
        </w:rPr>
        <w:t xml:space="preserve">In addition to fiscal incentives, the report notes that some jurisdictions provide non-fiscal incentives. These include allowing an EVSE space to count as two spaces for the purpose of calculating parking minimums, or other parking reduction incentives. </w:t>
      </w:r>
      <w:r w:rsidR="00BC38B9">
        <w:rPr>
          <w:rFonts w:ascii="Arial" w:hAnsi="Arial" w:cs="Arial"/>
          <w:color w:val="000000"/>
          <w:shd w:val="clear" w:color="auto" w:fill="FFFFFF"/>
        </w:rPr>
        <w:t>The report does not include information on the relative success of other entity's incentive programs. The report also considers the theoretical possibility of other incentives such as density bonuses or expedited permitting review, which were not found to be used in other jurisdictions but could potentially be applied.</w:t>
      </w:r>
    </w:p>
    <w:p w14:paraId="15B126EF" w14:textId="77777777" w:rsidR="00BC38B9" w:rsidRDefault="00BC38B9" w:rsidP="00821054">
      <w:pPr>
        <w:jc w:val="both"/>
        <w:rPr>
          <w:rFonts w:ascii="Arial" w:hAnsi="Arial" w:cs="Arial"/>
          <w:color w:val="000000"/>
          <w:shd w:val="clear" w:color="auto" w:fill="FFFFFF"/>
        </w:rPr>
      </w:pPr>
    </w:p>
    <w:p w14:paraId="482F511A" w14:textId="77777777" w:rsidR="00BC38B9" w:rsidRDefault="00BC38B9" w:rsidP="00821054">
      <w:pPr>
        <w:jc w:val="both"/>
        <w:rPr>
          <w:rFonts w:ascii="Arial" w:hAnsi="Arial" w:cs="Arial"/>
          <w:color w:val="000000"/>
          <w:shd w:val="clear" w:color="auto" w:fill="FFFFFF"/>
        </w:rPr>
      </w:pPr>
      <w:r>
        <w:rPr>
          <w:rFonts w:ascii="Arial" w:hAnsi="Arial" w:cs="Arial"/>
          <w:color w:val="000000"/>
          <w:shd w:val="clear" w:color="auto" w:fill="FFFFFF"/>
        </w:rPr>
        <w:t>The report concludes that voluntary incentives would result in uneven deployment of EVSE</w:t>
      </w:r>
      <w:r w:rsidR="00EF4A54">
        <w:rPr>
          <w:rFonts w:ascii="Arial" w:hAnsi="Arial" w:cs="Arial"/>
          <w:color w:val="000000"/>
          <w:shd w:val="clear" w:color="auto" w:fill="FFFFFF"/>
        </w:rPr>
        <w:t>, and that many developers would likely "</w:t>
      </w:r>
      <w:r w:rsidR="00EF4A54" w:rsidRPr="00EF4A54">
        <w:rPr>
          <w:rFonts w:ascii="Arial" w:hAnsi="Arial" w:cs="Arial"/>
          <w:color w:val="000000"/>
          <w:shd w:val="clear" w:color="auto" w:fill="FFFFFF"/>
        </w:rPr>
        <w:t>continue the current market standard of deferring costs to a later date, where the higher cost of retrofits could still act as a barrier to increased EV charger installation</w:t>
      </w:r>
      <w:r w:rsidR="00EF4A54">
        <w:rPr>
          <w:rFonts w:ascii="Arial" w:hAnsi="Arial" w:cs="Arial"/>
          <w:color w:val="000000"/>
          <w:shd w:val="clear" w:color="auto" w:fill="FFFFFF"/>
        </w:rPr>
        <w:t>." The report also notes that an uneven deployment might perpetuate inequities in access to EV charging.</w:t>
      </w:r>
    </w:p>
    <w:p w14:paraId="5A4727B6" w14:textId="77777777" w:rsidR="00EF4A54" w:rsidRDefault="00EF4A54" w:rsidP="00821054">
      <w:pPr>
        <w:jc w:val="both"/>
        <w:rPr>
          <w:rFonts w:ascii="Arial" w:hAnsi="Arial" w:cs="Arial"/>
          <w:color w:val="000000"/>
          <w:shd w:val="clear" w:color="auto" w:fill="FFFFFF"/>
        </w:rPr>
      </w:pPr>
    </w:p>
    <w:p w14:paraId="76CB6614" w14:textId="77777777" w:rsidR="00EF4A54" w:rsidRDefault="00EF4A54" w:rsidP="00821054">
      <w:pPr>
        <w:jc w:val="both"/>
        <w:rPr>
          <w:rFonts w:ascii="Arial" w:hAnsi="Arial" w:cs="Arial"/>
          <w:color w:val="000000"/>
          <w:shd w:val="clear" w:color="auto" w:fill="FFFFFF"/>
        </w:rPr>
      </w:pPr>
      <w:r>
        <w:rPr>
          <w:rFonts w:ascii="Arial" w:hAnsi="Arial" w:cs="Arial"/>
          <w:i/>
          <w:iCs/>
          <w:color w:val="000000"/>
          <w:shd w:val="clear" w:color="auto" w:fill="FFFFFF"/>
        </w:rPr>
        <w:t>Code Requirement Options.</w:t>
      </w:r>
      <w:r>
        <w:rPr>
          <w:rFonts w:ascii="Arial" w:hAnsi="Arial" w:cs="Arial"/>
          <w:color w:val="000000"/>
          <w:shd w:val="clear" w:color="auto" w:fill="FFFFFF"/>
        </w:rPr>
        <w:t xml:space="preserve"> The report states that the Executive's review of other local governments' programs found that more local governments require </w:t>
      </w:r>
      <w:r w:rsidR="001E7F70">
        <w:rPr>
          <w:rFonts w:ascii="Arial" w:hAnsi="Arial" w:cs="Arial"/>
          <w:color w:val="000000"/>
          <w:shd w:val="clear" w:color="auto" w:fill="FFFFFF"/>
        </w:rPr>
        <w:t>installation of</w:t>
      </w:r>
      <w:r>
        <w:rPr>
          <w:rFonts w:ascii="Arial" w:hAnsi="Arial" w:cs="Arial"/>
          <w:color w:val="000000"/>
          <w:shd w:val="clear" w:color="auto" w:fill="FFFFFF"/>
        </w:rPr>
        <w:t xml:space="preserve"> EV infrastructure at the time of development rather than offering rebates. Due to the predominance of home charging, the report states that expanding EV charging at residential uses should be a priority. Tables 3 and 4 below show required EV infrastructure for multifamily residential and nonresidential development in </w:t>
      </w:r>
      <w:r w:rsidR="001E7F70">
        <w:rPr>
          <w:rFonts w:ascii="Arial" w:hAnsi="Arial" w:cs="Arial"/>
          <w:color w:val="000000"/>
          <w:shd w:val="clear" w:color="auto" w:fill="FFFFFF"/>
        </w:rPr>
        <w:t>several</w:t>
      </w:r>
      <w:r>
        <w:rPr>
          <w:rFonts w:ascii="Arial" w:hAnsi="Arial" w:cs="Arial"/>
          <w:color w:val="000000"/>
          <w:shd w:val="clear" w:color="auto" w:fill="FFFFFF"/>
        </w:rPr>
        <w:t xml:space="preserve"> other jurisdictions. These are not exhaustive.</w:t>
      </w:r>
    </w:p>
    <w:p w14:paraId="7417FBDB" w14:textId="77777777" w:rsidR="00EF4A54" w:rsidRDefault="00EF4A54" w:rsidP="00821054">
      <w:pPr>
        <w:jc w:val="both"/>
        <w:rPr>
          <w:rFonts w:ascii="Arial" w:hAnsi="Arial" w:cs="Arial"/>
          <w:color w:val="000000"/>
          <w:shd w:val="clear" w:color="auto" w:fill="FFFFFF"/>
        </w:rPr>
      </w:pPr>
    </w:p>
    <w:p w14:paraId="572604A8" w14:textId="77777777" w:rsidR="00EF4A54" w:rsidRPr="00EF4A54" w:rsidRDefault="00EF4A54" w:rsidP="00EF4A54">
      <w:pPr>
        <w:jc w:val="center"/>
        <w:rPr>
          <w:rFonts w:ascii="Arial" w:hAnsi="Arial" w:cs="Arial"/>
          <w:szCs w:val="24"/>
        </w:rPr>
      </w:pPr>
      <w:r w:rsidRPr="00EF4A54">
        <w:rPr>
          <w:rFonts w:ascii="Arial" w:hAnsi="Arial" w:cs="Arial"/>
          <w:b/>
          <w:bCs/>
          <w:szCs w:val="24"/>
        </w:rPr>
        <w:t>Table 3</w:t>
      </w:r>
      <w:r>
        <w:rPr>
          <w:rFonts w:ascii="Arial" w:hAnsi="Arial" w:cs="Arial"/>
          <w:b/>
          <w:bCs/>
          <w:szCs w:val="24"/>
        </w:rPr>
        <w:t xml:space="preserve">: </w:t>
      </w:r>
      <w:r w:rsidRPr="00EF4A54">
        <w:rPr>
          <w:rFonts w:ascii="Arial" w:hAnsi="Arial" w:cs="Arial"/>
          <w:b/>
          <w:bCs/>
          <w:szCs w:val="24"/>
        </w:rPr>
        <w:t>Multifamily Residential EV Parking Requirements</w:t>
      </w:r>
      <w:r>
        <w:rPr>
          <w:rFonts w:ascii="Arial" w:hAnsi="Arial" w:cs="Arial"/>
          <w:b/>
          <w:bCs/>
          <w:szCs w:val="24"/>
        </w:rPr>
        <w:t xml:space="preserve"> in Other Jurisdictions</w:t>
      </w:r>
      <w:r w:rsidRPr="00EF4A54">
        <w:rPr>
          <w:rStyle w:val="FootnoteReference"/>
          <w:rFonts w:cs="Arial"/>
          <w:szCs w:val="24"/>
        </w:rPr>
        <w:footnoteReference w:id="5"/>
      </w:r>
    </w:p>
    <w:tbl>
      <w:tblPr>
        <w:tblStyle w:val="TableGrid"/>
        <w:tblW w:w="9893" w:type="dxa"/>
        <w:jc w:val="center"/>
        <w:tblLook w:val="04A0" w:firstRow="1" w:lastRow="0" w:firstColumn="1" w:lastColumn="0" w:noHBand="0" w:noVBand="1"/>
      </w:tblPr>
      <w:tblGrid>
        <w:gridCol w:w="2425"/>
        <w:gridCol w:w="3063"/>
        <w:gridCol w:w="1975"/>
        <w:gridCol w:w="2430"/>
      </w:tblGrid>
      <w:tr w:rsidR="00EF4A54" w:rsidRPr="00EF4A54" w14:paraId="370A4C09" w14:textId="77777777" w:rsidTr="00E36AA8">
        <w:trPr>
          <w:tblHeader/>
          <w:jc w:val="center"/>
        </w:trPr>
        <w:tc>
          <w:tcPr>
            <w:tcW w:w="2425" w:type="dxa"/>
            <w:shd w:val="clear" w:color="auto" w:fill="000000" w:themeFill="text1"/>
            <w:vAlign w:val="bottom"/>
          </w:tcPr>
          <w:p w14:paraId="688D83DC" w14:textId="77777777" w:rsidR="00EF4A54" w:rsidRPr="00EF4A54" w:rsidRDefault="00EF4A54" w:rsidP="00235E10">
            <w:pPr>
              <w:spacing w:after="120"/>
              <w:rPr>
                <w:rFonts w:ascii="Arial" w:hAnsi="Arial" w:cs="Arial"/>
                <w:b/>
                <w:bCs/>
                <w:szCs w:val="24"/>
              </w:rPr>
            </w:pPr>
            <w:r w:rsidRPr="00EF4A54">
              <w:rPr>
                <w:rFonts w:ascii="Arial" w:hAnsi="Arial" w:cs="Arial"/>
                <w:b/>
                <w:bCs/>
                <w:szCs w:val="24"/>
              </w:rPr>
              <w:t>Jurisdiction</w:t>
            </w:r>
          </w:p>
        </w:tc>
        <w:tc>
          <w:tcPr>
            <w:tcW w:w="3063" w:type="dxa"/>
            <w:shd w:val="clear" w:color="auto" w:fill="000000" w:themeFill="text1"/>
            <w:vAlign w:val="bottom"/>
          </w:tcPr>
          <w:p w14:paraId="18087F2B" w14:textId="77777777" w:rsidR="00EF4A54" w:rsidRPr="00EF4A54" w:rsidRDefault="00EF4A54" w:rsidP="00235E10">
            <w:pPr>
              <w:spacing w:after="120"/>
              <w:rPr>
                <w:rFonts w:ascii="Arial" w:hAnsi="Arial" w:cs="Arial"/>
                <w:b/>
                <w:bCs/>
                <w:szCs w:val="24"/>
              </w:rPr>
            </w:pPr>
            <w:r w:rsidRPr="00EF4A54">
              <w:rPr>
                <w:rFonts w:ascii="Arial" w:hAnsi="Arial" w:cs="Arial"/>
                <w:b/>
                <w:bCs/>
                <w:szCs w:val="24"/>
              </w:rPr>
              <w:t>EVSE Installed</w:t>
            </w:r>
          </w:p>
        </w:tc>
        <w:tc>
          <w:tcPr>
            <w:tcW w:w="1975" w:type="dxa"/>
            <w:shd w:val="clear" w:color="auto" w:fill="000000" w:themeFill="text1"/>
            <w:vAlign w:val="bottom"/>
          </w:tcPr>
          <w:p w14:paraId="19034BD9" w14:textId="77777777" w:rsidR="00EF4A54" w:rsidRPr="00EF4A54" w:rsidRDefault="00EF4A54" w:rsidP="00235E10">
            <w:pPr>
              <w:spacing w:after="120"/>
              <w:rPr>
                <w:rFonts w:ascii="Arial" w:hAnsi="Arial" w:cs="Arial"/>
                <w:b/>
                <w:bCs/>
                <w:szCs w:val="24"/>
              </w:rPr>
            </w:pPr>
            <w:r w:rsidRPr="00EF4A54">
              <w:rPr>
                <w:rFonts w:ascii="Arial" w:hAnsi="Arial" w:cs="Arial"/>
                <w:b/>
                <w:bCs/>
                <w:szCs w:val="24"/>
              </w:rPr>
              <w:t>EV Ready</w:t>
            </w:r>
          </w:p>
        </w:tc>
        <w:tc>
          <w:tcPr>
            <w:tcW w:w="2430" w:type="dxa"/>
            <w:shd w:val="clear" w:color="auto" w:fill="000000" w:themeFill="text1"/>
            <w:vAlign w:val="bottom"/>
          </w:tcPr>
          <w:p w14:paraId="2E81724A" w14:textId="77777777" w:rsidR="00EF4A54" w:rsidRPr="00EF4A54" w:rsidRDefault="00EF4A54" w:rsidP="00235E10">
            <w:pPr>
              <w:spacing w:after="120"/>
              <w:rPr>
                <w:rFonts w:ascii="Arial" w:hAnsi="Arial" w:cs="Arial"/>
                <w:b/>
                <w:bCs/>
                <w:szCs w:val="24"/>
              </w:rPr>
            </w:pPr>
            <w:r w:rsidRPr="00EF4A54">
              <w:rPr>
                <w:rFonts w:ascii="Arial" w:hAnsi="Arial" w:cs="Arial"/>
                <w:b/>
                <w:bCs/>
                <w:szCs w:val="24"/>
              </w:rPr>
              <w:t>EV-Capable</w:t>
            </w:r>
          </w:p>
        </w:tc>
      </w:tr>
      <w:tr w:rsidR="00EF4A54" w:rsidRPr="00EF4A54" w14:paraId="47C8F5E9" w14:textId="77777777" w:rsidTr="00235E10">
        <w:trPr>
          <w:jc w:val="center"/>
        </w:trPr>
        <w:tc>
          <w:tcPr>
            <w:tcW w:w="2425" w:type="dxa"/>
          </w:tcPr>
          <w:p w14:paraId="2113D63B" w14:textId="77777777" w:rsidR="00EF4A54" w:rsidRPr="00EF4A54" w:rsidRDefault="00EF4A54" w:rsidP="00235E10">
            <w:pPr>
              <w:spacing w:after="120"/>
              <w:rPr>
                <w:rFonts w:ascii="Arial" w:hAnsi="Arial" w:cs="Arial"/>
                <w:szCs w:val="24"/>
              </w:rPr>
            </w:pPr>
            <w:r w:rsidRPr="00EF4A54">
              <w:rPr>
                <w:rFonts w:ascii="Arial" w:hAnsi="Arial" w:cs="Arial"/>
                <w:szCs w:val="24"/>
              </w:rPr>
              <w:t xml:space="preserve">San Jose, CA </w:t>
            </w:r>
          </w:p>
        </w:tc>
        <w:tc>
          <w:tcPr>
            <w:tcW w:w="3063" w:type="dxa"/>
          </w:tcPr>
          <w:p w14:paraId="110E4A90" w14:textId="77777777" w:rsidR="00EF4A54" w:rsidRPr="00EF4A54" w:rsidRDefault="00EF4A54" w:rsidP="00235E10">
            <w:pPr>
              <w:spacing w:after="120"/>
              <w:rPr>
                <w:rFonts w:ascii="Arial" w:hAnsi="Arial" w:cs="Arial"/>
                <w:szCs w:val="24"/>
              </w:rPr>
            </w:pPr>
            <w:r w:rsidRPr="00EF4A54">
              <w:rPr>
                <w:rFonts w:ascii="Arial" w:hAnsi="Arial" w:cs="Arial"/>
                <w:szCs w:val="24"/>
              </w:rPr>
              <w:t>10% Installed</w:t>
            </w:r>
          </w:p>
        </w:tc>
        <w:tc>
          <w:tcPr>
            <w:tcW w:w="1975" w:type="dxa"/>
          </w:tcPr>
          <w:p w14:paraId="6C4F2178" w14:textId="77777777" w:rsidR="00EF4A54" w:rsidRPr="00EF4A54" w:rsidRDefault="00EF4A54" w:rsidP="00235E10">
            <w:pPr>
              <w:rPr>
                <w:rFonts w:ascii="Arial" w:hAnsi="Arial" w:cs="Arial"/>
                <w:szCs w:val="24"/>
              </w:rPr>
            </w:pPr>
            <w:r w:rsidRPr="00EF4A54">
              <w:rPr>
                <w:rFonts w:ascii="Arial" w:hAnsi="Arial" w:cs="Arial"/>
                <w:szCs w:val="24"/>
              </w:rPr>
              <w:t>20% EV Ready</w:t>
            </w:r>
          </w:p>
          <w:p w14:paraId="32C3EA69" w14:textId="77777777" w:rsidR="00EF4A54" w:rsidRPr="00EF4A54" w:rsidRDefault="00EF4A54" w:rsidP="00235E10">
            <w:pPr>
              <w:spacing w:after="120"/>
              <w:rPr>
                <w:rFonts w:ascii="Arial" w:hAnsi="Arial" w:cs="Arial"/>
                <w:szCs w:val="24"/>
              </w:rPr>
            </w:pPr>
            <w:r w:rsidRPr="00EF4A54">
              <w:rPr>
                <w:rFonts w:ascii="Arial" w:hAnsi="Arial" w:cs="Arial"/>
                <w:szCs w:val="24"/>
              </w:rPr>
              <w:t>1 EV Ready/unit</w:t>
            </w:r>
          </w:p>
        </w:tc>
        <w:tc>
          <w:tcPr>
            <w:tcW w:w="2430" w:type="dxa"/>
          </w:tcPr>
          <w:p w14:paraId="210494B0" w14:textId="77777777" w:rsidR="00EF4A54" w:rsidRPr="00EF4A54" w:rsidRDefault="00EF4A54" w:rsidP="00235E10">
            <w:pPr>
              <w:spacing w:after="120"/>
              <w:rPr>
                <w:rFonts w:ascii="Arial" w:hAnsi="Arial" w:cs="Arial"/>
                <w:szCs w:val="24"/>
              </w:rPr>
            </w:pPr>
            <w:r w:rsidRPr="00EF4A54">
              <w:rPr>
                <w:rFonts w:ascii="Arial" w:hAnsi="Arial" w:cs="Arial"/>
                <w:szCs w:val="24"/>
              </w:rPr>
              <w:t>70% EV Capable</w:t>
            </w:r>
          </w:p>
        </w:tc>
      </w:tr>
      <w:tr w:rsidR="00EF4A54" w:rsidRPr="00EF4A54" w14:paraId="3F1D990F" w14:textId="77777777" w:rsidTr="00235E10">
        <w:trPr>
          <w:jc w:val="center"/>
        </w:trPr>
        <w:tc>
          <w:tcPr>
            <w:tcW w:w="2425" w:type="dxa"/>
          </w:tcPr>
          <w:p w14:paraId="038EBA8C" w14:textId="77777777" w:rsidR="00EF4A54" w:rsidRPr="00EF4A54" w:rsidRDefault="00EF4A54" w:rsidP="00235E10">
            <w:pPr>
              <w:spacing w:after="120"/>
              <w:rPr>
                <w:rFonts w:ascii="Arial" w:hAnsi="Arial" w:cs="Arial"/>
                <w:szCs w:val="24"/>
              </w:rPr>
            </w:pPr>
            <w:r w:rsidRPr="00EF4A54">
              <w:rPr>
                <w:rFonts w:ascii="Arial" w:hAnsi="Arial" w:cs="Arial"/>
                <w:szCs w:val="24"/>
              </w:rPr>
              <w:t>Menlo Park, CA</w:t>
            </w:r>
          </w:p>
        </w:tc>
        <w:tc>
          <w:tcPr>
            <w:tcW w:w="3063" w:type="dxa"/>
          </w:tcPr>
          <w:p w14:paraId="15974A9A" w14:textId="77777777" w:rsidR="00EF4A54" w:rsidRPr="00EF4A54" w:rsidRDefault="00EF4A54" w:rsidP="00235E10">
            <w:pPr>
              <w:spacing w:after="120"/>
              <w:rPr>
                <w:rFonts w:ascii="Arial" w:hAnsi="Arial" w:cs="Arial"/>
                <w:szCs w:val="24"/>
              </w:rPr>
            </w:pPr>
            <w:r w:rsidRPr="00EF4A54">
              <w:rPr>
                <w:rFonts w:ascii="Arial" w:hAnsi="Arial" w:cs="Arial"/>
                <w:szCs w:val="24"/>
              </w:rPr>
              <w:t>15% Installed</w:t>
            </w:r>
          </w:p>
        </w:tc>
        <w:tc>
          <w:tcPr>
            <w:tcW w:w="1975" w:type="dxa"/>
          </w:tcPr>
          <w:p w14:paraId="6815C332" w14:textId="77777777" w:rsidR="00EF4A54" w:rsidRPr="00EF4A54" w:rsidRDefault="00EF4A54" w:rsidP="00235E10">
            <w:pPr>
              <w:spacing w:after="120"/>
              <w:rPr>
                <w:rFonts w:ascii="Arial" w:hAnsi="Arial" w:cs="Arial"/>
                <w:szCs w:val="24"/>
              </w:rPr>
            </w:pPr>
            <w:r w:rsidRPr="00EF4A54">
              <w:rPr>
                <w:rFonts w:ascii="Arial" w:hAnsi="Arial" w:cs="Arial"/>
                <w:szCs w:val="24"/>
              </w:rPr>
              <w:t>1 EV Ready/unit</w:t>
            </w:r>
          </w:p>
        </w:tc>
        <w:tc>
          <w:tcPr>
            <w:tcW w:w="2430" w:type="dxa"/>
          </w:tcPr>
          <w:p w14:paraId="25EE396C" w14:textId="77777777" w:rsidR="00EF4A54" w:rsidRPr="00EF4A54" w:rsidRDefault="00EF4A54" w:rsidP="00235E10">
            <w:pPr>
              <w:spacing w:after="120"/>
              <w:rPr>
                <w:rFonts w:ascii="Arial" w:hAnsi="Arial" w:cs="Arial"/>
                <w:szCs w:val="24"/>
              </w:rPr>
            </w:pPr>
            <w:r w:rsidRPr="00EF4A54">
              <w:rPr>
                <w:rFonts w:ascii="Arial" w:hAnsi="Arial" w:cs="Arial"/>
                <w:szCs w:val="24"/>
              </w:rPr>
              <w:t>-</w:t>
            </w:r>
          </w:p>
        </w:tc>
      </w:tr>
      <w:tr w:rsidR="00EF4A54" w:rsidRPr="00EF4A54" w14:paraId="60562EDA" w14:textId="77777777" w:rsidTr="00235E10">
        <w:trPr>
          <w:jc w:val="center"/>
        </w:trPr>
        <w:tc>
          <w:tcPr>
            <w:tcW w:w="2425" w:type="dxa"/>
          </w:tcPr>
          <w:p w14:paraId="6D85B075" w14:textId="77777777" w:rsidR="00EF4A54" w:rsidRPr="00EF4A54" w:rsidRDefault="00EF4A54" w:rsidP="00235E10">
            <w:pPr>
              <w:spacing w:after="120"/>
              <w:rPr>
                <w:rFonts w:ascii="Arial" w:hAnsi="Arial" w:cs="Arial"/>
                <w:szCs w:val="24"/>
              </w:rPr>
            </w:pPr>
            <w:r w:rsidRPr="00EF4A54">
              <w:rPr>
                <w:rFonts w:ascii="Arial" w:hAnsi="Arial" w:cs="Arial"/>
                <w:szCs w:val="24"/>
              </w:rPr>
              <w:t>Marin County, CA</w:t>
            </w:r>
          </w:p>
        </w:tc>
        <w:tc>
          <w:tcPr>
            <w:tcW w:w="3063" w:type="dxa"/>
          </w:tcPr>
          <w:p w14:paraId="3CCF7ACE" w14:textId="77777777" w:rsidR="00EF4A54" w:rsidRPr="00EF4A54" w:rsidRDefault="00EF4A54" w:rsidP="00235E10">
            <w:pPr>
              <w:spacing w:after="120"/>
              <w:rPr>
                <w:rFonts w:ascii="Arial" w:hAnsi="Arial" w:cs="Arial"/>
                <w:szCs w:val="24"/>
              </w:rPr>
            </w:pPr>
            <w:r w:rsidRPr="00EF4A54">
              <w:rPr>
                <w:rFonts w:ascii="Arial" w:hAnsi="Arial" w:cs="Arial"/>
                <w:szCs w:val="24"/>
              </w:rPr>
              <w:t>-</w:t>
            </w:r>
          </w:p>
        </w:tc>
        <w:tc>
          <w:tcPr>
            <w:tcW w:w="1975" w:type="dxa"/>
          </w:tcPr>
          <w:p w14:paraId="7EA705E0" w14:textId="77777777" w:rsidR="00EF4A54" w:rsidRPr="00EF4A54" w:rsidRDefault="00EF4A54" w:rsidP="00235E10">
            <w:pPr>
              <w:spacing w:after="120"/>
              <w:rPr>
                <w:rFonts w:ascii="Arial" w:hAnsi="Arial" w:cs="Arial"/>
                <w:szCs w:val="24"/>
              </w:rPr>
            </w:pPr>
            <w:r w:rsidRPr="00EF4A54">
              <w:rPr>
                <w:rFonts w:ascii="Arial" w:hAnsi="Arial" w:cs="Arial"/>
                <w:szCs w:val="24"/>
              </w:rPr>
              <w:t>1 EV Ready/unit</w:t>
            </w:r>
          </w:p>
        </w:tc>
        <w:tc>
          <w:tcPr>
            <w:tcW w:w="2430" w:type="dxa"/>
          </w:tcPr>
          <w:p w14:paraId="689968CB" w14:textId="77777777" w:rsidR="00EF4A54" w:rsidRPr="00EF4A54" w:rsidRDefault="00EF4A54" w:rsidP="00235E10">
            <w:pPr>
              <w:spacing w:after="120"/>
              <w:rPr>
                <w:rFonts w:ascii="Arial" w:hAnsi="Arial" w:cs="Arial"/>
                <w:szCs w:val="24"/>
              </w:rPr>
            </w:pPr>
            <w:r w:rsidRPr="00EF4A54">
              <w:rPr>
                <w:rFonts w:ascii="Arial" w:hAnsi="Arial" w:cs="Arial"/>
                <w:szCs w:val="24"/>
              </w:rPr>
              <w:t>20% EV Capable</w:t>
            </w:r>
          </w:p>
        </w:tc>
      </w:tr>
      <w:tr w:rsidR="00EF4A54" w:rsidRPr="00EF4A54" w14:paraId="2250BB55" w14:textId="77777777" w:rsidTr="00235E10">
        <w:trPr>
          <w:jc w:val="center"/>
        </w:trPr>
        <w:tc>
          <w:tcPr>
            <w:tcW w:w="2425" w:type="dxa"/>
          </w:tcPr>
          <w:p w14:paraId="65504BBE" w14:textId="77777777" w:rsidR="00EF4A54" w:rsidRPr="00EF4A54" w:rsidRDefault="00EF4A54" w:rsidP="00235E10">
            <w:pPr>
              <w:spacing w:after="120"/>
              <w:rPr>
                <w:rFonts w:ascii="Arial" w:hAnsi="Arial" w:cs="Arial"/>
                <w:szCs w:val="24"/>
              </w:rPr>
            </w:pPr>
            <w:r w:rsidRPr="00EF4A54">
              <w:rPr>
                <w:rFonts w:ascii="Arial" w:hAnsi="Arial" w:cs="Arial"/>
                <w:szCs w:val="24"/>
              </w:rPr>
              <w:t>Golden, CO</w:t>
            </w:r>
          </w:p>
        </w:tc>
        <w:tc>
          <w:tcPr>
            <w:tcW w:w="3063" w:type="dxa"/>
          </w:tcPr>
          <w:p w14:paraId="54769D1A" w14:textId="77777777" w:rsidR="00EF4A54" w:rsidRPr="00EF4A54" w:rsidRDefault="00EF4A54" w:rsidP="00235E10">
            <w:pPr>
              <w:spacing w:after="120"/>
              <w:rPr>
                <w:rFonts w:ascii="Arial" w:hAnsi="Arial" w:cs="Arial"/>
                <w:szCs w:val="24"/>
              </w:rPr>
            </w:pPr>
            <w:r w:rsidRPr="00EF4A54">
              <w:rPr>
                <w:rFonts w:ascii="Arial" w:hAnsi="Arial" w:cs="Arial"/>
                <w:szCs w:val="24"/>
              </w:rPr>
              <w:t>7% Installed (15+ units)</w:t>
            </w:r>
          </w:p>
        </w:tc>
        <w:tc>
          <w:tcPr>
            <w:tcW w:w="1975" w:type="dxa"/>
          </w:tcPr>
          <w:p w14:paraId="6575C98E" w14:textId="77777777" w:rsidR="00EF4A54" w:rsidRPr="00EF4A54" w:rsidRDefault="00EF4A54" w:rsidP="00235E10">
            <w:pPr>
              <w:spacing w:after="120"/>
              <w:rPr>
                <w:rFonts w:ascii="Arial" w:hAnsi="Arial" w:cs="Arial"/>
                <w:szCs w:val="24"/>
              </w:rPr>
            </w:pPr>
            <w:r w:rsidRPr="00EF4A54">
              <w:rPr>
                <w:rFonts w:ascii="Arial" w:hAnsi="Arial" w:cs="Arial"/>
                <w:szCs w:val="24"/>
              </w:rPr>
              <w:t>-</w:t>
            </w:r>
          </w:p>
        </w:tc>
        <w:tc>
          <w:tcPr>
            <w:tcW w:w="2430" w:type="dxa"/>
          </w:tcPr>
          <w:p w14:paraId="72C247FD" w14:textId="77777777" w:rsidR="00EF4A54" w:rsidRPr="00EF4A54" w:rsidRDefault="00EF4A54" w:rsidP="00235E10">
            <w:pPr>
              <w:spacing w:after="120"/>
              <w:rPr>
                <w:rFonts w:ascii="Arial" w:hAnsi="Arial" w:cs="Arial"/>
                <w:szCs w:val="24"/>
              </w:rPr>
            </w:pPr>
            <w:r w:rsidRPr="00EF4A54">
              <w:rPr>
                <w:rFonts w:ascii="Arial" w:hAnsi="Arial" w:cs="Arial"/>
                <w:szCs w:val="24"/>
              </w:rPr>
              <w:t>15% EV Capable</w:t>
            </w:r>
          </w:p>
        </w:tc>
      </w:tr>
      <w:tr w:rsidR="00EF4A54" w:rsidRPr="00EF4A54" w14:paraId="64344CD3" w14:textId="77777777" w:rsidTr="00235E10">
        <w:trPr>
          <w:jc w:val="center"/>
        </w:trPr>
        <w:tc>
          <w:tcPr>
            <w:tcW w:w="2425" w:type="dxa"/>
          </w:tcPr>
          <w:p w14:paraId="0E2F80A0" w14:textId="77777777" w:rsidR="00EF4A54" w:rsidRPr="00EF4A54" w:rsidRDefault="00EF4A54" w:rsidP="00235E10">
            <w:pPr>
              <w:spacing w:after="120"/>
              <w:rPr>
                <w:rFonts w:ascii="Arial" w:hAnsi="Arial" w:cs="Arial"/>
                <w:szCs w:val="24"/>
              </w:rPr>
            </w:pPr>
            <w:r w:rsidRPr="00EF4A54">
              <w:rPr>
                <w:rFonts w:ascii="Arial" w:hAnsi="Arial" w:cs="Arial"/>
                <w:szCs w:val="24"/>
              </w:rPr>
              <w:t xml:space="preserve">Denver, CO </w:t>
            </w:r>
          </w:p>
        </w:tc>
        <w:tc>
          <w:tcPr>
            <w:tcW w:w="3063" w:type="dxa"/>
          </w:tcPr>
          <w:p w14:paraId="4F663E4F" w14:textId="77777777" w:rsidR="00EF4A54" w:rsidRPr="00EF4A54" w:rsidRDefault="00EF4A54" w:rsidP="00235E10">
            <w:pPr>
              <w:spacing w:after="120"/>
              <w:rPr>
                <w:rFonts w:ascii="Arial" w:hAnsi="Arial" w:cs="Arial"/>
                <w:szCs w:val="24"/>
              </w:rPr>
            </w:pPr>
            <w:r w:rsidRPr="00EF4A54">
              <w:rPr>
                <w:rFonts w:ascii="Arial" w:hAnsi="Arial" w:cs="Arial"/>
                <w:szCs w:val="24"/>
              </w:rPr>
              <w:t>5% Installed (10+ units)</w:t>
            </w:r>
          </w:p>
        </w:tc>
        <w:tc>
          <w:tcPr>
            <w:tcW w:w="1975" w:type="dxa"/>
          </w:tcPr>
          <w:p w14:paraId="207141C8" w14:textId="77777777" w:rsidR="00EF4A54" w:rsidRPr="00EF4A54" w:rsidRDefault="00EF4A54" w:rsidP="00235E10">
            <w:pPr>
              <w:spacing w:after="120"/>
              <w:rPr>
                <w:rFonts w:ascii="Arial" w:hAnsi="Arial" w:cs="Arial"/>
                <w:szCs w:val="24"/>
              </w:rPr>
            </w:pPr>
            <w:r w:rsidRPr="00EF4A54">
              <w:rPr>
                <w:rFonts w:ascii="Arial" w:hAnsi="Arial" w:cs="Arial"/>
                <w:szCs w:val="24"/>
              </w:rPr>
              <w:t>10% EV Ready</w:t>
            </w:r>
          </w:p>
        </w:tc>
        <w:tc>
          <w:tcPr>
            <w:tcW w:w="2430" w:type="dxa"/>
          </w:tcPr>
          <w:p w14:paraId="33F54A68" w14:textId="77777777" w:rsidR="00EF4A54" w:rsidRPr="00EF4A54" w:rsidRDefault="00EF4A54" w:rsidP="00235E10">
            <w:pPr>
              <w:spacing w:after="120"/>
              <w:rPr>
                <w:rFonts w:ascii="Arial" w:hAnsi="Arial" w:cs="Arial"/>
                <w:szCs w:val="24"/>
              </w:rPr>
            </w:pPr>
            <w:r w:rsidRPr="00EF4A54">
              <w:rPr>
                <w:rFonts w:ascii="Arial" w:hAnsi="Arial" w:cs="Arial"/>
                <w:szCs w:val="24"/>
              </w:rPr>
              <w:t>15% EV Capable</w:t>
            </w:r>
          </w:p>
        </w:tc>
      </w:tr>
      <w:tr w:rsidR="00EF4A54" w:rsidRPr="00EF4A54" w14:paraId="4D3D8F31" w14:textId="77777777" w:rsidTr="00235E10">
        <w:trPr>
          <w:jc w:val="center"/>
        </w:trPr>
        <w:tc>
          <w:tcPr>
            <w:tcW w:w="2425" w:type="dxa"/>
          </w:tcPr>
          <w:p w14:paraId="45741AB6" w14:textId="77777777" w:rsidR="00EF4A54" w:rsidRPr="00EF4A54" w:rsidRDefault="00EF4A54" w:rsidP="00235E10">
            <w:pPr>
              <w:spacing w:after="120"/>
              <w:rPr>
                <w:rFonts w:ascii="Arial" w:hAnsi="Arial" w:cs="Arial"/>
                <w:szCs w:val="24"/>
              </w:rPr>
            </w:pPr>
            <w:r w:rsidRPr="00EF4A54">
              <w:rPr>
                <w:rFonts w:ascii="Arial" w:hAnsi="Arial" w:cs="Arial"/>
                <w:szCs w:val="24"/>
              </w:rPr>
              <w:t>Boulder, CO</w:t>
            </w:r>
          </w:p>
        </w:tc>
        <w:tc>
          <w:tcPr>
            <w:tcW w:w="3063" w:type="dxa"/>
          </w:tcPr>
          <w:p w14:paraId="12318CB7" w14:textId="77777777" w:rsidR="00EF4A54" w:rsidRPr="00EF4A54" w:rsidRDefault="00EF4A54" w:rsidP="00235E10">
            <w:pPr>
              <w:spacing w:after="120"/>
              <w:rPr>
                <w:rFonts w:ascii="Arial" w:hAnsi="Arial" w:cs="Arial"/>
                <w:szCs w:val="24"/>
              </w:rPr>
            </w:pPr>
            <w:r w:rsidRPr="00EF4A54">
              <w:rPr>
                <w:rFonts w:ascii="Arial" w:hAnsi="Arial" w:cs="Arial"/>
                <w:szCs w:val="24"/>
              </w:rPr>
              <w:t>5% Installed (25+ spaces)</w:t>
            </w:r>
          </w:p>
        </w:tc>
        <w:tc>
          <w:tcPr>
            <w:tcW w:w="1975" w:type="dxa"/>
          </w:tcPr>
          <w:p w14:paraId="11EFFEBB" w14:textId="77777777" w:rsidR="00EF4A54" w:rsidRPr="00EF4A54" w:rsidRDefault="00EF4A54" w:rsidP="00235E10">
            <w:pPr>
              <w:spacing w:after="120"/>
              <w:rPr>
                <w:rFonts w:ascii="Arial" w:hAnsi="Arial" w:cs="Arial"/>
                <w:szCs w:val="24"/>
              </w:rPr>
            </w:pPr>
            <w:r w:rsidRPr="00EF4A54">
              <w:rPr>
                <w:rFonts w:ascii="Arial" w:hAnsi="Arial" w:cs="Arial"/>
                <w:szCs w:val="24"/>
              </w:rPr>
              <w:t>10% EV Ready</w:t>
            </w:r>
          </w:p>
        </w:tc>
        <w:tc>
          <w:tcPr>
            <w:tcW w:w="2430" w:type="dxa"/>
          </w:tcPr>
          <w:p w14:paraId="3F0C12E4" w14:textId="77777777" w:rsidR="00EF4A54" w:rsidRPr="00EF4A54" w:rsidRDefault="00EF4A54" w:rsidP="00235E10">
            <w:pPr>
              <w:spacing w:after="120"/>
              <w:rPr>
                <w:rFonts w:ascii="Arial" w:hAnsi="Arial" w:cs="Arial"/>
                <w:szCs w:val="24"/>
              </w:rPr>
            </w:pPr>
            <w:r w:rsidRPr="00EF4A54">
              <w:rPr>
                <w:rFonts w:ascii="Arial" w:hAnsi="Arial" w:cs="Arial"/>
                <w:szCs w:val="24"/>
              </w:rPr>
              <w:t>40% EV Capable</w:t>
            </w:r>
          </w:p>
        </w:tc>
      </w:tr>
      <w:tr w:rsidR="00EF4A54" w:rsidRPr="00EF4A54" w14:paraId="722471A8" w14:textId="77777777" w:rsidTr="00235E10">
        <w:trPr>
          <w:jc w:val="center"/>
        </w:trPr>
        <w:tc>
          <w:tcPr>
            <w:tcW w:w="2425" w:type="dxa"/>
          </w:tcPr>
          <w:p w14:paraId="4DAB26E3" w14:textId="77777777" w:rsidR="00EF4A54" w:rsidRPr="00EF4A54" w:rsidRDefault="00EF4A54" w:rsidP="00235E10">
            <w:pPr>
              <w:spacing w:after="120"/>
              <w:rPr>
                <w:rFonts w:ascii="Arial" w:hAnsi="Arial" w:cs="Arial"/>
                <w:szCs w:val="24"/>
              </w:rPr>
            </w:pPr>
            <w:r w:rsidRPr="00EF4A54">
              <w:rPr>
                <w:rFonts w:ascii="Arial" w:hAnsi="Arial" w:cs="Arial"/>
                <w:szCs w:val="24"/>
              </w:rPr>
              <w:t>Summit County, CO</w:t>
            </w:r>
          </w:p>
        </w:tc>
        <w:tc>
          <w:tcPr>
            <w:tcW w:w="3063" w:type="dxa"/>
          </w:tcPr>
          <w:p w14:paraId="39FFB55F" w14:textId="77777777" w:rsidR="00EF4A54" w:rsidRPr="00EF4A54" w:rsidRDefault="00EF4A54" w:rsidP="00235E10">
            <w:pPr>
              <w:spacing w:after="120"/>
              <w:rPr>
                <w:rFonts w:ascii="Arial" w:hAnsi="Arial" w:cs="Arial"/>
                <w:szCs w:val="24"/>
              </w:rPr>
            </w:pPr>
            <w:r w:rsidRPr="00EF4A54">
              <w:rPr>
                <w:rFonts w:ascii="Arial" w:hAnsi="Arial" w:cs="Arial"/>
                <w:szCs w:val="24"/>
              </w:rPr>
              <w:t>5% Installed (10+ spaces)</w:t>
            </w:r>
          </w:p>
        </w:tc>
        <w:tc>
          <w:tcPr>
            <w:tcW w:w="1975" w:type="dxa"/>
          </w:tcPr>
          <w:p w14:paraId="21DDCE5D" w14:textId="77777777" w:rsidR="00EF4A54" w:rsidRPr="00EF4A54" w:rsidRDefault="00EF4A54" w:rsidP="00235E10">
            <w:pPr>
              <w:spacing w:after="120"/>
              <w:rPr>
                <w:rFonts w:ascii="Arial" w:hAnsi="Arial" w:cs="Arial"/>
                <w:szCs w:val="24"/>
              </w:rPr>
            </w:pPr>
            <w:r w:rsidRPr="00EF4A54">
              <w:rPr>
                <w:rFonts w:ascii="Arial" w:hAnsi="Arial" w:cs="Arial"/>
                <w:szCs w:val="24"/>
              </w:rPr>
              <w:t>10% EV Ready</w:t>
            </w:r>
          </w:p>
        </w:tc>
        <w:tc>
          <w:tcPr>
            <w:tcW w:w="2430" w:type="dxa"/>
          </w:tcPr>
          <w:p w14:paraId="554278E3" w14:textId="77777777" w:rsidR="00EF4A54" w:rsidRPr="00EF4A54" w:rsidRDefault="00EF4A54" w:rsidP="00235E10">
            <w:pPr>
              <w:spacing w:after="120"/>
              <w:rPr>
                <w:rFonts w:ascii="Arial" w:hAnsi="Arial" w:cs="Arial"/>
                <w:szCs w:val="24"/>
              </w:rPr>
            </w:pPr>
            <w:r w:rsidRPr="00EF4A54">
              <w:rPr>
                <w:rFonts w:ascii="Arial" w:hAnsi="Arial" w:cs="Arial"/>
                <w:szCs w:val="24"/>
              </w:rPr>
              <w:t>40% EV Capable</w:t>
            </w:r>
          </w:p>
        </w:tc>
      </w:tr>
      <w:tr w:rsidR="00EF4A54" w:rsidRPr="00EF4A54" w14:paraId="6C87D8DA" w14:textId="77777777" w:rsidTr="00235E10">
        <w:trPr>
          <w:jc w:val="center"/>
        </w:trPr>
        <w:tc>
          <w:tcPr>
            <w:tcW w:w="2425" w:type="dxa"/>
          </w:tcPr>
          <w:p w14:paraId="7B292806" w14:textId="77777777" w:rsidR="00EF4A54" w:rsidRPr="00EF4A54" w:rsidRDefault="00EF4A54" w:rsidP="00235E10">
            <w:pPr>
              <w:spacing w:after="120"/>
              <w:rPr>
                <w:rFonts w:ascii="Arial" w:hAnsi="Arial" w:cs="Arial"/>
                <w:szCs w:val="24"/>
              </w:rPr>
            </w:pPr>
            <w:r w:rsidRPr="00EF4A54">
              <w:rPr>
                <w:rFonts w:ascii="Arial" w:hAnsi="Arial" w:cs="Arial"/>
                <w:szCs w:val="24"/>
              </w:rPr>
              <w:t>Lakewood, CO</w:t>
            </w:r>
          </w:p>
        </w:tc>
        <w:tc>
          <w:tcPr>
            <w:tcW w:w="3063" w:type="dxa"/>
          </w:tcPr>
          <w:p w14:paraId="74F160E4" w14:textId="77777777" w:rsidR="00EF4A54" w:rsidRPr="00EF4A54" w:rsidRDefault="00EF4A54" w:rsidP="00235E10">
            <w:pPr>
              <w:spacing w:after="120"/>
              <w:rPr>
                <w:rFonts w:ascii="Arial" w:hAnsi="Arial" w:cs="Arial"/>
                <w:szCs w:val="24"/>
              </w:rPr>
            </w:pPr>
            <w:r w:rsidRPr="00EF4A54">
              <w:rPr>
                <w:rFonts w:ascii="Arial" w:hAnsi="Arial" w:cs="Arial"/>
                <w:szCs w:val="24"/>
              </w:rPr>
              <w:t>2% Installed</w:t>
            </w:r>
          </w:p>
        </w:tc>
        <w:tc>
          <w:tcPr>
            <w:tcW w:w="1975" w:type="dxa"/>
          </w:tcPr>
          <w:p w14:paraId="6B1F0EA0" w14:textId="77777777" w:rsidR="00EF4A54" w:rsidRPr="00EF4A54" w:rsidRDefault="00EF4A54" w:rsidP="00235E10">
            <w:pPr>
              <w:spacing w:after="120"/>
              <w:rPr>
                <w:rFonts w:ascii="Arial" w:hAnsi="Arial" w:cs="Arial"/>
                <w:szCs w:val="24"/>
              </w:rPr>
            </w:pPr>
            <w:r w:rsidRPr="00EF4A54">
              <w:rPr>
                <w:rFonts w:ascii="Arial" w:hAnsi="Arial" w:cs="Arial"/>
                <w:szCs w:val="24"/>
              </w:rPr>
              <w:t>-</w:t>
            </w:r>
          </w:p>
        </w:tc>
        <w:tc>
          <w:tcPr>
            <w:tcW w:w="2430" w:type="dxa"/>
          </w:tcPr>
          <w:p w14:paraId="2180FD73" w14:textId="77777777" w:rsidR="00EF4A54" w:rsidRPr="00EF4A54" w:rsidRDefault="00EF4A54" w:rsidP="00235E10">
            <w:pPr>
              <w:rPr>
                <w:rFonts w:ascii="Arial" w:hAnsi="Arial" w:cs="Arial"/>
                <w:szCs w:val="24"/>
              </w:rPr>
            </w:pPr>
            <w:r w:rsidRPr="00EF4A54">
              <w:rPr>
                <w:rFonts w:ascii="Arial" w:hAnsi="Arial" w:cs="Arial"/>
                <w:szCs w:val="24"/>
              </w:rPr>
              <w:t>18% EV Capable</w:t>
            </w:r>
          </w:p>
        </w:tc>
      </w:tr>
      <w:tr w:rsidR="00EF4A54" w:rsidRPr="00EF4A54" w14:paraId="60E79CE9" w14:textId="77777777" w:rsidTr="00235E10">
        <w:trPr>
          <w:jc w:val="center"/>
        </w:trPr>
        <w:tc>
          <w:tcPr>
            <w:tcW w:w="2425" w:type="dxa"/>
          </w:tcPr>
          <w:p w14:paraId="32970640" w14:textId="77777777" w:rsidR="00EF4A54" w:rsidRPr="00EF4A54" w:rsidRDefault="00EF4A54" w:rsidP="00235E10">
            <w:pPr>
              <w:spacing w:after="120"/>
              <w:rPr>
                <w:rFonts w:ascii="Arial" w:hAnsi="Arial" w:cs="Arial"/>
                <w:szCs w:val="24"/>
              </w:rPr>
            </w:pPr>
            <w:r w:rsidRPr="00EF4A54">
              <w:rPr>
                <w:rFonts w:ascii="Arial" w:hAnsi="Arial" w:cs="Arial"/>
                <w:szCs w:val="24"/>
              </w:rPr>
              <w:t>Salt Lake City, UT</w:t>
            </w:r>
          </w:p>
        </w:tc>
        <w:tc>
          <w:tcPr>
            <w:tcW w:w="3063" w:type="dxa"/>
          </w:tcPr>
          <w:p w14:paraId="66D7A42F" w14:textId="77777777" w:rsidR="00EF4A54" w:rsidRPr="00EF4A54" w:rsidRDefault="00EF4A54" w:rsidP="00235E10">
            <w:pPr>
              <w:spacing w:after="120"/>
              <w:rPr>
                <w:rFonts w:ascii="Arial" w:hAnsi="Arial" w:cs="Arial"/>
                <w:szCs w:val="24"/>
              </w:rPr>
            </w:pPr>
            <w:r w:rsidRPr="00EF4A54">
              <w:rPr>
                <w:rFonts w:ascii="Arial" w:hAnsi="Arial" w:cs="Arial"/>
                <w:szCs w:val="24"/>
              </w:rPr>
              <w:t>4% Installed</w:t>
            </w:r>
          </w:p>
        </w:tc>
        <w:tc>
          <w:tcPr>
            <w:tcW w:w="1975" w:type="dxa"/>
          </w:tcPr>
          <w:p w14:paraId="79C27E3B" w14:textId="77777777" w:rsidR="00EF4A54" w:rsidRPr="00EF4A54" w:rsidRDefault="00EF4A54" w:rsidP="00235E10">
            <w:pPr>
              <w:spacing w:after="120"/>
              <w:rPr>
                <w:rFonts w:ascii="Arial" w:hAnsi="Arial" w:cs="Arial"/>
                <w:szCs w:val="24"/>
              </w:rPr>
            </w:pPr>
            <w:r w:rsidRPr="00EF4A54">
              <w:rPr>
                <w:rFonts w:ascii="Arial" w:hAnsi="Arial" w:cs="Arial"/>
                <w:szCs w:val="24"/>
              </w:rPr>
              <w:t>-</w:t>
            </w:r>
          </w:p>
        </w:tc>
        <w:tc>
          <w:tcPr>
            <w:tcW w:w="2430" w:type="dxa"/>
          </w:tcPr>
          <w:p w14:paraId="35719180" w14:textId="77777777" w:rsidR="00EF4A54" w:rsidRPr="00EF4A54" w:rsidRDefault="00EF4A54" w:rsidP="00235E10">
            <w:pPr>
              <w:rPr>
                <w:rFonts w:ascii="Arial" w:hAnsi="Arial" w:cs="Arial"/>
                <w:szCs w:val="24"/>
              </w:rPr>
            </w:pPr>
            <w:r w:rsidRPr="00EF4A54">
              <w:rPr>
                <w:rFonts w:ascii="Arial" w:hAnsi="Arial" w:cs="Arial"/>
                <w:szCs w:val="24"/>
              </w:rPr>
              <w:t>-</w:t>
            </w:r>
          </w:p>
        </w:tc>
      </w:tr>
    </w:tbl>
    <w:p w14:paraId="307B8670" w14:textId="784412F7" w:rsidR="00EF4A54" w:rsidRDefault="00EF4A54" w:rsidP="00821054">
      <w:pPr>
        <w:jc w:val="both"/>
        <w:rPr>
          <w:rFonts w:ascii="Arial" w:hAnsi="Arial" w:cs="Arial"/>
          <w:color w:val="000000"/>
          <w:szCs w:val="24"/>
          <w:shd w:val="clear" w:color="auto" w:fill="FFFFFF"/>
        </w:rPr>
      </w:pPr>
    </w:p>
    <w:p w14:paraId="66987EA5" w14:textId="033F75F5" w:rsidR="00DC4654" w:rsidRDefault="00DC4654" w:rsidP="00821054">
      <w:pPr>
        <w:jc w:val="both"/>
        <w:rPr>
          <w:rFonts w:ascii="Arial" w:hAnsi="Arial" w:cs="Arial"/>
          <w:color w:val="000000"/>
          <w:szCs w:val="24"/>
          <w:shd w:val="clear" w:color="auto" w:fill="FFFFFF"/>
        </w:rPr>
      </w:pPr>
    </w:p>
    <w:p w14:paraId="349CEEB4" w14:textId="037E39CD" w:rsidR="00DC4654" w:rsidRDefault="00DC4654" w:rsidP="00821054">
      <w:pPr>
        <w:jc w:val="both"/>
        <w:rPr>
          <w:rFonts w:ascii="Arial" w:hAnsi="Arial" w:cs="Arial"/>
          <w:color w:val="000000"/>
          <w:szCs w:val="24"/>
          <w:shd w:val="clear" w:color="auto" w:fill="FFFFFF"/>
        </w:rPr>
      </w:pPr>
    </w:p>
    <w:p w14:paraId="1C7C1FC1" w14:textId="60DADE04" w:rsidR="00DC4654" w:rsidRDefault="00DC4654" w:rsidP="00821054">
      <w:pPr>
        <w:jc w:val="both"/>
        <w:rPr>
          <w:rFonts w:ascii="Arial" w:hAnsi="Arial" w:cs="Arial"/>
          <w:color w:val="000000"/>
          <w:szCs w:val="24"/>
          <w:shd w:val="clear" w:color="auto" w:fill="FFFFFF"/>
        </w:rPr>
      </w:pPr>
    </w:p>
    <w:p w14:paraId="4784346B" w14:textId="35DBB51A" w:rsidR="00DC4654" w:rsidRDefault="00DC4654" w:rsidP="00821054">
      <w:pPr>
        <w:jc w:val="both"/>
        <w:rPr>
          <w:rFonts w:ascii="Arial" w:hAnsi="Arial" w:cs="Arial"/>
          <w:color w:val="000000"/>
          <w:szCs w:val="24"/>
          <w:shd w:val="clear" w:color="auto" w:fill="FFFFFF"/>
        </w:rPr>
      </w:pPr>
    </w:p>
    <w:p w14:paraId="48BF842E" w14:textId="763EBB77" w:rsidR="00DC4654" w:rsidRDefault="00DC4654" w:rsidP="00821054">
      <w:pPr>
        <w:jc w:val="both"/>
        <w:rPr>
          <w:rFonts w:ascii="Arial" w:hAnsi="Arial" w:cs="Arial"/>
          <w:color w:val="000000"/>
          <w:szCs w:val="24"/>
          <w:shd w:val="clear" w:color="auto" w:fill="FFFFFF"/>
        </w:rPr>
      </w:pPr>
    </w:p>
    <w:p w14:paraId="5FAAAD81" w14:textId="31CF0FA5" w:rsidR="00DC4654" w:rsidRDefault="00DC4654" w:rsidP="00821054">
      <w:pPr>
        <w:jc w:val="both"/>
        <w:rPr>
          <w:rFonts w:ascii="Arial" w:hAnsi="Arial" w:cs="Arial"/>
          <w:color w:val="000000"/>
          <w:szCs w:val="24"/>
          <w:shd w:val="clear" w:color="auto" w:fill="FFFFFF"/>
        </w:rPr>
      </w:pPr>
    </w:p>
    <w:p w14:paraId="6F98085A" w14:textId="3685559D" w:rsidR="00DC4654" w:rsidRDefault="00DC4654" w:rsidP="00821054">
      <w:pPr>
        <w:jc w:val="both"/>
        <w:rPr>
          <w:rFonts w:ascii="Arial" w:hAnsi="Arial" w:cs="Arial"/>
          <w:color w:val="000000"/>
          <w:szCs w:val="24"/>
          <w:shd w:val="clear" w:color="auto" w:fill="FFFFFF"/>
        </w:rPr>
      </w:pPr>
    </w:p>
    <w:p w14:paraId="343237AF" w14:textId="058F11A4" w:rsidR="00DC4654" w:rsidRDefault="00DC4654" w:rsidP="00821054">
      <w:pPr>
        <w:jc w:val="both"/>
        <w:rPr>
          <w:rFonts w:ascii="Arial" w:hAnsi="Arial" w:cs="Arial"/>
          <w:color w:val="000000"/>
          <w:szCs w:val="24"/>
          <w:shd w:val="clear" w:color="auto" w:fill="FFFFFF"/>
        </w:rPr>
      </w:pPr>
    </w:p>
    <w:p w14:paraId="5CA4649E" w14:textId="29B4E967" w:rsidR="00DC4654" w:rsidRDefault="00DC4654" w:rsidP="00821054">
      <w:pPr>
        <w:jc w:val="both"/>
        <w:rPr>
          <w:rFonts w:ascii="Arial" w:hAnsi="Arial" w:cs="Arial"/>
          <w:color w:val="000000"/>
          <w:szCs w:val="24"/>
          <w:shd w:val="clear" w:color="auto" w:fill="FFFFFF"/>
        </w:rPr>
      </w:pPr>
    </w:p>
    <w:p w14:paraId="1C6ACC64" w14:textId="482FE61B" w:rsidR="00DC4654" w:rsidRDefault="00DC4654" w:rsidP="00821054">
      <w:pPr>
        <w:jc w:val="both"/>
        <w:rPr>
          <w:rFonts w:ascii="Arial" w:hAnsi="Arial" w:cs="Arial"/>
          <w:color w:val="000000"/>
          <w:szCs w:val="24"/>
          <w:shd w:val="clear" w:color="auto" w:fill="FFFFFF"/>
        </w:rPr>
      </w:pPr>
    </w:p>
    <w:p w14:paraId="709B621D" w14:textId="140FD73E" w:rsidR="00DC4654" w:rsidRDefault="00DC4654" w:rsidP="00821054">
      <w:pPr>
        <w:jc w:val="both"/>
        <w:rPr>
          <w:rFonts w:ascii="Arial" w:hAnsi="Arial" w:cs="Arial"/>
          <w:color w:val="000000"/>
          <w:szCs w:val="24"/>
          <w:shd w:val="clear" w:color="auto" w:fill="FFFFFF"/>
        </w:rPr>
      </w:pPr>
    </w:p>
    <w:p w14:paraId="3EC11DCC" w14:textId="11A0DE66" w:rsidR="00DC4654" w:rsidRDefault="00DC4654" w:rsidP="00821054">
      <w:pPr>
        <w:jc w:val="both"/>
        <w:rPr>
          <w:rFonts w:ascii="Arial" w:hAnsi="Arial" w:cs="Arial"/>
          <w:color w:val="000000"/>
          <w:szCs w:val="24"/>
          <w:shd w:val="clear" w:color="auto" w:fill="FFFFFF"/>
        </w:rPr>
      </w:pPr>
    </w:p>
    <w:p w14:paraId="6380A6E0" w14:textId="598EC593" w:rsidR="00DC4654" w:rsidRDefault="00DC4654" w:rsidP="00821054">
      <w:pPr>
        <w:jc w:val="both"/>
        <w:rPr>
          <w:rFonts w:ascii="Arial" w:hAnsi="Arial" w:cs="Arial"/>
          <w:color w:val="000000"/>
          <w:szCs w:val="24"/>
          <w:shd w:val="clear" w:color="auto" w:fill="FFFFFF"/>
        </w:rPr>
      </w:pPr>
    </w:p>
    <w:p w14:paraId="553E8F50" w14:textId="5C0CD404" w:rsidR="00DC4654" w:rsidRDefault="00DC4654" w:rsidP="00821054">
      <w:pPr>
        <w:jc w:val="both"/>
        <w:rPr>
          <w:rFonts w:ascii="Arial" w:hAnsi="Arial" w:cs="Arial"/>
          <w:color w:val="000000"/>
          <w:szCs w:val="24"/>
          <w:shd w:val="clear" w:color="auto" w:fill="FFFFFF"/>
        </w:rPr>
      </w:pPr>
    </w:p>
    <w:p w14:paraId="732E8321" w14:textId="77777777" w:rsidR="00DC4654" w:rsidRPr="00EF4A54" w:rsidRDefault="00DC4654" w:rsidP="00821054">
      <w:pPr>
        <w:jc w:val="both"/>
        <w:rPr>
          <w:rFonts w:ascii="Arial" w:hAnsi="Arial" w:cs="Arial"/>
          <w:color w:val="000000"/>
          <w:szCs w:val="24"/>
          <w:shd w:val="clear" w:color="auto" w:fill="FFFFFF"/>
        </w:rPr>
      </w:pPr>
    </w:p>
    <w:p w14:paraId="0DE150D4" w14:textId="77777777" w:rsidR="00EF4A54" w:rsidRPr="00EF4A54" w:rsidRDefault="00EF4A54" w:rsidP="00EF4A54">
      <w:pPr>
        <w:jc w:val="center"/>
        <w:rPr>
          <w:rFonts w:ascii="Arial" w:hAnsi="Arial" w:cs="Arial"/>
          <w:b/>
          <w:bCs/>
          <w:color w:val="000000"/>
          <w:szCs w:val="24"/>
          <w:shd w:val="clear" w:color="auto" w:fill="FFFFFF"/>
        </w:rPr>
      </w:pPr>
      <w:r>
        <w:rPr>
          <w:rFonts w:ascii="Arial" w:hAnsi="Arial" w:cs="Arial"/>
          <w:b/>
          <w:bCs/>
          <w:color w:val="000000"/>
          <w:szCs w:val="24"/>
          <w:shd w:val="clear" w:color="auto" w:fill="FFFFFF"/>
        </w:rPr>
        <w:lastRenderedPageBreak/>
        <w:t>Table 4: Nonresidential EV Parking Requirements</w:t>
      </w:r>
      <w:r w:rsidR="00914366">
        <w:rPr>
          <w:rFonts w:ascii="Arial" w:hAnsi="Arial" w:cs="Arial"/>
          <w:b/>
          <w:bCs/>
          <w:color w:val="000000"/>
          <w:szCs w:val="24"/>
          <w:shd w:val="clear" w:color="auto" w:fill="FFFFFF"/>
        </w:rPr>
        <w:t xml:space="preserve"> in Other Jurisdictions</w:t>
      </w:r>
      <w:r w:rsidRPr="00EF4A54">
        <w:rPr>
          <w:rStyle w:val="FootnoteReference"/>
          <w:rFonts w:cs="Arial"/>
          <w:szCs w:val="24"/>
        </w:rPr>
        <w:footnoteReference w:id="6"/>
      </w:r>
    </w:p>
    <w:tbl>
      <w:tblPr>
        <w:tblStyle w:val="TableGrid"/>
        <w:tblW w:w="9720" w:type="dxa"/>
        <w:jc w:val="center"/>
        <w:tblLook w:val="04A0" w:firstRow="1" w:lastRow="0" w:firstColumn="1" w:lastColumn="0" w:noHBand="0" w:noVBand="1"/>
      </w:tblPr>
      <w:tblGrid>
        <w:gridCol w:w="2337"/>
        <w:gridCol w:w="3063"/>
        <w:gridCol w:w="1890"/>
        <w:gridCol w:w="2430"/>
      </w:tblGrid>
      <w:tr w:rsidR="00EF4A54" w:rsidRPr="00FB2D86" w14:paraId="5271B19C" w14:textId="77777777" w:rsidTr="00E36AA8">
        <w:trPr>
          <w:jc w:val="center"/>
        </w:trPr>
        <w:tc>
          <w:tcPr>
            <w:tcW w:w="2337" w:type="dxa"/>
            <w:shd w:val="clear" w:color="auto" w:fill="000000" w:themeFill="text1"/>
            <w:vAlign w:val="bottom"/>
          </w:tcPr>
          <w:p w14:paraId="17E69C33" w14:textId="77777777" w:rsidR="00EF4A54" w:rsidRPr="00FB2D86" w:rsidRDefault="00EF4A54" w:rsidP="00235E10">
            <w:pPr>
              <w:spacing w:after="120"/>
              <w:rPr>
                <w:rFonts w:ascii="Arial" w:hAnsi="Arial" w:cs="Arial"/>
                <w:b/>
                <w:bCs/>
              </w:rPr>
            </w:pPr>
            <w:r w:rsidRPr="00FB2D86">
              <w:rPr>
                <w:rFonts w:ascii="Arial" w:hAnsi="Arial" w:cs="Arial"/>
                <w:b/>
                <w:bCs/>
              </w:rPr>
              <w:t>Jurisdiction</w:t>
            </w:r>
          </w:p>
        </w:tc>
        <w:tc>
          <w:tcPr>
            <w:tcW w:w="3063" w:type="dxa"/>
            <w:shd w:val="clear" w:color="auto" w:fill="000000" w:themeFill="text1"/>
            <w:vAlign w:val="bottom"/>
          </w:tcPr>
          <w:p w14:paraId="05031970" w14:textId="77777777" w:rsidR="00EF4A54" w:rsidRPr="00FB2D86" w:rsidRDefault="00EF4A54" w:rsidP="00235E10">
            <w:pPr>
              <w:spacing w:after="120"/>
              <w:rPr>
                <w:rFonts w:ascii="Arial" w:hAnsi="Arial" w:cs="Arial"/>
                <w:b/>
                <w:bCs/>
              </w:rPr>
            </w:pPr>
            <w:r w:rsidRPr="00FB2D86">
              <w:rPr>
                <w:rFonts w:ascii="Arial" w:hAnsi="Arial" w:cs="Arial"/>
                <w:b/>
                <w:bCs/>
              </w:rPr>
              <w:t>EVSE Installed</w:t>
            </w:r>
          </w:p>
        </w:tc>
        <w:tc>
          <w:tcPr>
            <w:tcW w:w="1890" w:type="dxa"/>
            <w:shd w:val="clear" w:color="auto" w:fill="000000" w:themeFill="text1"/>
            <w:vAlign w:val="bottom"/>
          </w:tcPr>
          <w:p w14:paraId="62F3870C" w14:textId="77777777" w:rsidR="00EF4A54" w:rsidRPr="00FB2D86" w:rsidRDefault="00EF4A54" w:rsidP="00235E10">
            <w:pPr>
              <w:spacing w:after="120"/>
              <w:rPr>
                <w:rFonts w:ascii="Arial" w:hAnsi="Arial" w:cs="Arial"/>
                <w:b/>
                <w:bCs/>
              </w:rPr>
            </w:pPr>
            <w:r w:rsidRPr="00FB2D86">
              <w:rPr>
                <w:rFonts w:ascii="Arial" w:hAnsi="Arial" w:cs="Arial"/>
                <w:b/>
                <w:bCs/>
              </w:rPr>
              <w:t>EV Ready</w:t>
            </w:r>
          </w:p>
        </w:tc>
        <w:tc>
          <w:tcPr>
            <w:tcW w:w="2430" w:type="dxa"/>
            <w:shd w:val="clear" w:color="auto" w:fill="000000" w:themeFill="text1"/>
            <w:vAlign w:val="bottom"/>
          </w:tcPr>
          <w:p w14:paraId="3390BB64" w14:textId="77777777" w:rsidR="00EF4A54" w:rsidRPr="00FB2D86" w:rsidRDefault="00EF4A54" w:rsidP="00235E10">
            <w:pPr>
              <w:spacing w:after="120"/>
              <w:rPr>
                <w:rFonts w:ascii="Arial" w:hAnsi="Arial" w:cs="Arial"/>
                <w:b/>
                <w:bCs/>
              </w:rPr>
            </w:pPr>
            <w:r w:rsidRPr="00FB2D86">
              <w:rPr>
                <w:rFonts w:ascii="Arial" w:hAnsi="Arial" w:cs="Arial"/>
                <w:b/>
                <w:bCs/>
              </w:rPr>
              <w:t>EV-Capable</w:t>
            </w:r>
          </w:p>
        </w:tc>
      </w:tr>
      <w:tr w:rsidR="00EF4A54" w:rsidRPr="00FB2D86" w14:paraId="5B72DB61" w14:textId="77777777" w:rsidTr="00235E10">
        <w:trPr>
          <w:jc w:val="center"/>
        </w:trPr>
        <w:tc>
          <w:tcPr>
            <w:tcW w:w="2337" w:type="dxa"/>
          </w:tcPr>
          <w:p w14:paraId="6EB7960B" w14:textId="77777777" w:rsidR="00EF4A54" w:rsidRPr="00FB2D86" w:rsidRDefault="00EF4A54" w:rsidP="00235E10">
            <w:pPr>
              <w:spacing w:after="120"/>
              <w:rPr>
                <w:rFonts w:ascii="Arial" w:hAnsi="Arial" w:cs="Arial"/>
              </w:rPr>
            </w:pPr>
            <w:r w:rsidRPr="00FB2D86">
              <w:rPr>
                <w:rFonts w:ascii="Arial" w:hAnsi="Arial" w:cs="Arial"/>
              </w:rPr>
              <w:t xml:space="preserve">San Jose, CA </w:t>
            </w:r>
          </w:p>
        </w:tc>
        <w:tc>
          <w:tcPr>
            <w:tcW w:w="3063" w:type="dxa"/>
          </w:tcPr>
          <w:p w14:paraId="1404252D" w14:textId="77777777" w:rsidR="00EF4A54" w:rsidRPr="00FB2D86" w:rsidRDefault="00EF4A54" w:rsidP="00235E10">
            <w:pPr>
              <w:spacing w:after="120"/>
              <w:rPr>
                <w:rFonts w:ascii="Arial" w:hAnsi="Arial" w:cs="Arial"/>
              </w:rPr>
            </w:pPr>
            <w:r w:rsidRPr="00FB2D86">
              <w:rPr>
                <w:rFonts w:ascii="Arial" w:hAnsi="Arial" w:cs="Arial"/>
              </w:rPr>
              <w:t>10% Installed</w:t>
            </w:r>
          </w:p>
        </w:tc>
        <w:tc>
          <w:tcPr>
            <w:tcW w:w="1890" w:type="dxa"/>
          </w:tcPr>
          <w:p w14:paraId="7E12E884" w14:textId="77777777" w:rsidR="00EF4A54" w:rsidRPr="00FB2D86" w:rsidRDefault="00EF4A54" w:rsidP="00235E10">
            <w:pPr>
              <w:spacing w:after="120"/>
              <w:rPr>
                <w:rFonts w:ascii="Arial" w:hAnsi="Arial" w:cs="Arial"/>
              </w:rPr>
            </w:pPr>
            <w:r w:rsidRPr="00FB2D86">
              <w:rPr>
                <w:rFonts w:ascii="Arial" w:hAnsi="Arial" w:cs="Arial"/>
              </w:rPr>
              <w:t>-</w:t>
            </w:r>
          </w:p>
        </w:tc>
        <w:tc>
          <w:tcPr>
            <w:tcW w:w="2430" w:type="dxa"/>
          </w:tcPr>
          <w:p w14:paraId="366F007F" w14:textId="77777777" w:rsidR="00EF4A54" w:rsidRPr="00FB2D86" w:rsidRDefault="00EF4A54" w:rsidP="00235E10">
            <w:pPr>
              <w:spacing w:after="120"/>
              <w:rPr>
                <w:rFonts w:ascii="Arial" w:hAnsi="Arial" w:cs="Arial"/>
              </w:rPr>
            </w:pPr>
            <w:r w:rsidRPr="00FB2D86">
              <w:rPr>
                <w:rFonts w:ascii="Arial" w:hAnsi="Arial" w:cs="Arial"/>
              </w:rPr>
              <w:t xml:space="preserve"> 40% EV Capable</w:t>
            </w:r>
          </w:p>
        </w:tc>
      </w:tr>
      <w:tr w:rsidR="00EF4A54" w:rsidRPr="00FB2D86" w14:paraId="136FC1B0" w14:textId="77777777" w:rsidTr="00235E10">
        <w:trPr>
          <w:jc w:val="center"/>
        </w:trPr>
        <w:tc>
          <w:tcPr>
            <w:tcW w:w="2337" w:type="dxa"/>
          </w:tcPr>
          <w:p w14:paraId="605710DF" w14:textId="77777777" w:rsidR="00EF4A54" w:rsidRPr="00FB2D86" w:rsidRDefault="00EF4A54" w:rsidP="00235E10">
            <w:pPr>
              <w:spacing w:after="120"/>
              <w:rPr>
                <w:rFonts w:ascii="Arial" w:hAnsi="Arial" w:cs="Arial"/>
              </w:rPr>
            </w:pPr>
            <w:r w:rsidRPr="00FB2D86">
              <w:rPr>
                <w:rFonts w:ascii="Arial" w:hAnsi="Arial" w:cs="Arial"/>
              </w:rPr>
              <w:t>Menlo Park, CA</w:t>
            </w:r>
          </w:p>
        </w:tc>
        <w:tc>
          <w:tcPr>
            <w:tcW w:w="3063" w:type="dxa"/>
          </w:tcPr>
          <w:p w14:paraId="072F25CA" w14:textId="77777777" w:rsidR="00EF4A54" w:rsidRPr="00FB2D86" w:rsidRDefault="00EF4A54" w:rsidP="00235E10">
            <w:pPr>
              <w:spacing w:after="120"/>
              <w:rPr>
                <w:rFonts w:ascii="Arial" w:hAnsi="Arial" w:cs="Arial"/>
              </w:rPr>
            </w:pPr>
            <w:r w:rsidRPr="00FB2D86">
              <w:rPr>
                <w:rFonts w:ascii="Arial" w:hAnsi="Arial" w:cs="Arial"/>
              </w:rPr>
              <w:t>10% Installed</w:t>
            </w:r>
          </w:p>
        </w:tc>
        <w:tc>
          <w:tcPr>
            <w:tcW w:w="1890" w:type="dxa"/>
          </w:tcPr>
          <w:p w14:paraId="36C963A4" w14:textId="77777777" w:rsidR="00EF4A54" w:rsidRPr="00FB2D86" w:rsidRDefault="00EF4A54" w:rsidP="00235E10">
            <w:pPr>
              <w:spacing w:after="120"/>
              <w:rPr>
                <w:rFonts w:ascii="Arial" w:hAnsi="Arial" w:cs="Arial"/>
              </w:rPr>
            </w:pPr>
            <w:r w:rsidRPr="00FB2D86">
              <w:rPr>
                <w:rFonts w:ascii="Arial" w:hAnsi="Arial" w:cs="Arial"/>
              </w:rPr>
              <w:t>15% EV Ready</w:t>
            </w:r>
          </w:p>
        </w:tc>
        <w:tc>
          <w:tcPr>
            <w:tcW w:w="2430" w:type="dxa"/>
          </w:tcPr>
          <w:p w14:paraId="67005953" w14:textId="77777777" w:rsidR="00EF4A54" w:rsidRPr="00FB2D86" w:rsidRDefault="00EF4A54" w:rsidP="00235E10">
            <w:pPr>
              <w:spacing w:after="120"/>
              <w:rPr>
                <w:rFonts w:ascii="Arial" w:hAnsi="Arial" w:cs="Arial"/>
              </w:rPr>
            </w:pPr>
            <w:r w:rsidRPr="00FB2D86">
              <w:rPr>
                <w:rFonts w:ascii="Arial" w:hAnsi="Arial" w:cs="Arial"/>
              </w:rPr>
              <w:t>-</w:t>
            </w:r>
          </w:p>
        </w:tc>
      </w:tr>
      <w:tr w:rsidR="00EF4A54" w:rsidRPr="00FB2D86" w14:paraId="540BAFD6" w14:textId="77777777" w:rsidTr="00235E10">
        <w:trPr>
          <w:jc w:val="center"/>
        </w:trPr>
        <w:tc>
          <w:tcPr>
            <w:tcW w:w="2337" w:type="dxa"/>
          </w:tcPr>
          <w:p w14:paraId="41662C11" w14:textId="77777777" w:rsidR="00EF4A54" w:rsidRPr="00FB2D86" w:rsidRDefault="00EF4A54" w:rsidP="00235E10">
            <w:pPr>
              <w:spacing w:after="120"/>
              <w:rPr>
                <w:rFonts w:ascii="Arial" w:hAnsi="Arial" w:cs="Arial"/>
              </w:rPr>
            </w:pPr>
            <w:r w:rsidRPr="00FB2D86">
              <w:rPr>
                <w:rFonts w:ascii="Arial" w:hAnsi="Arial" w:cs="Arial"/>
              </w:rPr>
              <w:t>Marin County, CA</w:t>
            </w:r>
          </w:p>
        </w:tc>
        <w:tc>
          <w:tcPr>
            <w:tcW w:w="3063" w:type="dxa"/>
          </w:tcPr>
          <w:p w14:paraId="07B56BAF" w14:textId="77777777" w:rsidR="00EF4A54" w:rsidRPr="00FB2D86" w:rsidRDefault="00EF4A54" w:rsidP="00235E10">
            <w:pPr>
              <w:spacing w:after="120"/>
              <w:rPr>
                <w:rFonts w:ascii="Arial" w:hAnsi="Arial" w:cs="Arial"/>
              </w:rPr>
            </w:pPr>
            <w:r w:rsidRPr="00FB2D86">
              <w:rPr>
                <w:rFonts w:ascii="Arial" w:hAnsi="Arial" w:cs="Arial"/>
              </w:rPr>
              <w:t>-</w:t>
            </w:r>
          </w:p>
        </w:tc>
        <w:tc>
          <w:tcPr>
            <w:tcW w:w="1890" w:type="dxa"/>
          </w:tcPr>
          <w:p w14:paraId="55F0D471" w14:textId="77777777" w:rsidR="00EF4A54" w:rsidRPr="00FB2D86" w:rsidRDefault="00EF4A54" w:rsidP="00235E10">
            <w:pPr>
              <w:spacing w:after="120"/>
              <w:rPr>
                <w:rFonts w:ascii="Arial" w:hAnsi="Arial" w:cs="Arial"/>
              </w:rPr>
            </w:pPr>
            <w:r w:rsidRPr="00FB2D86">
              <w:rPr>
                <w:rFonts w:ascii="Arial" w:hAnsi="Arial" w:cs="Arial"/>
              </w:rPr>
              <w:t>10% EV Ready</w:t>
            </w:r>
          </w:p>
        </w:tc>
        <w:tc>
          <w:tcPr>
            <w:tcW w:w="2430" w:type="dxa"/>
          </w:tcPr>
          <w:p w14:paraId="1312D1EA" w14:textId="77777777" w:rsidR="00EF4A54" w:rsidRPr="00FB2D86" w:rsidRDefault="00EF4A54" w:rsidP="00235E10">
            <w:pPr>
              <w:spacing w:after="120"/>
              <w:rPr>
                <w:rFonts w:ascii="Arial" w:hAnsi="Arial" w:cs="Arial"/>
              </w:rPr>
            </w:pPr>
            <w:r w:rsidRPr="00FB2D86">
              <w:rPr>
                <w:rFonts w:ascii="Arial" w:hAnsi="Arial" w:cs="Arial"/>
              </w:rPr>
              <w:t>20% EV Capable</w:t>
            </w:r>
          </w:p>
        </w:tc>
      </w:tr>
      <w:tr w:rsidR="00EF4A54" w:rsidRPr="00FB2D86" w14:paraId="280494F0" w14:textId="77777777" w:rsidTr="00235E10">
        <w:trPr>
          <w:jc w:val="center"/>
        </w:trPr>
        <w:tc>
          <w:tcPr>
            <w:tcW w:w="2337" w:type="dxa"/>
          </w:tcPr>
          <w:p w14:paraId="5F657690" w14:textId="77777777" w:rsidR="00EF4A54" w:rsidRPr="00FB2D86" w:rsidRDefault="00EF4A54" w:rsidP="00235E10">
            <w:pPr>
              <w:spacing w:after="120"/>
              <w:rPr>
                <w:rFonts w:ascii="Arial" w:hAnsi="Arial" w:cs="Arial"/>
              </w:rPr>
            </w:pPr>
            <w:r w:rsidRPr="00FB2D86">
              <w:rPr>
                <w:rFonts w:ascii="Arial" w:hAnsi="Arial" w:cs="Arial"/>
              </w:rPr>
              <w:t xml:space="preserve">Denver, CO </w:t>
            </w:r>
          </w:p>
        </w:tc>
        <w:tc>
          <w:tcPr>
            <w:tcW w:w="3063" w:type="dxa"/>
          </w:tcPr>
          <w:p w14:paraId="528259A3" w14:textId="77777777" w:rsidR="00EF4A54" w:rsidRPr="00FB2D86" w:rsidRDefault="00EF4A54" w:rsidP="00235E10">
            <w:pPr>
              <w:spacing w:after="120"/>
              <w:rPr>
                <w:rFonts w:ascii="Arial" w:hAnsi="Arial" w:cs="Arial"/>
              </w:rPr>
            </w:pPr>
            <w:r w:rsidRPr="00FB2D86">
              <w:rPr>
                <w:rFonts w:ascii="Arial" w:hAnsi="Arial" w:cs="Arial"/>
              </w:rPr>
              <w:t>5% Installed (10+ spaces)</w:t>
            </w:r>
          </w:p>
        </w:tc>
        <w:tc>
          <w:tcPr>
            <w:tcW w:w="1890" w:type="dxa"/>
          </w:tcPr>
          <w:p w14:paraId="6DB5AE8F" w14:textId="77777777" w:rsidR="00EF4A54" w:rsidRPr="00FB2D86" w:rsidRDefault="00EF4A54" w:rsidP="00235E10">
            <w:pPr>
              <w:spacing w:after="120"/>
              <w:rPr>
                <w:rFonts w:ascii="Arial" w:hAnsi="Arial" w:cs="Arial"/>
              </w:rPr>
            </w:pPr>
            <w:r w:rsidRPr="00FB2D86">
              <w:rPr>
                <w:rFonts w:ascii="Arial" w:hAnsi="Arial" w:cs="Arial"/>
              </w:rPr>
              <w:t>10% EV Ready</w:t>
            </w:r>
          </w:p>
        </w:tc>
        <w:tc>
          <w:tcPr>
            <w:tcW w:w="2430" w:type="dxa"/>
          </w:tcPr>
          <w:p w14:paraId="6DF696D0" w14:textId="77777777" w:rsidR="00EF4A54" w:rsidRPr="00FB2D86" w:rsidRDefault="00EF4A54" w:rsidP="00235E10">
            <w:pPr>
              <w:spacing w:after="120"/>
              <w:rPr>
                <w:rFonts w:ascii="Arial" w:hAnsi="Arial" w:cs="Arial"/>
              </w:rPr>
            </w:pPr>
            <w:r w:rsidRPr="00FB2D86">
              <w:rPr>
                <w:rFonts w:ascii="Arial" w:hAnsi="Arial" w:cs="Arial"/>
              </w:rPr>
              <w:t>10% EV Capable</w:t>
            </w:r>
          </w:p>
        </w:tc>
      </w:tr>
      <w:tr w:rsidR="00EF4A54" w:rsidRPr="00FB2D86" w14:paraId="65281EB4" w14:textId="77777777" w:rsidTr="00235E10">
        <w:trPr>
          <w:jc w:val="center"/>
        </w:trPr>
        <w:tc>
          <w:tcPr>
            <w:tcW w:w="2337" w:type="dxa"/>
          </w:tcPr>
          <w:p w14:paraId="52D279E7" w14:textId="77777777" w:rsidR="00EF4A54" w:rsidRPr="00FB2D86" w:rsidRDefault="00EF4A54" w:rsidP="00235E10">
            <w:pPr>
              <w:spacing w:after="120"/>
              <w:rPr>
                <w:rFonts w:ascii="Arial" w:hAnsi="Arial" w:cs="Arial"/>
              </w:rPr>
            </w:pPr>
            <w:r w:rsidRPr="00FB2D86">
              <w:rPr>
                <w:rFonts w:ascii="Arial" w:hAnsi="Arial" w:cs="Arial"/>
              </w:rPr>
              <w:t>Boulder, CO</w:t>
            </w:r>
          </w:p>
        </w:tc>
        <w:tc>
          <w:tcPr>
            <w:tcW w:w="3063" w:type="dxa"/>
          </w:tcPr>
          <w:p w14:paraId="6F9B6E07" w14:textId="77777777" w:rsidR="00EF4A54" w:rsidRPr="00FB2D86" w:rsidRDefault="00EF4A54" w:rsidP="00235E10">
            <w:pPr>
              <w:spacing w:after="120"/>
              <w:rPr>
                <w:rFonts w:ascii="Arial" w:hAnsi="Arial" w:cs="Arial"/>
              </w:rPr>
            </w:pPr>
            <w:r w:rsidRPr="00FB2D86">
              <w:rPr>
                <w:rFonts w:ascii="Arial" w:hAnsi="Arial" w:cs="Arial"/>
              </w:rPr>
              <w:t>5% Installed</w:t>
            </w:r>
          </w:p>
        </w:tc>
        <w:tc>
          <w:tcPr>
            <w:tcW w:w="1890" w:type="dxa"/>
          </w:tcPr>
          <w:p w14:paraId="38D8FDF3" w14:textId="77777777" w:rsidR="00EF4A54" w:rsidRPr="00FB2D86" w:rsidRDefault="00EF4A54" w:rsidP="00235E10">
            <w:pPr>
              <w:spacing w:after="120"/>
              <w:rPr>
                <w:rFonts w:ascii="Arial" w:hAnsi="Arial" w:cs="Arial"/>
              </w:rPr>
            </w:pPr>
            <w:r w:rsidRPr="00FB2D86">
              <w:rPr>
                <w:rFonts w:ascii="Arial" w:hAnsi="Arial" w:cs="Arial"/>
              </w:rPr>
              <w:t>10% EV Ready</w:t>
            </w:r>
          </w:p>
        </w:tc>
        <w:tc>
          <w:tcPr>
            <w:tcW w:w="2430" w:type="dxa"/>
          </w:tcPr>
          <w:p w14:paraId="77933368" w14:textId="77777777" w:rsidR="00EF4A54" w:rsidRPr="00FB2D86" w:rsidRDefault="00EF4A54" w:rsidP="00235E10">
            <w:pPr>
              <w:spacing w:after="120"/>
              <w:rPr>
                <w:rFonts w:ascii="Arial" w:hAnsi="Arial" w:cs="Arial"/>
              </w:rPr>
            </w:pPr>
            <w:r w:rsidRPr="00FB2D86">
              <w:rPr>
                <w:rFonts w:ascii="Arial" w:hAnsi="Arial" w:cs="Arial"/>
              </w:rPr>
              <w:t>10% EV Capable</w:t>
            </w:r>
          </w:p>
        </w:tc>
      </w:tr>
      <w:tr w:rsidR="00EF4A54" w:rsidRPr="00FB2D86" w14:paraId="36818BE4" w14:textId="77777777" w:rsidTr="00235E10">
        <w:trPr>
          <w:jc w:val="center"/>
        </w:trPr>
        <w:tc>
          <w:tcPr>
            <w:tcW w:w="2337" w:type="dxa"/>
          </w:tcPr>
          <w:p w14:paraId="4F2EDE65" w14:textId="77777777" w:rsidR="00EF4A54" w:rsidRPr="00FB2D86" w:rsidRDefault="00EF4A54" w:rsidP="00235E10">
            <w:pPr>
              <w:spacing w:after="120"/>
              <w:rPr>
                <w:rFonts w:ascii="Arial" w:hAnsi="Arial" w:cs="Arial"/>
              </w:rPr>
            </w:pPr>
            <w:r w:rsidRPr="00FB2D86">
              <w:rPr>
                <w:rFonts w:ascii="Arial" w:hAnsi="Arial" w:cs="Arial"/>
              </w:rPr>
              <w:t>Summit County, CO</w:t>
            </w:r>
          </w:p>
        </w:tc>
        <w:tc>
          <w:tcPr>
            <w:tcW w:w="3063" w:type="dxa"/>
          </w:tcPr>
          <w:p w14:paraId="54169DF5" w14:textId="77777777" w:rsidR="00EF4A54" w:rsidRPr="00FB2D86" w:rsidRDefault="00EF4A54" w:rsidP="00235E10">
            <w:pPr>
              <w:spacing w:after="120"/>
              <w:rPr>
                <w:rFonts w:ascii="Arial" w:hAnsi="Arial" w:cs="Arial"/>
              </w:rPr>
            </w:pPr>
            <w:r w:rsidRPr="00FB2D86">
              <w:rPr>
                <w:rFonts w:ascii="Arial" w:hAnsi="Arial" w:cs="Arial"/>
              </w:rPr>
              <w:t>5% Installed (25+ spaces)</w:t>
            </w:r>
          </w:p>
        </w:tc>
        <w:tc>
          <w:tcPr>
            <w:tcW w:w="1890" w:type="dxa"/>
          </w:tcPr>
          <w:p w14:paraId="02B6B4F9" w14:textId="77777777" w:rsidR="00EF4A54" w:rsidRPr="00FB2D86" w:rsidRDefault="00EF4A54" w:rsidP="00235E10">
            <w:pPr>
              <w:spacing w:after="120"/>
              <w:rPr>
                <w:rFonts w:ascii="Arial" w:hAnsi="Arial" w:cs="Arial"/>
              </w:rPr>
            </w:pPr>
            <w:r w:rsidRPr="00FB2D86">
              <w:rPr>
                <w:rFonts w:ascii="Arial" w:hAnsi="Arial" w:cs="Arial"/>
              </w:rPr>
              <w:t>10% EV Ready</w:t>
            </w:r>
          </w:p>
        </w:tc>
        <w:tc>
          <w:tcPr>
            <w:tcW w:w="2430" w:type="dxa"/>
          </w:tcPr>
          <w:p w14:paraId="36495653" w14:textId="77777777" w:rsidR="00EF4A54" w:rsidRPr="00FB2D86" w:rsidRDefault="00EF4A54" w:rsidP="00235E10">
            <w:pPr>
              <w:spacing w:after="120"/>
              <w:rPr>
                <w:rFonts w:ascii="Arial" w:hAnsi="Arial" w:cs="Arial"/>
              </w:rPr>
            </w:pPr>
            <w:r w:rsidRPr="00FB2D86">
              <w:rPr>
                <w:rFonts w:ascii="Arial" w:hAnsi="Arial" w:cs="Arial"/>
              </w:rPr>
              <w:t>40% EV Capable</w:t>
            </w:r>
          </w:p>
        </w:tc>
      </w:tr>
      <w:tr w:rsidR="00EF4A54" w:rsidRPr="00FB2D86" w14:paraId="07714093" w14:textId="77777777" w:rsidTr="00235E10">
        <w:trPr>
          <w:jc w:val="center"/>
        </w:trPr>
        <w:tc>
          <w:tcPr>
            <w:tcW w:w="2337" w:type="dxa"/>
          </w:tcPr>
          <w:p w14:paraId="22E07D3A" w14:textId="77777777" w:rsidR="00EF4A54" w:rsidRPr="00FB2D86" w:rsidRDefault="00EF4A54" w:rsidP="00235E10">
            <w:pPr>
              <w:spacing w:after="120"/>
              <w:rPr>
                <w:rFonts w:ascii="Arial" w:hAnsi="Arial" w:cs="Arial"/>
              </w:rPr>
            </w:pPr>
            <w:r w:rsidRPr="00FB2D86">
              <w:rPr>
                <w:rFonts w:ascii="Arial" w:hAnsi="Arial" w:cs="Arial"/>
              </w:rPr>
              <w:t>Lakewood, CO</w:t>
            </w:r>
          </w:p>
        </w:tc>
        <w:tc>
          <w:tcPr>
            <w:tcW w:w="3063" w:type="dxa"/>
          </w:tcPr>
          <w:p w14:paraId="1930D3EB" w14:textId="77777777" w:rsidR="00EF4A54" w:rsidRPr="00FB2D86" w:rsidRDefault="00EF4A54" w:rsidP="00235E10">
            <w:pPr>
              <w:spacing w:after="120"/>
              <w:rPr>
                <w:rFonts w:ascii="Arial" w:hAnsi="Arial" w:cs="Arial"/>
              </w:rPr>
            </w:pPr>
            <w:r w:rsidRPr="00FB2D86">
              <w:rPr>
                <w:rFonts w:ascii="Arial" w:hAnsi="Arial" w:cs="Arial"/>
              </w:rPr>
              <w:t>2% Installed</w:t>
            </w:r>
          </w:p>
        </w:tc>
        <w:tc>
          <w:tcPr>
            <w:tcW w:w="1890" w:type="dxa"/>
          </w:tcPr>
          <w:p w14:paraId="013E9A8B" w14:textId="77777777" w:rsidR="00EF4A54" w:rsidRPr="00FB2D86" w:rsidRDefault="00EF4A54" w:rsidP="00235E10">
            <w:pPr>
              <w:spacing w:after="120"/>
              <w:rPr>
                <w:rFonts w:ascii="Arial" w:hAnsi="Arial" w:cs="Arial"/>
              </w:rPr>
            </w:pPr>
            <w:r w:rsidRPr="00FB2D86">
              <w:rPr>
                <w:rFonts w:ascii="Arial" w:hAnsi="Arial" w:cs="Arial"/>
              </w:rPr>
              <w:t>-</w:t>
            </w:r>
          </w:p>
        </w:tc>
        <w:tc>
          <w:tcPr>
            <w:tcW w:w="2430" w:type="dxa"/>
          </w:tcPr>
          <w:p w14:paraId="59BB7480" w14:textId="77777777" w:rsidR="00EF4A54" w:rsidRPr="00FB2D86" w:rsidRDefault="00EF4A54" w:rsidP="00235E10">
            <w:pPr>
              <w:rPr>
                <w:rFonts w:ascii="Arial" w:hAnsi="Arial" w:cs="Arial"/>
              </w:rPr>
            </w:pPr>
            <w:r w:rsidRPr="00FB2D86">
              <w:rPr>
                <w:rFonts w:ascii="Arial" w:hAnsi="Arial" w:cs="Arial"/>
              </w:rPr>
              <w:t>13-18% EV Capable</w:t>
            </w:r>
          </w:p>
        </w:tc>
      </w:tr>
      <w:tr w:rsidR="00EF4A54" w:rsidRPr="00FB2D86" w14:paraId="69CF2DBE" w14:textId="77777777" w:rsidTr="00235E10">
        <w:trPr>
          <w:trHeight w:val="431"/>
          <w:jc w:val="center"/>
        </w:trPr>
        <w:tc>
          <w:tcPr>
            <w:tcW w:w="2337" w:type="dxa"/>
          </w:tcPr>
          <w:p w14:paraId="1EC6FFD3" w14:textId="77777777" w:rsidR="00EF4A54" w:rsidRPr="00FB2D86" w:rsidRDefault="00EF4A54" w:rsidP="00235E10">
            <w:pPr>
              <w:spacing w:after="120"/>
              <w:rPr>
                <w:rFonts w:ascii="Arial" w:hAnsi="Arial" w:cs="Arial"/>
              </w:rPr>
            </w:pPr>
            <w:r w:rsidRPr="00FB2D86">
              <w:rPr>
                <w:rFonts w:ascii="Arial" w:hAnsi="Arial" w:cs="Arial"/>
              </w:rPr>
              <w:t>Mountlake Terrace</w:t>
            </w:r>
          </w:p>
        </w:tc>
        <w:tc>
          <w:tcPr>
            <w:tcW w:w="3063" w:type="dxa"/>
          </w:tcPr>
          <w:p w14:paraId="535112E0" w14:textId="77777777" w:rsidR="00EF4A54" w:rsidRPr="00FB2D86" w:rsidRDefault="00EF4A54" w:rsidP="00235E10">
            <w:pPr>
              <w:spacing w:after="120"/>
              <w:rPr>
                <w:rFonts w:ascii="Arial" w:hAnsi="Arial" w:cs="Arial"/>
              </w:rPr>
            </w:pPr>
            <w:r w:rsidRPr="00FB2D86">
              <w:rPr>
                <w:rFonts w:ascii="Arial" w:hAnsi="Arial" w:cs="Arial"/>
              </w:rPr>
              <w:t>1-3% Installed (10,000 SF)</w:t>
            </w:r>
          </w:p>
        </w:tc>
        <w:tc>
          <w:tcPr>
            <w:tcW w:w="1890" w:type="dxa"/>
          </w:tcPr>
          <w:p w14:paraId="684DF151" w14:textId="77777777" w:rsidR="00EF4A54" w:rsidRPr="00FB2D86" w:rsidRDefault="00EF4A54" w:rsidP="00235E10">
            <w:pPr>
              <w:rPr>
                <w:rFonts w:ascii="Arial" w:hAnsi="Arial" w:cs="Arial"/>
              </w:rPr>
            </w:pPr>
            <w:r w:rsidRPr="00FB2D86">
              <w:rPr>
                <w:rFonts w:ascii="Arial" w:hAnsi="Arial" w:cs="Arial"/>
              </w:rPr>
              <w:t>2-6%EV Ready</w:t>
            </w:r>
          </w:p>
        </w:tc>
        <w:tc>
          <w:tcPr>
            <w:tcW w:w="2430" w:type="dxa"/>
          </w:tcPr>
          <w:p w14:paraId="112F9761" w14:textId="77777777" w:rsidR="00EF4A54" w:rsidRPr="00FB2D86" w:rsidRDefault="00EF4A54" w:rsidP="00235E10">
            <w:pPr>
              <w:rPr>
                <w:rFonts w:ascii="Arial" w:hAnsi="Arial" w:cs="Arial"/>
              </w:rPr>
            </w:pPr>
            <w:r w:rsidRPr="00FB2D86">
              <w:rPr>
                <w:rFonts w:ascii="Arial" w:hAnsi="Arial" w:cs="Arial"/>
              </w:rPr>
              <w:t>-</w:t>
            </w:r>
          </w:p>
        </w:tc>
      </w:tr>
      <w:tr w:rsidR="00EF4A54" w:rsidRPr="00FB2D86" w14:paraId="4438B687" w14:textId="77777777" w:rsidTr="00235E10">
        <w:trPr>
          <w:trHeight w:val="431"/>
          <w:jc w:val="center"/>
        </w:trPr>
        <w:tc>
          <w:tcPr>
            <w:tcW w:w="2337" w:type="dxa"/>
          </w:tcPr>
          <w:p w14:paraId="4C1AB321" w14:textId="77777777" w:rsidR="00EF4A54" w:rsidRPr="00FB2D86" w:rsidRDefault="00EF4A54" w:rsidP="00235E10">
            <w:pPr>
              <w:spacing w:after="120"/>
              <w:rPr>
                <w:rFonts w:ascii="Arial" w:hAnsi="Arial" w:cs="Arial"/>
              </w:rPr>
            </w:pPr>
            <w:r w:rsidRPr="00FB2D86">
              <w:rPr>
                <w:rFonts w:ascii="Arial" w:hAnsi="Arial" w:cs="Arial"/>
              </w:rPr>
              <w:t>Washington State</w:t>
            </w:r>
          </w:p>
        </w:tc>
        <w:tc>
          <w:tcPr>
            <w:tcW w:w="3063" w:type="dxa"/>
          </w:tcPr>
          <w:p w14:paraId="3756E26A" w14:textId="77777777" w:rsidR="00EF4A54" w:rsidRPr="00FB2D86" w:rsidRDefault="00EF4A54" w:rsidP="00235E10">
            <w:pPr>
              <w:spacing w:after="120"/>
              <w:rPr>
                <w:rFonts w:ascii="Arial" w:hAnsi="Arial" w:cs="Arial"/>
              </w:rPr>
            </w:pPr>
            <w:r w:rsidRPr="00FB2D86">
              <w:rPr>
                <w:rFonts w:ascii="Arial" w:hAnsi="Arial" w:cs="Arial"/>
              </w:rPr>
              <w:t>5% Installed OR added EV-Capacity (20+ spaces)</w:t>
            </w:r>
          </w:p>
        </w:tc>
        <w:tc>
          <w:tcPr>
            <w:tcW w:w="1890" w:type="dxa"/>
          </w:tcPr>
          <w:p w14:paraId="1B38C5CA" w14:textId="77777777" w:rsidR="00EF4A54" w:rsidRPr="00FB2D86" w:rsidRDefault="00EF4A54" w:rsidP="00235E10">
            <w:pPr>
              <w:rPr>
                <w:rFonts w:ascii="Arial" w:hAnsi="Arial" w:cs="Arial"/>
              </w:rPr>
            </w:pPr>
          </w:p>
        </w:tc>
        <w:tc>
          <w:tcPr>
            <w:tcW w:w="2430" w:type="dxa"/>
          </w:tcPr>
          <w:p w14:paraId="6C08A295" w14:textId="77777777" w:rsidR="00EF4A54" w:rsidRPr="00FB2D86" w:rsidRDefault="00EF4A54" w:rsidP="00235E10">
            <w:pPr>
              <w:rPr>
                <w:rFonts w:ascii="Arial" w:hAnsi="Arial" w:cs="Arial"/>
              </w:rPr>
            </w:pPr>
            <w:r w:rsidRPr="00FB2D86">
              <w:rPr>
                <w:rFonts w:ascii="Arial" w:hAnsi="Arial" w:cs="Arial"/>
              </w:rPr>
              <w:t>20-25% EV Capable</w:t>
            </w:r>
          </w:p>
          <w:p w14:paraId="225223EB" w14:textId="77777777" w:rsidR="00EF4A54" w:rsidRPr="00FB2D86" w:rsidRDefault="00EF4A54" w:rsidP="00235E10">
            <w:pPr>
              <w:rPr>
                <w:rFonts w:ascii="Arial" w:hAnsi="Arial" w:cs="Arial"/>
              </w:rPr>
            </w:pPr>
            <w:r w:rsidRPr="00FB2D86">
              <w:rPr>
                <w:rFonts w:ascii="Arial" w:hAnsi="Arial" w:cs="Arial"/>
                <w:sz w:val="20"/>
                <w:szCs w:val="18"/>
              </w:rPr>
              <w:t>Group B &amp; Hotel-Motel (20+ spaces)</w:t>
            </w:r>
          </w:p>
        </w:tc>
      </w:tr>
    </w:tbl>
    <w:p w14:paraId="4EBF2FCF" w14:textId="77777777" w:rsidR="009E34F8" w:rsidRPr="009E34F8" w:rsidRDefault="009E34F8" w:rsidP="009E34F8">
      <w:pPr>
        <w:jc w:val="both"/>
        <w:rPr>
          <w:rFonts w:ascii="Arial" w:hAnsi="Arial" w:cs="Arial"/>
          <w:bCs/>
          <w:szCs w:val="24"/>
        </w:rPr>
      </w:pPr>
    </w:p>
    <w:p w14:paraId="1799FF14" w14:textId="77777777" w:rsidR="00EF4A54" w:rsidRDefault="00EF4A54" w:rsidP="00CF1465">
      <w:pPr>
        <w:jc w:val="both"/>
        <w:rPr>
          <w:rFonts w:ascii="Arial" w:hAnsi="Arial" w:cs="Arial"/>
          <w:bCs/>
          <w:szCs w:val="24"/>
        </w:rPr>
      </w:pPr>
      <w:r>
        <w:rPr>
          <w:rFonts w:ascii="Arial" w:hAnsi="Arial" w:cs="Arial"/>
          <w:bCs/>
          <w:szCs w:val="24"/>
        </w:rPr>
        <w:t xml:space="preserve">The report recommends that, in light of the SCAP goal of </w:t>
      </w:r>
      <w:r w:rsidRPr="00EF4A54">
        <w:rPr>
          <w:rFonts w:ascii="Arial" w:hAnsi="Arial" w:cs="Arial"/>
          <w:bCs/>
          <w:szCs w:val="24"/>
        </w:rPr>
        <w:t>100 percent EV market share for light duty vehicles sold in King County by 2035,</w:t>
      </w:r>
      <w:r>
        <w:rPr>
          <w:rFonts w:ascii="Arial" w:hAnsi="Arial" w:cs="Arial"/>
          <w:bCs/>
          <w:szCs w:val="24"/>
        </w:rPr>
        <w:t xml:space="preserve"> </w:t>
      </w:r>
      <w:r w:rsidR="00C95A7C">
        <w:rPr>
          <w:rFonts w:ascii="Arial" w:hAnsi="Arial" w:cs="Arial"/>
          <w:bCs/>
          <w:szCs w:val="24"/>
        </w:rPr>
        <w:t xml:space="preserve">a need to reduce </w:t>
      </w:r>
      <w:r w:rsidR="00C95A7C" w:rsidRPr="00C95A7C">
        <w:rPr>
          <w:rFonts w:ascii="Arial" w:hAnsi="Arial" w:cs="Arial"/>
          <w:bCs/>
          <w:szCs w:val="24"/>
        </w:rPr>
        <w:t>EV charging inequities, especially for limited-English speaking communities, communities of color, and individuals with low-incomes</w:t>
      </w:r>
      <w:r w:rsidR="00C95A7C">
        <w:rPr>
          <w:rFonts w:ascii="Arial" w:hAnsi="Arial" w:cs="Arial"/>
          <w:bCs/>
          <w:szCs w:val="24"/>
        </w:rPr>
        <w:t>, and to support EV adoption in the workplace and among commercial customers, the County adopt code amendments to require EV infrastructure to be installed with certain types of development.</w:t>
      </w:r>
    </w:p>
    <w:p w14:paraId="09DB64CE" w14:textId="77777777" w:rsidR="00C95A7C" w:rsidRDefault="00C95A7C" w:rsidP="00CF1465">
      <w:pPr>
        <w:jc w:val="both"/>
        <w:rPr>
          <w:rFonts w:ascii="Arial" w:hAnsi="Arial" w:cs="Arial"/>
          <w:bCs/>
          <w:szCs w:val="24"/>
        </w:rPr>
      </w:pPr>
    </w:p>
    <w:p w14:paraId="40B6F1B3" w14:textId="77777777" w:rsidR="00C95A7C" w:rsidRPr="00C95A7C" w:rsidRDefault="00C95A7C" w:rsidP="00CF1465">
      <w:pPr>
        <w:jc w:val="both"/>
        <w:rPr>
          <w:rFonts w:ascii="Arial" w:hAnsi="Arial" w:cs="Arial"/>
          <w:bCs/>
          <w:szCs w:val="24"/>
        </w:rPr>
      </w:pPr>
      <w:r>
        <w:rPr>
          <w:rFonts w:ascii="Arial" w:hAnsi="Arial" w:cs="Arial"/>
          <w:bCs/>
          <w:i/>
          <w:iCs/>
          <w:szCs w:val="24"/>
        </w:rPr>
        <w:t xml:space="preserve">Public Outreach and Engagement. </w:t>
      </w:r>
      <w:r>
        <w:rPr>
          <w:rFonts w:ascii="Arial" w:hAnsi="Arial" w:cs="Arial"/>
          <w:bCs/>
          <w:szCs w:val="24"/>
        </w:rPr>
        <w:t xml:space="preserve">According to the report, the executive consulted with the regional code collaboration, the Master Builders Association of King and Snohomish Counties, the Seattle King County Realtors Association, and other industry stakeholders. A public comment period was also held prior to transmittal of the ordinance. Feedback was received on </w:t>
      </w:r>
      <w:r w:rsidR="001E7F70">
        <w:rPr>
          <w:rFonts w:ascii="Arial" w:hAnsi="Arial" w:cs="Arial"/>
          <w:bCs/>
          <w:szCs w:val="24"/>
        </w:rPr>
        <w:t>several</w:t>
      </w:r>
      <w:r>
        <w:rPr>
          <w:rFonts w:ascii="Arial" w:hAnsi="Arial" w:cs="Arial"/>
          <w:bCs/>
          <w:szCs w:val="24"/>
        </w:rPr>
        <w:t xml:space="preserve"> topics, described on page 30 of the report.</w:t>
      </w:r>
      <w:r w:rsidR="002A2101">
        <w:rPr>
          <w:rFonts w:ascii="Arial" w:hAnsi="Arial" w:cs="Arial"/>
          <w:bCs/>
          <w:szCs w:val="24"/>
        </w:rPr>
        <w:t xml:space="preserve"> Changes included requiring one EV-ready spot per unit in a duplex, in line with other proposed townhouse requirements, as well as allowing load management to be used. Load management is a technique by which multiple EVSE can share a single circuit. This would allow for more vehicles to charge with less total infrastructure, therefore reducing the cost of installation but potentially increasing charge times </w:t>
      </w:r>
      <w:r w:rsidR="005873E4">
        <w:rPr>
          <w:rFonts w:ascii="Arial" w:hAnsi="Arial" w:cs="Arial"/>
          <w:bCs/>
          <w:szCs w:val="24"/>
        </w:rPr>
        <w:t>by some amount.</w:t>
      </w:r>
    </w:p>
    <w:p w14:paraId="45634914" w14:textId="77777777" w:rsidR="00EF4A54" w:rsidRDefault="00EF4A54" w:rsidP="00CF1465">
      <w:pPr>
        <w:jc w:val="both"/>
        <w:rPr>
          <w:rFonts w:ascii="Arial" w:hAnsi="Arial" w:cs="Arial"/>
          <w:b/>
          <w:szCs w:val="24"/>
        </w:rPr>
      </w:pPr>
    </w:p>
    <w:p w14:paraId="0CF75112" w14:textId="77777777" w:rsidR="00CF1465" w:rsidRPr="009E34F8" w:rsidRDefault="00CF1465" w:rsidP="00CF1465">
      <w:pPr>
        <w:jc w:val="both"/>
        <w:rPr>
          <w:rFonts w:ascii="Arial" w:hAnsi="Arial" w:cs="Arial"/>
          <w:bCs/>
          <w:szCs w:val="24"/>
        </w:rPr>
      </w:pPr>
      <w:r w:rsidRPr="009E34F8">
        <w:rPr>
          <w:rFonts w:ascii="Arial" w:hAnsi="Arial" w:cs="Arial"/>
          <w:b/>
          <w:szCs w:val="24"/>
        </w:rPr>
        <w:t xml:space="preserve">Proposed Ordinance. </w:t>
      </w:r>
      <w:r w:rsidRPr="009E34F8">
        <w:rPr>
          <w:rFonts w:ascii="Arial" w:hAnsi="Arial" w:cs="Arial"/>
          <w:bCs/>
          <w:szCs w:val="24"/>
        </w:rPr>
        <w:t xml:space="preserve"> PO 2020-0417 would amend King County Code Title 21A to implement the recommendations contained in the Executive's Electric Vehicle Charging Infrastructure Options Report. </w:t>
      </w:r>
    </w:p>
    <w:p w14:paraId="06EDD9FD" w14:textId="77777777" w:rsidR="00CF1465" w:rsidRPr="009E34F8" w:rsidRDefault="00CF1465" w:rsidP="00CF1465">
      <w:pPr>
        <w:jc w:val="both"/>
        <w:rPr>
          <w:rFonts w:ascii="Arial" w:hAnsi="Arial" w:cs="Arial"/>
          <w:bCs/>
          <w:szCs w:val="24"/>
        </w:rPr>
      </w:pPr>
    </w:p>
    <w:p w14:paraId="6DD06618" w14:textId="77777777" w:rsidR="00F33181" w:rsidRPr="009E34F8" w:rsidRDefault="00253754" w:rsidP="00E523DC">
      <w:pPr>
        <w:jc w:val="both"/>
        <w:rPr>
          <w:rFonts w:ascii="Arial" w:hAnsi="Arial" w:cs="Arial"/>
          <w:bCs/>
          <w:szCs w:val="24"/>
        </w:rPr>
      </w:pPr>
      <w:r w:rsidRPr="009E34F8">
        <w:rPr>
          <w:rFonts w:ascii="Arial" w:hAnsi="Arial" w:cs="Arial"/>
          <w:bCs/>
          <w:i/>
          <w:iCs/>
          <w:szCs w:val="24"/>
        </w:rPr>
        <w:t xml:space="preserve">Residential Requirements. </w:t>
      </w:r>
      <w:r w:rsidR="00F33181" w:rsidRPr="009E34F8">
        <w:rPr>
          <w:rFonts w:ascii="Arial" w:hAnsi="Arial" w:cs="Arial"/>
          <w:bCs/>
          <w:szCs w:val="24"/>
        </w:rPr>
        <w:t xml:space="preserve">Table </w:t>
      </w:r>
      <w:r w:rsidR="00452C5D">
        <w:rPr>
          <w:rFonts w:ascii="Arial" w:hAnsi="Arial" w:cs="Arial"/>
          <w:bCs/>
          <w:szCs w:val="24"/>
        </w:rPr>
        <w:t>5</w:t>
      </w:r>
      <w:r w:rsidR="00F33181" w:rsidRPr="009E34F8">
        <w:rPr>
          <w:rFonts w:ascii="Arial" w:hAnsi="Arial" w:cs="Arial"/>
          <w:bCs/>
          <w:szCs w:val="24"/>
        </w:rPr>
        <w:t xml:space="preserve"> below shows the number of EVSE spaces and electric-vehicle-ready spaces that would be required for new </w:t>
      </w:r>
      <w:r w:rsidR="007F31C4" w:rsidRPr="009E34F8">
        <w:rPr>
          <w:rFonts w:ascii="Arial" w:hAnsi="Arial" w:cs="Arial"/>
          <w:bCs/>
          <w:szCs w:val="24"/>
        </w:rPr>
        <w:t>and/</w:t>
      </w:r>
      <w:r w:rsidR="00F33181" w:rsidRPr="009E34F8">
        <w:rPr>
          <w:rFonts w:ascii="Arial" w:hAnsi="Arial" w:cs="Arial"/>
          <w:bCs/>
          <w:szCs w:val="24"/>
        </w:rPr>
        <w:t xml:space="preserve">or substantially </w:t>
      </w:r>
      <w:r w:rsidR="00F33181" w:rsidRPr="009E34F8">
        <w:rPr>
          <w:rFonts w:ascii="Arial" w:hAnsi="Arial" w:cs="Arial"/>
          <w:bCs/>
          <w:szCs w:val="24"/>
        </w:rPr>
        <w:lastRenderedPageBreak/>
        <w:t>improved</w:t>
      </w:r>
      <w:r w:rsidR="00F33181" w:rsidRPr="009E34F8">
        <w:rPr>
          <w:rStyle w:val="FootnoteReference"/>
          <w:rFonts w:cs="Arial"/>
          <w:bCs/>
          <w:szCs w:val="24"/>
        </w:rPr>
        <w:footnoteReference w:id="7"/>
      </w:r>
      <w:r w:rsidR="00F33181" w:rsidRPr="009E34F8">
        <w:rPr>
          <w:rFonts w:ascii="Arial" w:hAnsi="Arial" w:cs="Arial"/>
          <w:bCs/>
          <w:szCs w:val="24"/>
        </w:rPr>
        <w:t xml:space="preserve"> residential buildings, as well as the minimum total parking already required by code</w:t>
      </w:r>
      <w:r w:rsidR="002A538E" w:rsidRPr="009E34F8">
        <w:rPr>
          <w:rFonts w:ascii="Arial" w:hAnsi="Arial" w:cs="Arial"/>
          <w:bCs/>
          <w:szCs w:val="24"/>
        </w:rPr>
        <w:t xml:space="preserve">. </w:t>
      </w:r>
    </w:p>
    <w:p w14:paraId="6EE9A6D8" w14:textId="77777777" w:rsidR="00F33181" w:rsidRPr="009E34F8" w:rsidRDefault="00F33181" w:rsidP="00E523DC">
      <w:pPr>
        <w:jc w:val="both"/>
        <w:rPr>
          <w:rFonts w:ascii="Arial" w:hAnsi="Arial" w:cs="Arial"/>
          <w:bCs/>
          <w:szCs w:val="24"/>
        </w:rPr>
      </w:pPr>
    </w:p>
    <w:p w14:paraId="14B29DB0" w14:textId="77777777" w:rsidR="002A538E" w:rsidRPr="009E34F8" w:rsidRDefault="002A538E" w:rsidP="002A538E">
      <w:pPr>
        <w:jc w:val="center"/>
        <w:rPr>
          <w:rFonts w:ascii="Arial" w:hAnsi="Arial" w:cs="Arial"/>
          <w:b/>
          <w:szCs w:val="24"/>
        </w:rPr>
      </w:pPr>
      <w:r w:rsidRPr="009E34F8">
        <w:rPr>
          <w:rFonts w:ascii="Arial" w:hAnsi="Arial" w:cs="Arial"/>
          <w:b/>
          <w:szCs w:val="24"/>
        </w:rPr>
        <w:t xml:space="preserve">Table </w:t>
      </w:r>
      <w:r w:rsidR="00452C5D">
        <w:rPr>
          <w:rFonts w:ascii="Arial" w:hAnsi="Arial" w:cs="Arial"/>
          <w:b/>
          <w:szCs w:val="24"/>
        </w:rPr>
        <w:t>5</w:t>
      </w:r>
      <w:r w:rsidRPr="009E34F8">
        <w:rPr>
          <w:rFonts w:ascii="Arial" w:hAnsi="Arial" w:cs="Arial"/>
          <w:b/>
          <w:szCs w:val="24"/>
        </w:rPr>
        <w:t>: Proposed EV Requirements for Residential Buildings</w:t>
      </w:r>
    </w:p>
    <w:tbl>
      <w:tblPr>
        <w:tblStyle w:val="TableGrid"/>
        <w:tblW w:w="5000" w:type="pct"/>
        <w:tblLook w:val="04A0" w:firstRow="1" w:lastRow="0" w:firstColumn="1" w:lastColumn="0" w:noHBand="0" w:noVBand="1"/>
      </w:tblPr>
      <w:tblGrid>
        <w:gridCol w:w="2394"/>
        <w:gridCol w:w="2394"/>
        <w:gridCol w:w="2394"/>
        <w:gridCol w:w="2394"/>
      </w:tblGrid>
      <w:tr w:rsidR="00F33181" w:rsidRPr="009E34F8" w14:paraId="3D38B252" w14:textId="77777777" w:rsidTr="00E36AA8">
        <w:tc>
          <w:tcPr>
            <w:tcW w:w="1250" w:type="pct"/>
            <w:shd w:val="clear" w:color="auto" w:fill="000000" w:themeFill="text1"/>
          </w:tcPr>
          <w:p w14:paraId="23582E19" w14:textId="77777777" w:rsidR="00F33181" w:rsidRPr="00E36AA8" w:rsidRDefault="00BD1B06" w:rsidP="00F33181">
            <w:pPr>
              <w:rPr>
                <w:rFonts w:ascii="Arial" w:hAnsi="Arial" w:cs="Arial"/>
                <w:b/>
                <w:szCs w:val="24"/>
              </w:rPr>
            </w:pPr>
            <w:r w:rsidRPr="00E36AA8">
              <w:rPr>
                <w:rFonts w:ascii="Arial" w:hAnsi="Arial" w:cs="Arial"/>
                <w:b/>
                <w:szCs w:val="24"/>
              </w:rPr>
              <w:t xml:space="preserve">Development </w:t>
            </w:r>
            <w:r w:rsidR="00F33181" w:rsidRPr="00E36AA8">
              <w:rPr>
                <w:rFonts w:ascii="Arial" w:hAnsi="Arial" w:cs="Arial"/>
                <w:b/>
                <w:szCs w:val="24"/>
              </w:rPr>
              <w:t>Type</w:t>
            </w:r>
          </w:p>
        </w:tc>
        <w:tc>
          <w:tcPr>
            <w:tcW w:w="1250" w:type="pct"/>
            <w:shd w:val="clear" w:color="auto" w:fill="000000" w:themeFill="text1"/>
          </w:tcPr>
          <w:p w14:paraId="08ED41AA" w14:textId="77777777" w:rsidR="00F33181" w:rsidRPr="00E36AA8" w:rsidRDefault="00F33181" w:rsidP="00F33181">
            <w:pPr>
              <w:rPr>
                <w:rFonts w:ascii="Arial" w:hAnsi="Arial" w:cs="Arial"/>
                <w:b/>
                <w:szCs w:val="24"/>
              </w:rPr>
            </w:pPr>
            <w:r w:rsidRPr="00E36AA8">
              <w:rPr>
                <w:rFonts w:ascii="Arial" w:hAnsi="Arial" w:cs="Arial"/>
                <w:b/>
                <w:szCs w:val="24"/>
              </w:rPr>
              <w:t># of EVSE spaces</w:t>
            </w:r>
          </w:p>
        </w:tc>
        <w:tc>
          <w:tcPr>
            <w:tcW w:w="1250" w:type="pct"/>
            <w:shd w:val="clear" w:color="auto" w:fill="000000" w:themeFill="text1"/>
          </w:tcPr>
          <w:p w14:paraId="10FCBC4D" w14:textId="77777777" w:rsidR="00F33181" w:rsidRPr="00E36AA8" w:rsidRDefault="00F33181" w:rsidP="00F33181">
            <w:pPr>
              <w:rPr>
                <w:rFonts w:ascii="Arial" w:hAnsi="Arial" w:cs="Arial"/>
                <w:b/>
                <w:szCs w:val="24"/>
              </w:rPr>
            </w:pPr>
            <w:r w:rsidRPr="00E36AA8">
              <w:rPr>
                <w:rFonts w:ascii="Arial" w:hAnsi="Arial" w:cs="Arial"/>
                <w:b/>
                <w:szCs w:val="24"/>
              </w:rPr>
              <w:t xml:space="preserve"># of </w:t>
            </w:r>
            <w:r w:rsidR="00253754" w:rsidRPr="00E36AA8">
              <w:rPr>
                <w:rFonts w:ascii="Arial" w:hAnsi="Arial" w:cs="Arial"/>
                <w:b/>
                <w:szCs w:val="24"/>
              </w:rPr>
              <w:t>EV</w:t>
            </w:r>
            <w:r w:rsidRPr="00E36AA8">
              <w:rPr>
                <w:rFonts w:ascii="Arial" w:hAnsi="Arial" w:cs="Arial"/>
                <w:b/>
                <w:szCs w:val="24"/>
              </w:rPr>
              <w:t>-ready spaces</w:t>
            </w:r>
          </w:p>
        </w:tc>
        <w:tc>
          <w:tcPr>
            <w:tcW w:w="1250" w:type="pct"/>
            <w:shd w:val="clear" w:color="auto" w:fill="000000" w:themeFill="text1"/>
          </w:tcPr>
          <w:p w14:paraId="4AD08986" w14:textId="77777777" w:rsidR="00F33181" w:rsidRPr="00E36AA8" w:rsidRDefault="00F33181" w:rsidP="00F33181">
            <w:pPr>
              <w:rPr>
                <w:rFonts w:ascii="Arial" w:hAnsi="Arial" w:cs="Arial"/>
                <w:b/>
                <w:szCs w:val="24"/>
              </w:rPr>
            </w:pPr>
            <w:r w:rsidRPr="00E36AA8">
              <w:rPr>
                <w:rFonts w:ascii="Arial" w:hAnsi="Arial" w:cs="Arial"/>
                <w:b/>
                <w:szCs w:val="24"/>
              </w:rPr>
              <w:t>Total parking spaces required</w:t>
            </w:r>
          </w:p>
        </w:tc>
      </w:tr>
      <w:tr w:rsidR="00F33181" w:rsidRPr="009E34F8" w14:paraId="71B1A4A1" w14:textId="77777777" w:rsidTr="00F33181">
        <w:tc>
          <w:tcPr>
            <w:tcW w:w="1250" w:type="pct"/>
          </w:tcPr>
          <w:p w14:paraId="431DC90F" w14:textId="77777777" w:rsidR="00F33181" w:rsidRPr="009E34F8" w:rsidRDefault="007F31C4" w:rsidP="00F33181">
            <w:pPr>
              <w:rPr>
                <w:rFonts w:ascii="Arial" w:hAnsi="Arial" w:cs="Arial"/>
                <w:bCs/>
                <w:szCs w:val="24"/>
              </w:rPr>
            </w:pPr>
            <w:r w:rsidRPr="009E34F8">
              <w:rPr>
                <w:rFonts w:ascii="Arial" w:hAnsi="Arial" w:cs="Arial"/>
                <w:bCs/>
                <w:szCs w:val="24"/>
              </w:rPr>
              <w:t xml:space="preserve">New </w:t>
            </w:r>
            <w:r w:rsidR="00F33181" w:rsidRPr="009E34F8">
              <w:rPr>
                <w:rFonts w:ascii="Arial" w:hAnsi="Arial" w:cs="Arial"/>
                <w:bCs/>
                <w:szCs w:val="24"/>
              </w:rPr>
              <w:t>Single Detached</w:t>
            </w:r>
          </w:p>
        </w:tc>
        <w:tc>
          <w:tcPr>
            <w:tcW w:w="1250" w:type="pct"/>
          </w:tcPr>
          <w:p w14:paraId="68B7130C" w14:textId="77777777" w:rsidR="00F33181" w:rsidRPr="009E34F8" w:rsidRDefault="00F33181" w:rsidP="00F33181">
            <w:pPr>
              <w:rPr>
                <w:rFonts w:ascii="Arial" w:hAnsi="Arial" w:cs="Arial"/>
                <w:bCs/>
                <w:szCs w:val="24"/>
              </w:rPr>
            </w:pPr>
            <w:r w:rsidRPr="009E34F8">
              <w:rPr>
                <w:rFonts w:ascii="Arial" w:hAnsi="Arial" w:cs="Arial"/>
                <w:bCs/>
                <w:szCs w:val="24"/>
              </w:rPr>
              <w:t>0</w:t>
            </w:r>
          </w:p>
        </w:tc>
        <w:tc>
          <w:tcPr>
            <w:tcW w:w="1250" w:type="pct"/>
          </w:tcPr>
          <w:p w14:paraId="5262A1F4" w14:textId="77777777" w:rsidR="00F33181" w:rsidRPr="009E34F8" w:rsidRDefault="00F33181" w:rsidP="00F33181">
            <w:pPr>
              <w:rPr>
                <w:rFonts w:ascii="Arial" w:hAnsi="Arial" w:cs="Arial"/>
                <w:bCs/>
                <w:szCs w:val="24"/>
              </w:rPr>
            </w:pPr>
            <w:r w:rsidRPr="009E34F8">
              <w:rPr>
                <w:rFonts w:ascii="Arial" w:hAnsi="Arial" w:cs="Arial"/>
                <w:bCs/>
                <w:szCs w:val="24"/>
              </w:rPr>
              <w:t>1 per unit</w:t>
            </w:r>
          </w:p>
        </w:tc>
        <w:tc>
          <w:tcPr>
            <w:tcW w:w="1250" w:type="pct"/>
          </w:tcPr>
          <w:p w14:paraId="2CEBEB61" w14:textId="77777777" w:rsidR="00F33181" w:rsidRPr="009E34F8" w:rsidRDefault="00F33181" w:rsidP="00F33181">
            <w:pPr>
              <w:rPr>
                <w:rFonts w:ascii="Arial" w:hAnsi="Arial" w:cs="Arial"/>
                <w:bCs/>
                <w:szCs w:val="24"/>
              </w:rPr>
            </w:pPr>
            <w:r w:rsidRPr="009E34F8">
              <w:rPr>
                <w:rFonts w:ascii="Arial" w:hAnsi="Arial" w:cs="Arial"/>
                <w:bCs/>
                <w:szCs w:val="24"/>
              </w:rPr>
              <w:t>2 per unit</w:t>
            </w:r>
          </w:p>
        </w:tc>
      </w:tr>
      <w:tr w:rsidR="00F33181" w:rsidRPr="009E34F8" w14:paraId="055AEB7F" w14:textId="77777777" w:rsidTr="00F33181">
        <w:tc>
          <w:tcPr>
            <w:tcW w:w="1250" w:type="pct"/>
          </w:tcPr>
          <w:p w14:paraId="47059DC3" w14:textId="77777777" w:rsidR="00F33181" w:rsidRPr="009E34F8" w:rsidRDefault="007F31C4" w:rsidP="00F33181">
            <w:pPr>
              <w:rPr>
                <w:rFonts w:ascii="Arial" w:hAnsi="Arial" w:cs="Arial"/>
                <w:bCs/>
                <w:szCs w:val="24"/>
              </w:rPr>
            </w:pPr>
            <w:r w:rsidRPr="009E34F8">
              <w:rPr>
                <w:rFonts w:ascii="Arial" w:hAnsi="Arial" w:cs="Arial"/>
                <w:bCs/>
                <w:szCs w:val="24"/>
              </w:rPr>
              <w:t xml:space="preserve">New </w:t>
            </w:r>
            <w:r w:rsidR="00F33181" w:rsidRPr="009E34F8">
              <w:rPr>
                <w:rFonts w:ascii="Arial" w:hAnsi="Arial" w:cs="Arial"/>
                <w:bCs/>
                <w:szCs w:val="24"/>
              </w:rPr>
              <w:t>Townhouse</w:t>
            </w:r>
          </w:p>
        </w:tc>
        <w:tc>
          <w:tcPr>
            <w:tcW w:w="1250" w:type="pct"/>
          </w:tcPr>
          <w:p w14:paraId="3D82239F" w14:textId="77777777" w:rsidR="00F33181" w:rsidRPr="009E34F8" w:rsidRDefault="00F33181" w:rsidP="00F33181">
            <w:pPr>
              <w:rPr>
                <w:rFonts w:ascii="Arial" w:hAnsi="Arial" w:cs="Arial"/>
                <w:bCs/>
                <w:szCs w:val="24"/>
              </w:rPr>
            </w:pPr>
            <w:r w:rsidRPr="009E34F8">
              <w:rPr>
                <w:rFonts w:ascii="Arial" w:hAnsi="Arial" w:cs="Arial"/>
                <w:bCs/>
                <w:szCs w:val="24"/>
              </w:rPr>
              <w:t>0</w:t>
            </w:r>
          </w:p>
        </w:tc>
        <w:tc>
          <w:tcPr>
            <w:tcW w:w="1250" w:type="pct"/>
          </w:tcPr>
          <w:p w14:paraId="449D662D" w14:textId="77777777" w:rsidR="00F33181" w:rsidRPr="009E34F8" w:rsidRDefault="00F33181" w:rsidP="00F33181">
            <w:pPr>
              <w:rPr>
                <w:rFonts w:ascii="Arial" w:hAnsi="Arial" w:cs="Arial"/>
                <w:bCs/>
                <w:szCs w:val="24"/>
              </w:rPr>
            </w:pPr>
            <w:r w:rsidRPr="009E34F8">
              <w:rPr>
                <w:rFonts w:ascii="Arial" w:hAnsi="Arial" w:cs="Arial"/>
                <w:bCs/>
                <w:szCs w:val="24"/>
              </w:rPr>
              <w:t>1 per unit</w:t>
            </w:r>
          </w:p>
        </w:tc>
        <w:tc>
          <w:tcPr>
            <w:tcW w:w="1250" w:type="pct"/>
          </w:tcPr>
          <w:p w14:paraId="656596E6" w14:textId="77777777" w:rsidR="00F33181" w:rsidRPr="009E34F8" w:rsidRDefault="00F33181" w:rsidP="00F33181">
            <w:pPr>
              <w:rPr>
                <w:rFonts w:ascii="Arial" w:hAnsi="Arial" w:cs="Arial"/>
                <w:bCs/>
                <w:szCs w:val="24"/>
              </w:rPr>
            </w:pPr>
            <w:r w:rsidRPr="009E34F8">
              <w:rPr>
                <w:rFonts w:ascii="Arial" w:hAnsi="Arial" w:cs="Arial"/>
                <w:bCs/>
                <w:szCs w:val="24"/>
              </w:rPr>
              <w:t>2 per unit</w:t>
            </w:r>
          </w:p>
        </w:tc>
      </w:tr>
      <w:tr w:rsidR="00F33181" w:rsidRPr="009E34F8" w14:paraId="2C2E236D" w14:textId="77777777" w:rsidTr="00F33181">
        <w:tc>
          <w:tcPr>
            <w:tcW w:w="1250" w:type="pct"/>
          </w:tcPr>
          <w:p w14:paraId="0C0916DF" w14:textId="77777777" w:rsidR="00F33181" w:rsidRPr="009E34F8" w:rsidRDefault="007F31C4" w:rsidP="00F33181">
            <w:pPr>
              <w:rPr>
                <w:rFonts w:ascii="Arial" w:hAnsi="Arial" w:cs="Arial"/>
                <w:bCs/>
                <w:szCs w:val="24"/>
              </w:rPr>
            </w:pPr>
            <w:r w:rsidRPr="009E34F8">
              <w:rPr>
                <w:rFonts w:ascii="Arial" w:hAnsi="Arial" w:cs="Arial"/>
                <w:bCs/>
                <w:szCs w:val="24"/>
              </w:rPr>
              <w:t xml:space="preserve">New </w:t>
            </w:r>
            <w:r w:rsidR="00F33181" w:rsidRPr="009E34F8">
              <w:rPr>
                <w:rFonts w:ascii="Arial" w:hAnsi="Arial" w:cs="Arial"/>
                <w:bCs/>
                <w:szCs w:val="24"/>
              </w:rPr>
              <w:t>Cottage Housing</w:t>
            </w:r>
          </w:p>
        </w:tc>
        <w:tc>
          <w:tcPr>
            <w:tcW w:w="1250" w:type="pct"/>
          </w:tcPr>
          <w:p w14:paraId="53BF112C" w14:textId="77777777" w:rsidR="00F33181" w:rsidRPr="009E34F8" w:rsidRDefault="00F33181" w:rsidP="00F33181">
            <w:pPr>
              <w:rPr>
                <w:rFonts w:ascii="Arial" w:hAnsi="Arial" w:cs="Arial"/>
                <w:bCs/>
                <w:szCs w:val="24"/>
              </w:rPr>
            </w:pPr>
            <w:r w:rsidRPr="009E34F8">
              <w:rPr>
                <w:rFonts w:ascii="Arial" w:hAnsi="Arial" w:cs="Arial"/>
                <w:bCs/>
                <w:szCs w:val="24"/>
              </w:rPr>
              <w:t>0</w:t>
            </w:r>
          </w:p>
        </w:tc>
        <w:tc>
          <w:tcPr>
            <w:tcW w:w="1250" w:type="pct"/>
          </w:tcPr>
          <w:p w14:paraId="6402AC9C" w14:textId="77777777" w:rsidR="00F33181" w:rsidRPr="009E34F8" w:rsidRDefault="002A538E" w:rsidP="00F33181">
            <w:pPr>
              <w:rPr>
                <w:rFonts w:ascii="Arial" w:hAnsi="Arial" w:cs="Arial"/>
                <w:bCs/>
                <w:szCs w:val="24"/>
              </w:rPr>
            </w:pPr>
            <w:r w:rsidRPr="009E34F8">
              <w:rPr>
                <w:rFonts w:ascii="Arial" w:hAnsi="Arial" w:cs="Arial"/>
                <w:bCs/>
                <w:szCs w:val="24"/>
              </w:rPr>
              <w:t>1 per unit</w:t>
            </w:r>
          </w:p>
        </w:tc>
        <w:tc>
          <w:tcPr>
            <w:tcW w:w="1250" w:type="pct"/>
          </w:tcPr>
          <w:p w14:paraId="55A4BE87" w14:textId="77777777" w:rsidR="00F33181" w:rsidRPr="009E34F8" w:rsidRDefault="002A538E" w:rsidP="00F33181">
            <w:pPr>
              <w:rPr>
                <w:rFonts w:ascii="Arial" w:hAnsi="Arial" w:cs="Arial"/>
                <w:bCs/>
                <w:szCs w:val="24"/>
              </w:rPr>
            </w:pPr>
            <w:r w:rsidRPr="009E34F8">
              <w:rPr>
                <w:rFonts w:ascii="Arial" w:hAnsi="Arial" w:cs="Arial"/>
                <w:bCs/>
                <w:szCs w:val="24"/>
              </w:rPr>
              <w:t>1 per unit</w:t>
            </w:r>
          </w:p>
        </w:tc>
      </w:tr>
      <w:tr w:rsidR="00F33181" w:rsidRPr="009E34F8" w14:paraId="06A7D7D5" w14:textId="77777777" w:rsidTr="00F33181">
        <w:tc>
          <w:tcPr>
            <w:tcW w:w="1250" w:type="pct"/>
          </w:tcPr>
          <w:p w14:paraId="0111D309" w14:textId="77777777" w:rsidR="00F33181" w:rsidRPr="009E34F8" w:rsidRDefault="007F31C4" w:rsidP="00F33181">
            <w:pPr>
              <w:rPr>
                <w:rFonts w:ascii="Arial" w:hAnsi="Arial" w:cs="Arial"/>
                <w:bCs/>
                <w:szCs w:val="24"/>
              </w:rPr>
            </w:pPr>
            <w:r w:rsidRPr="009E34F8">
              <w:rPr>
                <w:rFonts w:ascii="Arial" w:hAnsi="Arial" w:cs="Arial"/>
                <w:bCs/>
                <w:szCs w:val="24"/>
              </w:rPr>
              <w:t>New or Substantially Improved A</w:t>
            </w:r>
            <w:r w:rsidR="00F33181" w:rsidRPr="009E34F8">
              <w:rPr>
                <w:rFonts w:ascii="Arial" w:hAnsi="Arial" w:cs="Arial"/>
                <w:bCs/>
                <w:szCs w:val="24"/>
              </w:rPr>
              <w:t>partment</w:t>
            </w:r>
          </w:p>
        </w:tc>
        <w:tc>
          <w:tcPr>
            <w:tcW w:w="1250" w:type="pct"/>
          </w:tcPr>
          <w:p w14:paraId="23D9A9DB" w14:textId="77777777" w:rsidR="00F33181" w:rsidRPr="009E34F8" w:rsidRDefault="002A538E" w:rsidP="00F33181">
            <w:pPr>
              <w:rPr>
                <w:rFonts w:ascii="Arial" w:hAnsi="Arial" w:cs="Arial"/>
                <w:bCs/>
                <w:szCs w:val="24"/>
              </w:rPr>
            </w:pPr>
            <w:r w:rsidRPr="009E34F8">
              <w:rPr>
                <w:rFonts w:ascii="Arial" w:hAnsi="Arial" w:cs="Arial"/>
                <w:bCs/>
                <w:szCs w:val="24"/>
              </w:rPr>
              <w:t>10% of total spaces</w:t>
            </w:r>
            <w:r w:rsidR="004D15A7" w:rsidRPr="009E34F8">
              <w:rPr>
                <w:rStyle w:val="FootnoteReference"/>
                <w:rFonts w:cs="Arial"/>
                <w:bCs/>
                <w:szCs w:val="24"/>
              </w:rPr>
              <w:footnoteReference w:id="8"/>
            </w:r>
          </w:p>
        </w:tc>
        <w:tc>
          <w:tcPr>
            <w:tcW w:w="1250" w:type="pct"/>
          </w:tcPr>
          <w:p w14:paraId="70560921" w14:textId="77777777" w:rsidR="00F33181" w:rsidRPr="009E34F8" w:rsidRDefault="002A538E" w:rsidP="00F33181">
            <w:pPr>
              <w:rPr>
                <w:rFonts w:ascii="Arial" w:hAnsi="Arial" w:cs="Arial"/>
                <w:bCs/>
                <w:szCs w:val="24"/>
              </w:rPr>
            </w:pPr>
            <w:r w:rsidRPr="009E34F8">
              <w:rPr>
                <w:rFonts w:ascii="Arial" w:hAnsi="Arial" w:cs="Arial"/>
                <w:bCs/>
                <w:szCs w:val="24"/>
              </w:rPr>
              <w:t>25% of total spaces</w:t>
            </w:r>
          </w:p>
        </w:tc>
        <w:tc>
          <w:tcPr>
            <w:tcW w:w="1250" w:type="pct"/>
          </w:tcPr>
          <w:p w14:paraId="2FA922C6" w14:textId="77777777" w:rsidR="00F33181" w:rsidRPr="009E34F8" w:rsidRDefault="002A538E" w:rsidP="00F33181">
            <w:pPr>
              <w:rPr>
                <w:rFonts w:ascii="Arial" w:hAnsi="Arial" w:cs="Arial"/>
                <w:bCs/>
                <w:szCs w:val="24"/>
              </w:rPr>
            </w:pPr>
            <w:r w:rsidRPr="009E34F8">
              <w:rPr>
                <w:rFonts w:ascii="Arial" w:hAnsi="Arial" w:cs="Arial"/>
                <w:bCs/>
                <w:szCs w:val="24"/>
              </w:rPr>
              <w:t>1.2 to 2 per unit, depending on number of bedrooms</w:t>
            </w:r>
          </w:p>
        </w:tc>
      </w:tr>
    </w:tbl>
    <w:p w14:paraId="700FA7F2" w14:textId="77777777" w:rsidR="00F33181" w:rsidRPr="009E34F8" w:rsidRDefault="00F33181" w:rsidP="00E523DC">
      <w:pPr>
        <w:jc w:val="both"/>
        <w:rPr>
          <w:rFonts w:ascii="Arial" w:hAnsi="Arial" w:cs="Arial"/>
          <w:bCs/>
          <w:szCs w:val="24"/>
        </w:rPr>
      </w:pPr>
    </w:p>
    <w:p w14:paraId="23AAD724" w14:textId="53BB8F8F" w:rsidR="002A538E" w:rsidRDefault="005F6934" w:rsidP="00E523DC">
      <w:pPr>
        <w:jc w:val="both"/>
        <w:rPr>
          <w:rFonts w:ascii="Arial" w:hAnsi="Arial" w:cs="Arial"/>
          <w:bCs/>
          <w:szCs w:val="24"/>
        </w:rPr>
      </w:pPr>
      <w:r w:rsidRPr="009E34F8">
        <w:rPr>
          <w:rFonts w:ascii="Arial" w:hAnsi="Arial" w:cs="Arial"/>
          <w:bCs/>
          <w:szCs w:val="24"/>
        </w:rPr>
        <w:t>For townhouse developments with nine or fewer dwelling units, the proposed ordinance would allow the number of EV</w:t>
      </w:r>
      <w:r w:rsidR="00253754" w:rsidRPr="009E34F8">
        <w:rPr>
          <w:rFonts w:ascii="Arial" w:hAnsi="Arial" w:cs="Arial"/>
          <w:bCs/>
          <w:szCs w:val="24"/>
        </w:rPr>
        <w:t>-</w:t>
      </w:r>
      <w:r w:rsidRPr="009E34F8">
        <w:rPr>
          <w:rFonts w:ascii="Arial" w:hAnsi="Arial" w:cs="Arial"/>
          <w:bCs/>
          <w:szCs w:val="24"/>
        </w:rPr>
        <w:t>ready spaces to be reduced if the applicant could prove that the electrical load needed would requ</w:t>
      </w:r>
      <w:r w:rsidR="00253754" w:rsidRPr="009E34F8">
        <w:rPr>
          <w:rFonts w:ascii="Arial" w:hAnsi="Arial" w:cs="Arial"/>
          <w:bCs/>
          <w:szCs w:val="24"/>
        </w:rPr>
        <w:t>ire an on-site transformer. The director could first reduce the number of EV-ready spaces</w:t>
      </w:r>
      <w:r w:rsidR="0002443D">
        <w:rPr>
          <w:rFonts w:ascii="Arial" w:hAnsi="Arial" w:cs="Arial"/>
          <w:bCs/>
          <w:szCs w:val="24"/>
        </w:rPr>
        <w:t xml:space="preserve"> required</w:t>
      </w:r>
      <w:r w:rsidR="00253754" w:rsidRPr="009E34F8">
        <w:rPr>
          <w:rFonts w:ascii="Arial" w:hAnsi="Arial" w:cs="Arial"/>
          <w:bCs/>
          <w:szCs w:val="24"/>
        </w:rPr>
        <w:t xml:space="preserve">, and then, if necessary, reduce the circuits from 208/240 volts to 120 volts, which would only support Level-1 charging. </w:t>
      </w:r>
    </w:p>
    <w:p w14:paraId="6C0C4D07" w14:textId="77777777" w:rsidR="00452C5D" w:rsidRDefault="00452C5D" w:rsidP="00E523DC">
      <w:pPr>
        <w:jc w:val="both"/>
        <w:rPr>
          <w:rFonts w:ascii="Arial" w:hAnsi="Arial" w:cs="Arial"/>
          <w:bCs/>
          <w:szCs w:val="24"/>
        </w:rPr>
      </w:pPr>
    </w:p>
    <w:p w14:paraId="2EF3F44A" w14:textId="77777777" w:rsidR="00452C5D" w:rsidRDefault="00452C5D" w:rsidP="00E523DC">
      <w:pPr>
        <w:jc w:val="both"/>
        <w:rPr>
          <w:rFonts w:ascii="Arial" w:hAnsi="Arial" w:cs="Arial"/>
          <w:bCs/>
          <w:szCs w:val="24"/>
        </w:rPr>
      </w:pPr>
      <w:r>
        <w:rPr>
          <w:rFonts w:ascii="Arial" w:hAnsi="Arial" w:cs="Arial"/>
          <w:bCs/>
          <w:szCs w:val="24"/>
        </w:rPr>
        <w:t>The proposed ordinance does not require EV infrastructure for other residential uses, such as accessory dwelling units, group residences</w:t>
      </w:r>
      <w:r>
        <w:rPr>
          <w:rStyle w:val="FootnoteReference"/>
          <w:rFonts w:cs="Arial"/>
          <w:bCs/>
          <w:szCs w:val="24"/>
        </w:rPr>
        <w:footnoteReference w:id="9"/>
      </w:r>
      <w:r>
        <w:rPr>
          <w:rFonts w:ascii="Arial" w:hAnsi="Arial" w:cs="Arial"/>
          <w:bCs/>
          <w:szCs w:val="24"/>
        </w:rPr>
        <w:t xml:space="preserve"> and temporary lodging.</w:t>
      </w:r>
      <w:r>
        <w:rPr>
          <w:rStyle w:val="FootnoteReference"/>
          <w:rFonts w:cs="Arial"/>
          <w:bCs/>
          <w:szCs w:val="24"/>
        </w:rPr>
        <w:footnoteReference w:id="10"/>
      </w:r>
      <w:r>
        <w:rPr>
          <w:rFonts w:ascii="Arial" w:hAnsi="Arial" w:cs="Arial"/>
          <w:bCs/>
          <w:szCs w:val="24"/>
        </w:rPr>
        <w:t xml:space="preserve"> Executive staff state that the intent was to require these uses to meet the same standards as nonresidential uses, shown in Table 6 below.</w:t>
      </w:r>
    </w:p>
    <w:p w14:paraId="5FEF8057" w14:textId="77777777" w:rsidR="00BD5772" w:rsidRDefault="00BD5772" w:rsidP="00E523DC">
      <w:pPr>
        <w:jc w:val="both"/>
        <w:rPr>
          <w:rFonts w:ascii="Arial" w:hAnsi="Arial" w:cs="Arial"/>
          <w:bCs/>
          <w:szCs w:val="24"/>
        </w:rPr>
      </w:pPr>
    </w:p>
    <w:p w14:paraId="021B720F" w14:textId="77777777" w:rsidR="00BD5772" w:rsidRDefault="00BD5772" w:rsidP="00E523DC">
      <w:pPr>
        <w:jc w:val="both"/>
        <w:rPr>
          <w:rFonts w:ascii="Arial" w:hAnsi="Arial" w:cs="Arial"/>
          <w:bCs/>
          <w:szCs w:val="24"/>
        </w:rPr>
      </w:pPr>
      <w:r>
        <w:rPr>
          <w:rFonts w:ascii="Arial" w:hAnsi="Arial" w:cs="Arial"/>
          <w:bCs/>
          <w:szCs w:val="24"/>
        </w:rPr>
        <w:t>Additionally, executive staff state that the proposed ordinance was intended to include a requirement that, whenever an apartment building expanded its parking area by 50% or more, that the parking area would need to meet the EV infrastructure requirements shown in the table above.</w:t>
      </w:r>
    </w:p>
    <w:p w14:paraId="71F364DD" w14:textId="77777777" w:rsidR="00253754" w:rsidRPr="009E34F8" w:rsidRDefault="00253754" w:rsidP="00CF1465">
      <w:pPr>
        <w:jc w:val="both"/>
        <w:rPr>
          <w:rFonts w:ascii="Arial" w:hAnsi="Arial" w:cs="Arial"/>
          <w:bCs/>
          <w:szCs w:val="24"/>
        </w:rPr>
      </w:pPr>
    </w:p>
    <w:p w14:paraId="21717411" w14:textId="5A69757C" w:rsidR="00E523DC" w:rsidRDefault="00253754" w:rsidP="00CF1465">
      <w:pPr>
        <w:jc w:val="both"/>
        <w:rPr>
          <w:rFonts w:ascii="Arial" w:hAnsi="Arial" w:cs="Arial"/>
          <w:bCs/>
          <w:szCs w:val="24"/>
        </w:rPr>
      </w:pPr>
      <w:r w:rsidRPr="009E34F8">
        <w:rPr>
          <w:rFonts w:ascii="Arial" w:hAnsi="Arial" w:cs="Arial"/>
          <w:bCs/>
          <w:i/>
          <w:iCs/>
          <w:szCs w:val="24"/>
        </w:rPr>
        <w:t xml:space="preserve">Nonresidential Requirements. </w:t>
      </w:r>
      <w:r w:rsidR="002A538E" w:rsidRPr="009E34F8">
        <w:rPr>
          <w:rFonts w:ascii="Arial" w:hAnsi="Arial" w:cs="Arial"/>
          <w:bCs/>
          <w:szCs w:val="24"/>
        </w:rPr>
        <w:t xml:space="preserve">Table </w:t>
      </w:r>
      <w:r w:rsidR="00452C5D">
        <w:rPr>
          <w:rFonts w:ascii="Arial" w:hAnsi="Arial" w:cs="Arial"/>
          <w:bCs/>
          <w:szCs w:val="24"/>
        </w:rPr>
        <w:t>6</w:t>
      </w:r>
      <w:r w:rsidR="002A538E" w:rsidRPr="009E34F8">
        <w:rPr>
          <w:rFonts w:ascii="Arial" w:hAnsi="Arial" w:cs="Arial"/>
          <w:bCs/>
          <w:szCs w:val="24"/>
        </w:rPr>
        <w:t xml:space="preserve"> shows the number of EVSE spaces and electric-vehicle-ready spaces that would be required for</w:t>
      </w:r>
      <w:r w:rsidR="007F31C4" w:rsidRPr="009E34F8">
        <w:rPr>
          <w:rFonts w:ascii="Arial" w:hAnsi="Arial" w:cs="Arial"/>
          <w:bCs/>
          <w:szCs w:val="24"/>
        </w:rPr>
        <w:t xml:space="preserve"> nonresidential development</w:t>
      </w:r>
      <w:r w:rsidR="00452C5D">
        <w:rPr>
          <w:rFonts w:ascii="Arial" w:hAnsi="Arial" w:cs="Arial"/>
          <w:bCs/>
          <w:szCs w:val="24"/>
        </w:rPr>
        <w:t>.</w:t>
      </w:r>
    </w:p>
    <w:p w14:paraId="1ACCF07D" w14:textId="4332A81A" w:rsidR="00DC4654" w:rsidRDefault="00DC4654" w:rsidP="00CF1465">
      <w:pPr>
        <w:jc w:val="both"/>
        <w:rPr>
          <w:rFonts w:ascii="Arial" w:hAnsi="Arial" w:cs="Arial"/>
          <w:bCs/>
          <w:szCs w:val="24"/>
        </w:rPr>
      </w:pPr>
    </w:p>
    <w:p w14:paraId="0967CC3C" w14:textId="6E12C4A7" w:rsidR="00DC4654" w:rsidRDefault="00DC4654" w:rsidP="00CF1465">
      <w:pPr>
        <w:jc w:val="both"/>
        <w:rPr>
          <w:rFonts w:ascii="Arial" w:hAnsi="Arial" w:cs="Arial"/>
          <w:bCs/>
          <w:szCs w:val="24"/>
        </w:rPr>
      </w:pPr>
    </w:p>
    <w:p w14:paraId="610F36F9" w14:textId="1FBCD57C" w:rsidR="00DC4654" w:rsidRDefault="00DC4654" w:rsidP="00CF1465">
      <w:pPr>
        <w:jc w:val="both"/>
        <w:rPr>
          <w:rFonts w:ascii="Arial" w:hAnsi="Arial" w:cs="Arial"/>
          <w:bCs/>
          <w:szCs w:val="24"/>
        </w:rPr>
      </w:pPr>
    </w:p>
    <w:p w14:paraId="2A56C686" w14:textId="5E0AB94D" w:rsidR="00DC4654" w:rsidRDefault="00DC4654" w:rsidP="00CF1465">
      <w:pPr>
        <w:jc w:val="both"/>
        <w:rPr>
          <w:rFonts w:ascii="Arial" w:hAnsi="Arial" w:cs="Arial"/>
          <w:bCs/>
          <w:szCs w:val="24"/>
        </w:rPr>
      </w:pPr>
    </w:p>
    <w:p w14:paraId="5C73A8C5" w14:textId="5C1E79B0" w:rsidR="00DC4654" w:rsidRDefault="00DC4654" w:rsidP="00CF1465">
      <w:pPr>
        <w:jc w:val="both"/>
        <w:rPr>
          <w:rFonts w:ascii="Arial" w:hAnsi="Arial" w:cs="Arial"/>
          <w:bCs/>
          <w:szCs w:val="24"/>
        </w:rPr>
      </w:pPr>
    </w:p>
    <w:p w14:paraId="182F32E6" w14:textId="65C072DA" w:rsidR="00DC4654" w:rsidRDefault="00DC4654" w:rsidP="00CF1465">
      <w:pPr>
        <w:jc w:val="both"/>
        <w:rPr>
          <w:rFonts w:ascii="Arial" w:hAnsi="Arial" w:cs="Arial"/>
          <w:bCs/>
          <w:szCs w:val="24"/>
        </w:rPr>
      </w:pPr>
    </w:p>
    <w:p w14:paraId="2302F21C" w14:textId="430ED8A4" w:rsidR="00DC4654" w:rsidRDefault="00DC4654" w:rsidP="00CF1465">
      <w:pPr>
        <w:jc w:val="both"/>
        <w:rPr>
          <w:rFonts w:ascii="Arial" w:hAnsi="Arial" w:cs="Arial"/>
          <w:bCs/>
          <w:szCs w:val="24"/>
        </w:rPr>
      </w:pPr>
    </w:p>
    <w:p w14:paraId="2B99D576" w14:textId="77777777" w:rsidR="00DC4654" w:rsidRPr="009E34F8" w:rsidRDefault="00DC4654" w:rsidP="00CF1465">
      <w:pPr>
        <w:jc w:val="both"/>
        <w:rPr>
          <w:rFonts w:ascii="Arial" w:hAnsi="Arial" w:cs="Arial"/>
          <w:bCs/>
          <w:szCs w:val="24"/>
        </w:rPr>
      </w:pPr>
    </w:p>
    <w:p w14:paraId="187E6B72" w14:textId="77777777" w:rsidR="002A538E" w:rsidRPr="009E34F8" w:rsidRDefault="002A538E" w:rsidP="00CF1465">
      <w:pPr>
        <w:jc w:val="both"/>
        <w:rPr>
          <w:rFonts w:ascii="Arial" w:hAnsi="Arial" w:cs="Arial"/>
          <w:bCs/>
          <w:szCs w:val="24"/>
        </w:rPr>
      </w:pPr>
    </w:p>
    <w:p w14:paraId="44ECC1E4" w14:textId="77777777" w:rsidR="002A538E" w:rsidRPr="009E34F8" w:rsidRDefault="002A538E" w:rsidP="002A538E">
      <w:pPr>
        <w:jc w:val="center"/>
        <w:rPr>
          <w:rFonts w:ascii="Arial" w:hAnsi="Arial" w:cs="Arial"/>
          <w:b/>
          <w:szCs w:val="24"/>
        </w:rPr>
      </w:pPr>
      <w:r w:rsidRPr="009E34F8">
        <w:rPr>
          <w:rFonts w:ascii="Arial" w:hAnsi="Arial" w:cs="Arial"/>
          <w:b/>
          <w:szCs w:val="24"/>
        </w:rPr>
        <w:lastRenderedPageBreak/>
        <w:t xml:space="preserve">Table </w:t>
      </w:r>
      <w:r w:rsidR="00452C5D">
        <w:rPr>
          <w:rFonts w:ascii="Arial" w:hAnsi="Arial" w:cs="Arial"/>
          <w:b/>
          <w:szCs w:val="24"/>
        </w:rPr>
        <w:t>6</w:t>
      </w:r>
      <w:r w:rsidRPr="009E34F8">
        <w:rPr>
          <w:rFonts w:ascii="Arial" w:hAnsi="Arial" w:cs="Arial"/>
          <w:b/>
          <w:szCs w:val="24"/>
        </w:rPr>
        <w:t xml:space="preserve">: Proposed EV Requirements for Nonresidential </w:t>
      </w:r>
      <w:r w:rsidR="00BD1B06" w:rsidRPr="009E34F8">
        <w:rPr>
          <w:rFonts w:ascii="Arial" w:hAnsi="Arial" w:cs="Arial"/>
          <w:b/>
          <w:szCs w:val="24"/>
        </w:rPr>
        <w:t>Buildings and Parking/Garage Uses</w:t>
      </w:r>
    </w:p>
    <w:tbl>
      <w:tblPr>
        <w:tblStyle w:val="TableGrid"/>
        <w:tblW w:w="5000" w:type="pct"/>
        <w:tblLook w:val="04A0" w:firstRow="1" w:lastRow="0" w:firstColumn="1" w:lastColumn="0" w:noHBand="0" w:noVBand="1"/>
      </w:tblPr>
      <w:tblGrid>
        <w:gridCol w:w="2394"/>
        <w:gridCol w:w="2394"/>
        <w:gridCol w:w="2394"/>
        <w:gridCol w:w="2394"/>
      </w:tblGrid>
      <w:tr w:rsidR="009E34F8" w:rsidRPr="009E34F8" w14:paraId="1B53839F" w14:textId="77777777" w:rsidTr="00E36AA8">
        <w:tc>
          <w:tcPr>
            <w:tcW w:w="1250" w:type="pct"/>
            <w:shd w:val="clear" w:color="auto" w:fill="000000" w:themeFill="text1"/>
          </w:tcPr>
          <w:p w14:paraId="49D71AA0" w14:textId="77777777" w:rsidR="002A538E" w:rsidRPr="00E36AA8" w:rsidRDefault="00BD1B06" w:rsidP="00235E10">
            <w:pPr>
              <w:rPr>
                <w:rFonts w:ascii="Arial" w:hAnsi="Arial" w:cs="Arial"/>
                <w:b/>
                <w:szCs w:val="24"/>
              </w:rPr>
            </w:pPr>
            <w:r w:rsidRPr="00E36AA8">
              <w:rPr>
                <w:rFonts w:ascii="Arial" w:hAnsi="Arial" w:cs="Arial"/>
                <w:b/>
                <w:szCs w:val="24"/>
              </w:rPr>
              <w:t>Development</w:t>
            </w:r>
            <w:r w:rsidR="002A538E" w:rsidRPr="00E36AA8">
              <w:rPr>
                <w:rFonts w:ascii="Arial" w:hAnsi="Arial" w:cs="Arial"/>
                <w:b/>
                <w:szCs w:val="24"/>
              </w:rPr>
              <w:t xml:space="preserve"> Type</w:t>
            </w:r>
          </w:p>
        </w:tc>
        <w:tc>
          <w:tcPr>
            <w:tcW w:w="1250" w:type="pct"/>
            <w:shd w:val="clear" w:color="auto" w:fill="000000" w:themeFill="text1"/>
          </w:tcPr>
          <w:p w14:paraId="5C253AF3" w14:textId="77777777" w:rsidR="002A538E" w:rsidRPr="00E36AA8" w:rsidRDefault="002A538E" w:rsidP="00235E10">
            <w:pPr>
              <w:rPr>
                <w:rFonts w:ascii="Arial" w:hAnsi="Arial" w:cs="Arial"/>
                <w:b/>
                <w:szCs w:val="24"/>
              </w:rPr>
            </w:pPr>
            <w:r w:rsidRPr="00E36AA8">
              <w:rPr>
                <w:rFonts w:ascii="Arial" w:hAnsi="Arial" w:cs="Arial"/>
                <w:b/>
                <w:szCs w:val="24"/>
              </w:rPr>
              <w:t># of EVSE spaces</w:t>
            </w:r>
          </w:p>
        </w:tc>
        <w:tc>
          <w:tcPr>
            <w:tcW w:w="1250" w:type="pct"/>
            <w:shd w:val="clear" w:color="auto" w:fill="000000" w:themeFill="text1"/>
          </w:tcPr>
          <w:p w14:paraId="1B53596A" w14:textId="77777777" w:rsidR="002A538E" w:rsidRPr="00E36AA8" w:rsidRDefault="002A538E" w:rsidP="00235E10">
            <w:pPr>
              <w:rPr>
                <w:rFonts w:ascii="Arial" w:hAnsi="Arial" w:cs="Arial"/>
                <w:b/>
                <w:szCs w:val="24"/>
              </w:rPr>
            </w:pPr>
            <w:r w:rsidRPr="00E36AA8">
              <w:rPr>
                <w:rFonts w:ascii="Arial" w:hAnsi="Arial" w:cs="Arial"/>
                <w:b/>
                <w:szCs w:val="24"/>
              </w:rPr>
              <w:t># of electric-vehicle-ready spaces</w:t>
            </w:r>
          </w:p>
        </w:tc>
        <w:tc>
          <w:tcPr>
            <w:tcW w:w="1250" w:type="pct"/>
            <w:shd w:val="clear" w:color="auto" w:fill="000000" w:themeFill="text1"/>
          </w:tcPr>
          <w:p w14:paraId="679A08E1" w14:textId="77777777" w:rsidR="002A538E" w:rsidRPr="00E36AA8" w:rsidRDefault="002A538E" w:rsidP="00235E10">
            <w:pPr>
              <w:rPr>
                <w:rFonts w:ascii="Arial" w:hAnsi="Arial" w:cs="Arial"/>
                <w:b/>
                <w:szCs w:val="24"/>
              </w:rPr>
            </w:pPr>
            <w:r w:rsidRPr="00E36AA8">
              <w:rPr>
                <w:rFonts w:ascii="Arial" w:hAnsi="Arial" w:cs="Arial"/>
                <w:b/>
                <w:szCs w:val="24"/>
              </w:rPr>
              <w:t>Total parking spaces required</w:t>
            </w:r>
          </w:p>
        </w:tc>
      </w:tr>
      <w:tr w:rsidR="009E34F8" w:rsidRPr="009E34F8" w14:paraId="0151A287" w14:textId="77777777" w:rsidTr="00235E10">
        <w:tc>
          <w:tcPr>
            <w:tcW w:w="1250" w:type="pct"/>
          </w:tcPr>
          <w:p w14:paraId="6DED231B" w14:textId="77777777" w:rsidR="002A538E" w:rsidRPr="009E34F8" w:rsidRDefault="007F31C4" w:rsidP="00235E10">
            <w:pPr>
              <w:rPr>
                <w:rFonts w:ascii="Arial" w:hAnsi="Arial" w:cs="Arial"/>
                <w:bCs/>
                <w:szCs w:val="24"/>
              </w:rPr>
            </w:pPr>
            <w:r w:rsidRPr="009E34F8">
              <w:rPr>
                <w:rFonts w:ascii="Arial" w:hAnsi="Arial" w:cs="Arial"/>
                <w:bCs/>
                <w:szCs w:val="24"/>
              </w:rPr>
              <w:t xml:space="preserve">New or Substantially Improved </w:t>
            </w:r>
            <w:r w:rsidR="002A538E" w:rsidRPr="009E34F8">
              <w:rPr>
                <w:rFonts w:ascii="Arial" w:hAnsi="Arial" w:cs="Arial"/>
                <w:bCs/>
                <w:szCs w:val="24"/>
              </w:rPr>
              <w:t>Nonresidential</w:t>
            </w:r>
            <w:r w:rsidR="00452C5D">
              <w:rPr>
                <w:rFonts w:ascii="Arial" w:hAnsi="Arial" w:cs="Arial"/>
                <w:bCs/>
                <w:szCs w:val="24"/>
              </w:rPr>
              <w:t xml:space="preserve"> Building</w:t>
            </w:r>
          </w:p>
        </w:tc>
        <w:tc>
          <w:tcPr>
            <w:tcW w:w="1250" w:type="pct"/>
          </w:tcPr>
          <w:p w14:paraId="3D68B36D" w14:textId="77777777" w:rsidR="002A538E" w:rsidRPr="009E34F8" w:rsidRDefault="002A538E" w:rsidP="00235E10">
            <w:pPr>
              <w:rPr>
                <w:rFonts w:ascii="Arial" w:hAnsi="Arial" w:cs="Arial"/>
                <w:bCs/>
                <w:szCs w:val="24"/>
              </w:rPr>
            </w:pPr>
            <w:r w:rsidRPr="009E34F8">
              <w:rPr>
                <w:rFonts w:ascii="Arial" w:hAnsi="Arial" w:cs="Arial"/>
                <w:bCs/>
                <w:szCs w:val="24"/>
              </w:rPr>
              <w:t>5% of total spaces</w:t>
            </w:r>
          </w:p>
        </w:tc>
        <w:tc>
          <w:tcPr>
            <w:tcW w:w="1250" w:type="pct"/>
          </w:tcPr>
          <w:p w14:paraId="74B836BC" w14:textId="77777777" w:rsidR="002A538E" w:rsidRPr="009E34F8" w:rsidRDefault="002A538E" w:rsidP="00235E10">
            <w:pPr>
              <w:rPr>
                <w:rFonts w:ascii="Arial" w:hAnsi="Arial" w:cs="Arial"/>
                <w:bCs/>
                <w:szCs w:val="24"/>
              </w:rPr>
            </w:pPr>
            <w:r w:rsidRPr="009E34F8">
              <w:rPr>
                <w:rFonts w:ascii="Arial" w:hAnsi="Arial" w:cs="Arial"/>
                <w:bCs/>
                <w:szCs w:val="24"/>
              </w:rPr>
              <w:t>10% of total spaces</w:t>
            </w:r>
          </w:p>
        </w:tc>
        <w:tc>
          <w:tcPr>
            <w:tcW w:w="1250" w:type="pct"/>
          </w:tcPr>
          <w:p w14:paraId="5A18B7D7" w14:textId="54A4D286" w:rsidR="002A538E" w:rsidRPr="009E34F8" w:rsidRDefault="0002443D" w:rsidP="00235E10">
            <w:pPr>
              <w:rPr>
                <w:rFonts w:ascii="Arial" w:hAnsi="Arial" w:cs="Arial"/>
                <w:bCs/>
                <w:szCs w:val="24"/>
              </w:rPr>
            </w:pPr>
            <w:r>
              <w:rPr>
                <w:rFonts w:ascii="Arial" w:hAnsi="Arial" w:cs="Arial"/>
                <w:bCs/>
                <w:szCs w:val="24"/>
              </w:rPr>
              <w:t>V</w:t>
            </w:r>
            <w:r w:rsidR="00BD1B06" w:rsidRPr="009E34F8">
              <w:rPr>
                <w:rFonts w:ascii="Arial" w:hAnsi="Arial" w:cs="Arial"/>
                <w:bCs/>
                <w:szCs w:val="24"/>
              </w:rPr>
              <w:t>aries</w:t>
            </w:r>
          </w:p>
        </w:tc>
      </w:tr>
      <w:tr w:rsidR="009E34F8" w:rsidRPr="009E34F8" w14:paraId="4A1CEC5A" w14:textId="77777777" w:rsidTr="00235E10">
        <w:tc>
          <w:tcPr>
            <w:tcW w:w="1250" w:type="pct"/>
          </w:tcPr>
          <w:p w14:paraId="33D4CC57" w14:textId="77777777" w:rsidR="00BD1B06" w:rsidRPr="009E34F8" w:rsidRDefault="007F31C4" w:rsidP="00BD1B06">
            <w:pPr>
              <w:rPr>
                <w:rFonts w:ascii="Arial" w:hAnsi="Arial" w:cs="Arial"/>
                <w:bCs/>
                <w:szCs w:val="24"/>
              </w:rPr>
            </w:pPr>
            <w:r w:rsidRPr="009E34F8">
              <w:rPr>
                <w:rFonts w:ascii="Arial" w:hAnsi="Arial" w:cs="Arial"/>
                <w:bCs/>
                <w:szCs w:val="24"/>
              </w:rPr>
              <w:t xml:space="preserve">New </w:t>
            </w:r>
            <w:r w:rsidR="00452C5D">
              <w:rPr>
                <w:rFonts w:ascii="Arial" w:hAnsi="Arial" w:cs="Arial"/>
                <w:bCs/>
                <w:szCs w:val="24"/>
              </w:rPr>
              <w:t xml:space="preserve">Surface </w:t>
            </w:r>
            <w:r w:rsidR="00BD1B06" w:rsidRPr="009E34F8">
              <w:rPr>
                <w:rFonts w:ascii="Arial" w:hAnsi="Arial" w:cs="Arial"/>
                <w:bCs/>
                <w:szCs w:val="24"/>
              </w:rPr>
              <w:t>Parking Lot or Garage</w:t>
            </w:r>
            <w:r w:rsidR="00452C5D">
              <w:rPr>
                <w:rFonts w:ascii="Arial" w:hAnsi="Arial" w:cs="Arial"/>
                <w:bCs/>
                <w:szCs w:val="24"/>
              </w:rPr>
              <w:t xml:space="preserve"> Use</w:t>
            </w:r>
          </w:p>
        </w:tc>
        <w:tc>
          <w:tcPr>
            <w:tcW w:w="1250" w:type="pct"/>
          </w:tcPr>
          <w:p w14:paraId="05B00166" w14:textId="77777777" w:rsidR="00BD1B06" w:rsidRPr="009E34F8" w:rsidRDefault="00BD1B06" w:rsidP="00BD1B06">
            <w:pPr>
              <w:rPr>
                <w:rFonts w:ascii="Arial" w:hAnsi="Arial" w:cs="Arial"/>
                <w:bCs/>
                <w:szCs w:val="24"/>
              </w:rPr>
            </w:pPr>
            <w:r w:rsidRPr="009E34F8">
              <w:rPr>
                <w:rFonts w:ascii="Arial" w:hAnsi="Arial" w:cs="Arial"/>
                <w:bCs/>
                <w:szCs w:val="24"/>
              </w:rPr>
              <w:t>5% of total spaces</w:t>
            </w:r>
          </w:p>
        </w:tc>
        <w:tc>
          <w:tcPr>
            <w:tcW w:w="1250" w:type="pct"/>
          </w:tcPr>
          <w:p w14:paraId="4C325239" w14:textId="77777777" w:rsidR="00BD1B06" w:rsidRPr="009E34F8" w:rsidRDefault="00BD1B06" w:rsidP="00BD1B06">
            <w:pPr>
              <w:rPr>
                <w:rFonts w:ascii="Arial" w:hAnsi="Arial" w:cs="Arial"/>
                <w:bCs/>
                <w:szCs w:val="24"/>
              </w:rPr>
            </w:pPr>
            <w:r w:rsidRPr="009E34F8">
              <w:rPr>
                <w:rFonts w:ascii="Arial" w:hAnsi="Arial" w:cs="Arial"/>
                <w:bCs/>
                <w:szCs w:val="24"/>
              </w:rPr>
              <w:t>10% of total spaces</w:t>
            </w:r>
          </w:p>
        </w:tc>
        <w:tc>
          <w:tcPr>
            <w:tcW w:w="1250" w:type="pct"/>
          </w:tcPr>
          <w:p w14:paraId="418944B0" w14:textId="77777777" w:rsidR="00BD1B06" w:rsidRPr="009E34F8" w:rsidRDefault="00BD1B06" w:rsidP="00BD1B06">
            <w:pPr>
              <w:rPr>
                <w:rFonts w:ascii="Arial" w:hAnsi="Arial" w:cs="Arial"/>
                <w:bCs/>
                <w:szCs w:val="24"/>
              </w:rPr>
            </w:pPr>
            <w:r w:rsidRPr="009E34F8">
              <w:rPr>
                <w:rFonts w:ascii="Arial" w:hAnsi="Arial" w:cs="Arial"/>
                <w:bCs/>
                <w:szCs w:val="24"/>
              </w:rPr>
              <w:t>N/A</w:t>
            </w:r>
          </w:p>
        </w:tc>
      </w:tr>
    </w:tbl>
    <w:p w14:paraId="52A41F6C" w14:textId="77777777" w:rsidR="00BD1B06" w:rsidRPr="009E34F8" w:rsidRDefault="00BD1B06" w:rsidP="005B478C">
      <w:pPr>
        <w:pStyle w:val="BodyText"/>
        <w:jc w:val="both"/>
        <w:rPr>
          <w:rFonts w:ascii="Arial" w:hAnsi="Arial" w:cs="Arial"/>
          <w:i w:val="0"/>
          <w:szCs w:val="24"/>
        </w:rPr>
      </w:pPr>
    </w:p>
    <w:p w14:paraId="7D564D32" w14:textId="77777777" w:rsidR="00BD5772" w:rsidRDefault="00BD5772" w:rsidP="005B478C">
      <w:pPr>
        <w:pStyle w:val="BodyText"/>
        <w:jc w:val="both"/>
        <w:rPr>
          <w:rFonts w:ascii="Arial" w:hAnsi="Arial" w:cs="Arial"/>
          <w:i w:val="0"/>
          <w:szCs w:val="24"/>
        </w:rPr>
      </w:pPr>
      <w:r>
        <w:rPr>
          <w:rFonts w:ascii="Arial" w:hAnsi="Arial" w:cs="Arial"/>
          <w:i w:val="0"/>
          <w:szCs w:val="24"/>
        </w:rPr>
        <w:t>T</w:t>
      </w:r>
      <w:r w:rsidRPr="009E34F8">
        <w:rPr>
          <w:rFonts w:ascii="Arial" w:hAnsi="Arial" w:cs="Arial"/>
          <w:i w:val="0"/>
          <w:szCs w:val="24"/>
        </w:rPr>
        <w:t>he terms "surface parking lot" and "parking garage" are not defined in code</w:t>
      </w:r>
      <w:r>
        <w:rPr>
          <w:rFonts w:ascii="Arial" w:hAnsi="Arial" w:cs="Arial"/>
          <w:i w:val="0"/>
          <w:szCs w:val="24"/>
        </w:rPr>
        <w:t>. Executive staff state that their intent is to require commuter parking lots</w:t>
      </w:r>
      <w:r w:rsidRPr="009E34F8">
        <w:rPr>
          <w:rFonts w:ascii="Arial" w:hAnsi="Arial" w:cs="Arial"/>
          <w:i w:val="0"/>
          <w:szCs w:val="24"/>
        </w:rPr>
        <w:t xml:space="preserve"> (i.e. park-and-rides) and automotive parking (i.e. commercial paid parking lots)</w:t>
      </w:r>
      <w:r>
        <w:rPr>
          <w:rFonts w:ascii="Arial" w:hAnsi="Arial" w:cs="Arial"/>
          <w:i w:val="0"/>
          <w:szCs w:val="24"/>
        </w:rPr>
        <w:t xml:space="preserve"> to meet the standards shown in that row of the table above. Commuter parking lot and Automotive parking are defined terms in the code. </w:t>
      </w:r>
    </w:p>
    <w:p w14:paraId="72DC64A2" w14:textId="77777777" w:rsidR="00BD5772" w:rsidRDefault="00BD5772" w:rsidP="005B478C">
      <w:pPr>
        <w:pStyle w:val="BodyText"/>
        <w:jc w:val="both"/>
        <w:rPr>
          <w:rFonts w:ascii="Arial" w:hAnsi="Arial" w:cs="Arial"/>
          <w:i w:val="0"/>
          <w:szCs w:val="24"/>
        </w:rPr>
      </w:pPr>
    </w:p>
    <w:p w14:paraId="0C0D833B" w14:textId="77777777" w:rsidR="004D15A7" w:rsidRDefault="00BD5772" w:rsidP="005B478C">
      <w:pPr>
        <w:pStyle w:val="BodyText"/>
        <w:jc w:val="both"/>
        <w:rPr>
          <w:rFonts w:ascii="Arial" w:hAnsi="Arial" w:cs="Arial"/>
          <w:i w:val="0"/>
          <w:szCs w:val="24"/>
        </w:rPr>
      </w:pPr>
      <w:r>
        <w:rPr>
          <w:rFonts w:ascii="Arial" w:hAnsi="Arial" w:cs="Arial"/>
          <w:iCs/>
          <w:szCs w:val="24"/>
        </w:rPr>
        <w:t xml:space="preserve">Accessible Parking. </w:t>
      </w:r>
      <w:r>
        <w:rPr>
          <w:rFonts w:ascii="Arial" w:hAnsi="Arial" w:cs="Arial"/>
          <w:i w:val="0"/>
          <w:szCs w:val="24"/>
        </w:rPr>
        <w:t xml:space="preserve">Whenever EVSE spaces were required, the </w:t>
      </w:r>
      <w:r w:rsidR="00235E10">
        <w:rPr>
          <w:rFonts w:ascii="Arial" w:hAnsi="Arial" w:cs="Arial"/>
          <w:i w:val="0"/>
          <w:szCs w:val="24"/>
        </w:rPr>
        <w:t>proposed ordinance would require that</w:t>
      </w:r>
      <w:r w:rsidR="004D15A7" w:rsidRPr="009E34F8">
        <w:rPr>
          <w:rFonts w:ascii="Arial" w:hAnsi="Arial" w:cs="Arial"/>
          <w:i w:val="0"/>
          <w:szCs w:val="24"/>
        </w:rPr>
        <w:t xml:space="preserve"> at least 5%</w:t>
      </w:r>
      <w:r w:rsidR="00452C5D">
        <w:rPr>
          <w:rFonts w:ascii="Arial" w:hAnsi="Arial" w:cs="Arial"/>
          <w:i w:val="0"/>
          <w:szCs w:val="24"/>
        </w:rPr>
        <w:t xml:space="preserve"> of all EVSE spaces</w:t>
      </w:r>
      <w:r w:rsidR="004D15A7" w:rsidRPr="009E34F8">
        <w:rPr>
          <w:rFonts w:ascii="Arial" w:hAnsi="Arial" w:cs="Arial"/>
          <w:i w:val="0"/>
          <w:szCs w:val="24"/>
        </w:rPr>
        <w:t>, but no less than one</w:t>
      </w:r>
      <w:r w:rsidR="00452C5D">
        <w:rPr>
          <w:rFonts w:ascii="Arial" w:hAnsi="Arial" w:cs="Arial"/>
          <w:i w:val="0"/>
          <w:szCs w:val="24"/>
        </w:rPr>
        <w:t xml:space="preserve"> space, w</w:t>
      </w:r>
      <w:r w:rsidR="004D15A7" w:rsidRPr="009E34F8">
        <w:rPr>
          <w:rFonts w:ascii="Arial" w:hAnsi="Arial" w:cs="Arial"/>
          <w:i w:val="0"/>
          <w:szCs w:val="24"/>
        </w:rPr>
        <w:t>ould be accessible.</w:t>
      </w:r>
      <w:r w:rsidR="00235E10">
        <w:rPr>
          <w:rFonts w:ascii="Arial" w:hAnsi="Arial" w:cs="Arial"/>
          <w:i w:val="0"/>
          <w:szCs w:val="24"/>
        </w:rPr>
        <w:t xml:space="preserve"> </w:t>
      </w:r>
      <w:r w:rsidR="00235E10" w:rsidRPr="00235E10">
        <w:rPr>
          <w:rFonts w:ascii="Arial" w:hAnsi="Arial" w:cs="Arial"/>
          <w:i w:val="0"/>
          <w:szCs w:val="24"/>
        </w:rPr>
        <w:t xml:space="preserve">The proposed ordinance does not clarify whether the required accessible EVSE spaces are in addition to the accessible spaces required by state law, or whether a single space could be counted </w:t>
      </w:r>
      <w:r w:rsidR="00235E10">
        <w:rPr>
          <w:rFonts w:ascii="Arial" w:hAnsi="Arial" w:cs="Arial"/>
          <w:i w:val="0"/>
          <w:szCs w:val="24"/>
        </w:rPr>
        <w:t>toward both requirements</w:t>
      </w:r>
      <w:r w:rsidR="00235E10" w:rsidRPr="00235E10">
        <w:rPr>
          <w:rFonts w:ascii="Arial" w:hAnsi="Arial" w:cs="Arial"/>
          <w:i w:val="0"/>
          <w:szCs w:val="24"/>
        </w:rPr>
        <w:t>.</w:t>
      </w:r>
      <w:r w:rsidR="00524931">
        <w:rPr>
          <w:rFonts w:ascii="Arial" w:hAnsi="Arial" w:cs="Arial"/>
          <w:i w:val="0"/>
          <w:szCs w:val="24"/>
        </w:rPr>
        <w:t xml:space="preserve"> Because</w:t>
      </w:r>
      <w:r w:rsidR="00524931" w:rsidRPr="00524931">
        <w:rPr>
          <w:rFonts w:ascii="Arial" w:hAnsi="Arial" w:cs="Arial"/>
          <w:i w:val="0"/>
          <w:szCs w:val="24"/>
        </w:rPr>
        <w:t xml:space="preserve"> state law only allows EVSE spaces to be used by someone actively charging their vehicle, and accessible spaces can only be used by a person with a disability, </w:t>
      </w:r>
      <w:r w:rsidR="00524931">
        <w:rPr>
          <w:rFonts w:ascii="Arial" w:hAnsi="Arial" w:cs="Arial"/>
          <w:i w:val="0"/>
          <w:szCs w:val="24"/>
        </w:rPr>
        <w:t>if these requirements were overlapping</w:t>
      </w:r>
      <w:r w:rsidR="00524931" w:rsidRPr="00524931">
        <w:rPr>
          <w:rFonts w:ascii="Arial" w:hAnsi="Arial" w:cs="Arial"/>
          <w:i w:val="0"/>
          <w:szCs w:val="24"/>
        </w:rPr>
        <w:t xml:space="preserve"> accessible EVSE spaces could only be used by a person with a disability who was actively charging their vehicle. </w:t>
      </w:r>
      <w:r w:rsidR="00235E10" w:rsidRPr="00235E10">
        <w:rPr>
          <w:rFonts w:ascii="Arial" w:hAnsi="Arial" w:cs="Arial"/>
          <w:i w:val="0"/>
          <w:szCs w:val="24"/>
        </w:rPr>
        <w:t xml:space="preserve"> Executive staff state</w:t>
      </w:r>
      <w:r w:rsidR="00235E10">
        <w:rPr>
          <w:rFonts w:ascii="Arial" w:hAnsi="Arial" w:cs="Arial"/>
          <w:i w:val="0"/>
          <w:szCs w:val="24"/>
        </w:rPr>
        <w:t xml:space="preserve"> that</w:t>
      </w:r>
      <w:r w:rsidR="00235E10" w:rsidRPr="00235E10">
        <w:rPr>
          <w:rFonts w:ascii="Arial" w:hAnsi="Arial" w:cs="Arial"/>
          <w:i w:val="0"/>
          <w:szCs w:val="24"/>
        </w:rPr>
        <w:t xml:space="preserve"> the intent is that accessible EVSE spaces are in addition to accessible spaces required by state </w:t>
      </w:r>
      <w:r w:rsidR="001E7F70" w:rsidRPr="00235E10">
        <w:rPr>
          <w:rFonts w:ascii="Arial" w:hAnsi="Arial" w:cs="Arial"/>
          <w:i w:val="0"/>
          <w:szCs w:val="24"/>
        </w:rPr>
        <w:t>law</w:t>
      </w:r>
      <w:r w:rsidR="001E7F70">
        <w:rPr>
          <w:rFonts w:ascii="Arial" w:hAnsi="Arial" w:cs="Arial"/>
          <w:i w:val="0"/>
          <w:szCs w:val="24"/>
        </w:rPr>
        <w:t xml:space="preserve"> and</w:t>
      </w:r>
      <w:r w:rsidR="00235E10">
        <w:rPr>
          <w:rFonts w:ascii="Arial" w:hAnsi="Arial" w:cs="Arial"/>
          <w:i w:val="0"/>
          <w:szCs w:val="24"/>
        </w:rPr>
        <w:t xml:space="preserve"> have recommended that this be clarified in the ordinance</w:t>
      </w:r>
      <w:r w:rsidR="00235E10" w:rsidRPr="00235E10">
        <w:rPr>
          <w:rFonts w:ascii="Arial" w:hAnsi="Arial" w:cs="Arial"/>
          <w:i w:val="0"/>
          <w:szCs w:val="24"/>
        </w:rPr>
        <w:t xml:space="preserve">. </w:t>
      </w:r>
    </w:p>
    <w:p w14:paraId="7D7022F4" w14:textId="77777777" w:rsidR="00235E10" w:rsidRPr="009E34F8" w:rsidRDefault="00235E10" w:rsidP="005B478C">
      <w:pPr>
        <w:pStyle w:val="BodyText"/>
        <w:jc w:val="both"/>
        <w:rPr>
          <w:rFonts w:ascii="Arial" w:hAnsi="Arial" w:cs="Arial"/>
          <w:i w:val="0"/>
          <w:szCs w:val="24"/>
        </w:rPr>
      </w:pPr>
    </w:p>
    <w:p w14:paraId="51F9F781" w14:textId="77777777" w:rsidR="005F6934" w:rsidRPr="009E34F8" w:rsidRDefault="00253754" w:rsidP="009E3D98">
      <w:pPr>
        <w:jc w:val="both"/>
        <w:rPr>
          <w:rFonts w:ascii="Arial" w:hAnsi="Arial" w:cs="Arial"/>
          <w:bCs/>
          <w:szCs w:val="24"/>
        </w:rPr>
      </w:pPr>
      <w:r w:rsidRPr="009E34F8">
        <w:rPr>
          <w:rFonts w:ascii="Arial" w:hAnsi="Arial" w:cs="Arial"/>
          <w:bCs/>
          <w:i/>
          <w:iCs/>
          <w:szCs w:val="24"/>
        </w:rPr>
        <w:t xml:space="preserve">Calculation Methods. </w:t>
      </w:r>
      <w:r w:rsidR="009E3D98" w:rsidRPr="009E34F8">
        <w:rPr>
          <w:rFonts w:ascii="Arial" w:hAnsi="Arial" w:cs="Arial"/>
          <w:bCs/>
          <w:szCs w:val="24"/>
        </w:rPr>
        <w:t xml:space="preserve">The proposed ordinance specifies that </w:t>
      </w:r>
      <w:r w:rsidR="005F6934" w:rsidRPr="009E34F8">
        <w:rPr>
          <w:rFonts w:ascii="Arial" w:hAnsi="Arial" w:cs="Arial"/>
          <w:bCs/>
          <w:szCs w:val="24"/>
        </w:rPr>
        <w:t>an applicant would need to provide the required percentage of EVSE spaces as well as the required percentage of electric-vehicle ready spaces. T</w:t>
      </w:r>
      <w:r w:rsidR="009E3D98" w:rsidRPr="009E34F8">
        <w:rPr>
          <w:rFonts w:ascii="Arial" w:hAnsi="Arial" w:cs="Arial"/>
          <w:bCs/>
          <w:szCs w:val="24"/>
        </w:rPr>
        <w:t>herefore</w:t>
      </w:r>
      <w:r w:rsidR="005F6934" w:rsidRPr="009E34F8">
        <w:rPr>
          <w:rFonts w:ascii="Arial" w:hAnsi="Arial" w:cs="Arial"/>
          <w:bCs/>
          <w:szCs w:val="24"/>
        </w:rPr>
        <w:t>, for instance,</w:t>
      </w:r>
      <w:r w:rsidR="009E3D98" w:rsidRPr="009E34F8">
        <w:rPr>
          <w:rFonts w:ascii="Arial" w:hAnsi="Arial" w:cs="Arial"/>
          <w:bCs/>
          <w:szCs w:val="24"/>
        </w:rPr>
        <w:t xml:space="preserve"> </w:t>
      </w:r>
      <w:r w:rsidR="005F6934" w:rsidRPr="009E34F8">
        <w:rPr>
          <w:rFonts w:ascii="Arial" w:hAnsi="Arial" w:cs="Arial"/>
          <w:bCs/>
          <w:szCs w:val="24"/>
        </w:rPr>
        <w:t>10</w:t>
      </w:r>
      <w:r w:rsidR="009E3D98" w:rsidRPr="009E34F8">
        <w:rPr>
          <w:rFonts w:ascii="Arial" w:hAnsi="Arial" w:cs="Arial"/>
          <w:bCs/>
          <w:szCs w:val="24"/>
        </w:rPr>
        <w:t xml:space="preserve">% of all parking spaces for an apartment building would need to </w:t>
      </w:r>
      <w:r w:rsidR="005F6934" w:rsidRPr="009E34F8">
        <w:rPr>
          <w:rFonts w:ascii="Arial" w:hAnsi="Arial" w:cs="Arial"/>
          <w:bCs/>
          <w:szCs w:val="24"/>
        </w:rPr>
        <w:t>have EVSE and an additional 25% of spaces would need to be electric-vehicle ready. However, the code would allow EVSE spaces provided over the minimum requirement to count as electric-vehicle ready spaces. Any fractions resulting from the percentage calculations above would be rounded up to the nearest whole number.</w:t>
      </w:r>
    </w:p>
    <w:p w14:paraId="7D98FC48" w14:textId="77777777" w:rsidR="00253754" w:rsidRPr="009E34F8" w:rsidRDefault="00253754" w:rsidP="009E3D98">
      <w:pPr>
        <w:jc w:val="both"/>
        <w:rPr>
          <w:rFonts w:ascii="Arial" w:hAnsi="Arial" w:cs="Arial"/>
          <w:bCs/>
          <w:szCs w:val="24"/>
        </w:rPr>
      </w:pPr>
    </w:p>
    <w:p w14:paraId="71134FFD" w14:textId="77777777" w:rsidR="00253754" w:rsidRPr="009E34F8" w:rsidRDefault="00253754" w:rsidP="009E3D98">
      <w:pPr>
        <w:jc w:val="both"/>
        <w:rPr>
          <w:rFonts w:ascii="Arial" w:hAnsi="Arial" w:cs="Arial"/>
          <w:bCs/>
          <w:szCs w:val="24"/>
        </w:rPr>
      </w:pPr>
      <w:r w:rsidRPr="009E34F8">
        <w:rPr>
          <w:rFonts w:ascii="Arial" w:hAnsi="Arial" w:cs="Arial"/>
          <w:bCs/>
          <w:i/>
          <w:iCs/>
          <w:szCs w:val="24"/>
        </w:rPr>
        <w:t xml:space="preserve">Load Management. </w:t>
      </w:r>
      <w:r w:rsidR="00C95A7C">
        <w:rPr>
          <w:rFonts w:ascii="Arial" w:hAnsi="Arial" w:cs="Arial"/>
          <w:bCs/>
          <w:szCs w:val="24"/>
        </w:rPr>
        <w:t>L</w:t>
      </w:r>
      <w:r w:rsidRPr="009E34F8">
        <w:rPr>
          <w:rFonts w:ascii="Arial" w:hAnsi="Arial" w:cs="Arial"/>
          <w:bCs/>
          <w:szCs w:val="24"/>
        </w:rPr>
        <w:t>oad management allows for multiple electric vehicles to be served from a single branch circuit. The proposed ordinance would allow for load management, meaning that fewer circuits could be provided to support the same number of EVSE or EV-ready spaces. As mentioned above, this would reduce installation costs but could also increase charging times.</w:t>
      </w:r>
    </w:p>
    <w:p w14:paraId="0CF0843D" w14:textId="77777777" w:rsidR="005F6934" w:rsidRPr="009E34F8" w:rsidRDefault="005F6934" w:rsidP="009E3D98">
      <w:pPr>
        <w:jc w:val="both"/>
        <w:rPr>
          <w:rFonts w:ascii="Arial" w:hAnsi="Arial" w:cs="Arial"/>
          <w:bCs/>
          <w:szCs w:val="24"/>
        </w:rPr>
      </w:pPr>
    </w:p>
    <w:p w14:paraId="020DDE39" w14:textId="77777777" w:rsidR="00F14EC0" w:rsidRPr="009E34F8" w:rsidRDefault="00253754" w:rsidP="009E3D98">
      <w:pPr>
        <w:jc w:val="both"/>
        <w:rPr>
          <w:rFonts w:ascii="Arial" w:hAnsi="Arial" w:cs="Arial"/>
          <w:bCs/>
          <w:szCs w:val="24"/>
        </w:rPr>
      </w:pPr>
      <w:r w:rsidRPr="009E34F8">
        <w:rPr>
          <w:rFonts w:ascii="Arial" w:hAnsi="Arial" w:cs="Arial"/>
          <w:bCs/>
          <w:i/>
          <w:iCs/>
          <w:szCs w:val="24"/>
        </w:rPr>
        <w:t>Policy Issues</w:t>
      </w:r>
      <w:r w:rsidR="006D11FA" w:rsidRPr="009E34F8">
        <w:rPr>
          <w:rFonts w:ascii="Arial" w:hAnsi="Arial" w:cs="Arial"/>
          <w:bCs/>
          <w:i/>
          <w:iCs/>
          <w:szCs w:val="24"/>
        </w:rPr>
        <w:t xml:space="preserve"> for Council Consideration</w:t>
      </w:r>
      <w:r w:rsidRPr="009E34F8">
        <w:rPr>
          <w:rFonts w:ascii="Arial" w:hAnsi="Arial" w:cs="Arial"/>
          <w:bCs/>
          <w:i/>
          <w:iCs/>
          <w:szCs w:val="24"/>
        </w:rPr>
        <w:t xml:space="preserve">. </w:t>
      </w:r>
      <w:r w:rsidR="00F14EC0" w:rsidRPr="009E34F8">
        <w:rPr>
          <w:rFonts w:ascii="Arial" w:hAnsi="Arial" w:cs="Arial"/>
          <w:bCs/>
          <w:szCs w:val="24"/>
        </w:rPr>
        <w:t>There are number of policy issues for Councilmembers to consider.</w:t>
      </w:r>
    </w:p>
    <w:p w14:paraId="6912DDD0" w14:textId="77777777" w:rsidR="00F14EC0" w:rsidRPr="009E34F8" w:rsidRDefault="00F14EC0" w:rsidP="00F14EC0">
      <w:pPr>
        <w:pStyle w:val="ListParagraph0"/>
        <w:jc w:val="both"/>
        <w:rPr>
          <w:rFonts w:ascii="Arial" w:hAnsi="Arial" w:cs="Arial"/>
          <w:bCs/>
        </w:rPr>
      </w:pPr>
    </w:p>
    <w:p w14:paraId="13D45BBE" w14:textId="77777777" w:rsidR="00235E10" w:rsidRPr="00524931" w:rsidRDefault="00235E10" w:rsidP="00524931">
      <w:pPr>
        <w:pStyle w:val="ListParagraph0"/>
        <w:numPr>
          <w:ilvl w:val="0"/>
          <w:numId w:val="48"/>
        </w:numPr>
        <w:spacing w:after="120"/>
        <w:jc w:val="both"/>
        <w:rPr>
          <w:rFonts w:ascii="Arial" w:hAnsi="Arial" w:cs="Arial"/>
        </w:rPr>
      </w:pPr>
      <w:r>
        <w:rPr>
          <w:rFonts w:ascii="Arial" w:hAnsi="Arial" w:cs="Arial"/>
          <w:bCs/>
        </w:rPr>
        <w:t>The Electric Vehicle Charging Infrastructure Options Report recommended that the Council pass code changes to mandate EV infrastructure rather than pursue incentive programs to encourage EV infrastructure.</w:t>
      </w:r>
      <w:r w:rsidR="00F36138">
        <w:rPr>
          <w:rFonts w:ascii="Arial" w:hAnsi="Arial" w:cs="Arial"/>
          <w:bCs/>
        </w:rPr>
        <w:t xml:space="preserve"> The report states that incentive programs were not recommended because of their relative rarity at the local government level and that executive staff believed incentives would result in uneven distribution of EV infrastructure. However, the effectiveness of incentives used by other entities was not discussed, and an assessment of how incentives might further increase the amount of EV infrastructure in an environment where a minimum amount was already required was not provided. </w:t>
      </w:r>
      <w:r>
        <w:rPr>
          <w:rFonts w:ascii="Arial" w:hAnsi="Arial" w:cs="Arial"/>
          <w:bCs/>
        </w:rPr>
        <w:t xml:space="preserve">Councilmembers may wish to pursue incentive options </w:t>
      </w:r>
      <w:r w:rsidRPr="00524931">
        <w:rPr>
          <w:rFonts w:ascii="Arial" w:hAnsi="Arial" w:cs="Arial"/>
        </w:rPr>
        <w:t xml:space="preserve">in addition to or instead of </w:t>
      </w:r>
      <w:r w:rsidR="00F36138">
        <w:rPr>
          <w:rFonts w:ascii="Arial" w:hAnsi="Arial" w:cs="Arial"/>
        </w:rPr>
        <w:t xml:space="preserve">code </w:t>
      </w:r>
      <w:r w:rsidRPr="00524931">
        <w:rPr>
          <w:rFonts w:ascii="Arial" w:hAnsi="Arial" w:cs="Arial"/>
        </w:rPr>
        <w:t>requirements.</w:t>
      </w:r>
    </w:p>
    <w:p w14:paraId="54D05712" w14:textId="77777777" w:rsidR="009E3D98" w:rsidRPr="00524931" w:rsidRDefault="00F14EC0" w:rsidP="00524931">
      <w:pPr>
        <w:pStyle w:val="ListParagraph0"/>
        <w:numPr>
          <w:ilvl w:val="0"/>
          <w:numId w:val="48"/>
        </w:numPr>
        <w:spacing w:after="120"/>
        <w:jc w:val="both"/>
        <w:rPr>
          <w:rFonts w:ascii="Arial" w:hAnsi="Arial" w:cs="Arial"/>
        </w:rPr>
      </w:pPr>
      <w:r w:rsidRPr="00524931">
        <w:rPr>
          <w:rFonts w:ascii="Arial" w:hAnsi="Arial" w:cs="Arial"/>
        </w:rPr>
        <w:t xml:space="preserve">The proposed 2020 SCAP sets a target </w:t>
      </w:r>
      <w:r w:rsidR="00B73F29" w:rsidRPr="00524931">
        <w:rPr>
          <w:rFonts w:ascii="Arial" w:hAnsi="Arial" w:cs="Arial"/>
        </w:rPr>
        <w:t>that,</w:t>
      </w:r>
      <w:r w:rsidR="00B73F29" w:rsidRPr="009E34F8">
        <w:rPr>
          <w:rFonts w:ascii="Arial" w:hAnsi="Arial" w:cs="Arial"/>
        </w:rPr>
        <w:t xml:space="preserve"> </w:t>
      </w:r>
      <w:r w:rsidR="00B73F29" w:rsidRPr="00524931">
        <w:rPr>
          <w:rFonts w:ascii="Arial" w:hAnsi="Arial" w:cs="Arial"/>
        </w:rPr>
        <w:t xml:space="preserve">by 2035, 100% of light-duty vehicles, 50% of medium-duty vehicles, and 28% of </w:t>
      </w:r>
      <w:r w:rsidR="001E7F70" w:rsidRPr="00524931">
        <w:rPr>
          <w:rFonts w:ascii="Arial" w:hAnsi="Arial" w:cs="Arial"/>
        </w:rPr>
        <w:t>heavy-duty</w:t>
      </w:r>
      <w:r w:rsidR="00B73F29" w:rsidRPr="00524931">
        <w:rPr>
          <w:rFonts w:ascii="Arial" w:hAnsi="Arial" w:cs="Arial"/>
        </w:rPr>
        <w:t xml:space="preserve"> vehicles sold in the county are EVs. Executive staff state that the </w:t>
      </w:r>
      <w:r w:rsidR="001D4C77" w:rsidRPr="00524931">
        <w:rPr>
          <w:rFonts w:ascii="Arial" w:hAnsi="Arial" w:cs="Arial"/>
        </w:rPr>
        <w:t>rate at which development is occurring in the unincorporated areas would not be enough so that these regulations alone would satisfy the demand for EV charging were this SCAP goal met.</w:t>
      </w:r>
      <w:r w:rsidR="00E36AA8">
        <w:rPr>
          <w:rFonts w:ascii="Arial" w:hAnsi="Arial" w:cs="Arial"/>
        </w:rPr>
        <w:t xml:space="preserve"> </w:t>
      </w:r>
      <w:r w:rsidR="00E13337" w:rsidRPr="00524931">
        <w:rPr>
          <w:rFonts w:ascii="Arial" w:hAnsi="Arial" w:cs="Arial"/>
        </w:rPr>
        <w:t xml:space="preserve">Councilmembers may </w:t>
      </w:r>
      <w:r w:rsidR="00E13337">
        <w:rPr>
          <w:rFonts w:ascii="Arial" w:hAnsi="Arial" w:cs="Arial"/>
        </w:rPr>
        <w:t xml:space="preserve">wish to </w:t>
      </w:r>
      <w:r w:rsidR="00E13337" w:rsidRPr="00524931">
        <w:rPr>
          <w:rFonts w:ascii="Arial" w:hAnsi="Arial" w:cs="Arial"/>
        </w:rPr>
        <w:t>consider different development actions that would trigger EV requirements</w:t>
      </w:r>
      <w:r w:rsidR="00E13337">
        <w:rPr>
          <w:rFonts w:ascii="Arial" w:hAnsi="Arial" w:cs="Arial"/>
        </w:rPr>
        <w:t xml:space="preserve"> or</w:t>
      </w:r>
      <w:r w:rsidR="00E13337" w:rsidRPr="00524931">
        <w:rPr>
          <w:rFonts w:ascii="Arial" w:hAnsi="Arial" w:cs="Arial"/>
        </w:rPr>
        <w:t xml:space="preserve"> different percentages or ratios of EV infrastructure required with development</w:t>
      </w:r>
      <w:r w:rsidR="00E13337">
        <w:rPr>
          <w:rFonts w:ascii="Arial" w:hAnsi="Arial" w:cs="Arial"/>
        </w:rPr>
        <w:t>.</w:t>
      </w:r>
    </w:p>
    <w:p w14:paraId="57A93F94" w14:textId="77777777" w:rsidR="00BD1B06" w:rsidRPr="004D41EF" w:rsidRDefault="00235E10" w:rsidP="005B478C">
      <w:pPr>
        <w:pStyle w:val="ListParagraph0"/>
        <w:numPr>
          <w:ilvl w:val="0"/>
          <w:numId w:val="48"/>
        </w:numPr>
        <w:spacing w:after="120"/>
        <w:jc w:val="both"/>
        <w:rPr>
          <w:rFonts w:ascii="Arial" w:hAnsi="Arial" w:cs="Arial"/>
        </w:rPr>
      </w:pPr>
      <w:r w:rsidRPr="00524931">
        <w:rPr>
          <w:rFonts w:ascii="Arial" w:hAnsi="Arial" w:cs="Arial"/>
        </w:rPr>
        <w:t xml:space="preserve">As discussed above, </w:t>
      </w:r>
      <w:r w:rsidR="00E03F65" w:rsidRPr="00524931">
        <w:rPr>
          <w:rFonts w:ascii="Arial" w:hAnsi="Arial" w:cs="Arial"/>
        </w:rPr>
        <w:t>the executive has recommended changes to clarify that any accessible EVSE parking spaces are in addition to, not in place of, state-mandated accessible spaces.</w:t>
      </w:r>
      <w:r w:rsidR="00E03F65">
        <w:rPr>
          <w:rFonts w:ascii="Arial" w:hAnsi="Arial" w:cs="Arial"/>
        </w:rPr>
        <w:t xml:space="preserve"> This would mean that any development with EVSE spaces would have at least one regular accessible space and at least one accessible EVSE space.</w:t>
      </w:r>
      <w:r w:rsidR="00E03F65" w:rsidRPr="00524931">
        <w:rPr>
          <w:rFonts w:ascii="Arial" w:hAnsi="Arial" w:cs="Arial"/>
        </w:rPr>
        <w:t xml:space="preserve"> </w:t>
      </w:r>
      <w:r w:rsidR="00E03F65">
        <w:rPr>
          <w:rFonts w:ascii="Arial" w:hAnsi="Arial" w:cs="Arial"/>
        </w:rPr>
        <w:t>However, this would still</w:t>
      </w:r>
      <w:r w:rsidR="00E03F65" w:rsidRPr="008A4F50">
        <w:rPr>
          <w:rFonts w:ascii="Arial" w:hAnsi="Arial" w:cs="Arial"/>
          <w:iCs/>
        </w:rPr>
        <w:t xml:space="preserve"> mean that</w:t>
      </w:r>
      <w:r w:rsidR="00E03F65">
        <w:rPr>
          <w:rFonts w:ascii="Arial" w:hAnsi="Arial" w:cs="Arial"/>
          <w:iCs/>
        </w:rPr>
        <w:t>, in small lots that only require one EVSE space,</w:t>
      </w:r>
      <w:r w:rsidR="00E03F65" w:rsidRPr="008A4F50">
        <w:rPr>
          <w:rFonts w:ascii="Arial" w:hAnsi="Arial" w:cs="Arial"/>
          <w:iCs/>
        </w:rPr>
        <w:t xml:space="preserve"> one could only charge their vehicle in th</w:t>
      </w:r>
      <w:r w:rsidR="00E03F65">
        <w:rPr>
          <w:rFonts w:ascii="Arial" w:hAnsi="Arial" w:cs="Arial"/>
          <w:iCs/>
        </w:rPr>
        <w:t>e</w:t>
      </w:r>
      <w:r w:rsidR="00E03F65" w:rsidRPr="008A4F50">
        <w:rPr>
          <w:rFonts w:ascii="Arial" w:hAnsi="Arial" w:cs="Arial"/>
          <w:iCs/>
        </w:rPr>
        <w:t xml:space="preserve"> space if they also had a permit to park in an accessible space. The proposed ordinance does allow for load management, so in theory two charging ports could be attached to a single circuit so that an adjacent, non-accessible space could also charge, but this would not be required. Councilmembers may wish to consider changes to the requirements for EVSE provided in this scenario.</w:t>
      </w:r>
    </w:p>
    <w:p w14:paraId="12F8FC24" w14:textId="479EC717" w:rsidR="004D41EF" w:rsidRPr="00DC4654" w:rsidRDefault="004D41EF" w:rsidP="005B478C">
      <w:pPr>
        <w:pStyle w:val="ListParagraph0"/>
        <w:numPr>
          <w:ilvl w:val="0"/>
          <w:numId w:val="48"/>
        </w:numPr>
        <w:spacing w:after="120"/>
        <w:jc w:val="both"/>
        <w:rPr>
          <w:rFonts w:ascii="Arial" w:hAnsi="Arial" w:cs="Arial"/>
        </w:rPr>
      </w:pPr>
      <w:r>
        <w:rPr>
          <w:rFonts w:ascii="Arial" w:hAnsi="Arial" w:cs="Arial"/>
          <w:iCs/>
        </w:rPr>
        <w:t>Related to the bullet above, in scenarios where a small amount of parking is provided, availability of parking for non-EVs would be limited. For instance, if a business was required to provide three parking spaces, one space would be required to be reserved for accessible parking, a second space would be required to be reserved for accessible parking of EVs, and a third space would be EV-ready but available for anyone to park in (unless the space was later converted to an EVSE space, in which case only EVs could park there. Councilmembers may wish to consider alternative requirements for these small-lot scenarios.</w:t>
      </w:r>
    </w:p>
    <w:p w14:paraId="3148922D" w14:textId="254E21C8" w:rsidR="00DC4654" w:rsidRDefault="00DC4654" w:rsidP="00DC4654">
      <w:pPr>
        <w:spacing w:after="120"/>
        <w:jc w:val="both"/>
        <w:rPr>
          <w:rFonts w:ascii="Arial" w:hAnsi="Arial" w:cs="Arial"/>
        </w:rPr>
      </w:pPr>
    </w:p>
    <w:p w14:paraId="4172C0A9" w14:textId="6A55E66A" w:rsidR="00DC4654" w:rsidRDefault="00DC4654" w:rsidP="00DC4654">
      <w:pPr>
        <w:spacing w:after="120"/>
        <w:jc w:val="both"/>
        <w:rPr>
          <w:rFonts w:ascii="Arial" w:hAnsi="Arial" w:cs="Arial"/>
        </w:rPr>
      </w:pPr>
    </w:p>
    <w:p w14:paraId="7C75543C" w14:textId="77777777" w:rsidR="00DC4654" w:rsidRPr="00DC4654" w:rsidRDefault="00DC4654" w:rsidP="00DC4654">
      <w:pPr>
        <w:spacing w:after="120"/>
        <w:jc w:val="both"/>
        <w:rPr>
          <w:rFonts w:ascii="Arial" w:hAnsi="Arial" w:cs="Arial"/>
        </w:rPr>
      </w:pPr>
    </w:p>
    <w:p w14:paraId="74EDAFB7" w14:textId="77777777" w:rsidR="004D41EF" w:rsidRPr="004D41EF" w:rsidRDefault="004D41EF" w:rsidP="004D41EF">
      <w:pPr>
        <w:spacing w:after="120"/>
        <w:jc w:val="both"/>
        <w:rPr>
          <w:rFonts w:ascii="Arial" w:hAnsi="Arial" w:cs="Arial"/>
        </w:rPr>
      </w:pPr>
    </w:p>
    <w:p w14:paraId="5D7AF9FD" w14:textId="3C2D78EF" w:rsidR="00B37B05" w:rsidRDefault="00E96DDA" w:rsidP="006F2AA3">
      <w:pPr>
        <w:pStyle w:val="BodyText"/>
        <w:jc w:val="both"/>
        <w:rPr>
          <w:rFonts w:ascii="Arial" w:hAnsi="Arial" w:cs="Arial"/>
          <w:b/>
          <w:i w:val="0"/>
          <w:szCs w:val="24"/>
          <w:u w:val="single"/>
        </w:rPr>
      </w:pPr>
      <w:r w:rsidRPr="009E34F8">
        <w:rPr>
          <w:rFonts w:ascii="Arial" w:hAnsi="Arial" w:cs="Arial"/>
          <w:b/>
          <w:i w:val="0"/>
          <w:szCs w:val="24"/>
          <w:u w:val="single"/>
        </w:rPr>
        <w:lastRenderedPageBreak/>
        <w:t>AMENDMENT</w:t>
      </w:r>
      <w:r w:rsidR="00DC4654">
        <w:rPr>
          <w:rFonts w:ascii="Arial" w:hAnsi="Arial" w:cs="Arial"/>
          <w:b/>
          <w:i w:val="0"/>
          <w:szCs w:val="24"/>
          <w:u w:val="single"/>
        </w:rPr>
        <w:t>S</w:t>
      </w:r>
    </w:p>
    <w:p w14:paraId="51D53826" w14:textId="77777777" w:rsidR="006F2AA3" w:rsidRDefault="006F2AA3" w:rsidP="006F2AA3">
      <w:pPr>
        <w:pStyle w:val="BodyText"/>
        <w:jc w:val="both"/>
        <w:rPr>
          <w:rFonts w:ascii="Arial" w:hAnsi="Arial" w:cs="Arial"/>
          <w:b/>
          <w:i w:val="0"/>
          <w:szCs w:val="24"/>
          <w:u w:val="single"/>
        </w:rPr>
      </w:pPr>
    </w:p>
    <w:p w14:paraId="44A045A3" w14:textId="353BC821" w:rsidR="001613F8" w:rsidRDefault="001613F8" w:rsidP="001613F8">
      <w:pPr>
        <w:rPr>
          <w:rFonts w:ascii="Arial" w:hAnsi="Arial" w:cs="Arial"/>
          <w:iCs/>
        </w:rPr>
      </w:pPr>
      <w:r w:rsidRPr="00DC4654">
        <w:rPr>
          <w:rFonts w:ascii="Arial" w:hAnsi="Arial" w:cs="Arial"/>
          <w:b/>
          <w:bCs/>
          <w:iCs/>
        </w:rPr>
        <w:t>Striking amendment S</w:t>
      </w:r>
      <w:r w:rsidR="00FB6B6B" w:rsidRPr="00DC4654">
        <w:rPr>
          <w:rFonts w:ascii="Arial" w:hAnsi="Arial" w:cs="Arial"/>
          <w:b/>
          <w:bCs/>
          <w:iCs/>
        </w:rPr>
        <w:t>2</w:t>
      </w:r>
      <w:r>
        <w:rPr>
          <w:rFonts w:ascii="Arial" w:hAnsi="Arial" w:cs="Arial"/>
          <w:iCs/>
        </w:rPr>
        <w:t xml:space="preserve"> would make the following changes shown in</w:t>
      </w:r>
      <w:r w:rsidR="00C13B53">
        <w:rPr>
          <w:rFonts w:ascii="Arial" w:hAnsi="Arial" w:cs="Arial"/>
          <w:iCs/>
        </w:rPr>
        <w:t xml:space="preserve"> </w:t>
      </w:r>
      <w:r>
        <w:rPr>
          <w:rFonts w:ascii="Arial" w:hAnsi="Arial" w:cs="Arial"/>
          <w:iCs/>
        </w:rPr>
        <w:t xml:space="preserve">underline/strikethrough below: </w:t>
      </w:r>
    </w:p>
    <w:p w14:paraId="261ED18D" w14:textId="77777777" w:rsidR="001613F8" w:rsidRPr="001613F8" w:rsidRDefault="001613F8" w:rsidP="001613F8">
      <w:pPr>
        <w:rPr>
          <w:rFonts w:ascii="Arial" w:hAnsi="Arial" w:cs="Arial"/>
          <w:bCs/>
          <w:sz w:val="20"/>
        </w:rPr>
      </w:pPr>
    </w:p>
    <w:tbl>
      <w:tblPr>
        <w:tblStyle w:val="TableGrid"/>
        <w:tblW w:w="5000" w:type="pct"/>
        <w:tblLook w:val="04A0" w:firstRow="1" w:lastRow="0" w:firstColumn="1" w:lastColumn="0" w:noHBand="0" w:noVBand="1"/>
      </w:tblPr>
      <w:tblGrid>
        <w:gridCol w:w="3192"/>
        <w:gridCol w:w="3193"/>
        <w:gridCol w:w="3191"/>
      </w:tblGrid>
      <w:tr w:rsidR="001613F8" w:rsidRPr="00EF0FAD" w14:paraId="377925A3" w14:textId="77777777" w:rsidTr="00FB6B6B">
        <w:tc>
          <w:tcPr>
            <w:tcW w:w="1667" w:type="pct"/>
            <w:shd w:val="clear" w:color="auto" w:fill="000000" w:themeFill="text1"/>
          </w:tcPr>
          <w:p w14:paraId="539C5CA0" w14:textId="77777777" w:rsidR="001613F8" w:rsidRPr="001613F8" w:rsidRDefault="001613F8" w:rsidP="001B0847">
            <w:pPr>
              <w:rPr>
                <w:rFonts w:ascii="Arial" w:hAnsi="Arial" w:cs="Arial"/>
                <w:b/>
                <w:sz w:val="22"/>
                <w:szCs w:val="22"/>
              </w:rPr>
            </w:pPr>
            <w:r w:rsidRPr="001613F8">
              <w:rPr>
                <w:rFonts w:ascii="Arial" w:hAnsi="Arial" w:cs="Arial"/>
                <w:b/>
                <w:sz w:val="22"/>
                <w:szCs w:val="22"/>
              </w:rPr>
              <w:t>Development Type</w:t>
            </w:r>
          </w:p>
        </w:tc>
        <w:tc>
          <w:tcPr>
            <w:tcW w:w="1667" w:type="pct"/>
            <w:shd w:val="clear" w:color="auto" w:fill="000000" w:themeFill="text1"/>
          </w:tcPr>
          <w:p w14:paraId="309A3ADF" w14:textId="77777777" w:rsidR="001613F8" w:rsidRPr="001613F8" w:rsidRDefault="001613F8" w:rsidP="001B0847">
            <w:pPr>
              <w:rPr>
                <w:rFonts w:ascii="Arial" w:hAnsi="Arial" w:cs="Arial"/>
                <w:b/>
                <w:sz w:val="22"/>
                <w:szCs w:val="22"/>
              </w:rPr>
            </w:pPr>
            <w:r w:rsidRPr="001613F8">
              <w:rPr>
                <w:rFonts w:ascii="Arial" w:hAnsi="Arial" w:cs="Arial"/>
                <w:b/>
                <w:sz w:val="22"/>
                <w:szCs w:val="22"/>
              </w:rPr>
              <w:t># of EVSE spaces</w:t>
            </w:r>
          </w:p>
        </w:tc>
        <w:tc>
          <w:tcPr>
            <w:tcW w:w="1666" w:type="pct"/>
            <w:shd w:val="clear" w:color="auto" w:fill="000000" w:themeFill="text1"/>
          </w:tcPr>
          <w:p w14:paraId="27D14133" w14:textId="77777777" w:rsidR="001613F8" w:rsidRPr="001613F8" w:rsidRDefault="001613F8" w:rsidP="001B0847">
            <w:pPr>
              <w:rPr>
                <w:rFonts w:ascii="Arial" w:hAnsi="Arial" w:cs="Arial"/>
                <w:b/>
                <w:sz w:val="22"/>
                <w:szCs w:val="22"/>
              </w:rPr>
            </w:pPr>
            <w:r w:rsidRPr="001613F8">
              <w:rPr>
                <w:rFonts w:ascii="Arial" w:hAnsi="Arial" w:cs="Arial"/>
                <w:b/>
                <w:sz w:val="22"/>
                <w:szCs w:val="22"/>
              </w:rPr>
              <w:t># of EV-ready spaces</w:t>
            </w:r>
          </w:p>
        </w:tc>
      </w:tr>
      <w:tr w:rsidR="001613F8" w:rsidRPr="00EF0FAD" w14:paraId="52375C83" w14:textId="77777777" w:rsidTr="001613F8">
        <w:tc>
          <w:tcPr>
            <w:tcW w:w="1667" w:type="pct"/>
          </w:tcPr>
          <w:p w14:paraId="3DA5B342" w14:textId="77777777" w:rsidR="001613F8" w:rsidRPr="001613F8" w:rsidRDefault="001613F8" w:rsidP="001B0847">
            <w:pPr>
              <w:rPr>
                <w:rFonts w:ascii="Arial" w:hAnsi="Arial" w:cs="Arial"/>
                <w:bCs/>
                <w:sz w:val="22"/>
                <w:szCs w:val="22"/>
              </w:rPr>
            </w:pPr>
            <w:r w:rsidRPr="001613F8">
              <w:rPr>
                <w:rFonts w:ascii="Arial" w:hAnsi="Arial" w:cs="Arial"/>
                <w:bCs/>
                <w:sz w:val="22"/>
                <w:szCs w:val="22"/>
              </w:rPr>
              <w:t>New Single Detached</w:t>
            </w:r>
          </w:p>
        </w:tc>
        <w:tc>
          <w:tcPr>
            <w:tcW w:w="1667" w:type="pct"/>
          </w:tcPr>
          <w:p w14:paraId="18DACB0A" w14:textId="77777777" w:rsidR="001613F8" w:rsidRPr="001613F8" w:rsidRDefault="001613F8" w:rsidP="001B0847">
            <w:pPr>
              <w:rPr>
                <w:rFonts w:ascii="Arial" w:hAnsi="Arial" w:cs="Arial"/>
                <w:bCs/>
                <w:sz w:val="22"/>
                <w:szCs w:val="22"/>
              </w:rPr>
            </w:pPr>
            <w:r w:rsidRPr="001613F8">
              <w:rPr>
                <w:rFonts w:ascii="Arial" w:hAnsi="Arial" w:cs="Arial"/>
                <w:bCs/>
                <w:sz w:val="22"/>
                <w:szCs w:val="22"/>
              </w:rPr>
              <w:t>0</w:t>
            </w:r>
          </w:p>
        </w:tc>
        <w:tc>
          <w:tcPr>
            <w:tcW w:w="1666" w:type="pct"/>
          </w:tcPr>
          <w:p w14:paraId="1CABECDE" w14:textId="75C334D1" w:rsidR="001613F8" w:rsidRPr="001613F8" w:rsidRDefault="001613F8" w:rsidP="001B0847">
            <w:pPr>
              <w:rPr>
                <w:rFonts w:ascii="Arial" w:hAnsi="Arial" w:cs="Arial"/>
                <w:bCs/>
                <w:sz w:val="22"/>
                <w:szCs w:val="22"/>
              </w:rPr>
            </w:pPr>
            <w:r w:rsidRPr="00FB6B6B">
              <w:rPr>
                <w:rFonts w:ascii="Arial" w:hAnsi="Arial" w:cs="Arial"/>
                <w:bCs/>
                <w:strike/>
                <w:sz w:val="22"/>
                <w:szCs w:val="22"/>
              </w:rPr>
              <w:t>1</w:t>
            </w:r>
            <w:r w:rsidR="00FB6B6B">
              <w:rPr>
                <w:rFonts w:ascii="Arial" w:hAnsi="Arial" w:cs="Arial"/>
                <w:bCs/>
                <w:sz w:val="22"/>
                <w:szCs w:val="22"/>
                <w:u w:val="single"/>
              </w:rPr>
              <w:t>0</w:t>
            </w:r>
            <w:r w:rsidRPr="001613F8">
              <w:rPr>
                <w:rFonts w:ascii="Arial" w:hAnsi="Arial" w:cs="Arial"/>
                <w:bCs/>
                <w:sz w:val="22"/>
                <w:szCs w:val="22"/>
              </w:rPr>
              <w:t xml:space="preserve"> per unit</w:t>
            </w:r>
          </w:p>
        </w:tc>
      </w:tr>
      <w:tr w:rsidR="001613F8" w:rsidRPr="00EF0FAD" w14:paraId="47786516" w14:textId="77777777" w:rsidTr="001613F8">
        <w:tc>
          <w:tcPr>
            <w:tcW w:w="1667" w:type="pct"/>
          </w:tcPr>
          <w:p w14:paraId="30E4E7F4" w14:textId="77777777" w:rsidR="001613F8" w:rsidRPr="001613F8" w:rsidRDefault="001613F8" w:rsidP="001B0847">
            <w:pPr>
              <w:rPr>
                <w:rFonts w:ascii="Arial" w:hAnsi="Arial" w:cs="Arial"/>
                <w:bCs/>
                <w:sz w:val="22"/>
                <w:szCs w:val="22"/>
              </w:rPr>
            </w:pPr>
            <w:r w:rsidRPr="001613F8">
              <w:rPr>
                <w:rFonts w:ascii="Arial" w:hAnsi="Arial" w:cs="Arial"/>
                <w:bCs/>
                <w:sz w:val="22"/>
                <w:szCs w:val="22"/>
              </w:rPr>
              <w:t>New Townhouse</w:t>
            </w:r>
          </w:p>
        </w:tc>
        <w:tc>
          <w:tcPr>
            <w:tcW w:w="1667" w:type="pct"/>
          </w:tcPr>
          <w:p w14:paraId="58A357BA" w14:textId="77777777" w:rsidR="001613F8" w:rsidRPr="001613F8" w:rsidRDefault="001613F8" w:rsidP="001B0847">
            <w:pPr>
              <w:rPr>
                <w:rFonts w:ascii="Arial" w:hAnsi="Arial" w:cs="Arial"/>
                <w:bCs/>
                <w:sz w:val="22"/>
                <w:szCs w:val="22"/>
              </w:rPr>
            </w:pPr>
            <w:r w:rsidRPr="001613F8">
              <w:rPr>
                <w:rFonts w:ascii="Arial" w:hAnsi="Arial" w:cs="Arial"/>
                <w:bCs/>
                <w:sz w:val="22"/>
                <w:szCs w:val="22"/>
              </w:rPr>
              <w:t>0</w:t>
            </w:r>
          </w:p>
        </w:tc>
        <w:tc>
          <w:tcPr>
            <w:tcW w:w="1666" w:type="pct"/>
          </w:tcPr>
          <w:p w14:paraId="0D695D7B" w14:textId="77777777" w:rsidR="001613F8" w:rsidRPr="001613F8" w:rsidRDefault="001613F8" w:rsidP="001B0847">
            <w:pPr>
              <w:rPr>
                <w:rFonts w:ascii="Arial" w:hAnsi="Arial" w:cs="Arial"/>
                <w:bCs/>
                <w:sz w:val="22"/>
                <w:szCs w:val="22"/>
              </w:rPr>
            </w:pPr>
            <w:r w:rsidRPr="001613F8">
              <w:rPr>
                <w:rFonts w:ascii="Arial" w:hAnsi="Arial" w:cs="Arial"/>
                <w:bCs/>
                <w:sz w:val="22"/>
                <w:szCs w:val="22"/>
              </w:rPr>
              <w:t>1 per unit</w:t>
            </w:r>
          </w:p>
        </w:tc>
      </w:tr>
      <w:tr w:rsidR="001613F8" w:rsidRPr="00EF0FAD" w14:paraId="74893CB6" w14:textId="77777777" w:rsidTr="001613F8">
        <w:tc>
          <w:tcPr>
            <w:tcW w:w="1667" w:type="pct"/>
          </w:tcPr>
          <w:p w14:paraId="70CAD22F" w14:textId="77777777" w:rsidR="001613F8" w:rsidRPr="001613F8" w:rsidRDefault="001613F8" w:rsidP="001B0847">
            <w:pPr>
              <w:rPr>
                <w:rFonts w:ascii="Arial" w:hAnsi="Arial" w:cs="Arial"/>
                <w:bCs/>
                <w:sz w:val="22"/>
                <w:szCs w:val="22"/>
              </w:rPr>
            </w:pPr>
            <w:r w:rsidRPr="001613F8">
              <w:rPr>
                <w:rFonts w:ascii="Arial" w:hAnsi="Arial" w:cs="Arial"/>
                <w:bCs/>
                <w:sz w:val="22"/>
                <w:szCs w:val="22"/>
              </w:rPr>
              <w:t>New Cottage Housing</w:t>
            </w:r>
          </w:p>
        </w:tc>
        <w:tc>
          <w:tcPr>
            <w:tcW w:w="1667" w:type="pct"/>
          </w:tcPr>
          <w:p w14:paraId="2FEE4312" w14:textId="77777777" w:rsidR="001613F8" w:rsidRPr="001613F8" w:rsidRDefault="001613F8" w:rsidP="001B0847">
            <w:pPr>
              <w:rPr>
                <w:rFonts w:ascii="Arial" w:hAnsi="Arial" w:cs="Arial"/>
                <w:bCs/>
                <w:sz w:val="22"/>
                <w:szCs w:val="22"/>
              </w:rPr>
            </w:pPr>
            <w:r w:rsidRPr="001613F8">
              <w:rPr>
                <w:rFonts w:ascii="Arial" w:hAnsi="Arial" w:cs="Arial"/>
                <w:bCs/>
                <w:sz w:val="22"/>
                <w:szCs w:val="22"/>
              </w:rPr>
              <w:t>0</w:t>
            </w:r>
          </w:p>
        </w:tc>
        <w:tc>
          <w:tcPr>
            <w:tcW w:w="1666" w:type="pct"/>
          </w:tcPr>
          <w:p w14:paraId="628FD5E4" w14:textId="5CCE2BC9" w:rsidR="001613F8" w:rsidRPr="001613F8" w:rsidRDefault="001613F8" w:rsidP="001B0847">
            <w:pPr>
              <w:rPr>
                <w:rFonts w:ascii="Arial" w:hAnsi="Arial" w:cs="Arial"/>
                <w:bCs/>
                <w:sz w:val="22"/>
                <w:szCs w:val="22"/>
              </w:rPr>
            </w:pPr>
            <w:r w:rsidRPr="00FB6B6B">
              <w:rPr>
                <w:rFonts w:ascii="Arial" w:hAnsi="Arial" w:cs="Arial"/>
                <w:bCs/>
                <w:strike/>
                <w:sz w:val="22"/>
                <w:szCs w:val="22"/>
              </w:rPr>
              <w:t>1</w:t>
            </w:r>
            <w:r w:rsidR="00FB6B6B">
              <w:rPr>
                <w:rFonts w:ascii="Arial" w:hAnsi="Arial" w:cs="Arial"/>
                <w:bCs/>
                <w:sz w:val="22"/>
                <w:szCs w:val="22"/>
                <w:u w:val="single"/>
              </w:rPr>
              <w:t>0</w:t>
            </w:r>
            <w:r w:rsidRPr="001613F8">
              <w:rPr>
                <w:rFonts w:ascii="Arial" w:hAnsi="Arial" w:cs="Arial"/>
                <w:bCs/>
                <w:sz w:val="22"/>
                <w:szCs w:val="22"/>
              </w:rPr>
              <w:t xml:space="preserve"> per unit</w:t>
            </w:r>
          </w:p>
        </w:tc>
      </w:tr>
      <w:tr w:rsidR="001613F8" w:rsidRPr="00EF0FAD" w14:paraId="49632D34" w14:textId="77777777" w:rsidTr="001613F8">
        <w:tc>
          <w:tcPr>
            <w:tcW w:w="1667" w:type="pct"/>
          </w:tcPr>
          <w:p w14:paraId="4FEB0FFF" w14:textId="77777777" w:rsidR="001613F8" w:rsidRPr="001613F8" w:rsidRDefault="001613F8" w:rsidP="001B0847">
            <w:pPr>
              <w:rPr>
                <w:rFonts w:ascii="Arial" w:hAnsi="Arial" w:cs="Arial"/>
                <w:bCs/>
                <w:sz w:val="22"/>
                <w:szCs w:val="22"/>
              </w:rPr>
            </w:pPr>
            <w:r w:rsidRPr="001613F8">
              <w:rPr>
                <w:rFonts w:ascii="Arial" w:hAnsi="Arial" w:cs="Arial"/>
                <w:bCs/>
                <w:sz w:val="22"/>
                <w:szCs w:val="22"/>
              </w:rPr>
              <w:t xml:space="preserve">New or Substantially Improved Apartments, </w:t>
            </w:r>
            <w:r w:rsidRPr="001613F8">
              <w:rPr>
                <w:rFonts w:ascii="Arial" w:hAnsi="Arial" w:cs="Arial"/>
                <w:bCs/>
                <w:sz w:val="22"/>
                <w:szCs w:val="22"/>
                <w:u w:val="single"/>
              </w:rPr>
              <w:t>or apartment paved parking expanded by 50%+</w:t>
            </w:r>
          </w:p>
        </w:tc>
        <w:tc>
          <w:tcPr>
            <w:tcW w:w="1667" w:type="pct"/>
          </w:tcPr>
          <w:p w14:paraId="07D18979" w14:textId="77777777" w:rsidR="001613F8" w:rsidRPr="001613F8" w:rsidRDefault="001613F8" w:rsidP="001B0847">
            <w:pPr>
              <w:rPr>
                <w:rFonts w:ascii="Arial" w:hAnsi="Arial" w:cs="Arial"/>
                <w:bCs/>
                <w:sz w:val="22"/>
                <w:szCs w:val="22"/>
              </w:rPr>
            </w:pPr>
            <w:r w:rsidRPr="001613F8">
              <w:rPr>
                <w:rFonts w:ascii="Arial" w:hAnsi="Arial" w:cs="Arial"/>
                <w:bCs/>
                <w:sz w:val="22"/>
                <w:szCs w:val="22"/>
              </w:rPr>
              <w:t>10% of total spaces</w:t>
            </w:r>
          </w:p>
        </w:tc>
        <w:tc>
          <w:tcPr>
            <w:tcW w:w="1666" w:type="pct"/>
          </w:tcPr>
          <w:p w14:paraId="0C93A6A6" w14:textId="77777777" w:rsidR="001613F8" w:rsidRPr="001613F8" w:rsidRDefault="001613F8" w:rsidP="001B0847">
            <w:pPr>
              <w:rPr>
                <w:rFonts w:ascii="Arial" w:hAnsi="Arial" w:cs="Arial"/>
                <w:bCs/>
                <w:sz w:val="22"/>
                <w:szCs w:val="22"/>
              </w:rPr>
            </w:pPr>
            <w:r w:rsidRPr="001613F8">
              <w:rPr>
                <w:rFonts w:ascii="Arial" w:hAnsi="Arial" w:cs="Arial"/>
                <w:bCs/>
                <w:sz w:val="22"/>
                <w:szCs w:val="22"/>
              </w:rPr>
              <w:t>25% of total spaces</w:t>
            </w:r>
          </w:p>
        </w:tc>
      </w:tr>
      <w:tr w:rsidR="001613F8" w:rsidRPr="00EF0FAD" w14:paraId="14BEE7A2" w14:textId="77777777" w:rsidTr="001613F8">
        <w:tc>
          <w:tcPr>
            <w:tcW w:w="1667" w:type="pct"/>
          </w:tcPr>
          <w:p w14:paraId="7CCA08D1" w14:textId="77777777" w:rsidR="001613F8" w:rsidRPr="001613F8" w:rsidRDefault="001613F8" w:rsidP="001B0847">
            <w:pPr>
              <w:rPr>
                <w:rFonts w:ascii="Arial" w:hAnsi="Arial" w:cs="Arial"/>
                <w:bCs/>
                <w:sz w:val="22"/>
                <w:szCs w:val="22"/>
                <w:u w:val="single"/>
              </w:rPr>
            </w:pPr>
            <w:r w:rsidRPr="001613F8">
              <w:rPr>
                <w:rFonts w:ascii="Arial" w:hAnsi="Arial" w:cs="Arial"/>
                <w:bCs/>
                <w:sz w:val="22"/>
                <w:szCs w:val="22"/>
                <w:u w:val="single"/>
              </w:rPr>
              <w:t>Group Residential and Temporary Lodging Uses</w:t>
            </w:r>
          </w:p>
        </w:tc>
        <w:tc>
          <w:tcPr>
            <w:tcW w:w="1667" w:type="pct"/>
          </w:tcPr>
          <w:p w14:paraId="6DC12D76" w14:textId="77777777" w:rsidR="001613F8" w:rsidRPr="001613F8" w:rsidRDefault="001613F8" w:rsidP="001B0847">
            <w:pPr>
              <w:rPr>
                <w:rFonts w:ascii="Arial" w:hAnsi="Arial" w:cs="Arial"/>
                <w:bCs/>
                <w:sz w:val="22"/>
                <w:szCs w:val="22"/>
                <w:u w:val="single"/>
              </w:rPr>
            </w:pPr>
            <w:r w:rsidRPr="001613F8">
              <w:rPr>
                <w:rFonts w:ascii="Arial" w:hAnsi="Arial" w:cs="Arial"/>
                <w:bCs/>
                <w:sz w:val="22"/>
                <w:szCs w:val="22"/>
                <w:u w:val="single"/>
              </w:rPr>
              <w:t>5% of total spaces</w:t>
            </w:r>
          </w:p>
        </w:tc>
        <w:tc>
          <w:tcPr>
            <w:tcW w:w="1666" w:type="pct"/>
          </w:tcPr>
          <w:p w14:paraId="26FA0BAB" w14:textId="77777777" w:rsidR="001613F8" w:rsidRPr="001613F8" w:rsidRDefault="001613F8" w:rsidP="001B0847">
            <w:pPr>
              <w:rPr>
                <w:rFonts w:ascii="Arial" w:hAnsi="Arial" w:cs="Arial"/>
                <w:bCs/>
                <w:sz w:val="22"/>
                <w:szCs w:val="22"/>
                <w:u w:val="single"/>
              </w:rPr>
            </w:pPr>
            <w:r w:rsidRPr="001613F8">
              <w:rPr>
                <w:rFonts w:ascii="Arial" w:hAnsi="Arial" w:cs="Arial"/>
                <w:bCs/>
                <w:sz w:val="22"/>
                <w:szCs w:val="22"/>
                <w:u w:val="single"/>
              </w:rPr>
              <w:t>10% of total spaces</w:t>
            </w:r>
          </w:p>
        </w:tc>
      </w:tr>
      <w:tr w:rsidR="001613F8" w:rsidRPr="00EF0FAD" w14:paraId="2DF59159" w14:textId="77777777" w:rsidTr="001613F8">
        <w:tc>
          <w:tcPr>
            <w:tcW w:w="1667" w:type="pct"/>
          </w:tcPr>
          <w:p w14:paraId="7AC8E792" w14:textId="77777777" w:rsidR="001613F8" w:rsidRPr="001613F8" w:rsidRDefault="001613F8" w:rsidP="001B0847">
            <w:pPr>
              <w:rPr>
                <w:rFonts w:ascii="Arial" w:hAnsi="Arial" w:cs="Arial"/>
                <w:bCs/>
                <w:sz w:val="22"/>
                <w:szCs w:val="22"/>
              </w:rPr>
            </w:pPr>
            <w:r w:rsidRPr="001613F8">
              <w:rPr>
                <w:rFonts w:ascii="Arial" w:hAnsi="Arial" w:cs="Arial"/>
                <w:bCs/>
                <w:sz w:val="22"/>
                <w:szCs w:val="22"/>
              </w:rPr>
              <w:t>New or Substantially Improved Nonresidential Building</w:t>
            </w:r>
            <w:r w:rsidRPr="001613F8">
              <w:rPr>
                <w:rFonts w:ascii="Arial" w:hAnsi="Arial" w:cs="Arial"/>
                <w:bCs/>
                <w:sz w:val="22"/>
                <w:szCs w:val="22"/>
                <w:u w:val="single"/>
              </w:rPr>
              <w:t xml:space="preserve"> or nonresidential paved parking expanded by 50%+</w:t>
            </w:r>
          </w:p>
        </w:tc>
        <w:tc>
          <w:tcPr>
            <w:tcW w:w="1667" w:type="pct"/>
          </w:tcPr>
          <w:p w14:paraId="0868D550" w14:textId="77777777" w:rsidR="001613F8" w:rsidRPr="001613F8" w:rsidRDefault="001613F8" w:rsidP="001B0847">
            <w:pPr>
              <w:rPr>
                <w:rFonts w:ascii="Arial" w:hAnsi="Arial" w:cs="Arial"/>
                <w:bCs/>
                <w:sz w:val="22"/>
                <w:szCs w:val="22"/>
              </w:rPr>
            </w:pPr>
            <w:r w:rsidRPr="001613F8">
              <w:rPr>
                <w:rFonts w:ascii="Arial" w:hAnsi="Arial" w:cs="Arial"/>
                <w:bCs/>
                <w:sz w:val="22"/>
                <w:szCs w:val="22"/>
              </w:rPr>
              <w:t>5% of total spaces</w:t>
            </w:r>
          </w:p>
        </w:tc>
        <w:tc>
          <w:tcPr>
            <w:tcW w:w="1666" w:type="pct"/>
          </w:tcPr>
          <w:p w14:paraId="38CC088C" w14:textId="77777777" w:rsidR="001613F8" w:rsidRPr="001613F8" w:rsidRDefault="001613F8" w:rsidP="001B0847">
            <w:pPr>
              <w:rPr>
                <w:rFonts w:ascii="Arial" w:hAnsi="Arial" w:cs="Arial"/>
                <w:bCs/>
                <w:sz w:val="22"/>
                <w:szCs w:val="22"/>
              </w:rPr>
            </w:pPr>
            <w:r w:rsidRPr="001613F8">
              <w:rPr>
                <w:rFonts w:ascii="Arial" w:hAnsi="Arial" w:cs="Arial"/>
                <w:bCs/>
                <w:sz w:val="22"/>
                <w:szCs w:val="22"/>
              </w:rPr>
              <w:t>10% of total spaces</w:t>
            </w:r>
          </w:p>
        </w:tc>
      </w:tr>
      <w:tr w:rsidR="001613F8" w:rsidRPr="00EF0FAD" w14:paraId="2BBE24F5" w14:textId="77777777" w:rsidTr="001613F8">
        <w:tc>
          <w:tcPr>
            <w:tcW w:w="1667" w:type="pct"/>
          </w:tcPr>
          <w:p w14:paraId="40D5CAF7" w14:textId="77777777" w:rsidR="001613F8" w:rsidRPr="001613F8" w:rsidRDefault="001613F8" w:rsidP="001B0847">
            <w:pPr>
              <w:rPr>
                <w:rFonts w:ascii="Arial" w:hAnsi="Arial" w:cs="Arial"/>
                <w:bCs/>
                <w:sz w:val="22"/>
                <w:szCs w:val="22"/>
                <w:u w:val="single"/>
              </w:rPr>
            </w:pPr>
            <w:r w:rsidRPr="001613F8">
              <w:rPr>
                <w:rFonts w:ascii="Arial" w:hAnsi="Arial" w:cs="Arial"/>
                <w:bCs/>
                <w:sz w:val="22"/>
                <w:szCs w:val="22"/>
              </w:rPr>
              <w:t xml:space="preserve">New </w:t>
            </w:r>
            <w:r w:rsidRPr="001613F8">
              <w:rPr>
                <w:rFonts w:ascii="Arial" w:hAnsi="Arial" w:cs="Arial"/>
                <w:bCs/>
                <w:strike/>
                <w:sz w:val="22"/>
                <w:szCs w:val="22"/>
              </w:rPr>
              <w:t>Surface Parking Lot or Garage Use</w:t>
            </w:r>
            <w:r w:rsidRPr="001613F8">
              <w:rPr>
                <w:rFonts w:ascii="Arial" w:hAnsi="Arial" w:cs="Arial"/>
                <w:bCs/>
                <w:sz w:val="22"/>
                <w:szCs w:val="22"/>
              </w:rPr>
              <w:t xml:space="preserve"> </w:t>
            </w:r>
            <w:r w:rsidRPr="001613F8">
              <w:rPr>
                <w:rFonts w:ascii="Arial" w:hAnsi="Arial" w:cs="Arial"/>
                <w:bCs/>
                <w:sz w:val="22"/>
                <w:szCs w:val="22"/>
                <w:u w:val="single"/>
              </w:rPr>
              <w:t>Commuter Parking Lot, Automotive Parking, or expansion of these by 50%+</w:t>
            </w:r>
          </w:p>
        </w:tc>
        <w:tc>
          <w:tcPr>
            <w:tcW w:w="1667" w:type="pct"/>
          </w:tcPr>
          <w:p w14:paraId="64D83215" w14:textId="77777777" w:rsidR="001613F8" w:rsidRPr="001613F8" w:rsidRDefault="001613F8" w:rsidP="001B0847">
            <w:pPr>
              <w:rPr>
                <w:rFonts w:ascii="Arial" w:hAnsi="Arial" w:cs="Arial"/>
                <w:bCs/>
                <w:sz w:val="22"/>
                <w:szCs w:val="22"/>
              </w:rPr>
            </w:pPr>
            <w:r w:rsidRPr="001613F8">
              <w:rPr>
                <w:rFonts w:ascii="Arial" w:hAnsi="Arial" w:cs="Arial"/>
                <w:bCs/>
                <w:sz w:val="22"/>
                <w:szCs w:val="22"/>
              </w:rPr>
              <w:t>5% of total spaces</w:t>
            </w:r>
          </w:p>
        </w:tc>
        <w:tc>
          <w:tcPr>
            <w:tcW w:w="1666" w:type="pct"/>
          </w:tcPr>
          <w:p w14:paraId="55062CFD" w14:textId="77777777" w:rsidR="001613F8" w:rsidRPr="001613F8" w:rsidRDefault="001613F8" w:rsidP="001B0847">
            <w:pPr>
              <w:rPr>
                <w:rFonts w:ascii="Arial" w:hAnsi="Arial" w:cs="Arial"/>
                <w:bCs/>
                <w:sz w:val="22"/>
                <w:szCs w:val="22"/>
              </w:rPr>
            </w:pPr>
            <w:r w:rsidRPr="001613F8">
              <w:rPr>
                <w:rFonts w:ascii="Arial" w:hAnsi="Arial" w:cs="Arial"/>
                <w:bCs/>
                <w:sz w:val="22"/>
                <w:szCs w:val="22"/>
              </w:rPr>
              <w:t>10% of total spaces</w:t>
            </w:r>
          </w:p>
        </w:tc>
      </w:tr>
    </w:tbl>
    <w:p w14:paraId="7C4EE685" w14:textId="6C72B394" w:rsidR="001613F8" w:rsidRDefault="001613F8" w:rsidP="001613F8">
      <w:pPr>
        <w:spacing w:line="480" w:lineRule="auto"/>
        <w:rPr>
          <w:rFonts w:ascii="Arial" w:hAnsi="Arial" w:cs="Arial"/>
          <w:szCs w:val="24"/>
        </w:rPr>
      </w:pPr>
    </w:p>
    <w:p w14:paraId="069BCA95" w14:textId="01B79E01" w:rsidR="00C13B53" w:rsidRPr="00C13B53" w:rsidRDefault="00C13B53" w:rsidP="00C13B53">
      <w:pPr>
        <w:jc w:val="both"/>
        <w:rPr>
          <w:rFonts w:ascii="Arial" w:hAnsi="Arial" w:cs="Arial"/>
        </w:rPr>
      </w:pPr>
      <w:bookmarkStart w:id="1" w:name="_Hlk66788263"/>
      <w:r w:rsidRPr="00C13B53">
        <w:rPr>
          <w:rFonts w:ascii="Arial" w:hAnsi="Arial" w:cs="Arial"/>
        </w:rPr>
        <w:t>Under state law, there are certain parameters around a local government’s ability to make changes to aspects of state building codes for single family and multifamily residential buildings.</w:t>
      </w:r>
      <w:r>
        <w:rPr>
          <w:rStyle w:val="FootnoteReference"/>
          <w:rFonts w:cs="Arial"/>
        </w:rPr>
        <w:footnoteReference w:id="11"/>
      </w:r>
      <w:r w:rsidRPr="00C13B53">
        <w:rPr>
          <w:rFonts w:ascii="Arial" w:hAnsi="Arial" w:cs="Arial"/>
        </w:rPr>
        <w:t xml:space="preserve"> Multifamily residential buildings are defined narrowly in state law as "common wall residential buildings that consist of four or fewer units, that do not exceed two stories in height, that are less than five thousand square feet in area, and that have a one-hour fire-resistive occupancy separation between units."</w:t>
      </w:r>
      <w:r>
        <w:rPr>
          <w:rStyle w:val="FootnoteReference"/>
          <w:rFonts w:cs="Arial"/>
        </w:rPr>
        <w:footnoteReference w:id="12"/>
      </w:r>
      <w:r w:rsidRPr="00C13B53">
        <w:rPr>
          <w:rFonts w:ascii="Arial" w:hAnsi="Arial" w:cs="Arial"/>
        </w:rPr>
        <w:t xml:space="preserve"> They are a small subset of townhouses, apartments, and other shared-wall residential uses.</w:t>
      </w:r>
      <w:r w:rsidRPr="00C13B53" w:rsidDel="00622843">
        <w:rPr>
          <w:rFonts w:ascii="Arial" w:hAnsi="Arial" w:cs="Arial"/>
        </w:rPr>
        <w:t xml:space="preserve"> </w:t>
      </w:r>
    </w:p>
    <w:p w14:paraId="21B75B5F" w14:textId="77777777" w:rsidR="00C13B53" w:rsidRPr="00C13B53" w:rsidRDefault="00C13B53" w:rsidP="00C13B53">
      <w:pPr>
        <w:rPr>
          <w:rFonts w:ascii="Arial" w:hAnsi="Arial" w:cs="Arial"/>
        </w:rPr>
      </w:pPr>
    </w:p>
    <w:bookmarkEnd w:id="1"/>
    <w:p w14:paraId="65EFCC1D" w14:textId="537ACFA7" w:rsidR="00C13B53" w:rsidRPr="00C13B53" w:rsidRDefault="00C13B53" w:rsidP="00C13B53">
      <w:pPr>
        <w:rPr>
          <w:rFonts w:ascii="Arial" w:hAnsi="Arial" w:cs="Arial"/>
        </w:rPr>
      </w:pPr>
      <w:r w:rsidRPr="00C13B53">
        <w:rPr>
          <w:rFonts w:ascii="Arial" w:hAnsi="Arial" w:cs="Arial"/>
        </w:rPr>
        <w:t xml:space="preserve">The amendment would </w:t>
      </w:r>
      <w:r w:rsidR="003E6155">
        <w:rPr>
          <w:rFonts w:ascii="Arial" w:hAnsi="Arial" w:cs="Arial"/>
        </w:rPr>
        <w:t xml:space="preserve">remove requirements for single family and cottage housing and </w:t>
      </w:r>
      <w:r w:rsidRPr="00C13B53">
        <w:rPr>
          <w:rFonts w:ascii="Arial" w:hAnsi="Arial" w:cs="Arial"/>
        </w:rPr>
        <w:t>clarify that</w:t>
      </w:r>
      <w:r w:rsidR="003D2F9B">
        <w:rPr>
          <w:rFonts w:ascii="Arial" w:hAnsi="Arial" w:cs="Arial"/>
        </w:rPr>
        <w:t xml:space="preserve"> the</w:t>
      </w:r>
      <w:r w:rsidRPr="00C13B53">
        <w:rPr>
          <w:rFonts w:ascii="Arial" w:hAnsi="Arial" w:cs="Arial"/>
        </w:rPr>
        <w:t xml:space="preserve"> multifamily residential buildings </w:t>
      </w:r>
      <w:r w:rsidR="003D2F9B">
        <w:rPr>
          <w:rFonts w:ascii="Arial" w:hAnsi="Arial" w:cs="Arial"/>
        </w:rPr>
        <w:t xml:space="preserve">described above </w:t>
      </w:r>
      <w:r w:rsidRPr="00C13B53">
        <w:rPr>
          <w:rFonts w:ascii="Arial" w:hAnsi="Arial" w:cs="Arial"/>
        </w:rPr>
        <w:t xml:space="preserve">are required to meet the electric vehicle standards in state law, rather than a separate standard in County code. </w:t>
      </w:r>
    </w:p>
    <w:p w14:paraId="7824AFAA" w14:textId="77777777" w:rsidR="00F31F5E" w:rsidRDefault="00F31F5E" w:rsidP="00FB6B6B">
      <w:pPr>
        <w:rPr>
          <w:rFonts w:ascii="Arial" w:hAnsi="Arial" w:cs="Arial"/>
          <w:szCs w:val="24"/>
        </w:rPr>
      </w:pPr>
    </w:p>
    <w:p w14:paraId="6792FC02" w14:textId="6D553023" w:rsidR="001613F8" w:rsidRDefault="001613F8" w:rsidP="00FB6B6B">
      <w:pPr>
        <w:rPr>
          <w:rFonts w:ascii="Arial" w:hAnsi="Arial" w:cs="Arial"/>
          <w:szCs w:val="24"/>
        </w:rPr>
      </w:pPr>
      <w:r w:rsidRPr="001613F8">
        <w:rPr>
          <w:rFonts w:ascii="Arial" w:hAnsi="Arial" w:cs="Arial"/>
          <w:szCs w:val="24"/>
        </w:rPr>
        <w:t>Other changes in S</w:t>
      </w:r>
      <w:r w:rsidR="00FB6B6B">
        <w:rPr>
          <w:rFonts w:ascii="Arial" w:hAnsi="Arial" w:cs="Arial"/>
          <w:szCs w:val="24"/>
        </w:rPr>
        <w:t>2</w:t>
      </w:r>
      <w:r w:rsidRPr="001613F8">
        <w:rPr>
          <w:rFonts w:ascii="Arial" w:hAnsi="Arial" w:cs="Arial"/>
          <w:szCs w:val="24"/>
        </w:rPr>
        <w:t xml:space="preserve"> to match executive intent:</w:t>
      </w:r>
    </w:p>
    <w:p w14:paraId="2FBDA53D" w14:textId="77777777" w:rsidR="00FB6B6B" w:rsidRPr="001613F8" w:rsidRDefault="00FB6B6B" w:rsidP="00FB6B6B">
      <w:pPr>
        <w:rPr>
          <w:rFonts w:ascii="Arial" w:hAnsi="Arial" w:cs="Arial"/>
          <w:szCs w:val="24"/>
        </w:rPr>
      </w:pPr>
    </w:p>
    <w:p w14:paraId="0CDAC1B4" w14:textId="77777777" w:rsidR="001613F8" w:rsidRPr="001613F8" w:rsidRDefault="001613F8" w:rsidP="00FB6B6B">
      <w:pPr>
        <w:numPr>
          <w:ilvl w:val="0"/>
          <w:numId w:val="49"/>
        </w:numPr>
        <w:rPr>
          <w:rFonts w:ascii="Arial" w:hAnsi="Arial" w:cs="Arial"/>
          <w:szCs w:val="24"/>
        </w:rPr>
      </w:pPr>
      <w:r w:rsidRPr="001613F8">
        <w:rPr>
          <w:rFonts w:ascii="Arial" w:hAnsi="Arial" w:cs="Arial"/>
          <w:szCs w:val="24"/>
        </w:rPr>
        <w:t>Clarify that, for new buildings and substantial improvements to existing buildings, the parking area is required to meet the EV infrastructure standards regardless of whether parking is being added.</w:t>
      </w:r>
    </w:p>
    <w:p w14:paraId="3F45DC39" w14:textId="77777777" w:rsidR="001613F8" w:rsidRPr="001613F8" w:rsidRDefault="001613F8" w:rsidP="00FB6B6B">
      <w:pPr>
        <w:numPr>
          <w:ilvl w:val="0"/>
          <w:numId w:val="49"/>
        </w:numPr>
        <w:rPr>
          <w:rFonts w:ascii="Arial" w:hAnsi="Arial" w:cs="Arial"/>
          <w:szCs w:val="24"/>
        </w:rPr>
      </w:pPr>
      <w:r w:rsidRPr="001613F8">
        <w:rPr>
          <w:rFonts w:ascii="Arial" w:hAnsi="Arial" w:cs="Arial"/>
          <w:szCs w:val="24"/>
        </w:rPr>
        <w:t>Clarify that accessible EVSE spaces are in addition to any state-required accessible spaces</w:t>
      </w:r>
    </w:p>
    <w:p w14:paraId="7BD7F074" w14:textId="37853B79" w:rsidR="006F2AA3" w:rsidRDefault="001613F8" w:rsidP="00FB6B6B">
      <w:pPr>
        <w:numPr>
          <w:ilvl w:val="0"/>
          <w:numId w:val="49"/>
        </w:numPr>
        <w:rPr>
          <w:rFonts w:ascii="Arial" w:hAnsi="Arial" w:cs="Arial"/>
          <w:szCs w:val="24"/>
        </w:rPr>
      </w:pPr>
      <w:r w:rsidRPr="001613F8">
        <w:rPr>
          <w:rFonts w:ascii="Arial" w:hAnsi="Arial" w:cs="Arial"/>
          <w:szCs w:val="24"/>
        </w:rPr>
        <w:t>Clarify that the intent of load management technology is to serve multiple EVSE spaces simultaneously.</w:t>
      </w:r>
    </w:p>
    <w:p w14:paraId="0D4751D9" w14:textId="2A76F5ED" w:rsidR="00DC4654" w:rsidRPr="001613F8" w:rsidRDefault="00DC4654" w:rsidP="00DC4654">
      <w:pPr>
        <w:rPr>
          <w:rFonts w:ascii="Arial" w:hAnsi="Arial" w:cs="Arial"/>
          <w:szCs w:val="24"/>
        </w:rPr>
      </w:pPr>
      <w:r w:rsidRPr="00DC4654">
        <w:rPr>
          <w:rFonts w:ascii="Arial" w:hAnsi="Arial" w:cs="Arial"/>
          <w:b/>
          <w:bCs/>
          <w:szCs w:val="24"/>
        </w:rPr>
        <w:lastRenderedPageBreak/>
        <w:t>Amendment 1</w:t>
      </w:r>
      <w:r>
        <w:rPr>
          <w:rFonts w:ascii="Arial" w:hAnsi="Arial" w:cs="Arial"/>
          <w:szCs w:val="24"/>
        </w:rPr>
        <w:t xml:space="preserve"> would allow EVSE spaces to be replaced with EV-ready spaces f</w:t>
      </w:r>
      <w:r w:rsidRPr="00DC4654">
        <w:rPr>
          <w:rFonts w:ascii="Arial" w:hAnsi="Arial" w:cs="Arial"/>
          <w:szCs w:val="24"/>
        </w:rPr>
        <w:t>or apartments, group residential, temporary lodging</w:t>
      </w:r>
      <w:r>
        <w:rPr>
          <w:rFonts w:ascii="Arial" w:hAnsi="Arial" w:cs="Arial"/>
          <w:szCs w:val="24"/>
        </w:rPr>
        <w:t>, or nonresidential</w:t>
      </w:r>
      <w:r w:rsidRPr="00DC4654">
        <w:rPr>
          <w:rFonts w:ascii="Arial" w:hAnsi="Arial" w:cs="Arial"/>
          <w:szCs w:val="24"/>
        </w:rPr>
        <w:t xml:space="preserve"> uses subject to the EV requirements of this ordinance when six or fewer total parking spaces are required. If the property owner voluntarily exceeded the minimum parking requirements, EVSE spaces would be required.</w:t>
      </w:r>
    </w:p>
    <w:p w14:paraId="26308C80" w14:textId="77777777" w:rsidR="00575B03" w:rsidRPr="009E34F8" w:rsidRDefault="00575B03" w:rsidP="005B478C">
      <w:pPr>
        <w:pStyle w:val="BodyText"/>
        <w:jc w:val="both"/>
        <w:rPr>
          <w:rFonts w:ascii="Arial" w:hAnsi="Arial" w:cs="Arial"/>
          <w:i w:val="0"/>
          <w:szCs w:val="24"/>
        </w:rPr>
      </w:pPr>
    </w:p>
    <w:p w14:paraId="2F8AD5CE" w14:textId="77777777" w:rsidR="00716F37" w:rsidRPr="009E34F8" w:rsidRDefault="003C064E" w:rsidP="00716F37">
      <w:pPr>
        <w:jc w:val="both"/>
        <w:rPr>
          <w:rFonts w:ascii="Arial" w:hAnsi="Arial" w:cs="Arial"/>
          <w:b/>
          <w:szCs w:val="24"/>
          <w:u w:val="single"/>
        </w:rPr>
      </w:pPr>
      <w:r w:rsidRPr="009E34F8">
        <w:rPr>
          <w:rFonts w:ascii="Arial" w:hAnsi="Arial" w:cs="Arial"/>
          <w:b/>
          <w:szCs w:val="24"/>
          <w:u w:val="single"/>
        </w:rPr>
        <w:t>INVITE</w:t>
      </w:r>
      <w:r w:rsidR="00134579" w:rsidRPr="009E34F8">
        <w:rPr>
          <w:rFonts w:ascii="Arial" w:hAnsi="Arial" w:cs="Arial"/>
          <w:b/>
          <w:szCs w:val="24"/>
          <w:u w:val="single"/>
        </w:rPr>
        <w:t>D</w:t>
      </w:r>
    </w:p>
    <w:p w14:paraId="7C39085D" w14:textId="77777777" w:rsidR="00716F37" w:rsidRPr="009E34F8" w:rsidRDefault="00716F37" w:rsidP="00716F37">
      <w:pPr>
        <w:jc w:val="both"/>
        <w:rPr>
          <w:rFonts w:ascii="Arial" w:hAnsi="Arial" w:cs="Arial"/>
          <w:szCs w:val="24"/>
        </w:rPr>
      </w:pPr>
    </w:p>
    <w:p w14:paraId="3302D165" w14:textId="0D509FD1" w:rsidR="00716F37" w:rsidRDefault="004C1AC3" w:rsidP="00716F37">
      <w:pPr>
        <w:pStyle w:val="ListParagraph0"/>
        <w:numPr>
          <w:ilvl w:val="0"/>
          <w:numId w:val="44"/>
        </w:numPr>
        <w:jc w:val="both"/>
        <w:rPr>
          <w:rFonts w:ascii="Arial" w:hAnsi="Arial" w:cs="Arial"/>
        </w:rPr>
      </w:pPr>
      <w:r w:rsidRPr="009E34F8">
        <w:rPr>
          <w:rFonts w:ascii="Arial" w:hAnsi="Arial" w:cs="Arial"/>
        </w:rPr>
        <w:t>Jim Chan, Permitting Division Director, Department of Local Services</w:t>
      </w:r>
    </w:p>
    <w:p w14:paraId="690FBA8A" w14:textId="7DD89C29" w:rsidR="00DC4654" w:rsidRPr="009E34F8" w:rsidRDefault="00DC4654" w:rsidP="00716F37">
      <w:pPr>
        <w:pStyle w:val="ListParagraph0"/>
        <w:numPr>
          <w:ilvl w:val="0"/>
          <w:numId w:val="44"/>
        </w:numPr>
        <w:jc w:val="both"/>
        <w:rPr>
          <w:rFonts w:ascii="Arial" w:hAnsi="Arial" w:cs="Arial"/>
        </w:rPr>
      </w:pPr>
      <w:r>
        <w:rPr>
          <w:rFonts w:ascii="Arial" w:hAnsi="Arial" w:cs="Arial"/>
        </w:rPr>
        <w:t>Nicole Sanders, Green Building Principal Planner, Permitting Division</w:t>
      </w:r>
    </w:p>
    <w:p w14:paraId="0E27E20A" w14:textId="77777777" w:rsidR="00716F37" w:rsidRPr="009E34F8" w:rsidRDefault="00716F37" w:rsidP="005B478C">
      <w:pPr>
        <w:pStyle w:val="BodyText"/>
        <w:jc w:val="both"/>
        <w:rPr>
          <w:rFonts w:ascii="Arial" w:hAnsi="Arial" w:cs="Arial"/>
          <w:b/>
          <w:i w:val="0"/>
          <w:szCs w:val="24"/>
          <w:u w:val="single"/>
        </w:rPr>
      </w:pPr>
    </w:p>
    <w:p w14:paraId="2B176503" w14:textId="77777777" w:rsidR="00EE00F3" w:rsidRPr="009E34F8" w:rsidRDefault="00293D02" w:rsidP="005B478C">
      <w:pPr>
        <w:pStyle w:val="BodyText"/>
        <w:jc w:val="both"/>
        <w:rPr>
          <w:rFonts w:ascii="Arial" w:hAnsi="Arial" w:cs="Arial"/>
          <w:i w:val="0"/>
          <w:szCs w:val="24"/>
        </w:rPr>
      </w:pPr>
      <w:r w:rsidRPr="009E34F8">
        <w:rPr>
          <w:rFonts w:ascii="Arial" w:hAnsi="Arial" w:cs="Arial"/>
          <w:b/>
          <w:i w:val="0"/>
          <w:szCs w:val="24"/>
          <w:u w:val="single"/>
        </w:rPr>
        <w:t>ATTACHMENTS</w:t>
      </w:r>
    </w:p>
    <w:p w14:paraId="3B8AF397" w14:textId="77777777" w:rsidR="00B24961" w:rsidRPr="009E34F8" w:rsidRDefault="00B24961" w:rsidP="005B478C">
      <w:pPr>
        <w:pStyle w:val="BodyText"/>
        <w:jc w:val="both"/>
        <w:rPr>
          <w:rFonts w:ascii="Arial" w:hAnsi="Arial" w:cs="Arial"/>
          <w:i w:val="0"/>
          <w:szCs w:val="24"/>
        </w:rPr>
      </w:pPr>
    </w:p>
    <w:p w14:paraId="5CAFB6FA" w14:textId="4800019C" w:rsidR="004C241A" w:rsidRPr="009E34F8" w:rsidRDefault="00C521D8" w:rsidP="005B478C">
      <w:pPr>
        <w:pStyle w:val="BodyText"/>
        <w:numPr>
          <w:ilvl w:val="0"/>
          <w:numId w:val="35"/>
        </w:numPr>
        <w:jc w:val="both"/>
        <w:rPr>
          <w:rFonts w:ascii="Arial" w:hAnsi="Arial" w:cs="Arial"/>
          <w:i w:val="0"/>
          <w:szCs w:val="24"/>
        </w:rPr>
      </w:pPr>
      <w:r w:rsidRPr="009E34F8">
        <w:rPr>
          <w:rFonts w:ascii="Arial" w:hAnsi="Arial" w:cs="Arial"/>
          <w:i w:val="0"/>
          <w:szCs w:val="24"/>
        </w:rPr>
        <w:t xml:space="preserve">Proposed </w:t>
      </w:r>
      <w:r w:rsidR="00664648" w:rsidRPr="009E34F8">
        <w:rPr>
          <w:rFonts w:ascii="Arial" w:hAnsi="Arial" w:cs="Arial"/>
          <w:i w:val="0"/>
          <w:szCs w:val="24"/>
        </w:rPr>
        <w:t>Ordinance</w:t>
      </w:r>
      <w:r w:rsidR="00090028">
        <w:rPr>
          <w:rFonts w:ascii="Arial" w:hAnsi="Arial" w:cs="Arial"/>
          <w:i w:val="0"/>
          <w:szCs w:val="24"/>
        </w:rPr>
        <w:t xml:space="preserve"> </w:t>
      </w:r>
      <w:r w:rsidR="00716F37" w:rsidRPr="009E34F8">
        <w:rPr>
          <w:rFonts w:ascii="Arial" w:hAnsi="Arial" w:cs="Arial"/>
          <w:i w:val="0"/>
          <w:szCs w:val="24"/>
        </w:rPr>
        <w:t>20</w:t>
      </w:r>
      <w:r w:rsidR="001C01BB" w:rsidRPr="009E34F8">
        <w:rPr>
          <w:rFonts w:ascii="Arial" w:hAnsi="Arial" w:cs="Arial"/>
          <w:i w:val="0"/>
          <w:szCs w:val="24"/>
        </w:rPr>
        <w:t>2</w:t>
      </w:r>
      <w:r w:rsidR="008F033C" w:rsidRPr="009E34F8">
        <w:rPr>
          <w:rFonts w:ascii="Arial" w:hAnsi="Arial" w:cs="Arial"/>
          <w:i w:val="0"/>
          <w:szCs w:val="24"/>
        </w:rPr>
        <w:t>0-0417</w:t>
      </w:r>
    </w:p>
    <w:p w14:paraId="5C0B8DD4" w14:textId="711C07BE" w:rsidR="008F033C" w:rsidRDefault="008F033C" w:rsidP="005B478C">
      <w:pPr>
        <w:pStyle w:val="BodyText"/>
        <w:numPr>
          <w:ilvl w:val="0"/>
          <w:numId w:val="35"/>
        </w:numPr>
        <w:jc w:val="both"/>
        <w:rPr>
          <w:rFonts w:ascii="Arial" w:hAnsi="Arial" w:cs="Arial"/>
          <w:i w:val="0"/>
          <w:szCs w:val="24"/>
        </w:rPr>
      </w:pPr>
      <w:r w:rsidRPr="00B37B05">
        <w:rPr>
          <w:rFonts w:ascii="Arial" w:hAnsi="Arial" w:cs="Arial"/>
          <w:i w:val="0"/>
          <w:szCs w:val="24"/>
        </w:rPr>
        <w:t>Striking Amendment</w:t>
      </w:r>
      <w:r w:rsidR="006A2FBE" w:rsidRPr="00B37B05">
        <w:rPr>
          <w:rFonts w:ascii="Arial" w:hAnsi="Arial" w:cs="Arial"/>
          <w:i w:val="0"/>
          <w:szCs w:val="24"/>
        </w:rPr>
        <w:t xml:space="preserve"> S</w:t>
      </w:r>
      <w:r w:rsidR="00F31F5E">
        <w:rPr>
          <w:rFonts w:ascii="Arial" w:hAnsi="Arial" w:cs="Arial"/>
          <w:i w:val="0"/>
          <w:szCs w:val="24"/>
        </w:rPr>
        <w:t>2</w:t>
      </w:r>
    </w:p>
    <w:p w14:paraId="424CE544" w14:textId="79EBB9F1" w:rsidR="00B37B05" w:rsidRDefault="00B37B05" w:rsidP="005B478C">
      <w:pPr>
        <w:pStyle w:val="BodyText"/>
        <w:numPr>
          <w:ilvl w:val="0"/>
          <w:numId w:val="35"/>
        </w:numPr>
        <w:jc w:val="both"/>
        <w:rPr>
          <w:rFonts w:ascii="Arial" w:hAnsi="Arial" w:cs="Arial"/>
          <w:i w:val="0"/>
          <w:szCs w:val="24"/>
        </w:rPr>
      </w:pPr>
      <w:r>
        <w:rPr>
          <w:rFonts w:ascii="Arial" w:hAnsi="Arial" w:cs="Arial"/>
          <w:i w:val="0"/>
          <w:szCs w:val="24"/>
        </w:rPr>
        <w:t>Striking Amendment S</w:t>
      </w:r>
      <w:r w:rsidR="00F31F5E">
        <w:rPr>
          <w:rFonts w:ascii="Arial" w:hAnsi="Arial" w:cs="Arial"/>
          <w:i w:val="0"/>
          <w:szCs w:val="24"/>
        </w:rPr>
        <w:t>2</w:t>
      </w:r>
      <w:r>
        <w:rPr>
          <w:rFonts w:ascii="Arial" w:hAnsi="Arial" w:cs="Arial"/>
          <w:i w:val="0"/>
          <w:szCs w:val="24"/>
        </w:rPr>
        <w:t xml:space="preserve"> (Redline Version)</w:t>
      </w:r>
    </w:p>
    <w:p w14:paraId="634945DD" w14:textId="2E10649C" w:rsidR="00DC4654" w:rsidRPr="00B37B05" w:rsidRDefault="00DC4654" w:rsidP="005B478C">
      <w:pPr>
        <w:pStyle w:val="BodyText"/>
        <w:numPr>
          <w:ilvl w:val="0"/>
          <w:numId w:val="35"/>
        </w:numPr>
        <w:jc w:val="both"/>
        <w:rPr>
          <w:rFonts w:ascii="Arial" w:hAnsi="Arial" w:cs="Arial"/>
          <w:i w:val="0"/>
          <w:szCs w:val="24"/>
        </w:rPr>
      </w:pPr>
      <w:r>
        <w:rPr>
          <w:rFonts w:ascii="Arial" w:hAnsi="Arial" w:cs="Arial"/>
          <w:i w:val="0"/>
          <w:szCs w:val="24"/>
        </w:rPr>
        <w:t>Amendment 1</w:t>
      </w:r>
    </w:p>
    <w:p w14:paraId="1B044715" w14:textId="77777777" w:rsidR="00B37B05" w:rsidRDefault="00B37B05" w:rsidP="005B478C">
      <w:pPr>
        <w:pStyle w:val="BodyText"/>
        <w:numPr>
          <w:ilvl w:val="0"/>
          <w:numId w:val="35"/>
        </w:numPr>
        <w:jc w:val="both"/>
        <w:rPr>
          <w:rFonts w:ascii="Arial" w:hAnsi="Arial" w:cs="Arial"/>
          <w:i w:val="0"/>
          <w:szCs w:val="24"/>
        </w:rPr>
      </w:pPr>
      <w:r w:rsidRPr="00B37B05">
        <w:rPr>
          <w:rFonts w:ascii="Arial" w:hAnsi="Arial" w:cs="Arial"/>
          <w:i w:val="0"/>
          <w:szCs w:val="24"/>
        </w:rPr>
        <w:t xml:space="preserve">Electric Vehicle Charging Infrastructure Options Report </w:t>
      </w:r>
    </w:p>
    <w:p w14:paraId="0E27C141" w14:textId="77777777" w:rsidR="008F033C" w:rsidRPr="009E34F8" w:rsidRDefault="008F033C" w:rsidP="005B478C">
      <w:pPr>
        <w:pStyle w:val="BodyText"/>
        <w:numPr>
          <w:ilvl w:val="0"/>
          <w:numId w:val="35"/>
        </w:numPr>
        <w:jc w:val="both"/>
        <w:rPr>
          <w:rFonts w:ascii="Arial" w:hAnsi="Arial" w:cs="Arial"/>
          <w:i w:val="0"/>
          <w:szCs w:val="24"/>
        </w:rPr>
      </w:pPr>
      <w:r w:rsidRPr="009E34F8">
        <w:rPr>
          <w:rFonts w:ascii="Arial" w:hAnsi="Arial" w:cs="Arial"/>
          <w:i w:val="0"/>
          <w:szCs w:val="24"/>
        </w:rPr>
        <w:t>Plain Language Summary</w:t>
      </w:r>
    </w:p>
    <w:p w14:paraId="262D9F2D" w14:textId="77777777" w:rsidR="006A2FBE" w:rsidRPr="009E34F8" w:rsidRDefault="006A2FBE" w:rsidP="005B478C">
      <w:pPr>
        <w:pStyle w:val="BodyText"/>
        <w:numPr>
          <w:ilvl w:val="0"/>
          <w:numId w:val="35"/>
        </w:numPr>
        <w:jc w:val="both"/>
        <w:rPr>
          <w:rFonts w:ascii="Arial" w:hAnsi="Arial" w:cs="Arial"/>
          <w:i w:val="0"/>
          <w:szCs w:val="24"/>
        </w:rPr>
      </w:pPr>
      <w:r w:rsidRPr="009E34F8">
        <w:rPr>
          <w:rFonts w:ascii="Arial" w:hAnsi="Arial" w:cs="Arial"/>
          <w:i w:val="0"/>
          <w:szCs w:val="24"/>
        </w:rPr>
        <w:t>Regulatory Note</w:t>
      </w:r>
    </w:p>
    <w:p w14:paraId="3F403C8B" w14:textId="77777777" w:rsidR="006A2FBE" w:rsidRPr="009E34F8" w:rsidRDefault="00C521D8" w:rsidP="006A2FBE">
      <w:pPr>
        <w:pStyle w:val="BodyText"/>
        <w:numPr>
          <w:ilvl w:val="0"/>
          <w:numId w:val="35"/>
        </w:numPr>
        <w:jc w:val="both"/>
        <w:rPr>
          <w:rFonts w:ascii="Arial" w:hAnsi="Arial" w:cs="Arial"/>
          <w:i w:val="0"/>
          <w:szCs w:val="24"/>
        </w:rPr>
      </w:pPr>
      <w:r w:rsidRPr="009E34F8">
        <w:rPr>
          <w:rFonts w:ascii="Arial" w:hAnsi="Arial" w:cs="Arial"/>
          <w:i w:val="0"/>
          <w:szCs w:val="24"/>
        </w:rPr>
        <w:t>Transmittal Letter</w:t>
      </w:r>
    </w:p>
    <w:p w14:paraId="1E5F6702" w14:textId="77777777" w:rsidR="00C521D8" w:rsidRPr="009E34F8" w:rsidRDefault="00C521D8" w:rsidP="005B478C">
      <w:pPr>
        <w:pStyle w:val="BodyText"/>
        <w:numPr>
          <w:ilvl w:val="0"/>
          <w:numId w:val="35"/>
        </w:numPr>
        <w:jc w:val="both"/>
        <w:rPr>
          <w:rFonts w:ascii="Arial" w:hAnsi="Arial" w:cs="Arial"/>
          <w:i w:val="0"/>
          <w:szCs w:val="24"/>
        </w:rPr>
      </w:pPr>
      <w:r w:rsidRPr="009E34F8">
        <w:rPr>
          <w:rFonts w:ascii="Arial" w:hAnsi="Arial" w:cs="Arial"/>
          <w:i w:val="0"/>
          <w:szCs w:val="24"/>
        </w:rPr>
        <w:t>Fiscal Note</w:t>
      </w:r>
    </w:p>
    <w:p w14:paraId="4CFF6848" w14:textId="77777777" w:rsidR="00C521D8" w:rsidRPr="009E34F8" w:rsidRDefault="00C521D8" w:rsidP="005B478C">
      <w:pPr>
        <w:pStyle w:val="BodyText"/>
        <w:jc w:val="both"/>
        <w:rPr>
          <w:rFonts w:ascii="Arial" w:hAnsi="Arial" w:cs="Arial"/>
          <w:b/>
          <w:i w:val="0"/>
          <w:szCs w:val="24"/>
          <w:u w:val="single"/>
        </w:rPr>
      </w:pPr>
    </w:p>
    <w:p w14:paraId="7D50609A" w14:textId="77777777" w:rsidR="001C4B19" w:rsidRPr="009E34F8" w:rsidRDefault="001C4B19" w:rsidP="005B478C">
      <w:pPr>
        <w:jc w:val="both"/>
        <w:rPr>
          <w:rFonts w:ascii="Arial" w:hAnsi="Arial" w:cs="Arial"/>
          <w:szCs w:val="24"/>
        </w:rPr>
      </w:pPr>
    </w:p>
    <w:sectPr w:rsidR="001C4B19" w:rsidRPr="009E34F8"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21AB5" w14:textId="77777777" w:rsidR="00235E10" w:rsidRDefault="00235E10">
      <w:r>
        <w:separator/>
      </w:r>
    </w:p>
  </w:endnote>
  <w:endnote w:type="continuationSeparator" w:id="0">
    <w:p w14:paraId="48DA93D3" w14:textId="77777777" w:rsidR="00235E10" w:rsidRDefault="0023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6FAF8" w14:textId="77777777" w:rsidR="00235E10" w:rsidRDefault="00235E10">
      <w:r>
        <w:separator/>
      </w:r>
    </w:p>
  </w:footnote>
  <w:footnote w:type="continuationSeparator" w:id="0">
    <w:p w14:paraId="1F01B081" w14:textId="77777777" w:rsidR="00235E10" w:rsidRDefault="00235E10">
      <w:r>
        <w:continuationSeparator/>
      </w:r>
    </w:p>
  </w:footnote>
  <w:footnote w:id="1">
    <w:p w14:paraId="626A119A" w14:textId="77777777" w:rsidR="00F36138" w:rsidRDefault="00F36138" w:rsidP="00F36138">
      <w:pPr>
        <w:pStyle w:val="FootnoteText"/>
      </w:pPr>
      <w:r>
        <w:rPr>
          <w:rStyle w:val="FootnoteReference"/>
        </w:rPr>
        <w:footnoteRef/>
      </w:r>
      <w:r>
        <w:t xml:space="preserve"> Proposed Motion 2020-0288</w:t>
      </w:r>
    </w:p>
  </w:footnote>
  <w:footnote w:id="2">
    <w:p w14:paraId="1A322294" w14:textId="77777777" w:rsidR="00235E10" w:rsidRPr="006638DF" w:rsidRDefault="00235E10" w:rsidP="00DE5253">
      <w:pPr>
        <w:pStyle w:val="FootnoteText"/>
        <w:rPr>
          <w:rFonts w:cs="Arial"/>
        </w:rPr>
      </w:pPr>
      <w:r w:rsidRPr="006638DF">
        <w:rPr>
          <w:rStyle w:val="FootnoteReference"/>
          <w:rFonts w:cs="Arial"/>
        </w:rPr>
        <w:footnoteRef/>
      </w:r>
      <w:r w:rsidRPr="006638DF">
        <w:rPr>
          <w:rFonts w:cs="Arial"/>
        </w:rPr>
        <w:t xml:space="preserve"> Compared to a 2007 baseline.</w:t>
      </w:r>
    </w:p>
  </w:footnote>
  <w:footnote w:id="3">
    <w:p w14:paraId="1065553F" w14:textId="77777777" w:rsidR="00235E10" w:rsidRDefault="00235E10">
      <w:pPr>
        <w:pStyle w:val="FootnoteText"/>
      </w:pPr>
      <w:r>
        <w:rPr>
          <w:rStyle w:val="FootnoteReference"/>
        </w:rPr>
        <w:footnoteRef/>
      </w:r>
      <w:r>
        <w:t xml:space="preserve"> K.C.C. 18.22.010.F.2.</w:t>
      </w:r>
    </w:p>
  </w:footnote>
  <w:footnote w:id="4">
    <w:p w14:paraId="1A83FE52" w14:textId="77777777" w:rsidR="00235E10" w:rsidRDefault="00235E10" w:rsidP="00DE5253">
      <w:pPr>
        <w:pStyle w:val="FootnoteText"/>
      </w:pPr>
      <w:r>
        <w:rPr>
          <w:rStyle w:val="FootnoteReference"/>
        </w:rPr>
        <w:footnoteRef/>
      </w:r>
      <w:r>
        <w:t xml:space="preserve"> Ordinance 19021, Section 46, P8.</w:t>
      </w:r>
    </w:p>
  </w:footnote>
  <w:footnote w:id="5">
    <w:p w14:paraId="54C05E9D" w14:textId="77777777" w:rsidR="00235E10" w:rsidRPr="00864C03" w:rsidRDefault="00235E10" w:rsidP="00EF4A54">
      <w:pPr>
        <w:pStyle w:val="FootnoteText"/>
        <w:rPr>
          <w:rFonts w:cs="Arial"/>
          <w:sz w:val="18"/>
          <w:szCs w:val="18"/>
        </w:rPr>
      </w:pPr>
      <w:r w:rsidRPr="00864C03">
        <w:rPr>
          <w:rStyle w:val="FootnoteReference"/>
          <w:rFonts w:cs="Arial"/>
          <w:sz w:val="18"/>
          <w:szCs w:val="18"/>
        </w:rPr>
        <w:footnoteRef/>
      </w:r>
      <w:r w:rsidRPr="00864C03">
        <w:rPr>
          <w:rFonts w:cs="Arial"/>
          <w:sz w:val="18"/>
          <w:szCs w:val="18"/>
        </w:rPr>
        <w:t xml:space="preserve"> Percentages apply to the number of total parking spaces that must meet the requirement.</w:t>
      </w:r>
    </w:p>
  </w:footnote>
  <w:footnote w:id="6">
    <w:p w14:paraId="72FA8A2B" w14:textId="77777777" w:rsidR="00235E10" w:rsidRPr="00864C03" w:rsidRDefault="00235E10" w:rsidP="00EF4A54">
      <w:pPr>
        <w:pStyle w:val="FootnoteText"/>
        <w:rPr>
          <w:rFonts w:cs="Arial"/>
          <w:sz w:val="18"/>
          <w:szCs w:val="18"/>
        </w:rPr>
      </w:pPr>
      <w:r w:rsidRPr="00864C03">
        <w:rPr>
          <w:rStyle w:val="FootnoteReference"/>
          <w:rFonts w:cs="Arial"/>
          <w:sz w:val="18"/>
          <w:szCs w:val="18"/>
        </w:rPr>
        <w:footnoteRef/>
      </w:r>
      <w:r w:rsidRPr="00864C03">
        <w:rPr>
          <w:rFonts w:cs="Arial"/>
          <w:sz w:val="18"/>
          <w:szCs w:val="18"/>
        </w:rPr>
        <w:t xml:space="preserve"> Percentages apply to the number of total parking spaces that must meet the requirement.</w:t>
      </w:r>
    </w:p>
  </w:footnote>
  <w:footnote w:id="7">
    <w:p w14:paraId="10938B5C" w14:textId="77777777" w:rsidR="00235E10" w:rsidRDefault="00235E10" w:rsidP="00F33181">
      <w:pPr>
        <w:pStyle w:val="FootnoteText"/>
      </w:pPr>
      <w:r>
        <w:rPr>
          <w:rStyle w:val="FootnoteReference"/>
        </w:rPr>
        <w:footnoteRef/>
      </w:r>
      <w:r>
        <w:t xml:space="preserve"> As defined by K.C.C. 21A.06.1268. To paraphrase, a substantial improvement is an improvement to a structure that equals or exceeds fifty percent of the market value.</w:t>
      </w:r>
    </w:p>
  </w:footnote>
  <w:footnote w:id="8">
    <w:p w14:paraId="07560617" w14:textId="77777777" w:rsidR="00235E10" w:rsidRDefault="00235E10">
      <w:pPr>
        <w:pStyle w:val="FootnoteText"/>
      </w:pPr>
      <w:r>
        <w:rPr>
          <w:rStyle w:val="FootnoteReference"/>
        </w:rPr>
        <w:footnoteRef/>
      </w:r>
      <w:r>
        <w:t xml:space="preserve"> At least 5% of EVSE spaces, but no less than one, would be required to be accessible.</w:t>
      </w:r>
    </w:p>
  </w:footnote>
  <w:footnote w:id="9">
    <w:p w14:paraId="0A3466A4" w14:textId="77777777" w:rsidR="00235E10" w:rsidRDefault="00235E10">
      <w:pPr>
        <w:pStyle w:val="FootnoteText"/>
      </w:pPr>
      <w:r>
        <w:rPr>
          <w:rStyle w:val="FootnoteReference"/>
        </w:rPr>
        <w:footnoteRef/>
      </w:r>
      <w:r>
        <w:t xml:space="preserve">  Community residential facilities, dormitories, and senior citizen assisted housing.</w:t>
      </w:r>
    </w:p>
  </w:footnote>
  <w:footnote w:id="10">
    <w:p w14:paraId="17526398" w14:textId="77777777" w:rsidR="00235E10" w:rsidRDefault="00235E10">
      <w:pPr>
        <w:pStyle w:val="FootnoteText"/>
      </w:pPr>
      <w:r>
        <w:rPr>
          <w:rStyle w:val="FootnoteReference"/>
        </w:rPr>
        <w:footnoteRef/>
      </w:r>
      <w:r>
        <w:t xml:space="preserve"> Hotels, Motels, Bed and Breakfast Guesthouses, and Organizational Hotel/Lodging Houses.</w:t>
      </w:r>
    </w:p>
  </w:footnote>
  <w:footnote w:id="11">
    <w:p w14:paraId="6EF800FC" w14:textId="797D1221" w:rsidR="00C13B53" w:rsidRDefault="00C13B53">
      <w:pPr>
        <w:pStyle w:val="FootnoteText"/>
      </w:pPr>
      <w:r>
        <w:rPr>
          <w:rStyle w:val="FootnoteReference"/>
        </w:rPr>
        <w:footnoteRef/>
      </w:r>
      <w:r>
        <w:t xml:space="preserve"> RCW 19.27.060.1.a.</w:t>
      </w:r>
    </w:p>
  </w:footnote>
  <w:footnote w:id="12">
    <w:p w14:paraId="7C3542D5" w14:textId="712AD3F2" w:rsidR="00C13B53" w:rsidRDefault="00C13B53">
      <w:pPr>
        <w:pStyle w:val="FootnoteText"/>
      </w:pPr>
      <w:r>
        <w:rPr>
          <w:rStyle w:val="FootnoteReference"/>
        </w:rPr>
        <w:footnoteRef/>
      </w:r>
      <w:r>
        <w:t xml:space="preserve"> RCW 19.27.015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69C5" w14:textId="77777777" w:rsidR="00235E10" w:rsidRDefault="00235E10" w:rsidP="00C75025">
    <w:pPr>
      <w:jc w:val="center"/>
    </w:pPr>
    <w:r>
      <w:rPr>
        <w:noProof/>
      </w:rPr>
      <w:drawing>
        <wp:inline distT="0" distB="0" distL="0" distR="0" wp14:anchorId="55DC379C" wp14:editId="7C4E499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BC79616" w14:textId="77777777" w:rsidR="00235E10" w:rsidRPr="003B03EF" w:rsidRDefault="00235E10" w:rsidP="00C75025">
    <w:pPr>
      <w:jc w:val="center"/>
      <w:rPr>
        <w:rFonts w:ascii="Arial" w:hAnsi="Arial"/>
        <w:szCs w:val="22"/>
      </w:rPr>
    </w:pPr>
  </w:p>
  <w:p w14:paraId="62D5BCEE" w14:textId="77777777" w:rsidR="00235E10" w:rsidRDefault="00235E10" w:rsidP="00C75025">
    <w:pPr>
      <w:jc w:val="center"/>
      <w:rPr>
        <w:rFonts w:ascii="Verdana" w:hAnsi="Verdana"/>
        <w:b/>
        <w:sz w:val="28"/>
        <w:szCs w:val="28"/>
      </w:rPr>
    </w:pPr>
    <w:r>
      <w:rPr>
        <w:rFonts w:ascii="Verdana" w:hAnsi="Verdana"/>
        <w:b/>
        <w:sz w:val="28"/>
        <w:szCs w:val="28"/>
      </w:rPr>
      <w:t>Metropolitan King County Council</w:t>
    </w:r>
  </w:p>
  <w:p w14:paraId="3CBDE8E1" w14:textId="77777777" w:rsidR="00235E10" w:rsidRPr="004A1D48" w:rsidRDefault="00235E10" w:rsidP="00C75025">
    <w:pPr>
      <w:jc w:val="center"/>
      <w:rPr>
        <w:rFonts w:ascii="Verdana" w:hAnsi="Verdana"/>
        <w:b/>
        <w:sz w:val="28"/>
        <w:szCs w:val="28"/>
      </w:rPr>
    </w:pPr>
    <w:r>
      <w:rPr>
        <w:rFonts w:ascii="Verdana" w:hAnsi="Verdana"/>
        <w:b/>
        <w:sz w:val="28"/>
        <w:szCs w:val="28"/>
      </w:rPr>
      <w:t>Local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3B0870"/>
    <w:multiLevelType w:val="hybridMultilevel"/>
    <w:tmpl w:val="E31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6F1D"/>
    <w:multiLevelType w:val="hybridMultilevel"/>
    <w:tmpl w:val="19DA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33609"/>
    <w:multiLevelType w:val="hybridMultilevel"/>
    <w:tmpl w:val="2450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AB46B9"/>
    <w:multiLevelType w:val="hybridMultilevel"/>
    <w:tmpl w:val="B2144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D6BDE"/>
    <w:multiLevelType w:val="hybridMultilevel"/>
    <w:tmpl w:val="DD2C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C125B"/>
    <w:multiLevelType w:val="hybridMultilevel"/>
    <w:tmpl w:val="D71A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C423A"/>
    <w:multiLevelType w:val="hybridMultilevel"/>
    <w:tmpl w:val="E9B8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12"/>
  </w:num>
  <w:num w:numId="4">
    <w:abstractNumId w:val="49"/>
  </w:num>
  <w:num w:numId="5">
    <w:abstractNumId w:val="46"/>
  </w:num>
  <w:num w:numId="6">
    <w:abstractNumId w:val="13"/>
  </w:num>
  <w:num w:numId="7">
    <w:abstractNumId w:val="47"/>
  </w:num>
  <w:num w:numId="8">
    <w:abstractNumId w:val="15"/>
  </w:num>
  <w:num w:numId="9">
    <w:abstractNumId w:val="3"/>
  </w:num>
  <w:num w:numId="10">
    <w:abstractNumId w:val="48"/>
  </w:num>
  <w:num w:numId="11">
    <w:abstractNumId w:val="2"/>
  </w:num>
  <w:num w:numId="12">
    <w:abstractNumId w:val="19"/>
  </w:num>
  <w:num w:numId="13">
    <w:abstractNumId w:val="22"/>
  </w:num>
  <w:num w:numId="14">
    <w:abstractNumId w:val="17"/>
  </w:num>
  <w:num w:numId="15">
    <w:abstractNumId w:val="25"/>
  </w:num>
  <w:num w:numId="16">
    <w:abstractNumId w:val="16"/>
  </w:num>
  <w:num w:numId="17">
    <w:abstractNumId w:val="39"/>
  </w:num>
  <w:num w:numId="18">
    <w:abstractNumId w:val="24"/>
  </w:num>
  <w:num w:numId="19">
    <w:abstractNumId w:val="33"/>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30"/>
  </w:num>
  <w:num w:numId="30">
    <w:abstractNumId w:val="1"/>
  </w:num>
  <w:num w:numId="31">
    <w:abstractNumId w:val="36"/>
  </w:num>
  <w:num w:numId="32">
    <w:abstractNumId w:val="41"/>
  </w:num>
  <w:num w:numId="33">
    <w:abstractNumId w:val="14"/>
  </w:num>
  <w:num w:numId="34">
    <w:abstractNumId w:val="11"/>
  </w:num>
  <w:num w:numId="35">
    <w:abstractNumId w:val="7"/>
  </w:num>
  <w:num w:numId="36">
    <w:abstractNumId w:val="28"/>
  </w:num>
  <w:num w:numId="37">
    <w:abstractNumId w:val="42"/>
  </w:num>
  <w:num w:numId="38">
    <w:abstractNumId w:val="20"/>
  </w:num>
  <w:num w:numId="39">
    <w:abstractNumId w:val="35"/>
  </w:num>
  <w:num w:numId="40">
    <w:abstractNumId w:val="31"/>
  </w:num>
  <w:num w:numId="41">
    <w:abstractNumId w:val="44"/>
  </w:num>
  <w:num w:numId="42">
    <w:abstractNumId w:val="37"/>
  </w:num>
  <w:num w:numId="43">
    <w:abstractNumId w:val="18"/>
  </w:num>
  <w:num w:numId="44">
    <w:abstractNumId w:val="23"/>
  </w:num>
  <w:num w:numId="45">
    <w:abstractNumId w:val="29"/>
  </w:num>
  <w:num w:numId="46">
    <w:abstractNumId w:val="38"/>
  </w:num>
  <w:num w:numId="47">
    <w:abstractNumId w:val="43"/>
  </w:num>
  <w:num w:numId="48">
    <w:abstractNumId w:val="34"/>
  </w:num>
  <w:num w:numId="49">
    <w:abstractNumId w:val="27"/>
  </w:num>
  <w:num w:numId="50">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443D"/>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5BE3"/>
    <w:rsid w:val="00056C81"/>
    <w:rsid w:val="000577A3"/>
    <w:rsid w:val="00060235"/>
    <w:rsid w:val="00060D99"/>
    <w:rsid w:val="0006124B"/>
    <w:rsid w:val="00061676"/>
    <w:rsid w:val="00062056"/>
    <w:rsid w:val="00063E46"/>
    <w:rsid w:val="00066CEA"/>
    <w:rsid w:val="000715FA"/>
    <w:rsid w:val="000722EA"/>
    <w:rsid w:val="000736F6"/>
    <w:rsid w:val="00074A56"/>
    <w:rsid w:val="000766A2"/>
    <w:rsid w:val="00076F58"/>
    <w:rsid w:val="00080295"/>
    <w:rsid w:val="00081382"/>
    <w:rsid w:val="00082009"/>
    <w:rsid w:val="0008325A"/>
    <w:rsid w:val="00086A9B"/>
    <w:rsid w:val="00087BF6"/>
    <w:rsid w:val="00090028"/>
    <w:rsid w:val="000913B6"/>
    <w:rsid w:val="00093E2E"/>
    <w:rsid w:val="000940FB"/>
    <w:rsid w:val="000956D8"/>
    <w:rsid w:val="00095A14"/>
    <w:rsid w:val="000967D1"/>
    <w:rsid w:val="000976A4"/>
    <w:rsid w:val="00097FCF"/>
    <w:rsid w:val="000A0254"/>
    <w:rsid w:val="000A0800"/>
    <w:rsid w:val="000A0835"/>
    <w:rsid w:val="000A0A31"/>
    <w:rsid w:val="000A26BF"/>
    <w:rsid w:val="000A2FD2"/>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41E7"/>
    <w:rsid w:val="00117D3D"/>
    <w:rsid w:val="00121D0A"/>
    <w:rsid w:val="0012573D"/>
    <w:rsid w:val="00126322"/>
    <w:rsid w:val="00131D0E"/>
    <w:rsid w:val="001320CB"/>
    <w:rsid w:val="0013286C"/>
    <w:rsid w:val="00132C16"/>
    <w:rsid w:val="00132DFC"/>
    <w:rsid w:val="00132FA5"/>
    <w:rsid w:val="00133981"/>
    <w:rsid w:val="00134579"/>
    <w:rsid w:val="0013486D"/>
    <w:rsid w:val="0013518C"/>
    <w:rsid w:val="0013537B"/>
    <w:rsid w:val="00136122"/>
    <w:rsid w:val="00137469"/>
    <w:rsid w:val="00137B21"/>
    <w:rsid w:val="001404CF"/>
    <w:rsid w:val="00140D86"/>
    <w:rsid w:val="00141B7A"/>
    <w:rsid w:val="001426ED"/>
    <w:rsid w:val="00142F7E"/>
    <w:rsid w:val="001440C8"/>
    <w:rsid w:val="001440E6"/>
    <w:rsid w:val="001463CF"/>
    <w:rsid w:val="001475E5"/>
    <w:rsid w:val="001509B2"/>
    <w:rsid w:val="0015229A"/>
    <w:rsid w:val="00152D09"/>
    <w:rsid w:val="00154E2E"/>
    <w:rsid w:val="00157334"/>
    <w:rsid w:val="001613F8"/>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316"/>
    <w:rsid w:val="001A3BDD"/>
    <w:rsid w:val="001A4D65"/>
    <w:rsid w:val="001A5603"/>
    <w:rsid w:val="001A5669"/>
    <w:rsid w:val="001A69FC"/>
    <w:rsid w:val="001A7872"/>
    <w:rsid w:val="001A79D0"/>
    <w:rsid w:val="001B4E6F"/>
    <w:rsid w:val="001B65A3"/>
    <w:rsid w:val="001B6C67"/>
    <w:rsid w:val="001B7023"/>
    <w:rsid w:val="001C01BB"/>
    <w:rsid w:val="001C0CD3"/>
    <w:rsid w:val="001C254D"/>
    <w:rsid w:val="001C4B19"/>
    <w:rsid w:val="001C4EAE"/>
    <w:rsid w:val="001C7EDC"/>
    <w:rsid w:val="001D0111"/>
    <w:rsid w:val="001D15FF"/>
    <w:rsid w:val="001D2DDB"/>
    <w:rsid w:val="001D396A"/>
    <w:rsid w:val="001D4C77"/>
    <w:rsid w:val="001D525A"/>
    <w:rsid w:val="001D6FB9"/>
    <w:rsid w:val="001D7004"/>
    <w:rsid w:val="001D718E"/>
    <w:rsid w:val="001E0DD3"/>
    <w:rsid w:val="001E0E59"/>
    <w:rsid w:val="001E1042"/>
    <w:rsid w:val="001E2BAC"/>
    <w:rsid w:val="001E45BF"/>
    <w:rsid w:val="001E5D41"/>
    <w:rsid w:val="001E6331"/>
    <w:rsid w:val="001E6DFB"/>
    <w:rsid w:val="001E7A70"/>
    <w:rsid w:val="001E7F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5E10"/>
    <w:rsid w:val="00236BA3"/>
    <w:rsid w:val="002413EE"/>
    <w:rsid w:val="00243C8C"/>
    <w:rsid w:val="00243CB5"/>
    <w:rsid w:val="002443A8"/>
    <w:rsid w:val="00246276"/>
    <w:rsid w:val="0024797C"/>
    <w:rsid w:val="00250071"/>
    <w:rsid w:val="00250B96"/>
    <w:rsid w:val="00251853"/>
    <w:rsid w:val="00251FAC"/>
    <w:rsid w:val="00253303"/>
    <w:rsid w:val="00253433"/>
    <w:rsid w:val="00253754"/>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101"/>
    <w:rsid w:val="002A2420"/>
    <w:rsid w:val="002A538E"/>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5B81"/>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0122"/>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064E"/>
    <w:rsid w:val="003C3117"/>
    <w:rsid w:val="003C31C2"/>
    <w:rsid w:val="003C3AE8"/>
    <w:rsid w:val="003C6B62"/>
    <w:rsid w:val="003C7596"/>
    <w:rsid w:val="003C78B5"/>
    <w:rsid w:val="003D06D2"/>
    <w:rsid w:val="003D24A2"/>
    <w:rsid w:val="003D2F9B"/>
    <w:rsid w:val="003D3E56"/>
    <w:rsid w:val="003D7347"/>
    <w:rsid w:val="003E0A75"/>
    <w:rsid w:val="003E2957"/>
    <w:rsid w:val="003E32E3"/>
    <w:rsid w:val="003E52FC"/>
    <w:rsid w:val="003E54B1"/>
    <w:rsid w:val="003E6155"/>
    <w:rsid w:val="003F252B"/>
    <w:rsid w:val="003F3805"/>
    <w:rsid w:val="003F635B"/>
    <w:rsid w:val="003F7F18"/>
    <w:rsid w:val="004004FE"/>
    <w:rsid w:val="00400A17"/>
    <w:rsid w:val="00400C1C"/>
    <w:rsid w:val="00401E29"/>
    <w:rsid w:val="00402D08"/>
    <w:rsid w:val="00403695"/>
    <w:rsid w:val="00404531"/>
    <w:rsid w:val="00404F31"/>
    <w:rsid w:val="00405402"/>
    <w:rsid w:val="004079CC"/>
    <w:rsid w:val="004121CD"/>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275B0"/>
    <w:rsid w:val="00431EEF"/>
    <w:rsid w:val="00433E5C"/>
    <w:rsid w:val="004349B7"/>
    <w:rsid w:val="00436DD2"/>
    <w:rsid w:val="0043717B"/>
    <w:rsid w:val="00437287"/>
    <w:rsid w:val="00441071"/>
    <w:rsid w:val="004412EB"/>
    <w:rsid w:val="00445F8B"/>
    <w:rsid w:val="00447B01"/>
    <w:rsid w:val="00450155"/>
    <w:rsid w:val="0045274D"/>
    <w:rsid w:val="00452C5D"/>
    <w:rsid w:val="00452DA1"/>
    <w:rsid w:val="00455447"/>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1AC3"/>
    <w:rsid w:val="004C20B1"/>
    <w:rsid w:val="004C241A"/>
    <w:rsid w:val="004C2642"/>
    <w:rsid w:val="004C2A6B"/>
    <w:rsid w:val="004C3D3A"/>
    <w:rsid w:val="004C4AA8"/>
    <w:rsid w:val="004C4F9F"/>
    <w:rsid w:val="004C570A"/>
    <w:rsid w:val="004C76FB"/>
    <w:rsid w:val="004D15A7"/>
    <w:rsid w:val="004D160D"/>
    <w:rsid w:val="004D2FE8"/>
    <w:rsid w:val="004D30D7"/>
    <w:rsid w:val="004D31B6"/>
    <w:rsid w:val="004D3E48"/>
    <w:rsid w:val="004D41EF"/>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4931"/>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3E4"/>
    <w:rsid w:val="005878CE"/>
    <w:rsid w:val="00590A54"/>
    <w:rsid w:val="00590C7D"/>
    <w:rsid w:val="00592A33"/>
    <w:rsid w:val="00592B20"/>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934"/>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38DF"/>
    <w:rsid w:val="00664288"/>
    <w:rsid w:val="00664648"/>
    <w:rsid w:val="00665939"/>
    <w:rsid w:val="006664C0"/>
    <w:rsid w:val="0066707D"/>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2FBE"/>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1FA"/>
    <w:rsid w:val="006D1FAB"/>
    <w:rsid w:val="006D3174"/>
    <w:rsid w:val="006D4A90"/>
    <w:rsid w:val="006D5B17"/>
    <w:rsid w:val="006D6BEA"/>
    <w:rsid w:val="006D6C04"/>
    <w:rsid w:val="006D7272"/>
    <w:rsid w:val="006E1DED"/>
    <w:rsid w:val="006E3DEF"/>
    <w:rsid w:val="006E3EC7"/>
    <w:rsid w:val="006E5942"/>
    <w:rsid w:val="006E7771"/>
    <w:rsid w:val="006F129F"/>
    <w:rsid w:val="006F2AA3"/>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37"/>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3F4"/>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35C"/>
    <w:rsid w:val="007B76B3"/>
    <w:rsid w:val="007C20EE"/>
    <w:rsid w:val="007C6843"/>
    <w:rsid w:val="007C6AB8"/>
    <w:rsid w:val="007C7BDF"/>
    <w:rsid w:val="007D178B"/>
    <w:rsid w:val="007D17ED"/>
    <w:rsid w:val="007D2C57"/>
    <w:rsid w:val="007D72EC"/>
    <w:rsid w:val="007D78E8"/>
    <w:rsid w:val="007D7D5A"/>
    <w:rsid w:val="007E3231"/>
    <w:rsid w:val="007F0F9A"/>
    <w:rsid w:val="007F2EFD"/>
    <w:rsid w:val="007F31C4"/>
    <w:rsid w:val="007F566F"/>
    <w:rsid w:val="0080188E"/>
    <w:rsid w:val="0080247D"/>
    <w:rsid w:val="008028FF"/>
    <w:rsid w:val="008029E9"/>
    <w:rsid w:val="00803ADB"/>
    <w:rsid w:val="0080466D"/>
    <w:rsid w:val="008054C0"/>
    <w:rsid w:val="00806E8B"/>
    <w:rsid w:val="0081445B"/>
    <w:rsid w:val="00816B49"/>
    <w:rsid w:val="00820136"/>
    <w:rsid w:val="008203C8"/>
    <w:rsid w:val="00821054"/>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5FCB"/>
    <w:rsid w:val="00886402"/>
    <w:rsid w:val="00887986"/>
    <w:rsid w:val="00892075"/>
    <w:rsid w:val="00892A2F"/>
    <w:rsid w:val="0089377A"/>
    <w:rsid w:val="00894CDD"/>
    <w:rsid w:val="00897140"/>
    <w:rsid w:val="008A0A01"/>
    <w:rsid w:val="008A1766"/>
    <w:rsid w:val="008A2B57"/>
    <w:rsid w:val="008A4F50"/>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033C"/>
    <w:rsid w:val="008F18D1"/>
    <w:rsid w:val="008F3077"/>
    <w:rsid w:val="008F4FEE"/>
    <w:rsid w:val="008F5106"/>
    <w:rsid w:val="008F5B95"/>
    <w:rsid w:val="008F657A"/>
    <w:rsid w:val="0090274A"/>
    <w:rsid w:val="00903C11"/>
    <w:rsid w:val="00904115"/>
    <w:rsid w:val="00905154"/>
    <w:rsid w:val="00905286"/>
    <w:rsid w:val="009114C1"/>
    <w:rsid w:val="00912599"/>
    <w:rsid w:val="00913FE4"/>
    <w:rsid w:val="00914366"/>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2C36"/>
    <w:rsid w:val="009532E2"/>
    <w:rsid w:val="009535B1"/>
    <w:rsid w:val="00954BC9"/>
    <w:rsid w:val="00955248"/>
    <w:rsid w:val="0096284C"/>
    <w:rsid w:val="0096513A"/>
    <w:rsid w:val="0096621D"/>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4F8"/>
    <w:rsid w:val="009E3D98"/>
    <w:rsid w:val="009E3F80"/>
    <w:rsid w:val="009E3FF6"/>
    <w:rsid w:val="009E652E"/>
    <w:rsid w:val="009F356D"/>
    <w:rsid w:val="009F5577"/>
    <w:rsid w:val="009F6AA2"/>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4F28"/>
    <w:rsid w:val="00AA74D0"/>
    <w:rsid w:val="00AA78B7"/>
    <w:rsid w:val="00AA78FE"/>
    <w:rsid w:val="00AA7ACA"/>
    <w:rsid w:val="00AB0779"/>
    <w:rsid w:val="00AB2549"/>
    <w:rsid w:val="00AB546C"/>
    <w:rsid w:val="00AB5D11"/>
    <w:rsid w:val="00AB62CD"/>
    <w:rsid w:val="00AB745F"/>
    <w:rsid w:val="00AB7EDB"/>
    <w:rsid w:val="00AC1CD2"/>
    <w:rsid w:val="00AC515D"/>
    <w:rsid w:val="00AC57FB"/>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05"/>
    <w:rsid w:val="00B37B8A"/>
    <w:rsid w:val="00B410AF"/>
    <w:rsid w:val="00B418C2"/>
    <w:rsid w:val="00B424FA"/>
    <w:rsid w:val="00B445B5"/>
    <w:rsid w:val="00B44B21"/>
    <w:rsid w:val="00B46027"/>
    <w:rsid w:val="00B47954"/>
    <w:rsid w:val="00B5059B"/>
    <w:rsid w:val="00B5157E"/>
    <w:rsid w:val="00B51CA8"/>
    <w:rsid w:val="00B51EFC"/>
    <w:rsid w:val="00B5298C"/>
    <w:rsid w:val="00B54F5A"/>
    <w:rsid w:val="00B65EB6"/>
    <w:rsid w:val="00B66304"/>
    <w:rsid w:val="00B701FA"/>
    <w:rsid w:val="00B709CE"/>
    <w:rsid w:val="00B71C54"/>
    <w:rsid w:val="00B71C6D"/>
    <w:rsid w:val="00B72103"/>
    <w:rsid w:val="00B7271E"/>
    <w:rsid w:val="00B72A04"/>
    <w:rsid w:val="00B73F29"/>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38B9"/>
    <w:rsid w:val="00BC4875"/>
    <w:rsid w:val="00BC5120"/>
    <w:rsid w:val="00BD004A"/>
    <w:rsid w:val="00BD1B06"/>
    <w:rsid w:val="00BD1F11"/>
    <w:rsid w:val="00BD2360"/>
    <w:rsid w:val="00BD24E9"/>
    <w:rsid w:val="00BD2A49"/>
    <w:rsid w:val="00BD560A"/>
    <w:rsid w:val="00BD5772"/>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3B53"/>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3807"/>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5A7C"/>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4E81"/>
    <w:rsid w:val="00CC53FD"/>
    <w:rsid w:val="00CC5878"/>
    <w:rsid w:val="00CD299A"/>
    <w:rsid w:val="00CD2CEA"/>
    <w:rsid w:val="00CE0613"/>
    <w:rsid w:val="00CE1231"/>
    <w:rsid w:val="00CE1F3A"/>
    <w:rsid w:val="00CE3A29"/>
    <w:rsid w:val="00CE74FD"/>
    <w:rsid w:val="00CE792B"/>
    <w:rsid w:val="00CE7E1D"/>
    <w:rsid w:val="00CF079B"/>
    <w:rsid w:val="00CF1465"/>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4CB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1DD4"/>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654"/>
    <w:rsid w:val="00DC4F01"/>
    <w:rsid w:val="00DC600C"/>
    <w:rsid w:val="00DC6642"/>
    <w:rsid w:val="00DC6AED"/>
    <w:rsid w:val="00DD0717"/>
    <w:rsid w:val="00DD19E1"/>
    <w:rsid w:val="00DD1D0C"/>
    <w:rsid w:val="00DD1D99"/>
    <w:rsid w:val="00DD1E33"/>
    <w:rsid w:val="00DD3BC4"/>
    <w:rsid w:val="00DE33C8"/>
    <w:rsid w:val="00DE47C5"/>
    <w:rsid w:val="00DE4D3C"/>
    <w:rsid w:val="00DE5253"/>
    <w:rsid w:val="00DE63A4"/>
    <w:rsid w:val="00DE71C2"/>
    <w:rsid w:val="00DE7334"/>
    <w:rsid w:val="00DE7EB8"/>
    <w:rsid w:val="00DF020E"/>
    <w:rsid w:val="00DF132C"/>
    <w:rsid w:val="00DF4519"/>
    <w:rsid w:val="00DF5528"/>
    <w:rsid w:val="00DF58D2"/>
    <w:rsid w:val="00DF747E"/>
    <w:rsid w:val="00E003CD"/>
    <w:rsid w:val="00E03679"/>
    <w:rsid w:val="00E03BED"/>
    <w:rsid w:val="00E03F65"/>
    <w:rsid w:val="00E04DC5"/>
    <w:rsid w:val="00E05578"/>
    <w:rsid w:val="00E07502"/>
    <w:rsid w:val="00E13337"/>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AA8"/>
    <w:rsid w:val="00E36CCF"/>
    <w:rsid w:val="00E4092E"/>
    <w:rsid w:val="00E41F8A"/>
    <w:rsid w:val="00E429B5"/>
    <w:rsid w:val="00E42F19"/>
    <w:rsid w:val="00E45516"/>
    <w:rsid w:val="00E45A95"/>
    <w:rsid w:val="00E46037"/>
    <w:rsid w:val="00E46CE2"/>
    <w:rsid w:val="00E470A6"/>
    <w:rsid w:val="00E50403"/>
    <w:rsid w:val="00E50F48"/>
    <w:rsid w:val="00E515A2"/>
    <w:rsid w:val="00E523DC"/>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AC0"/>
    <w:rsid w:val="00ED4C66"/>
    <w:rsid w:val="00ED520F"/>
    <w:rsid w:val="00ED7379"/>
    <w:rsid w:val="00EE00F3"/>
    <w:rsid w:val="00EE1077"/>
    <w:rsid w:val="00EE164A"/>
    <w:rsid w:val="00EE4EFC"/>
    <w:rsid w:val="00EE5F51"/>
    <w:rsid w:val="00EF0F70"/>
    <w:rsid w:val="00EF2157"/>
    <w:rsid w:val="00EF2C25"/>
    <w:rsid w:val="00EF340E"/>
    <w:rsid w:val="00EF47FF"/>
    <w:rsid w:val="00EF4A54"/>
    <w:rsid w:val="00EF73AB"/>
    <w:rsid w:val="00EF74E2"/>
    <w:rsid w:val="00F01092"/>
    <w:rsid w:val="00F028A0"/>
    <w:rsid w:val="00F02BC8"/>
    <w:rsid w:val="00F051CE"/>
    <w:rsid w:val="00F06C8C"/>
    <w:rsid w:val="00F14EC0"/>
    <w:rsid w:val="00F14ED2"/>
    <w:rsid w:val="00F20B79"/>
    <w:rsid w:val="00F20BE0"/>
    <w:rsid w:val="00F230D6"/>
    <w:rsid w:val="00F275EE"/>
    <w:rsid w:val="00F27CFB"/>
    <w:rsid w:val="00F301F8"/>
    <w:rsid w:val="00F31CDD"/>
    <w:rsid w:val="00F31F5E"/>
    <w:rsid w:val="00F32E77"/>
    <w:rsid w:val="00F33181"/>
    <w:rsid w:val="00F34DE1"/>
    <w:rsid w:val="00F36138"/>
    <w:rsid w:val="00F3709D"/>
    <w:rsid w:val="00F3763B"/>
    <w:rsid w:val="00F420E4"/>
    <w:rsid w:val="00F44ED5"/>
    <w:rsid w:val="00F45A57"/>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B6B6B"/>
    <w:rsid w:val="00FC09F4"/>
    <w:rsid w:val="00FC3DA6"/>
    <w:rsid w:val="00FC69EC"/>
    <w:rsid w:val="00FC71FB"/>
    <w:rsid w:val="00FC7EFC"/>
    <w:rsid w:val="00FD11CE"/>
    <w:rsid w:val="00FD18E1"/>
    <w:rsid w:val="00FD2280"/>
    <w:rsid w:val="00FD22E8"/>
    <w:rsid w:val="00FD24F5"/>
    <w:rsid w:val="00FD6012"/>
    <w:rsid w:val="00FD625C"/>
    <w:rsid w:val="00FD63FA"/>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A9C35"/>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DEF"/>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6638DF"/>
    <w:pPr>
      <w:tabs>
        <w:tab w:val="center" w:pos="4320"/>
        <w:tab w:val="right" w:pos="8640"/>
      </w:tabs>
    </w:pPr>
    <w:rPr>
      <w:rFonts w:ascii="Arial" w:hAnsi="Arial"/>
    </w:r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6638DF"/>
    <w:rPr>
      <w:rFonts w:ascii="Arial" w:hAnsi="Arial"/>
      <w:sz w:val="20"/>
    </w:rPr>
  </w:style>
  <w:style w:type="character" w:styleId="FootnoteReference">
    <w:name w:val="footnote reference"/>
    <w:uiPriority w:val="99"/>
    <w:semiHidden/>
    <w:rsid w:val="006638DF"/>
    <w:rPr>
      <w:rFonts w:ascii="Arial" w:hAnsi="Arial"/>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5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6638DF"/>
    <w:rPr>
      <w:rFonts w:ascii="Arial" w:hAnsi="Arial"/>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DE525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B0A90-86A2-43C8-A6FE-7659673A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11</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Tracy, Jake</cp:lastModifiedBy>
  <cp:revision>47</cp:revision>
  <cp:lastPrinted>2015-03-13T15:09:00Z</cp:lastPrinted>
  <dcterms:created xsi:type="dcterms:W3CDTF">2021-02-04T21:24:00Z</dcterms:created>
  <dcterms:modified xsi:type="dcterms:W3CDTF">2021-03-18T21:08:00Z</dcterms:modified>
</cp:coreProperties>
</file>