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1F5D0" w14:textId="77777777" w:rsidR="00EB5A13" w:rsidRPr="00A46A5D" w:rsidRDefault="00EB5A13" w:rsidP="00EB5A13">
      <w:pPr>
        <w:pStyle w:val="Heading2"/>
        <w:rPr>
          <w:b w:val="0"/>
          <w:sz w:val="24"/>
          <w:u w:val="none"/>
        </w:rPr>
      </w:pPr>
    </w:p>
    <w:p w14:paraId="4A8FD50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AEC245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3002A0" w:rsidRPr="009349D6" w14:paraId="0A2FB28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3A08CD" w14:textId="6B7E2E77" w:rsidR="003002A0" w:rsidRPr="009349D6" w:rsidRDefault="003002A0" w:rsidP="003002A0">
            <w:pPr>
              <w:spacing w:before="40" w:after="40"/>
              <w:rPr>
                <w:rFonts w:ascii="Arial" w:hAnsi="Arial" w:cs="Arial"/>
                <w:b/>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6D705DFD" w14:textId="64764701" w:rsidR="003002A0" w:rsidRPr="009349D6" w:rsidRDefault="003002A0" w:rsidP="003002A0">
            <w:pPr>
              <w:spacing w:before="40" w:after="40"/>
              <w:rPr>
                <w:rFonts w:ascii="Arial" w:hAnsi="Arial" w:cs="Arial"/>
              </w:rPr>
            </w:pPr>
            <w:r>
              <w:rPr>
                <w:rFonts w:ascii="Arial" w:hAnsi="Arial" w:cs="Arial"/>
              </w:rPr>
              <w:t>2020-0306</w:t>
            </w:r>
          </w:p>
        </w:tc>
        <w:tc>
          <w:tcPr>
            <w:tcW w:w="1170" w:type="dxa"/>
            <w:tcBorders>
              <w:top w:val="single" w:sz="4" w:space="0" w:color="auto"/>
              <w:left w:val="single" w:sz="4" w:space="0" w:color="auto"/>
              <w:bottom w:val="single" w:sz="4" w:space="0" w:color="auto"/>
              <w:right w:val="single" w:sz="4" w:space="0" w:color="auto"/>
            </w:tcBorders>
            <w:vAlign w:val="center"/>
          </w:tcPr>
          <w:p w14:paraId="0AD291A0" w14:textId="77777777" w:rsidR="003002A0" w:rsidRPr="009349D6" w:rsidRDefault="003002A0" w:rsidP="003002A0">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B294B04" w14:textId="79D64131" w:rsidR="003002A0" w:rsidRPr="009349D6" w:rsidRDefault="003002A0" w:rsidP="003002A0">
            <w:pPr>
              <w:spacing w:before="40" w:after="40"/>
              <w:rPr>
                <w:rFonts w:ascii="Arial" w:hAnsi="Arial" w:cs="Arial"/>
              </w:rPr>
            </w:pPr>
            <w:r>
              <w:rPr>
                <w:rFonts w:ascii="Arial" w:hAnsi="Arial" w:cs="Arial"/>
              </w:rPr>
              <w:t>Andrew Kim</w:t>
            </w:r>
          </w:p>
        </w:tc>
      </w:tr>
    </w:tbl>
    <w:p w14:paraId="418DA209" w14:textId="77777777" w:rsidR="00785660" w:rsidRDefault="00785660" w:rsidP="005B478C">
      <w:pPr>
        <w:jc w:val="both"/>
        <w:rPr>
          <w:rFonts w:ascii="Arial" w:hAnsi="Arial" w:cs="Arial"/>
          <w:b/>
          <w:szCs w:val="24"/>
          <w:u w:val="single"/>
        </w:rPr>
      </w:pPr>
    </w:p>
    <w:p w14:paraId="718DF953" w14:textId="77777777" w:rsidR="00785660" w:rsidRPr="009349D6" w:rsidRDefault="00785660" w:rsidP="00F25C6B">
      <w:pPr>
        <w:spacing w:line="264" w:lineRule="auto"/>
        <w:jc w:val="both"/>
        <w:rPr>
          <w:rFonts w:ascii="Arial" w:hAnsi="Arial" w:cs="Arial"/>
          <w:b/>
          <w:u w:val="single"/>
        </w:rPr>
      </w:pPr>
      <w:r w:rsidRPr="009349D6">
        <w:rPr>
          <w:rFonts w:ascii="Arial" w:hAnsi="Arial" w:cs="Arial"/>
          <w:b/>
          <w:u w:val="single"/>
        </w:rPr>
        <w:t>SUBJECT</w:t>
      </w:r>
    </w:p>
    <w:p w14:paraId="6EA2DEFC" w14:textId="77777777" w:rsidR="00785660" w:rsidRDefault="00785660" w:rsidP="00F25C6B">
      <w:pPr>
        <w:spacing w:line="264" w:lineRule="auto"/>
        <w:rPr>
          <w:rFonts w:ascii="Arial" w:hAnsi="Arial" w:cs="Arial"/>
        </w:rPr>
      </w:pPr>
    </w:p>
    <w:p w14:paraId="3F98676F" w14:textId="55835993" w:rsidR="00785660" w:rsidRDefault="003002A0" w:rsidP="00F25C6B">
      <w:pPr>
        <w:spacing w:line="264" w:lineRule="auto"/>
        <w:jc w:val="both"/>
        <w:rPr>
          <w:rFonts w:ascii="Arial" w:hAnsi="Arial" w:cs="Arial"/>
        </w:rPr>
      </w:pPr>
      <w:r>
        <w:rPr>
          <w:rFonts w:ascii="Arial" w:hAnsi="Arial" w:cs="Arial"/>
        </w:rPr>
        <w:t>An ordinance</w:t>
      </w:r>
      <w:r w:rsidRPr="003002A0">
        <w:rPr>
          <w:rFonts w:ascii="Arial" w:hAnsi="Arial" w:cs="Arial"/>
        </w:rPr>
        <w:t xml:space="preserve"> that adopts the 2021-2022 Biennial Budget and makes appropriations for the operation of county agencies and departments and capital improvements for the fiscal </w:t>
      </w:r>
      <w:r w:rsidR="00A17DEB">
        <w:rPr>
          <w:rFonts w:ascii="Arial" w:hAnsi="Arial" w:cs="Arial"/>
        </w:rPr>
        <w:t xml:space="preserve">period beginning January 1, 2021 </w:t>
      </w:r>
      <w:r w:rsidRPr="003002A0">
        <w:rPr>
          <w:rFonts w:ascii="Arial" w:hAnsi="Arial" w:cs="Arial"/>
        </w:rPr>
        <w:t>and ending December 31, 2022.</w:t>
      </w:r>
    </w:p>
    <w:p w14:paraId="2D08F168" w14:textId="77777777" w:rsidR="003002A0" w:rsidRDefault="003002A0" w:rsidP="00F25C6B">
      <w:pPr>
        <w:spacing w:line="264" w:lineRule="auto"/>
        <w:rPr>
          <w:rFonts w:ascii="Arial" w:hAnsi="Arial" w:cs="Arial"/>
          <w:b/>
          <w:smallCaps/>
          <w:szCs w:val="24"/>
          <w:u w:val="single"/>
        </w:rPr>
      </w:pPr>
    </w:p>
    <w:p w14:paraId="0D2D21F8" w14:textId="5534D158" w:rsidR="00264BE1" w:rsidRDefault="006C569A" w:rsidP="00F25C6B">
      <w:pPr>
        <w:spacing w:line="264" w:lineRule="auto"/>
        <w:jc w:val="both"/>
        <w:rPr>
          <w:rFonts w:ascii="Arial" w:hAnsi="Arial" w:cs="Arial"/>
          <w:b/>
          <w:smallCaps/>
          <w:szCs w:val="24"/>
          <w:u w:val="single"/>
        </w:rPr>
      </w:pPr>
      <w:r>
        <w:rPr>
          <w:rFonts w:ascii="Arial" w:hAnsi="Arial" w:cs="Arial"/>
          <w:b/>
          <w:smallCaps/>
          <w:szCs w:val="24"/>
          <w:u w:val="single"/>
        </w:rPr>
        <w:t>S</w:t>
      </w:r>
      <w:r w:rsidR="00D23F39">
        <w:rPr>
          <w:rFonts w:ascii="Arial" w:hAnsi="Arial" w:cs="Arial"/>
          <w:b/>
          <w:smallCaps/>
          <w:szCs w:val="24"/>
          <w:u w:val="single"/>
        </w:rPr>
        <w:t>UMMARY AND ANALYSIS</w:t>
      </w:r>
    </w:p>
    <w:p w14:paraId="73B83713" w14:textId="17118F54" w:rsidR="0082281C" w:rsidRDefault="0082281C" w:rsidP="00F25C6B">
      <w:pPr>
        <w:pStyle w:val="BodyText"/>
        <w:spacing w:line="264" w:lineRule="auto"/>
        <w:jc w:val="both"/>
        <w:rPr>
          <w:rFonts w:ascii="Arial" w:hAnsi="Arial" w:cs="Arial"/>
          <w:i w:val="0"/>
          <w:szCs w:val="24"/>
        </w:rPr>
      </w:pPr>
    </w:p>
    <w:p w14:paraId="2A58C2CC" w14:textId="2E8A5078" w:rsidR="006C569A" w:rsidRDefault="00F25C6B" w:rsidP="00F25C6B">
      <w:pPr>
        <w:pStyle w:val="BodyText"/>
        <w:spacing w:line="264" w:lineRule="auto"/>
        <w:jc w:val="both"/>
        <w:rPr>
          <w:rFonts w:ascii="Arial" w:hAnsi="Arial" w:cs="Arial"/>
          <w:i w:val="0"/>
          <w:szCs w:val="24"/>
        </w:rPr>
      </w:pPr>
      <w:r>
        <w:rPr>
          <w:rFonts w:ascii="Arial" w:hAnsi="Arial" w:cs="Arial"/>
          <w:i w:val="0"/>
          <w:szCs w:val="24"/>
        </w:rPr>
        <w:t xml:space="preserve">As shown in Table 1 below, the executive is proposing a total appropriation of $12.63 billion for </w:t>
      </w:r>
      <w:r w:rsidR="00580771">
        <w:rPr>
          <w:rFonts w:ascii="Arial" w:hAnsi="Arial" w:cs="Arial"/>
          <w:i w:val="0"/>
          <w:szCs w:val="24"/>
        </w:rPr>
        <w:t xml:space="preserve">the </w:t>
      </w:r>
      <w:r w:rsidR="002C625A">
        <w:rPr>
          <w:rFonts w:ascii="Arial" w:hAnsi="Arial" w:cs="Arial"/>
          <w:i w:val="0"/>
          <w:szCs w:val="24"/>
        </w:rPr>
        <w:t>2021-2022 Biennial Budge</w:t>
      </w:r>
      <w:r w:rsidR="00373578">
        <w:rPr>
          <w:rFonts w:ascii="Arial" w:hAnsi="Arial" w:cs="Arial"/>
          <w:i w:val="0"/>
          <w:szCs w:val="24"/>
        </w:rPr>
        <w:t>t.</w:t>
      </w:r>
      <w:r>
        <w:rPr>
          <w:rFonts w:ascii="Arial" w:hAnsi="Arial" w:cs="Arial"/>
          <w:i w:val="0"/>
          <w:szCs w:val="24"/>
        </w:rPr>
        <w:t xml:space="preserve"> The proposed appropriation is a 6.</w:t>
      </w:r>
      <w:r w:rsidR="00580771">
        <w:rPr>
          <w:rFonts w:ascii="Arial" w:hAnsi="Arial" w:cs="Arial"/>
          <w:i w:val="0"/>
          <w:szCs w:val="24"/>
        </w:rPr>
        <w:t>2</w:t>
      </w:r>
      <w:r>
        <w:rPr>
          <w:rFonts w:ascii="Arial" w:hAnsi="Arial" w:cs="Arial"/>
          <w:i w:val="0"/>
          <w:szCs w:val="24"/>
        </w:rPr>
        <w:t xml:space="preserve">% </w:t>
      </w:r>
      <w:r w:rsidR="00580771">
        <w:rPr>
          <w:rFonts w:ascii="Arial" w:hAnsi="Arial" w:cs="Arial"/>
          <w:i w:val="0"/>
          <w:szCs w:val="24"/>
        </w:rPr>
        <w:t>($700</w:t>
      </w:r>
      <w:r w:rsidR="003233E0">
        <w:rPr>
          <w:rFonts w:ascii="Arial" w:hAnsi="Arial" w:cs="Arial"/>
          <w:i w:val="0"/>
          <w:szCs w:val="24"/>
        </w:rPr>
        <w:t> </w:t>
      </w:r>
      <w:r w:rsidR="00580771">
        <w:rPr>
          <w:rFonts w:ascii="Arial" w:hAnsi="Arial" w:cs="Arial"/>
          <w:i w:val="0"/>
          <w:szCs w:val="24"/>
        </w:rPr>
        <w:t xml:space="preserve">million) increase </w:t>
      </w:r>
      <w:r>
        <w:rPr>
          <w:rFonts w:ascii="Arial" w:hAnsi="Arial" w:cs="Arial"/>
          <w:i w:val="0"/>
          <w:szCs w:val="24"/>
        </w:rPr>
        <w:t xml:space="preserve">compared to the </w:t>
      </w:r>
      <w:r w:rsidR="00580771">
        <w:rPr>
          <w:rFonts w:ascii="Arial" w:hAnsi="Arial" w:cs="Arial"/>
          <w:i w:val="0"/>
          <w:szCs w:val="24"/>
        </w:rPr>
        <w:t xml:space="preserve">initial </w:t>
      </w:r>
      <w:r>
        <w:rPr>
          <w:rFonts w:ascii="Arial" w:hAnsi="Arial" w:cs="Arial"/>
          <w:i w:val="0"/>
          <w:szCs w:val="24"/>
        </w:rPr>
        <w:t>2019-2020 Biennial Adopted Budget</w:t>
      </w:r>
      <w:r w:rsidR="00B27FB2">
        <w:rPr>
          <w:rFonts w:ascii="Arial" w:hAnsi="Arial" w:cs="Arial"/>
          <w:i w:val="0"/>
          <w:szCs w:val="24"/>
        </w:rPr>
        <w:t xml:space="preserve"> and </w:t>
      </w:r>
      <w:r>
        <w:rPr>
          <w:rFonts w:ascii="Arial" w:hAnsi="Arial" w:cs="Arial"/>
          <w:i w:val="0"/>
          <w:szCs w:val="24"/>
        </w:rPr>
        <w:t xml:space="preserve">a </w:t>
      </w:r>
      <w:r w:rsidR="00580771">
        <w:rPr>
          <w:rFonts w:ascii="Arial" w:hAnsi="Arial" w:cs="Arial"/>
          <w:i w:val="0"/>
          <w:szCs w:val="24"/>
        </w:rPr>
        <w:t>6.7% (</w:t>
      </w:r>
      <w:r>
        <w:rPr>
          <w:rFonts w:ascii="Arial" w:hAnsi="Arial" w:cs="Arial"/>
          <w:i w:val="0"/>
          <w:szCs w:val="24"/>
        </w:rPr>
        <w:t>$900 million</w:t>
      </w:r>
      <w:r w:rsidR="00580771">
        <w:rPr>
          <w:rFonts w:ascii="Arial" w:hAnsi="Arial" w:cs="Arial"/>
          <w:i w:val="0"/>
          <w:szCs w:val="24"/>
        </w:rPr>
        <w:t>)</w:t>
      </w:r>
      <w:r>
        <w:rPr>
          <w:rFonts w:ascii="Arial" w:hAnsi="Arial" w:cs="Arial"/>
          <w:i w:val="0"/>
          <w:szCs w:val="24"/>
        </w:rPr>
        <w:t xml:space="preserve"> decrease compared to the 2019-2020 Biennial Revised Budget. The 2019-2020 Biennial Revised Budget includes one-time supplemental appropriations</w:t>
      </w:r>
      <w:r w:rsidR="00517442">
        <w:rPr>
          <w:rFonts w:ascii="Arial" w:hAnsi="Arial" w:cs="Arial"/>
          <w:i w:val="0"/>
          <w:szCs w:val="24"/>
        </w:rPr>
        <w:t xml:space="preserve"> that </w:t>
      </w:r>
      <w:r w:rsidR="00B27FB2">
        <w:rPr>
          <w:rFonts w:ascii="Arial" w:hAnsi="Arial" w:cs="Arial"/>
          <w:i w:val="0"/>
          <w:szCs w:val="24"/>
        </w:rPr>
        <w:t>would not be</w:t>
      </w:r>
      <w:r w:rsidR="00517442">
        <w:rPr>
          <w:rFonts w:ascii="Arial" w:hAnsi="Arial" w:cs="Arial"/>
          <w:i w:val="0"/>
          <w:szCs w:val="24"/>
        </w:rPr>
        <w:t xml:space="preserve"> carried over to the next biennium</w:t>
      </w:r>
      <w:r w:rsidR="003233E0">
        <w:rPr>
          <w:rFonts w:ascii="Arial" w:hAnsi="Arial" w:cs="Arial"/>
          <w:i w:val="0"/>
          <w:szCs w:val="24"/>
        </w:rPr>
        <w:t>,</w:t>
      </w:r>
      <w:r w:rsidR="00517442">
        <w:rPr>
          <w:rFonts w:ascii="Arial" w:hAnsi="Arial" w:cs="Arial"/>
          <w:i w:val="0"/>
          <w:szCs w:val="24"/>
        </w:rPr>
        <w:t xml:space="preserve"> including numerous large capital appropriations</w:t>
      </w:r>
      <w:r w:rsidR="005628BF">
        <w:rPr>
          <w:rStyle w:val="FootnoteReference"/>
          <w:rFonts w:ascii="Arial" w:hAnsi="Arial" w:cs="Arial"/>
          <w:i w:val="0"/>
          <w:szCs w:val="24"/>
        </w:rPr>
        <w:footnoteReference w:id="1"/>
      </w:r>
      <w:r w:rsidR="005628BF">
        <w:rPr>
          <w:rFonts w:ascii="Arial" w:hAnsi="Arial" w:cs="Arial"/>
          <w:i w:val="0"/>
          <w:szCs w:val="24"/>
        </w:rPr>
        <w:t xml:space="preserve">, </w:t>
      </w:r>
      <w:r w:rsidR="00517442">
        <w:rPr>
          <w:rFonts w:ascii="Arial" w:hAnsi="Arial" w:cs="Arial"/>
          <w:i w:val="0"/>
          <w:szCs w:val="24"/>
        </w:rPr>
        <w:t xml:space="preserve">and </w:t>
      </w:r>
      <w:r w:rsidR="003C1C48">
        <w:rPr>
          <w:rFonts w:ascii="Arial" w:hAnsi="Arial" w:cs="Arial"/>
          <w:i w:val="0"/>
          <w:szCs w:val="24"/>
        </w:rPr>
        <w:t>approximately $</w:t>
      </w:r>
      <w:r w:rsidR="007A46B3">
        <w:rPr>
          <w:rFonts w:ascii="Arial" w:hAnsi="Arial" w:cs="Arial"/>
          <w:i w:val="0"/>
          <w:szCs w:val="24"/>
        </w:rPr>
        <w:t>2</w:t>
      </w:r>
      <w:r w:rsidR="00B27FB2">
        <w:rPr>
          <w:rFonts w:ascii="Arial" w:hAnsi="Arial" w:cs="Arial"/>
          <w:i w:val="0"/>
          <w:szCs w:val="24"/>
        </w:rPr>
        <w:t>75</w:t>
      </w:r>
      <w:r w:rsidR="003C1C48">
        <w:rPr>
          <w:rFonts w:ascii="Arial" w:hAnsi="Arial" w:cs="Arial"/>
          <w:i w:val="0"/>
          <w:szCs w:val="24"/>
        </w:rPr>
        <w:t xml:space="preserve"> million of COVID-19 related appropriations supported by federal </w:t>
      </w:r>
      <w:r w:rsidR="00B27FB2">
        <w:rPr>
          <w:rFonts w:ascii="Arial" w:hAnsi="Arial" w:cs="Arial"/>
          <w:i w:val="0"/>
          <w:szCs w:val="24"/>
        </w:rPr>
        <w:t xml:space="preserve">and state </w:t>
      </w:r>
      <w:r w:rsidR="003C1C48">
        <w:rPr>
          <w:rFonts w:ascii="Arial" w:hAnsi="Arial" w:cs="Arial"/>
          <w:i w:val="0"/>
          <w:szCs w:val="24"/>
        </w:rPr>
        <w:t>grants</w:t>
      </w:r>
      <w:r w:rsidR="008334F9">
        <w:rPr>
          <w:rFonts w:ascii="Arial" w:hAnsi="Arial" w:cs="Arial"/>
          <w:i w:val="0"/>
          <w:szCs w:val="24"/>
        </w:rPr>
        <w:t>.</w:t>
      </w:r>
    </w:p>
    <w:p w14:paraId="22C42F46" w14:textId="02218D03" w:rsidR="007212BA" w:rsidRDefault="007212BA" w:rsidP="00F25C6B">
      <w:pPr>
        <w:pStyle w:val="BodyText"/>
        <w:spacing w:line="264" w:lineRule="auto"/>
        <w:jc w:val="both"/>
        <w:rPr>
          <w:rFonts w:ascii="Arial" w:hAnsi="Arial" w:cs="Arial"/>
          <w:i w:val="0"/>
          <w:szCs w:val="24"/>
        </w:rPr>
      </w:pPr>
    </w:p>
    <w:p w14:paraId="5C2B614A" w14:textId="75555F35" w:rsidR="007212BA" w:rsidRDefault="007212BA" w:rsidP="00F25C6B">
      <w:pPr>
        <w:pStyle w:val="BodyText"/>
        <w:spacing w:line="264" w:lineRule="auto"/>
        <w:jc w:val="both"/>
        <w:rPr>
          <w:rFonts w:ascii="Arial" w:hAnsi="Arial" w:cs="Arial"/>
          <w:i w:val="0"/>
          <w:szCs w:val="24"/>
        </w:rPr>
      </w:pPr>
      <w:r>
        <w:rPr>
          <w:rFonts w:ascii="Arial" w:hAnsi="Arial" w:cs="Arial"/>
          <w:i w:val="0"/>
          <w:szCs w:val="24"/>
        </w:rPr>
        <w:t>Tables 2, 3, and 4 below provide a summary of the executive proposed appropriation amount</w:t>
      </w:r>
      <w:r w:rsidR="00B47CB6">
        <w:rPr>
          <w:rFonts w:ascii="Arial" w:hAnsi="Arial" w:cs="Arial"/>
          <w:i w:val="0"/>
          <w:szCs w:val="24"/>
        </w:rPr>
        <w:t>s</w:t>
      </w:r>
      <w:r>
        <w:rPr>
          <w:rFonts w:ascii="Arial" w:hAnsi="Arial" w:cs="Arial"/>
          <w:i w:val="0"/>
          <w:szCs w:val="24"/>
        </w:rPr>
        <w:t xml:space="preserve"> by General Fund Operating, Non-General Fund Operating, and Capital budgets.</w:t>
      </w:r>
    </w:p>
    <w:p w14:paraId="54A5C20A" w14:textId="38ADD74D" w:rsidR="002C625A" w:rsidRDefault="002C625A" w:rsidP="00F25C6B">
      <w:pPr>
        <w:pStyle w:val="BodyText"/>
        <w:spacing w:line="264" w:lineRule="auto"/>
        <w:jc w:val="both"/>
        <w:rPr>
          <w:rFonts w:ascii="Arial" w:hAnsi="Arial" w:cs="Arial"/>
          <w:i w:val="0"/>
          <w:szCs w:val="24"/>
        </w:rPr>
      </w:pPr>
    </w:p>
    <w:p w14:paraId="53EAECC6" w14:textId="61AC213E" w:rsidR="000726C1" w:rsidRDefault="005128B4" w:rsidP="000D699D">
      <w:pPr>
        <w:pStyle w:val="BodyText"/>
        <w:jc w:val="center"/>
        <w:rPr>
          <w:rFonts w:ascii="Arial" w:hAnsi="Arial" w:cs="Arial"/>
          <w:b/>
          <w:i w:val="0"/>
          <w:szCs w:val="24"/>
        </w:rPr>
      </w:pPr>
      <w:r w:rsidRPr="005128B4">
        <w:rPr>
          <w:rFonts w:ascii="Arial" w:hAnsi="Arial" w:cs="Arial"/>
          <w:b/>
          <w:i w:val="0"/>
          <w:szCs w:val="24"/>
        </w:rPr>
        <w:t>Table 1. Executive Pro</w:t>
      </w:r>
      <w:r>
        <w:rPr>
          <w:rFonts w:ascii="Arial" w:hAnsi="Arial" w:cs="Arial"/>
          <w:b/>
          <w:i w:val="0"/>
          <w:szCs w:val="24"/>
        </w:rPr>
        <w:t>posed 2021-2022 Biennial Budget</w:t>
      </w:r>
    </w:p>
    <w:p w14:paraId="23843A8A" w14:textId="77777777" w:rsidR="000D699D" w:rsidRPr="004F3BE6" w:rsidRDefault="000D699D" w:rsidP="000D699D">
      <w:pPr>
        <w:pStyle w:val="BodyText"/>
        <w:jc w:val="center"/>
        <w:rPr>
          <w:rFonts w:ascii="Arial" w:hAnsi="Arial" w:cs="Arial"/>
          <w:b/>
          <w:i w:val="0"/>
          <w:sz w:val="16"/>
          <w:szCs w:val="16"/>
        </w:rPr>
      </w:pPr>
    </w:p>
    <w:tbl>
      <w:tblPr>
        <w:tblStyle w:val="TableGrid"/>
        <w:tblW w:w="0" w:type="auto"/>
        <w:jc w:val="center"/>
        <w:tblLook w:val="04A0" w:firstRow="1" w:lastRow="0" w:firstColumn="1" w:lastColumn="0" w:noHBand="0" w:noVBand="1"/>
      </w:tblPr>
      <w:tblGrid>
        <w:gridCol w:w="3330"/>
        <w:gridCol w:w="270"/>
        <w:gridCol w:w="1350"/>
        <w:gridCol w:w="270"/>
        <w:gridCol w:w="1350"/>
        <w:gridCol w:w="270"/>
        <w:gridCol w:w="1350"/>
      </w:tblGrid>
      <w:tr w:rsidR="000726C1" w:rsidRPr="008D0300" w14:paraId="4F4DB67D" w14:textId="77777777" w:rsidTr="000D699D">
        <w:trPr>
          <w:cantSplit/>
          <w:trHeight w:val="411"/>
          <w:tblHeader/>
          <w:jc w:val="center"/>
        </w:trPr>
        <w:tc>
          <w:tcPr>
            <w:tcW w:w="3330" w:type="dxa"/>
            <w:tcBorders>
              <w:top w:val="single" w:sz="12" w:space="0" w:color="auto"/>
              <w:left w:val="nil"/>
              <w:bottom w:val="single" w:sz="4" w:space="0" w:color="auto"/>
              <w:right w:val="nil"/>
            </w:tcBorders>
            <w:shd w:val="clear" w:color="auto" w:fill="auto"/>
            <w:vAlign w:val="center"/>
          </w:tcPr>
          <w:p w14:paraId="018A08AB" w14:textId="1A48147E" w:rsidR="000726C1" w:rsidRPr="008D0300" w:rsidRDefault="000726C1" w:rsidP="006A4E91">
            <w:pPr>
              <w:rPr>
                <w:rFonts w:ascii="Arial" w:hAnsi="Arial" w:cs="Arial"/>
                <w:b/>
                <w:sz w:val="22"/>
                <w:szCs w:val="22"/>
              </w:rPr>
            </w:pPr>
            <w:r>
              <w:rPr>
                <w:rFonts w:ascii="Arial" w:hAnsi="Arial" w:cs="Arial"/>
                <w:b/>
                <w:sz w:val="22"/>
                <w:szCs w:val="22"/>
              </w:rPr>
              <w:t>Area</w:t>
            </w:r>
          </w:p>
        </w:tc>
        <w:tc>
          <w:tcPr>
            <w:tcW w:w="270" w:type="dxa"/>
            <w:tcBorders>
              <w:top w:val="single" w:sz="12" w:space="0" w:color="auto"/>
              <w:left w:val="nil"/>
              <w:bottom w:val="nil"/>
              <w:right w:val="nil"/>
            </w:tcBorders>
          </w:tcPr>
          <w:p w14:paraId="277B3C20" w14:textId="77777777" w:rsidR="000726C1" w:rsidRPr="008D0300" w:rsidRDefault="000726C1" w:rsidP="003267E5">
            <w:pPr>
              <w:rPr>
                <w:rFonts w:ascii="Arial" w:hAnsi="Arial" w:cs="Arial"/>
                <w:b/>
                <w:sz w:val="22"/>
                <w:szCs w:val="22"/>
              </w:rPr>
            </w:pPr>
          </w:p>
        </w:tc>
        <w:tc>
          <w:tcPr>
            <w:tcW w:w="1350" w:type="dxa"/>
            <w:tcBorders>
              <w:top w:val="single" w:sz="12" w:space="0" w:color="auto"/>
              <w:left w:val="nil"/>
              <w:bottom w:val="single" w:sz="2" w:space="0" w:color="auto"/>
              <w:right w:val="nil"/>
            </w:tcBorders>
            <w:vAlign w:val="center"/>
          </w:tcPr>
          <w:p w14:paraId="3DBE4D5A" w14:textId="620B3816" w:rsidR="000726C1" w:rsidRPr="008D0300" w:rsidRDefault="000726C1" w:rsidP="003267E5">
            <w:pPr>
              <w:jc w:val="center"/>
              <w:rPr>
                <w:rFonts w:ascii="Arial" w:hAnsi="Arial" w:cs="Arial"/>
                <w:b/>
                <w:sz w:val="22"/>
                <w:szCs w:val="22"/>
              </w:rPr>
            </w:pPr>
            <w:r>
              <w:rPr>
                <w:rFonts w:ascii="Arial" w:hAnsi="Arial" w:cs="Arial"/>
                <w:b/>
                <w:sz w:val="22"/>
                <w:szCs w:val="22"/>
              </w:rPr>
              <w:t>2019-2020 Adopted</w:t>
            </w:r>
          </w:p>
        </w:tc>
        <w:tc>
          <w:tcPr>
            <w:tcW w:w="270" w:type="dxa"/>
            <w:tcBorders>
              <w:top w:val="single" w:sz="12" w:space="0" w:color="auto"/>
              <w:left w:val="nil"/>
              <w:bottom w:val="nil"/>
              <w:right w:val="nil"/>
            </w:tcBorders>
          </w:tcPr>
          <w:p w14:paraId="48AA3DBD" w14:textId="77777777" w:rsidR="000726C1" w:rsidRPr="008D0300" w:rsidRDefault="000726C1" w:rsidP="003267E5">
            <w:pPr>
              <w:rPr>
                <w:rFonts w:ascii="Arial" w:hAnsi="Arial" w:cs="Arial"/>
                <w:b/>
                <w:sz w:val="22"/>
                <w:szCs w:val="22"/>
              </w:rPr>
            </w:pPr>
          </w:p>
        </w:tc>
        <w:tc>
          <w:tcPr>
            <w:tcW w:w="1350" w:type="dxa"/>
            <w:tcBorders>
              <w:top w:val="single" w:sz="12" w:space="0" w:color="auto"/>
              <w:left w:val="nil"/>
              <w:bottom w:val="single" w:sz="2" w:space="0" w:color="auto"/>
              <w:right w:val="nil"/>
            </w:tcBorders>
            <w:vAlign w:val="center"/>
          </w:tcPr>
          <w:p w14:paraId="431F342C" w14:textId="75946025" w:rsidR="000726C1" w:rsidRPr="008D0300" w:rsidRDefault="000726C1" w:rsidP="003267E5">
            <w:pPr>
              <w:jc w:val="center"/>
              <w:rPr>
                <w:rFonts w:ascii="Arial" w:hAnsi="Arial" w:cs="Arial"/>
                <w:b/>
                <w:sz w:val="22"/>
                <w:szCs w:val="22"/>
              </w:rPr>
            </w:pPr>
            <w:r>
              <w:rPr>
                <w:rFonts w:ascii="Arial" w:hAnsi="Arial" w:cs="Arial"/>
                <w:b/>
                <w:sz w:val="22"/>
                <w:szCs w:val="22"/>
              </w:rPr>
              <w:t>2019-2020 Revised</w:t>
            </w:r>
          </w:p>
        </w:tc>
        <w:tc>
          <w:tcPr>
            <w:tcW w:w="270" w:type="dxa"/>
            <w:tcBorders>
              <w:top w:val="single" w:sz="12" w:space="0" w:color="auto"/>
              <w:left w:val="nil"/>
              <w:bottom w:val="nil"/>
              <w:right w:val="nil"/>
            </w:tcBorders>
          </w:tcPr>
          <w:p w14:paraId="1F21664F" w14:textId="77777777" w:rsidR="000726C1" w:rsidRDefault="000726C1" w:rsidP="003267E5">
            <w:pPr>
              <w:jc w:val="center"/>
              <w:rPr>
                <w:rFonts w:ascii="Arial" w:hAnsi="Arial" w:cs="Arial"/>
                <w:b/>
                <w:sz w:val="22"/>
                <w:szCs w:val="22"/>
              </w:rPr>
            </w:pPr>
          </w:p>
        </w:tc>
        <w:tc>
          <w:tcPr>
            <w:tcW w:w="1350" w:type="dxa"/>
            <w:tcBorders>
              <w:top w:val="single" w:sz="12" w:space="0" w:color="auto"/>
              <w:left w:val="nil"/>
              <w:bottom w:val="single" w:sz="2" w:space="0" w:color="auto"/>
              <w:right w:val="single" w:sz="2" w:space="0" w:color="FFFFFF" w:themeColor="background1"/>
            </w:tcBorders>
            <w:vAlign w:val="center"/>
          </w:tcPr>
          <w:p w14:paraId="5F5EB4DF" w14:textId="30398C47" w:rsidR="000726C1" w:rsidRPr="008D0300" w:rsidRDefault="000726C1" w:rsidP="003267E5">
            <w:pPr>
              <w:jc w:val="center"/>
              <w:rPr>
                <w:rFonts w:ascii="Arial" w:hAnsi="Arial" w:cs="Arial"/>
                <w:b/>
                <w:sz w:val="22"/>
                <w:szCs w:val="22"/>
              </w:rPr>
            </w:pPr>
            <w:r>
              <w:rPr>
                <w:rFonts w:ascii="Arial" w:hAnsi="Arial" w:cs="Arial"/>
                <w:b/>
                <w:sz w:val="22"/>
                <w:szCs w:val="22"/>
              </w:rPr>
              <w:t>2021-2022 Proposed</w:t>
            </w:r>
          </w:p>
        </w:tc>
      </w:tr>
      <w:tr w:rsidR="000726C1" w:rsidRPr="008D0300" w14:paraId="4A0BD82F" w14:textId="77777777" w:rsidTr="000D699D">
        <w:trPr>
          <w:cantSplit/>
          <w:jc w:val="center"/>
        </w:trPr>
        <w:tc>
          <w:tcPr>
            <w:tcW w:w="3330" w:type="dxa"/>
            <w:tcBorders>
              <w:left w:val="nil"/>
              <w:bottom w:val="nil"/>
              <w:right w:val="nil"/>
            </w:tcBorders>
            <w:tcMar>
              <w:top w:w="72" w:type="dxa"/>
              <w:left w:w="115" w:type="dxa"/>
              <w:bottom w:w="72" w:type="dxa"/>
              <w:right w:w="115" w:type="dxa"/>
            </w:tcMar>
          </w:tcPr>
          <w:p w14:paraId="735EAD54" w14:textId="222A5992" w:rsidR="000726C1" w:rsidRPr="008D0300" w:rsidRDefault="000726C1" w:rsidP="00D36546">
            <w:pPr>
              <w:rPr>
                <w:rFonts w:ascii="Arial" w:hAnsi="Arial" w:cs="Arial"/>
                <w:sz w:val="22"/>
                <w:szCs w:val="22"/>
              </w:rPr>
            </w:pPr>
            <w:r>
              <w:rPr>
                <w:rFonts w:ascii="Arial" w:hAnsi="Arial" w:cs="Arial"/>
                <w:sz w:val="22"/>
                <w:szCs w:val="22"/>
              </w:rPr>
              <w:t>General Fund</w:t>
            </w:r>
          </w:p>
        </w:tc>
        <w:tc>
          <w:tcPr>
            <w:tcW w:w="270" w:type="dxa"/>
            <w:tcBorders>
              <w:top w:val="nil"/>
              <w:left w:val="nil"/>
              <w:bottom w:val="nil"/>
              <w:right w:val="nil"/>
            </w:tcBorders>
          </w:tcPr>
          <w:p w14:paraId="122C5A24" w14:textId="77777777" w:rsidR="000726C1" w:rsidRPr="008D0300" w:rsidRDefault="000726C1" w:rsidP="000726C1">
            <w:pPr>
              <w:jc w:val="right"/>
              <w:rPr>
                <w:rFonts w:ascii="Arial" w:hAnsi="Arial" w:cs="Arial"/>
                <w:sz w:val="22"/>
                <w:szCs w:val="22"/>
              </w:rPr>
            </w:pPr>
          </w:p>
        </w:tc>
        <w:tc>
          <w:tcPr>
            <w:tcW w:w="1350" w:type="dxa"/>
            <w:tcBorders>
              <w:top w:val="single" w:sz="2" w:space="0" w:color="auto"/>
              <w:left w:val="nil"/>
              <w:bottom w:val="nil"/>
              <w:right w:val="nil"/>
            </w:tcBorders>
          </w:tcPr>
          <w:p w14:paraId="4A8ADCD6" w14:textId="5EC87C6E" w:rsidR="000726C1" w:rsidRPr="008D0300" w:rsidRDefault="00D925D1" w:rsidP="000D699D">
            <w:pPr>
              <w:jc w:val="right"/>
              <w:rPr>
                <w:rFonts w:ascii="Arial" w:hAnsi="Arial" w:cs="Arial"/>
                <w:sz w:val="22"/>
                <w:szCs w:val="22"/>
              </w:rPr>
            </w:pPr>
            <w:r>
              <w:rPr>
                <w:rFonts w:ascii="Arial" w:hAnsi="Arial" w:cs="Arial"/>
                <w:sz w:val="22"/>
                <w:szCs w:val="22"/>
              </w:rPr>
              <w:t xml:space="preserve">$1.86 </w:t>
            </w:r>
            <w:r w:rsidR="000D699D">
              <w:rPr>
                <w:rFonts w:ascii="Arial" w:hAnsi="Arial" w:cs="Arial"/>
                <w:sz w:val="22"/>
                <w:szCs w:val="22"/>
              </w:rPr>
              <w:t>B</w:t>
            </w:r>
          </w:p>
        </w:tc>
        <w:tc>
          <w:tcPr>
            <w:tcW w:w="270" w:type="dxa"/>
            <w:tcBorders>
              <w:top w:val="nil"/>
              <w:left w:val="nil"/>
              <w:bottom w:val="nil"/>
              <w:right w:val="nil"/>
            </w:tcBorders>
          </w:tcPr>
          <w:p w14:paraId="4C46DBB4" w14:textId="77777777" w:rsidR="000726C1" w:rsidRPr="008D0300" w:rsidRDefault="000726C1" w:rsidP="00D925D1">
            <w:pPr>
              <w:jc w:val="right"/>
              <w:rPr>
                <w:rFonts w:ascii="Arial" w:hAnsi="Arial" w:cs="Arial"/>
                <w:sz w:val="22"/>
                <w:szCs w:val="22"/>
              </w:rPr>
            </w:pPr>
          </w:p>
        </w:tc>
        <w:tc>
          <w:tcPr>
            <w:tcW w:w="1350" w:type="dxa"/>
            <w:tcBorders>
              <w:top w:val="single" w:sz="2" w:space="0" w:color="auto"/>
              <w:left w:val="nil"/>
              <w:bottom w:val="nil"/>
              <w:right w:val="nil"/>
            </w:tcBorders>
            <w:tcMar>
              <w:top w:w="72" w:type="dxa"/>
              <w:bottom w:w="72" w:type="dxa"/>
            </w:tcMar>
          </w:tcPr>
          <w:p w14:paraId="0D3014AA" w14:textId="24965795" w:rsidR="000726C1" w:rsidRPr="008D0300" w:rsidRDefault="00D925D1" w:rsidP="000D699D">
            <w:pPr>
              <w:jc w:val="right"/>
              <w:rPr>
                <w:rFonts w:ascii="Arial" w:hAnsi="Arial" w:cs="Arial"/>
                <w:sz w:val="22"/>
                <w:szCs w:val="22"/>
              </w:rPr>
            </w:pPr>
            <w:r>
              <w:rPr>
                <w:rFonts w:ascii="Arial" w:hAnsi="Arial" w:cs="Arial"/>
                <w:sz w:val="22"/>
                <w:szCs w:val="22"/>
              </w:rPr>
              <w:t>$1.99</w:t>
            </w:r>
            <w:r w:rsidR="000726C1">
              <w:rPr>
                <w:rFonts w:ascii="Arial" w:hAnsi="Arial" w:cs="Arial"/>
                <w:sz w:val="22"/>
                <w:szCs w:val="22"/>
              </w:rPr>
              <w:t xml:space="preserve"> </w:t>
            </w:r>
            <w:r w:rsidR="000D699D">
              <w:rPr>
                <w:rFonts w:ascii="Arial" w:hAnsi="Arial" w:cs="Arial"/>
                <w:sz w:val="22"/>
                <w:szCs w:val="22"/>
              </w:rPr>
              <w:t>B</w:t>
            </w:r>
          </w:p>
        </w:tc>
        <w:tc>
          <w:tcPr>
            <w:tcW w:w="270" w:type="dxa"/>
            <w:tcBorders>
              <w:top w:val="nil"/>
              <w:left w:val="nil"/>
              <w:bottom w:val="nil"/>
              <w:right w:val="nil"/>
            </w:tcBorders>
          </w:tcPr>
          <w:p w14:paraId="089587B7" w14:textId="77777777" w:rsidR="000726C1" w:rsidRDefault="000726C1" w:rsidP="00D925D1">
            <w:pPr>
              <w:jc w:val="right"/>
              <w:rPr>
                <w:rFonts w:ascii="Arial" w:hAnsi="Arial" w:cs="Arial"/>
                <w:sz w:val="22"/>
                <w:szCs w:val="22"/>
              </w:rPr>
            </w:pPr>
          </w:p>
        </w:tc>
        <w:tc>
          <w:tcPr>
            <w:tcW w:w="135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6B8435AB" w14:textId="0E884B3D" w:rsidR="000726C1" w:rsidRPr="008D0300" w:rsidRDefault="000726C1" w:rsidP="000D699D">
            <w:pPr>
              <w:jc w:val="right"/>
              <w:rPr>
                <w:rFonts w:ascii="Arial" w:hAnsi="Arial" w:cs="Arial"/>
                <w:sz w:val="22"/>
                <w:szCs w:val="22"/>
              </w:rPr>
            </w:pPr>
            <w:r>
              <w:rPr>
                <w:rFonts w:ascii="Arial" w:hAnsi="Arial" w:cs="Arial"/>
                <w:sz w:val="22"/>
                <w:szCs w:val="22"/>
              </w:rPr>
              <w:t xml:space="preserve">$1.92 </w:t>
            </w:r>
            <w:r w:rsidR="000D699D">
              <w:rPr>
                <w:rFonts w:ascii="Arial" w:hAnsi="Arial" w:cs="Arial"/>
                <w:sz w:val="22"/>
                <w:szCs w:val="22"/>
              </w:rPr>
              <w:t>B</w:t>
            </w:r>
          </w:p>
        </w:tc>
      </w:tr>
      <w:tr w:rsidR="000726C1" w:rsidRPr="008D0300" w14:paraId="1124A0C3" w14:textId="77777777" w:rsidTr="000D699D">
        <w:trPr>
          <w:cantSplit/>
          <w:jc w:val="center"/>
        </w:trPr>
        <w:tc>
          <w:tcPr>
            <w:tcW w:w="3330" w:type="dxa"/>
            <w:tcBorders>
              <w:top w:val="nil"/>
              <w:left w:val="nil"/>
              <w:bottom w:val="nil"/>
              <w:right w:val="nil"/>
            </w:tcBorders>
            <w:tcMar>
              <w:top w:w="72" w:type="dxa"/>
              <w:left w:w="115" w:type="dxa"/>
              <w:bottom w:w="72" w:type="dxa"/>
              <w:right w:w="115" w:type="dxa"/>
            </w:tcMar>
          </w:tcPr>
          <w:p w14:paraId="43714EAD" w14:textId="43BA7DF6" w:rsidR="000726C1" w:rsidRDefault="000726C1" w:rsidP="00D36546">
            <w:pPr>
              <w:rPr>
                <w:rFonts w:ascii="Arial" w:hAnsi="Arial" w:cs="Arial"/>
                <w:sz w:val="22"/>
                <w:szCs w:val="22"/>
              </w:rPr>
            </w:pPr>
            <w:r>
              <w:rPr>
                <w:rFonts w:ascii="Arial" w:hAnsi="Arial" w:cs="Arial"/>
                <w:sz w:val="22"/>
                <w:szCs w:val="22"/>
              </w:rPr>
              <w:t xml:space="preserve">Non-General Fund </w:t>
            </w:r>
          </w:p>
        </w:tc>
        <w:tc>
          <w:tcPr>
            <w:tcW w:w="270" w:type="dxa"/>
            <w:tcBorders>
              <w:top w:val="nil"/>
              <w:left w:val="nil"/>
              <w:bottom w:val="nil"/>
              <w:right w:val="nil"/>
            </w:tcBorders>
          </w:tcPr>
          <w:p w14:paraId="6CE42740" w14:textId="77777777" w:rsidR="000726C1" w:rsidRPr="008D0300" w:rsidRDefault="000726C1" w:rsidP="000726C1">
            <w:pPr>
              <w:jc w:val="right"/>
              <w:rPr>
                <w:rFonts w:ascii="Arial" w:hAnsi="Arial" w:cs="Arial"/>
                <w:sz w:val="22"/>
                <w:szCs w:val="22"/>
              </w:rPr>
            </w:pPr>
          </w:p>
        </w:tc>
        <w:tc>
          <w:tcPr>
            <w:tcW w:w="1350" w:type="dxa"/>
            <w:tcBorders>
              <w:top w:val="nil"/>
              <w:left w:val="nil"/>
              <w:bottom w:val="nil"/>
              <w:right w:val="nil"/>
            </w:tcBorders>
          </w:tcPr>
          <w:p w14:paraId="07C2AB61" w14:textId="0C56E9D8" w:rsidR="000726C1" w:rsidRDefault="00D925D1" w:rsidP="000D699D">
            <w:pPr>
              <w:jc w:val="right"/>
              <w:rPr>
                <w:rFonts w:ascii="Arial" w:hAnsi="Arial" w:cs="Arial"/>
                <w:sz w:val="22"/>
                <w:szCs w:val="22"/>
              </w:rPr>
            </w:pPr>
            <w:r>
              <w:rPr>
                <w:rFonts w:ascii="Arial" w:hAnsi="Arial" w:cs="Arial"/>
                <w:sz w:val="22"/>
                <w:szCs w:val="22"/>
              </w:rPr>
              <w:t xml:space="preserve">$8.11 </w:t>
            </w:r>
            <w:r w:rsidR="000D699D">
              <w:rPr>
                <w:rFonts w:ascii="Arial" w:hAnsi="Arial" w:cs="Arial"/>
                <w:sz w:val="22"/>
                <w:szCs w:val="22"/>
              </w:rPr>
              <w:t>B</w:t>
            </w:r>
          </w:p>
        </w:tc>
        <w:tc>
          <w:tcPr>
            <w:tcW w:w="270" w:type="dxa"/>
            <w:tcBorders>
              <w:top w:val="nil"/>
              <w:left w:val="nil"/>
              <w:bottom w:val="nil"/>
              <w:right w:val="nil"/>
            </w:tcBorders>
          </w:tcPr>
          <w:p w14:paraId="523555B8" w14:textId="77777777" w:rsidR="000726C1" w:rsidRPr="008D0300" w:rsidRDefault="000726C1" w:rsidP="00D925D1">
            <w:pPr>
              <w:jc w:val="right"/>
              <w:rPr>
                <w:rFonts w:ascii="Arial" w:hAnsi="Arial" w:cs="Arial"/>
                <w:sz w:val="22"/>
                <w:szCs w:val="22"/>
              </w:rPr>
            </w:pPr>
          </w:p>
        </w:tc>
        <w:tc>
          <w:tcPr>
            <w:tcW w:w="1350" w:type="dxa"/>
            <w:tcBorders>
              <w:top w:val="nil"/>
              <w:left w:val="nil"/>
              <w:bottom w:val="nil"/>
              <w:right w:val="nil"/>
            </w:tcBorders>
            <w:tcMar>
              <w:top w:w="72" w:type="dxa"/>
              <w:bottom w:w="72" w:type="dxa"/>
            </w:tcMar>
          </w:tcPr>
          <w:p w14:paraId="44DAEDF4" w14:textId="26749A95" w:rsidR="000726C1" w:rsidRDefault="00D925D1" w:rsidP="000D699D">
            <w:pPr>
              <w:jc w:val="right"/>
              <w:rPr>
                <w:rFonts w:ascii="Arial" w:hAnsi="Arial" w:cs="Arial"/>
                <w:sz w:val="22"/>
                <w:szCs w:val="22"/>
              </w:rPr>
            </w:pPr>
            <w:r>
              <w:rPr>
                <w:rFonts w:ascii="Arial" w:hAnsi="Arial" w:cs="Arial"/>
                <w:sz w:val="22"/>
                <w:szCs w:val="22"/>
              </w:rPr>
              <w:t>$9.06</w:t>
            </w:r>
            <w:r w:rsidR="000726C1">
              <w:rPr>
                <w:rFonts w:ascii="Arial" w:hAnsi="Arial" w:cs="Arial"/>
                <w:sz w:val="22"/>
                <w:szCs w:val="22"/>
              </w:rPr>
              <w:t xml:space="preserve"> </w:t>
            </w:r>
            <w:r w:rsidR="000D699D">
              <w:rPr>
                <w:rFonts w:ascii="Arial" w:hAnsi="Arial" w:cs="Arial"/>
                <w:sz w:val="22"/>
                <w:szCs w:val="22"/>
              </w:rPr>
              <w:t>B</w:t>
            </w:r>
            <w:r w:rsidR="000726C1">
              <w:rPr>
                <w:rFonts w:ascii="Arial" w:hAnsi="Arial" w:cs="Arial"/>
                <w:sz w:val="22"/>
                <w:szCs w:val="22"/>
              </w:rPr>
              <w:t xml:space="preserve"> </w:t>
            </w:r>
          </w:p>
        </w:tc>
        <w:tc>
          <w:tcPr>
            <w:tcW w:w="270" w:type="dxa"/>
            <w:tcBorders>
              <w:top w:val="nil"/>
              <w:left w:val="nil"/>
              <w:bottom w:val="nil"/>
              <w:right w:val="nil"/>
            </w:tcBorders>
          </w:tcPr>
          <w:p w14:paraId="1DE78295" w14:textId="77777777" w:rsidR="000726C1" w:rsidRPr="008D0300" w:rsidRDefault="000726C1" w:rsidP="00D925D1">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558958E8" w14:textId="7C0AF6F9" w:rsidR="000726C1" w:rsidRPr="008D0300" w:rsidRDefault="000726C1" w:rsidP="000D699D">
            <w:pPr>
              <w:jc w:val="right"/>
              <w:rPr>
                <w:rFonts w:ascii="Arial" w:hAnsi="Arial" w:cs="Arial"/>
                <w:sz w:val="22"/>
                <w:szCs w:val="22"/>
              </w:rPr>
            </w:pPr>
            <w:r>
              <w:rPr>
                <w:rFonts w:ascii="Arial" w:hAnsi="Arial" w:cs="Arial"/>
                <w:sz w:val="22"/>
                <w:szCs w:val="22"/>
              </w:rPr>
              <w:t xml:space="preserve">$9.35 </w:t>
            </w:r>
            <w:r w:rsidR="000D699D">
              <w:rPr>
                <w:rFonts w:ascii="Arial" w:hAnsi="Arial" w:cs="Arial"/>
                <w:sz w:val="22"/>
                <w:szCs w:val="22"/>
              </w:rPr>
              <w:t>B</w:t>
            </w:r>
          </w:p>
        </w:tc>
      </w:tr>
      <w:tr w:rsidR="000726C1" w:rsidRPr="008D0300" w14:paraId="48204B51" w14:textId="77777777" w:rsidTr="000D699D">
        <w:trPr>
          <w:cantSplit/>
          <w:jc w:val="center"/>
        </w:trPr>
        <w:tc>
          <w:tcPr>
            <w:tcW w:w="3330" w:type="dxa"/>
            <w:tcBorders>
              <w:top w:val="nil"/>
              <w:left w:val="nil"/>
              <w:bottom w:val="single" w:sz="4" w:space="0" w:color="auto"/>
              <w:right w:val="nil"/>
            </w:tcBorders>
            <w:tcMar>
              <w:top w:w="72" w:type="dxa"/>
              <w:left w:w="115" w:type="dxa"/>
              <w:bottom w:w="72" w:type="dxa"/>
              <w:right w:w="115" w:type="dxa"/>
            </w:tcMar>
          </w:tcPr>
          <w:p w14:paraId="3C192549" w14:textId="0FA9D917" w:rsidR="000726C1" w:rsidRPr="008D0300" w:rsidRDefault="000726C1" w:rsidP="00D36546">
            <w:pPr>
              <w:rPr>
                <w:rFonts w:ascii="Arial" w:hAnsi="Arial" w:cs="Arial"/>
                <w:sz w:val="22"/>
                <w:szCs w:val="22"/>
              </w:rPr>
            </w:pPr>
            <w:r>
              <w:rPr>
                <w:rFonts w:ascii="Arial" w:hAnsi="Arial" w:cs="Arial"/>
                <w:sz w:val="22"/>
                <w:szCs w:val="22"/>
              </w:rPr>
              <w:t>C</w:t>
            </w:r>
            <w:r w:rsidR="00D36546">
              <w:rPr>
                <w:rFonts w:ascii="Arial" w:hAnsi="Arial" w:cs="Arial"/>
                <w:sz w:val="22"/>
                <w:szCs w:val="22"/>
              </w:rPr>
              <w:t>a</w:t>
            </w:r>
            <w:r>
              <w:rPr>
                <w:rFonts w:ascii="Arial" w:hAnsi="Arial" w:cs="Arial"/>
                <w:sz w:val="22"/>
                <w:szCs w:val="22"/>
              </w:rPr>
              <w:t>p</w:t>
            </w:r>
            <w:r w:rsidR="00D36546">
              <w:rPr>
                <w:rFonts w:ascii="Arial" w:hAnsi="Arial" w:cs="Arial"/>
                <w:sz w:val="22"/>
                <w:szCs w:val="22"/>
              </w:rPr>
              <w:t>ital Improvement Program</w:t>
            </w:r>
          </w:p>
        </w:tc>
        <w:tc>
          <w:tcPr>
            <w:tcW w:w="270" w:type="dxa"/>
            <w:tcBorders>
              <w:top w:val="nil"/>
              <w:left w:val="nil"/>
              <w:bottom w:val="nil"/>
              <w:right w:val="nil"/>
            </w:tcBorders>
          </w:tcPr>
          <w:p w14:paraId="2BB847B9" w14:textId="77777777" w:rsidR="000726C1" w:rsidRPr="008D0300" w:rsidRDefault="000726C1" w:rsidP="000726C1">
            <w:pPr>
              <w:jc w:val="right"/>
              <w:rPr>
                <w:rFonts w:ascii="Arial" w:hAnsi="Arial" w:cs="Arial"/>
                <w:sz w:val="22"/>
                <w:szCs w:val="22"/>
              </w:rPr>
            </w:pPr>
          </w:p>
        </w:tc>
        <w:tc>
          <w:tcPr>
            <w:tcW w:w="1350" w:type="dxa"/>
            <w:tcBorders>
              <w:top w:val="nil"/>
              <w:left w:val="nil"/>
              <w:bottom w:val="single" w:sz="2" w:space="0" w:color="auto"/>
              <w:right w:val="nil"/>
            </w:tcBorders>
          </w:tcPr>
          <w:p w14:paraId="57A454C1" w14:textId="49867500" w:rsidR="000726C1" w:rsidRPr="008D0300" w:rsidRDefault="00D925D1" w:rsidP="000D699D">
            <w:pPr>
              <w:jc w:val="right"/>
              <w:rPr>
                <w:rFonts w:ascii="Arial" w:hAnsi="Arial" w:cs="Arial"/>
                <w:sz w:val="22"/>
                <w:szCs w:val="22"/>
              </w:rPr>
            </w:pPr>
            <w:r>
              <w:rPr>
                <w:rFonts w:ascii="Arial" w:hAnsi="Arial" w:cs="Arial"/>
                <w:sz w:val="22"/>
                <w:szCs w:val="22"/>
              </w:rPr>
              <w:t xml:space="preserve">$1.92 </w:t>
            </w:r>
            <w:r w:rsidR="000D699D">
              <w:rPr>
                <w:rFonts w:ascii="Arial" w:hAnsi="Arial" w:cs="Arial"/>
                <w:sz w:val="22"/>
                <w:szCs w:val="22"/>
              </w:rPr>
              <w:t>B</w:t>
            </w:r>
          </w:p>
        </w:tc>
        <w:tc>
          <w:tcPr>
            <w:tcW w:w="270" w:type="dxa"/>
            <w:tcBorders>
              <w:top w:val="nil"/>
              <w:left w:val="nil"/>
              <w:bottom w:val="nil"/>
              <w:right w:val="nil"/>
            </w:tcBorders>
          </w:tcPr>
          <w:p w14:paraId="56545411" w14:textId="77777777" w:rsidR="000726C1" w:rsidRPr="008D0300" w:rsidRDefault="000726C1" w:rsidP="00D925D1">
            <w:pPr>
              <w:jc w:val="right"/>
              <w:rPr>
                <w:rFonts w:ascii="Arial" w:hAnsi="Arial" w:cs="Arial"/>
                <w:sz w:val="22"/>
                <w:szCs w:val="22"/>
              </w:rPr>
            </w:pPr>
          </w:p>
        </w:tc>
        <w:tc>
          <w:tcPr>
            <w:tcW w:w="1350" w:type="dxa"/>
            <w:tcBorders>
              <w:top w:val="nil"/>
              <w:left w:val="nil"/>
              <w:bottom w:val="single" w:sz="2" w:space="0" w:color="auto"/>
              <w:right w:val="nil"/>
            </w:tcBorders>
            <w:tcMar>
              <w:top w:w="72" w:type="dxa"/>
              <w:bottom w:w="72" w:type="dxa"/>
            </w:tcMar>
          </w:tcPr>
          <w:p w14:paraId="00F398BE" w14:textId="2673CF48" w:rsidR="000726C1" w:rsidRPr="008D0300" w:rsidRDefault="00D925D1" w:rsidP="000D699D">
            <w:pPr>
              <w:jc w:val="right"/>
              <w:rPr>
                <w:rFonts w:ascii="Arial" w:hAnsi="Arial" w:cs="Arial"/>
                <w:sz w:val="22"/>
                <w:szCs w:val="22"/>
              </w:rPr>
            </w:pPr>
            <w:r>
              <w:rPr>
                <w:rFonts w:ascii="Arial" w:hAnsi="Arial" w:cs="Arial"/>
                <w:sz w:val="22"/>
                <w:szCs w:val="22"/>
              </w:rPr>
              <w:t xml:space="preserve">$2.46 </w:t>
            </w:r>
            <w:r w:rsidR="000D699D">
              <w:rPr>
                <w:rFonts w:ascii="Arial" w:hAnsi="Arial" w:cs="Arial"/>
                <w:sz w:val="22"/>
                <w:szCs w:val="22"/>
              </w:rPr>
              <w:t>B</w:t>
            </w:r>
            <w:r w:rsidR="000726C1">
              <w:rPr>
                <w:rFonts w:ascii="Arial" w:hAnsi="Arial" w:cs="Arial"/>
                <w:sz w:val="22"/>
                <w:szCs w:val="22"/>
              </w:rPr>
              <w:t xml:space="preserve"> </w:t>
            </w:r>
          </w:p>
        </w:tc>
        <w:tc>
          <w:tcPr>
            <w:tcW w:w="270" w:type="dxa"/>
            <w:tcBorders>
              <w:top w:val="nil"/>
              <w:left w:val="nil"/>
              <w:bottom w:val="nil"/>
              <w:right w:val="nil"/>
            </w:tcBorders>
          </w:tcPr>
          <w:p w14:paraId="1C376DCB" w14:textId="77777777" w:rsidR="000726C1" w:rsidRPr="008D0300" w:rsidRDefault="000726C1" w:rsidP="00D925D1">
            <w:pPr>
              <w:jc w:val="right"/>
              <w:rPr>
                <w:rFonts w:ascii="Arial" w:hAnsi="Arial" w:cs="Arial"/>
                <w:sz w:val="22"/>
                <w:szCs w:val="22"/>
              </w:rPr>
            </w:pPr>
          </w:p>
        </w:tc>
        <w:tc>
          <w:tcPr>
            <w:tcW w:w="1350" w:type="dxa"/>
            <w:tcBorders>
              <w:top w:val="nil"/>
              <w:left w:val="nil"/>
              <w:bottom w:val="single" w:sz="2" w:space="0" w:color="auto"/>
              <w:right w:val="single" w:sz="2" w:space="0" w:color="FFFFFF" w:themeColor="background1"/>
            </w:tcBorders>
            <w:tcMar>
              <w:top w:w="72" w:type="dxa"/>
              <w:left w:w="115" w:type="dxa"/>
              <w:bottom w:w="72" w:type="dxa"/>
              <w:right w:w="115" w:type="dxa"/>
            </w:tcMar>
          </w:tcPr>
          <w:p w14:paraId="157BC424" w14:textId="58C50A3B" w:rsidR="000726C1" w:rsidRPr="008D0300" w:rsidRDefault="000726C1" w:rsidP="000D699D">
            <w:pPr>
              <w:jc w:val="right"/>
              <w:rPr>
                <w:rFonts w:ascii="Arial" w:hAnsi="Arial" w:cs="Arial"/>
                <w:sz w:val="22"/>
                <w:szCs w:val="22"/>
              </w:rPr>
            </w:pPr>
            <w:r>
              <w:rPr>
                <w:rFonts w:ascii="Arial" w:hAnsi="Arial" w:cs="Arial"/>
                <w:sz w:val="22"/>
                <w:szCs w:val="22"/>
              </w:rPr>
              <w:t>$1.</w:t>
            </w:r>
            <w:r w:rsidRPr="002C625A">
              <w:rPr>
                <w:rFonts w:ascii="Arial" w:hAnsi="Arial" w:cs="Arial"/>
                <w:sz w:val="22"/>
                <w:szCs w:val="22"/>
              </w:rPr>
              <w:t>36</w:t>
            </w:r>
            <w:r>
              <w:rPr>
                <w:rFonts w:ascii="Arial" w:hAnsi="Arial" w:cs="Arial"/>
                <w:sz w:val="22"/>
                <w:szCs w:val="22"/>
              </w:rPr>
              <w:t xml:space="preserve"> </w:t>
            </w:r>
            <w:r w:rsidR="000D699D">
              <w:rPr>
                <w:rFonts w:ascii="Arial" w:hAnsi="Arial" w:cs="Arial"/>
                <w:sz w:val="22"/>
                <w:szCs w:val="22"/>
              </w:rPr>
              <w:t>B</w:t>
            </w:r>
          </w:p>
        </w:tc>
      </w:tr>
      <w:tr w:rsidR="000726C1" w:rsidRPr="008D0300" w14:paraId="6C263577" w14:textId="77777777" w:rsidTr="000D699D">
        <w:trPr>
          <w:cantSplit/>
          <w:jc w:val="center"/>
        </w:trPr>
        <w:tc>
          <w:tcPr>
            <w:tcW w:w="3330" w:type="dxa"/>
            <w:tcBorders>
              <w:top w:val="single" w:sz="4" w:space="0" w:color="auto"/>
              <w:left w:val="nil"/>
              <w:bottom w:val="single" w:sz="12" w:space="0" w:color="auto"/>
              <w:right w:val="nil"/>
            </w:tcBorders>
            <w:tcMar>
              <w:top w:w="72" w:type="dxa"/>
              <w:left w:w="115" w:type="dxa"/>
              <w:bottom w:w="72" w:type="dxa"/>
              <w:right w:w="115" w:type="dxa"/>
            </w:tcMar>
          </w:tcPr>
          <w:p w14:paraId="19F64765" w14:textId="3E19F17F" w:rsidR="000726C1" w:rsidRPr="008D0300" w:rsidRDefault="000726C1" w:rsidP="000726C1">
            <w:pPr>
              <w:jc w:val="right"/>
              <w:rPr>
                <w:rFonts w:ascii="Arial" w:hAnsi="Arial" w:cs="Arial"/>
                <w:b/>
                <w:sz w:val="22"/>
                <w:szCs w:val="22"/>
              </w:rPr>
            </w:pPr>
            <w:r>
              <w:rPr>
                <w:rFonts w:ascii="Arial" w:hAnsi="Arial" w:cs="Arial"/>
                <w:b/>
                <w:sz w:val="22"/>
                <w:szCs w:val="22"/>
              </w:rPr>
              <w:t>TOTAL</w:t>
            </w:r>
          </w:p>
        </w:tc>
        <w:tc>
          <w:tcPr>
            <w:tcW w:w="270" w:type="dxa"/>
            <w:tcBorders>
              <w:top w:val="nil"/>
              <w:left w:val="nil"/>
              <w:bottom w:val="single" w:sz="12" w:space="0" w:color="auto"/>
              <w:right w:val="nil"/>
            </w:tcBorders>
          </w:tcPr>
          <w:p w14:paraId="181DAB23" w14:textId="77777777" w:rsidR="000726C1" w:rsidRPr="008D0300" w:rsidRDefault="000726C1" w:rsidP="003267E5">
            <w:pPr>
              <w:jc w:val="right"/>
              <w:rPr>
                <w:rFonts w:ascii="Arial" w:hAnsi="Arial" w:cs="Arial"/>
                <w:sz w:val="22"/>
                <w:szCs w:val="22"/>
              </w:rPr>
            </w:pPr>
          </w:p>
        </w:tc>
        <w:tc>
          <w:tcPr>
            <w:tcW w:w="1350" w:type="dxa"/>
            <w:tcBorders>
              <w:top w:val="single" w:sz="2" w:space="0" w:color="auto"/>
              <w:left w:val="nil"/>
              <w:bottom w:val="single" w:sz="12" w:space="0" w:color="auto"/>
              <w:right w:val="nil"/>
            </w:tcBorders>
          </w:tcPr>
          <w:p w14:paraId="453B0F18" w14:textId="5A346B33" w:rsidR="000726C1" w:rsidRPr="00B33952" w:rsidRDefault="00D925D1" w:rsidP="000D699D">
            <w:pPr>
              <w:jc w:val="right"/>
              <w:rPr>
                <w:rFonts w:ascii="Arial" w:hAnsi="Arial" w:cs="Arial"/>
                <w:b/>
                <w:sz w:val="22"/>
                <w:szCs w:val="22"/>
              </w:rPr>
            </w:pPr>
            <w:r>
              <w:rPr>
                <w:rFonts w:ascii="Arial" w:hAnsi="Arial" w:cs="Arial"/>
                <w:b/>
                <w:sz w:val="22"/>
                <w:szCs w:val="22"/>
              </w:rPr>
              <w:t xml:space="preserve">$11.89 </w:t>
            </w:r>
            <w:r w:rsidR="000D699D">
              <w:rPr>
                <w:rFonts w:ascii="Arial" w:hAnsi="Arial" w:cs="Arial"/>
                <w:b/>
                <w:sz w:val="22"/>
                <w:szCs w:val="22"/>
              </w:rPr>
              <w:t>B</w:t>
            </w:r>
          </w:p>
        </w:tc>
        <w:tc>
          <w:tcPr>
            <w:tcW w:w="270" w:type="dxa"/>
            <w:tcBorders>
              <w:top w:val="nil"/>
              <w:left w:val="nil"/>
              <w:bottom w:val="single" w:sz="12" w:space="0" w:color="auto"/>
              <w:right w:val="nil"/>
            </w:tcBorders>
          </w:tcPr>
          <w:p w14:paraId="05BEDA19" w14:textId="77777777" w:rsidR="000726C1" w:rsidRPr="00B33952" w:rsidRDefault="000726C1" w:rsidP="003267E5">
            <w:pPr>
              <w:jc w:val="right"/>
              <w:rPr>
                <w:rFonts w:ascii="Arial" w:hAnsi="Arial" w:cs="Arial"/>
                <w:b/>
                <w:sz w:val="22"/>
                <w:szCs w:val="22"/>
              </w:rPr>
            </w:pPr>
          </w:p>
        </w:tc>
        <w:tc>
          <w:tcPr>
            <w:tcW w:w="1350" w:type="dxa"/>
            <w:tcBorders>
              <w:top w:val="single" w:sz="2" w:space="0" w:color="auto"/>
              <w:left w:val="nil"/>
              <w:bottom w:val="single" w:sz="12" w:space="0" w:color="auto"/>
              <w:right w:val="single" w:sz="2" w:space="0" w:color="FFFFFF" w:themeColor="background1"/>
            </w:tcBorders>
            <w:tcMar>
              <w:top w:w="72" w:type="dxa"/>
              <w:bottom w:w="72" w:type="dxa"/>
            </w:tcMar>
          </w:tcPr>
          <w:p w14:paraId="06808060" w14:textId="269ACD5E" w:rsidR="000726C1" w:rsidRPr="00B33952" w:rsidRDefault="000726C1" w:rsidP="000D699D">
            <w:pPr>
              <w:jc w:val="right"/>
              <w:rPr>
                <w:rFonts w:ascii="Arial" w:hAnsi="Arial" w:cs="Arial"/>
                <w:b/>
                <w:sz w:val="22"/>
                <w:szCs w:val="22"/>
              </w:rPr>
            </w:pPr>
            <w:r>
              <w:rPr>
                <w:rFonts w:ascii="Arial" w:hAnsi="Arial" w:cs="Arial"/>
                <w:b/>
                <w:sz w:val="22"/>
                <w:szCs w:val="22"/>
              </w:rPr>
              <w:t>$</w:t>
            </w:r>
            <w:r w:rsidR="00D925D1">
              <w:rPr>
                <w:rFonts w:ascii="Arial" w:hAnsi="Arial" w:cs="Arial"/>
                <w:b/>
                <w:sz w:val="22"/>
                <w:szCs w:val="22"/>
              </w:rPr>
              <w:t>1</w:t>
            </w:r>
            <w:r w:rsidR="006373B0">
              <w:rPr>
                <w:rFonts w:ascii="Arial" w:hAnsi="Arial" w:cs="Arial"/>
                <w:b/>
                <w:sz w:val="22"/>
                <w:szCs w:val="22"/>
              </w:rPr>
              <w:t>3.51</w:t>
            </w:r>
            <w:r>
              <w:rPr>
                <w:rFonts w:ascii="Arial" w:hAnsi="Arial" w:cs="Arial"/>
                <w:b/>
                <w:sz w:val="22"/>
                <w:szCs w:val="22"/>
              </w:rPr>
              <w:t xml:space="preserve"> </w:t>
            </w:r>
            <w:r w:rsidR="000D699D">
              <w:rPr>
                <w:rFonts w:ascii="Arial" w:hAnsi="Arial" w:cs="Arial"/>
                <w:b/>
                <w:sz w:val="22"/>
                <w:szCs w:val="22"/>
              </w:rPr>
              <w:t>B</w:t>
            </w:r>
          </w:p>
        </w:tc>
        <w:tc>
          <w:tcPr>
            <w:tcW w:w="270" w:type="dxa"/>
            <w:tcBorders>
              <w:top w:val="nil"/>
              <w:left w:val="single" w:sz="2" w:space="0" w:color="FFFFFF" w:themeColor="background1"/>
              <w:bottom w:val="single" w:sz="12" w:space="0" w:color="auto"/>
              <w:right w:val="single" w:sz="2" w:space="0" w:color="FFFFFF" w:themeColor="background1"/>
            </w:tcBorders>
          </w:tcPr>
          <w:p w14:paraId="0AC98A11" w14:textId="77777777" w:rsidR="000726C1" w:rsidRPr="00B33952" w:rsidRDefault="000726C1" w:rsidP="003267E5">
            <w:pPr>
              <w:jc w:val="right"/>
              <w:rPr>
                <w:rFonts w:ascii="Arial" w:hAnsi="Arial" w:cs="Arial"/>
                <w:b/>
                <w:sz w:val="22"/>
                <w:szCs w:val="22"/>
              </w:rPr>
            </w:pPr>
          </w:p>
        </w:tc>
        <w:tc>
          <w:tcPr>
            <w:tcW w:w="1350" w:type="dxa"/>
            <w:tcBorders>
              <w:top w:val="single" w:sz="2"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70C26193" w14:textId="66263F02" w:rsidR="000726C1" w:rsidRPr="00B33952" w:rsidRDefault="000726C1" w:rsidP="000D699D">
            <w:pPr>
              <w:jc w:val="right"/>
              <w:rPr>
                <w:rFonts w:ascii="Arial" w:hAnsi="Arial" w:cs="Arial"/>
                <w:b/>
                <w:sz w:val="22"/>
                <w:szCs w:val="22"/>
              </w:rPr>
            </w:pPr>
            <w:r>
              <w:rPr>
                <w:rFonts w:ascii="Arial" w:hAnsi="Arial" w:cs="Arial"/>
                <w:b/>
                <w:sz w:val="22"/>
                <w:szCs w:val="22"/>
              </w:rPr>
              <w:t xml:space="preserve">$12.63 </w:t>
            </w:r>
            <w:r w:rsidR="000D699D">
              <w:rPr>
                <w:rFonts w:ascii="Arial" w:hAnsi="Arial" w:cs="Arial"/>
                <w:b/>
                <w:sz w:val="22"/>
                <w:szCs w:val="22"/>
              </w:rPr>
              <w:t>B</w:t>
            </w:r>
          </w:p>
        </w:tc>
      </w:tr>
    </w:tbl>
    <w:p w14:paraId="30605BDF" w14:textId="77777777" w:rsidR="000726C1" w:rsidRDefault="000726C1" w:rsidP="0082281C">
      <w:pPr>
        <w:pStyle w:val="BodyText"/>
        <w:jc w:val="both"/>
        <w:rPr>
          <w:rFonts w:ascii="Arial" w:hAnsi="Arial" w:cs="Arial"/>
          <w:i w:val="0"/>
          <w:szCs w:val="24"/>
        </w:rPr>
      </w:pPr>
    </w:p>
    <w:p w14:paraId="01A591AC" w14:textId="0E14296F" w:rsidR="00C24E50" w:rsidRDefault="00C24E50" w:rsidP="007212BA">
      <w:pPr>
        <w:pStyle w:val="BodyText"/>
        <w:spacing w:line="264" w:lineRule="auto"/>
        <w:rPr>
          <w:rFonts w:ascii="Arial" w:hAnsi="Arial" w:cs="Arial"/>
          <w:b/>
          <w:i w:val="0"/>
          <w:szCs w:val="24"/>
        </w:rPr>
      </w:pPr>
    </w:p>
    <w:p w14:paraId="64C15EF3" w14:textId="3722AE4D" w:rsidR="009E2D77" w:rsidRDefault="009E2D77" w:rsidP="009E2D77">
      <w:pPr>
        <w:pStyle w:val="BodyText"/>
        <w:spacing w:line="264" w:lineRule="auto"/>
        <w:jc w:val="center"/>
        <w:rPr>
          <w:rFonts w:ascii="Arial" w:hAnsi="Arial" w:cs="Arial"/>
          <w:b/>
          <w:i w:val="0"/>
          <w:szCs w:val="24"/>
        </w:rPr>
      </w:pPr>
      <w:r w:rsidRPr="00A477A0">
        <w:rPr>
          <w:rFonts w:ascii="Arial" w:hAnsi="Arial" w:cs="Arial"/>
          <w:b/>
          <w:i w:val="0"/>
          <w:szCs w:val="24"/>
        </w:rPr>
        <w:lastRenderedPageBreak/>
        <w:t>T</w:t>
      </w:r>
      <w:r>
        <w:rPr>
          <w:rFonts w:ascii="Arial" w:hAnsi="Arial" w:cs="Arial"/>
          <w:b/>
          <w:i w:val="0"/>
          <w:szCs w:val="24"/>
        </w:rPr>
        <w:t xml:space="preserve">able </w:t>
      </w:r>
      <w:r w:rsidR="00C24E50">
        <w:rPr>
          <w:rFonts w:ascii="Arial" w:hAnsi="Arial" w:cs="Arial"/>
          <w:b/>
          <w:i w:val="0"/>
          <w:szCs w:val="24"/>
        </w:rPr>
        <w:t>2</w:t>
      </w:r>
      <w:r w:rsidRPr="00A477A0">
        <w:rPr>
          <w:rFonts w:ascii="Arial" w:hAnsi="Arial" w:cs="Arial"/>
          <w:b/>
          <w:i w:val="0"/>
          <w:szCs w:val="24"/>
        </w:rPr>
        <w:t xml:space="preserve">. Executive Proposed 2021-2022 </w:t>
      </w:r>
      <w:r>
        <w:rPr>
          <w:rFonts w:ascii="Arial" w:hAnsi="Arial" w:cs="Arial"/>
          <w:b/>
          <w:i w:val="0"/>
          <w:szCs w:val="24"/>
        </w:rPr>
        <w:t>G</w:t>
      </w:r>
      <w:r w:rsidR="004257A9">
        <w:rPr>
          <w:rFonts w:ascii="Arial" w:hAnsi="Arial" w:cs="Arial"/>
          <w:b/>
          <w:i w:val="0"/>
          <w:szCs w:val="24"/>
        </w:rPr>
        <w:t>eneral Fund</w:t>
      </w:r>
      <w:r>
        <w:rPr>
          <w:rFonts w:ascii="Arial" w:hAnsi="Arial" w:cs="Arial"/>
          <w:b/>
          <w:i w:val="0"/>
          <w:szCs w:val="24"/>
        </w:rPr>
        <w:t xml:space="preserve"> Operating Budget</w:t>
      </w:r>
    </w:p>
    <w:p w14:paraId="15C6953B" w14:textId="77777777" w:rsidR="00C24E50" w:rsidRPr="004F3BE6" w:rsidRDefault="00C24E50" w:rsidP="009E2D77">
      <w:pPr>
        <w:pStyle w:val="BodyText"/>
        <w:spacing w:line="264" w:lineRule="auto"/>
        <w:jc w:val="center"/>
        <w:rPr>
          <w:rFonts w:ascii="Arial" w:hAnsi="Arial" w:cs="Arial"/>
          <w:b/>
          <w:i w:val="0"/>
          <w:sz w:val="16"/>
          <w:szCs w:val="16"/>
        </w:rPr>
      </w:pPr>
    </w:p>
    <w:p w14:paraId="5EF6588D" w14:textId="183316FB" w:rsidR="00EC5623" w:rsidRDefault="004561B3" w:rsidP="002E0D01">
      <w:pPr>
        <w:pStyle w:val="BodyText"/>
        <w:spacing w:line="264" w:lineRule="auto"/>
        <w:jc w:val="center"/>
        <w:rPr>
          <w:rFonts w:ascii="Arial" w:hAnsi="Arial" w:cs="Arial"/>
          <w:b/>
          <w:i w:val="0"/>
          <w:szCs w:val="24"/>
        </w:rPr>
      </w:pPr>
      <w:r w:rsidRPr="004561B3">
        <w:rPr>
          <w:noProof/>
          <w:lang w:eastAsia="ko-KR"/>
        </w:rPr>
        <w:drawing>
          <wp:inline distT="0" distB="0" distL="0" distR="0" wp14:anchorId="1A1BB3EE" wp14:editId="2A6CB436">
            <wp:extent cx="3647301" cy="59855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4728" cy="5997759"/>
                    </a:xfrm>
                    <a:prstGeom prst="rect">
                      <a:avLst/>
                    </a:prstGeom>
                  </pic:spPr>
                </pic:pic>
              </a:graphicData>
            </a:graphic>
          </wp:inline>
        </w:drawing>
      </w:r>
    </w:p>
    <w:p w14:paraId="17D5E0F2" w14:textId="77777777" w:rsidR="00EC5623" w:rsidRDefault="00EC5623" w:rsidP="002E0D01">
      <w:pPr>
        <w:pStyle w:val="BodyText"/>
        <w:spacing w:line="264" w:lineRule="auto"/>
        <w:jc w:val="center"/>
        <w:rPr>
          <w:rFonts w:ascii="Arial" w:hAnsi="Arial" w:cs="Arial"/>
          <w:b/>
          <w:i w:val="0"/>
          <w:szCs w:val="24"/>
        </w:rPr>
      </w:pPr>
    </w:p>
    <w:p w14:paraId="7E07870E" w14:textId="77777777" w:rsidR="00EC5623" w:rsidRDefault="00EC5623" w:rsidP="002E0D01">
      <w:pPr>
        <w:pStyle w:val="BodyText"/>
        <w:spacing w:line="264" w:lineRule="auto"/>
        <w:jc w:val="center"/>
        <w:rPr>
          <w:rFonts w:ascii="Arial" w:hAnsi="Arial" w:cs="Arial"/>
          <w:b/>
          <w:i w:val="0"/>
          <w:szCs w:val="24"/>
        </w:rPr>
      </w:pPr>
    </w:p>
    <w:p w14:paraId="6B08DAAC" w14:textId="77777777" w:rsidR="00EC5623" w:rsidRDefault="00EC5623" w:rsidP="002E0D01">
      <w:pPr>
        <w:pStyle w:val="BodyText"/>
        <w:spacing w:line="264" w:lineRule="auto"/>
        <w:jc w:val="center"/>
        <w:rPr>
          <w:rFonts w:ascii="Arial" w:hAnsi="Arial" w:cs="Arial"/>
          <w:b/>
          <w:i w:val="0"/>
          <w:szCs w:val="24"/>
        </w:rPr>
      </w:pPr>
    </w:p>
    <w:p w14:paraId="478F3862" w14:textId="77777777" w:rsidR="00C24E50" w:rsidRDefault="00C24E50" w:rsidP="002E0D01">
      <w:pPr>
        <w:pStyle w:val="BodyText"/>
        <w:spacing w:line="264" w:lineRule="auto"/>
        <w:jc w:val="center"/>
        <w:rPr>
          <w:rFonts w:ascii="Arial" w:hAnsi="Arial" w:cs="Arial"/>
          <w:b/>
          <w:i w:val="0"/>
          <w:szCs w:val="24"/>
        </w:rPr>
      </w:pPr>
    </w:p>
    <w:p w14:paraId="0F4BD41A" w14:textId="77777777" w:rsidR="00C24E50" w:rsidRDefault="00C24E50" w:rsidP="002E0D01">
      <w:pPr>
        <w:pStyle w:val="BodyText"/>
        <w:spacing w:line="264" w:lineRule="auto"/>
        <w:jc w:val="center"/>
        <w:rPr>
          <w:rFonts w:ascii="Arial" w:hAnsi="Arial" w:cs="Arial"/>
          <w:b/>
          <w:i w:val="0"/>
          <w:szCs w:val="24"/>
        </w:rPr>
      </w:pPr>
    </w:p>
    <w:p w14:paraId="5D98A307" w14:textId="77777777" w:rsidR="00C24E50" w:rsidRDefault="00C24E50" w:rsidP="002E0D01">
      <w:pPr>
        <w:pStyle w:val="BodyText"/>
        <w:spacing w:line="264" w:lineRule="auto"/>
        <w:jc w:val="center"/>
        <w:rPr>
          <w:rFonts w:ascii="Arial" w:hAnsi="Arial" w:cs="Arial"/>
          <w:b/>
          <w:i w:val="0"/>
          <w:szCs w:val="24"/>
        </w:rPr>
      </w:pPr>
    </w:p>
    <w:p w14:paraId="6B28ADF6" w14:textId="77777777" w:rsidR="00C24E50" w:rsidRDefault="00C24E50" w:rsidP="002E0D01">
      <w:pPr>
        <w:pStyle w:val="BodyText"/>
        <w:spacing w:line="264" w:lineRule="auto"/>
        <w:jc w:val="center"/>
        <w:rPr>
          <w:rFonts w:ascii="Arial" w:hAnsi="Arial" w:cs="Arial"/>
          <w:b/>
          <w:i w:val="0"/>
          <w:szCs w:val="24"/>
        </w:rPr>
      </w:pPr>
    </w:p>
    <w:p w14:paraId="1B4D4E58" w14:textId="77777777" w:rsidR="00C24E50" w:rsidRDefault="00C24E50" w:rsidP="002E0D01">
      <w:pPr>
        <w:pStyle w:val="BodyText"/>
        <w:spacing w:line="264" w:lineRule="auto"/>
        <w:jc w:val="center"/>
        <w:rPr>
          <w:rFonts w:ascii="Arial" w:hAnsi="Arial" w:cs="Arial"/>
          <w:b/>
          <w:i w:val="0"/>
          <w:szCs w:val="24"/>
        </w:rPr>
      </w:pPr>
    </w:p>
    <w:p w14:paraId="3978ACC9" w14:textId="77777777" w:rsidR="00C24E50" w:rsidRDefault="00C24E50" w:rsidP="002E0D01">
      <w:pPr>
        <w:pStyle w:val="BodyText"/>
        <w:spacing w:line="264" w:lineRule="auto"/>
        <w:jc w:val="center"/>
        <w:rPr>
          <w:rFonts w:ascii="Arial" w:hAnsi="Arial" w:cs="Arial"/>
          <w:b/>
          <w:i w:val="0"/>
          <w:szCs w:val="24"/>
        </w:rPr>
      </w:pPr>
    </w:p>
    <w:p w14:paraId="37B85AEC" w14:textId="77777777" w:rsidR="00C24E50" w:rsidRDefault="00C24E50" w:rsidP="002E0D01">
      <w:pPr>
        <w:pStyle w:val="BodyText"/>
        <w:spacing w:line="264" w:lineRule="auto"/>
        <w:jc w:val="center"/>
        <w:rPr>
          <w:rFonts w:ascii="Arial" w:hAnsi="Arial" w:cs="Arial"/>
          <w:b/>
          <w:i w:val="0"/>
          <w:szCs w:val="24"/>
        </w:rPr>
      </w:pPr>
    </w:p>
    <w:p w14:paraId="625E2843" w14:textId="77777777" w:rsidR="00C24E50" w:rsidRDefault="00C24E50" w:rsidP="002E0D01">
      <w:pPr>
        <w:pStyle w:val="BodyText"/>
        <w:spacing w:line="264" w:lineRule="auto"/>
        <w:jc w:val="center"/>
        <w:rPr>
          <w:rFonts w:ascii="Arial" w:hAnsi="Arial" w:cs="Arial"/>
          <w:b/>
          <w:i w:val="0"/>
          <w:szCs w:val="24"/>
        </w:rPr>
      </w:pPr>
    </w:p>
    <w:p w14:paraId="0D8A75FF" w14:textId="77777777" w:rsidR="00C24E50" w:rsidRDefault="00C24E50" w:rsidP="002E0D01">
      <w:pPr>
        <w:pStyle w:val="BodyText"/>
        <w:spacing w:line="264" w:lineRule="auto"/>
        <w:jc w:val="center"/>
        <w:rPr>
          <w:rFonts w:ascii="Arial" w:hAnsi="Arial" w:cs="Arial"/>
          <w:b/>
          <w:i w:val="0"/>
          <w:szCs w:val="24"/>
        </w:rPr>
      </w:pPr>
    </w:p>
    <w:p w14:paraId="2E6A556C" w14:textId="44851F1C" w:rsidR="002E0D01" w:rsidRDefault="002E0D01" w:rsidP="00491481">
      <w:pPr>
        <w:pStyle w:val="BodyText"/>
        <w:spacing w:line="264" w:lineRule="auto"/>
        <w:jc w:val="center"/>
        <w:rPr>
          <w:rFonts w:ascii="Arial" w:hAnsi="Arial" w:cs="Arial"/>
          <w:b/>
          <w:i w:val="0"/>
          <w:szCs w:val="24"/>
        </w:rPr>
      </w:pPr>
      <w:r w:rsidRPr="00A477A0">
        <w:rPr>
          <w:rFonts w:ascii="Arial" w:hAnsi="Arial" w:cs="Arial"/>
          <w:b/>
          <w:i w:val="0"/>
          <w:szCs w:val="24"/>
        </w:rPr>
        <w:lastRenderedPageBreak/>
        <w:t>T</w:t>
      </w:r>
      <w:r w:rsidR="00EE5337">
        <w:rPr>
          <w:rFonts w:ascii="Arial" w:hAnsi="Arial" w:cs="Arial"/>
          <w:b/>
          <w:i w:val="0"/>
          <w:szCs w:val="24"/>
        </w:rPr>
        <w:t xml:space="preserve">able </w:t>
      </w:r>
      <w:r w:rsidR="00EC5623">
        <w:rPr>
          <w:rFonts w:ascii="Arial" w:hAnsi="Arial" w:cs="Arial"/>
          <w:b/>
          <w:i w:val="0"/>
          <w:szCs w:val="24"/>
        </w:rPr>
        <w:t>3</w:t>
      </w:r>
      <w:r w:rsidRPr="00A477A0">
        <w:rPr>
          <w:rFonts w:ascii="Arial" w:hAnsi="Arial" w:cs="Arial"/>
          <w:b/>
          <w:i w:val="0"/>
          <w:szCs w:val="24"/>
        </w:rPr>
        <w:t xml:space="preserve">. Executive Proposed 2021-2022 </w:t>
      </w:r>
      <w:r w:rsidR="004257A9">
        <w:rPr>
          <w:rFonts w:ascii="Arial" w:hAnsi="Arial" w:cs="Arial"/>
          <w:b/>
          <w:i w:val="0"/>
          <w:szCs w:val="24"/>
        </w:rPr>
        <w:t>Non-General Fund</w:t>
      </w:r>
      <w:r w:rsidR="00EC5623">
        <w:rPr>
          <w:rFonts w:ascii="Arial" w:hAnsi="Arial" w:cs="Arial"/>
          <w:b/>
          <w:i w:val="0"/>
          <w:szCs w:val="24"/>
        </w:rPr>
        <w:t xml:space="preserve"> </w:t>
      </w:r>
      <w:r>
        <w:rPr>
          <w:rFonts w:ascii="Arial" w:hAnsi="Arial" w:cs="Arial"/>
          <w:b/>
          <w:i w:val="0"/>
          <w:szCs w:val="24"/>
        </w:rPr>
        <w:t>Operating Budget</w:t>
      </w:r>
    </w:p>
    <w:p w14:paraId="429C9FFE" w14:textId="77777777" w:rsidR="005E109D" w:rsidRPr="004F3BE6" w:rsidRDefault="005E109D" w:rsidP="002E0D01">
      <w:pPr>
        <w:pStyle w:val="BodyText"/>
        <w:spacing w:line="264" w:lineRule="auto"/>
        <w:jc w:val="center"/>
        <w:rPr>
          <w:rFonts w:ascii="Arial" w:hAnsi="Arial" w:cs="Arial"/>
          <w:b/>
          <w:i w:val="0"/>
          <w:sz w:val="16"/>
          <w:szCs w:val="16"/>
        </w:rPr>
      </w:pPr>
    </w:p>
    <w:p w14:paraId="590DD05B" w14:textId="075EA3EA" w:rsidR="000726C1" w:rsidRDefault="00EC5623" w:rsidP="00EC5623">
      <w:pPr>
        <w:pStyle w:val="BodyText"/>
        <w:spacing w:line="264" w:lineRule="auto"/>
        <w:jc w:val="center"/>
        <w:rPr>
          <w:rFonts w:ascii="Arial" w:hAnsi="Arial" w:cs="Arial"/>
          <w:i w:val="0"/>
          <w:szCs w:val="24"/>
        </w:rPr>
      </w:pPr>
      <w:r w:rsidRPr="00EC5623">
        <w:rPr>
          <w:noProof/>
          <w:lang w:eastAsia="ko-KR"/>
        </w:rPr>
        <w:drawing>
          <wp:inline distT="0" distB="0" distL="0" distR="0" wp14:anchorId="4D88BD34" wp14:editId="5D17F794">
            <wp:extent cx="3713480" cy="8239398"/>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0915" cy="8255895"/>
                    </a:xfrm>
                    <a:prstGeom prst="rect">
                      <a:avLst/>
                    </a:prstGeom>
                  </pic:spPr>
                </pic:pic>
              </a:graphicData>
            </a:graphic>
          </wp:inline>
        </w:drawing>
      </w:r>
    </w:p>
    <w:p w14:paraId="6DBB91C7" w14:textId="0B109044" w:rsidR="00A477A0" w:rsidRDefault="00A477A0" w:rsidP="00491481">
      <w:pPr>
        <w:pStyle w:val="BodyText"/>
        <w:spacing w:line="264" w:lineRule="auto"/>
        <w:jc w:val="center"/>
        <w:rPr>
          <w:rFonts w:ascii="Arial" w:hAnsi="Arial" w:cs="Arial"/>
          <w:b/>
          <w:i w:val="0"/>
          <w:szCs w:val="24"/>
        </w:rPr>
      </w:pPr>
      <w:r w:rsidRPr="00A477A0">
        <w:rPr>
          <w:rFonts w:ascii="Arial" w:hAnsi="Arial" w:cs="Arial"/>
          <w:b/>
          <w:i w:val="0"/>
          <w:szCs w:val="24"/>
        </w:rPr>
        <w:lastRenderedPageBreak/>
        <w:t>T</w:t>
      </w:r>
      <w:r w:rsidR="00EC5623">
        <w:rPr>
          <w:rFonts w:ascii="Arial" w:hAnsi="Arial" w:cs="Arial"/>
          <w:b/>
          <w:i w:val="0"/>
          <w:szCs w:val="24"/>
        </w:rPr>
        <w:t>able 4</w:t>
      </w:r>
      <w:r w:rsidRPr="00A477A0">
        <w:rPr>
          <w:rFonts w:ascii="Arial" w:hAnsi="Arial" w:cs="Arial"/>
          <w:b/>
          <w:i w:val="0"/>
          <w:szCs w:val="24"/>
        </w:rPr>
        <w:t xml:space="preserve">. Executive Proposed 2021-2022 </w:t>
      </w:r>
      <w:r w:rsidR="002E0D01">
        <w:rPr>
          <w:rFonts w:ascii="Arial" w:hAnsi="Arial" w:cs="Arial"/>
          <w:b/>
          <w:i w:val="0"/>
          <w:szCs w:val="24"/>
        </w:rPr>
        <w:t>Capital Budget</w:t>
      </w:r>
    </w:p>
    <w:p w14:paraId="21E923D0" w14:textId="77777777" w:rsidR="00A477A0" w:rsidRPr="004F3BE6" w:rsidRDefault="00A477A0" w:rsidP="00A477A0">
      <w:pPr>
        <w:pStyle w:val="BodyText"/>
        <w:spacing w:line="264" w:lineRule="auto"/>
        <w:jc w:val="center"/>
        <w:rPr>
          <w:rFonts w:ascii="Arial" w:hAnsi="Arial" w:cs="Arial"/>
          <w:b/>
          <w:i w:val="0"/>
          <w:sz w:val="16"/>
          <w:szCs w:val="16"/>
        </w:rPr>
      </w:pPr>
    </w:p>
    <w:p w14:paraId="534525A3" w14:textId="33A684A8" w:rsidR="00A477A0" w:rsidRDefault="00543BB1" w:rsidP="00A477A0">
      <w:pPr>
        <w:pStyle w:val="BodyText"/>
        <w:spacing w:line="264" w:lineRule="auto"/>
        <w:jc w:val="center"/>
        <w:rPr>
          <w:rFonts w:ascii="Arial" w:hAnsi="Arial" w:cs="Arial"/>
          <w:i w:val="0"/>
          <w:szCs w:val="24"/>
        </w:rPr>
      </w:pPr>
      <w:r w:rsidRPr="00543BB1">
        <w:rPr>
          <w:noProof/>
          <w:lang w:eastAsia="ko-KR"/>
        </w:rPr>
        <w:drawing>
          <wp:inline distT="0" distB="0" distL="0" distR="0" wp14:anchorId="53FB1866" wp14:editId="0FDC4DDE">
            <wp:extent cx="3750772" cy="42100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2096" cy="4211536"/>
                    </a:xfrm>
                    <a:prstGeom prst="rect">
                      <a:avLst/>
                    </a:prstGeom>
                  </pic:spPr>
                </pic:pic>
              </a:graphicData>
            </a:graphic>
          </wp:inline>
        </w:drawing>
      </w:r>
    </w:p>
    <w:p w14:paraId="1972D3B2" w14:textId="4FA48F2B" w:rsidR="007212BA" w:rsidRDefault="007212BA" w:rsidP="007212BA">
      <w:pPr>
        <w:pStyle w:val="BodyText"/>
        <w:spacing w:line="264" w:lineRule="auto"/>
        <w:jc w:val="both"/>
        <w:rPr>
          <w:rFonts w:ascii="Arial" w:hAnsi="Arial" w:cs="Arial"/>
          <w:i w:val="0"/>
          <w:szCs w:val="24"/>
        </w:rPr>
      </w:pPr>
    </w:p>
    <w:p w14:paraId="65FFF3CC" w14:textId="77777777" w:rsidR="00491481" w:rsidRDefault="00491481" w:rsidP="005678AA">
      <w:pPr>
        <w:pStyle w:val="BodyText"/>
        <w:spacing w:line="264" w:lineRule="auto"/>
        <w:jc w:val="both"/>
        <w:rPr>
          <w:rFonts w:ascii="Arial" w:hAnsi="Arial" w:cs="Arial"/>
          <w:b/>
          <w:szCs w:val="24"/>
        </w:rPr>
      </w:pPr>
    </w:p>
    <w:p w14:paraId="69DB4F88" w14:textId="0F590ACC" w:rsidR="00370E4F" w:rsidRPr="005E5970" w:rsidRDefault="00FF7AC2" w:rsidP="005678AA">
      <w:pPr>
        <w:pStyle w:val="BodyText"/>
        <w:spacing w:line="264" w:lineRule="auto"/>
        <w:jc w:val="both"/>
        <w:rPr>
          <w:rFonts w:ascii="Arial" w:hAnsi="Arial" w:cs="Arial"/>
          <w:b/>
          <w:szCs w:val="24"/>
        </w:rPr>
      </w:pPr>
      <w:r w:rsidRPr="00FF7AC2">
        <w:rPr>
          <w:rFonts w:ascii="Arial" w:hAnsi="Arial" w:cs="Arial"/>
          <w:b/>
          <w:szCs w:val="24"/>
        </w:rPr>
        <w:t xml:space="preserve">COVID-19 Pandemic Impacts to </w:t>
      </w:r>
      <w:r w:rsidR="005678AA">
        <w:rPr>
          <w:rFonts w:ascii="Arial" w:hAnsi="Arial" w:cs="Arial"/>
          <w:b/>
          <w:szCs w:val="24"/>
        </w:rPr>
        <w:t xml:space="preserve">the </w:t>
      </w:r>
      <w:r w:rsidRPr="00FF7AC2">
        <w:rPr>
          <w:rFonts w:ascii="Arial" w:hAnsi="Arial" w:cs="Arial"/>
          <w:b/>
          <w:szCs w:val="24"/>
        </w:rPr>
        <w:t>2021-2022 Biennial Budget</w:t>
      </w:r>
    </w:p>
    <w:p w14:paraId="1A215E6B" w14:textId="77777777" w:rsidR="005E5970" w:rsidRDefault="005E5970" w:rsidP="005678AA">
      <w:pPr>
        <w:pStyle w:val="BodyText"/>
        <w:spacing w:line="264" w:lineRule="auto"/>
        <w:jc w:val="both"/>
        <w:rPr>
          <w:rFonts w:ascii="Arial" w:hAnsi="Arial" w:cs="Arial"/>
          <w:b/>
          <w:i w:val="0"/>
          <w:szCs w:val="24"/>
        </w:rPr>
      </w:pPr>
    </w:p>
    <w:p w14:paraId="7DBDA972" w14:textId="699FF6C6" w:rsidR="005678AA" w:rsidRDefault="00370E4F" w:rsidP="005678AA">
      <w:pPr>
        <w:pStyle w:val="BodyText"/>
        <w:spacing w:line="264" w:lineRule="auto"/>
        <w:jc w:val="both"/>
        <w:rPr>
          <w:rFonts w:ascii="Arial" w:hAnsi="Arial" w:cs="Arial"/>
          <w:i w:val="0"/>
          <w:szCs w:val="24"/>
        </w:rPr>
      </w:pPr>
      <w:r w:rsidRPr="00370E4F">
        <w:rPr>
          <w:rFonts w:ascii="Arial" w:hAnsi="Arial" w:cs="Arial"/>
          <w:b/>
          <w:i w:val="0"/>
          <w:szCs w:val="24"/>
        </w:rPr>
        <w:t>Revenues.</w:t>
      </w:r>
      <w:r>
        <w:rPr>
          <w:rFonts w:ascii="Arial" w:hAnsi="Arial" w:cs="Arial"/>
          <w:i w:val="0"/>
          <w:szCs w:val="24"/>
        </w:rPr>
        <w:t xml:space="preserve">  </w:t>
      </w:r>
      <w:r w:rsidR="005678AA" w:rsidRPr="005678AA">
        <w:rPr>
          <w:rFonts w:ascii="Arial" w:hAnsi="Arial" w:cs="Arial"/>
          <w:i w:val="0"/>
          <w:szCs w:val="24"/>
        </w:rPr>
        <w:t>As a result of the continue</w:t>
      </w:r>
      <w:r w:rsidR="005678AA">
        <w:rPr>
          <w:rFonts w:ascii="Arial" w:hAnsi="Arial" w:cs="Arial"/>
          <w:i w:val="0"/>
          <w:szCs w:val="24"/>
        </w:rPr>
        <w:t xml:space="preserve">d worldwide spread of COVID-19 and </w:t>
      </w:r>
      <w:r w:rsidR="005678AA" w:rsidRPr="005678AA">
        <w:rPr>
          <w:rFonts w:ascii="Arial" w:hAnsi="Arial" w:cs="Arial"/>
          <w:i w:val="0"/>
          <w:szCs w:val="24"/>
        </w:rPr>
        <w:t xml:space="preserve">its significant progression </w:t>
      </w:r>
      <w:r w:rsidR="005678AA">
        <w:rPr>
          <w:rFonts w:ascii="Arial" w:hAnsi="Arial" w:cs="Arial"/>
          <w:i w:val="0"/>
          <w:szCs w:val="24"/>
        </w:rPr>
        <w:t>throughout the county and in Washington state</w:t>
      </w:r>
      <w:r w:rsidR="005678AA" w:rsidRPr="005678AA">
        <w:rPr>
          <w:rFonts w:ascii="Arial" w:hAnsi="Arial" w:cs="Arial"/>
          <w:i w:val="0"/>
          <w:szCs w:val="24"/>
        </w:rPr>
        <w:t>, on March 23, 2020, Governor</w:t>
      </w:r>
      <w:r w:rsidR="005678AA">
        <w:rPr>
          <w:rFonts w:ascii="Arial" w:hAnsi="Arial" w:cs="Arial"/>
          <w:i w:val="0"/>
          <w:szCs w:val="24"/>
        </w:rPr>
        <w:t xml:space="preserve"> Inslee</w:t>
      </w:r>
      <w:r w:rsidR="005678AA" w:rsidRPr="005678AA">
        <w:rPr>
          <w:rFonts w:ascii="Arial" w:hAnsi="Arial" w:cs="Arial"/>
          <w:i w:val="0"/>
          <w:szCs w:val="24"/>
        </w:rPr>
        <w:t xml:space="preserve"> issued a "Stay Home - Stay Healthy" order prohibiting, with limited exceptions, all people in Washington state from leaving their homes or participating in gatherings and required all nonessential businesses in </w:t>
      </w:r>
      <w:r w:rsidR="005678AA">
        <w:rPr>
          <w:rFonts w:ascii="Arial" w:hAnsi="Arial" w:cs="Arial"/>
          <w:i w:val="0"/>
          <w:szCs w:val="24"/>
        </w:rPr>
        <w:t>the state</w:t>
      </w:r>
      <w:r w:rsidR="005678AA" w:rsidRPr="005678AA">
        <w:rPr>
          <w:rFonts w:ascii="Arial" w:hAnsi="Arial" w:cs="Arial"/>
          <w:i w:val="0"/>
          <w:szCs w:val="24"/>
        </w:rPr>
        <w:t xml:space="preserve"> to cease operations except </w:t>
      </w:r>
      <w:r w:rsidR="004556C2">
        <w:rPr>
          <w:rFonts w:ascii="Arial" w:hAnsi="Arial" w:cs="Arial"/>
          <w:i w:val="0"/>
          <w:szCs w:val="24"/>
        </w:rPr>
        <w:t>to</w:t>
      </w:r>
      <w:r w:rsidR="005678AA" w:rsidRPr="005678AA">
        <w:rPr>
          <w:rFonts w:ascii="Arial" w:hAnsi="Arial" w:cs="Arial"/>
          <w:i w:val="0"/>
          <w:szCs w:val="24"/>
        </w:rPr>
        <w:t xml:space="preserve"> perfor</w:t>
      </w:r>
      <w:r w:rsidR="004556C2">
        <w:rPr>
          <w:rFonts w:ascii="Arial" w:hAnsi="Arial" w:cs="Arial"/>
          <w:i w:val="0"/>
          <w:szCs w:val="24"/>
        </w:rPr>
        <w:t>m</w:t>
      </w:r>
      <w:r w:rsidR="005678AA">
        <w:rPr>
          <w:rFonts w:ascii="Arial" w:hAnsi="Arial" w:cs="Arial"/>
          <w:i w:val="0"/>
          <w:szCs w:val="24"/>
        </w:rPr>
        <w:t xml:space="preserve"> basic minimal operations. </w:t>
      </w:r>
      <w:r w:rsidR="005678AA" w:rsidRPr="005678AA">
        <w:rPr>
          <w:rFonts w:ascii="Arial" w:hAnsi="Arial" w:cs="Arial"/>
          <w:i w:val="0"/>
          <w:szCs w:val="24"/>
        </w:rPr>
        <w:t>On May 31, 2020, the Governor</w:t>
      </w:r>
      <w:r w:rsidR="005678AA">
        <w:rPr>
          <w:rFonts w:ascii="Arial" w:hAnsi="Arial" w:cs="Arial"/>
          <w:i w:val="0"/>
          <w:szCs w:val="24"/>
        </w:rPr>
        <w:t xml:space="preserve"> </w:t>
      </w:r>
      <w:r w:rsidR="005678AA" w:rsidRPr="005678AA">
        <w:rPr>
          <w:rFonts w:ascii="Arial" w:hAnsi="Arial" w:cs="Arial"/>
          <w:i w:val="0"/>
          <w:szCs w:val="24"/>
        </w:rPr>
        <w:t xml:space="preserve">amended the "Stay Home - Stay Healthy" </w:t>
      </w:r>
      <w:r w:rsidR="005678AA">
        <w:rPr>
          <w:rFonts w:ascii="Arial" w:hAnsi="Arial" w:cs="Arial"/>
          <w:i w:val="0"/>
          <w:szCs w:val="24"/>
        </w:rPr>
        <w:t>order</w:t>
      </w:r>
      <w:r w:rsidR="005678AA" w:rsidRPr="005678AA">
        <w:rPr>
          <w:rFonts w:ascii="Arial" w:hAnsi="Arial" w:cs="Arial"/>
          <w:i w:val="0"/>
          <w:szCs w:val="24"/>
        </w:rPr>
        <w:t xml:space="preserve"> and renamed it the "Safe Star</w:t>
      </w:r>
      <w:r w:rsidR="005678AA">
        <w:rPr>
          <w:rFonts w:ascii="Arial" w:hAnsi="Arial" w:cs="Arial"/>
          <w:i w:val="0"/>
          <w:szCs w:val="24"/>
        </w:rPr>
        <w:t xml:space="preserve">t - Stay Healthy" proclamation which deferred the reopening to a phased approach for each county </w:t>
      </w:r>
      <w:r w:rsidR="004556C2">
        <w:rPr>
          <w:rFonts w:ascii="Arial" w:hAnsi="Arial" w:cs="Arial"/>
          <w:i w:val="0"/>
          <w:szCs w:val="24"/>
        </w:rPr>
        <w:t xml:space="preserve">which would be determined by </w:t>
      </w:r>
      <w:r w:rsidR="005678AA">
        <w:rPr>
          <w:rFonts w:ascii="Arial" w:hAnsi="Arial" w:cs="Arial"/>
          <w:i w:val="0"/>
          <w:szCs w:val="24"/>
        </w:rPr>
        <w:t xml:space="preserve">the trending of COVID-19 infections. King County is currently in </w:t>
      </w:r>
      <w:r w:rsidR="00C5221F">
        <w:rPr>
          <w:rFonts w:ascii="Arial" w:hAnsi="Arial" w:cs="Arial"/>
          <w:i w:val="0"/>
          <w:szCs w:val="24"/>
        </w:rPr>
        <w:t>P</w:t>
      </w:r>
      <w:r w:rsidR="004556C2">
        <w:rPr>
          <w:rFonts w:ascii="Arial" w:hAnsi="Arial" w:cs="Arial"/>
          <w:i w:val="0"/>
          <w:szCs w:val="24"/>
        </w:rPr>
        <w:t xml:space="preserve">hase 2 of the 4-Phase approach. Phase 2 </w:t>
      </w:r>
      <w:r w:rsidR="00C5221F">
        <w:rPr>
          <w:rFonts w:ascii="Arial" w:hAnsi="Arial" w:cs="Arial"/>
          <w:i w:val="0"/>
          <w:szCs w:val="24"/>
        </w:rPr>
        <w:t>limits occupancy of many e</w:t>
      </w:r>
      <w:r w:rsidR="00C437B3">
        <w:rPr>
          <w:rFonts w:ascii="Arial" w:hAnsi="Arial" w:cs="Arial"/>
          <w:i w:val="0"/>
          <w:szCs w:val="24"/>
        </w:rPr>
        <w:t>stablishments to 25% and limit gatherings to 5 people outside the household.</w:t>
      </w:r>
    </w:p>
    <w:p w14:paraId="6A18D980" w14:textId="52246437" w:rsidR="005678AA" w:rsidRDefault="005678AA" w:rsidP="005678AA">
      <w:pPr>
        <w:pStyle w:val="BodyText"/>
        <w:spacing w:line="264" w:lineRule="auto"/>
        <w:jc w:val="both"/>
        <w:rPr>
          <w:rFonts w:ascii="Arial" w:hAnsi="Arial" w:cs="Arial"/>
          <w:i w:val="0"/>
          <w:szCs w:val="24"/>
        </w:rPr>
      </w:pPr>
    </w:p>
    <w:p w14:paraId="671F768A" w14:textId="05D4DB36" w:rsidR="004070CC" w:rsidRDefault="005678AA" w:rsidP="005678AA">
      <w:pPr>
        <w:pStyle w:val="BodyText"/>
        <w:spacing w:line="264" w:lineRule="auto"/>
        <w:jc w:val="both"/>
        <w:rPr>
          <w:rFonts w:ascii="Arial" w:hAnsi="Arial" w:cs="Arial"/>
          <w:i w:val="0"/>
          <w:szCs w:val="24"/>
        </w:rPr>
      </w:pPr>
      <w:r>
        <w:rPr>
          <w:rFonts w:ascii="Arial" w:hAnsi="Arial" w:cs="Arial"/>
          <w:i w:val="0"/>
          <w:szCs w:val="24"/>
        </w:rPr>
        <w:t>These</w:t>
      </w:r>
      <w:r w:rsidRPr="005678AA">
        <w:rPr>
          <w:rFonts w:ascii="Arial" w:hAnsi="Arial" w:cs="Arial"/>
          <w:i w:val="0"/>
          <w:szCs w:val="24"/>
        </w:rPr>
        <w:t xml:space="preserve"> preventative measures necessitated by the pandemic</w:t>
      </w:r>
      <w:r w:rsidR="00C437B3">
        <w:rPr>
          <w:rFonts w:ascii="Arial" w:hAnsi="Arial" w:cs="Arial"/>
          <w:i w:val="0"/>
          <w:szCs w:val="24"/>
        </w:rPr>
        <w:t xml:space="preserve"> </w:t>
      </w:r>
      <w:r>
        <w:rPr>
          <w:rFonts w:ascii="Arial" w:hAnsi="Arial" w:cs="Arial"/>
          <w:i w:val="0"/>
          <w:szCs w:val="24"/>
        </w:rPr>
        <w:t xml:space="preserve">have resulted in </w:t>
      </w:r>
      <w:r w:rsidR="00C5221F">
        <w:rPr>
          <w:rFonts w:ascii="Arial" w:hAnsi="Arial" w:cs="Arial"/>
          <w:i w:val="0"/>
          <w:szCs w:val="24"/>
        </w:rPr>
        <w:t>a recession i</w:t>
      </w:r>
      <w:r w:rsidRPr="005678AA">
        <w:rPr>
          <w:rFonts w:ascii="Arial" w:hAnsi="Arial" w:cs="Arial"/>
          <w:i w:val="0"/>
          <w:szCs w:val="24"/>
        </w:rPr>
        <w:t xml:space="preserve">n </w:t>
      </w:r>
      <w:r>
        <w:rPr>
          <w:rFonts w:ascii="Arial" w:hAnsi="Arial" w:cs="Arial"/>
          <w:i w:val="0"/>
          <w:szCs w:val="24"/>
        </w:rPr>
        <w:t>the county</w:t>
      </w:r>
      <w:r w:rsidR="00C5221F">
        <w:rPr>
          <w:rFonts w:ascii="Arial" w:hAnsi="Arial" w:cs="Arial"/>
          <w:i w:val="0"/>
          <w:szCs w:val="24"/>
        </w:rPr>
        <w:t xml:space="preserve">, Washington State and throughout the </w:t>
      </w:r>
      <w:r w:rsidR="008836DB">
        <w:rPr>
          <w:rFonts w:ascii="Arial" w:hAnsi="Arial" w:cs="Arial"/>
          <w:i w:val="0"/>
          <w:szCs w:val="24"/>
        </w:rPr>
        <w:t>country</w:t>
      </w:r>
      <w:r w:rsidR="00C5221F">
        <w:rPr>
          <w:rFonts w:ascii="Arial" w:hAnsi="Arial" w:cs="Arial"/>
          <w:i w:val="0"/>
          <w:szCs w:val="24"/>
        </w:rPr>
        <w:t xml:space="preserve">. The executive’s proposed budget book characterizes the recession as the deepest since the Great Depression. </w:t>
      </w:r>
      <w:r w:rsidR="00C437B3">
        <w:rPr>
          <w:rFonts w:ascii="Arial" w:hAnsi="Arial" w:cs="Arial"/>
          <w:i w:val="0"/>
          <w:szCs w:val="24"/>
        </w:rPr>
        <w:t xml:space="preserve">According to the Office of </w:t>
      </w:r>
      <w:r w:rsidR="00C5221F">
        <w:rPr>
          <w:rFonts w:ascii="Arial" w:hAnsi="Arial" w:cs="Arial"/>
          <w:i w:val="0"/>
          <w:szCs w:val="24"/>
        </w:rPr>
        <w:t>Economic and Financial Analysis (OEFA)</w:t>
      </w:r>
      <w:r w:rsidR="00C437B3">
        <w:rPr>
          <w:rFonts w:ascii="Arial" w:hAnsi="Arial" w:cs="Arial"/>
          <w:i w:val="0"/>
          <w:szCs w:val="24"/>
        </w:rPr>
        <w:t xml:space="preserve">, the unemployment rate peaked to 14.9% in April and the latest data from the State’s </w:t>
      </w:r>
      <w:r w:rsidR="00C437B3">
        <w:rPr>
          <w:rFonts w:ascii="Arial" w:hAnsi="Arial" w:cs="Arial"/>
          <w:i w:val="0"/>
          <w:szCs w:val="24"/>
        </w:rPr>
        <w:lastRenderedPageBreak/>
        <w:t xml:space="preserve">Employment Security Department showed unemployment rate at 7.2% for August. In comparison, the unemployment rate during the peak of the 2008 Great Recession was just below 10.0%. The executive’s proposed 2021-2022 Biennial Budget is based on OEFA’s August 2020 revenue forecasts. The following highlights </w:t>
      </w:r>
      <w:r w:rsidR="009A44F9">
        <w:rPr>
          <w:rFonts w:ascii="Arial" w:hAnsi="Arial" w:cs="Arial"/>
          <w:i w:val="0"/>
          <w:szCs w:val="24"/>
        </w:rPr>
        <w:t>key indicators from</w:t>
      </w:r>
      <w:r w:rsidR="008836DB">
        <w:rPr>
          <w:rFonts w:ascii="Arial" w:hAnsi="Arial" w:cs="Arial"/>
          <w:i w:val="0"/>
          <w:szCs w:val="24"/>
        </w:rPr>
        <w:t xml:space="preserve"> the</w:t>
      </w:r>
      <w:r w:rsidR="009A44F9">
        <w:rPr>
          <w:rFonts w:ascii="Arial" w:hAnsi="Arial" w:cs="Arial"/>
          <w:i w:val="0"/>
          <w:szCs w:val="24"/>
        </w:rPr>
        <w:t xml:space="preserve"> forecast and its impacts to county revenues</w:t>
      </w:r>
      <w:r w:rsidR="00FF281B">
        <w:rPr>
          <w:rFonts w:ascii="Arial" w:hAnsi="Arial" w:cs="Arial"/>
          <w:i w:val="0"/>
          <w:szCs w:val="24"/>
        </w:rPr>
        <w:t xml:space="preserve"> for the 2021-2022 biennium</w:t>
      </w:r>
      <w:r w:rsidR="009A44F9">
        <w:rPr>
          <w:rFonts w:ascii="Arial" w:hAnsi="Arial" w:cs="Arial"/>
          <w:i w:val="0"/>
          <w:szCs w:val="24"/>
        </w:rPr>
        <w:t>:</w:t>
      </w:r>
    </w:p>
    <w:p w14:paraId="47C1158B" w14:textId="77777777" w:rsidR="004070CC" w:rsidRDefault="004070CC" w:rsidP="005678AA">
      <w:pPr>
        <w:pStyle w:val="BodyText"/>
        <w:spacing w:line="264" w:lineRule="auto"/>
        <w:jc w:val="both"/>
        <w:rPr>
          <w:rFonts w:ascii="Arial" w:hAnsi="Arial" w:cs="Arial"/>
          <w:i w:val="0"/>
          <w:szCs w:val="24"/>
        </w:rPr>
      </w:pPr>
    </w:p>
    <w:p w14:paraId="5325FFE9" w14:textId="7FEC9C1D" w:rsidR="00D8130F" w:rsidRDefault="00A90D1C" w:rsidP="00D8130F">
      <w:pPr>
        <w:pStyle w:val="BodyText"/>
        <w:numPr>
          <w:ilvl w:val="0"/>
          <w:numId w:val="45"/>
        </w:numPr>
        <w:spacing w:line="264" w:lineRule="auto"/>
        <w:jc w:val="both"/>
        <w:rPr>
          <w:rFonts w:ascii="Arial" w:hAnsi="Arial" w:cs="Arial"/>
          <w:i w:val="0"/>
          <w:szCs w:val="24"/>
        </w:rPr>
      </w:pPr>
      <w:r w:rsidRPr="00A90D1C">
        <w:rPr>
          <w:rFonts w:ascii="Arial" w:hAnsi="Arial" w:cs="Arial"/>
          <w:b/>
          <w:i w:val="0"/>
          <w:szCs w:val="24"/>
        </w:rPr>
        <w:t>Countywide Assessed Value</w:t>
      </w:r>
      <w:r w:rsidR="00D8130F">
        <w:rPr>
          <w:rFonts w:ascii="Arial" w:hAnsi="Arial" w:cs="Arial"/>
          <w:b/>
          <w:i w:val="0"/>
          <w:szCs w:val="24"/>
        </w:rPr>
        <w:t xml:space="preserve"> and New Construction</w:t>
      </w:r>
      <w:r>
        <w:rPr>
          <w:rFonts w:ascii="Arial" w:hAnsi="Arial" w:cs="Arial"/>
          <w:i w:val="0"/>
          <w:szCs w:val="24"/>
        </w:rPr>
        <w:t xml:space="preserve"> – </w:t>
      </w:r>
      <w:r w:rsidR="00D8130F">
        <w:rPr>
          <w:rFonts w:ascii="Arial" w:hAnsi="Arial" w:cs="Arial"/>
          <w:i w:val="0"/>
          <w:szCs w:val="24"/>
        </w:rPr>
        <w:t xml:space="preserve">For countywide assessed value, </w:t>
      </w:r>
      <w:r w:rsidR="008836DB">
        <w:rPr>
          <w:rFonts w:ascii="Arial" w:hAnsi="Arial" w:cs="Arial"/>
          <w:i w:val="0"/>
          <w:szCs w:val="24"/>
        </w:rPr>
        <w:t xml:space="preserve">there is </w:t>
      </w:r>
      <w:r w:rsidR="000B3F72">
        <w:rPr>
          <w:rFonts w:ascii="Arial" w:hAnsi="Arial" w:cs="Arial"/>
          <w:i w:val="0"/>
          <w:szCs w:val="24"/>
        </w:rPr>
        <w:t xml:space="preserve">an </w:t>
      </w:r>
      <w:r w:rsidR="008836DB">
        <w:rPr>
          <w:rFonts w:ascii="Arial" w:hAnsi="Arial" w:cs="Arial"/>
          <w:i w:val="0"/>
          <w:szCs w:val="24"/>
        </w:rPr>
        <w:t xml:space="preserve">estimated </w:t>
      </w:r>
      <w:r>
        <w:rPr>
          <w:rFonts w:ascii="Arial" w:hAnsi="Arial" w:cs="Arial"/>
          <w:i w:val="0"/>
          <w:szCs w:val="24"/>
        </w:rPr>
        <w:t xml:space="preserve">6.0% growth in 2020 </w:t>
      </w:r>
      <w:r w:rsidR="008836DB">
        <w:rPr>
          <w:rFonts w:ascii="Arial" w:hAnsi="Arial" w:cs="Arial"/>
          <w:i w:val="0"/>
          <w:szCs w:val="24"/>
        </w:rPr>
        <w:t>which is lower than the</w:t>
      </w:r>
      <w:r>
        <w:rPr>
          <w:rFonts w:ascii="Arial" w:hAnsi="Arial" w:cs="Arial"/>
          <w:i w:val="0"/>
          <w:szCs w:val="24"/>
        </w:rPr>
        <w:t xml:space="preserve"> 13.4% per year growth </w:t>
      </w:r>
      <w:r w:rsidR="000B3F72">
        <w:rPr>
          <w:rFonts w:ascii="Arial" w:hAnsi="Arial" w:cs="Arial"/>
          <w:i w:val="0"/>
          <w:szCs w:val="24"/>
        </w:rPr>
        <w:t>for</w:t>
      </w:r>
      <w:r>
        <w:rPr>
          <w:rFonts w:ascii="Arial" w:hAnsi="Arial" w:cs="Arial"/>
          <w:i w:val="0"/>
          <w:szCs w:val="24"/>
        </w:rPr>
        <w:t xml:space="preserve"> </w:t>
      </w:r>
      <w:r w:rsidR="008836DB">
        <w:rPr>
          <w:rFonts w:ascii="Arial" w:hAnsi="Arial" w:cs="Arial"/>
          <w:i w:val="0"/>
          <w:szCs w:val="24"/>
        </w:rPr>
        <w:t xml:space="preserve">both </w:t>
      </w:r>
      <w:r>
        <w:rPr>
          <w:rFonts w:ascii="Arial" w:hAnsi="Arial" w:cs="Arial"/>
          <w:i w:val="0"/>
          <w:szCs w:val="24"/>
        </w:rPr>
        <w:t xml:space="preserve">2018 and 2019. </w:t>
      </w:r>
      <w:r w:rsidR="008836DB">
        <w:rPr>
          <w:rFonts w:ascii="Arial" w:hAnsi="Arial" w:cs="Arial"/>
          <w:i w:val="0"/>
          <w:szCs w:val="24"/>
        </w:rPr>
        <w:t>This is co</w:t>
      </w:r>
      <w:r>
        <w:rPr>
          <w:rFonts w:ascii="Arial" w:hAnsi="Arial" w:cs="Arial"/>
          <w:i w:val="0"/>
          <w:szCs w:val="24"/>
        </w:rPr>
        <w:t xml:space="preserve">mpounded </w:t>
      </w:r>
      <w:r w:rsidR="008836DB">
        <w:rPr>
          <w:rFonts w:ascii="Arial" w:hAnsi="Arial" w:cs="Arial"/>
          <w:i w:val="0"/>
          <w:szCs w:val="24"/>
        </w:rPr>
        <w:t xml:space="preserve">by a </w:t>
      </w:r>
      <w:r>
        <w:rPr>
          <w:rFonts w:ascii="Arial" w:hAnsi="Arial" w:cs="Arial"/>
          <w:i w:val="0"/>
          <w:szCs w:val="24"/>
        </w:rPr>
        <w:t xml:space="preserve">2.0% growth in 2021 and </w:t>
      </w:r>
      <w:r w:rsidR="008836DB">
        <w:rPr>
          <w:rFonts w:ascii="Arial" w:hAnsi="Arial" w:cs="Arial"/>
          <w:i w:val="0"/>
          <w:szCs w:val="24"/>
        </w:rPr>
        <w:t xml:space="preserve">a </w:t>
      </w:r>
      <w:r w:rsidR="00D8130F">
        <w:rPr>
          <w:rFonts w:ascii="Arial" w:hAnsi="Arial" w:cs="Arial"/>
          <w:i w:val="0"/>
          <w:szCs w:val="24"/>
        </w:rPr>
        <w:t xml:space="preserve">2.0% </w:t>
      </w:r>
      <w:r w:rsidR="00D8130F" w:rsidRPr="008836DB">
        <w:rPr>
          <w:rFonts w:ascii="Arial" w:hAnsi="Arial" w:cs="Arial"/>
          <w:i w:val="0"/>
          <w:szCs w:val="24"/>
          <w:u w:val="single"/>
        </w:rPr>
        <w:t>decline</w:t>
      </w:r>
      <w:r w:rsidR="00D8130F">
        <w:rPr>
          <w:rFonts w:ascii="Arial" w:hAnsi="Arial" w:cs="Arial"/>
          <w:i w:val="0"/>
          <w:szCs w:val="24"/>
        </w:rPr>
        <w:t xml:space="preserve"> in 2022. For new construction, </w:t>
      </w:r>
      <w:r w:rsidR="008836DB">
        <w:rPr>
          <w:rFonts w:ascii="Arial" w:hAnsi="Arial" w:cs="Arial"/>
          <w:i w:val="0"/>
          <w:szCs w:val="24"/>
        </w:rPr>
        <w:t>there is an estimated</w:t>
      </w:r>
      <w:r w:rsidR="00D8130F">
        <w:rPr>
          <w:rFonts w:ascii="Arial" w:hAnsi="Arial" w:cs="Arial"/>
          <w:i w:val="0"/>
          <w:szCs w:val="24"/>
        </w:rPr>
        <w:t xml:space="preserve"> </w:t>
      </w:r>
      <w:r w:rsidRPr="00D8130F">
        <w:rPr>
          <w:rFonts w:ascii="Arial" w:hAnsi="Arial" w:cs="Arial"/>
          <w:i w:val="0"/>
          <w:szCs w:val="24"/>
        </w:rPr>
        <w:t xml:space="preserve">4.6% </w:t>
      </w:r>
      <w:r w:rsidRPr="000B3F72">
        <w:rPr>
          <w:rFonts w:ascii="Arial" w:hAnsi="Arial" w:cs="Arial"/>
          <w:i w:val="0"/>
          <w:szCs w:val="24"/>
          <w:u w:val="single"/>
        </w:rPr>
        <w:t>decline</w:t>
      </w:r>
      <w:r w:rsidRPr="00D8130F">
        <w:rPr>
          <w:rFonts w:ascii="Arial" w:hAnsi="Arial" w:cs="Arial"/>
          <w:i w:val="0"/>
          <w:szCs w:val="24"/>
        </w:rPr>
        <w:t xml:space="preserve"> in 2020 compared to double digit growth </w:t>
      </w:r>
      <w:r w:rsidR="008836DB">
        <w:rPr>
          <w:rFonts w:ascii="Arial" w:hAnsi="Arial" w:cs="Arial"/>
          <w:i w:val="0"/>
          <w:szCs w:val="24"/>
        </w:rPr>
        <w:t>per year over the last six</w:t>
      </w:r>
      <w:r w:rsidRPr="00D8130F">
        <w:rPr>
          <w:rFonts w:ascii="Arial" w:hAnsi="Arial" w:cs="Arial"/>
          <w:i w:val="0"/>
          <w:szCs w:val="24"/>
        </w:rPr>
        <w:t xml:space="preserve"> years. </w:t>
      </w:r>
      <w:r w:rsidR="008836DB">
        <w:rPr>
          <w:rFonts w:ascii="Arial" w:hAnsi="Arial" w:cs="Arial"/>
          <w:i w:val="0"/>
          <w:szCs w:val="24"/>
        </w:rPr>
        <w:t>This is c</w:t>
      </w:r>
      <w:r w:rsidR="009A44F9" w:rsidRPr="00D8130F">
        <w:rPr>
          <w:rFonts w:ascii="Arial" w:hAnsi="Arial" w:cs="Arial"/>
          <w:i w:val="0"/>
          <w:szCs w:val="24"/>
        </w:rPr>
        <w:t xml:space="preserve">ompounded with a </w:t>
      </w:r>
      <w:r w:rsidRPr="00D8130F">
        <w:rPr>
          <w:rFonts w:ascii="Arial" w:hAnsi="Arial" w:cs="Arial"/>
          <w:i w:val="0"/>
          <w:szCs w:val="24"/>
        </w:rPr>
        <w:t>26.8%</w:t>
      </w:r>
      <w:r w:rsidR="009A44F9" w:rsidRPr="00D8130F">
        <w:rPr>
          <w:rFonts w:ascii="Arial" w:hAnsi="Arial" w:cs="Arial"/>
          <w:i w:val="0"/>
          <w:szCs w:val="24"/>
        </w:rPr>
        <w:t xml:space="preserve"> </w:t>
      </w:r>
      <w:r w:rsidR="009A44F9" w:rsidRPr="008836DB">
        <w:rPr>
          <w:rFonts w:ascii="Arial" w:hAnsi="Arial" w:cs="Arial"/>
          <w:i w:val="0"/>
          <w:szCs w:val="24"/>
          <w:u w:val="single"/>
        </w:rPr>
        <w:t>decline</w:t>
      </w:r>
      <w:r w:rsidR="009A44F9" w:rsidRPr="00D8130F">
        <w:rPr>
          <w:rFonts w:ascii="Arial" w:hAnsi="Arial" w:cs="Arial"/>
          <w:i w:val="0"/>
          <w:szCs w:val="24"/>
        </w:rPr>
        <w:t xml:space="preserve"> in 2021 and a further </w:t>
      </w:r>
      <w:r w:rsidRPr="00D8130F">
        <w:rPr>
          <w:rFonts w:ascii="Arial" w:hAnsi="Arial" w:cs="Arial"/>
          <w:i w:val="0"/>
          <w:szCs w:val="24"/>
        </w:rPr>
        <w:t xml:space="preserve">9.4% </w:t>
      </w:r>
      <w:r w:rsidRPr="008836DB">
        <w:rPr>
          <w:rFonts w:ascii="Arial" w:hAnsi="Arial" w:cs="Arial"/>
          <w:i w:val="0"/>
          <w:szCs w:val="24"/>
          <w:u w:val="single"/>
        </w:rPr>
        <w:t>decline</w:t>
      </w:r>
      <w:r w:rsidRPr="00D8130F">
        <w:rPr>
          <w:rFonts w:ascii="Arial" w:hAnsi="Arial" w:cs="Arial"/>
          <w:i w:val="0"/>
          <w:szCs w:val="24"/>
        </w:rPr>
        <w:t xml:space="preserve"> in 2022. Most of th</w:t>
      </w:r>
      <w:r w:rsidR="00D8130F">
        <w:rPr>
          <w:rFonts w:ascii="Arial" w:hAnsi="Arial" w:cs="Arial"/>
          <w:i w:val="0"/>
          <w:szCs w:val="24"/>
        </w:rPr>
        <w:t>e decline i</w:t>
      </w:r>
      <w:r w:rsidR="008D0E0D">
        <w:rPr>
          <w:rFonts w:ascii="Arial" w:hAnsi="Arial" w:cs="Arial"/>
          <w:i w:val="0"/>
          <w:szCs w:val="24"/>
        </w:rPr>
        <w:t>s i</w:t>
      </w:r>
      <w:r w:rsidR="00D8130F">
        <w:rPr>
          <w:rFonts w:ascii="Arial" w:hAnsi="Arial" w:cs="Arial"/>
          <w:i w:val="0"/>
          <w:szCs w:val="24"/>
        </w:rPr>
        <w:t xml:space="preserve">n new </w:t>
      </w:r>
      <w:r w:rsidR="008D0E0D">
        <w:rPr>
          <w:rFonts w:ascii="Arial" w:hAnsi="Arial" w:cs="Arial"/>
          <w:i w:val="0"/>
          <w:szCs w:val="24"/>
        </w:rPr>
        <w:t xml:space="preserve">commercial </w:t>
      </w:r>
      <w:r w:rsidR="00D8130F">
        <w:rPr>
          <w:rFonts w:ascii="Arial" w:hAnsi="Arial" w:cs="Arial"/>
          <w:i w:val="0"/>
          <w:szCs w:val="24"/>
        </w:rPr>
        <w:t>construction</w:t>
      </w:r>
      <w:r w:rsidR="008D0E0D">
        <w:rPr>
          <w:rFonts w:ascii="Arial" w:hAnsi="Arial" w:cs="Arial"/>
          <w:i w:val="0"/>
          <w:szCs w:val="24"/>
        </w:rPr>
        <w:t>. As a result, the impacts to key county revenues for the 2021-2022 biennium are as follows:</w:t>
      </w:r>
    </w:p>
    <w:p w14:paraId="764E2F58" w14:textId="5429EDE6" w:rsidR="00D8130F" w:rsidRPr="00D8130F" w:rsidRDefault="00D8130F" w:rsidP="00D8130F">
      <w:pPr>
        <w:pStyle w:val="BodyText"/>
        <w:numPr>
          <w:ilvl w:val="1"/>
          <w:numId w:val="45"/>
        </w:numPr>
        <w:spacing w:line="264" w:lineRule="auto"/>
        <w:jc w:val="both"/>
        <w:rPr>
          <w:rFonts w:ascii="Arial" w:hAnsi="Arial" w:cs="Arial"/>
          <w:i w:val="0"/>
          <w:szCs w:val="24"/>
        </w:rPr>
      </w:pPr>
      <w:r w:rsidRPr="00D8130F">
        <w:rPr>
          <w:rFonts w:ascii="Arial" w:hAnsi="Arial" w:cs="Arial"/>
          <w:i w:val="0"/>
          <w:szCs w:val="24"/>
        </w:rPr>
        <w:t xml:space="preserve">Average 2.0% growth in </w:t>
      </w:r>
      <w:r w:rsidR="00C41C5A">
        <w:rPr>
          <w:rFonts w:ascii="Arial" w:hAnsi="Arial" w:cs="Arial"/>
          <w:i w:val="0"/>
          <w:szCs w:val="24"/>
        </w:rPr>
        <w:t>General Fund revenues.</w:t>
      </w:r>
    </w:p>
    <w:p w14:paraId="6C7259B0" w14:textId="5C05C412" w:rsidR="00D8130F" w:rsidRDefault="00C41C5A" w:rsidP="00D8130F">
      <w:pPr>
        <w:pStyle w:val="BodyText"/>
        <w:numPr>
          <w:ilvl w:val="1"/>
          <w:numId w:val="45"/>
        </w:numPr>
        <w:spacing w:line="264" w:lineRule="auto"/>
        <w:jc w:val="both"/>
        <w:rPr>
          <w:rFonts w:ascii="Arial" w:hAnsi="Arial" w:cs="Arial"/>
          <w:i w:val="0"/>
          <w:szCs w:val="24"/>
        </w:rPr>
      </w:pPr>
      <w:r>
        <w:rPr>
          <w:rFonts w:ascii="Arial" w:hAnsi="Arial" w:cs="Arial"/>
          <w:i w:val="0"/>
          <w:szCs w:val="24"/>
        </w:rPr>
        <w:t>Average 4.0% growth in Parks Levy revenues.</w:t>
      </w:r>
    </w:p>
    <w:p w14:paraId="643FCEC3" w14:textId="00D506BB" w:rsidR="00C41C5A" w:rsidRDefault="008D0E0D" w:rsidP="00D8130F">
      <w:pPr>
        <w:pStyle w:val="BodyText"/>
        <w:numPr>
          <w:ilvl w:val="1"/>
          <w:numId w:val="45"/>
        </w:numPr>
        <w:spacing w:line="264" w:lineRule="auto"/>
        <w:jc w:val="both"/>
        <w:rPr>
          <w:rFonts w:ascii="Arial" w:hAnsi="Arial" w:cs="Arial"/>
          <w:i w:val="0"/>
          <w:szCs w:val="24"/>
        </w:rPr>
      </w:pPr>
      <w:r>
        <w:rPr>
          <w:rFonts w:ascii="Arial" w:hAnsi="Arial" w:cs="Arial"/>
          <w:i w:val="0"/>
          <w:szCs w:val="24"/>
        </w:rPr>
        <w:t xml:space="preserve">Average </w:t>
      </w:r>
      <w:r w:rsidR="00C41C5A">
        <w:rPr>
          <w:rFonts w:ascii="Arial" w:hAnsi="Arial" w:cs="Arial"/>
          <w:i w:val="0"/>
          <w:szCs w:val="24"/>
        </w:rPr>
        <w:t xml:space="preserve">4.8% growth in Veteran, Seniors and Human Services </w:t>
      </w:r>
      <w:r w:rsidR="00FE6AFB">
        <w:rPr>
          <w:rFonts w:ascii="Arial" w:hAnsi="Arial" w:cs="Arial"/>
          <w:i w:val="0"/>
          <w:szCs w:val="24"/>
        </w:rPr>
        <w:t>L</w:t>
      </w:r>
      <w:r w:rsidR="00C41C5A">
        <w:rPr>
          <w:rFonts w:ascii="Arial" w:hAnsi="Arial" w:cs="Arial"/>
          <w:i w:val="0"/>
          <w:szCs w:val="24"/>
        </w:rPr>
        <w:t>evy</w:t>
      </w:r>
      <w:r w:rsidR="00FE6AFB">
        <w:rPr>
          <w:rFonts w:ascii="Arial" w:hAnsi="Arial" w:cs="Arial"/>
          <w:i w:val="0"/>
          <w:szCs w:val="24"/>
        </w:rPr>
        <w:t xml:space="preserve"> (VSHSL)</w:t>
      </w:r>
      <w:r w:rsidR="00C41C5A">
        <w:rPr>
          <w:rFonts w:ascii="Arial" w:hAnsi="Arial" w:cs="Arial"/>
          <w:i w:val="0"/>
          <w:szCs w:val="24"/>
        </w:rPr>
        <w:t xml:space="preserve"> revenues.</w:t>
      </w:r>
    </w:p>
    <w:p w14:paraId="1292746E" w14:textId="290ED7C3" w:rsidR="00486B5E" w:rsidRDefault="00486B5E" w:rsidP="00D8130F">
      <w:pPr>
        <w:pStyle w:val="BodyText"/>
        <w:numPr>
          <w:ilvl w:val="1"/>
          <w:numId w:val="45"/>
        </w:numPr>
        <w:spacing w:line="264" w:lineRule="auto"/>
        <w:jc w:val="both"/>
        <w:rPr>
          <w:rFonts w:ascii="Arial" w:hAnsi="Arial" w:cs="Arial"/>
          <w:i w:val="0"/>
          <w:szCs w:val="24"/>
        </w:rPr>
      </w:pPr>
      <w:r>
        <w:rPr>
          <w:rFonts w:ascii="Arial" w:hAnsi="Arial" w:cs="Arial"/>
          <w:i w:val="0"/>
          <w:szCs w:val="24"/>
        </w:rPr>
        <w:t xml:space="preserve">4.3% growth in Best Starts for Kids </w:t>
      </w:r>
      <w:r w:rsidR="008D0E0D">
        <w:rPr>
          <w:rFonts w:ascii="Arial" w:hAnsi="Arial" w:cs="Arial"/>
          <w:i w:val="0"/>
          <w:szCs w:val="24"/>
        </w:rPr>
        <w:t xml:space="preserve">(BSK) </w:t>
      </w:r>
      <w:r>
        <w:rPr>
          <w:rFonts w:ascii="Arial" w:hAnsi="Arial" w:cs="Arial"/>
          <w:i w:val="0"/>
          <w:szCs w:val="24"/>
        </w:rPr>
        <w:t>levy revenues</w:t>
      </w:r>
      <w:r w:rsidR="008D0E0D">
        <w:rPr>
          <w:rFonts w:ascii="Arial" w:hAnsi="Arial" w:cs="Arial"/>
          <w:i w:val="0"/>
          <w:szCs w:val="24"/>
        </w:rPr>
        <w:t>.</w:t>
      </w:r>
      <w:r w:rsidR="008D0E0D">
        <w:rPr>
          <w:rStyle w:val="FootnoteReference"/>
          <w:rFonts w:ascii="Arial" w:hAnsi="Arial" w:cs="Arial"/>
          <w:i w:val="0"/>
          <w:szCs w:val="24"/>
        </w:rPr>
        <w:footnoteReference w:id="2"/>
      </w:r>
    </w:p>
    <w:p w14:paraId="3A49E63A" w14:textId="3BDC9B63" w:rsidR="00486B5E" w:rsidRDefault="00486B5E" w:rsidP="00D8130F">
      <w:pPr>
        <w:pStyle w:val="BodyText"/>
        <w:numPr>
          <w:ilvl w:val="1"/>
          <w:numId w:val="45"/>
        </w:numPr>
        <w:spacing w:line="264" w:lineRule="auto"/>
        <w:jc w:val="both"/>
        <w:rPr>
          <w:rFonts w:ascii="Arial" w:hAnsi="Arial" w:cs="Arial"/>
          <w:i w:val="0"/>
          <w:szCs w:val="24"/>
        </w:rPr>
      </w:pPr>
      <w:r>
        <w:rPr>
          <w:rFonts w:ascii="Arial" w:hAnsi="Arial" w:cs="Arial"/>
          <w:i w:val="0"/>
          <w:szCs w:val="24"/>
        </w:rPr>
        <w:t>Average 2.2% growth in Conservation Futures levy revenues.</w:t>
      </w:r>
    </w:p>
    <w:p w14:paraId="59BF3991" w14:textId="51CDE5A2" w:rsidR="00486B5E" w:rsidRDefault="00486B5E" w:rsidP="00D8130F">
      <w:pPr>
        <w:pStyle w:val="BodyText"/>
        <w:numPr>
          <w:ilvl w:val="1"/>
          <w:numId w:val="45"/>
        </w:numPr>
        <w:spacing w:line="264" w:lineRule="auto"/>
        <w:jc w:val="both"/>
        <w:rPr>
          <w:rFonts w:ascii="Arial" w:hAnsi="Arial" w:cs="Arial"/>
          <w:i w:val="0"/>
          <w:szCs w:val="24"/>
        </w:rPr>
      </w:pPr>
      <w:r>
        <w:rPr>
          <w:rFonts w:ascii="Arial" w:hAnsi="Arial" w:cs="Arial"/>
          <w:i w:val="0"/>
          <w:szCs w:val="24"/>
        </w:rPr>
        <w:t>Average 1.6% growth in Roads levy revenues.</w:t>
      </w:r>
    </w:p>
    <w:p w14:paraId="280A50D8" w14:textId="62EF5091" w:rsidR="00486B5E" w:rsidRPr="00D8130F" w:rsidRDefault="00486B5E" w:rsidP="00D8130F">
      <w:pPr>
        <w:pStyle w:val="BodyText"/>
        <w:numPr>
          <w:ilvl w:val="1"/>
          <w:numId w:val="45"/>
        </w:numPr>
        <w:spacing w:line="264" w:lineRule="auto"/>
        <w:jc w:val="both"/>
        <w:rPr>
          <w:rFonts w:ascii="Arial" w:hAnsi="Arial" w:cs="Arial"/>
          <w:i w:val="0"/>
          <w:szCs w:val="24"/>
        </w:rPr>
      </w:pPr>
      <w:r>
        <w:rPr>
          <w:rFonts w:ascii="Arial" w:hAnsi="Arial" w:cs="Arial"/>
          <w:i w:val="0"/>
          <w:szCs w:val="24"/>
        </w:rPr>
        <w:t>Average 2.2% growth in Transit levy revenues.</w:t>
      </w:r>
    </w:p>
    <w:p w14:paraId="00DCBC35" w14:textId="1A80DD63" w:rsidR="004070CC" w:rsidRDefault="004070CC" w:rsidP="004070CC">
      <w:pPr>
        <w:pStyle w:val="ListParagraph0"/>
        <w:rPr>
          <w:rFonts w:ascii="Arial" w:hAnsi="Arial" w:cs="Arial"/>
          <w:i/>
        </w:rPr>
      </w:pPr>
    </w:p>
    <w:p w14:paraId="6EE25D42" w14:textId="63DCEB1F" w:rsidR="009A44F9" w:rsidRPr="009A44F9" w:rsidRDefault="004070CC" w:rsidP="009A44F9">
      <w:pPr>
        <w:pStyle w:val="BodyText"/>
        <w:numPr>
          <w:ilvl w:val="0"/>
          <w:numId w:val="45"/>
        </w:numPr>
        <w:spacing w:line="264" w:lineRule="auto"/>
        <w:jc w:val="both"/>
        <w:rPr>
          <w:rFonts w:ascii="Arial" w:hAnsi="Arial" w:cs="Arial"/>
          <w:i w:val="0"/>
          <w:szCs w:val="24"/>
        </w:rPr>
      </w:pPr>
      <w:r w:rsidRPr="009A44F9">
        <w:rPr>
          <w:rFonts w:ascii="Arial" w:hAnsi="Arial" w:cs="Arial"/>
          <w:b/>
          <w:i w:val="0"/>
          <w:szCs w:val="24"/>
        </w:rPr>
        <w:t>Sales and Use Tax</w:t>
      </w:r>
      <w:r>
        <w:rPr>
          <w:rFonts w:ascii="Arial" w:hAnsi="Arial" w:cs="Arial"/>
          <w:i w:val="0"/>
          <w:szCs w:val="24"/>
        </w:rPr>
        <w:t xml:space="preserve"> –</w:t>
      </w:r>
      <w:r w:rsidR="008D0E0D">
        <w:rPr>
          <w:rFonts w:ascii="Arial" w:hAnsi="Arial" w:cs="Arial"/>
          <w:i w:val="0"/>
          <w:szCs w:val="24"/>
        </w:rPr>
        <w:t xml:space="preserve"> A </w:t>
      </w:r>
      <w:r w:rsidR="009A44F9">
        <w:rPr>
          <w:rFonts w:ascii="Arial" w:hAnsi="Arial" w:cs="Arial"/>
          <w:i w:val="0"/>
          <w:szCs w:val="24"/>
        </w:rPr>
        <w:t xml:space="preserve">14.7% </w:t>
      </w:r>
      <w:r w:rsidR="009A44F9" w:rsidRPr="008D0E0D">
        <w:rPr>
          <w:rFonts w:ascii="Arial" w:hAnsi="Arial" w:cs="Arial"/>
          <w:i w:val="0"/>
          <w:szCs w:val="24"/>
          <w:u w:val="single"/>
        </w:rPr>
        <w:t>decline</w:t>
      </w:r>
      <w:r w:rsidR="009A44F9">
        <w:rPr>
          <w:rFonts w:ascii="Arial" w:hAnsi="Arial" w:cs="Arial"/>
          <w:i w:val="0"/>
          <w:szCs w:val="24"/>
        </w:rPr>
        <w:t xml:space="preserve"> in 2020 </w:t>
      </w:r>
      <w:r w:rsidR="008D0E0D">
        <w:rPr>
          <w:rFonts w:ascii="Arial" w:hAnsi="Arial" w:cs="Arial"/>
          <w:i w:val="0"/>
          <w:szCs w:val="24"/>
        </w:rPr>
        <w:t>with</w:t>
      </w:r>
      <w:r w:rsidR="009A44F9">
        <w:rPr>
          <w:rFonts w:ascii="Arial" w:hAnsi="Arial" w:cs="Arial"/>
          <w:i w:val="0"/>
          <w:szCs w:val="24"/>
        </w:rPr>
        <w:t xml:space="preserve"> </w:t>
      </w:r>
      <w:r w:rsidR="003233E0">
        <w:rPr>
          <w:rFonts w:ascii="Arial" w:hAnsi="Arial" w:cs="Arial"/>
          <w:i w:val="0"/>
          <w:szCs w:val="24"/>
        </w:rPr>
        <w:t>projected</w:t>
      </w:r>
      <w:r w:rsidR="009A44F9">
        <w:rPr>
          <w:rFonts w:ascii="Arial" w:hAnsi="Arial" w:cs="Arial"/>
          <w:i w:val="0"/>
          <w:szCs w:val="24"/>
        </w:rPr>
        <w:t xml:space="preserve"> </w:t>
      </w:r>
      <w:r w:rsidR="003233E0">
        <w:rPr>
          <w:rFonts w:ascii="Arial" w:hAnsi="Arial" w:cs="Arial"/>
          <w:i w:val="0"/>
          <w:szCs w:val="24"/>
        </w:rPr>
        <w:t xml:space="preserve">growth of </w:t>
      </w:r>
      <w:r w:rsidR="009A44F9">
        <w:rPr>
          <w:rFonts w:ascii="Arial" w:hAnsi="Arial" w:cs="Arial"/>
          <w:i w:val="0"/>
          <w:szCs w:val="24"/>
        </w:rPr>
        <w:t>5.9% in 2021 and 7.1% in 2022</w:t>
      </w:r>
      <w:r w:rsidR="008D0E0D">
        <w:rPr>
          <w:rFonts w:ascii="Arial" w:hAnsi="Arial" w:cs="Arial"/>
          <w:i w:val="0"/>
          <w:szCs w:val="24"/>
        </w:rPr>
        <w:t xml:space="preserve"> will result in s</w:t>
      </w:r>
      <w:r w:rsidR="009A44F9">
        <w:rPr>
          <w:rFonts w:ascii="Arial" w:hAnsi="Arial" w:cs="Arial"/>
          <w:i w:val="0"/>
          <w:szCs w:val="24"/>
        </w:rPr>
        <w:t xml:space="preserve">ales tax </w:t>
      </w:r>
      <w:r w:rsidR="008D0E0D">
        <w:rPr>
          <w:rFonts w:ascii="Arial" w:hAnsi="Arial" w:cs="Arial"/>
          <w:i w:val="0"/>
          <w:szCs w:val="24"/>
        </w:rPr>
        <w:t xml:space="preserve">revenues </w:t>
      </w:r>
      <w:r w:rsidR="009A44F9">
        <w:rPr>
          <w:rFonts w:ascii="Arial" w:hAnsi="Arial" w:cs="Arial"/>
          <w:i w:val="0"/>
          <w:szCs w:val="24"/>
        </w:rPr>
        <w:t>not r</w:t>
      </w:r>
      <w:r w:rsidR="00D8130F">
        <w:rPr>
          <w:rFonts w:ascii="Arial" w:hAnsi="Arial" w:cs="Arial"/>
          <w:i w:val="0"/>
          <w:szCs w:val="24"/>
        </w:rPr>
        <w:t>eturn</w:t>
      </w:r>
      <w:r w:rsidR="008D0E0D">
        <w:rPr>
          <w:rFonts w:ascii="Arial" w:hAnsi="Arial" w:cs="Arial"/>
          <w:i w:val="0"/>
          <w:szCs w:val="24"/>
        </w:rPr>
        <w:t>ing</w:t>
      </w:r>
      <w:r w:rsidR="00D8130F">
        <w:rPr>
          <w:rFonts w:ascii="Arial" w:hAnsi="Arial" w:cs="Arial"/>
          <w:i w:val="0"/>
          <w:szCs w:val="24"/>
        </w:rPr>
        <w:t xml:space="preserve"> to 2019 levels until 2023</w:t>
      </w:r>
      <w:r w:rsidR="008D0E0D">
        <w:rPr>
          <w:rFonts w:ascii="Arial" w:hAnsi="Arial" w:cs="Arial"/>
          <w:i w:val="0"/>
          <w:szCs w:val="24"/>
        </w:rPr>
        <w:t>. As a result, the impacts to key county revenues for the 2021-2022 biennium are as follows:</w:t>
      </w:r>
    </w:p>
    <w:p w14:paraId="4DFE7F6F" w14:textId="2D34FB2D" w:rsidR="009A44F9" w:rsidRDefault="009A44F9" w:rsidP="009A44F9">
      <w:pPr>
        <w:pStyle w:val="BodyText"/>
        <w:numPr>
          <w:ilvl w:val="1"/>
          <w:numId w:val="45"/>
        </w:numPr>
        <w:spacing w:line="264" w:lineRule="auto"/>
        <w:jc w:val="both"/>
        <w:rPr>
          <w:rFonts w:ascii="Arial" w:hAnsi="Arial" w:cs="Arial"/>
          <w:i w:val="0"/>
          <w:szCs w:val="24"/>
        </w:rPr>
      </w:pPr>
      <w:r>
        <w:rPr>
          <w:rFonts w:ascii="Arial" w:hAnsi="Arial" w:cs="Arial"/>
          <w:i w:val="0"/>
          <w:szCs w:val="24"/>
        </w:rPr>
        <w:t>$15</w:t>
      </w:r>
      <w:r w:rsidR="00411A5C">
        <w:rPr>
          <w:rFonts w:ascii="Arial" w:hAnsi="Arial" w:cs="Arial"/>
          <w:i w:val="0"/>
          <w:szCs w:val="24"/>
        </w:rPr>
        <w:t>.0</w:t>
      </w:r>
      <w:r>
        <w:rPr>
          <w:rFonts w:ascii="Arial" w:hAnsi="Arial" w:cs="Arial"/>
          <w:i w:val="0"/>
          <w:szCs w:val="24"/>
        </w:rPr>
        <w:t xml:space="preserve"> million </w:t>
      </w:r>
      <w:r w:rsidR="00411A5C">
        <w:rPr>
          <w:rFonts w:ascii="Arial" w:hAnsi="Arial" w:cs="Arial"/>
          <w:i w:val="0"/>
          <w:szCs w:val="24"/>
        </w:rPr>
        <w:t xml:space="preserve">decline </w:t>
      </w:r>
      <w:r w:rsidR="003233E0">
        <w:rPr>
          <w:rFonts w:ascii="Arial" w:hAnsi="Arial" w:cs="Arial"/>
          <w:i w:val="0"/>
          <w:szCs w:val="24"/>
        </w:rPr>
        <w:t>in</w:t>
      </w:r>
      <w:r w:rsidR="00411A5C">
        <w:rPr>
          <w:rFonts w:ascii="Arial" w:hAnsi="Arial" w:cs="Arial"/>
          <w:i w:val="0"/>
          <w:szCs w:val="24"/>
        </w:rPr>
        <w:t xml:space="preserve"> General Fund </w:t>
      </w:r>
      <w:r w:rsidR="00FF281B">
        <w:rPr>
          <w:rFonts w:ascii="Arial" w:hAnsi="Arial" w:cs="Arial"/>
          <w:i w:val="0"/>
          <w:szCs w:val="24"/>
        </w:rPr>
        <w:t>compared to 2019 revenue levels</w:t>
      </w:r>
      <w:r w:rsidR="00D8130F">
        <w:rPr>
          <w:rFonts w:ascii="Arial" w:hAnsi="Arial" w:cs="Arial"/>
          <w:i w:val="0"/>
          <w:szCs w:val="24"/>
        </w:rPr>
        <w:t>.</w:t>
      </w:r>
    </w:p>
    <w:p w14:paraId="42A488A4" w14:textId="6494AAF0" w:rsidR="009A44F9" w:rsidRDefault="00FF281B" w:rsidP="009A44F9">
      <w:pPr>
        <w:pStyle w:val="BodyText"/>
        <w:numPr>
          <w:ilvl w:val="1"/>
          <w:numId w:val="45"/>
        </w:numPr>
        <w:spacing w:line="264" w:lineRule="auto"/>
        <w:jc w:val="both"/>
        <w:rPr>
          <w:rFonts w:ascii="Arial" w:hAnsi="Arial" w:cs="Arial"/>
          <w:i w:val="0"/>
          <w:szCs w:val="24"/>
        </w:rPr>
      </w:pPr>
      <w:r>
        <w:rPr>
          <w:rFonts w:ascii="Arial" w:hAnsi="Arial" w:cs="Arial"/>
          <w:i w:val="0"/>
          <w:szCs w:val="24"/>
        </w:rPr>
        <w:t>$85</w:t>
      </w:r>
      <w:r w:rsidR="00411A5C">
        <w:rPr>
          <w:rFonts w:ascii="Arial" w:hAnsi="Arial" w:cs="Arial"/>
          <w:i w:val="0"/>
          <w:szCs w:val="24"/>
        </w:rPr>
        <w:t>.0</w:t>
      </w:r>
      <w:r>
        <w:rPr>
          <w:rFonts w:ascii="Arial" w:hAnsi="Arial" w:cs="Arial"/>
          <w:i w:val="0"/>
          <w:szCs w:val="24"/>
        </w:rPr>
        <w:t xml:space="preserve"> million decline </w:t>
      </w:r>
      <w:r w:rsidR="003233E0">
        <w:rPr>
          <w:rFonts w:ascii="Arial" w:hAnsi="Arial" w:cs="Arial"/>
          <w:i w:val="0"/>
          <w:szCs w:val="24"/>
        </w:rPr>
        <w:t xml:space="preserve">in </w:t>
      </w:r>
      <w:r>
        <w:rPr>
          <w:rFonts w:ascii="Arial" w:hAnsi="Arial" w:cs="Arial"/>
          <w:i w:val="0"/>
          <w:szCs w:val="24"/>
        </w:rPr>
        <w:t xml:space="preserve">Transit </w:t>
      </w:r>
      <w:r w:rsidR="00411A5C">
        <w:rPr>
          <w:rFonts w:ascii="Arial" w:hAnsi="Arial" w:cs="Arial"/>
          <w:i w:val="0"/>
          <w:szCs w:val="24"/>
        </w:rPr>
        <w:t>Fund compared to 2019 revenue levels</w:t>
      </w:r>
      <w:r w:rsidR="00D8130F">
        <w:rPr>
          <w:rFonts w:ascii="Arial" w:hAnsi="Arial" w:cs="Arial"/>
          <w:i w:val="0"/>
          <w:szCs w:val="24"/>
        </w:rPr>
        <w:t>.</w:t>
      </w:r>
    </w:p>
    <w:p w14:paraId="1D845BB6" w14:textId="366E9EDE" w:rsidR="00411A5C" w:rsidRPr="00D8130F" w:rsidRDefault="00411A5C" w:rsidP="00D8130F">
      <w:pPr>
        <w:pStyle w:val="BodyText"/>
        <w:numPr>
          <w:ilvl w:val="1"/>
          <w:numId w:val="45"/>
        </w:numPr>
        <w:spacing w:line="264" w:lineRule="auto"/>
        <w:jc w:val="both"/>
        <w:rPr>
          <w:rFonts w:ascii="Arial" w:hAnsi="Arial" w:cs="Arial"/>
          <w:i w:val="0"/>
          <w:szCs w:val="24"/>
        </w:rPr>
      </w:pPr>
      <w:r>
        <w:rPr>
          <w:rFonts w:ascii="Arial" w:hAnsi="Arial" w:cs="Arial"/>
          <w:i w:val="0"/>
          <w:szCs w:val="24"/>
        </w:rPr>
        <w:t>$9.5 millio</w:t>
      </w:r>
      <w:r w:rsidR="00C41C5A">
        <w:rPr>
          <w:rFonts w:ascii="Arial" w:hAnsi="Arial" w:cs="Arial"/>
          <w:i w:val="0"/>
          <w:szCs w:val="24"/>
        </w:rPr>
        <w:t xml:space="preserve">n decline </w:t>
      </w:r>
      <w:r w:rsidR="003233E0">
        <w:rPr>
          <w:rFonts w:ascii="Arial" w:hAnsi="Arial" w:cs="Arial"/>
          <w:i w:val="0"/>
          <w:szCs w:val="24"/>
        </w:rPr>
        <w:t xml:space="preserve">in </w:t>
      </w:r>
      <w:r w:rsidR="00C41C5A">
        <w:rPr>
          <w:rFonts w:ascii="Arial" w:hAnsi="Arial" w:cs="Arial"/>
          <w:i w:val="0"/>
          <w:szCs w:val="24"/>
        </w:rPr>
        <w:t>Mental Illness and Drug Dependency (MIDD)</w:t>
      </w:r>
      <w:r>
        <w:rPr>
          <w:rFonts w:ascii="Arial" w:hAnsi="Arial" w:cs="Arial"/>
          <w:i w:val="0"/>
          <w:szCs w:val="24"/>
        </w:rPr>
        <w:t xml:space="preserve"> levy fund compared to 2019 revenue levels</w:t>
      </w:r>
      <w:r w:rsidR="00D8130F">
        <w:rPr>
          <w:rFonts w:ascii="Arial" w:hAnsi="Arial" w:cs="Arial"/>
          <w:i w:val="0"/>
          <w:szCs w:val="24"/>
        </w:rPr>
        <w:t>.</w:t>
      </w:r>
    </w:p>
    <w:p w14:paraId="5CFEE483" w14:textId="77777777" w:rsidR="009A44F9" w:rsidRDefault="009A44F9" w:rsidP="009A44F9">
      <w:pPr>
        <w:pStyle w:val="ListParagraph0"/>
        <w:rPr>
          <w:rFonts w:ascii="Arial" w:hAnsi="Arial" w:cs="Arial"/>
          <w:i/>
        </w:rPr>
      </w:pPr>
    </w:p>
    <w:p w14:paraId="5B5BD4D7" w14:textId="41E09EED" w:rsidR="009A44F9" w:rsidRDefault="009A44F9" w:rsidP="00A90D1C">
      <w:pPr>
        <w:pStyle w:val="BodyText"/>
        <w:numPr>
          <w:ilvl w:val="0"/>
          <w:numId w:val="45"/>
        </w:numPr>
        <w:spacing w:line="264" w:lineRule="auto"/>
        <w:jc w:val="both"/>
        <w:rPr>
          <w:rFonts w:ascii="Arial" w:hAnsi="Arial" w:cs="Arial"/>
          <w:i w:val="0"/>
          <w:szCs w:val="24"/>
        </w:rPr>
      </w:pPr>
      <w:r w:rsidRPr="005F5356">
        <w:rPr>
          <w:rFonts w:ascii="Arial" w:hAnsi="Arial" w:cs="Arial"/>
          <w:b/>
          <w:i w:val="0"/>
          <w:szCs w:val="24"/>
        </w:rPr>
        <w:t>Lodging Tax</w:t>
      </w:r>
      <w:r>
        <w:rPr>
          <w:rFonts w:ascii="Arial" w:hAnsi="Arial" w:cs="Arial"/>
          <w:i w:val="0"/>
          <w:szCs w:val="24"/>
        </w:rPr>
        <w:t xml:space="preserve"> – </w:t>
      </w:r>
      <w:r w:rsidR="005F5356">
        <w:rPr>
          <w:rFonts w:ascii="Arial" w:hAnsi="Arial" w:cs="Arial"/>
          <w:i w:val="0"/>
          <w:szCs w:val="24"/>
        </w:rPr>
        <w:t>$27.2 million decline in revenues compared to the August 2018 OEFA forecast (</w:t>
      </w:r>
      <w:r w:rsidR="008D0E0D">
        <w:rPr>
          <w:rFonts w:ascii="Arial" w:hAnsi="Arial" w:cs="Arial"/>
          <w:i w:val="0"/>
          <w:szCs w:val="24"/>
        </w:rPr>
        <w:t xml:space="preserve">base revenue assumptions as established by </w:t>
      </w:r>
      <w:r w:rsidR="005F5356">
        <w:rPr>
          <w:rFonts w:ascii="Arial" w:hAnsi="Arial" w:cs="Arial"/>
          <w:i w:val="0"/>
          <w:szCs w:val="24"/>
        </w:rPr>
        <w:t xml:space="preserve">Ordinance </w:t>
      </w:r>
      <w:r w:rsidR="0047731B">
        <w:rPr>
          <w:rFonts w:ascii="Arial" w:hAnsi="Arial" w:cs="Arial"/>
          <w:i w:val="0"/>
          <w:szCs w:val="24"/>
        </w:rPr>
        <w:t>18788).</w:t>
      </w:r>
    </w:p>
    <w:p w14:paraId="20068586" w14:textId="11FD8303" w:rsidR="009A2FED" w:rsidRDefault="009A2FED" w:rsidP="005678AA">
      <w:pPr>
        <w:pStyle w:val="BodyText"/>
        <w:spacing w:line="264" w:lineRule="auto"/>
        <w:jc w:val="both"/>
        <w:rPr>
          <w:rFonts w:ascii="Arial" w:hAnsi="Arial" w:cs="Arial"/>
          <w:i w:val="0"/>
          <w:szCs w:val="24"/>
        </w:rPr>
      </w:pPr>
    </w:p>
    <w:p w14:paraId="55FE45D8" w14:textId="4CD170C8" w:rsidR="00F57783" w:rsidRDefault="00C5221F" w:rsidP="007212BA">
      <w:pPr>
        <w:pStyle w:val="BodyText"/>
        <w:spacing w:line="264" w:lineRule="auto"/>
        <w:jc w:val="both"/>
        <w:rPr>
          <w:rFonts w:ascii="Arial" w:hAnsi="Arial" w:cs="Arial"/>
          <w:i w:val="0"/>
          <w:szCs w:val="24"/>
        </w:rPr>
      </w:pPr>
      <w:r w:rsidRPr="00370E4F">
        <w:rPr>
          <w:rFonts w:ascii="Arial" w:hAnsi="Arial" w:cs="Arial"/>
          <w:b/>
          <w:i w:val="0"/>
          <w:szCs w:val="24"/>
        </w:rPr>
        <w:t>General Fund</w:t>
      </w:r>
      <w:r w:rsidR="00370E4F" w:rsidRPr="00370E4F">
        <w:rPr>
          <w:rFonts w:ascii="Arial" w:hAnsi="Arial" w:cs="Arial"/>
          <w:b/>
          <w:i w:val="0"/>
          <w:szCs w:val="24"/>
        </w:rPr>
        <w:t>.</w:t>
      </w:r>
      <w:r w:rsidR="00370E4F">
        <w:rPr>
          <w:rFonts w:ascii="Arial" w:hAnsi="Arial" w:cs="Arial"/>
          <w:b/>
          <w:i w:val="0"/>
          <w:szCs w:val="24"/>
        </w:rPr>
        <w:t xml:space="preserve">   </w:t>
      </w:r>
      <w:r w:rsidR="0099528F">
        <w:rPr>
          <w:rFonts w:ascii="Arial" w:hAnsi="Arial" w:cs="Arial"/>
          <w:i w:val="0"/>
          <w:szCs w:val="24"/>
        </w:rPr>
        <w:t xml:space="preserve">The </w:t>
      </w:r>
      <w:r w:rsidR="005E5970">
        <w:rPr>
          <w:rFonts w:ascii="Arial" w:hAnsi="Arial" w:cs="Arial"/>
          <w:i w:val="0"/>
          <w:szCs w:val="24"/>
        </w:rPr>
        <w:t xml:space="preserve">General Fund financial plan that corresponds to the executive’s proposed budget shows </w:t>
      </w:r>
      <w:r w:rsidR="004E4ECC">
        <w:rPr>
          <w:rFonts w:ascii="Arial" w:hAnsi="Arial" w:cs="Arial"/>
          <w:i w:val="0"/>
          <w:szCs w:val="24"/>
        </w:rPr>
        <w:t>a</w:t>
      </w:r>
      <w:r w:rsidR="003233E0">
        <w:rPr>
          <w:rFonts w:ascii="Arial" w:hAnsi="Arial" w:cs="Arial"/>
          <w:i w:val="0"/>
          <w:szCs w:val="24"/>
        </w:rPr>
        <w:t xml:space="preserve"> </w:t>
      </w:r>
      <w:r w:rsidR="006A2340">
        <w:rPr>
          <w:rFonts w:ascii="Arial" w:hAnsi="Arial" w:cs="Arial"/>
          <w:i w:val="0"/>
          <w:szCs w:val="24"/>
        </w:rPr>
        <w:t>2021</w:t>
      </w:r>
      <w:r w:rsidR="003233E0">
        <w:rPr>
          <w:rFonts w:ascii="Arial" w:hAnsi="Arial" w:cs="Arial"/>
          <w:i w:val="0"/>
          <w:szCs w:val="24"/>
        </w:rPr>
        <w:t>202</w:t>
      </w:r>
      <w:r w:rsidR="006A2340">
        <w:rPr>
          <w:rFonts w:ascii="Arial" w:hAnsi="Arial" w:cs="Arial"/>
          <w:i w:val="0"/>
          <w:szCs w:val="24"/>
        </w:rPr>
        <w:t>2</w:t>
      </w:r>
      <w:r w:rsidR="004E4ECC">
        <w:rPr>
          <w:rFonts w:ascii="Arial" w:hAnsi="Arial" w:cs="Arial"/>
          <w:i w:val="0"/>
          <w:szCs w:val="24"/>
        </w:rPr>
        <w:t xml:space="preserve"> Ending Undesignated Fund Balance of $46.2 million which is </w:t>
      </w:r>
      <w:r w:rsidR="0016239C">
        <w:rPr>
          <w:rFonts w:ascii="Arial" w:hAnsi="Arial" w:cs="Arial"/>
          <w:i w:val="0"/>
          <w:szCs w:val="24"/>
        </w:rPr>
        <w:t>approximately</w:t>
      </w:r>
      <w:r w:rsidR="004E4ECC">
        <w:rPr>
          <w:rFonts w:ascii="Arial" w:hAnsi="Arial" w:cs="Arial"/>
          <w:i w:val="0"/>
          <w:szCs w:val="24"/>
        </w:rPr>
        <w:t xml:space="preserve"> $15 million lower than the 2019-2020 Estimated</w:t>
      </w:r>
      <w:r w:rsidR="00F87835">
        <w:rPr>
          <w:rFonts w:ascii="Arial" w:hAnsi="Arial" w:cs="Arial"/>
          <w:i w:val="0"/>
          <w:szCs w:val="24"/>
        </w:rPr>
        <w:t xml:space="preserve"> Budget. This reduces the Ending Undesignated Fund Balance from 8% to 6%, which is the minimum level recommended by the county’s Comprehensive Financial Management Policies. The county’s financial management policies recommend at least a 6% of Ending Undesignated Fund Balance of</w:t>
      </w:r>
      <w:r w:rsidR="00637CAA" w:rsidRPr="00637CAA">
        <w:rPr>
          <w:rFonts w:ascii="Arial" w:hAnsi="Arial" w:cs="Arial"/>
          <w:i w:val="0"/>
          <w:szCs w:val="24"/>
        </w:rPr>
        <w:t xml:space="preserve"> annual revenues, less intergov</w:t>
      </w:r>
      <w:r w:rsidR="00637CAA">
        <w:rPr>
          <w:rFonts w:ascii="Arial" w:hAnsi="Arial" w:cs="Arial"/>
          <w:i w:val="0"/>
          <w:szCs w:val="24"/>
        </w:rPr>
        <w:t xml:space="preserve">ernmental </w:t>
      </w:r>
      <w:r w:rsidR="00637CAA">
        <w:rPr>
          <w:rFonts w:ascii="Arial" w:hAnsi="Arial" w:cs="Arial"/>
          <w:i w:val="0"/>
          <w:szCs w:val="24"/>
        </w:rPr>
        <w:lastRenderedPageBreak/>
        <w:t xml:space="preserve">receipts and </w:t>
      </w:r>
      <w:r w:rsidR="00637CAA" w:rsidRPr="00637CAA">
        <w:rPr>
          <w:rFonts w:ascii="Arial" w:hAnsi="Arial" w:cs="Arial"/>
          <w:i w:val="0"/>
          <w:szCs w:val="24"/>
        </w:rPr>
        <w:t>inter-fund trans</w:t>
      </w:r>
      <w:r w:rsidR="0016239C">
        <w:rPr>
          <w:rFonts w:ascii="Arial" w:hAnsi="Arial" w:cs="Arial"/>
          <w:i w:val="0"/>
          <w:szCs w:val="24"/>
        </w:rPr>
        <w:t>fers, in order to maintain the c</w:t>
      </w:r>
      <w:r w:rsidR="00637CAA" w:rsidRPr="00637CAA">
        <w:rPr>
          <w:rFonts w:ascii="Arial" w:hAnsi="Arial" w:cs="Arial"/>
          <w:i w:val="0"/>
          <w:szCs w:val="24"/>
        </w:rPr>
        <w:t>ounty's credit rating, meet seasonal cash flow shortfalls, help maintain services during short periods of economic decline, and meet emergency conditions.</w:t>
      </w:r>
      <w:r w:rsidR="00954C44">
        <w:rPr>
          <w:rFonts w:ascii="Arial" w:hAnsi="Arial" w:cs="Arial"/>
          <w:i w:val="0"/>
          <w:szCs w:val="24"/>
        </w:rPr>
        <w:t xml:space="preserve"> In comparison, the </w:t>
      </w:r>
      <w:r w:rsidR="00116C8B">
        <w:rPr>
          <w:rFonts w:ascii="Arial" w:hAnsi="Arial" w:cs="Arial"/>
          <w:i w:val="0"/>
          <w:szCs w:val="24"/>
        </w:rPr>
        <w:t xml:space="preserve">Ending Undesignated Fund Balance level during the 2008 Great Recession period was 7.7% for 2008, </w:t>
      </w:r>
      <w:r w:rsidR="00116C8B" w:rsidRPr="00116C8B">
        <w:rPr>
          <w:rFonts w:ascii="Arial" w:hAnsi="Arial" w:cs="Arial"/>
          <w:i w:val="0"/>
          <w:szCs w:val="24"/>
        </w:rPr>
        <w:t>7.</w:t>
      </w:r>
      <w:r w:rsidR="00116C8B">
        <w:rPr>
          <w:rFonts w:ascii="Arial" w:hAnsi="Arial" w:cs="Arial"/>
          <w:i w:val="0"/>
          <w:szCs w:val="24"/>
        </w:rPr>
        <w:t>4</w:t>
      </w:r>
      <w:r w:rsidR="00116C8B" w:rsidRPr="00116C8B">
        <w:rPr>
          <w:rFonts w:ascii="Arial" w:hAnsi="Arial" w:cs="Arial"/>
          <w:i w:val="0"/>
          <w:szCs w:val="24"/>
        </w:rPr>
        <w:t>%</w:t>
      </w:r>
      <w:r w:rsidR="00116C8B">
        <w:rPr>
          <w:rFonts w:ascii="Arial" w:hAnsi="Arial" w:cs="Arial"/>
          <w:i w:val="0"/>
          <w:szCs w:val="24"/>
        </w:rPr>
        <w:t xml:space="preserve"> for 2009, and 6.</w:t>
      </w:r>
      <w:r w:rsidR="00116C8B" w:rsidRPr="00116C8B">
        <w:rPr>
          <w:rFonts w:ascii="Arial" w:hAnsi="Arial" w:cs="Arial"/>
          <w:i w:val="0"/>
          <w:szCs w:val="24"/>
        </w:rPr>
        <w:t>0%</w:t>
      </w:r>
      <w:r w:rsidR="00116C8B">
        <w:rPr>
          <w:rFonts w:ascii="Arial" w:hAnsi="Arial" w:cs="Arial"/>
          <w:i w:val="0"/>
          <w:szCs w:val="24"/>
        </w:rPr>
        <w:t xml:space="preserve"> for 2010. Figure 1 shows the General Fund Unending Designated Fund Balance and Rainy Day Reserve </w:t>
      </w:r>
      <w:r w:rsidR="00F004ED">
        <w:rPr>
          <w:rFonts w:ascii="Arial" w:hAnsi="Arial" w:cs="Arial"/>
          <w:i w:val="0"/>
          <w:szCs w:val="24"/>
        </w:rPr>
        <w:t xml:space="preserve">Fund </w:t>
      </w:r>
      <w:r w:rsidR="00116C8B">
        <w:rPr>
          <w:rFonts w:ascii="Arial" w:hAnsi="Arial" w:cs="Arial"/>
          <w:i w:val="0"/>
          <w:szCs w:val="24"/>
        </w:rPr>
        <w:t>amounts from 2008 through the executive proposed 2021-2022 biennial budget.</w:t>
      </w:r>
    </w:p>
    <w:p w14:paraId="0775D185" w14:textId="71EFACEA" w:rsidR="00F57783" w:rsidRDefault="00F57783" w:rsidP="007212BA">
      <w:pPr>
        <w:pStyle w:val="BodyText"/>
        <w:spacing w:line="264" w:lineRule="auto"/>
        <w:jc w:val="both"/>
        <w:rPr>
          <w:rFonts w:ascii="Arial" w:hAnsi="Arial" w:cs="Arial"/>
          <w:i w:val="0"/>
          <w:szCs w:val="24"/>
        </w:rPr>
      </w:pPr>
    </w:p>
    <w:p w14:paraId="0F5CBB63" w14:textId="1A2F7CE3" w:rsidR="00F57783" w:rsidRDefault="00F57783" w:rsidP="00F57783">
      <w:pPr>
        <w:pStyle w:val="BodyText"/>
        <w:spacing w:line="264" w:lineRule="auto"/>
        <w:jc w:val="center"/>
        <w:rPr>
          <w:rFonts w:ascii="Arial" w:hAnsi="Arial" w:cs="Arial"/>
          <w:b/>
          <w:i w:val="0"/>
          <w:szCs w:val="24"/>
        </w:rPr>
      </w:pPr>
      <w:r>
        <w:rPr>
          <w:rFonts w:ascii="Arial" w:hAnsi="Arial" w:cs="Arial"/>
          <w:b/>
          <w:i w:val="0"/>
          <w:szCs w:val="24"/>
        </w:rPr>
        <w:t>Figure</w:t>
      </w:r>
      <w:r w:rsidRPr="00BC4D5A">
        <w:rPr>
          <w:rFonts w:ascii="Arial" w:hAnsi="Arial" w:cs="Arial"/>
          <w:b/>
          <w:i w:val="0"/>
          <w:szCs w:val="24"/>
        </w:rPr>
        <w:t xml:space="preserve"> </w:t>
      </w:r>
      <w:r>
        <w:rPr>
          <w:rFonts w:ascii="Arial" w:hAnsi="Arial" w:cs="Arial"/>
          <w:b/>
          <w:i w:val="0"/>
          <w:szCs w:val="24"/>
        </w:rPr>
        <w:t>1</w:t>
      </w:r>
      <w:r w:rsidRPr="00BC4D5A">
        <w:rPr>
          <w:rFonts w:ascii="Arial" w:hAnsi="Arial" w:cs="Arial"/>
          <w:b/>
          <w:i w:val="0"/>
          <w:szCs w:val="24"/>
        </w:rPr>
        <w:t xml:space="preserve">. GF </w:t>
      </w:r>
      <w:r w:rsidR="009A2FED">
        <w:rPr>
          <w:rFonts w:ascii="Arial" w:hAnsi="Arial" w:cs="Arial"/>
          <w:b/>
          <w:i w:val="0"/>
          <w:szCs w:val="24"/>
        </w:rPr>
        <w:t xml:space="preserve">Ending </w:t>
      </w:r>
      <w:r w:rsidR="00954C44">
        <w:rPr>
          <w:rFonts w:ascii="Arial" w:hAnsi="Arial" w:cs="Arial"/>
          <w:b/>
          <w:i w:val="0"/>
          <w:szCs w:val="24"/>
        </w:rPr>
        <w:t>Undesignated</w:t>
      </w:r>
      <w:r w:rsidRPr="00BC4D5A">
        <w:rPr>
          <w:rFonts w:ascii="Arial" w:hAnsi="Arial" w:cs="Arial"/>
          <w:b/>
          <w:i w:val="0"/>
          <w:szCs w:val="24"/>
        </w:rPr>
        <w:t xml:space="preserve"> Fund Balance and Rainy Day Reserve</w:t>
      </w:r>
      <w:r>
        <w:rPr>
          <w:rFonts w:ascii="Arial" w:hAnsi="Arial" w:cs="Arial"/>
          <w:b/>
          <w:i w:val="0"/>
          <w:szCs w:val="24"/>
        </w:rPr>
        <w:t xml:space="preserve"> Fund</w:t>
      </w:r>
      <w:r w:rsidRPr="00BC4D5A">
        <w:rPr>
          <w:rFonts w:ascii="Arial" w:hAnsi="Arial" w:cs="Arial"/>
          <w:b/>
          <w:i w:val="0"/>
          <w:szCs w:val="24"/>
        </w:rPr>
        <w:t xml:space="preserve">, </w:t>
      </w:r>
    </w:p>
    <w:p w14:paraId="738D89F9" w14:textId="77777777" w:rsidR="00F57783" w:rsidRDefault="00F57783" w:rsidP="00F57783">
      <w:pPr>
        <w:pStyle w:val="BodyText"/>
        <w:spacing w:line="264" w:lineRule="auto"/>
        <w:jc w:val="center"/>
        <w:rPr>
          <w:rFonts w:ascii="Arial" w:hAnsi="Arial" w:cs="Arial"/>
          <w:b/>
          <w:i w:val="0"/>
          <w:szCs w:val="24"/>
        </w:rPr>
      </w:pPr>
      <w:r w:rsidRPr="00BC4D5A">
        <w:rPr>
          <w:rFonts w:ascii="Arial" w:hAnsi="Arial" w:cs="Arial"/>
          <w:b/>
          <w:i w:val="0"/>
          <w:szCs w:val="24"/>
        </w:rPr>
        <w:t>2008 through 2022</w:t>
      </w:r>
    </w:p>
    <w:p w14:paraId="17F2FA77" w14:textId="77777777" w:rsidR="00F57783" w:rsidRPr="00970092" w:rsidRDefault="00F57783" w:rsidP="00F57783">
      <w:pPr>
        <w:pStyle w:val="BodyText"/>
        <w:spacing w:line="264" w:lineRule="auto"/>
        <w:jc w:val="center"/>
        <w:rPr>
          <w:rFonts w:ascii="Arial" w:hAnsi="Arial" w:cs="Arial"/>
          <w:b/>
          <w:i w:val="0"/>
          <w:sz w:val="16"/>
          <w:szCs w:val="16"/>
        </w:rPr>
      </w:pPr>
    </w:p>
    <w:p w14:paraId="5F7F5503" w14:textId="3B617F47" w:rsidR="00F57783" w:rsidRDefault="0056061E" w:rsidP="00F57783">
      <w:pPr>
        <w:pStyle w:val="BodyText"/>
        <w:spacing w:line="264" w:lineRule="auto"/>
        <w:jc w:val="both"/>
        <w:rPr>
          <w:rFonts w:ascii="Arial" w:hAnsi="Arial" w:cs="Arial"/>
          <w:i w:val="0"/>
          <w:szCs w:val="24"/>
        </w:rPr>
      </w:pPr>
      <w:r w:rsidRPr="0056061E">
        <w:rPr>
          <w:noProof/>
          <w:lang w:eastAsia="ko-KR"/>
        </w:rPr>
        <w:drawing>
          <wp:inline distT="0" distB="0" distL="0" distR="0" wp14:anchorId="265CA31B" wp14:editId="26906422">
            <wp:extent cx="5943600" cy="34201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20110"/>
                    </a:xfrm>
                    <a:prstGeom prst="rect">
                      <a:avLst/>
                    </a:prstGeom>
                  </pic:spPr>
                </pic:pic>
              </a:graphicData>
            </a:graphic>
          </wp:inline>
        </w:drawing>
      </w:r>
    </w:p>
    <w:p w14:paraId="1A879222" w14:textId="68FE3832" w:rsidR="00F57783" w:rsidRDefault="00F57783" w:rsidP="007212BA">
      <w:pPr>
        <w:pStyle w:val="BodyText"/>
        <w:spacing w:line="264" w:lineRule="auto"/>
        <w:jc w:val="both"/>
        <w:rPr>
          <w:rFonts w:ascii="Arial" w:hAnsi="Arial" w:cs="Arial"/>
          <w:i w:val="0"/>
          <w:szCs w:val="24"/>
        </w:rPr>
      </w:pPr>
    </w:p>
    <w:p w14:paraId="162B3B8F" w14:textId="11703FA0" w:rsidR="00970092" w:rsidRDefault="009A2FED" w:rsidP="009A2FED">
      <w:pPr>
        <w:pStyle w:val="BodyText"/>
        <w:spacing w:line="264" w:lineRule="auto"/>
        <w:jc w:val="both"/>
        <w:rPr>
          <w:rFonts w:ascii="Arial" w:hAnsi="Arial" w:cs="Arial"/>
          <w:i w:val="0"/>
          <w:szCs w:val="24"/>
        </w:rPr>
      </w:pPr>
      <w:r>
        <w:rPr>
          <w:rFonts w:ascii="Arial" w:hAnsi="Arial" w:cs="Arial"/>
          <w:i w:val="0"/>
          <w:szCs w:val="24"/>
        </w:rPr>
        <w:t>The executive proposed budget book states that in order to achieve this 6% level and mitigate the declining revenues due to COVID-19, budget reductions are proposed by eliminating positions, reducing or eliminating services, finding efficiencies in service delivery, and requiring internal service agencies to reduce their costs and charges. Most notably, the executive requested General Fund agencies to identify 5% reductions for 2021 and a further 5% reduction for 2022</w:t>
      </w:r>
      <w:r w:rsidR="00970092">
        <w:rPr>
          <w:rFonts w:ascii="Arial" w:hAnsi="Arial" w:cs="Arial"/>
          <w:i w:val="0"/>
          <w:szCs w:val="24"/>
        </w:rPr>
        <w:t xml:space="preserve"> (average 7.5% over the biennium).</w:t>
      </w:r>
      <w:r>
        <w:rPr>
          <w:rFonts w:ascii="Arial" w:hAnsi="Arial" w:cs="Arial"/>
          <w:i w:val="0"/>
          <w:szCs w:val="24"/>
        </w:rPr>
        <w:t xml:space="preserve"> </w:t>
      </w:r>
    </w:p>
    <w:p w14:paraId="5E2E9FAD" w14:textId="77777777" w:rsidR="00970092" w:rsidRDefault="00970092" w:rsidP="009A2FED">
      <w:pPr>
        <w:pStyle w:val="BodyText"/>
        <w:spacing w:line="264" w:lineRule="auto"/>
        <w:jc w:val="both"/>
        <w:rPr>
          <w:rFonts w:ascii="Arial" w:hAnsi="Arial" w:cs="Arial"/>
          <w:i w:val="0"/>
          <w:szCs w:val="24"/>
        </w:rPr>
      </w:pPr>
    </w:p>
    <w:p w14:paraId="57B252BC" w14:textId="19E08319" w:rsidR="009A2FED" w:rsidRDefault="009A2FED" w:rsidP="009A2FED">
      <w:pPr>
        <w:pStyle w:val="BodyText"/>
        <w:spacing w:line="264" w:lineRule="auto"/>
        <w:jc w:val="both"/>
        <w:rPr>
          <w:rFonts w:ascii="Arial" w:hAnsi="Arial" w:cs="Arial"/>
          <w:i w:val="0"/>
          <w:szCs w:val="24"/>
        </w:rPr>
      </w:pPr>
      <w:r>
        <w:rPr>
          <w:rFonts w:ascii="Arial" w:hAnsi="Arial" w:cs="Arial"/>
          <w:i w:val="0"/>
          <w:szCs w:val="24"/>
        </w:rPr>
        <w:t xml:space="preserve">Table </w:t>
      </w:r>
      <w:r w:rsidR="00970092">
        <w:rPr>
          <w:rFonts w:ascii="Arial" w:hAnsi="Arial" w:cs="Arial"/>
          <w:i w:val="0"/>
          <w:szCs w:val="24"/>
        </w:rPr>
        <w:t>5</w:t>
      </w:r>
      <w:r>
        <w:rPr>
          <w:rFonts w:ascii="Arial" w:hAnsi="Arial" w:cs="Arial"/>
          <w:i w:val="0"/>
          <w:szCs w:val="24"/>
        </w:rPr>
        <w:t xml:space="preserve"> below shows the reduction </w:t>
      </w:r>
      <w:r w:rsidR="00091EED">
        <w:rPr>
          <w:rFonts w:ascii="Arial" w:hAnsi="Arial" w:cs="Arial"/>
          <w:i w:val="0"/>
          <w:szCs w:val="24"/>
        </w:rPr>
        <w:t xml:space="preserve">target </w:t>
      </w:r>
      <w:r>
        <w:rPr>
          <w:rFonts w:ascii="Arial" w:hAnsi="Arial" w:cs="Arial"/>
          <w:i w:val="0"/>
          <w:szCs w:val="24"/>
        </w:rPr>
        <w:t xml:space="preserve">amounts for each General Fund agency and the percent of the target achieved by each agency in the proposed budget. The table also includes </w:t>
      </w:r>
      <w:r w:rsidR="00091EED">
        <w:rPr>
          <w:rFonts w:ascii="Arial" w:hAnsi="Arial" w:cs="Arial"/>
          <w:i w:val="0"/>
          <w:szCs w:val="24"/>
        </w:rPr>
        <w:t xml:space="preserve">reduction targets </w:t>
      </w:r>
      <w:r>
        <w:rPr>
          <w:rFonts w:ascii="Arial" w:hAnsi="Arial" w:cs="Arial"/>
          <w:i w:val="0"/>
          <w:szCs w:val="24"/>
        </w:rPr>
        <w:t>by internal service agencies. Only a portion of t</w:t>
      </w:r>
      <w:r w:rsidR="00091EED">
        <w:rPr>
          <w:rFonts w:ascii="Arial" w:hAnsi="Arial" w:cs="Arial"/>
          <w:i w:val="0"/>
          <w:szCs w:val="24"/>
        </w:rPr>
        <w:t>he reduction targets</w:t>
      </w:r>
      <w:r>
        <w:rPr>
          <w:rFonts w:ascii="Arial" w:hAnsi="Arial" w:cs="Arial"/>
          <w:i w:val="0"/>
          <w:szCs w:val="24"/>
        </w:rPr>
        <w:t xml:space="preserve"> of internal service agencies benefit the General Fund, however, </w:t>
      </w:r>
      <w:r w:rsidR="002A754C">
        <w:rPr>
          <w:rFonts w:ascii="Arial" w:hAnsi="Arial" w:cs="Arial"/>
          <w:i w:val="0"/>
          <w:szCs w:val="24"/>
        </w:rPr>
        <w:t>such</w:t>
      </w:r>
      <w:r>
        <w:rPr>
          <w:rFonts w:ascii="Arial" w:hAnsi="Arial" w:cs="Arial"/>
          <w:i w:val="0"/>
          <w:szCs w:val="24"/>
        </w:rPr>
        <w:t xml:space="preserve"> reductions benefit all agencies across the county. Executive staff noted that </w:t>
      </w:r>
      <w:r w:rsidR="00091EED">
        <w:rPr>
          <w:rFonts w:ascii="Arial" w:hAnsi="Arial" w:cs="Arial"/>
          <w:i w:val="0"/>
          <w:szCs w:val="24"/>
        </w:rPr>
        <w:t xml:space="preserve">the reduction targets </w:t>
      </w:r>
      <w:r>
        <w:rPr>
          <w:rFonts w:ascii="Arial" w:hAnsi="Arial" w:cs="Arial"/>
          <w:i w:val="0"/>
          <w:szCs w:val="24"/>
        </w:rPr>
        <w:t>did not include costs beyond the agency’</w:t>
      </w:r>
      <w:r w:rsidR="00091EED">
        <w:rPr>
          <w:rFonts w:ascii="Arial" w:hAnsi="Arial" w:cs="Arial"/>
          <w:i w:val="0"/>
          <w:szCs w:val="24"/>
        </w:rPr>
        <w:t>s control (e.g</w:t>
      </w:r>
      <w:r>
        <w:rPr>
          <w:rFonts w:ascii="Arial" w:hAnsi="Arial" w:cs="Arial"/>
          <w:i w:val="0"/>
          <w:szCs w:val="24"/>
        </w:rPr>
        <w:t xml:space="preserve">. DPD case filings, DAJD jail population, etc.) </w:t>
      </w:r>
      <w:r w:rsidR="003233E0">
        <w:rPr>
          <w:rFonts w:ascii="Arial" w:hAnsi="Arial" w:cs="Arial"/>
          <w:i w:val="0"/>
          <w:szCs w:val="24"/>
        </w:rPr>
        <w:t>or</w:t>
      </w:r>
      <w:r>
        <w:rPr>
          <w:rFonts w:ascii="Arial" w:hAnsi="Arial" w:cs="Arial"/>
          <w:i w:val="0"/>
          <w:szCs w:val="24"/>
        </w:rPr>
        <w:t xml:space="preserve"> any costs that </w:t>
      </w:r>
      <w:r w:rsidR="002A754C">
        <w:rPr>
          <w:rFonts w:ascii="Arial" w:hAnsi="Arial" w:cs="Arial"/>
          <w:i w:val="0"/>
          <w:szCs w:val="24"/>
        </w:rPr>
        <w:t>would be</w:t>
      </w:r>
      <w:r>
        <w:rPr>
          <w:rFonts w:ascii="Arial" w:hAnsi="Arial" w:cs="Arial"/>
          <w:i w:val="0"/>
          <w:szCs w:val="24"/>
        </w:rPr>
        <w:t xml:space="preserve"> revenue backed.</w:t>
      </w:r>
    </w:p>
    <w:p w14:paraId="1397DCA2" w14:textId="77777777" w:rsidR="005E6752" w:rsidRDefault="005E6752" w:rsidP="00091EED">
      <w:pPr>
        <w:pStyle w:val="BodyText"/>
        <w:spacing w:line="264" w:lineRule="auto"/>
        <w:jc w:val="center"/>
        <w:rPr>
          <w:rFonts w:ascii="Arial" w:hAnsi="Arial" w:cs="Arial"/>
          <w:b/>
          <w:i w:val="0"/>
          <w:szCs w:val="24"/>
        </w:rPr>
      </w:pPr>
    </w:p>
    <w:p w14:paraId="38F53A99" w14:textId="0E969A78" w:rsidR="00091EED" w:rsidRDefault="00970092" w:rsidP="00091EED">
      <w:pPr>
        <w:pStyle w:val="BodyText"/>
        <w:spacing w:line="264" w:lineRule="auto"/>
        <w:jc w:val="center"/>
        <w:rPr>
          <w:rFonts w:ascii="Arial" w:hAnsi="Arial" w:cs="Arial"/>
          <w:b/>
          <w:i w:val="0"/>
          <w:szCs w:val="24"/>
        </w:rPr>
      </w:pPr>
      <w:r w:rsidRPr="00970092">
        <w:rPr>
          <w:rFonts w:ascii="Arial" w:hAnsi="Arial" w:cs="Arial"/>
          <w:b/>
          <w:i w:val="0"/>
          <w:szCs w:val="24"/>
        </w:rPr>
        <w:lastRenderedPageBreak/>
        <w:t xml:space="preserve">Table 5. General Fund and Internal Service </w:t>
      </w:r>
      <w:r>
        <w:rPr>
          <w:rFonts w:ascii="Arial" w:hAnsi="Arial" w:cs="Arial"/>
          <w:b/>
          <w:i w:val="0"/>
          <w:szCs w:val="24"/>
        </w:rPr>
        <w:t>Agencies</w:t>
      </w:r>
      <w:r w:rsidRPr="00970092">
        <w:rPr>
          <w:rFonts w:ascii="Arial" w:hAnsi="Arial" w:cs="Arial"/>
          <w:b/>
          <w:i w:val="0"/>
          <w:szCs w:val="24"/>
        </w:rPr>
        <w:t xml:space="preserve"> </w:t>
      </w:r>
      <w:r w:rsidR="00997DBF">
        <w:rPr>
          <w:rFonts w:ascii="Arial" w:hAnsi="Arial" w:cs="Arial"/>
          <w:b/>
          <w:i w:val="0"/>
          <w:szCs w:val="24"/>
        </w:rPr>
        <w:t>Reduction Targets</w:t>
      </w:r>
    </w:p>
    <w:p w14:paraId="5CAB8834" w14:textId="7A5597AB" w:rsidR="00091EED" w:rsidRPr="00091EED" w:rsidRDefault="00091EED" w:rsidP="00091EED">
      <w:pPr>
        <w:pStyle w:val="BodyText"/>
        <w:spacing w:line="264" w:lineRule="auto"/>
        <w:jc w:val="center"/>
        <w:rPr>
          <w:rFonts w:ascii="Arial" w:hAnsi="Arial" w:cs="Arial"/>
          <w:b/>
          <w:i w:val="0"/>
          <w:sz w:val="12"/>
          <w:szCs w:val="24"/>
        </w:rPr>
      </w:pPr>
    </w:p>
    <w:p w14:paraId="5EC6D607" w14:textId="5F8019DC" w:rsidR="00491481" w:rsidRDefault="00970092" w:rsidP="00170C6A">
      <w:pPr>
        <w:pStyle w:val="BodyText"/>
        <w:spacing w:line="264" w:lineRule="auto"/>
        <w:jc w:val="center"/>
        <w:rPr>
          <w:rFonts w:ascii="Arial" w:hAnsi="Arial" w:cs="Arial"/>
          <w:i w:val="0"/>
          <w:szCs w:val="24"/>
        </w:rPr>
      </w:pPr>
      <w:r w:rsidRPr="00970092">
        <w:rPr>
          <w:noProof/>
          <w:lang w:eastAsia="ko-KR"/>
        </w:rPr>
        <w:drawing>
          <wp:inline distT="0" distB="0" distL="0" distR="0" wp14:anchorId="45F8D167" wp14:editId="5D0290DA">
            <wp:extent cx="3943350" cy="83673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43990" cy="8368730"/>
                    </a:xfrm>
                    <a:prstGeom prst="rect">
                      <a:avLst/>
                    </a:prstGeom>
                  </pic:spPr>
                </pic:pic>
              </a:graphicData>
            </a:graphic>
          </wp:inline>
        </w:drawing>
      </w:r>
    </w:p>
    <w:p w14:paraId="55E9A9F6" w14:textId="668E1FD4" w:rsidR="00372D58" w:rsidRDefault="00372D58" w:rsidP="00372D58">
      <w:pPr>
        <w:pStyle w:val="BodyText"/>
        <w:spacing w:line="264" w:lineRule="auto"/>
        <w:jc w:val="both"/>
        <w:rPr>
          <w:rFonts w:ascii="Arial" w:hAnsi="Arial" w:cs="Arial"/>
          <w:i w:val="0"/>
          <w:szCs w:val="24"/>
        </w:rPr>
      </w:pPr>
      <w:r>
        <w:rPr>
          <w:rFonts w:ascii="Arial" w:hAnsi="Arial" w:cs="Arial"/>
          <w:b/>
          <w:i w:val="0"/>
          <w:szCs w:val="24"/>
        </w:rPr>
        <w:lastRenderedPageBreak/>
        <w:t>Position</w:t>
      </w:r>
      <w:r w:rsidRPr="00372D58">
        <w:rPr>
          <w:rFonts w:ascii="Arial" w:hAnsi="Arial" w:cs="Arial"/>
          <w:b/>
          <w:i w:val="0"/>
          <w:szCs w:val="24"/>
        </w:rPr>
        <w:t xml:space="preserve"> Reductions</w:t>
      </w:r>
      <w:r>
        <w:rPr>
          <w:rFonts w:ascii="Arial" w:hAnsi="Arial" w:cs="Arial"/>
          <w:b/>
          <w:i w:val="0"/>
          <w:szCs w:val="24"/>
        </w:rPr>
        <w:t>, Layoffs and Furloughs</w:t>
      </w:r>
      <w:r w:rsidRPr="00372D58">
        <w:rPr>
          <w:rFonts w:ascii="Arial" w:hAnsi="Arial" w:cs="Arial"/>
          <w:b/>
          <w:i w:val="0"/>
          <w:szCs w:val="24"/>
        </w:rPr>
        <w:t>.</w:t>
      </w:r>
      <w:r>
        <w:rPr>
          <w:rFonts w:ascii="Arial" w:hAnsi="Arial" w:cs="Arial"/>
          <w:i w:val="0"/>
          <w:szCs w:val="24"/>
        </w:rPr>
        <w:t xml:space="preserve">   For General Fund and </w:t>
      </w:r>
      <w:r w:rsidR="003233E0">
        <w:rPr>
          <w:rFonts w:ascii="Arial" w:hAnsi="Arial" w:cs="Arial"/>
          <w:i w:val="0"/>
          <w:szCs w:val="24"/>
        </w:rPr>
        <w:t>i</w:t>
      </w:r>
      <w:r>
        <w:rPr>
          <w:rFonts w:ascii="Arial" w:hAnsi="Arial" w:cs="Arial"/>
          <w:i w:val="0"/>
          <w:szCs w:val="24"/>
        </w:rPr>
        <w:t xml:space="preserve">nternal </w:t>
      </w:r>
      <w:r w:rsidR="003233E0">
        <w:rPr>
          <w:rFonts w:ascii="Arial" w:hAnsi="Arial" w:cs="Arial"/>
          <w:i w:val="0"/>
          <w:szCs w:val="24"/>
        </w:rPr>
        <w:t>s</w:t>
      </w:r>
      <w:r>
        <w:rPr>
          <w:rFonts w:ascii="Arial" w:hAnsi="Arial" w:cs="Arial"/>
          <w:i w:val="0"/>
          <w:szCs w:val="24"/>
        </w:rPr>
        <w:t>ervice agencies, reduction targets resulted in</w:t>
      </w:r>
      <w:r w:rsidR="0081686B">
        <w:rPr>
          <w:rFonts w:ascii="Arial" w:hAnsi="Arial" w:cs="Arial"/>
          <w:i w:val="0"/>
          <w:szCs w:val="24"/>
        </w:rPr>
        <w:t xml:space="preserve"> propos</w:t>
      </w:r>
      <w:r w:rsidR="003233E0">
        <w:rPr>
          <w:rFonts w:ascii="Arial" w:hAnsi="Arial" w:cs="Arial"/>
          <w:i w:val="0"/>
          <w:szCs w:val="24"/>
        </w:rPr>
        <w:t>ed</w:t>
      </w:r>
      <w:r>
        <w:rPr>
          <w:rFonts w:ascii="Arial" w:hAnsi="Arial" w:cs="Arial"/>
          <w:i w:val="0"/>
          <w:szCs w:val="24"/>
        </w:rPr>
        <w:t xml:space="preserve"> reduction</w:t>
      </w:r>
      <w:r w:rsidR="003233E0">
        <w:rPr>
          <w:rFonts w:ascii="Arial" w:hAnsi="Arial" w:cs="Arial"/>
          <w:i w:val="0"/>
          <w:szCs w:val="24"/>
        </w:rPr>
        <w:t>s</w:t>
      </w:r>
      <w:r>
        <w:rPr>
          <w:rFonts w:ascii="Arial" w:hAnsi="Arial" w:cs="Arial"/>
          <w:i w:val="0"/>
          <w:szCs w:val="24"/>
        </w:rPr>
        <w:t xml:space="preserve"> of FTEs. </w:t>
      </w:r>
      <w:r w:rsidR="0081686B">
        <w:rPr>
          <w:rFonts w:ascii="Arial" w:hAnsi="Arial" w:cs="Arial"/>
          <w:i w:val="0"/>
          <w:szCs w:val="24"/>
        </w:rPr>
        <w:t>Such reduction</w:t>
      </w:r>
      <w:r w:rsidR="003233E0">
        <w:rPr>
          <w:rFonts w:ascii="Arial" w:hAnsi="Arial" w:cs="Arial"/>
          <w:i w:val="0"/>
          <w:szCs w:val="24"/>
        </w:rPr>
        <w:t>s</w:t>
      </w:r>
      <w:r w:rsidR="0081686B">
        <w:rPr>
          <w:rFonts w:ascii="Arial" w:hAnsi="Arial" w:cs="Arial"/>
          <w:i w:val="0"/>
          <w:szCs w:val="24"/>
        </w:rPr>
        <w:t xml:space="preserve"> of FTEs was</w:t>
      </w:r>
      <w:r>
        <w:rPr>
          <w:rFonts w:ascii="Arial" w:hAnsi="Arial" w:cs="Arial"/>
          <w:i w:val="0"/>
          <w:szCs w:val="24"/>
        </w:rPr>
        <w:t xml:space="preserve"> also necessary for Non-General Fund agencies to mitigate the revenue declines due COVID-19 and to ensure financial stability of their fund</w:t>
      </w:r>
      <w:r w:rsidR="003233E0">
        <w:rPr>
          <w:rFonts w:ascii="Arial" w:hAnsi="Arial" w:cs="Arial"/>
          <w:i w:val="0"/>
          <w:szCs w:val="24"/>
        </w:rPr>
        <w:t>s</w:t>
      </w:r>
      <w:r>
        <w:rPr>
          <w:rFonts w:ascii="Arial" w:hAnsi="Arial" w:cs="Arial"/>
          <w:i w:val="0"/>
          <w:szCs w:val="24"/>
        </w:rPr>
        <w:t>. Table 6</w:t>
      </w:r>
      <w:r w:rsidR="0056061E">
        <w:rPr>
          <w:rFonts w:ascii="Arial" w:hAnsi="Arial" w:cs="Arial"/>
          <w:i w:val="0"/>
          <w:szCs w:val="24"/>
        </w:rPr>
        <w:t xml:space="preserve"> below</w:t>
      </w:r>
      <w:r>
        <w:rPr>
          <w:rFonts w:ascii="Arial" w:hAnsi="Arial" w:cs="Arial"/>
          <w:i w:val="0"/>
          <w:szCs w:val="24"/>
        </w:rPr>
        <w:t xml:space="preserve"> provides a summary of the FTE reductions that are proposed throughout the county for both General Fund and Non-General Fund agencies. Most of the position reductions </w:t>
      </w:r>
      <w:r w:rsidR="0081686B">
        <w:rPr>
          <w:rFonts w:ascii="Arial" w:hAnsi="Arial" w:cs="Arial"/>
          <w:i w:val="0"/>
          <w:szCs w:val="24"/>
        </w:rPr>
        <w:t>are</w:t>
      </w:r>
      <w:r>
        <w:rPr>
          <w:rFonts w:ascii="Arial" w:hAnsi="Arial" w:cs="Arial"/>
          <w:i w:val="0"/>
          <w:szCs w:val="24"/>
        </w:rPr>
        <w:t xml:space="preserve"> proposed to be accomplished through attrition, employees opting into the county’s Voluntary Separation Program</w:t>
      </w:r>
      <w:r w:rsidR="00997DBF">
        <w:rPr>
          <w:rFonts w:ascii="Arial" w:hAnsi="Arial" w:cs="Arial"/>
          <w:i w:val="0"/>
          <w:szCs w:val="24"/>
        </w:rPr>
        <w:t xml:space="preserve"> (VSP)</w:t>
      </w:r>
      <w:r>
        <w:rPr>
          <w:rFonts w:ascii="Arial" w:hAnsi="Arial" w:cs="Arial"/>
          <w:i w:val="0"/>
          <w:szCs w:val="24"/>
        </w:rPr>
        <w:t>, and removal of vacant positions</w:t>
      </w:r>
      <w:r w:rsidR="00997DBF">
        <w:rPr>
          <w:rFonts w:ascii="Arial" w:hAnsi="Arial" w:cs="Arial"/>
          <w:i w:val="0"/>
          <w:szCs w:val="24"/>
        </w:rPr>
        <w:t>.  T</w:t>
      </w:r>
      <w:r w:rsidR="0081686B">
        <w:rPr>
          <w:rFonts w:ascii="Arial" w:hAnsi="Arial" w:cs="Arial"/>
          <w:i w:val="0"/>
          <w:szCs w:val="24"/>
        </w:rPr>
        <w:t>herefore</w:t>
      </w:r>
      <w:r w:rsidR="00997DBF">
        <w:rPr>
          <w:rFonts w:ascii="Arial" w:hAnsi="Arial" w:cs="Arial"/>
          <w:i w:val="0"/>
          <w:szCs w:val="24"/>
        </w:rPr>
        <w:t>,</w:t>
      </w:r>
      <w:r>
        <w:rPr>
          <w:rFonts w:ascii="Arial" w:hAnsi="Arial" w:cs="Arial"/>
          <w:i w:val="0"/>
          <w:szCs w:val="24"/>
        </w:rPr>
        <w:t xml:space="preserve"> the executive proposed budget includes a smaller number of layoffs relative to the total number of FTE reductions.</w:t>
      </w:r>
    </w:p>
    <w:p w14:paraId="03219246" w14:textId="2CD1E7A7" w:rsidR="00372D58" w:rsidRDefault="00372D58" w:rsidP="00372D58">
      <w:pPr>
        <w:pStyle w:val="BodyText"/>
        <w:spacing w:line="264" w:lineRule="auto"/>
        <w:jc w:val="both"/>
        <w:rPr>
          <w:rFonts w:ascii="Arial" w:hAnsi="Arial" w:cs="Arial"/>
          <w:i w:val="0"/>
          <w:szCs w:val="24"/>
        </w:rPr>
      </w:pPr>
    </w:p>
    <w:p w14:paraId="0BB0C298" w14:textId="7567F7E1" w:rsidR="00372D58" w:rsidRDefault="00372D58" w:rsidP="00372D58">
      <w:pPr>
        <w:pStyle w:val="BodyText"/>
        <w:spacing w:line="264" w:lineRule="auto"/>
        <w:jc w:val="both"/>
        <w:rPr>
          <w:rFonts w:ascii="Arial" w:hAnsi="Arial" w:cs="Arial"/>
          <w:i w:val="0"/>
          <w:szCs w:val="24"/>
        </w:rPr>
      </w:pPr>
      <w:r>
        <w:rPr>
          <w:rFonts w:ascii="Arial" w:hAnsi="Arial" w:cs="Arial"/>
          <w:i w:val="0"/>
          <w:szCs w:val="24"/>
        </w:rPr>
        <w:t xml:space="preserve">Table 7 </w:t>
      </w:r>
      <w:r w:rsidR="0056061E">
        <w:rPr>
          <w:rFonts w:ascii="Arial" w:hAnsi="Arial" w:cs="Arial"/>
          <w:i w:val="0"/>
          <w:szCs w:val="24"/>
        </w:rPr>
        <w:t xml:space="preserve">below </w:t>
      </w:r>
      <w:r>
        <w:rPr>
          <w:rFonts w:ascii="Arial" w:hAnsi="Arial" w:cs="Arial"/>
          <w:i w:val="0"/>
          <w:szCs w:val="24"/>
        </w:rPr>
        <w:t xml:space="preserve">provides a summary of agencies that are proposing to implement furloughs as part of their reduction measures. As </w:t>
      </w:r>
      <w:r w:rsidR="00997DBF">
        <w:rPr>
          <w:rFonts w:ascii="Arial" w:hAnsi="Arial" w:cs="Arial"/>
          <w:i w:val="0"/>
          <w:szCs w:val="24"/>
        </w:rPr>
        <w:t>Table 7</w:t>
      </w:r>
      <w:r>
        <w:rPr>
          <w:rFonts w:ascii="Arial" w:hAnsi="Arial" w:cs="Arial"/>
          <w:i w:val="0"/>
          <w:szCs w:val="24"/>
        </w:rPr>
        <w:t xml:space="preserve"> shows, </w:t>
      </w:r>
      <w:r w:rsidR="003233E0">
        <w:rPr>
          <w:rFonts w:ascii="Arial" w:hAnsi="Arial" w:cs="Arial"/>
          <w:i w:val="0"/>
          <w:szCs w:val="24"/>
        </w:rPr>
        <w:t xml:space="preserve">few </w:t>
      </w:r>
      <w:r>
        <w:rPr>
          <w:rFonts w:ascii="Arial" w:hAnsi="Arial" w:cs="Arial"/>
          <w:i w:val="0"/>
          <w:szCs w:val="24"/>
        </w:rPr>
        <w:t xml:space="preserve">agencies have opted to utilize this option. Lastly, Table 8 </w:t>
      </w:r>
      <w:r w:rsidR="00997DBF">
        <w:rPr>
          <w:rFonts w:ascii="Arial" w:hAnsi="Arial" w:cs="Arial"/>
          <w:i w:val="0"/>
          <w:szCs w:val="24"/>
        </w:rPr>
        <w:t xml:space="preserve">is provided as reference to show </w:t>
      </w:r>
      <w:r>
        <w:rPr>
          <w:rFonts w:ascii="Arial" w:hAnsi="Arial" w:cs="Arial"/>
          <w:i w:val="0"/>
          <w:szCs w:val="24"/>
        </w:rPr>
        <w:t xml:space="preserve">the total number of FTEs that the executive is proposing in the 2021-2022 biennial budget. It should be noted that FTE levels change throughout the biennium, so the table shows the estimated FTE levels </w:t>
      </w:r>
      <w:r w:rsidR="000E7B24">
        <w:rPr>
          <w:rFonts w:ascii="Arial" w:hAnsi="Arial" w:cs="Arial"/>
          <w:i w:val="0"/>
          <w:szCs w:val="24"/>
        </w:rPr>
        <w:t>on</w:t>
      </w:r>
      <w:r>
        <w:rPr>
          <w:rFonts w:ascii="Arial" w:hAnsi="Arial" w:cs="Arial"/>
          <w:i w:val="0"/>
          <w:szCs w:val="24"/>
        </w:rPr>
        <w:t xml:space="preserve"> December 2021 and December 2022.</w:t>
      </w:r>
    </w:p>
    <w:p w14:paraId="56F02EDB" w14:textId="1359E8F6" w:rsidR="006E01C0" w:rsidRDefault="006E01C0" w:rsidP="007212BA">
      <w:pPr>
        <w:pStyle w:val="BodyText"/>
        <w:spacing w:line="264" w:lineRule="auto"/>
        <w:jc w:val="both"/>
        <w:rPr>
          <w:rFonts w:ascii="Arial" w:hAnsi="Arial" w:cs="Arial"/>
          <w:i w:val="0"/>
          <w:szCs w:val="24"/>
        </w:rPr>
      </w:pPr>
    </w:p>
    <w:p w14:paraId="7B4AEF78" w14:textId="761AD50D" w:rsidR="000E7B24" w:rsidRDefault="000E7B24" w:rsidP="007212BA">
      <w:pPr>
        <w:pStyle w:val="BodyText"/>
        <w:spacing w:line="264" w:lineRule="auto"/>
        <w:jc w:val="both"/>
        <w:rPr>
          <w:rFonts w:ascii="Arial" w:hAnsi="Arial" w:cs="Arial"/>
          <w:i w:val="0"/>
          <w:szCs w:val="24"/>
        </w:rPr>
      </w:pPr>
    </w:p>
    <w:p w14:paraId="7E6C50A0" w14:textId="6696E40B" w:rsidR="000E7B24" w:rsidRDefault="000E7B24" w:rsidP="007212BA">
      <w:pPr>
        <w:pStyle w:val="BodyText"/>
        <w:spacing w:line="264" w:lineRule="auto"/>
        <w:jc w:val="both"/>
        <w:rPr>
          <w:rFonts w:ascii="Arial" w:hAnsi="Arial" w:cs="Arial"/>
          <w:i w:val="0"/>
          <w:szCs w:val="24"/>
        </w:rPr>
      </w:pPr>
    </w:p>
    <w:p w14:paraId="45B75B1A" w14:textId="49DBF3EB" w:rsidR="000E7B24" w:rsidRDefault="000E7B24" w:rsidP="007212BA">
      <w:pPr>
        <w:pStyle w:val="BodyText"/>
        <w:spacing w:line="264" w:lineRule="auto"/>
        <w:jc w:val="both"/>
        <w:rPr>
          <w:rFonts w:ascii="Arial" w:hAnsi="Arial" w:cs="Arial"/>
          <w:i w:val="0"/>
          <w:szCs w:val="24"/>
        </w:rPr>
      </w:pPr>
    </w:p>
    <w:p w14:paraId="16295105" w14:textId="42C52FFB" w:rsidR="000E7B24" w:rsidRDefault="000E7B24" w:rsidP="007212BA">
      <w:pPr>
        <w:pStyle w:val="BodyText"/>
        <w:spacing w:line="264" w:lineRule="auto"/>
        <w:jc w:val="both"/>
        <w:rPr>
          <w:rFonts w:ascii="Arial" w:hAnsi="Arial" w:cs="Arial"/>
          <w:i w:val="0"/>
          <w:szCs w:val="24"/>
        </w:rPr>
      </w:pPr>
    </w:p>
    <w:p w14:paraId="21CE76B1" w14:textId="35F2B6B3" w:rsidR="000E7B24" w:rsidRDefault="000E7B24" w:rsidP="007212BA">
      <w:pPr>
        <w:pStyle w:val="BodyText"/>
        <w:spacing w:line="264" w:lineRule="auto"/>
        <w:jc w:val="both"/>
        <w:rPr>
          <w:rFonts w:ascii="Arial" w:hAnsi="Arial" w:cs="Arial"/>
          <w:i w:val="0"/>
          <w:szCs w:val="24"/>
        </w:rPr>
      </w:pPr>
    </w:p>
    <w:p w14:paraId="3B57BAFB" w14:textId="12D26471" w:rsidR="000E7B24" w:rsidRDefault="000E7B24" w:rsidP="007212BA">
      <w:pPr>
        <w:pStyle w:val="BodyText"/>
        <w:spacing w:line="264" w:lineRule="auto"/>
        <w:jc w:val="both"/>
        <w:rPr>
          <w:rFonts w:ascii="Arial" w:hAnsi="Arial" w:cs="Arial"/>
          <w:i w:val="0"/>
          <w:szCs w:val="24"/>
        </w:rPr>
      </w:pPr>
    </w:p>
    <w:p w14:paraId="2C63F70E" w14:textId="23626E9D" w:rsidR="000E7B24" w:rsidRDefault="000E7B24" w:rsidP="007212BA">
      <w:pPr>
        <w:pStyle w:val="BodyText"/>
        <w:spacing w:line="264" w:lineRule="auto"/>
        <w:jc w:val="both"/>
        <w:rPr>
          <w:rFonts w:ascii="Arial" w:hAnsi="Arial" w:cs="Arial"/>
          <w:i w:val="0"/>
          <w:szCs w:val="24"/>
        </w:rPr>
      </w:pPr>
    </w:p>
    <w:p w14:paraId="123A48CA" w14:textId="5651C00B" w:rsidR="000E7B24" w:rsidRDefault="000E7B24" w:rsidP="007212BA">
      <w:pPr>
        <w:pStyle w:val="BodyText"/>
        <w:spacing w:line="264" w:lineRule="auto"/>
        <w:jc w:val="both"/>
        <w:rPr>
          <w:rFonts w:ascii="Arial" w:hAnsi="Arial" w:cs="Arial"/>
          <w:i w:val="0"/>
          <w:szCs w:val="24"/>
        </w:rPr>
      </w:pPr>
    </w:p>
    <w:p w14:paraId="194146F5" w14:textId="410C0A3C" w:rsidR="000E7B24" w:rsidRDefault="000E7B24" w:rsidP="007212BA">
      <w:pPr>
        <w:pStyle w:val="BodyText"/>
        <w:spacing w:line="264" w:lineRule="auto"/>
        <w:jc w:val="both"/>
        <w:rPr>
          <w:rFonts w:ascii="Arial" w:hAnsi="Arial" w:cs="Arial"/>
          <w:i w:val="0"/>
          <w:szCs w:val="24"/>
        </w:rPr>
      </w:pPr>
    </w:p>
    <w:p w14:paraId="05F172D2" w14:textId="06AD7C6D" w:rsidR="000E7B24" w:rsidRDefault="000E7B24" w:rsidP="007212BA">
      <w:pPr>
        <w:pStyle w:val="BodyText"/>
        <w:spacing w:line="264" w:lineRule="auto"/>
        <w:jc w:val="both"/>
        <w:rPr>
          <w:rFonts w:ascii="Arial" w:hAnsi="Arial" w:cs="Arial"/>
          <w:i w:val="0"/>
          <w:szCs w:val="24"/>
        </w:rPr>
      </w:pPr>
    </w:p>
    <w:p w14:paraId="488B0B1C" w14:textId="3261A930" w:rsidR="000E7B24" w:rsidRDefault="000E7B24" w:rsidP="007212BA">
      <w:pPr>
        <w:pStyle w:val="BodyText"/>
        <w:spacing w:line="264" w:lineRule="auto"/>
        <w:jc w:val="both"/>
        <w:rPr>
          <w:rFonts w:ascii="Arial" w:hAnsi="Arial" w:cs="Arial"/>
          <w:i w:val="0"/>
          <w:szCs w:val="24"/>
        </w:rPr>
      </w:pPr>
    </w:p>
    <w:p w14:paraId="67A4724C" w14:textId="0D171936" w:rsidR="000E7B24" w:rsidRDefault="000E7B24" w:rsidP="007212BA">
      <w:pPr>
        <w:pStyle w:val="BodyText"/>
        <w:spacing w:line="264" w:lineRule="auto"/>
        <w:jc w:val="both"/>
        <w:rPr>
          <w:rFonts w:ascii="Arial" w:hAnsi="Arial" w:cs="Arial"/>
          <w:i w:val="0"/>
          <w:szCs w:val="24"/>
        </w:rPr>
      </w:pPr>
    </w:p>
    <w:p w14:paraId="4A2EF36D" w14:textId="56B838D3" w:rsidR="000E7B24" w:rsidRDefault="000E7B24" w:rsidP="007212BA">
      <w:pPr>
        <w:pStyle w:val="BodyText"/>
        <w:spacing w:line="264" w:lineRule="auto"/>
        <w:jc w:val="both"/>
        <w:rPr>
          <w:rFonts w:ascii="Arial" w:hAnsi="Arial" w:cs="Arial"/>
          <w:i w:val="0"/>
          <w:szCs w:val="24"/>
        </w:rPr>
      </w:pPr>
    </w:p>
    <w:p w14:paraId="7468E638" w14:textId="4143B690" w:rsidR="000E7B24" w:rsidRDefault="000E7B24" w:rsidP="007212BA">
      <w:pPr>
        <w:pStyle w:val="BodyText"/>
        <w:spacing w:line="264" w:lineRule="auto"/>
        <w:jc w:val="both"/>
        <w:rPr>
          <w:rFonts w:ascii="Arial" w:hAnsi="Arial" w:cs="Arial"/>
          <w:i w:val="0"/>
          <w:szCs w:val="24"/>
        </w:rPr>
      </w:pPr>
    </w:p>
    <w:p w14:paraId="5DBF815C" w14:textId="4299B695" w:rsidR="000E7B24" w:rsidRDefault="000E7B24" w:rsidP="007212BA">
      <w:pPr>
        <w:pStyle w:val="BodyText"/>
        <w:spacing w:line="264" w:lineRule="auto"/>
        <w:jc w:val="both"/>
        <w:rPr>
          <w:rFonts w:ascii="Arial" w:hAnsi="Arial" w:cs="Arial"/>
          <w:i w:val="0"/>
          <w:szCs w:val="24"/>
        </w:rPr>
      </w:pPr>
    </w:p>
    <w:p w14:paraId="1DFE51D1" w14:textId="0B4ACC4E" w:rsidR="000E7B24" w:rsidRDefault="000E7B24" w:rsidP="007212BA">
      <w:pPr>
        <w:pStyle w:val="BodyText"/>
        <w:spacing w:line="264" w:lineRule="auto"/>
        <w:jc w:val="both"/>
        <w:rPr>
          <w:rFonts w:ascii="Arial" w:hAnsi="Arial" w:cs="Arial"/>
          <w:i w:val="0"/>
          <w:szCs w:val="24"/>
        </w:rPr>
      </w:pPr>
    </w:p>
    <w:p w14:paraId="4F8C7F83" w14:textId="3E11FCF1" w:rsidR="000E7B24" w:rsidRDefault="000E7B24" w:rsidP="007212BA">
      <w:pPr>
        <w:pStyle w:val="BodyText"/>
        <w:spacing w:line="264" w:lineRule="auto"/>
        <w:jc w:val="both"/>
        <w:rPr>
          <w:rFonts w:ascii="Arial" w:hAnsi="Arial" w:cs="Arial"/>
          <w:i w:val="0"/>
          <w:szCs w:val="24"/>
        </w:rPr>
      </w:pPr>
    </w:p>
    <w:p w14:paraId="532182F0" w14:textId="6F727724" w:rsidR="000E7B24" w:rsidRDefault="000E7B24" w:rsidP="007212BA">
      <w:pPr>
        <w:pStyle w:val="BodyText"/>
        <w:spacing w:line="264" w:lineRule="auto"/>
        <w:jc w:val="both"/>
        <w:rPr>
          <w:rFonts w:ascii="Arial" w:hAnsi="Arial" w:cs="Arial"/>
          <w:i w:val="0"/>
          <w:szCs w:val="24"/>
        </w:rPr>
      </w:pPr>
    </w:p>
    <w:p w14:paraId="15519C16" w14:textId="5161400D" w:rsidR="000E7B24" w:rsidRDefault="000E7B24" w:rsidP="007212BA">
      <w:pPr>
        <w:pStyle w:val="BodyText"/>
        <w:spacing w:line="264" w:lineRule="auto"/>
        <w:jc w:val="both"/>
        <w:rPr>
          <w:rFonts w:ascii="Arial" w:hAnsi="Arial" w:cs="Arial"/>
          <w:i w:val="0"/>
          <w:szCs w:val="24"/>
        </w:rPr>
      </w:pPr>
    </w:p>
    <w:p w14:paraId="1AE309F1" w14:textId="32AD3098" w:rsidR="000E7B24" w:rsidRDefault="000E7B24" w:rsidP="007212BA">
      <w:pPr>
        <w:pStyle w:val="BodyText"/>
        <w:spacing w:line="264" w:lineRule="auto"/>
        <w:jc w:val="both"/>
        <w:rPr>
          <w:rFonts w:ascii="Arial" w:hAnsi="Arial" w:cs="Arial"/>
          <w:i w:val="0"/>
          <w:szCs w:val="24"/>
        </w:rPr>
      </w:pPr>
    </w:p>
    <w:p w14:paraId="392DFCE7" w14:textId="7546760E" w:rsidR="000E7B24" w:rsidRDefault="000E7B24" w:rsidP="007212BA">
      <w:pPr>
        <w:pStyle w:val="BodyText"/>
        <w:spacing w:line="264" w:lineRule="auto"/>
        <w:jc w:val="both"/>
        <w:rPr>
          <w:rFonts w:ascii="Arial" w:hAnsi="Arial" w:cs="Arial"/>
          <w:i w:val="0"/>
          <w:szCs w:val="24"/>
        </w:rPr>
      </w:pPr>
    </w:p>
    <w:p w14:paraId="2B2BF93D" w14:textId="5DF9DF73" w:rsidR="000E7B24" w:rsidRDefault="000E7B24" w:rsidP="007212BA">
      <w:pPr>
        <w:pStyle w:val="BodyText"/>
        <w:spacing w:line="264" w:lineRule="auto"/>
        <w:jc w:val="both"/>
        <w:rPr>
          <w:rFonts w:ascii="Arial" w:hAnsi="Arial" w:cs="Arial"/>
          <w:i w:val="0"/>
          <w:szCs w:val="24"/>
        </w:rPr>
      </w:pPr>
    </w:p>
    <w:p w14:paraId="55FE1565" w14:textId="43E38A4D" w:rsidR="000E7B24" w:rsidRDefault="000E7B24" w:rsidP="007212BA">
      <w:pPr>
        <w:pStyle w:val="BodyText"/>
        <w:spacing w:line="264" w:lineRule="auto"/>
        <w:jc w:val="both"/>
        <w:rPr>
          <w:rFonts w:ascii="Arial" w:hAnsi="Arial" w:cs="Arial"/>
          <w:i w:val="0"/>
          <w:szCs w:val="24"/>
        </w:rPr>
      </w:pPr>
    </w:p>
    <w:p w14:paraId="0B3D890A" w14:textId="6022DF02" w:rsidR="000E7B24" w:rsidRDefault="000E7B24" w:rsidP="007212BA">
      <w:pPr>
        <w:pStyle w:val="BodyText"/>
        <w:spacing w:line="264" w:lineRule="auto"/>
        <w:jc w:val="both"/>
        <w:rPr>
          <w:rFonts w:ascii="Arial" w:hAnsi="Arial" w:cs="Arial"/>
          <w:i w:val="0"/>
          <w:szCs w:val="24"/>
        </w:rPr>
      </w:pPr>
    </w:p>
    <w:p w14:paraId="34D22C6A" w14:textId="59754494" w:rsidR="000E7B24" w:rsidRDefault="000E7B24" w:rsidP="007212BA">
      <w:pPr>
        <w:pStyle w:val="BodyText"/>
        <w:spacing w:line="264" w:lineRule="auto"/>
        <w:jc w:val="both"/>
        <w:rPr>
          <w:rFonts w:ascii="Arial" w:hAnsi="Arial" w:cs="Arial"/>
          <w:i w:val="0"/>
          <w:szCs w:val="24"/>
        </w:rPr>
      </w:pPr>
    </w:p>
    <w:p w14:paraId="02D4BD7B" w14:textId="64DAFC98" w:rsidR="000E7B24" w:rsidRDefault="000E7B24" w:rsidP="007212BA">
      <w:pPr>
        <w:pStyle w:val="BodyText"/>
        <w:spacing w:line="264" w:lineRule="auto"/>
        <w:jc w:val="both"/>
        <w:rPr>
          <w:rFonts w:ascii="Arial" w:hAnsi="Arial" w:cs="Arial"/>
          <w:i w:val="0"/>
          <w:szCs w:val="24"/>
        </w:rPr>
      </w:pPr>
    </w:p>
    <w:p w14:paraId="40193CA5" w14:textId="77777777" w:rsidR="000E7B24" w:rsidRDefault="000E7B24" w:rsidP="007212BA">
      <w:pPr>
        <w:pStyle w:val="BodyText"/>
        <w:spacing w:line="264" w:lineRule="auto"/>
        <w:jc w:val="both"/>
        <w:rPr>
          <w:rFonts w:ascii="Arial" w:hAnsi="Arial" w:cs="Arial"/>
          <w:i w:val="0"/>
          <w:szCs w:val="24"/>
        </w:rPr>
      </w:pPr>
    </w:p>
    <w:p w14:paraId="4E96A9D4" w14:textId="3DBDC53E" w:rsidR="00372D58" w:rsidRDefault="00372D58" w:rsidP="00372D58">
      <w:pPr>
        <w:pStyle w:val="BodyText"/>
        <w:spacing w:line="264" w:lineRule="auto"/>
        <w:jc w:val="center"/>
        <w:rPr>
          <w:rFonts w:ascii="Arial" w:hAnsi="Arial" w:cs="Arial"/>
          <w:b/>
          <w:i w:val="0"/>
          <w:szCs w:val="24"/>
        </w:rPr>
      </w:pPr>
      <w:r w:rsidRPr="006A2340">
        <w:rPr>
          <w:rFonts w:ascii="Arial" w:hAnsi="Arial" w:cs="Arial"/>
          <w:b/>
          <w:i w:val="0"/>
          <w:szCs w:val="24"/>
        </w:rPr>
        <w:lastRenderedPageBreak/>
        <w:t>Table 6. 2021-2022 Biennium Proposed Position Reductions and Layoffs</w:t>
      </w:r>
    </w:p>
    <w:p w14:paraId="04FE177D" w14:textId="77777777" w:rsidR="00372D58" w:rsidRPr="00FF7AC2" w:rsidRDefault="00372D58" w:rsidP="00372D58">
      <w:pPr>
        <w:pStyle w:val="BodyText"/>
        <w:spacing w:line="264" w:lineRule="auto"/>
        <w:jc w:val="center"/>
        <w:rPr>
          <w:rFonts w:ascii="Arial" w:hAnsi="Arial" w:cs="Arial"/>
          <w:i w:val="0"/>
          <w:sz w:val="16"/>
          <w:szCs w:val="16"/>
        </w:rPr>
      </w:pPr>
    </w:p>
    <w:p w14:paraId="22D7D859" w14:textId="21D89F3F" w:rsidR="00372D58" w:rsidRDefault="003D1399" w:rsidP="003D1399">
      <w:pPr>
        <w:pStyle w:val="BodyText"/>
        <w:spacing w:line="264" w:lineRule="auto"/>
        <w:jc w:val="center"/>
        <w:rPr>
          <w:rFonts w:ascii="Arial" w:hAnsi="Arial" w:cs="Arial"/>
          <w:i w:val="0"/>
          <w:szCs w:val="24"/>
        </w:rPr>
      </w:pPr>
      <w:bookmarkStart w:id="0" w:name="_GoBack"/>
      <w:r w:rsidRPr="003D1399">
        <w:drawing>
          <wp:inline distT="0" distB="0" distL="0" distR="0" wp14:anchorId="0E61EEA2" wp14:editId="176A376B">
            <wp:extent cx="5943600" cy="722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228840"/>
                    </a:xfrm>
                    <a:prstGeom prst="rect">
                      <a:avLst/>
                    </a:prstGeom>
                  </pic:spPr>
                </pic:pic>
              </a:graphicData>
            </a:graphic>
          </wp:inline>
        </w:drawing>
      </w:r>
      <w:bookmarkEnd w:id="0"/>
    </w:p>
    <w:p w14:paraId="4D93A22D" w14:textId="77777777" w:rsidR="00372D58" w:rsidRDefault="00372D58" w:rsidP="00372D58">
      <w:pPr>
        <w:pStyle w:val="BodyText"/>
        <w:spacing w:line="264" w:lineRule="auto"/>
        <w:jc w:val="both"/>
        <w:rPr>
          <w:rFonts w:ascii="Arial" w:hAnsi="Arial" w:cs="Arial"/>
          <w:i w:val="0"/>
          <w:szCs w:val="24"/>
        </w:rPr>
      </w:pPr>
    </w:p>
    <w:p w14:paraId="34B9A43C" w14:textId="77777777" w:rsidR="000E7B24" w:rsidRDefault="000E7B24" w:rsidP="000E7B24">
      <w:pPr>
        <w:pStyle w:val="BodyText"/>
        <w:spacing w:line="264" w:lineRule="auto"/>
        <w:jc w:val="center"/>
        <w:rPr>
          <w:rFonts w:ascii="Arial" w:hAnsi="Arial" w:cs="Arial"/>
          <w:b/>
          <w:i w:val="0"/>
          <w:szCs w:val="24"/>
        </w:rPr>
      </w:pPr>
    </w:p>
    <w:p w14:paraId="7DEE53BD" w14:textId="77777777" w:rsidR="000E7B24" w:rsidRDefault="000E7B24" w:rsidP="000E7B24">
      <w:pPr>
        <w:pStyle w:val="BodyText"/>
        <w:spacing w:line="264" w:lineRule="auto"/>
        <w:jc w:val="center"/>
        <w:rPr>
          <w:rFonts w:ascii="Arial" w:hAnsi="Arial" w:cs="Arial"/>
          <w:b/>
          <w:i w:val="0"/>
          <w:szCs w:val="24"/>
        </w:rPr>
      </w:pPr>
    </w:p>
    <w:p w14:paraId="5C94BB84" w14:textId="77777777" w:rsidR="000E7B24" w:rsidRDefault="000E7B24" w:rsidP="000E7B24">
      <w:pPr>
        <w:pStyle w:val="BodyText"/>
        <w:spacing w:line="264" w:lineRule="auto"/>
        <w:jc w:val="center"/>
        <w:rPr>
          <w:rFonts w:ascii="Arial" w:hAnsi="Arial" w:cs="Arial"/>
          <w:b/>
          <w:i w:val="0"/>
          <w:szCs w:val="24"/>
        </w:rPr>
      </w:pPr>
    </w:p>
    <w:p w14:paraId="529923B8" w14:textId="77777777" w:rsidR="000E7B24" w:rsidRDefault="000E7B24" w:rsidP="000E7B24">
      <w:pPr>
        <w:pStyle w:val="BodyText"/>
        <w:spacing w:line="264" w:lineRule="auto"/>
        <w:jc w:val="center"/>
        <w:rPr>
          <w:rFonts w:ascii="Arial" w:hAnsi="Arial" w:cs="Arial"/>
          <w:b/>
          <w:i w:val="0"/>
          <w:szCs w:val="24"/>
        </w:rPr>
      </w:pPr>
    </w:p>
    <w:p w14:paraId="7E8D26C5" w14:textId="77777777" w:rsidR="000E7B24" w:rsidRDefault="000E7B24" w:rsidP="000E7B24">
      <w:pPr>
        <w:pStyle w:val="BodyText"/>
        <w:spacing w:line="264" w:lineRule="auto"/>
        <w:jc w:val="center"/>
        <w:rPr>
          <w:rFonts w:ascii="Arial" w:hAnsi="Arial" w:cs="Arial"/>
          <w:b/>
          <w:i w:val="0"/>
          <w:szCs w:val="24"/>
        </w:rPr>
      </w:pPr>
    </w:p>
    <w:p w14:paraId="33C17C01" w14:textId="269AEE0A" w:rsidR="00372D58" w:rsidRDefault="000E7B24" w:rsidP="00B54A12">
      <w:pPr>
        <w:pStyle w:val="BodyText"/>
        <w:spacing w:line="264" w:lineRule="auto"/>
        <w:jc w:val="center"/>
        <w:rPr>
          <w:rFonts w:ascii="Arial" w:hAnsi="Arial" w:cs="Arial"/>
          <w:b/>
          <w:i w:val="0"/>
          <w:szCs w:val="24"/>
        </w:rPr>
      </w:pPr>
      <w:r w:rsidRPr="000E7B24">
        <w:rPr>
          <w:rFonts w:ascii="Arial" w:hAnsi="Arial" w:cs="Arial"/>
          <w:b/>
          <w:i w:val="0"/>
          <w:szCs w:val="24"/>
        </w:rPr>
        <w:lastRenderedPageBreak/>
        <w:t>Table 7. 2021-2022 Biennium Proposed Furloughs</w:t>
      </w:r>
    </w:p>
    <w:p w14:paraId="22813013" w14:textId="72904EA6" w:rsidR="000E7B24" w:rsidRPr="000E7B24" w:rsidRDefault="000E7B24" w:rsidP="000E7B24">
      <w:pPr>
        <w:pStyle w:val="BodyText"/>
        <w:spacing w:line="264" w:lineRule="auto"/>
        <w:jc w:val="center"/>
        <w:rPr>
          <w:rFonts w:ascii="Arial" w:hAnsi="Arial" w:cs="Arial"/>
          <w:b/>
          <w:i w:val="0"/>
          <w:sz w:val="14"/>
          <w:szCs w:val="24"/>
        </w:rPr>
      </w:pPr>
    </w:p>
    <w:p w14:paraId="20BEFC2B" w14:textId="26804CAA" w:rsidR="00372D58" w:rsidRDefault="00372D58" w:rsidP="000E7B24">
      <w:pPr>
        <w:pStyle w:val="BodyText"/>
        <w:spacing w:line="264" w:lineRule="auto"/>
        <w:jc w:val="center"/>
        <w:rPr>
          <w:rFonts w:ascii="Arial" w:hAnsi="Arial" w:cs="Arial"/>
          <w:i w:val="0"/>
          <w:szCs w:val="24"/>
        </w:rPr>
      </w:pPr>
      <w:r w:rsidRPr="00235013">
        <w:rPr>
          <w:noProof/>
          <w:lang w:eastAsia="ko-KR"/>
        </w:rPr>
        <w:drawing>
          <wp:inline distT="0" distB="0" distL="0" distR="0" wp14:anchorId="750C833D" wp14:editId="4E525800">
            <wp:extent cx="6170642" cy="34861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2353" cy="3492766"/>
                    </a:xfrm>
                    <a:prstGeom prst="rect">
                      <a:avLst/>
                    </a:prstGeom>
                  </pic:spPr>
                </pic:pic>
              </a:graphicData>
            </a:graphic>
          </wp:inline>
        </w:drawing>
      </w:r>
    </w:p>
    <w:p w14:paraId="59DCD43D" w14:textId="77777777" w:rsidR="00372D58" w:rsidRPr="001C4B19" w:rsidRDefault="00372D58" w:rsidP="00372D58">
      <w:pPr>
        <w:pStyle w:val="BodyText"/>
        <w:spacing w:line="264" w:lineRule="auto"/>
        <w:jc w:val="both"/>
        <w:rPr>
          <w:rFonts w:ascii="Arial" w:hAnsi="Arial" w:cs="Arial"/>
          <w:i w:val="0"/>
          <w:szCs w:val="24"/>
        </w:rPr>
      </w:pPr>
    </w:p>
    <w:p w14:paraId="7BAD0759" w14:textId="77777777" w:rsidR="000E7B24" w:rsidRDefault="000E7B24" w:rsidP="000E7B24">
      <w:pPr>
        <w:pStyle w:val="BodyText"/>
        <w:spacing w:line="264" w:lineRule="auto"/>
        <w:jc w:val="center"/>
        <w:rPr>
          <w:rFonts w:ascii="Arial" w:hAnsi="Arial" w:cs="Arial"/>
          <w:b/>
          <w:i w:val="0"/>
          <w:szCs w:val="24"/>
        </w:rPr>
      </w:pPr>
    </w:p>
    <w:p w14:paraId="6D2EA584" w14:textId="77777777" w:rsidR="000E7B24" w:rsidRDefault="000E7B24" w:rsidP="000E7B24">
      <w:pPr>
        <w:pStyle w:val="BodyText"/>
        <w:spacing w:line="264" w:lineRule="auto"/>
        <w:jc w:val="center"/>
        <w:rPr>
          <w:rFonts w:ascii="Arial" w:hAnsi="Arial" w:cs="Arial"/>
          <w:b/>
          <w:i w:val="0"/>
          <w:szCs w:val="24"/>
        </w:rPr>
      </w:pPr>
    </w:p>
    <w:p w14:paraId="15FCBDCC" w14:textId="77777777" w:rsidR="000E7B24" w:rsidRDefault="000E7B24" w:rsidP="000E7B24">
      <w:pPr>
        <w:pStyle w:val="BodyText"/>
        <w:spacing w:line="264" w:lineRule="auto"/>
        <w:jc w:val="center"/>
        <w:rPr>
          <w:rFonts w:ascii="Arial" w:hAnsi="Arial" w:cs="Arial"/>
          <w:b/>
          <w:i w:val="0"/>
          <w:szCs w:val="24"/>
        </w:rPr>
      </w:pPr>
    </w:p>
    <w:p w14:paraId="47D5B6D7" w14:textId="77777777" w:rsidR="000E7B24" w:rsidRDefault="000E7B24" w:rsidP="000E7B24">
      <w:pPr>
        <w:pStyle w:val="BodyText"/>
        <w:spacing w:line="264" w:lineRule="auto"/>
        <w:jc w:val="center"/>
        <w:rPr>
          <w:rFonts w:ascii="Arial" w:hAnsi="Arial" w:cs="Arial"/>
          <w:b/>
          <w:i w:val="0"/>
          <w:szCs w:val="24"/>
        </w:rPr>
      </w:pPr>
    </w:p>
    <w:p w14:paraId="23430875" w14:textId="77777777" w:rsidR="000E7B24" w:rsidRDefault="000E7B24" w:rsidP="000E7B24">
      <w:pPr>
        <w:pStyle w:val="BodyText"/>
        <w:spacing w:line="264" w:lineRule="auto"/>
        <w:jc w:val="center"/>
        <w:rPr>
          <w:rFonts w:ascii="Arial" w:hAnsi="Arial" w:cs="Arial"/>
          <w:b/>
          <w:i w:val="0"/>
          <w:szCs w:val="24"/>
        </w:rPr>
      </w:pPr>
    </w:p>
    <w:p w14:paraId="1B8C6B67" w14:textId="77777777" w:rsidR="000E7B24" w:rsidRDefault="000E7B24" w:rsidP="000E7B24">
      <w:pPr>
        <w:pStyle w:val="BodyText"/>
        <w:spacing w:line="264" w:lineRule="auto"/>
        <w:jc w:val="center"/>
        <w:rPr>
          <w:rFonts w:ascii="Arial" w:hAnsi="Arial" w:cs="Arial"/>
          <w:b/>
          <w:i w:val="0"/>
          <w:szCs w:val="24"/>
        </w:rPr>
      </w:pPr>
    </w:p>
    <w:p w14:paraId="4530A327" w14:textId="77777777" w:rsidR="000E7B24" w:rsidRDefault="000E7B24" w:rsidP="000E7B24">
      <w:pPr>
        <w:pStyle w:val="BodyText"/>
        <w:spacing w:line="264" w:lineRule="auto"/>
        <w:jc w:val="center"/>
        <w:rPr>
          <w:rFonts w:ascii="Arial" w:hAnsi="Arial" w:cs="Arial"/>
          <w:b/>
          <w:i w:val="0"/>
          <w:szCs w:val="24"/>
        </w:rPr>
      </w:pPr>
    </w:p>
    <w:p w14:paraId="1099BA17" w14:textId="77777777" w:rsidR="000E7B24" w:rsidRDefault="000E7B24" w:rsidP="000E7B24">
      <w:pPr>
        <w:pStyle w:val="BodyText"/>
        <w:spacing w:line="264" w:lineRule="auto"/>
        <w:jc w:val="center"/>
        <w:rPr>
          <w:rFonts w:ascii="Arial" w:hAnsi="Arial" w:cs="Arial"/>
          <w:b/>
          <w:i w:val="0"/>
          <w:szCs w:val="24"/>
        </w:rPr>
      </w:pPr>
    </w:p>
    <w:p w14:paraId="2408A6FB" w14:textId="77777777" w:rsidR="000E7B24" w:rsidRDefault="000E7B24" w:rsidP="000E7B24">
      <w:pPr>
        <w:pStyle w:val="BodyText"/>
        <w:spacing w:line="264" w:lineRule="auto"/>
        <w:jc w:val="center"/>
        <w:rPr>
          <w:rFonts w:ascii="Arial" w:hAnsi="Arial" w:cs="Arial"/>
          <w:b/>
          <w:i w:val="0"/>
          <w:szCs w:val="24"/>
        </w:rPr>
      </w:pPr>
    </w:p>
    <w:p w14:paraId="00515545" w14:textId="77777777" w:rsidR="000E7B24" w:rsidRDefault="000E7B24" w:rsidP="000E7B24">
      <w:pPr>
        <w:pStyle w:val="BodyText"/>
        <w:spacing w:line="264" w:lineRule="auto"/>
        <w:jc w:val="center"/>
        <w:rPr>
          <w:rFonts w:ascii="Arial" w:hAnsi="Arial" w:cs="Arial"/>
          <w:b/>
          <w:i w:val="0"/>
          <w:szCs w:val="24"/>
        </w:rPr>
      </w:pPr>
    </w:p>
    <w:p w14:paraId="165970FF" w14:textId="77777777" w:rsidR="000E7B24" w:rsidRDefault="000E7B24" w:rsidP="000E7B24">
      <w:pPr>
        <w:pStyle w:val="BodyText"/>
        <w:spacing w:line="264" w:lineRule="auto"/>
        <w:jc w:val="center"/>
        <w:rPr>
          <w:rFonts w:ascii="Arial" w:hAnsi="Arial" w:cs="Arial"/>
          <w:b/>
          <w:i w:val="0"/>
          <w:szCs w:val="24"/>
        </w:rPr>
      </w:pPr>
    </w:p>
    <w:p w14:paraId="32B0341E" w14:textId="77777777" w:rsidR="000E7B24" w:rsidRDefault="000E7B24" w:rsidP="000E7B24">
      <w:pPr>
        <w:pStyle w:val="BodyText"/>
        <w:spacing w:line="264" w:lineRule="auto"/>
        <w:jc w:val="center"/>
        <w:rPr>
          <w:rFonts w:ascii="Arial" w:hAnsi="Arial" w:cs="Arial"/>
          <w:b/>
          <w:i w:val="0"/>
          <w:szCs w:val="24"/>
        </w:rPr>
      </w:pPr>
    </w:p>
    <w:p w14:paraId="30771369" w14:textId="77777777" w:rsidR="000E7B24" w:rsidRDefault="000E7B24" w:rsidP="000E7B24">
      <w:pPr>
        <w:pStyle w:val="BodyText"/>
        <w:spacing w:line="264" w:lineRule="auto"/>
        <w:jc w:val="center"/>
        <w:rPr>
          <w:rFonts w:ascii="Arial" w:hAnsi="Arial" w:cs="Arial"/>
          <w:b/>
          <w:i w:val="0"/>
          <w:szCs w:val="24"/>
        </w:rPr>
      </w:pPr>
    </w:p>
    <w:p w14:paraId="56825DDB" w14:textId="77777777" w:rsidR="000E7B24" w:rsidRDefault="000E7B24" w:rsidP="000E7B24">
      <w:pPr>
        <w:pStyle w:val="BodyText"/>
        <w:spacing w:line="264" w:lineRule="auto"/>
        <w:jc w:val="center"/>
        <w:rPr>
          <w:rFonts w:ascii="Arial" w:hAnsi="Arial" w:cs="Arial"/>
          <w:b/>
          <w:i w:val="0"/>
          <w:szCs w:val="24"/>
        </w:rPr>
      </w:pPr>
    </w:p>
    <w:p w14:paraId="5138B1CB" w14:textId="77777777" w:rsidR="000E7B24" w:rsidRDefault="000E7B24" w:rsidP="000E7B24">
      <w:pPr>
        <w:pStyle w:val="BodyText"/>
        <w:spacing w:line="264" w:lineRule="auto"/>
        <w:jc w:val="center"/>
        <w:rPr>
          <w:rFonts w:ascii="Arial" w:hAnsi="Arial" w:cs="Arial"/>
          <w:b/>
          <w:i w:val="0"/>
          <w:szCs w:val="24"/>
        </w:rPr>
      </w:pPr>
    </w:p>
    <w:p w14:paraId="16B385DF" w14:textId="77777777" w:rsidR="000E7B24" w:rsidRDefault="000E7B24" w:rsidP="000E7B24">
      <w:pPr>
        <w:pStyle w:val="BodyText"/>
        <w:spacing w:line="264" w:lineRule="auto"/>
        <w:jc w:val="center"/>
        <w:rPr>
          <w:rFonts w:ascii="Arial" w:hAnsi="Arial" w:cs="Arial"/>
          <w:b/>
          <w:i w:val="0"/>
          <w:szCs w:val="24"/>
        </w:rPr>
      </w:pPr>
    </w:p>
    <w:p w14:paraId="6D13C213" w14:textId="77777777" w:rsidR="000E7B24" w:rsidRDefault="000E7B24" w:rsidP="000E7B24">
      <w:pPr>
        <w:pStyle w:val="BodyText"/>
        <w:spacing w:line="264" w:lineRule="auto"/>
        <w:jc w:val="center"/>
        <w:rPr>
          <w:rFonts w:ascii="Arial" w:hAnsi="Arial" w:cs="Arial"/>
          <w:b/>
          <w:i w:val="0"/>
          <w:szCs w:val="24"/>
        </w:rPr>
      </w:pPr>
    </w:p>
    <w:p w14:paraId="4327CE8B" w14:textId="77777777" w:rsidR="000E7B24" w:rsidRDefault="000E7B24" w:rsidP="000E7B24">
      <w:pPr>
        <w:pStyle w:val="BodyText"/>
        <w:spacing w:line="264" w:lineRule="auto"/>
        <w:jc w:val="center"/>
        <w:rPr>
          <w:rFonts w:ascii="Arial" w:hAnsi="Arial" w:cs="Arial"/>
          <w:b/>
          <w:i w:val="0"/>
          <w:szCs w:val="24"/>
        </w:rPr>
      </w:pPr>
    </w:p>
    <w:p w14:paraId="47C26EEB" w14:textId="77777777" w:rsidR="000E7B24" w:rsidRDefault="000E7B24" w:rsidP="000E7B24">
      <w:pPr>
        <w:pStyle w:val="BodyText"/>
        <w:spacing w:line="264" w:lineRule="auto"/>
        <w:jc w:val="center"/>
        <w:rPr>
          <w:rFonts w:ascii="Arial" w:hAnsi="Arial" w:cs="Arial"/>
          <w:b/>
          <w:i w:val="0"/>
          <w:szCs w:val="24"/>
        </w:rPr>
      </w:pPr>
    </w:p>
    <w:p w14:paraId="1536FA0A" w14:textId="77777777" w:rsidR="000E7B24" w:rsidRDefault="000E7B24" w:rsidP="000E7B24">
      <w:pPr>
        <w:pStyle w:val="BodyText"/>
        <w:spacing w:line="264" w:lineRule="auto"/>
        <w:jc w:val="center"/>
        <w:rPr>
          <w:rFonts w:ascii="Arial" w:hAnsi="Arial" w:cs="Arial"/>
          <w:b/>
          <w:i w:val="0"/>
          <w:szCs w:val="24"/>
        </w:rPr>
      </w:pPr>
    </w:p>
    <w:p w14:paraId="509328D1" w14:textId="77777777" w:rsidR="000E7B24" w:rsidRDefault="000E7B24" w:rsidP="000E7B24">
      <w:pPr>
        <w:pStyle w:val="BodyText"/>
        <w:spacing w:line="264" w:lineRule="auto"/>
        <w:jc w:val="center"/>
        <w:rPr>
          <w:rFonts w:ascii="Arial" w:hAnsi="Arial" w:cs="Arial"/>
          <w:b/>
          <w:i w:val="0"/>
          <w:szCs w:val="24"/>
        </w:rPr>
      </w:pPr>
    </w:p>
    <w:p w14:paraId="48AA37E0" w14:textId="77777777" w:rsidR="000E7B24" w:rsidRDefault="000E7B24" w:rsidP="000E7B24">
      <w:pPr>
        <w:pStyle w:val="BodyText"/>
        <w:spacing w:line="264" w:lineRule="auto"/>
        <w:jc w:val="center"/>
        <w:rPr>
          <w:rFonts w:ascii="Arial" w:hAnsi="Arial" w:cs="Arial"/>
          <w:b/>
          <w:i w:val="0"/>
          <w:szCs w:val="24"/>
        </w:rPr>
      </w:pPr>
    </w:p>
    <w:p w14:paraId="2002DE6E" w14:textId="77777777" w:rsidR="000E7B24" w:rsidRDefault="000E7B24" w:rsidP="000E7B24">
      <w:pPr>
        <w:pStyle w:val="BodyText"/>
        <w:spacing w:line="264" w:lineRule="auto"/>
        <w:jc w:val="center"/>
        <w:rPr>
          <w:rFonts w:ascii="Arial" w:hAnsi="Arial" w:cs="Arial"/>
          <w:b/>
          <w:i w:val="0"/>
          <w:szCs w:val="24"/>
        </w:rPr>
      </w:pPr>
    </w:p>
    <w:p w14:paraId="2F7B5176" w14:textId="77777777" w:rsidR="000E7B24" w:rsidRDefault="000E7B24" w:rsidP="000E7B24">
      <w:pPr>
        <w:pStyle w:val="BodyText"/>
        <w:spacing w:line="264" w:lineRule="auto"/>
        <w:jc w:val="center"/>
        <w:rPr>
          <w:rFonts w:ascii="Arial" w:hAnsi="Arial" w:cs="Arial"/>
          <w:b/>
          <w:i w:val="0"/>
          <w:szCs w:val="24"/>
        </w:rPr>
      </w:pPr>
    </w:p>
    <w:p w14:paraId="7DEC1933" w14:textId="1AD780F7" w:rsidR="006E01C0" w:rsidRDefault="006E01C0" w:rsidP="000E7B24">
      <w:pPr>
        <w:pStyle w:val="BodyText"/>
        <w:spacing w:line="264" w:lineRule="auto"/>
        <w:jc w:val="center"/>
        <w:rPr>
          <w:rFonts w:ascii="Arial" w:hAnsi="Arial" w:cs="Arial"/>
          <w:b/>
          <w:i w:val="0"/>
          <w:szCs w:val="24"/>
        </w:rPr>
      </w:pPr>
      <w:r w:rsidRPr="005128B4">
        <w:rPr>
          <w:rFonts w:ascii="Arial" w:hAnsi="Arial" w:cs="Arial"/>
          <w:b/>
          <w:i w:val="0"/>
          <w:szCs w:val="24"/>
        </w:rPr>
        <w:lastRenderedPageBreak/>
        <w:t xml:space="preserve">Table </w:t>
      </w:r>
      <w:r w:rsidR="000E7B24">
        <w:rPr>
          <w:rFonts w:ascii="Arial" w:hAnsi="Arial" w:cs="Arial"/>
          <w:b/>
          <w:i w:val="0"/>
          <w:szCs w:val="24"/>
        </w:rPr>
        <w:t>8</w:t>
      </w:r>
      <w:r w:rsidRPr="005128B4">
        <w:rPr>
          <w:rFonts w:ascii="Arial" w:hAnsi="Arial" w:cs="Arial"/>
          <w:b/>
          <w:i w:val="0"/>
          <w:szCs w:val="24"/>
        </w:rPr>
        <w:t xml:space="preserve">. </w:t>
      </w:r>
      <w:r w:rsidRPr="00A477A0">
        <w:rPr>
          <w:rFonts w:ascii="Arial" w:hAnsi="Arial" w:cs="Arial"/>
          <w:b/>
          <w:i w:val="0"/>
          <w:szCs w:val="24"/>
        </w:rPr>
        <w:t xml:space="preserve">Executive Proposed </w:t>
      </w:r>
      <w:r>
        <w:rPr>
          <w:rFonts w:ascii="Arial" w:hAnsi="Arial" w:cs="Arial"/>
          <w:b/>
          <w:i w:val="0"/>
          <w:szCs w:val="24"/>
        </w:rPr>
        <w:t>FTEs by Agency</w:t>
      </w:r>
      <w:r w:rsidR="00353505">
        <w:rPr>
          <w:rFonts w:ascii="Arial" w:hAnsi="Arial" w:cs="Arial"/>
          <w:b/>
          <w:i w:val="0"/>
          <w:szCs w:val="24"/>
        </w:rPr>
        <w:t xml:space="preserve"> for 2021-2022 Biennium Budget</w:t>
      </w:r>
    </w:p>
    <w:p w14:paraId="3A5D687C" w14:textId="72B712BC" w:rsidR="000E7B24" w:rsidRPr="000E7B24" w:rsidRDefault="000E7B24" w:rsidP="000E7B24">
      <w:pPr>
        <w:pStyle w:val="BodyText"/>
        <w:spacing w:line="264" w:lineRule="auto"/>
        <w:jc w:val="center"/>
        <w:rPr>
          <w:rFonts w:ascii="Arial" w:hAnsi="Arial" w:cs="Arial"/>
          <w:i w:val="0"/>
          <w:sz w:val="12"/>
          <w:szCs w:val="24"/>
        </w:rPr>
      </w:pPr>
    </w:p>
    <w:p w14:paraId="0B42CA4E" w14:textId="54F6B764" w:rsidR="006E01C0" w:rsidRDefault="006A2340" w:rsidP="006E01C0">
      <w:pPr>
        <w:pStyle w:val="BodyText"/>
        <w:spacing w:line="264" w:lineRule="auto"/>
        <w:jc w:val="center"/>
        <w:rPr>
          <w:rFonts w:ascii="Arial" w:hAnsi="Arial" w:cs="Arial"/>
          <w:i w:val="0"/>
          <w:szCs w:val="24"/>
        </w:rPr>
      </w:pPr>
      <w:r w:rsidRPr="006A2340">
        <w:rPr>
          <w:noProof/>
          <w:lang w:eastAsia="ko-KR"/>
        </w:rPr>
        <w:drawing>
          <wp:inline distT="0" distB="0" distL="0" distR="0" wp14:anchorId="17E65D29" wp14:editId="7B909B99">
            <wp:extent cx="5209524" cy="64571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09524" cy="6457143"/>
                    </a:xfrm>
                    <a:prstGeom prst="rect">
                      <a:avLst/>
                    </a:prstGeom>
                  </pic:spPr>
                </pic:pic>
              </a:graphicData>
            </a:graphic>
          </wp:inline>
        </w:drawing>
      </w:r>
    </w:p>
    <w:p w14:paraId="50020899" w14:textId="39B49F59" w:rsidR="001A3238" w:rsidRDefault="001A3238" w:rsidP="007212BA">
      <w:pPr>
        <w:pStyle w:val="BodyText"/>
        <w:spacing w:line="264" w:lineRule="auto"/>
        <w:jc w:val="both"/>
        <w:rPr>
          <w:rFonts w:ascii="Arial" w:hAnsi="Arial" w:cs="Arial"/>
          <w:i w:val="0"/>
          <w:szCs w:val="24"/>
        </w:rPr>
      </w:pPr>
    </w:p>
    <w:p w14:paraId="45C94FC6" w14:textId="77777777" w:rsidR="00EA4EE2" w:rsidRDefault="00EA4EE2" w:rsidP="007212BA">
      <w:pPr>
        <w:pStyle w:val="BodyText"/>
        <w:spacing w:line="264" w:lineRule="auto"/>
        <w:jc w:val="both"/>
        <w:rPr>
          <w:rFonts w:ascii="Arial" w:hAnsi="Arial" w:cs="Arial"/>
          <w:b/>
          <w:i w:val="0"/>
          <w:szCs w:val="24"/>
        </w:rPr>
      </w:pPr>
    </w:p>
    <w:p w14:paraId="73D9E51E" w14:textId="28914D28" w:rsidR="0052504F" w:rsidRDefault="00434D4E" w:rsidP="007212BA">
      <w:pPr>
        <w:pStyle w:val="BodyText"/>
        <w:spacing w:line="264" w:lineRule="auto"/>
        <w:jc w:val="both"/>
        <w:rPr>
          <w:rFonts w:ascii="Arial" w:hAnsi="Arial" w:cs="Arial"/>
          <w:i w:val="0"/>
          <w:szCs w:val="24"/>
        </w:rPr>
      </w:pPr>
      <w:r w:rsidRPr="00CA1547">
        <w:rPr>
          <w:rFonts w:ascii="Arial" w:hAnsi="Arial" w:cs="Arial"/>
          <w:b/>
          <w:i w:val="0"/>
          <w:szCs w:val="24"/>
        </w:rPr>
        <w:t>Base Budget</w:t>
      </w:r>
      <w:r w:rsidR="00CA1547" w:rsidRPr="00CA1547">
        <w:rPr>
          <w:rFonts w:ascii="Arial" w:hAnsi="Arial" w:cs="Arial"/>
          <w:b/>
          <w:i w:val="0"/>
          <w:szCs w:val="24"/>
        </w:rPr>
        <w:t xml:space="preserve"> Assumptions.</w:t>
      </w:r>
      <w:r w:rsidR="00CA1547">
        <w:rPr>
          <w:rFonts w:ascii="Arial" w:hAnsi="Arial" w:cs="Arial"/>
          <w:i w:val="0"/>
          <w:szCs w:val="24"/>
        </w:rPr>
        <w:t xml:space="preserve">   </w:t>
      </w:r>
      <w:r w:rsidR="00A61490">
        <w:rPr>
          <w:rFonts w:ascii="Arial" w:hAnsi="Arial" w:cs="Arial"/>
          <w:i w:val="0"/>
          <w:szCs w:val="24"/>
        </w:rPr>
        <w:t>In order to maintain the 6% Ending U</w:t>
      </w:r>
      <w:r w:rsidR="003A7F07">
        <w:rPr>
          <w:rFonts w:ascii="Arial" w:hAnsi="Arial" w:cs="Arial"/>
          <w:i w:val="0"/>
          <w:szCs w:val="24"/>
        </w:rPr>
        <w:t xml:space="preserve">ndesignated Fund Balance level </w:t>
      </w:r>
      <w:r w:rsidR="00A61490">
        <w:rPr>
          <w:rFonts w:ascii="Arial" w:hAnsi="Arial" w:cs="Arial"/>
          <w:i w:val="0"/>
          <w:szCs w:val="24"/>
        </w:rPr>
        <w:t xml:space="preserve">for the General Fund, the executive is </w:t>
      </w:r>
      <w:r w:rsidR="003A7F07">
        <w:rPr>
          <w:rFonts w:ascii="Arial" w:hAnsi="Arial" w:cs="Arial"/>
          <w:i w:val="0"/>
          <w:szCs w:val="24"/>
        </w:rPr>
        <w:t xml:space="preserve">also </w:t>
      </w:r>
      <w:r w:rsidR="00A61490">
        <w:rPr>
          <w:rFonts w:ascii="Arial" w:hAnsi="Arial" w:cs="Arial"/>
          <w:i w:val="0"/>
          <w:szCs w:val="24"/>
        </w:rPr>
        <w:t xml:space="preserve">proposing </w:t>
      </w:r>
      <w:r w:rsidR="0052504F">
        <w:rPr>
          <w:rFonts w:ascii="Arial" w:hAnsi="Arial" w:cs="Arial"/>
          <w:i w:val="0"/>
          <w:szCs w:val="24"/>
        </w:rPr>
        <w:t>to minimize labor cost growth</w:t>
      </w:r>
      <w:r w:rsidR="003A7F07">
        <w:rPr>
          <w:rFonts w:ascii="Arial" w:hAnsi="Arial" w:cs="Arial"/>
          <w:i w:val="0"/>
          <w:szCs w:val="24"/>
        </w:rPr>
        <w:t xml:space="preserve">. This includes </w:t>
      </w:r>
      <w:r w:rsidR="00A61490">
        <w:rPr>
          <w:rFonts w:ascii="Arial" w:hAnsi="Arial" w:cs="Arial"/>
          <w:i w:val="0"/>
          <w:szCs w:val="24"/>
        </w:rPr>
        <w:t xml:space="preserve">no General Wage Increase (GWI) in 2021 </w:t>
      </w:r>
      <w:r w:rsidR="003A7F07">
        <w:rPr>
          <w:rFonts w:ascii="Arial" w:hAnsi="Arial" w:cs="Arial"/>
          <w:i w:val="0"/>
          <w:szCs w:val="24"/>
        </w:rPr>
        <w:t xml:space="preserve">and a 2.0% GWI for 2022 </w:t>
      </w:r>
      <w:r w:rsidR="00A61490">
        <w:rPr>
          <w:rFonts w:ascii="Arial" w:hAnsi="Arial" w:cs="Arial"/>
          <w:i w:val="0"/>
          <w:szCs w:val="24"/>
        </w:rPr>
        <w:t>for employees represented by the Master Labor Agreemen</w:t>
      </w:r>
      <w:r w:rsidR="003A7F07">
        <w:rPr>
          <w:rFonts w:ascii="Arial" w:hAnsi="Arial" w:cs="Arial"/>
          <w:i w:val="0"/>
          <w:szCs w:val="24"/>
        </w:rPr>
        <w:t>t,</w:t>
      </w:r>
      <w:r w:rsidR="00A61490">
        <w:rPr>
          <w:rFonts w:ascii="Arial" w:hAnsi="Arial" w:cs="Arial"/>
          <w:i w:val="0"/>
          <w:szCs w:val="24"/>
        </w:rPr>
        <w:t xml:space="preserve"> the Corrections Guild and non-represented employees. The executive </w:t>
      </w:r>
      <w:r w:rsidR="0052504F">
        <w:rPr>
          <w:rFonts w:ascii="Arial" w:hAnsi="Arial" w:cs="Arial"/>
          <w:i w:val="0"/>
          <w:szCs w:val="24"/>
        </w:rPr>
        <w:t xml:space="preserve">proposed budget book states that this assumption was based on the </w:t>
      </w:r>
      <w:r w:rsidR="007E2CDE">
        <w:rPr>
          <w:rFonts w:ascii="Arial" w:hAnsi="Arial" w:cs="Arial"/>
          <w:i w:val="0"/>
          <w:szCs w:val="24"/>
        </w:rPr>
        <w:t xml:space="preserve">recently adopted </w:t>
      </w:r>
      <w:r w:rsidR="0052504F">
        <w:rPr>
          <w:rFonts w:ascii="Arial" w:hAnsi="Arial" w:cs="Arial"/>
          <w:i w:val="0"/>
          <w:szCs w:val="24"/>
        </w:rPr>
        <w:t>King County Correctional Officers Guild contract. Table 9 below shows the GWI assumptions for all employees through</w:t>
      </w:r>
      <w:r w:rsidR="007E2CDE">
        <w:rPr>
          <w:rFonts w:ascii="Arial" w:hAnsi="Arial" w:cs="Arial"/>
          <w:i w:val="0"/>
          <w:szCs w:val="24"/>
        </w:rPr>
        <w:t>out the county for the proposed 2021-2022 Biennial Budget.</w:t>
      </w:r>
    </w:p>
    <w:p w14:paraId="5A8486FB" w14:textId="13454414" w:rsidR="0052504F" w:rsidRDefault="0052504F" w:rsidP="007212BA">
      <w:pPr>
        <w:pStyle w:val="BodyText"/>
        <w:spacing w:line="264" w:lineRule="auto"/>
        <w:jc w:val="both"/>
        <w:rPr>
          <w:rFonts w:ascii="Arial" w:hAnsi="Arial" w:cs="Arial"/>
          <w:i w:val="0"/>
          <w:szCs w:val="24"/>
        </w:rPr>
      </w:pPr>
    </w:p>
    <w:p w14:paraId="77A8D62D" w14:textId="6A6567E7" w:rsidR="0052504F" w:rsidRPr="0052504F" w:rsidRDefault="00F936B5" w:rsidP="007E2CDE">
      <w:pPr>
        <w:pStyle w:val="BodyText"/>
        <w:spacing w:line="264" w:lineRule="auto"/>
        <w:jc w:val="center"/>
        <w:rPr>
          <w:rFonts w:ascii="Arial" w:hAnsi="Arial" w:cs="Arial"/>
          <w:b/>
          <w:i w:val="0"/>
          <w:szCs w:val="24"/>
        </w:rPr>
      </w:pPr>
      <w:r>
        <w:rPr>
          <w:rFonts w:ascii="Arial" w:hAnsi="Arial" w:cs="Arial"/>
          <w:b/>
          <w:i w:val="0"/>
          <w:szCs w:val="24"/>
        </w:rPr>
        <w:t>Table 9</w:t>
      </w:r>
      <w:r w:rsidR="0052504F" w:rsidRPr="0052504F">
        <w:rPr>
          <w:rFonts w:ascii="Arial" w:hAnsi="Arial" w:cs="Arial"/>
          <w:b/>
          <w:i w:val="0"/>
          <w:szCs w:val="24"/>
        </w:rPr>
        <w:t>. Executive Proposed 2021-2022 Biennial Budget – GWI Assumptions</w:t>
      </w:r>
    </w:p>
    <w:p w14:paraId="240ED1A4" w14:textId="046CCC64" w:rsidR="0052504F" w:rsidRDefault="003267E5" w:rsidP="0052504F">
      <w:pPr>
        <w:pStyle w:val="BodyText"/>
        <w:spacing w:line="264" w:lineRule="auto"/>
        <w:jc w:val="center"/>
        <w:rPr>
          <w:rFonts w:ascii="Arial" w:hAnsi="Arial" w:cs="Arial"/>
          <w:i w:val="0"/>
          <w:szCs w:val="24"/>
        </w:rPr>
      </w:pPr>
      <w:r w:rsidRPr="003267E5">
        <w:rPr>
          <w:noProof/>
          <w:lang w:eastAsia="ko-KR"/>
        </w:rPr>
        <w:drawing>
          <wp:inline distT="0" distB="0" distL="0" distR="0" wp14:anchorId="5CE9BEEA" wp14:editId="0E4E05C1">
            <wp:extent cx="3638095" cy="2066667"/>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38095" cy="2066667"/>
                    </a:xfrm>
                    <a:prstGeom prst="rect">
                      <a:avLst/>
                    </a:prstGeom>
                  </pic:spPr>
                </pic:pic>
              </a:graphicData>
            </a:graphic>
          </wp:inline>
        </w:drawing>
      </w:r>
    </w:p>
    <w:p w14:paraId="39AD98B5" w14:textId="77777777" w:rsidR="0052504F" w:rsidRDefault="0052504F" w:rsidP="007212BA">
      <w:pPr>
        <w:pStyle w:val="BodyText"/>
        <w:spacing w:line="264" w:lineRule="auto"/>
        <w:jc w:val="both"/>
        <w:rPr>
          <w:rFonts w:ascii="Arial" w:hAnsi="Arial" w:cs="Arial"/>
          <w:i w:val="0"/>
          <w:szCs w:val="24"/>
        </w:rPr>
      </w:pPr>
    </w:p>
    <w:p w14:paraId="25664649" w14:textId="3CA9C7D1" w:rsidR="0067270F" w:rsidRDefault="0067270F" w:rsidP="007212BA">
      <w:pPr>
        <w:pStyle w:val="BodyText"/>
        <w:spacing w:line="264" w:lineRule="auto"/>
        <w:jc w:val="both"/>
        <w:rPr>
          <w:rFonts w:ascii="Arial" w:hAnsi="Arial" w:cs="Arial"/>
          <w:i w:val="0"/>
          <w:szCs w:val="24"/>
        </w:rPr>
      </w:pPr>
      <w:r>
        <w:rPr>
          <w:rFonts w:ascii="Arial" w:hAnsi="Arial" w:cs="Arial"/>
          <w:i w:val="0"/>
          <w:szCs w:val="24"/>
        </w:rPr>
        <w:t>In addition to the GWI assumptions, the base budget adjust</w:t>
      </w:r>
      <w:r w:rsidR="00EE7AB4">
        <w:rPr>
          <w:rFonts w:ascii="Arial" w:hAnsi="Arial" w:cs="Arial"/>
          <w:i w:val="0"/>
          <w:szCs w:val="24"/>
        </w:rPr>
        <w:t>ment of each appropriation unit</w:t>
      </w:r>
      <w:r>
        <w:rPr>
          <w:rFonts w:ascii="Arial" w:hAnsi="Arial" w:cs="Arial"/>
          <w:i w:val="0"/>
          <w:szCs w:val="24"/>
        </w:rPr>
        <w:t xml:space="preserve"> also includes other personnel costs including </w:t>
      </w:r>
      <w:r w:rsidR="003267E5">
        <w:rPr>
          <w:rFonts w:ascii="Arial" w:hAnsi="Arial" w:cs="Arial"/>
          <w:i w:val="0"/>
          <w:szCs w:val="24"/>
        </w:rPr>
        <w:t>retirement benefits, taxes, medical and dental benefits, and industrial insurance.</w:t>
      </w:r>
    </w:p>
    <w:p w14:paraId="58F2FF7D" w14:textId="191FD091" w:rsidR="003267E5" w:rsidRDefault="003267E5" w:rsidP="007212BA">
      <w:pPr>
        <w:pStyle w:val="BodyText"/>
        <w:spacing w:line="264" w:lineRule="auto"/>
        <w:jc w:val="both"/>
        <w:rPr>
          <w:rFonts w:ascii="Arial" w:hAnsi="Arial" w:cs="Arial"/>
          <w:i w:val="0"/>
          <w:szCs w:val="24"/>
        </w:rPr>
      </w:pPr>
    </w:p>
    <w:p w14:paraId="1B27C5BC" w14:textId="309D7A36" w:rsidR="008A218B" w:rsidRDefault="008A218B" w:rsidP="007212BA">
      <w:pPr>
        <w:pStyle w:val="BodyText"/>
        <w:spacing w:line="264" w:lineRule="auto"/>
        <w:jc w:val="both"/>
        <w:rPr>
          <w:rFonts w:ascii="Arial" w:hAnsi="Arial" w:cs="Arial"/>
          <w:i w:val="0"/>
          <w:szCs w:val="24"/>
        </w:rPr>
      </w:pPr>
      <w:r>
        <w:rPr>
          <w:rFonts w:ascii="Arial" w:hAnsi="Arial" w:cs="Arial"/>
          <w:b/>
          <w:i w:val="0"/>
          <w:szCs w:val="24"/>
        </w:rPr>
        <w:t>COVID-19 Response</w:t>
      </w:r>
      <w:r w:rsidRPr="00CA1547">
        <w:rPr>
          <w:rFonts w:ascii="Arial" w:hAnsi="Arial" w:cs="Arial"/>
          <w:b/>
          <w:i w:val="0"/>
          <w:szCs w:val="24"/>
        </w:rPr>
        <w:t>.</w:t>
      </w:r>
      <w:r>
        <w:rPr>
          <w:rFonts w:ascii="Arial" w:hAnsi="Arial" w:cs="Arial"/>
          <w:i w:val="0"/>
          <w:szCs w:val="24"/>
        </w:rPr>
        <w:t xml:space="preserve">   </w:t>
      </w:r>
      <w:r w:rsidR="00842803">
        <w:rPr>
          <w:rFonts w:ascii="Arial" w:hAnsi="Arial" w:cs="Arial"/>
          <w:i w:val="0"/>
          <w:szCs w:val="24"/>
        </w:rPr>
        <w:t xml:space="preserve">For some appropriation units, the base budget adjustments </w:t>
      </w:r>
      <w:r w:rsidR="00715B0C">
        <w:rPr>
          <w:rFonts w:ascii="Arial" w:hAnsi="Arial" w:cs="Arial"/>
          <w:i w:val="0"/>
          <w:szCs w:val="24"/>
        </w:rPr>
        <w:t>i</w:t>
      </w:r>
      <w:r w:rsidR="00C43E58">
        <w:rPr>
          <w:rFonts w:ascii="Arial" w:hAnsi="Arial" w:cs="Arial"/>
          <w:i w:val="0"/>
          <w:szCs w:val="24"/>
        </w:rPr>
        <w:t>nclude</w:t>
      </w:r>
      <w:r w:rsidR="00715B0C">
        <w:rPr>
          <w:rFonts w:ascii="Arial" w:hAnsi="Arial" w:cs="Arial"/>
          <w:i w:val="0"/>
          <w:szCs w:val="24"/>
        </w:rPr>
        <w:t xml:space="preserve"> the</w:t>
      </w:r>
      <w:r w:rsidR="003267E5">
        <w:rPr>
          <w:rFonts w:ascii="Arial" w:hAnsi="Arial" w:cs="Arial"/>
          <w:i w:val="0"/>
          <w:szCs w:val="24"/>
        </w:rPr>
        <w:t xml:space="preserve"> removal of one-ti</w:t>
      </w:r>
      <w:r w:rsidR="00715B0C">
        <w:rPr>
          <w:rFonts w:ascii="Arial" w:hAnsi="Arial" w:cs="Arial"/>
          <w:i w:val="0"/>
          <w:szCs w:val="24"/>
        </w:rPr>
        <w:t xml:space="preserve">me supplemental appropriations </w:t>
      </w:r>
      <w:r w:rsidR="003267E5">
        <w:rPr>
          <w:rFonts w:ascii="Arial" w:hAnsi="Arial" w:cs="Arial"/>
          <w:i w:val="0"/>
          <w:szCs w:val="24"/>
        </w:rPr>
        <w:t>related to the county’s response to the COVID-19 pandemic. According to the executive proposed budget book, the county received $575 million of federal and state funding to support the county’s response efforts to COVID-19. This include</w:t>
      </w:r>
      <w:r w:rsidR="00B02447">
        <w:rPr>
          <w:rFonts w:ascii="Arial" w:hAnsi="Arial" w:cs="Arial"/>
          <w:i w:val="0"/>
          <w:szCs w:val="24"/>
        </w:rPr>
        <w:t>d</w:t>
      </w:r>
      <w:r w:rsidR="003267E5">
        <w:rPr>
          <w:rFonts w:ascii="Arial" w:hAnsi="Arial" w:cs="Arial"/>
          <w:i w:val="0"/>
          <w:szCs w:val="24"/>
        </w:rPr>
        <w:t xml:space="preserve"> $530 million from </w:t>
      </w:r>
      <w:r w:rsidR="003267E5" w:rsidRPr="003267E5">
        <w:rPr>
          <w:rFonts w:ascii="Arial" w:hAnsi="Arial" w:cs="Arial"/>
          <w:i w:val="0"/>
          <w:szCs w:val="24"/>
        </w:rPr>
        <w:t>the Coronavirus Aid, Relief, and Economic Security (CARES) Act</w:t>
      </w:r>
      <w:r w:rsidR="003267E5">
        <w:rPr>
          <w:rFonts w:ascii="Arial" w:hAnsi="Arial" w:cs="Arial"/>
          <w:i w:val="0"/>
          <w:szCs w:val="24"/>
        </w:rPr>
        <w:t xml:space="preserve"> of which $262 million is an allocation from the </w:t>
      </w:r>
      <w:r w:rsidR="003267E5" w:rsidRPr="003267E5">
        <w:rPr>
          <w:rFonts w:ascii="Arial" w:hAnsi="Arial" w:cs="Arial"/>
          <w:i w:val="0"/>
          <w:szCs w:val="24"/>
        </w:rPr>
        <w:t>Treasury Depa</w:t>
      </w:r>
      <w:r w:rsidR="003267E5">
        <w:rPr>
          <w:rFonts w:ascii="Arial" w:hAnsi="Arial" w:cs="Arial"/>
          <w:i w:val="0"/>
          <w:szCs w:val="24"/>
        </w:rPr>
        <w:t xml:space="preserve">rtment's Coronavirus Relief Fund </w:t>
      </w:r>
      <w:r w:rsidR="00842803">
        <w:rPr>
          <w:rFonts w:ascii="Arial" w:hAnsi="Arial" w:cs="Arial"/>
          <w:i w:val="0"/>
          <w:szCs w:val="24"/>
        </w:rPr>
        <w:t>and $243 million is an allocation to support Metro Transit</w:t>
      </w:r>
      <w:r w:rsidR="003267E5">
        <w:rPr>
          <w:rFonts w:ascii="Arial" w:hAnsi="Arial" w:cs="Arial"/>
          <w:i w:val="0"/>
          <w:szCs w:val="24"/>
        </w:rPr>
        <w:t xml:space="preserve">. </w:t>
      </w:r>
      <w:r>
        <w:rPr>
          <w:rFonts w:ascii="Arial" w:hAnsi="Arial" w:cs="Arial"/>
          <w:i w:val="0"/>
          <w:szCs w:val="24"/>
        </w:rPr>
        <w:t xml:space="preserve">This amount does not include additional reimbursements that the county will receive from the Federal Emergency Management Agency (FEMA). The executive proposed budget book states that this reimbursement amount is unknown but it is estimated to be </w:t>
      </w:r>
      <w:r w:rsidR="00F864C8">
        <w:rPr>
          <w:rFonts w:ascii="Arial" w:hAnsi="Arial" w:cs="Arial"/>
          <w:i w:val="0"/>
          <w:szCs w:val="24"/>
        </w:rPr>
        <w:t xml:space="preserve">on </w:t>
      </w:r>
      <w:r>
        <w:rPr>
          <w:rFonts w:ascii="Arial" w:hAnsi="Arial" w:cs="Arial"/>
          <w:i w:val="0"/>
          <w:szCs w:val="24"/>
        </w:rPr>
        <w:t xml:space="preserve">the order of tens of millions of dollars. </w:t>
      </w:r>
    </w:p>
    <w:p w14:paraId="379F415F" w14:textId="77777777" w:rsidR="008A218B" w:rsidRDefault="008A218B" w:rsidP="007212BA">
      <w:pPr>
        <w:pStyle w:val="BodyText"/>
        <w:spacing w:line="264" w:lineRule="auto"/>
        <w:jc w:val="both"/>
        <w:rPr>
          <w:rFonts w:ascii="Arial" w:hAnsi="Arial" w:cs="Arial"/>
          <w:i w:val="0"/>
          <w:szCs w:val="24"/>
        </w:rPr>
      </w:pPr>
    </w:p>
    <w:p w14:paraId="74911A79" w14:textId="64AE425F" w:rsidR="003267E5" w:rsidRDefault="003267E5" w:rsidP="007212BA">
      <w:pPr>
        <w:pStyle w:val="BodyText"/>
        <w:spacing w:line="264" w:lineRule="auto"/>
        <w:jc w:val="both"/>
        <w:rPr>
          <w:rFonts w:ascii="Arial" w:hAnsi="Arial" w:cs="Arial"/>
          <w:i w:val="0"/>
          <w:szCs w:val="24"/>
        </w:rPr>
      </w:pPr>
      <w:r>
        <w:rPr>
          <w:rFonts w:ascii="Arial" w:hAnsi="Arial" w:cs="Arial"/>
          <w:i w:val="0"/>
          <w:szCs w:val="24"/>
        </w:rPr>
        <w:t>Through four supplemental appropriation ordinances throughout 2020, the council has appropriated the use of these funds. Thus far, the council has a</w:t>
      </w:r>
      <w:r w:rsidR="00FC4E40">
        <w:rPr>
          <w:rFonts w:ascii="Arial" w:hAnsi="Arial" w:cs="Arial"/>
          <w:i w:val="0"/>
          <w:szCs w:val="24"/>
        </w:rPr>
        <w:t>ppropriated $275</w:t>
      </w:r>
      <w:r w:rsidR="00B714D8">
        <w:rPr>
          <w:rFonts w:ascii="Arial" w:hAnsi="Arial" w:cs="Arial"/>
          <w:i w:val="0"/>
          <w:szCs w:val="24"/>
        </w:rPr>
        <w:t xml:space="preserve"> million to support the county’s COVID-19 pandemic response </w:t>
      </w:r>
      <w:r w:rsidR="00C43E58">
        <w:rPr>
          <w:rFonts w:ascii="Arial" w:hAnsi="Arial" w:cs="Arial"/>
          <w:i w:val="0"/>
          <w:szCs w:val="24"/>
        </w:rPr>
        <w:t>by</w:t>
      </w:r>
      <w:r w:rsidR="00B714D8">
        <w:rPr>
          <w:rFonts w:ascii="Arial" w:hAnsi="Arial" w:cs="Arial"/>
          <w:i w:val="0"/>
          <w:szCs w:val="24"/>
        </w:rPr>
        <w:t xml:space="preserve"> various agencies. Table 10 below provides a breakdown </w:t>
      </w:r>
      <w:r w:rsidR="00B02447">
        <w:rPr>
          <w:rFonts w:ascii="Arial" w:hAnsi="Arial" w:cs="Arial"/>
          <w:i w:val="0"/>
          <w:szCs w:val="24"/>
        </w:rPr>
        <w:t xml:space="preserve">of </w:t>
      </w:r>
      <w:r w:rsidR="00B714D8">
        <w:rPr>
          <w:rFonts w:ascii="Arial" w:hAnsi="Arial" w:cs="Arial"/>
          <w:i w:val="0"/>
          <w:szCs w:val="24"/>
        </w:rPr>
        <w:t>the supplemental appro</w:t>
      </w:r>
      <w:r w:rsidR="00B02447">
        <w:rPr>
          <w:rFonts w:ascii="Arial" w:hAnsi="Arial" w:cs="Arial"/>
          <w:i w:val="0"/>
          <w:szCs w:val="24"/>
        </w:rPr>
        <w:t>priations by appropriation unit.</w:t>
      </w:r>
      <w:r w:rsidR="007B54BF" w:rsidRPr="007B54BF">
        <w:rPr>
          <w:rFonts w:ascii="Arial" w:hAnsi="Arial" w:cs="Arial"/>
          <w:i w:val="0"/>
          <w:szCs w:val="24"/>
        </w:rPr>
        <w:t xml:space="preserve"> </w:t>
      </w:r>
      <w:r w:rsidR="007B54BF">
        <w:rPr>
          <w:rFonts w:ascii="Arial" w:hAnsi="Arial" w:cs="Arial"/>
          <w:i w:val="0"/>
          <w:szCs w:val="24"/>
        </w:rPr>
        <w:t>The $243 million allocation to Metro Transit will not require council’s appropriation authority since such funding can be used to support revenue losses as a result of the COVID-19 pandemic.</w:t>
      </w:r>
    </w:p>
    <w:p w14:paraId="4312620D" w14:textId="1EEA2B67" w:rsidR="00B02447" w:rsidRDefault="00B02447" w:rsidP="007212BA">
      <w:pPr>
        <w:pStyle w:val="BodyText"/>
        <w:spacing w:line="264" w:lineRule="auto"/>
        <w:jc w:val="both"/>
        <w:rPr>
          <w:rFonts w:ascii="Arial" w:hAnsi="Arial" w:cs="Arial"/>
          <w:i w:val="0"/>
          <w:szCs w:val="24"/>
        </w:rPr>
      </w:pPr>
    </w:p>
    <w:p w14:paraId="7EFAE96A" w14:textId="68C68D68" w:rsidR="00181EFA" w:rsidRDefault="0052255C" w:rsidP="0052255C">
      <w:pPr>
        <w:pStyle w:val="BodyText"/>
        <w:spacing w:line="264" w:lineRule="auto"/>
        <w:jc w:val="both"/>
        <w:rPr>
          <w:rFonts w:ascii="Arial" w:hAnsi="Arial" w:cs="Arial"/>
          <w:i w:val="0"/>
          <w:szCs w:val="24"/>
        </w:rPr>
      </w:pPr>
      <w:r>
        <w:rPr>
          <w:rFonts w:ascii="Arial" w:hAnsi="Arial" w:cs="Arial"/>
          <w:i w:val="0"/>
          <w:szCs w:val="24"/>
        </w:rPr>
        <w:t>Of note, the executive’s proposed budget does not include any appropriations to support the county’s COVID response in 2021. The executive proposed budget book states that an estimated $100 million would be needed to continue the current Public Health response, continue to operate the isolation, quarantine and de-escalation facilities throughout the county</w:t>
      </w:r>
      <w:r w:rsidR="00C43E58">
        <w:rPr>
          <w:rFonts w:ascii="Arial" w:hAnsi="Arial" w:cs="Arial"/>
          <w:i w:val="0"/>
          <w:szCs w:val="24"/>
        </w:rPr>
        <w:t xml:space="preserve"> through 2021</w:t>
      </w:r>
      <w:r>
        <w:rPr>
          <w:rFonts w:ascii="Arial" w:hAnsi="Arial" w:cs="Arial"/>
          <w:i w:val="0"/>
          <w:szCs w:val="24"/>
        </w:rPr>
        <w:t xml:space="preserve">. The State does have federal funding to support the county’s Public Health efforts but the state legislature has not appropriated such funds and therefore is not included in the executive proposed budget. In addition, </w:t>
      </w:r>
      <w:r>
        <w:rPr>
          <w:rFonts w:ascii="Arial" w:hAnsi="Arial" w:cs="Arial"/>
          <w:i w:val="0"/>
          <w:szCs w:val="24"/>
        </w:rPr>
        <w:lastRenderedPageBreak/>
        <w:t>Congress has not taken any action on additional federal funding and therefore such revenues and corresponding appropriations are not proposed in the executive</w:t>
      </w:r>
      <w:r w:rsidR="00A32390">
        <w:rPr>
          <w:rFonts w:ascii="Arial" w:hAnsi="Arial" w:cs="Arial"/>
          <w:i w:val="0"/>
          <w:szCs w:val="24"/>
        </w:rPr>
        <w:t>’s</w:t>
      </w:r>
      <w:r>
        <w:rPr>
          <w:rFonts w:ascii="Arial" w:hAnsi="Arial" w:cs="Arial"/>
          <w:i w:val="0"/>
          <w:szCs w:val="24"/>
        </w:rPr>
        <w:t xml:space="preserve"> budget.</w:t>
      </w:r>
    </w:p>
    <w:p w14:paraId="037AC26C" w14:textId="0C35355E" w:rsidR="00181EFA" w:rsidRDefault="00181EFA" w:rsidP="007B54BF">
      <w:pPr>
        <w:pStyle w:val="BodyText"/>
        <w:spacing w:line="264" w:lineRule="auto"/>
        <w:rPr>
          <w:rFonts w:ascii="Arial" w:hAnsi="Arial" w:cs="Arial"/>
          <w:b/>
          <w:i w:val="0"/>
          <w:szCs w:val="24"/>
        </w:rPr>
      </w:pPr>
    </w:p>
    <w:p w14:paraId="188FC56B" w14:textId="5E650A15" w:rsidR="00B02447" w:rsidRDefault="00181EFA" w:rsidP="0052255C">
      <w:pPr>
        <w:pStyle w:val="BodyText"/>
        <w:spacing w:line="264" w:lineRule="auto"/>
        <w:jc w:val="center"/>
        <w:rPr>
          <w:rFonts w:ascii="Arial" w:hAnsi="Arial" w:cs="Arial"/>
          <w:b/>
          <w:i w:val="0"/>
          <w:szCs w:val="24"/>
        </w:rPr>
      </w:pPr>
      <w:r w:rsidRPr="00181EFA">
        <w:rPr>
          <w:rFonts w:ascii="Arial" w:hAnsi="Arial" w:cs="Arial"/>
          <w:b/>
          <w:i w:val="0"/>
          <w:szCs w:val="24"/>
        </w:rPr>
        <w:t>Table 10. 2020 Appropriations related to COVID-19 Pandemic Resp</w:t>
      </w:r>
      <w:r w:rsidR="00A15950">
        <w:rPr>
          <w:rFonts w:ascii="Arial" w:hAnsi="Arial" w:cs="Arial"/>
          <w:b/>
          <w:i w:val="0"/>
          <w:szCs w:val="24"/>
        </w:rPr>
        <w:t>onse</w:t>
      </w:r>
    </w:p>
    <w:p w14:paraId="3D708522" w14:textId="1969C1D7" w:rsidR="00181EFA" w:rsidRPr="00181EFA" w:rsidRDefault="00181EFA" w:rsidP="00181EFA">
      <w:pPr>
        <w:pStyle w:val="BodyText"/>
        <w:spacing w:line="264" w:lineRule="auto"/>
        <w:jc w:val="center"/>
        <w:rPr>
          <w:rFonts w:ascii="Arial" w:hAnsi="Arial" w:cs="Arial"/>
          <w:i w:val="0"/>
          <w:sz w:val="14"/>
          <w:szCs w:val="24"/>
        </w:rPr>
      </w:pPr>
    </w:p>
    <w:p w14:paraId="607010AD" w14:textId="27BCE1B4" w:rsidR="003267E5" w:rsidRDefault="00FC4E40" w:rsidP="007B54BF">
      <w:pPr>
        <w:pStyle w:val="BodyText"/>
        <w:spacing w:line="264" w:lineRule="auto"/>
        <w:jc w:val="center"/>
        <w:rPr>
          <w:rFonts w:ascii="Arial" w:hAnsi="Arial" w:cs="Arial"/>
          <w:i w:val="0"/>
          <w:szCs w:val="24"/>
        </w:rPr>
      </w:pPr>
      <w:r w:rsidRPr="00FC4E40">
        <w:rPr>
          <w:noProof/>
          <w:lang w:eastAsia="ko-KR"/>
        </w:rPr>
        <w:drawing>
          <wp:inline distT="0" distB="0" distL="0" distR="0" wp14:anchorId="142B7DA7" wp14:editId="3DD8D5EE">
            <wp:extent cx="5810250" cy="66197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14832" cy="6624932"/>
                    </a:xfrm>
                    <a:prstGeom prst="rect">
                      <a:avLst/>
                    </a:prstGeom>
                  </pic:spPr>
                </pic:pic>
              </a:graphicData>
            </a:graphic>
          </wp:inline>
        </w:drawing>
      </w:r>
    </w:p>
    <w:p w14:paraId="6882B2DA" w14:textId="736F54D2" w:rsidR="00434D4E" w:rsidRDefault="00434D4E" w:rsidP="007212BA">
      <w:pPr>
        <w:pStyle w:val="BodyText"/>
        <w:spacing w:line="264" w:lineRule="auto"/>
        <w:jc w:val="both"/>
        <w:rPr>
          <w:rFonts w:ascii="Arial" w:hAnsi="Arial" w:cs="Arial"/>
          <w:i w:val="0"/>
          <w:szCs w:val="24"/>
        </w:rPr>
      </w:pPr>
    </w:p>
    <w:p w14:paraId="0F067341" w14:textId="3C5A9356" w:rsidR="00434D4E" w:rsidRDefault="00434D4E" w:rsidP="00930962">
      <w:pPr>
        <w:pStyle w:val="BodyText"/>
        <w:spacing w:line="264" w:lineRule="auto"/>
        <w:jc w:val="both"/>
        <w:rPr>
          <w:rFonts w:ascii="Arial" w:hAnsi="Arial" w:cs="Arial"/>
          <w:i w:val="0"/>
          <w:szCs w:val="24"/>
        </w:rPr>
      </w:pPr>
      <w:r w:rsidRPr="00930962">
        <w:rPr>
          <w:rFonts w:ascii="Arial" w:hAnsi="Arial" w:cs="Arial"/>
          <w:b/>
          <w:i w:val="0"/>
          <w:szCs w:val="24"/>
        </w:rPr>
        <w:t>Investment Pool, Debt Ratio and Bond Ratings</w:t>
      </w:r>
      <w:r w:rsidR="006702B9" w:rsidRPr="00930962">
        <w:rPr>
          <w:rFonts w:ascii="Arial" w:hAnsi="Arial" w:cs="Arial"/>
          <w:b/>
          <w:i w:val="0"/>
          <w:szCs w:val="24"/>
        </w:rPr>
        <w:t>.</w:t>
      </w:r>
      <w:r w:rsidR="006702B9">
        <w:rPr>
          <w:rFonts w:ascii="Arial" w:hAnsi="Arial" w:cs="Arial"/>
          <w:i w:val="0"/>
          <w:szCs w:val="24"/>
        </w:rPr>
        <w:t xml:space="preserve">   </w:t>
      </w:r>
      <w:r w:rsidR="00930962">
        <w:rPr>
          <w:rFonts w:ascii="Arial" w:hAnsi="Arial" w:cs="Arial"/>
          <w:i w:val="0"/>
          <w:szCs w:val="24"/>
        </w:rPr>
        <w:t xml:space="preserve">As discussed above, the executive state that maintaining a 6% Ending Undesignated Fund Balance level will allow the county to maintain its AAA bond rating with the three credit agencies (Moody’s, Fitch and Standard and Poor’s), which is the highest possible ratings for county general obligation bonds. Executive staff state </w:t>
      </w:r>
      <w:r w:rsidR="00A15950">
        <w:rPr>
          <w:rFonts w:ascii="Arial" w:hAnsi="Arial" w:cs="Arial"/>
          <w:i w:val="0"/>
          <w:szCs w:val="24"/>
        </w:rPr>
        <w:t>recent</w:t>
      </w:r>
      <w:r w:rsidR="00930962">
        <w:rPr>
          <w:rFonts w:ascii="Arial" w:hAnsi="Arial" w:cs="Arial"/>
          <w:i w:val="0"/>
          <w:szCs w:val="24"/>
        </w:rPr>
        <w:t xml:space="preserve"> rating calls with </w:t>
      </w:r>
      <w:r w:rsidR="00A15950">
        <w:rPr>
          <w:rFonts w:ascii="Arial" w:hAnsi="Arial" w:cs="Arial"/>
          <w:i w:val="0"/>
          <w:szCs w:val="24"/>
        </w:rPr>
        <w:t>the</w:t>
      </w:r>
      <w:r w:rsidR="00930962">
        <w:rPr>
          <w:rFonts w:ascii="Arial" w:hAnsi="Arial" w:cs="Arial"/>
          <w:i w:val="0"/>
          <w:szCs w:val="24"/>
        </w:rPr>
        <w:t xml:space="preserve"> three rating agencies </w:t>
      </w:r>
      <w:r w:rsidR="00A15950">
        <w:rPr>
          <w:rFonts w:ascii="Arial" w:hAnsi="Arial" w:cs="Arial"/>
          <w:i w:val="0"/>
          <w:szCs w:val="24"/>
        </w:rPr>
        <w:lastRenderedPageBreak/>
        <w:t xml:space="preserve">indicate that </w:t>
      </w:r>
      <w:r w:rsidR="00930962">
        <w:rPr>
          <w:rFonts w:ascii="Arial" w:hAnsi="Arial" w:cs="Arial"/>
          <w:i w:val="0"/>
          <w:szCs w:val="24"/>
        </w:rPr>
        <w:t>the county</w:t>
      </w:r>
      <w:r w:rsidR="00A15950">
        <w:rPr>
          <w:rFonts w:ascii="Arial" w:hAnsi="Arial" w:cs="Arial"/>
          <w:i w:val="0"/>
          <w:szCs w:val="24"/>
        </w:rPr>
        <w:t xml:space="preserve"> will most likely maintain its </w:t>
      </w:r>
      <w:r w:rsidR="00D2433E">
        <w:rPr>
          <w:rFonts w:ascii="Arial" w:hAnsi="Arial" w:cs="Arial"/>
          <w:i w:val="0"/>
          <w:szCs w:val="24"/>
        </w:rPr>
        <w:t>credit rating</w:t>
      </w:r>
      <w:r w:rsidR="00930962">
        <w:rPr>
          <w:rFonts w:ascii="Arial" w:hAnsi="Arial" w:cs="Arial"/>
          <w:i w:val="0"/>
          <w:szCs w:val="24"/>
        </w:rPr>
        <w:t xml:space="preserve"> despite the eco</w:t>
      </w:r>
      <w:r w:rsidR="00D2433E">
        <w:rPr>
          <w:rFonts w:ascii="Arial" w:hAnsi="Arial" w:cs="Arial"/>
          <w:i w:val="0"/>
          <w:szCs w:val="24"/>
        </w:rPr>
        <w:t>nomic conditions of the county and the reduction of the Ending Undesignated Fund Balance levels from 8% to 6%.</w:t>
      </w:r>
    </w:p>
    <w:p w14:paraId="0616F5FC" w14:textId="59194A6B" w:rsidR="00930962" w:rsidRDefault="00930962" w:rsidP="00930962">
      <w:pPr>
        <w:pStyle w:val="BodyText"/>
        <w:spacing w:line="264" w:lineRule="auto"/>
        <w:jc w:val="both"/>
        <w:rPr>
          <w:rFonts w:ascii="Arial" w:hAnsi="Arial" w:cs="Arial"/>
          <w:i w:val="0"/>
          <w:szCs w:val="24"/>
        </w:rPr>
      </w:pPr>
    </w:p>
    <w:p w14:paraId="3A48D87E" w14:textId="6D3708E0" w:rsidR="00930962" w:rsidRDefault="00930962" w:rsidP="00930962">
      <w:pPr>
        <w:pStyle w:val="BodyText"/>
        <w:spacing w:line="264" w:lineRule="auto"/>
        <w:jc w:val="both"/>
        <w:rPr>
          <w:rFonts w:ascii="Arial" w:hAnsi="Arial" w:cs="Arial"/>
          <w:i w:val="0"/>
          <w:szCs w:val="24"/>
        </w:rPr>
      </w:pPr>
      <w:r>
        <w:rPr>
          <w:rFonts w:ascii="Arial" w:hAnsi="Arial" w:cs="Arial"/>
          <w:i w:val="0"/>
          <w:szCs w:val="24"/>
        </w:rPr>
        <w:t>The executive proposed budget book states that the debt service limit is proposed to be about 3.7% in 2021 and 3.9% in 2022. This is below the debt service limit of 6% set by county policy for the General Fund. In addition, the county’s limited tax general obligation debt capacity is $9.6 billion, which is based on the countywide assessed value. According to the executive proposed budget book, as of the end of 2019, the county has only used $2.5 billion of debt capacity.</w:t>
      </w:r>
    </w:p>
    <w:p w14:paraId="4627EBEE" w14:textId="716D9510" w:rsidR="006702B9" w:rsidRDefault="006702B9" w:rsidP="00434D4E">
      <w:pPr>
        <w:pStyle w:val="BodyText"/>
        <w:spacing w:line="264" w:lineRule="auto"/>
        <w:jc w:val="both"/>
        <w:rPr>
          <w:rFonts w:ascii="Arial" w:hAnsi="Arial" w:cs="Arial"/>
          <w:i w:val="0"/>
          <w:szCs w:val="24"/>
        </w:rPr>
      </w:pPr>
    </w:p>
    <w:p w14:paraId="13FC6BE5" w14:textId="6869B574" w:rsidR="006702B9" w:rsidRDefault="00930962" w:rsidP="00434D4E">
      <w:pPr>
        <w:pStyle w:val="BodyText"/>
        <w:spacing w:line="264" w:lineRule="auto"/>
        <w:jc w:val="both"/>
        <w:rPr>
          <w:rFonts w:ascii="Arial" w:hAnsi="Arial" w:cs="Arial"/>
          <w:i w:val="0"/>
          <w:szCs w:val="24"/>
        </w:rPr>
      </w:pPr>
      <w:r>
        <w:rPr>
          <w:rFonts w:ascii="Arial" w:hAnsi="Arial" w:cs="Arial"/>
          <w:i w:val="0"/>
          <w:noProof/>
          <w:szCs w:val="24"/>
          <w:lang w:eastAsia="ko-KR"/>
        </w:rPr>
        <w:t xml:space="preserve">Lastly, it should be noted that </w:t>
      </w:r>
      <w:r w:rsidR="00EA08B7">
        <w:rPr>
          <w:rFonts w:ascii="Arial" w:hAnsi="Arial" w:cs="Arial"/>
          <w:i w:val="0"/>
          <w:noProof/>
          <w:szCs w:val="24"/>
          <w:lang w:eastAsia="ko-KR"/>
        </w:rPr>
        <w:t>the county’s investment pool, which invests cash reserves for all county agencies, special levy districts</w:t>
      </w:r>
      <w:r w:rsidR="0025332A">
        <w:rPr>
          <w:rFonts w:ascii="Arial" w:hAnsi="Arial" w:cs="Arial"/>
          <w:i w:val="0"/>
          <w:noProof/>
          <w:szCs w:val="24"/>
          <w:lang w:eastAsia="ko-KR"/>
        </w:rPr>
        <w:t>,</w:t>
      </w:r>
      <w:r w:rsidR="00EA08B7">
        <w:rPr>
          <w:rFonts w:ascii="Arial" w:hAnsi="Arial" w:cs="Arial"/>
          <w:i w:val="0"/>
          <w:noProof/>
          <w:szCs w:val="24"/>
          <w:lang w:eastAsia="ko-KR"/>
        </w:rPr>
        <w:t xml:space="preserve"> and public authorities, currently holds </w:t>
      </w:r>
      <w:r w:rsidR="0025332A">
        <w:rPr>
          <w:rFonts w:ascii="Arial" w:hAnsi="Arial" w:cs="Arial"/>
          <w:i w:val="0"/>
          <w:noProof/>
          <w:szCs w:val="24"/>
          <w:lang w:eastAsia="ko-KR"/>
        </w:rPr>
        <w:t xml:space="preserve">approximately </w:t>
      </w:r>
      <w:r w:rsidR="00EA08B7">
        <w:rPr>
          <w:rFonts w:ascii="Arial" w:hAnsi="Arial" w:cs="Arial"/>
          <w:i w:val="0"/>
          <w:noProof/>
          <w:szCs w:val="24"/>
          <w:lang w:eastAsia="ko-KR"/>
        </w:rPr>
        <w:t>$8 billion.</w:t>
      </w:r>
    </w:p>
    <w:p w14:paraId="16F06627" w14:textId="0B9CC7EC" w:rsidR="006702B9" w:rsidRDefault="006702B9" w:rsidP="00434D4E">
      <w:pPr>
        <w:pStyle w:val="BodyText"/>
        <w:spacing w:line="264" w:lineRule="auto"/>
        <w:jc w:val="both"/>
        <w:rPr>
          <w:rFonts w:ascii="Arial" w:hAnsi="Arial" w:cs="Arial"/>
          <w:i w:val="0"/>
          <w:szCs w:val="24"/>
        </w:rPr>
      </w:pPr>
    </w:p>
    <w:p w14:paraId="722A75D5" w14:textId="32075E42" w:rsidR="00434D4E" w:rsidRPr="00E33EDF" w:rsidRDefault="00434D4E" w:rsidP="007212BA">
      <w:pPr>
        <w:pStyle w:val="BodyText"/>
        <w:spacing w:line="264" w:lineRule="auto"/>
        <w:jc w:val="both"/>
        <w:rPr>
          <w:rFonts w:ascii="Arial" w:hAnsi="Arial" w:cs="Arial"/>
          <w:b/>
          <w:szCs w:val="24"/>
        </w:rPr>
      </w:pPr>
      <w:r w:rsidRPr="00E33EDF">
        <w:rPr>
          <w:rFonts w:ascii="Arial" w:hAnsi="Arial" w:cs="Arial"/>
          <w:b/>
          <w:szCs w:val="24"/>
        </w:rPr>
        <w:t>Related Legislation</w:t>
      </w:r>
    </w:p>
    <w:p w14:paraId="0F828E7C" w14:textId="2E724BFA" w:rsidR="000D2793" w:rsidRDefault="00E33EDF" w:rsidP="00E33EDF">
      <w:pPr>
        <w:pStyle w:val="BodyText"/>
        <w:spacing w:line="264" w:lineRule="auto"/>
        <w:jc w:val="both"/>
        <w:rPr>
          <w:rFonts w:ascii="Arial" w:hAnsi="Arial" w:cs="Arial"/>
          <w:i w:val="0"/>
          <w:szCs w:val="24"/>
        </w:rPr>
      </w:pPr>
      <w:r>
        <w:rPr>
          <w:rFonts w:ascii="Arial" w:hAnsi="Arial" w:cs="Arial"/>
          <w:i w:val="0"/>
          <w:szCs w:val="24"/>
        </w:rPr>
        <w:t xml:space="preserve">Along with the proposed 2021-2022 biennial budget ordinance, the executive has also transmitted related legislation that would support the executive’s proposed budget. </w:t>
      </w:r>
      <w:r w:rsidR="000D2793">
        <w:rPr>
          <w:rFonts w:ascii="Arial" w:hAnsi="Arial" w:cs="Arial"/>
          <w:i w:val="0"/>
          <w:szCs w:val="24"/>
        </w:rPr>
        <w:t xml:space="preserve">Attachment </w:t>
      </w:r>
      <w:r w:rsidR="006E6E16">
        <w:rPr>
          <w:rFonts w:ascii="Arial" w:hAnsi="Arial" w:cs="Arial"/>
          <w:i w:val="0"/>
          <w:szCs w:val="24"/>
        </w:rPr>
        <w:t xml:space="preserve">1 </w:t>
      </w:r>
      <w:r w:rsidR="000D2793">
        <w:rPr>
          <w:rFonts w:ascii="Arial" w:hAnsi="Arial" w:cs="Arial"/>
          <w:i w:val="0"/>
          <w:szCs w:val="24"/>
        </w:rPr>
        <w:t xml:space="preserve">of </w:t>
      </w:r>
      <w:r w:rsidR="006E6E16">
        <w:rPr>
          <w:rFonts w:ascii="Arial" w:hAnsi="Arial" w:cs="Arial"/>
          <w:i w:val="0"/>
          <w:szCs w:val="24"/>
        </w:rPr>
        <w:t>the staff report includes the executive transmittal letter that summarizes all of the related legislation</w:t>
      </w:r>
      <w:r w:rsidR="000D2793">
        <w:rPr>
          <w:rFonts w:ascii="Arial" w:hAnsi="Arial" w:cs="Arial"/>
          <w:i w:val="0"/>
          <w:szCs w:val="24"/>
        </w:rPr>
        <w:t xml:space="preserve"> that was transmitted along with the budget ordinance</w:t>
      </w:r>
      <w:r w:rsidR="006E6E16">
        <w:rPr>
          <w:rFonts w:ascii="Arial" w:hAnsi="Arial" w:cs="Arial"/>
          <w:i w:val="0"/>
          <w:szCs w:val="24"/>
        </w:rPr>
        <w:t xml:space="preserve">. </w:t>
      </w:r>
      <w:r>
        <w:rPr>
          <w:rFonts w:ascii="Arial" w:hAnsi="Arial" w:cs="Arial"/>
          <w:i w:val="0"/>
          <w:szCs w:val="24"/>
        </w:rPr>
        <w:t xml:space="preserve">The following </w:t>
      </w:r>
      <w:r w:rsidR="00D2645C">
        <w:rPr>
          <w:rFonts w:ascii="Arial" w:hAnsi="Arial" w:cs="Arial"/>
          <w:i w:val="0"/>
          <w:szCs w:val="24"/>
        </w:rPr>
        <w:t xml:space="preserve">list </w:t>
      </w:r>
      <w:r>
        <w:rPr>
          <w:rFonts w:ascii="Arial" w:hAnsi="Arial" w:cs="Arial"/>
          <w:i w:val="0"/>
          <w:szCs w:val="24"/>
        </w:rPr>
        <w:t xml:space="preserve">highlights </w:t>
      </w:r>
      <w:r w:rsidR="006E6E16">
        <w:rPr>
          <w:rFonts w:ascii="Arial" w:hAnsi="Arial" w:cs="Arial"/>
          <w:i w:val="0"/>
          <w:szCs w:val="24"/>
        </w:rPr>
        <w:t xml:space="preserve">the notable </w:t>
      </w:r>
      <w:r>
        <w:rPr>
          <w:rFonts w:ascii="Arial" w:hAnsi="Arial" w:cs="Arial"/>
          <w:i w:val="0"/>
          <w:szCs w:val="24"/>
        </w:rPr>
        <w:t xml:space="preserve">legislation </w:t>
      </w:r>
      <w:r w:rsidR="003B41C1">
        <w:rPr>
          <w:rFonts w:ascii="Arial" w:hAnsi="Arial" w:cs="Arial"/>
          <w:i w:val="0"/>
          <w:szCs w:val="24"/>
        </w:rPr>
        <w:t>for possible council action</w:t>
      </w:r>
      <w:r>
        <w:rPr>
          <w:rFonts w:ascii="Arial" w:hAnsi="Arial" w:cs="Arial"/>
          <w:i w:val="0"/>
          <w:szCs w:val="24"/>
        </w:rPr>
        <w:t>:</w:t>
      </w:r>
    </w:p>
    <w:p w14:paraId="089E264D" w14:textId="77777777" w:rsidR="000D2793" w:rsidRDefault="000D2793" w:rsidP="00E33EDF">
      <w:pPr>
        <w:pStyle w:val="BodyText"/>
        <w:spacing w:line="264" w:lineRule="auto"/>
        <w:jc w:val="both"/>
        <w:rPr>
          <w:rFonts w:ascii="Arial" w:hAnsi="Arial" w:cs="Arial"/>
          <w:i w:val="0"/>
          <w:szCs w:val="24"/>
        </w:rPr>
      </w:pPr>
    </w:p>
    <w:p w14:paraId="4B3C646B" w14:textId="7ECCD87D" w:rsidR="006655C9" w:rsidRDefault="006655C9" w:rsidP="006655C9">
      <w:pPr>
        <w:pStyle w:val="BodyText"/>
        <w:numPr>
          <w:ilvl w:val="0"/>
          <w:numId w:val="46"/>
        </w:numPr>
        <w:spacing w:line="264" w:lineRule="auto"/>
        <w:jc w:val="both"/>
        <w:rPr>
          <w:rFonts w:ascii="Arial" w:hAnsi="Arial" w:cs="Arial"/>
          <w:i w:val="0"/>
          <w:szCs w:val="24"/>
        </w:rPr>
      </w:pPr>
      <w:r w:rsidRPr="003B41C1">
        <w:rPr>
          <w:rFonts w:ascii="Arial" w:hAnsi="Arial" w:cs="Arial"/>
          <w:b/>
          <w:i w:val="0"/>
          <w:szCs w:val="24"/>
        </w:rPr>
        <w:t>Housing Sales Tax</w:t>
      </w:r>
      <w:r w:rsidR="003B41C1">
        <w:rPr>
          <w:rFonts w:ascii="Arial" w:hAnsi="Arial" w:cs="Arial"/>
          <w:i w:val="0"/>
          <w:szCs w:val="24"/>
        </w:rPr>
        <w:t xml:space="preserve"> – </w:t>
      </w:r>
      <w:r w:rsidR="00E33EDF">
        <w:rPr>
          <w:rFonts w:ascii="Arial" w:hAnsi="Arial" w:cs="Arial"/>
          <w:i w:val="0"/>
          <w:szCs w:val="24"/>
        </w:rPr>
        <w:t xml:space="preserve">Proposed </w:t>
      </w:r>
      <w:r w:rsidR="00C3216D">
        <w:rPr>
          <w:rFonts w:ascii="Arial" w:hAnsi="Arial" w:cs="Arial"/>
          <w:i w:val="0"/>
          <w:szCs w:val="24"/>
        </w:rPr>
        <w:t>O</w:t>
      </w:r>
      <w:r w:rsidR="00E33EDF">
        <w:rPr>
          <w:rFonts w:ascii="Arial" w:hAnsi="Arial" w:cs="Arial"/>
          <w:i w:val="0"/>
          <w:szCs w:val="24"/>
        </w:rPr>
        <w:t>rdinance</w:t>
      </w:r>
      <w:r w:rsidR="00C3216D">
        <w:rPr>
          <w:rFonts w:ascii="Arial" w:hAnsi="Arial" w:cs="Arial"/>
          <w:i w:val="0"/>
          <w:szCs w:val="24"/>
        </w:rPr>
        <w:t xml:space="preserve"> 2020-0337 would</w:t>
      </w:r>
      <w:r w:rsidR="00E33EDF">
        <w:rPr>
          <w:rFonts w:ascii="Arial" w:hAnsi="Arial" w:cs="Arial"/>
          <w:i w:val="0"/>
          <w:szCs w:val="24"/>
        </w:rPr>
        <w:t xml:space="preserve"> authorize the levying of a councilmanic 0.1% sales tax as authorized by HB 15</w:t>
      </w:r>
      <w:r w:rsidR="00B35DFE">
        <w:rPr>
          <w:rFonts w:ascii="Arial" w:hAnsi="Arial" w:cs="Arial"/>
          <w:i w:val="0"/>
          <w:szCs w:val="24"/>
        </w:rPr>
        <w:t>90 to support affordable housing and behavioral health.</w:t>
      </w:r>
      <w:r w:rsidR="00C3216D">
        <w:rPr>
          <w:rStyle w:val="FootnoteReference"/>
          <w:rFonts w:ascii="Arial" w:hAnsi="Arial" w:cs="Arial"/>
          <w:i w:val="0"/>
          <w:szCs w:val="24"/>
        </w:rPr>
        <w:footnoteReference w:id="3"/>
      </w:r>
    </w:p>
    <w:p w14:paraId="381D23A4" w14:textId="77777777" w:rsidR="000D2793" w:rsidRDefault="000D2793" w:rsidP="000D2793">
      <w:pPr>
        <w:pStyle w:val="BodyText"/>
        <w:spacing w:line="264" w:lineRule="auto"/>
        <w:ind w:left="720"/>
        <w:jc w:val="both"/>
        <w:rPr>
          <w:rFonts w:ascii="Arial" w:hAnsi="Arial" w:cs="Arial"/>
          <w:i w:val="0"/>
          <w:szCs w:val="24"/>
        </w:rPr>
      </w:pPr>
    </w:p>
    <w:p w14:paraId="1B5F8005" w14:textId="139A25FB" w:rsidR="003B41C1" w:rsidRDefault="006655C9" w:rsidP="003B41C1">
      <w:pPr>
        <w:pStyle w:val="BodyText"/>
        <w:numPr>
          <w:ilvl w:val="0"/>
          <w:numId w:val="46"/>
        </w:numPr>
        <w:spacing w:line="264" w:lineRule="auto"/>
        <w:jc w:val="both"/>
        <w:rPr>
          <w:rFonts w:ascii="Arial" w:hAnsi="Arial" w:cs="Arial"/>
          <w:i w:val="0"/>
          <w:szCs w:val="24"/>
        </w:rPr>
      </w:pPr>
      <w:r w:rsidRPr="003B41C1">
        <w:rPr>
          <w:rFonts w:ascii="Arial" w:hAnsi="Arial" w:cs="Arial"/>
          <w:b/>
          <w:i w:val="0"/>
          <w:szCs w:val="24"/>
        </w:rPr>
        <w:t>Use of Rainy Day Funds</w:t>
      </w:r>
      <w:r w:rsidR="003B41C1">
        <w:rPr>
          <w:rFonts w:ascii="Arial" w:hAnsi="Arial" w:cs="Arial"/>
          <w:i w:val="0"/>
          <w:szCs w:val="24"/>
        </w:rPr>
        <w:t xml:space="preserve"> – Proposed </w:t>
      </w:r>
      <w:r w:rsidR="00D2645C">
        <w:rPr>
          <w:rFonts w:ascii="Arial" w:hAnsi="Arial" w:cs="Arial"/>
          <w:i w:val="0"/>
          <w:szCs w:val="24"/>
        </w:rPr>
        <w:t>Ordinance 2020-0324 would</w:t>
      </w:r>
      <w:r w:rsidR="003B41C1">
        <w:rPr>
          <w:rFonts w:ascii="Arial" w:hAnsi="Arial" w:cs="Arial"/>
          <w:i w:val="0"/>
          <w:szCs w:val="24"/>
        </w:rPr>
        <w:t xml:space="preserve"> authorize the use $4 million of rainy day reserve funds to support the operation of isolation/quarantine and shelter de-intensification facilities for one month in 2021 in response to the COVID-19 pandemic</w:t>
      </w:r>
      <w:r w:rsidR="00B35DFE">
        <w:rPr>
          <w:rFonts w:ascii="Arial" w:hAnsi="Arial" w:cs="Arial"/>
          <w:i w:val="0"/>
          <w:szCs w:val="24"/>
        </w:rPr>
        <w:t>.</w:t>
      </w:r>
    </w:p>
    <w:p w14:paraId="035A986B" w14:textId="6AA9B80D" w:rsidR="000D2793" w:rsidRPr="003B41C1" w:rsidRDefault="000D2793" w:rsidP="000D2793">
      <w:pPr>
        <w:pStyle w:val="BodyText"/>
        <w:spacing w:line="264" w:lineRule="auto"/>
        <w:jc w:val="both"/>
        <w:rPr>
          <w:rFonts w:ascii="Arial" w:hAnsi="Arial" w:cs="Arial"/>
          <w:i w:val="0"/>
          <w:szCs w:val="24"/>
        </w:rPr>
      </w:pPr>
    </w:p>
    <w:p w14:paraId="0EEC7946" w14:textId="3F1893EA" w:rsidR="006655C9" w:rsidRDefault="006655C9" w:rsidP="003B41C1">
      <w:pPr>
        <w:pStyle w:val="BodyText"/>
        <w:numPr>
          <w:ilvl w:val="0"/>
          <w:numId w:val="46"/>
        </w:numPr>
        <w:spacing w:line="264" w:lineRule="auto"/>
        <w:jc w:val="both"/>
        <w:rPr>
          <w:rFonts w:ascii="Arial" w:hAnsi="Arial" w:cs="Arial"/>
          <w:i w:val="0"/>
          <w:szCs w:val="24"/>
        </w:rPr>
      </w:pPr>
      <w:r w:rsidRPr="003B41C1">
        <w:rPr>
          <w:rFonts w:ascii="Arial" w:hAnsi="Arial" w:cs="Arial"/>
          <w:b/>
          <w:i w:val="0"/>
          <w:szCs w:val="24"/>
        </w:rPr>
        <w:t>Emergency Budget Crisi</w:t>
      </w:r>
      <w:r w:rsidR="003B41C1" w:rsidRPr="003B41C1">
        <w:rPr>
          <w:rFonts w:ascii="Arial" w:hAnsi="Arial" w:cs="Arial"/>
          <w:b/>
          <w:i w:val="0"/>
          <w:szCs w:val="24"/>
        </w:rPr>
        <w:t>s</w:t>
      </w:r>
      <w:r w:rsidR="003B41C1">
        <w:rPr>
          <w:rFonts w:ascii="Arial" w:hAnsi="Arial" w:cs="Arial"/>
          <w:i w:val="0"/>
          <w:szCs w:val="24"/>
        </w:rPr>
        <w:t xml:space="preserve"> – Proposed </w:t>
      </w:r>
      <w:r w:rsidR="000E2CFC">
        <w:rPr>
          <w:rFonts w:ascii="Arial" w:hAnsi="Arial" w:cs="Arial"/>
          <w:i w:val="0"/>
          <w:szCs w:val="24"/>
        </w:rPr>
        <w:t>Ordinances 2020-0323 and 2020-0317 would</w:t>
      </w:r>
      <w:r w:rsidR="003B41C1">
        <w:rPr>
          <w:rFonts w:ascii="Arial" w:hAnsi="Arial" w:cs="Arial"/>
          <w:i w:val="0"/>
          <w:szCs w:val="24"/>
        </w:rPr>
        <w:t xml:space="preserve"> proclaim an emergency budget crisis to allow implementation of furloughs and </w:t>
      </w:r>
      <w:r w:rsidR="000E2CFC">
        <w:rPr>
          <w:rFonts w:ascii="Arial" w:hAnsi="Arial" w:cs="Arial"/>
          <w:i w:val="0"/>
          <w:szCs w:val="24"/>
        </w:rPr>
        <w:t xml:space="preserve">make </w:t>
      </w:r>
      <w:r w:rsidR="003B41C1">
        <w:rPr>
          <w:rFonts w:ascii="Arial" w:hAnsi="Arial" w:cs="Arial"/>
          <w:i w:val="0"/>
          <w:szCs w:val="24"/>
        </w:rPr>
        <w:t>code changes related to county furlough provisions.</w:t>
      </w:r>
    </w:p>
    <w:p w14:paraId="770EEC88" w14:textId="60C5CD29" w:rsidR="000D2793" w:rsidRDefault="000D2793" w:rsidP="000D2793">
      <w:pPr>
        <w:pStyle w:val="ListParagraph0"/>
        <w:rPr>
          <w:rFonts w:ascii="Arial" w:hAnsi="Arial" w:cs="Arial"/>
          <w:i/>
        </w:rPr>
      </w:pPr>
    </w:p>
    <w:p w14:paraId="672E047C" w14:textId="730FCFEB" w:rsidR="00012201" w:rsidRPr="00012201" w:rsidRDefault="003B41C1" w:rsidP="00012201">
      <w:pPr>
        <w:pStyle w:val="BodyText"/>
        <w:numPr>
          <w:ilvl w:val="0"/>
          <w:numId w:val="46"/>
        </w:numPr>
        <w:spacing w:line="264" w:lineRule="auto"/>
        <w:jc w:val="both"/>
        <w:rPr>
          <w:rFonts w:ascii="Arial" w:hAnsi="Arial" w:cs="Arial"/>
          <w:i w:val="0"/>
          <w:szCs w:val="24"/>
        </w:rPr>
      </w:pPr>
      <w:r w:rsidRPr="003B41C1">
        <w:rPr>
          <w:rFonts w:ascii="Arial" w:hAnsi="Arial" w:cs="Arial"/>
          <w:b/>
          <w:i w:val="0"/>
          <w:szCs w:val="24"/>
        </w:rPr>
        <w:t xml:space="preserve">General Wage Increases </w:t>
      </w:r>
      <w:r>
        <w:rPr>
          <w:rFonts w:ascii="Arial" w:hAnsi="Arial" w:cs="Arial"/>
          <w:b/>
          <w:i w:val="0"/>
          <w:szCs w:val="24"/>
        </w:rPr>
        <w:t xml:space="preserve">(GWI) </w:t>
      </w:r>
      <w:r w:rsidRPr="003B41C1">
        <w:rPr>
          <w:rFonts w:ascii="Arial" w:hAnsi="Arial" w:cs="Arial"/>
          <w:b/>
          <w:i w:val="0"/>
          <w:szCs w:val="24"/>
        </w:rPr>
        <w:t>for Non-Represented Employees</w:t>
      </w:r>
      <w:r>
        <w:rPr>
          <w:rFonts w:ascii="Arial" w:hAnsi="Arial" w:cs="Arial"/>
          <w:i w:val="0"/>
          <w:szCs w:val="24"/>
        </w:rPr>
        <w:t xml:space="preserve"> – Proposed </w:t>
      </w:r>
      <w:r w:rsidR="00136FCE">
        <w:rPr>
          <w:rFonts w:ascii="Arial" w:hAnsi="Arial" w:cs="Arial"/>
          <w:i w:val="0"/>
          <w:szCs w:val="24"/>
        </w:rPr>
        <w:t>O</w:t>
      </w:r>
      <w:r>
        <w:rPr>
          <w:rFonts w:ascii="Arial" w:hAnsi="Arial" w:cs="Arial"/>
          <w:i w:val="0"/>
          <w:szCs w:val="24"/>
        </w:rPr>
        <w:t xml:space="preserve">rdinance </w:t>
      </w:r>
      <w:r w:rsidR="00136FCE">
        <w:rPr>
          <w:rFonts w:ascii="Arial" w:hAnsi="Arial" w:cs="Arial"/>
          <w:i w:val="0"/>
          <w:szCs w:val="24"/>
        </w:rPr>
        <w:t xml:space="preserve">2020-0316 would </w:t>
      </w:r>
      <w:r>
        <w:rPr>
          <w:rFonts w:ascii="Arial" w:hAnsi="Arial" w:cs="Arial"/>
          <w:i w:val="0"/>
          <w:szCs w:val="24"/>
        </w:rPr>
        <w:t xml:space="preserve">adopt the </w:t>
      </w:r>
      <w:r w:rsidR="00012201">
        <w:rPr>
          <w:rFonts w:ascii="Arial" w:hAnsi="Arial" w:cs="Arial"/>
          <w:i w:val="0"/>
          <w:szCs w:val="24"/>
        </w:rPr>
        <w:t xml:space="preserve">2021-2022 Salary Schedules </w:t>
      </w:r>
      <w:r>
        <w:rPr>
          <w:rFonts w:ascii="Arial" w:hAnsi="Arial" w:cs="Arial"/>
          <w:i w:val="0"/>
          <w:szCs w:val="24"/>
        </w:rPr>
        <w:t>which would allow a 0.0% GWI for 2021 and 2.0% GWI for 2022.</w:t>
      </w:r>
    </w:p>
    <w:p w14:paraId="01C219EA" w14:textId="40A84FC0" w:rsidR="0082281C" w:rsidRDefault="0082281C" w:rsidP="00F25C6B">
      <w:pPr>
        <w:pStyle w:val="BodyText"/>
        <w:spacing w:line="264" w:lineRule="auto"/>
        <w:jc w:val="both"/>
        <w:rPr>
          <w:rFonts w:ascii="Arial" w:hAnsi="Arial" w:cs="Arial"/>
          <w:i w:val="0"/>
          <w:szCs w:val="24"/>
        </w:rPr>
      </w:pPr>
    </w:p>
    <w:p w14:paraId="54F01BB0" w14:textId="4293DCD5" w:rsidR="00B24961" w:rsidRDefault="00293D02" w:rsidP="00F25C6B">
      <w:pPr>
        <w:pStyle w:val="BodyText"/>
        <w:spacing w:line="264" w:lineRule="auto"/>
        <w:jc w:val="both"/>
        <w:rPr>
          <w:rFonts w:ascii="Arial" w:hAnsi="Arial" w:cs="Arial"/>
          <w:b/>
          <w:i w:val="0"/>
          <w:szCs w:val="24"/>
          <w:u w:val="single"/>
        </w:rPr>
      </w:pPr>
      <w:r w:rsidRPr="001C4B19">
        <w:rPr>
          <w:rFonts w:ascii="Arial" w:hAnsi="Arial" w:cs="Arial"/>
          <w:b/>
          <w:i w:val="0"/>
          <w:szCs w:val="24"/>
          <w:u w:val="single"/>
        </w:rPr>
        <w:t>ATTACHMENTS</w:t>
      </w:r>
    </w:p>
    <w:p w14:paraId="3D8BBB42" w14:textId="77777777" w:rsidR="007B54BF" w:rsidRPr="001C4B19" w:rsidRDefault="007B54BF" w:rsidP="00F25C6B">
      <w:pPr>
        <w:pStyle w:val="BodyText"/>
        <w:spacing w:line="264" w:lineRule="auto"/>
        <w:jc w:val="both"/>
        <w:rPr>
          <w:rFonts w:ascii="Arial" w:hAnsi="Arial" w:cs="Arial"/>
          <w:i w:val="0"/>
          <w:szCs w:val="24"/>
        </w:rPr>
      </w:pPr>
    </w:p>
    <w:p w14:paraId="06FF0B2F" w14:textId="540099A0" w:rsidR="003C2932" w:rsidRPr="006702B9" w:rsidRDefault="00C521D8" w:rsidP="00F25C6B">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Transmittal Letter</w:t>
      </w:r>
    </w:p>
    <w:sectPr w:rsidR="003C2932" w:rsidRPr="006702B9" w:rsidSect="00C75025">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008" w:right="1440" w:bottom="1080" w:left="1440" w:header="576"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DAEB6" w16cid:durableId="232160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99D" w14:textId="77777777" w:rsidR="00CB297A" w:rsidRDefault="00CB297A">
      <w:r>
        <w:separator/>
      </w:r>
    </w:p>
  </w:endnote>
  <w:endnote w:type="continuationSeparator" w:id="0">
    <w:p w14:paraId="69201DA3" w14:textId="77777777" w:rsidR="00CB297A" w:rsidRDefault="00CB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E3D7" w14:textId="77777777" w:rsidR="003267E5" w:rsidRDefault="0032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0DBC" w14:textId="77777777" w:rsidR="003267E5" w:rsidRDefault="00326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35D1" w14:textId="77777777" w:rsidR="003267E5" w:rsidRDefault="0032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88038" w14:textId="77777777" w:rsidR="00CB297A" w:rsidRDefault="00CB297A">
      <w:r>
        <w:separator/>
      </w:r>
    </w:p>
  </w:footnote>
  <w:footnote w:type="continuationSeparator" w:id="0">
    <w:p w14:paraId="6AC00617" w14:textId="77777777" w:rsidR="00CB297A" w:rsidRDefault="00CB297A">
      <w:r>
        <w:continuationSeparator/>
      </w:r>
    </w:p>
  </w:footnote>
  <w:footnote w:id="1">
    <w:p w14:paraId="089FC6B3" w14:textId="0495D2B3" w:rsidR="003267E5" w:rsidRDefault="003267E5">
      <w:pPr>
        <w:pStyle w:val="FootnoteText"/>
      </w:pPr>
      <w:r>
        <w:rPr>
          <w:rStyle w:val="FootnoteReference"/>
        </w:rPr>
        <w:footnoteRef/>
      </w:r>
      <w:r>
        <w:t xml:space="preserve"> For example,</w:t>
      </w:r>
      <w:r w:rsidRPr="005628BF">
        <w:t xml:space="preserve"> $82 million for Transit Hybrid and Electric fleet, $15 million acquisition of Downtown Public Health Center</w:t>
      </w:r>
      <w:r>
        <w:t>, $83 million for PSERN, $24 million for KC Correctional Facility Emergency Water pipe Replacement, etc.</w:t>
      </w:r>
    </w:p>
  </w:footnote>
  <w:footnote w:id="2">
    <w:p w14:paraId="03D01C76" w14:textId="1141EC31" w:rsidR="003267E5" w:rsidRDefault="003267E5">
      <w:pPr>
        <w:pStyle w:val="FootnoteText"/>
      </w:pPr>
      <w:r>
        <w:rPr>
          <w:rStyle w:val="FootnoteReference"/>
        </w:rPr>
        <w:footnoteRef/>
      </w:r>
      <w:r>
        <w:t xml:space="preserve"> The BSK levy will expire</w:t>
      </w:r>
      <w:r w:rsidRPr="008D0E0D">
        <w:t xml:space="preserve"> at the end of 2021.</w:t>
      </w:r>
    </w:p>
  </w:footnote>
  <w:footnote w:id="3">
    <w:p w14:paraId="30173490" w14:textId="7863CCDC" w:rsidR="00C3216D" w:rsidRDefault="00C3216D">
      <w:pPr>
        <w:pStyle w:val="FootnoteText"/>
      </w:pPr>
      <w:r>
        <w:rPr>
          <w:rStyle w:val="FootnoteReference"/>
        </w:rPr>
        <w:footnoteRef/>
      </w:r>
      <w:r>
        <w:t xml:space="preserve"> Note that the Executive transmitted Proposed Ordinance 2020-03</w:t>
      </w:r>
      <w:r w:rsidR="0078670F">
        <w:t xml:space="preserve">11, which would impose </w:t>
      </w:r>
      <w:r w:rsidR="00B54371">
        <w:t xml:space="preserve">a housing sales tax.  However, the Council introduced and plans to consider an alternate version (Proposed Ordinance 2020-0337).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86BD" w14:textId="77777777" w:rsidR="003267E5" w:rsidRDefault="00326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5CC2" w14:textId="77777777" w:rsidR="003267E5" w:rsidRDefault="00326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E359" w14:textId="77777777" w:rsidR="003267E5" w:rsidRDefault="003267E5" w:rsidP="00C75025">
    <w:pPr>
      <w:jc w:val="center"/>
    </w:pPr>
    <w:r>
      <w:rPr>
        <w:noProof/>
        <w:lang w:eastAsia="ko-KR"/>
      </w:rPr>
      <w:drawing>
        <wp:inline distT="0" distB="0" distL="0" distR="0" wp14:anchorId="3AE25819" wp14:editId="185A7DF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085C0CC" w14:textId="77777777" w:rsidR="003267E5" w:rsidRPr="003B03EF" w:rsidRDefault="003267E5" w:rsidP="00C75025">
    <w:pPr>
      <w:jc w:val="center"/>
      <w:rPr>
        <w:rFonts w:ascii="Arial" w:hAnsi="Arial"/>
        <w:szCs w:val="22"/>
      </w:rPr>
    </w:pPr>
  </w:p>
  <w:p w14:paraId="1642286E" w14:textId="77777777" w:rsidR="003267E5" w:rsidRDefault="003267E5" w:rsidP="00C75025">
    <w:pPr>
      <w:jc w:val="center"/>
      <w:rPr>
        <w:rFonts w:ascii="Verdana" w:hAnsi="Verdana"/>
        <w:b/>
        <w:sz w:val="28"/>
        <w:szCs w:val="28"/>
      </w:rPr>
    </w:pPr>
    <w:r>
      <w:rPr>
        <w:rFonts w:ascii="Verdana" w:hAnsi="Verdana"/>
        <w:b/>
        <w:sz w:val="28"/>
        <w:szCs w:val="28"/>
      </w:rPr>
      <w:t>Metropolitan King County Council</w:t>
    </w:r>
  </w:p>
  <w:p w14:paraId="0315C108" w14:textId="77777777" w:rsidR="003267E5" w:rsidRPr="004A1D48" w:rsidRDefault="003267E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137426"/>
    <w:multiLevelType w:val="hybridMultilevel"/>
    <w:tmpl w:val="373C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150981"/>
    <w:multiLevelType w:val="hybridMultilevel"/>
    <w:tmpl w:val="9AF4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C02D44"/>
    <w:multiLevelType w:val="hybridMultilevel"/>
    <w:tmpl w:val="861A3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12"/>
  </w:num>
  <w:num w:numId="4">
    <w:abstractNumId w:val="45"/>
  </w:num>
  <w:num w:numId="5">
    <w:abstractNumId w:val="42"/>
  </w:num>
  <w:num w:numId="6">
    <w:abstractNumId w:val="13"/>
  </w:num>
  <w:num w:numId="7">
    <w:abstractNumId w:val="43"/>
  </w:num>
  <w:num w:numId="8">
    <w:abstractNumId w:val="15"/>
  </w:num>
  <w:num w:numId="9">
    <w:abstractNumId w:val="3"/>
  </w:num>
  <w:num w:numId="10">
    <w:abstractNumId w:val="44"/>
  </w:num>
  <w:num w:numId="11">
    <w:abstractNumId w:val="2"/>
  </w:num>
  <w:num w:numId="12">
    <w:abstractNumId w:val="18"/>
  </w:num>
  <w:num w:numId="13">
    <w:abstractNumId w:val="24"/>
  </w:num>
  <w:num w:numId="14">
    <w:abstractNumId w:val="17"/>
  </w:num>
  <w:num w:numId="15">
    <w:abstractNumId w:val="26"/>
  </w:num>
  <w:num w:numId="16">
    <w:abstractNumId w:val="16"/>
  </w:num>
  <w:num w:numId="17">
    <w:abstractNumId w:val="37"/>
  </w:num>
  <w:num w:numId="18">
    <w:abstractNumId w:val="25"/>
  </w:num>
  <w:num w:numId="19">
    <w:abstractNumId w:val="34"/>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31"/>
  </w:num>
  <w:num w:numId="30">
    <w:abstractNumId w:val="1"/>
  </w:num>
  <w:num w:numId="31">
    <w:abstractNumId w:val="36"/>
  </w:num>
  <w:num w:numId="32">
    <w:abstractNumId w:val="38"/>
  </w:num>
  <w:num w:numId="33">
    <w:abstractNumId w:val="14"/>
  </w:num>
  <w:num w:numId="34">
    <w:abstractNumId w:val="11"/>
  </w:num>
  <w:num w:numId="35">
    <w:abstractNumId w:val="7"/>
  </w:num>
  <w:num w:numId="36">
    <w:abstractNumId w:val="30"/>
  </w:num>
  <w:num w:numId="37">
    <w:abstractNumId w:val="39"/>
  </w:num>
  <w:num w:numId="38">
    <w:abstractNumId w:val="21"/>
  </w:num>
  <w:num w:numId="39">
    <w:abstractNumId w:val="35"/>
  </w:num>
  <w:num w:numId="40">
    <w:abstractNumId w:val="32"/>
  </w:num>
  <w:num w:numId="41">
    <w:abstractNumId w:val="40"/>
  </w:num>
  <w:num w:numId="42">
    <w:abstractNumId w:val="29"/>
  </w:num>
  <w:num w:numId="43">
    <w:abstractNumId w:val="20"/>
  </w:num>
  <w:num w:numId="44">
    <w:abstractNumId w:val="22"/>
  </w:num>
  <w:num w:numId="45">
    <w:abstractNumId w:val="28"/>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201"/>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2D80"/>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26C1"/>
    <w:rsid w:val="000736F6"/>
    <w:rsid w:val="00074A56"/>
    <w:rsid w:val="000766A2"/>
    <w:rsid w:val="00076F58"/>
    <w:rsid w:val="00080295"/>
    <w:rsid w:val="00081382"/>
    <w:rsid w:val="00082009"/>
    <w:rsid w:val="0008218C"/>
    <w:rsid w:val="0008325A"/>
    <w:rsid w:val="00086A9B"/>
    <w:rsid w:val="00087BF6"/>
    <w:rsid w:val="000913B6"/>
    <w:rsid w:val="00091EED"/>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F72"/>
    <w:rsid w:val="000B650C"/>
    <w:rsid w:val="000B70C3"/>
    <w:rsid w:val="000C20E2"/>
    <w:rsid w:val="000C299B"/>
    <w:rsid w:val="000C311D"/>
    <w:rsid w:val="000C44B1"/>
    <w:rsid w:val="000C4BA4"/>
    <w:rsid w:val="000C4E99"/>
    <w:rsid w:val="000C4E9C"/>
    <w:rsid w:val="000C6442"/>
    <w:rsid w:val="000C6C3F"/>
    <w:rsid w:val="000C6F99"/>
    <w:rsid w:val="000D077F"/>
    <w:rsid w:val="000D097E"/>
    <w:rsid w:val="000D0F7A"/>
    <w:rsid w:val="000D2793"/>
    <w:rsid w:val="000D4A15"/>
    <w:rsid w:val="000D5202"/>
    <w:rsid w:val="000D6835"/>
    <w:rsid w:val="000D699D"/>
    <w:rsid w:val="000D6C72"/>
    <w:rsid w:val="000E0684"/>
    <w:rsid w:val="000E1BAB"/>
    <w:rsid w:val="000E1CD3"/>
    <w:rsid w:val="000E2CFC"/>
    <w:rsid w:val="000E4781"/>
    <w:rsid w:val="000E7B24"/>
    <w:rsid w:val="000E7EFC"/>
    <w:rsid w:val="000F29F5"/>
    <w:rsid w:val="000F4DCA"/>
    <w:rsid w:val="000F5E4A"/>
    <w:rsid w:val="00103094"/>
    <w:rsid w:val="00105382"/>
    <w:rsid w:val="0010576B"/>
    <w:rsid w:val="00106179"/>
    <w:rsid w:val="001062E7"/>
    <w:rsid w:val="001074C3"/>
    <w:rsid w:val="00110AC4"/>
    <w:rsid w:val="00111799"/>
    <w:rsid w:val="00113B09"/>
    <w:rsid w:val="0011409C"/>
    <w:rsid w:val="00116C8B"/>
    <w:rsid w:val="00117D3D"/>
    <w:rsid w:val="0012001C"/>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6FCE"/>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239C"/>
    <w:rsid w:val="00163DEF"/>
    <w:rsid w:val="0016552E"/>
    <w:rsid w:val="00166774"/>
    <w:rsid w:val="001702C8"/>
    <w:rsid w:val="00170C6A"/>
    <w:rsid w:val="001718C9"/>
    <w:rsid w:val="00171FE0"/>
    <w:rsid w:val="001738AC"/>
    <w:rsid w:val="00173D99"/>
    <w:rsid w:val="00174080"/>
    <w:rsid w:val="00174BB6"/>
    <w:rsid w:val="00174FEE"/>
    <w:rsid w:val="00177734"/>
    <w:rsid w:val="00181EFA"/>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238"/>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064"/>
    <w:rsid w:val="001F018C"/>
    <w:rsid w:val="001F1B21"/>
    <w:rsid w:val="001F3766"/>
    <w:rsid w:val="001F3996"/>
    <w:rsid w:val="001F447F"/>
    <w:rsid w:val="001F4FC3"/>
    <w:rsid w:val="001F5169"/>
    <w:rsid w:val="001F6119"/>
    <w:rsid w:val="001F624F"/>
    <w:rsid w:val="001F64BD"/>
    <w:rsid w:val="002005DF"/>
    <w:rsid w:val="00201498"/>
    <w:rsid w:val="00202D9F"/>
    <w:rsid w:val="002054F9"/>
    <w:rsid w:val="002072C9"/>
    <w:rsid w:val="0020735A"/>
    <w:rsid w:val="0020779D"/>
    <w:rsid w:val="0021093C"/>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5013"/>
    <w:rsid w:val="00236BA3"/>
    <w:rsid w:val="002413EE"/>
    <w:rsid w:val="00243C8C"/>
    <w:rsid w:val="00243CB5"/>
    <w:rsid w:val="002443A8"/>
    <w:rsid w:val="00246276"/>
    <w:rsid w:val="0024797C"/>
    <w:rsid w:val="00250071"/>
    <w:rsid w:val="00250B96"/>
    <w:rsid w:val="00251853"/>
    <w:rsid w:val="00251FAC"/>
    <w:rsid w:val="00253303"/>
    <w:rsid w:val="0025332A"/>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25A4"/>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754C"/>
    <w:rsid w:val="002B0E1F"/>
    <w:rsid w:val="002B2431"/>
    <w:rsid w:val="002B376D"/>
    <w:rsid w:val="002B76A4"/>
    <w:rsid w:val="002B7D72"/>
    <w:rsid w:val="002C13D3"/>
    <w:rsid w:val="002C1543"/>
    <w:rsid w:val="002C42B2"/>
    <w:rsid w:val="002C4D38"/>
    <w:rsid w:val="002C625A"/>
    <w:rsid w:val="002D1993"/>
    <w:rsid w:val="002D6D64"/>
    <w:rsid w:val="002E0D01"/>
    <w:rsid w:val="002E0EBA"/>
    <w:rsid w:val="002E4150"/>
    <w:rsid w:val="002E6164"/>
    <w:rsid w:val="002E61CB"/>
    <w:rsid w:val="002E6554"/>
    <w:rsid w:val="002E6838"/>
    <w:rsid w:val="002E71BD"/>
    <w:rsid w:val="002F3DFD"/>
    <w:rsid w:val="002F6129"/>
    <w:rsid w:val="003002A0"/>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33E0"/>
    <w:rsid w:val="003260D6"/>
    <w:rsid w:val="003267E5"/>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505"/>
    <w:rsid w:val="003536EA"/>
    <w:rsid w:val="00353F01"/>
    <w:rsid w:val="00355729"/>
    <w:rsid w:val="00356FD8"/>
    <w:rsid w:val="00361436"/>
    <w:rsid w:val="003616DB"/>
    <w:rsid w:val="00362EF8"/>
    <w:rsid w:val="00363CBA"/>
    <w:rsid w:val="003648B8"/>
    <w:rsid w:val="00364A19"/>
    <w:rsid w:val="00365DAD"/>
    <w:rsid w:val="00366F46"/>
    <w:rsid w:val="00367E02"/>
    <w:rsid w:val="00370E4F"/>
    <w:rsid w:val="00372554"/>
    <w:rsid w:val="00372D58"/>
    <w:rsid w:val="00373578"/>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7474"/>
    <w:rsid w:val="003A7F07"/>
    <w:rsid w:val="003B0446"/>
    <w:rsid w:val="003B09C1"/>
    <w:rsid w:val="003B184F"/>
    <w:rsid w:val="003B1B3D"/>
    <w:rsid w:val="003B2D4C"/>
    <w:rsid w:val="003B3318"/>
    <w:rsid w:val="003B3572"/>
    <w:rsid w:val="003B41C1"/>
    <w:rsid w:val="003B4653"/>
    <w:rsid w:val="003B52A7"/>
    <w:rsid w:val="003C027F"/>
    <w:rsid w:val="003C1C48"/>
    <w:rsid w:val="003C2932"/>
    <w:rsid w:val="003C3117"/>
    <w:rsid w:val="003C31C2"/>
    <w:rsid w:val="003C3AE8"/>
    <w:rsid w:val="003C6B62"/>
    <w:rsid w:val="003C7596"/>
    <w:rsid w:val="003C78B5"/>
    <w:rsid w:val="003D06D2"/>
    <w:rsid w:val="003D1399"/>
    <w:rsid w:val="003D24A2"/>
    <w:rsid w:val="003D38C9"/>
    <w:rsid w:val="003D3E56"/>
    <w:rsid w:val="003D7347"/>
    <w:rsid w:val="003E0A75"/>
    <w:rsid w:val="003E2957"/>
    <w:rsid w:val="003E32E3"/>
    <w:rsid w:val="003E52FC"/>
    <w:rsid w:val="003E54B1"/>
    <w:rsid w:val="003F252B"/>
    <w:rsid w:val="003F3805"/>
    <w:rsid w:val="003F5569"/>
    <w:rsid w:val="003F635B"/>
    <w:rsid w:val="003F7F18"/>
    <w:rsid w:val="004004FE"/>
    <w:rsid w:val="00400A17"/>
    <w:rsid w:val="00400C1C"/>
    <w:rsid w:val="00401E29"/>
    <w:rsid w:val="00402D08"/>
    <w:rsid w:val="00403695"/>
    <w:rsid w:val="00404F31"/>
    <w:rsid w:val="00405402"/>
    <w:rsid w:val="004070CC"/>
    <w:rsid w:val="004079CC"/>
    <w:rsid w:val="00411A5C"/>
    <w:rsid w:val="00413BB8"/>
    <w:rsid w:val="0041435C"/>
    <w:rsid w:val="00415029"/>
    <w:rsid w:val="00415C99"/>
    <w:rsid w:val="004164CB"/>
    <w:rsid w:val="00416EC1"/>
    <w:rsid w:val="00421A90"/>
    <w:rsid w:val="00421B59"/>
    <w:rsid w:val="00421D84"/>
    <w:rsid w:val="00422570"/>
    <w:rsid w:val="00422ED9"/>
    <w:rsid w:val="00423F29"/>
    <w:rsid w:val="00424662"/>
    <w:rsid w:val="004256F9"/>
    <w:rsid w:val="004257A9"/>
    <w:rsid w:val="00426722"/>
    <w:rsid w:val="00431EEF"/>
    <w:rsid w:val="00433E5C"/>
    <w:rsid w:val="004349B7"/>
    <w:rsid w:val="00434D4E"/>
    <w:rsid w:val="00436DD2"/>
    <w:rsid w:val="0043717B"/>
    <w:rsid w:val="00437287"/>
    <w:rsid w:val="004412EB"/>
    <w:rsid w:val="00447B01"/>
    <w:rsid w:val="00450155"/>
    <w:rsid w:val="0045274D"/>
    <w:rsid w:val="00452DA1"/>
    <w:rsid w:val="004556C2"/>
    <w:rsid w:val="00455FE6"/>
    <w:rsid w:val="004561B3"/>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7731B"/>
    <w:rsid w:val="0048143B"/>
    <w:rsid w:val="00482087"/>
    <w:rsid w:val="004821C0"/>
    <w:rsid w:val="00483F1A"/>
    <w:rsid w:val="0048608E"/>
    <w:rsid w:val="0048657D"/>
    <w:rsid w:val="00486B52"/>
    <w:rsid w:val="00486B5E"/>
    <w:rsid w:val="0048715C"/>
    <w:rsid w:val="00487295"/>
    <w:rsid w:val="00490068"/>
    <w:rsid w:val="004900A4"/>
    <w:rsid w:val="00490B18"/>
    <w:rsid w:val="00491481"/>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C28"/>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4ECC"/>
    <w:rsid w:val="004E646C"/>
    <w:rsid w:val="004E6D1D"/>
    <w:rsid w:val="004F0FCB"/>
    <w:rsid w:val="004F3BE6"/>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8B4"/>
    <w:rsid w:val="00512D34"/>
    <w:rsid w:val="00512F16"/>
    <w:rsid w:val="00515150"/>
    <w:rsid w:val="00515368"/>
    <w:rsid w:val="005161FC"/>
    <w:rsid w:val="00516686"/>
    <w:rsid w:val="00517442"/>
    <w:rsid w:val="005218F6"/>
    <w:rsid w:val="0052255C"/>
    <w:rsid w:val="00522D68"/>
    <w:rsid w:val="0052504F"/>
    <w:rsid w:val="00527709"/>
    <w:rsid w:val="0053306D"/>
    <w:rsid w:val="00537A1F"/>
    <w:rsid w:val="00537B98"/>
    <w:rsid w:val="00541E71"/>
    <w:rsid w:val="00543BB1"/>
    <w:rsid w:val="005461D9"/>
    <w:rsid w:val="0054685E"/>
    <w:rsid w:val="00547D83"/>
    <w:rsid w:val="00547FA2"/>
    <w:rsid w:val="00550611"/>
    <w:rsid w:val="00551D64"/>
    <w:rsid w:val="00554CE6"/>
    <w:rsid w:val="00554DD2"/>
    <w:rsid w:val="00554E38"/>
    <w:rsid w:val="005572A4"/>
    <w:rsid w:val="00557EA9"/>
    <w:rsid w:val="0056061E"/>
    <w:rsid w:val="0056091F"/>
    <w:rsid w:val="00560D50"/>
    <w:rsid w:val="00561804"/>
    <w:rsid w:val="00561E7C"/>
    <w:rsid w:val="005621CF"/>
    <w:rsid w:val="005628BF"/>
    <w:rsid w:val="0056311F"/>
    <w:rsid w:val="00564B10"/>
    <w:rsid w:val="00564DEE"/>
    <w:rsid w:val="00565716"/>
    <w:rsid w:val="005670E3"/>
    <w:rsid w:val="005676A9"/>
    <w:rsid w:val="00567752"/>
    <w:rsid w:val="005678AA"/>
    <w:rsid w:val="0057198B"/>
    <w:rsid w:val="00571FF0"/>
    <w:rsid w:val="00575B03"/>
    <w:rsid w:val="00576BCE"/>
    <w:rsid w:val="00580771"/>
    <w:rsid w:val="00581625"/>
    <w:rsid w:val="00581978"/>
    <w:rsid w:val="00581B47"/>
    <w:rsid w:val="00581C94"/>
    <w:rsid w:val="0058291D"/>
    <w:rsid w:val="00583A0C"/>
    <w:rsid w:val="00586250"/>
    <w:rsid w:val="005878CE"/>
    <w:rsid w:val="00590A54"/>
    <w:rsid w:val="00590C7D"/>
    <w:rsid w:val="00592A33"/>
    <w:rsid w:val="00596ACA"/>
    <w:rsid w:val="005A0735"/>
    <w:rsid w:val="005A1377"/>
    <w:rsid w:val="005A2AE5"/>
    <w:rsid w:val="005A2BC9"/>
    <w:rsid w:val="005A3FD9"/>
    <w:rsid w:val="005A4155"/>
    <w:rsid w:val="005A5CC1"/>
    <w:rsid w:val="005A7B2A"/>
    <w:rsid w:val="005A7E12"/>
    <w:rsid w:val="005B0541"/>
    <w:rsid w:val="005B0FD8"/>
    <w:rsid w:val="005B478C"/>
    <w:rsid w:val="005B7B3F"/>
    <w:rsid w:val="005B7D1A"/>
    <w:rsid w:val="005C44C6"/>
    <w:rsid w:val="005C4BCC"/>
    <w:rsid w:val="005C624B"/>
    <w:rsid w:val="005D056C"/>
    <w:rsid w:val="005E109D"/>
    <w:rsid w:val="005E440F"/>
    <w:rsid w:val="005E5970"/>
    <w:rsid w:val="005E59DE"/>
    <w:rsid w:val="005E611A"/>
    <w:rsid w:val="005E6752"/>
    <w:rsid w:val="005E7CF0"/>
    <w:rsid w:val="005F27C6"/>
    <w:rsid w:val="005F2888"/>
    <w:rsid w:val="005F3150"/>
    <w:rsid w:val="005F3567"/>
    <w:rsid w:val="005F4BDA"/>
    <w:rsid w:val="005F4EAE"/>
    <w:rsid w:val="005F5356"/>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0764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3B0"/>
    <w:rsid w:val="00637CAA"/>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5C9"/>
    <w:rsid w:val="00665939"/>
    <w:rsid w:val="006664C0"/>
    <w:rsid w:val="0066783A"/>
    <w:rsid w:val="006702B9"/>
    <w:rsid w:val="006715A0"/>
    <w:rsid w:val="00671BEF"/>
    <w:rsid w:val="0067270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340"/>
    <w:rsid w:val="006A4253"/>
    <w:rsid w:val="006A4E91"/>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1F6"/>
    <w:rsid w:val="006C569A"/>
    <w:rsid w:val="006C7139"/>
    <w:rsid w:val="006C71C9"/>
    <w:rsid w:val="006D1FAB"/>
    <w:rsid w:val="006D3174"/>
    <w:rsid w:val="006D4A90"/>
    <w:rsid w:val="006D5B17"/>
    <w:rsid w:val="006D6BEA"/>
    <w:rsid w:val="006D6C04"/>
    <w:rsid w:val="006D7272"/>
    <w:rsid w:val="006E01C0"/>
    <w:rsid w:val="006E1DED"/>
    <w:rsid w:val="006E3EC7"/>
    <w:rsid w:val="006E6E16"/>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DC5"/>
    <w:rsid w:val="00711A85"/>
    <w:rsid w:val="00711DBF"/>
    <w:rsid w:val="00715B0C"/>
    <w:rsid w:val="00716FDD"/>
    <w:rsid w:val="007212BA"/>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8670F"/>
    <w:rsid w:val="00790106"/>
    <w:rsid w:val="00790D5F"/>
    <w:rsid w:val="00791045"/>
    <w:rsid w:val="00795056"/>
    <w:rsid w:val="00797DDB"/>
    <w:rsid w:val="007A0645"/>
    <w:rsid w:val="007A0F27"/>
    <w:rsid w:val="007A2646"/>
    <w:rsid w:val="007A46B3"/>
    <w:rsid w:val="007B1136"/>
    <w:rsid w:val="007B3A44"/>
    <w:rsid w:val="007B4108"/>
    <w:rsid w:val="007B4F30"/>
    <w:rsid w:val="007B54BF"/>
    <w:rsid w:val="007B5ED6"/>
    <w:rsid w:val="007B63B1"/>
    <w:rsid w:val="007B688B"/>
    <w:rsid w:val="007B76B3"/>
    <w:rsid w:val="007C20EE"/>
    <w:rsid w:val="007C6843"/>
    <w:rsid w:val="007C7BDF"/>
    <w:rsid w:val="007D178B"/>
    <w:rsid w:val="007D17ED"/>
    <w:rsid w:val="007D2C57"/>
    <w:rsid w:val="007D72EC"/>
    <w:rsid w:val="007D78E8"/>
    <w:rsid w:val="007D7D5A"/>
    <w:rsid w:val="007E2CDE"/>
    <w:rsid w:val="007E3231"/>
    <w:rsid w:val="007F0F9A"/>
    <w:rsid w:val="007F2EFD"/>
    <w:rsid w:val="007F566F"/>
    <w:rsid w:val="0080188E"/>
    <w:rsid w:val="008028FF"/>
    <w:rsid w:val="008029E9"/>
    <w:rsid w:val="00803ADB"/>
    <w:rsid w:val="0080466D"/>
    <w:rsid w:val="00804D5C"/>
    <w:rsid w:val="008054C0"/>
    <w:rsid w:val="00806E8B"/>
    <w:rsid w:val="0081445B"/>
    <w:rsid w:val="0081686B"/>
    <w:rsid w:val="00816B49"/>
    <w:rsid w:val="00820136"/>
    <w:rsid w:val="008203C8"/>
    <w:rsid w:val="008212BA"/>
    <w:rsid w:val="00821B8A"/>
    <w:rsid w:val="0082281C"/>
    <w:rsid w:val="0082285D"/>
    <w:rsid w:val="00822B84"/>
    <w:rsid w:val="008240CE"/>
    <w:rsid w:val="0082419F"/>
    <w:rsid w:val="00824FBF"/>
    <w:rsid w:val="00826536"/>
    <w:rsid w:val="00826643"/>
    <w:rsid w:val="008276D2"/>
    <w:rsid w:val="00827831"/>
    <w:rsid w:val="00830BB1"/>
    <w:rsid w:val="008327CE"/>
    <w:rsid w:val="008334F9"/>
    <w:rsid w:val="00833D81"/>
    <w:rsid w:val="00834143"/>
    <w:rsid w:val="0083560B"/>
    <w:rsid w:val="00836694"/>
    <w:rsid w:val="008376FD"/>
    <w:rsid w:val="00842803"/>
    <w:rsid w:val="008444FD"/>
    <w:rsid w:val="008455FA"/>
    <w:rsid w:val="0084565D"/>
    <w:rsid w:val="008462F0"/>
    <w:rsid w:val="00846649"/>
    <w:rsid w:val="00855067"/>
    <w:rsid w:val="00855EED"/>
    <w:rsid w:val="00860271"/>
    <w:rsid w:val="0086493C"/>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6DB"/>
    <w:rsid w:val="00883A48"/>
    <w:rsid w:val="008848DC"/>
    <w:rsid w:val="00885C43"/>
    <w:rsid w:val="00886402"/>
    <w:rsid w:val="00887986"/>
    <w:rsid w:val="00892075"/>
    <w:rsid w:val="00892A2F"/>
    <w:rsid w:val="0089377A"/>
    <w:rsid w:val="00894CDD"/>
    <w:rsid w:val="00897140"/>
    <w:rsid w:val="008A1028"/>
    <w:rsid w:val="008A1766"/>
    <w:rsid w:val="008A218B"/>
    <w:rsid w:val="008A2B57"/>
    <w:rsid w:val="008A5B27"/>
    <w:rsid w:val="008A5F35"/>
    <w:rsid w:val="008A706A"/>
    <w:rsid w:val="008B2D62"/>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0E0D"/>
    <w:rsid w:val="008D1253"/>
    <w:rsid w:val="008D125C"/>
    <w:rsid w:val="008D2884"/>
    <w:rsid w:val="008D2E17"/>
    <w:rsid w:val="008D460A"/>
    <w:rsid w:val="008D79B2"/>
    <w:rsid w:val="008D7ED0"/>
    <w:rsid w:val="008E2972"/>
    <w:rsid w:val="008E30E9"/>
    <w:rsid w:val="008E5F44"/>
    <w:rsid w:val="008F18D1"/>
    <w:rsid w:val="008F253E"/>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962"/>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4C44"/>
    <w:rsid w:val="00955248"/>
    <w:rsid w:val="0096284C"/>
    <w:rsid w:val="0096513A"/>
    <w:rsid w:val="009667CE"/>
    <w:rsid w:val="00966881"/>
    <w:rsid w:val="00967CB3"/>
    <w:rsid w:val="00970092"/>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28F"/>
    <w:rsid w:val="00995A87"/>
    <w:rsid w:val="00997DBF"/>
    <w:rsid w:val="009A11A6"/>
    <w:rsid w:val="009A2222"/>
    <w:rsid w:val="009A2FED"/>
    <w:rsid w:val="009A44F9"/>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2D77"/>
    <w:rsid w:val="009E3F80"/>
    <w:rsid w:val="009E3FF6"/>
    <w:rsid w:val="009E652E"/>
    <w:rsid w:val="009F356D"/>
    <w:rsid w:val="009F5577"/>
    <w:rsid w:val="00A02216"/>
    <w:rsid w:val="00A0380E"/>
    <w:rsid w:val="00A06458"/>
    <w:rsid w:val="00A06776"/>
    <w:rsid w:val="00A07959"/>
    <w:rsid w:val="00A119B2"/>
    <w:rsid w:val="00A124BC"/>
    <w:rsid w:val="00A13877"/>
    <w:rsid w:val="00A15161"/>
    <w:rsid w:val="00A15950"/>
    <w:rsid w:val="00A1689C"/>
    <w:rsid w:val="00A17DEB"/>
    <w:rsid w:val="00A20459"/>
    <w:rsid w:val="00A21507"/>
    <w:rsid w:val="00A23355"/>
    <w:rsid w:val="00A25BEF"/>
    <w:rsid w:val="00A25DEB"/>
    <w:rsid w:val="00A26B99"/>
    <w:rsid w:val="00A30A51"/>
    <w:rsid w:val="00A3188A"/>
    <w:rsid w:val="00A31CF0"/>
    <w:rsid w:val="00A320D2"/>
    <w:rsid w:val="00A32390"/>
    <w:rsid w:val="00A32FF8"/>
    <w:rsid w:val="00A34277"/>
    <w:rsid w:val="00A347A7"/>
    <w:rsid w:val="00A35E0F"/>
    <w:rsid w:val="00A3643F"/>
    <w:rsid w:val="00A40E9F"/>
    <w:rsid w:val="00A415A9"/>
    <w:rsid w:val="00A42F0C"/>
    <w:rsid w:val="00A4406D"/>
    <w:rsid w:val="00A46752"/>
    <w:rsid w:val="00A477A0"/>
    <w:rsid w:val="00A5174B"/>
    <w:rsid w:val="00A55AAD"/>
    <w:rsid w:val="00A567DC"/>
    <w:rsid w:val="00A57E80"/>
    <w:rsid w:val="00A602E9"/>
    <w:rsid w:val="00A61490"/>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D1C"/>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2447"/>
    <w:rsid w:val="00B039FE"/>
    <w:rsid w:val="00B03C3D"/>
    <w:rsid w:val="00B03F64"/>
    <w:rsid w:val="00B051C0"/>
    <w:rsid w:val="00B07BB9"/>
    <w:rsid w:val="00B10483"/>
    <w:rsid w:val="00B1061E"/>
    <w:rsid w:val="00B12B60"/>
    <w:rsid w:val="00B12F4B"/>
    <w:rsid w:val="00B13D04"/>
    <w:rsid w:val="00B15DFA"/>
    <w:rsid w:val="00B16296"/>
    <w:rsid w:val="00B17CEA"/>
    <w:rsid w:val="00B2015B"/>
    <w:rsid w:val="00B2043E"/>
    <w:rsid w:val="00B21EA6"/>
    <w:rsid w:val="00B23613"/>
    <w:rsid w:val="00B23B35"/>
    <w:rsid w:val="00B23E7A"/>
    <w:rsid w:val="00B2456C"/>
    <w:rsid w:val="00B24961"/>
    <w:rsid w:val="00B276F7"/>
    <w:rsid w:val="00B27FB2"/>
    <w:rsid w:val="00B32CF9"/>
    <w:rsid w:val="00B33ED2"/>
    <w:rsid w:val="00B34180"/>
    <w:rsid w:val="00B35DFE"/>
    <w:rsid w:val="00B37B8A"/>
    <w:rsid w:val="00B410AF"/>
    <w:rsid w:val="00B418C2"/>
    <w:rsid w:val="00B424FA"/>
    <w:rsid w:val="00B445B5"/>
    <w:rsid w:val="00B46027"/>
    <w:rsid w:val="00B47954"/>
    <w:rsid w:val="00B47CB6"/>
    <w:rsid w:val="00B5059B"/>
    <w:rsid w:val="00B51CA8"/>
    <w:rsid w:val="00B51EFC"/>
    <w:rsid w:val="00B5298C"/>
    <w:rsid w:val="00B54371"/>
    <w:rsid w:val="00B54A12"/>
    <w:rsid w:val="00B65EB6"/>
    <w:rsid w:val="00B66304"/>
    <w:rsid w:val="00B701FA"/>
    <w:rsid w:val="00B709CE"/>
    <w:rsid w:val="00B714D8"/>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6B8A"/>
    <w:rsid w:val="00B97541"/>
    <w:rsid w:val="00BA295B"/>
    <w:rsid w:val="00BA42B1"/>
    <w:rsid w:val="00BA4BF0"/>
    <w:rsid w:val="00BA7B02"/>
    <w:rsid w:val="00BA7B91"/>
    <w:rsid w:val="00BB0831"/>
    <w:rsid w:val="00BB0D89"/>
    <w:rsid w:val="00BB2F7B"/>
    <w:rsid w:val="00BB4CB6"/>
    <w:rsid w:val="00BC0755"/>
    <w:rsid w:val="00BC369B"/>
    <w:rsid w:val="00BC4875"/>
    <w:rsid w:val="00BC4D5A"/>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4E50"/>
    <w:rsid w:val="00C2551D"/>
    <w:rsid w:val="00C26326"/>
    <w:rsid w:val="00C26D26"/>
    <w:rsid w:val="00C27F02"/>
    <w:rsid w:val="00C30C8A"/>
    <w:rsid w:val="00C315A7"/>
    <w:rsid w:val="00C3183B"/>
    <w:rsid w:val="00C3216D"/>
    <w:rsid w:val="00C3244B"/>
    <w:rsid w:val="00C35A36"/>
    <w:rsid w:val="00C36D52"/>
    <w:rsid w:val="00C37A37"/>
    <w:rsid w:val="00C40BAD"/>
    <w:rsid w:val="00C41C5A"/>
    <w:rsid w:val="00C42A4E"/>
    <w:rsid w:val="00C437B3"/>
    <w:rsid w:val="00C43E58"/>
    <w:rsid w:val="00C44166"/>
    <w:rsid w:val="00C44FB5"/>
    <w:rsid w:val="00C45222"/>
    <w:rsid w:val="00C4548C"/>
    <w:rsid w:val="00C45801"/>
    <w:rsid w:val="00C46A40"/>
    <w:rsid w:val="00C46FBA"/>
    <w:rsid w:val="00C475FD"/>
    <w:rsid w:val="00C479C7"/>
    <w:rsid w:val="00C47D08"/>
    <w:rsid w:val="00C50DBA"/>
    <w:rsid w:val="00C5212E"/>
    <w:rsid w:val="00C521D8"/>
    <w:rsid w:val="00C5221F"/>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547"/>
    <w:rsid w:val="00CA1FE3"/>
    <w:rsid w:val="00CA31AA"/>
    <w:rsid w:val="00CA4211"/>
    <w:rsid w:val="00CA4C49"/>
    <w:rsid w:val="00CA585D"/>
    <w:rsid w:val="00CA74BD"/>
    <w:rsid w:val="00CB0923"/>
    <w:rsid w:val="00CB1443"/>
    <w:rsid w:val="00CB175C"/>
    <w:rsid w:val="00CB297A"/>
    <w:rsid w:val="00CB2BF5"/>
    <w:rsid w:val="00CB4508"/>
    <w:rsid w:val="00CB5C22"/>
    <w:rsid w:val="00CC0F0F"/>
    <w:rsid w:val="00CC319A"/>
    <w:rsid w:val="00CC35C9"/>
    <w:rsid w:val="00CC36CE"/>
    <w:rsid w:val="00CC383B"/>
    <w:rsid w:val="00CC3C11"/>
    <w:rsid w:val="00CC3CB7"/>
    <w:rsid w:val="00CC4C3C"/>
    <w:rsid w:val="00CC53FD"/>
    <w:rsid w:val="00CC5878"/>
    <w:rsid w:val="00CD104E"/>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2B14"/>
    <w:rsid w:val="00D04940"/>
    <w:rsid w:val="00D04B87"/>
    <w:rsid w:val="00D12FCB"/>
    <w:rsid w:val="00D13B13"/>
    <w:rsid w:val="00D13DD3"/>
    <w:rsid w:val="00D143D7"/>
    <w:rsid w:val="00D16257"/>
    <w:rsid w:val="00D167BB"/>
    <w:rsid w:val="00D16B63"/>
    <w:rsid w:val="00D17A09"/>
    <w:rsid w:val="00D20DDB"/>
    <w:rsid w:val="00D23F39"/>
    <w:rsid w:val="00D2433E"/>
    <w:rsid w:val="00D2488B"/>
    <w:rsid w:val="00D24E56"/>
    <w:rsid w:val="00D26358"/>
    <w:rsid w:val="00D2645C"/>
    <w:rsid w:val="00D278B5"/>
    <w:rsid w:val="00D31BCF"/>
    <w:rsid w:val="00D3323E"/>
    <w:rsid w:val="00D341C4"/>
    <w:rsid w:val="00D361E1"/>
    <w:rsid w:val="00D36546"/>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7581"/>
    <w:rsid w:val="00D706C7"/>
    <w:rsid w:val="00D70AEC"/>
    <w:rsid w:val="00D72AE4"/>
    <w:rsid w:val="00D742A4"/>
    <w:rsid w:val="00D744E8"/>
    <w:rsid w:val="00D75405"/>
    <w:rsid w:val="00D76D98"/>
    <w:rsid w:val="00D80A14"/>
    <w:rsid w:val="00D80AAF"/>
    <w:rsid w:val="00D8111D"/>
    <w:rsid w:val="00D81229"/>
    <w:rsid w:val="00D8130F"/>
    <w:rsid w:val="00D83FC8"/>
    <w:rsid w:val="00D84386"/>
    <w:rsid w:val="00D848AB"/>
    <w:rsid w:val="00D91860"/>
    <w:rsid w:val="00D925D1"/>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6EE5"/>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2EA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3EDF"/>
    <w:rsid w:val="00E35009"/>
    <w:rsid w:val="00E350AA"/>
    <w:rsid w:val="00E36CCF"/>
    <w:rsid w:val="00E4092E"/>
    <w:rsid w:val="00E409D7"/>
    <w:rsid w:val="00E41F8A"/>
    <w:rsid w:val="00E429B5"/>
    <w:rsid w:val="00E42F19"/>
    <w:rsid w:val="00E45516"/>
    <w:rsid w:val="00E45A95"/>
    <w:rsid w:val="00E46037"/>
    <w:rsid w:val="00E46CE2"/>
    <w:rsid w:val="00E470A6"/>
    <w:rsid w:val="00E50403"/>
    <w:rsid w:val="00E50F48"/>
    <w:rsid w:val="00E515A2"/>
    <w:rsid w:val="00E524AA"/>
    <w:rsid w:val="00E5370C"/>
    <w:rsid w:val="00E53A87"/>
    <w:rsid w:val="00E5424C"/>
    <w:rsid w:val="00E56250"/>
    <w:rsid w:val="00E5787E"/>
    <w:rsid w:val="00E60649"/>
    <w:rsid w:val="00E60EB8"/>
    <w:rsid w:val="00E61433"/>
    <w:rsid w:val="00E61726"/>
    <w:rsid w:val="00E623AE"/>
    <w:rsid w:val="00E6300F"/>
    <w:rsid w:val="00E63B4A"/>
    <w:rsid w:val="00E7163A"/>
    <w:rsid w:val="00E723C8"/>
    <w:rsid w:val="00E75041"/>
    <w:rsid w:val="00E75710"/>
    <w:rsid w:val="00E75A6E"/>
    <w:rsid w:val="00E75E20"/>
    <w:rsid w:val="00E773DF"/>
    <w:rsid w:val="00E77788"/>
    <w:rsid w:val="00E8267A"/>
    <w:rsid w:val="00E85DF1"/>
    <w:rsid w:val="00E86124"/>
    <w:rsid w:val="00E866FF"/>
    <w:rsid w:val="00E867BD"/>
    <w:rsid w:val="00E9054A"/>
    <w:rsid w:val="00E906AF"/>
    <w:rsid w:val="00E91025"/>
    <w:rsid w:val="00E91CF3"/>
    <w:rsid w:val="00E9450C"/>
    <w:rsid w:val="00E9591E"/>
    <w:rsid w:val="00E96DDA"/>
    <w:rsid w:val="00EA08B7"/>
    <w:rsid w:val="00EA2581"/>
    <w:rsid w:val="00EA4A24"/>
    <w:rsid w:val="00EA4EE2"/>
    <w:rsid w:val="00EA564A"/>
    <w:rsid w:val="00EB1647"/>
    <w:rsid w:val="00EB1EDE"/>
    <w:rsid w:val="00EB2C3E"/>
    <w:rsid w:val="00EB474B"/>
    <w:rsid w:val="00EB5A13"/>
    <w:rsid w:val="00EC11DC"/>
    <w:rsid w:val="00EC1332"/>
    <w:rsid w:val="00EC2659"/>
    <w:rsid w:val="00EC29CC"/>
    <w:rsid w:val="00EC5623"/>
    <w:rsid w:val="00ED0178"/>
    <w:rsid w:val="00ED1C6C"/>
    <w:rsid w:val="00ED4C66"/>
    <w:rsid w:val="00ED520F"/>
    <w:rsid w:val="00ED7379"/>
    <w:rsid w:val="00EE00F3"/>
    <w:rsid w:val="00EE1077"/>
    <w:rsid w:val="00EE164A"/>
    <w:rsid w:val="00EE3C6B"/>
    <w:rsid w:val="00EE4EFC"/>
    <w:rsid w:val="00EE5337"/>
    <w:rsid w:val="00EE5F51"/>
    <w:rsid w:val="00EE7AB4"/>
    <w:rsid w:val="00EF0F70"/>
    <w:rsid w:val="00EF2157"/>
    <w:rsid w:val="00EF2C25"/>
    <w:rsid w:val="00EF340E"/>
    <w:rsid w:val="00EF47FF"/>
    <w:rsid w:val="00EF73AB"/>
    <w:rsid w:val="00EF74E2"/>
    <w:rsid w:val="00F004ED"/>
    <w:rsid w:val="00F01092"/>
    <w:rsid w:val="00F028A0"/>
    <w:rsid w:val="00F02BC8"/>
    <w:rsid w:val="00F051CE"/>
    <w:rsid w:val="00F06C8C"/>
    <w:rsid w:val="00F14ED2"/>
    <w:rsid w:val="00F20B79"/>
    <w:rsid w:val="00F20BE0"/>
    <w:rsid w:val="00F230D6"/>
    <w:rsid w:val="00F25C6B"/>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783"/>
    <w:rsid w:val="00F57996"/>
    <w:rsid w:val="00F57E55"/>
    <w:rsid w:val="00F60C80"/>
    <w:rsid w:val="00F628E5"/>
    <w:rsid w:val="00F62D63"/>
    <w:rsid w:val="00F65642"/>
    <w:rsid w:val="00F65B7F"/>
    <w:rsid w:val="00F6619B"/>
    <w:rsid w:val="00F66401"/>
    <w:rsid w:val="00F768EB"/>
    <w:rsid w:val="00F77845"/>
    <w:rsid w:val="00F8004A"/>
    <w:rsid w:val="00F80769"/>
    <w:rsid w:val="00F80B33"/>
    <w:rsid w:val="00F8340D"/>
    <w:rsid w:val="00F835BA"/>
    <w:rsid w:val="00F84A38"/>
    <w:rsid w:val="00F85984"/>
    <w:rsid w:val="00F85B55"/>
    <w:rsid w:val="00F864A5"/>
    <w:rsid w:val="00F864C8"/>
    <w:rsid w:val="00F8749A"/>
    <w:rsid w:val="00F87835"/>
    <w:rsid w:val="00F90F69"/>
    <w:rsid w:val="00F91AC0"/>
    <w:rsid w:val="00F92AB0"/>
    <w:rsid w:val="00F92FA0"/>
    <w:rsid w:val="00F936B5"/>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4E40"/>
    <w:rsid w:val="00FC69EC"/>
    <w:rsid w:val="00FC71FB"/>
    <w:rsid w:val="00FC7EFC"/>
    <w:rsid w:val="00FD11CE"/>
    <w:rsid w:val="00FD18E1"/>
    <w:rsid w:val="00FD2280"/>
    <w:rsid w:val="00FD22E8"/>
    <w:rsid w:val="00FD24F5"/>
    <w:rsid w:val="00FD3BB8"/>
    <w:rsid w:val="00FD6012"/>
    <w:rsid w:val="00FD69DC"/>
    <w:rsid w:val="00FD7938"/>
    <w:rsid w:val="00FE1CCE"/>
    <w:rsid w:val="00FE3738"/>
    <w:rsid w:val="00FE54C5"/>
    <w:rsid w:val="00FE55E3"/>
    <w:rsid w:val="00FE58BC"/>
    <w:rsid w:val="00FE6191"/>
    <w:rsid w:val="00FE6821"/>
    <w:rsid w:val="00FE6AFB"/>
    <w:rsid w:val="00FE71D3"/>
    <w:rsid w:val="00FE7EB1"/>
    <w:rsid w:val="00FF18E0"/>
    <w:rsid w:val="00FF24AF"/>
    <w:rsid w:val="00FF281B"/>
    <w:rsid w:val="00FF48A1"/>
    <w:rsid w:val="00FF57BC"/>
    <w:rsid w:val="00FF5DA0"/>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BEBD6"/>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55899655">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1C3D-C4CF-419B-8D89-CD8E29D5F57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ba5fda-01fb-42e4-a102-58659c678a77"/>
    <ds:schemaRef ds:uri="http://www.w3.org/XML/1998/namespace"/>
    <ds:schemaRef ds:uri="http://purl.org/dc/dcmitype/"/>
  </ds:schemaRefs>
</ds:datastoreItem>
</file>

<file path=customXml/itemProps2.xml><?xml version="1.0" encoding="utf-8"?>
<ds:datastoreItem xmlns:ds="http://schemas.openxmlformats.org/officeDocument/2006/customXml" ds:itemID="{6686D252-06AD-4297-BD3A-74B83244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36167-61C5-4359-B71E-18CC27581959}">
  <ds:schemaRefs>
    <ds:schemaRef ds:uri="http://schemas.microsoft.com/sharepoint/v3/contenttype/forms"/>
  </ds:schemaRefs>
</ds:datastoreItem>
</file>

<file path=customXml/itemProps4.xml><?xml version="1.0" encoding="utf-8"?>
<ds:datastoreItem xmlns:ds="http://schemas.openxmlformats.org/officeDocument/2006/customXml" ds:itemID="{45EBAA6D-2E3C-4C8E-B0B8-66720B69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Kim, Andrew</cp:lastModifiedBy>
  <cp:revision>4</cp:revision>
  <cp:lastPrinted>2015-03-13T15:09:00Z</cp:lastPrinted>
  <dcterms:created xsi:type="dcterms:W3CDTF">2020-10-02T16:05:00Z</dcterms:created>
  <dcterms:modified xsi:type="dcterms:W3CDTF">2020-10-02T18:22:00Z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