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20D2" w14:textId="3C910A20" w:rsidR="008A5CF4" w:rsidRPr="0063060C" w:rsidRDefault="0067376E" w:rsidP="0063060C">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ADULT &amp; JUVENILE DETENTION</w:t>
      </w:r>
    </w:p>
    <w:p w14:paraId="038CC267" w14:textId="15695E9A" w:rsidR="0063060C" w:rsidRPr="0063060C" w:rsidRDefault="0063060C" w:rsidP="0063060C">
      <w:pPr>
        <w:spacing w:line="264" w:lineRule="auto"/>
        <w:contextualSpacing/>
        <w:jc w:val="center"/>
        <w:rPr>
          <w:rFonts w:ascii="Arial" w:hAnsi="Arial" w:cs="Arial"/>
          <w:b/>
          <w:sz w:val="28"/>
          <w:szCs w:val="28"/>
        </w:rPr>
      </w:pPr>
      <w:r>
        <w:rPr>
          <w:rFonts w:ascii="Arial" w:hAnsi="Arial" w:cs="Arial"/>
          <w:smallCaps/>
          <w:szCs w:val="24"/>
        </w:rPr>
        <w:t xml:space="preserve">Analyst: </w:t>
      </w:r>
      <w:r w:rsidR="00B60878">
        <w:rPr>
          <w:rFonts w:ascii="Arial" w:hAnsi="Arial" w:cs="Arial"/>
          <w:smallCaps/>
          <w:szCs w:val="24"/>
        </w:rPr>
        <w:t>Clifton Curry</w:t>
      </w:r>
    </w:p>
    <w:p w14:paraId="4D38C770" w14:textId="1FE76534" w:rsidR="008A5CF4" w:rsidRPr="001C4B19" w:rsidRDefault="008A5CF4" w:rsidP="008A5CF4">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4020"/>
        <w:gridCol w:w="180"/>
        <w:gridCol w:w="1696"/>
        <w:gridCol w:w="164"/>
        <w:gridCol w:w="1514"/>
        <w:gridCol w:w="153"/>
        <w:gridCol w:w="768"/>
        <w:gridCol w:w="163"/>
        <w:gridCol w:w="816"/>
        <w:gridCol w:w="6"/>
      </w:tblGrid>
      <w:tr w:rsidR="00800DBD" w:rsidRPr="008D0300" w14:paraId="596C73F0" w14:textId="77777777" w:rsidTr="005808A8">
        <w:trPr>
          <w:cantSplit/>
          <w:trHeight w:val="411"/>
          <w:tblHeader/>
          <w:jc w:val="center"/>
        </w:trPr>
        <w:tc>
          <w:tcPr>
            <w:tcW w:w="4020" w:type="dxa"/>
            <w:tcBorders>
              <w:top w:val="single" w:sz="12" w:space="0" w:color="auto"/>
              <w:left w:val="nil"/>
              <w:bottom w:val="single" w:sz="4" w:space="0" w:color="auto"/>
              <w:right w:val="nil"/>
            </w:tcBorders>
            <w:shd w:val="clear" w:color="auto" w:fill="auto"/>
            <w:vAlign w:val="center"/>
          </w:tcPr>
          <w:p w14:paraId="1647FA31" w14:textId="04CACC99" w:rsidR="00D566D0" w:rsidRPr="008D0300" w:rsidRDefault="00D566D0" w:rsidP="0063060C">
            <w:pPr>
              <w:rPr>
                <w:rFonts w:ascii="Arial" w:hAnsi="Arial" w:cs="Arial"/>
                <w:b/>
                <w:sz w:val="22"/>
                <w:szCs w:val="22"/>
              </w:rPr>
            </w:pPr>
          </w:p>
        </w:tc>
        <w:tc>
          <w:tcPr>
            <w:tcW w:w="180" w:type="dxa"/>
            <w:tcBorders>
              <w:top w:val="single" w:sz="12" w:space="0" w:color="auto"/>
              <w:left w:val="nil"/>
              <w:bottom w:val="nil"/>
              <w:right w:val="nil"/>
            </w:tcBorders>
          </w:tcPr>
          <w:p w14:paraId="508119E7" w14:textId="77777777" w:rsidR="00D566D0" w:rsidRPr="008D0300" w:rsidRDefault="00D566D0" w:rsidP="008A5CF4">
            <w:pPr>
              <w:rPr>
                <w:rFonts w:ascii="Arial" w:hAnsi="Arial" w:cs="Arial"/>
                <w:b/>
                <w:sz w:val="22"/>
                <w:szCs w:val="22"/>
              </w:rPr>
            </w:pPr>
          </w:p>
        </w:tc>
        <w:tc>
          <w:tcPr>
            <w:tcW w:w="1696" w:type="dxa"/>
            <w:tcBorders>
              <w:top w:val="single" w:sz="12" w:space="0" w:color="auto"/>
              <w:left w:val="nil"/>
              <w:bottom w:val="nil"/>
              <w:right w:val="nil"/>
            </w:tcBorders>
            <w:vAlign w:val="center"/>
          </w:tcPr>
          <w:p w14:paraId="03CB8E56" w14:textId="7520B120" w:rsidR="00D566D0" w:rsidRPr="008D0300" w:rsidRDefault="009A5126" w:rsidP="009A5126">
            <w:pPr>
              <w:jc w:val="center"/>
              <w:rPr>
                <w:rFonts w:ascii="Arial" w:hAnsi="Arial" w:cs="Arial"/>
                <w:b/>
                <w:sz w:val="22"/>
                <w:szCs w:val="22"/>
              </w:rPr>
            </w:pPr>
            <w:r>
              <w:rPr>
                <w:rFonts w:ascii="Arial" w:hAnsi="Arial" w:cs="Arial"/>
                <w:b/>
                <w:sz w:val="22"/>
                <w:szCs w:val="22"/>
              </w:rPr>
              <w:t>Expenditures</w:t>
            </w:r>
          </w:p>
        </w:tc>
        <w:tc>
          <w:tcPr>
            <w:tcW w:w="164" w:type="dxa"/>
            <w:tcBorders>
              <w:top w:val="single" w:sz="12" w:space="0" w:color="auto"/>
              <w:left w:val="nil"/>
              <w:bottom w:val="nil"/>
              <w:right w:val="nil"/>
            </w:tcBorders>
          </w:tcPr>
          <w:p w14:paraId="6255EFDB" w14:textId="5CEB78AB" w:rsidR="00D566D0" w:rsidRPr="008D0300" w:rsidRDefault="00D566D0" w:rsidP="008A5CF4">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3E2CB846" w14:textId="6246048C" w:rsidR="00D566D0" w:rsidRPr="008D0300" w:rsidRDefault="009A5126" w:rsidP="0063060C">
            <w:pPr>
              <w:jc w:val="center"/>
              <w:rPr>
                <w:rFonts w:ascii="Arial" w:hAnsi="Arial" w:cs="Arial"/>
                <w:b/>
                <w:sz w:val="22"/>
                <w:szCs w:val="22"/>
              </w:rPr>
            </w:pPr>
            <w:r>
              <w:rPr>
                <w:rFonts w:ascii="Arial" w:hAnsi="Arial" w:cs="Arial"/>
                <w:b/>
                <w:sz w:val="22"/>
                <w:szCs w:val="22"/>
              </w:rPr>
              <w:t>Revenues</w:t>
            </w:r>
          </w:p>
        </w:tc>
        <w:tc>
          <w:tcPr>
            <w:tcW w:w="153" w:type="dxa"/>
            <w:tcBorders>
              <w:top w:val="single" w:sz="12" w:space="0" w:color="auto"/>
              <w:left w:val="nil"/>
              <w:bottom w:val="nil"/>
              <w:right w:val="nil"/>
            </w:tcBorders>
          </w:tcPr>
          <w:p w14:paraId="54A62A2C" w14:textId="6FBC42CB" w:rsidR="00D566D0" w:rsidRPr="008D0300" w:rsidRDefault="00D566D0" w:rsidP="008A5CF4">
            <w:pPr>
              <w:rPr>
                <w:rFonts w:ascii="Arial" w:hAnsi="Arial" w:cs="Arial"/>
                <w:b/>
                <w:sz w:val="22"/>
                <w:szCs w:val="22"/>
              </w:rPr>
            </w:pPr>
          </w:p>
        </w:tc>
        <w:tc>
          <w:tcPr>
            <w:tcW w:w="768" w:type="dxa"/>
            <w:tcBorders>
              <w:top w:val="single" w:sz="12" w:space="0" w:color="auto"/>
              <w:left w:val="nil"/>
              <w:bottom w:val="single" w:sz="2" w:space="0" w:color="auto"/>
              <w:right w:val="nil"/>
            </w:tcBorders>
            <w:vAlign w:val="center"/>
          </w:tcPr>
          <w:p w14:paraId="05ACC489" w14:textId="31773FEB" w:rsidR="00D566D0" w:rsidRPr="008D0300" w:rsidRDefault="00D566D0" w:rsidP="0063060C">
            <w:pPr>
              <w:jc w:val="center"/>
              <w:rPr>
                <w:rFonts w:ascii="Arial" w:hAnsi="Arial" w:cs="Arial"/>
                <w:b/>
                <w:sz w:val="22"/>
                <w:szCs w:val="22"/>
              </w:rPr>
            </w:pPr>
            <w:r>
              <w:rPr>
                <w:rFonts w:ascii="Arial" w:hAnsi="Arial" w:cs="Arial"/>
                <w:b/>
                <w:sz w:val="22"/>
                <w:szCs w:val="22"/>
              </w:rPr>
              <w:t>FTEs</w:t>
            </w:r>
          </w:p>
        </w:tc>
        <w:tc>
          <w:tcPr>
            <w:tcW w:w="163" w:type="dxa"/>
            <w:tcBorders>
              <w:top w:val="single" w:sz="12" w:space="0" w:color="auto"/>
              <w:left w:val="nil"/>
              <w:bottom w:val="nil"/>
              <w:right w:val="nil"/>
            </w:tcBorders>
          </w:tcPr>
          <w:p w14:paraId="4FFC7A7C" w14:textId="77777777" w:rsidR="00D566D0" w:rsidRDefault="00D566D0" w:rsidP="008A5CF4">
            <w:pPr>
              <w:jc w:val="center"/>
              <w:rPr>
                <w:rFonts w:ascii="Arial" w:hAnsi="Arial" w:cs="Arial"/>
                <w:b/>
                <w:sz w:val="22"/>
                <w:szCs w:val="22"/>
              </w:rPr>
            </w:pPr>
          </w:p>
        </w:tc>
        <w:tc>
          <w:tcPr>
            <w:tcW w:w="822" w:type="dxa"/>
            <w:gridSpan w:val="2"/>
            <w:tcBorders>
              <w:top w:val="single" w:sz="12" w:space="0" w:color="auto"/>
              <w:left w:val="nil"/>
              <w:bottom w:val="single" w:sz="2" w:space="0" w:color="auto"/>
              <w:right w:val="single" w:sz="2" w:space="0" w:color="FFFFFF" w:themeColor="background1"/>
            </w:tcBorders>
            <w:vAlign w:val="center"/>
          </w:tcPr>
          <w:p w14:paraId="23F3C229" w14:textId="5E2587EA" w:rsidR="00D566D0" w:rsidRPr="008D0300" w:rsidRDefault="00D566D0" w:rsidP="008A5CF4">
            <w:pPr>
              <w:jc w:val="center"/>
              <w:rPr>
                <w:rFonts w:ascii="Arial" w:hAnsi="Arial" w:cs="Arial"/>
                <w:b/>
                <w:sz w:val="22"/>
                <w:szCs w:val="22"/>
              </w:rPr>
            </w:pPr>
            <w:r>
              <w:rPr>
                <w:rFonts w:ascii="Arial" w:hAnsi="Arial" w:cs="Arial"/>
                <w:b/>
                <w:sz w:val="22"/>
                <w:szCs w:val="22"/>
              </w:rPr>
              <w:t>TLTs</w:t>
            </w:r>
          </w:p>
        </w:tc>
      </w:tr>
      <w:tr w:rsidR="00800DBD" w:rsidRPr="008D0300" w14:paraId="2F9A4CD3" w14:textId="77777777" w:rsidTr="005808A8">
        <w:trPr>
          <w:cantSplit/>
          <w:jc w:val="center"/>
        </w:trPr>
        <w:tc>
          <w:tcPr>
            <w:tcW w:w="4020" w:type="dxa"/>
            <w:tcBorders>
              <w:left w:val="nil"/>
              <w:bottom w:val="nil"/>
              <w:right w:val="nil"/>
            </w:tcBorders>
            <w:tcMar>
              <w:top w:w="72" w:type="dxa"/>
              <w:left w:w="115" w:type="dxa"/>
              <w:bottom w:w="72" w:type="dxa"/>
              <w:right w:w="115" w:type="dxa"/>
            </w:tcMar>
          </w:tcPr>
          <w:p w14:paraId="30A89E3F" w14:textId="053F218B" w:rsidR="009A5126" w:rsidRPr="00D566D0" w:rsidRDefault="009A5126" w:rsidP="009A5126">
            <w:pPr>
              <w:rPr>
                <w:rFonts w:ascii="Arial" w:hAnsi="Arial" w:cs="Arial"/>
                <w:sz w:val="22"/>
                <w:szCs w:val="22"/>
              </w:rPr>
            </w:pPr>
            <w:r w:rsidRPr="00D566D0">
              <w:rPr>
                <w:rFonts w:ascii="Arial" w:hAnsi="Arial" w:cs="Arial"/>
                <w:sz w:val="22"/>
                <w:szCs w:val="22"/>
              </w:rPr>
              <w:t>2019-2020 Revised Budget</w:t>
            </w:r>
          </w:p>
        </w:tc>
        <w:tc>
          <w:tcPr>
            <w:tcW w:w="180" w:type="dxa"/>
            <w:tcBorders>
              <w:top w:val="nil"/>
              <w:left w:val="nil"/>
              <w:bottom w:val="nil"/>
              <w:right w:val="nil"/>
            </w:tcBorders>
          </w:tcPr>
          <w:p w14:paraId="5395F1E7" w14:textId="77777777" w:rsidR="009A5126" w:rsidRPr="008D0300" w:rsidRDefault="009A5126" w:rsidP="009A5126">
            <w:pPr>
              <w:jc w:val="right"/>
              <w:rPr>
                <w:rFonts w:ascii="Arial" w:hAnsi="Arial" w:cs="Arial"/>
                <w:sz w:val="22"/>
                <w:szCs w:val="22"/>
              </w:rPr>
            </w:pPr>
          </w:p>
        </w:tc>
        <w:tc>
          <w:tcPr>
            <w:tcW w:w="1696" w:type="dxa"/>
            <w:tcBorders>
              <w:left w:val="nil"/>
              <w:bottom w:val="nil"/>
              <w:right w:val="nil"/>
            </w:tcBorders>
          </w:tcPr>
          <w:p w14:paraId="3A6E1983" w14:textId="32B429B8" w:rsidR="009A5126" w:rsidRPr="008D0300" w:rsidRDefault="009A5126" w:rsidP="009A5126">
            <w:pPr>
              <w:jc w:val="right"/>
              <w:rPr>
                <w:rFonts w:ascii="Arial" w:hAnsi="Arial" w:cs="Arial"/>
                <w:sz w:val="22"/>
                <w:szCs w:val="22"/>
              </w:rPr>
            </w:pPr>
            <w:r>
              <w:rPr>
                <w:rFonts w:ascii="Arial" w:hAnsi="Arial" w:cs="Arial"/>
                <w:sz w:val="22"/>
                <w:szCs w:val="22"/>
              </w:rPr>
              <w:t>$</w:t>
            </w:r>
            <w:r w:rsidR="00E06509">
              <w:rPr>
                <w:rFonts w:ascii="Arial" w:hAnsi="Arial" w:cs="Arial"/>
                <w:sz w:val="22"/>
                <w:szCs w:val="22"/>
              </w:rPr>
              <w:t>331,793,</w:t>
            </w:r>
            <w:r w:rsidR="00197DE3">
              <w:rPr>
                <w:rFonts w:ascii="Arial" w:hAnsi="Arial" w:cs="Arial"/>
                <w:sz w:val="22"/>
                <w:szCs w:val="22"/>
              </w:rPr>
              <w:t>0</w:t>
            </w:r>
            <w:r w:rsidR="008173D2">
              <w:rPr>
                <w:rFonts w:ascii="Arial" w:hAnsi="Arial" w:cs="Arial"/>
                <w:sz w:val="22"/>
                <w:szCs w:val="22"/>
              </w:rPr>
              <w:t>89</w:t>
            </w:r>
          </w:p>
        </w:tc>
        <w:tc>
          <w:tcPr>
            <w:tcW w:w="164" w:type="dxa"/>
            <w:tcBorders>
              <w:top w:val="nil"/>
              <w:left w:val="nil"/>
              <w:bottom w:val="nil"/>
              <w:right w:val="nil"/>
            </w:tcBorders>
          </w:tcPr>
          <w:p w14:paraId="4FCBAB7B" w14:textId="50471FA6" w:rsidR="009A5126" w:rsidRPr="008D0300"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01A9110B" w14:textId="37F760A7" w:rsidR="009A5126" w:rsidRPr="008D0300" w:rsidRDefault="009A5126" w:rsidP="009A5126">
            <w:pPr>
              <w:jc w:val="right"/>
              <w:rPr>
                <w:rFonts w:ascii="Arial" w:hAnsi="Arial" w:cs="Arial"/>
                <w:sz w:val="22"/>
                <w:szCs w:val="22"/>
              </w:rPr>
            </w:pPr>
            <w:r>
              <w:rPr>
                <w:rFonts w:ascii="Arial" w:hAnsi="Arial" w:cs="Arial"/>
                <w:sz w:val="22"/>
                <w:szCs w:val="22"/>
              </w:rPr>
              <w:t>$</w:t>
            </w:r>
            <w:r w:rsidR="008173D2">
              <w:rPr>
                <w:rFonts w:ascii="Arial" w:hAnsi="Arial" w:cs="Arial"/>
                <w:sz w:val="22"/>
                <w:szCs w:val="22"/>
              </w:rPr>
              <w:t>54,126</w:t>
            </w:r>
            <w:r w:rsidR="00CA2EBE">
              <w:rPr>
                <w:rFonts w:ascii="Arial" w:hAnsi="Arial" w:cs="Arial"/>
                <w:sz w:val="22"/>
                <w:szCs w:val="22"/>
              </w:rPr>
              <w:t>,771</w:t>
            </w:r>
          </w:p>
        </w:tc>
        <w:tc>
          <w:tcPr>
            <w:tcW w:w="153" w:type="dxa"/>
            <w:tcBorders>
              <w:top w:val="nil"/>
              <w:left w:val="nil"/>
              <w:bottom w:val="nil"/>
              <w:right w:val="nil"/>
            </w:tcBorders>
          </w:tcPr>
          <w:p w14:paraId="4DFF88B8" w14:textId="225208E8" w:rsidR="009A5126" w:rsidRPr="008D0300" w:rsidRDefault="009A5126" w:rsidP="009A5126">
            <w:pPr>
              <w:jc w:val="right"/>
              <w:rPr>
                <w:rFonts w:ascii="Arial" w:hAnsi="Arial" w:cs="Arial"/>
                <w:sz w:val="22"/>
                <w:szCs w:val="22"/>
              </w:rPr>
            </w:pPr>
          </w:p>
        </w:tc>
        <w:tc>
          <w:tcPr>
            <w:tcW w:w="768" w:type="dxa"/>
            <w:tcBorders>
              <w:top w:val="single" w:sz="2" w:space="0" w:color="auto"/>
              <w:left w:val="nil"/>
              <w:bottom w:val="nil"/>
              <w:right w:val="nil"/>
            </w:tcBorders>
            <w:tcMar>
              <w:top w:w="72" w:type="dxa"/>
              <w:bottom w:w="72" w:type="dxa"/>
            </w:tcMar>
          </w:tcPr>
          <w:p w14:paraId="5F2CDDC0" w14:textId="3E58E02F" w:rsidR="009A5126" w:rsidRPr="008D0300" w:rsidRDefault="00CA2EBE" w:rsidP="009A5126">
            <w:pPr>
              <w:jc w:val="right"/>
              <w:rPr>
                <w:rFonts w:ascii="Arial" w:hAnsi="Arial" w:cs="Arial"/>
                <w:sz w:val="22"/>
                <w:szCs w:val="22"/>
              </w:rPr>
            </w:pPr>
            <w:r>
              <w:rPr>
                <w:rFonts w:ascii="Arial" w:hAnsi="Arial" w:cs="Arial"/>
                <w:sz w:val="22"/>
                <w:szCs w:val="22"/>
              </w:rPr>
              <w:t>928</w:t>
            </w:r>
            <w:r w:rsidR="009A5126">
              <w:rPr>
                <w:rFonts w:ascii="Arial" w:hAnsi="Arial" w:cs="Arial"/>
                <w:sz w:val="22"/>
                <w:szCs w:val="22"/>
              </w:rPr>
              <w:t>.0</w:t>
            </w:r>
          </w:p>
        </w:tc>
        <w:tc>
          <w:tcPr>
            <w:tcW w:w="163" w:type="dxa"/>
            <w:tcBorders>
              <w:top w:val="nil"/>
              <w:left w:val="nil"/>
              <w:bottom w:val="nil"/>
              <w:right w:val="nil"/>
            </w:tcBorders>
          </w:tcPr>
          <w:p w14:paraId="5743EB10" w14:textId="77777777" w:rsidR="009A5126" w:rsidRDefault="009A5126" w:rsidP="009A5126">
            <w:pPr>
              <w:jc w:val="right"/>
              <w:rPr>
                <w:rFonts w:ascii="Arial" w:hAnsi="Arial" w:cs="Arial"/>
                <w:sz w:val="22"/>
                <w:szCs w:val="22"/>
              </w:rPr>
            </w:pPr>
          </w:p>
        </w:tc>
        <w:tc>
          <w:tcPr>
            <w:tcW w:w="82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639D9642" w14:textId="03B6004E" w:rsidR="009A5126" w:rsidRPr="008D0300" w:rsidRDefault="00CA2EBE" w:rsidP="009A5126">
            <w:pPr>
              <w:jc w:val="right"/>
              <w:rPr>
                <w:rFonts w:ascii="Arial" w:hAnsi="Arial" w:cs="Arial"/>
                <w:sz w:val="22"/>
                <w:szCs w:val="22"/>
              </w:rPr>
            </w:pPr>
            <w:r>
              <w:rPr>
                <w:rFonts w:ascii="Arial" w:hAnsi="Arial" w:cs="Arial"/>
                <w:sz w:val="22"/>
                <w:szCs w:val="22"/>
              </w:rPr>
              <w:t>1</w:t>
            </w:r>
            <w:r w:rsidR="009A5126">
              <w:rPr>
                <w:rFonts w:ascii="Arial" w:hAnsi="Arial" w:cs="Arial"/>
                <w:sz w:val="22"/>
                <w:szCs w:val="22"/>
              </w:rPr>
              <w:t>.0</w:t>
            </w:r>
          </w:p>
        </w:tc>
      </w:tr>
      <w:tr w:rsidR="00800DBD" w:rsidRPr="008D0300" w14:paraId="774D22F3" w14:textId="77777777" w:rsidTr="005808A8">
        <w:trPr>
          <w:cantSplit/>
          <w:trHeight w:val="216"/>
          <w:jc w:val="center"/>
        </w:trPr>
        <w:tc>
          <w:tcPr>
            <w:tcW w:w="4020" w:type="dxa"/>
            <w:tcBorders>
              <w:top w:val="nil"/>
              <w:left w:val="nil"/>
              <w:bottom w:val="nil"/>
              <w:right w:val="nil"/>
            </w:tcBorders>
            <w:tcMar>
              <w:top w:w="72" w:type="dxa"/>
              <w:left w:w="115" w:type="dxa"/>
              <w:bottom w:w="72" w:type="dxa"/>
              <w:right w:w="115" w:type="dxa"/>
            </w:tcMar>
          </w:tcPr>
          <w:p w14:paraId="4D82153D" w14:textId="12581E62" w:rsidR="009A5126" w:rsidRDefault="009A5126" w:rsidP="009A5126">
            <w:pPr>
              <w:ind w:left="240"/>
              <w:rPr>
                <w:rFonts w:ascii="Arial" w:hAnsi="Arial" w:cs="Arial"/>
                <w:sz w:val="22"/>
                <w:szCs w:val="22"/>
              </w:rPr>
            </w:pPr>
            <w:r>
              <w:rPr>
                <w:rFonts w:ascii="Arial" w:hAnsi="Arial" w:cs="Arial"/>
                <w:sz w:val="22"/>
                <w:szCs w:val="22"/>
              </w:rPr>
              <w:t>2021-2022 Base Budget</w:t>
            </w:r>
            <w:r w:rsidR="005808A8">
              <w:rPr>
                <w:rFonts w:ascii="Arial" w:hAnsi="Arial" w:cs="Arial"/>
                <w:sz w:val="22"/>
                <w:szCs w:val="22"/>
              </w:rPr>
              <w:t xml:space="preserve"> Adjust.</w:t>
            </w:r>
          </w:p>
        </w:tc>
        <w:tc>
          <w:tcPr>
            <w:tcW w:w="180" w:type="dxa"/>
            <w:tcBorders>
              <w:top w:val="nil"/>
              <w:left w:val="nil"/>
              <w:bottom w:val="nil"/>
              <w:right w:val="nil"/>
            </w:tcBorders>
          </w:tcPr>
          <w:p w14:paraId="6D59484A" w14:textId="122F491C" w:rsidR="009A5126" w:rsidRPr="008D0300" w:rsidRDefault="009A5126" w:rsidP="009A5126">
            <w:pPr>
              <w:jc w:val="right"/>
              <w:rPr>
                <w:rFonts w:ascii="Arial" w:hAnsi="Arial" w:cs="Arial"/>
                <w:sz w:val="22"/>
                <w:szCs w:val="22"/>
              </w:rPr>
            </w:pPr>
          </w:p>
        </w:tc>
        <w:tc>
          <w:tcPr>
            <w:tcW w:w="1696" w:type="dxa"/>
            <w:tcBorders>
              <w:top w:val="nil"/>
              <w:left w:val="nil"/>
              <w:bottom w:val="nil"/>
              <w:right w:val="nil"/>
            </w:tcBorders>
          </w:tcPr>
          <w:p w14:paraId="153739B1" w14:textId="6E60486C" w:rsidR="009A5126" w:rsidRPr="008D0300" w:rsidRDefault="00E06509"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B652F2">
              <w:rPr>
                <w:rFonts w:ascii="Arial" w:hAnsi="Arial" w:cs="Arial"/>
                <w:sz w:val="22"/>
                <w:szCs w:val="22"/>
              </w:rPr>
              <w:t>3,663,970)</w:t>
            </w:r>
          </w:p>
        </w:tc>
        <w:tc>
          <w:tcPr>
            <w:tcW w:w="164" w:type="dxa"/>
            <w:tcBorders>
              <w:top w:val="nil"/>
              <w:left w:val="nil"/>
              <w:bottom w:val="nil"/>
              <w:right w:val="nil"/>
            </w:tcBorders>
          </w:tcPr>
          <w:p w14:paraId="1275B628" w14:textId="7406A1B1" w:rsidR="009A5126" w:rsidRPr="008D0300"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1ECE2542" w14:textId="128240B7" w:rsidR="009A5126" w:rsidRDefault="008E7755"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CA2EBE">
              <w:rPr>
                <w:rFonts w:ascii="Arial" w:hAnsi="Arial" w:cs="Arial"/>
                <w:sz w:val="22"/>
                <w:szCs w:val="22"/>
              </w:rPr>
              <w:t>185,479</w:t>
            </w:r>
            <w:r>
              <w:rPr>
                <w:rFonts w:ascii="Arial" w:hAnsi="Arial" w:cs="Arial"/>
                <w:sz w:val="22"/>
                <w:szCs w:val="22"/>
              </w:rPr>
              <w:t>)</w:t>
            </w:r>
          </w:p>
        </w:tc>
        <w:tc>
          <w:tcPr>
            <w:tcW w:w="153" w:type="dxa"/>
            <w:tcBorders>
              <w:top w:val="nil"/>
              <w:left w:val="nil"/>
              <w:bottom w:val="nil"/>
              <w:right w:val="nil"/>
            </w:tcBorders>
          </w:tcPr>
          <w:p w14:paraId="657812B7" w14:textId="77777777" w:rsidR="009A5126" w:rsidRPr="008D0300" w:rsidRDefault="009A5126" w:rsidP="009A5126">
            <w:pPr>
              <w:jc w:val="right"/>
              <w:rPr>
                <w:rFonts w:ascii="Arial" w:hAnsi="Arial" w:cs="Arial"/>
                <w:sz w:val="22"/>
                <w:szCs w:val="22"/>
              </w:rPr>
            </w:pPr>
          </w:p>
        </w:tc>
        <w:tc>
          <w:tcPr>
            <w:tcW w:w="768" w:type="dxa"/>
            <w:tcBorders>
              <w:top w:val="nil"/>
              <w:left w:val="nil"/>
              <w:bottom w:val="nil"/>
              <w:right w:val="nil"/>
            </w:tcBorders>
            <w:tcMar>
              <w:top w:w="72" w:type="dxa"/>
              <w:bottom w:w="72" w:type="dxa"/>
            </w:tcMar>
          </w:tcPr>
          <w:p w14:paraId="4A72EA18" w14:textId="586279B5" w:rsidR="009A5126" w:rsidRDefault="009A5126" w:rsidP="009A5126">
            <w:pPr>
              <w:jc w:val="right"/>
              <w:rPr>
                <w:rFonts w:ascii="Arial" w:hAnsi="Arial" w:cs="Arial"/>
                <w:sz w:val="22"/>
                <w:szCs w:val="22"/>
              </w:rPr>
            </w:pPr>
            <w:r>
              <w:rPr>
                <w:rFonts w:ascii="Arial" w:hAnsi="Arial" w:cs="Arial"/>
                <w:sz w:val="22"/>
                <w:szCs w:val="22"/>
              </w:rPr>
              <w:t>0.0</w:t>
            </w:r>
          </w:p>
        </w:tc>
        <w:tc>
          <w:tcPr>
            <w:tcW w:w="163" w:type="dxa"/>
            <w:tcBorders>
              <w:top w:val="nil"/>
              <w:left w:val="nil"/>
              <w:bottom w:val="nil"/>
              <w:right w:val="nil"/>
            </w:tcBorders>
          </w:tcPr>
          <w:p w14:paraId="358B7EF9" w14:textId="77777777" w:rsidR="009A5126" w:rsidRPr="008D0300" w:rsidRDefault="009A5126" w:rsidP="009A5126">
            <w:pPr>
              <w:jc w:val="right"/>
              <w:rPr>
                <w:rFonts w:ascii="Arial" w:hAnsi="Arial" w:cs="Arial"/>
                <w:sz w:val="22"/>
                <w:szCs w:val="22"/>
              </w:rPr>
            </w:pPr>
          </w:p>
        </w:tc>
        <w:tc>
          <w:tcPr>
            <w:tcW w:w="822" w:type="dxa"/>
            <w:gridSpan w:val="2"/>
            <w:tcBorders>
              <w:top w:val="nil"/>
              <w:left w:val="nil"/>
              <w:bottom w:val="nil"/>
              <w:right w:val="single" w:sz="2" w:space="0" w:color="FFFFFF" w:themeColor="background1"/>
            </w:tcBorders>
            <w:tcMar>
              <w:top w:w="72" w:type="dxa"/>
              <w:left w:w="115" w:type="dxa"/>
              <w:bottom w:w="72" w:type="dxa"/>
              <w:right w:w="115" w:type="dxa"/>
            </w:tcMar>
          </w:tcPr>
          <w:p w14:paraId="4392F1A5" w14:textId="471FB092" w:rsidR="009A5126" w:rsidRPr="008D0300" w:rsidRDefault="009A5126" w:rsidP="008E7755">
            <w:pPr>
              <w:jc w:val="right"/>
              <w:rPr>
                <w:rFonts w:ascii="Arial" w:hAnsi="Arial" w:cs="Arial"/>
                <w:sz w:val="22"/>
                <w:szCs w:val="22"/>
              </w:rPr>
            </w:pPr>
            <w:r>
              <w:rPr>
                <w:rFonts w:ascii="Arial" w:hAnsi="Arial" w:cs="Arial"/>
                <w:sz w:val="22"/>
                <w:szCs w:val="22"/>
              </w:rPr>
              <w:t>0.0</w:t>
            </w:r>
          </w:p>
        </w:tc>
      </w:tr>
      <w:tr w:rsidR="00800DBD" w:rsidRPr="008D0300" w14:paraId="79518FD7" w14:textId="77777777" w:rsidTr="005808A8">
        <w:trPr>
          <w:cantSplit/>
          <w:trHeight w:val="369"/>
          <w:jc w:val="center"/>
        </w:trPr>
        <w:tc>
          <w:tcPr>
            <w:tcW w:w="4020" w:type="dxa"/>
            <w:tcBorders>
              <w:top w:val="nil"/>
              <w:left w:val="nil"/>
              <w:bottom w:val="nil"/>
              <w:right w:val="nil"/>
            </w:tcBorders>
            <w:tcMar>
              <w:top w:w="72" w:type="dxa"/>
              <w:left w:w="115" w:type="dxa"/>
              <w:bottom w:w="72" w:type="dxa"/>
              <w:right w:w="115" w:type="dxa"/>
            </w:tcMar>
          </w:tcPr>
          <w:p w14:paraId="6542C693" w14:textId="76356DA9" w:rsidR="009A5126" w:rsidRDefault="009A5126" w:rsidP="009A5126">
            <w:pPr>
              <w:ind w:left="240"/>
              <w:rPr>
                <w:rFonts w:ascii="Arial" w:hAnsi="Arial" w:cs="Arial"/>
                <w:sz w:val="22"/>
                <w:szCs w:val="22"/>
              </w:rPr>
            </w:pPr>
            <w:r>
              <w:rPr>
                <w:rFonts w:ascii="Arial" w:hAnsi="Arial" w:cs="Arial"/>
                <w:sz w:val="22"/>
                <w:szCs w:val="22"/>
              </w:rPr>
              <w:t>2021-2022 Decision Packages</w:t>
            </w:r>
          </w:p>
        </w:tc>
        <w:tc>
          <w:tcPr>
            <w:tcW w:w="180" w:type="dxa"/>
            <w:tcBorders>
              <w:top w:val="nil"/>
              <w:left w:val="nil"/>
              <w:bottom w:val="nil"/>
              <w:right w:val="nil"/>
            </w:tcBorders>
          </w:tcPr>
          <w:p w14:paraId="50A07E4C" w14:textId="0E83589F" w:rsidR="009A5126" w:rsidRPr="008D0300" w:rsidRDefault="009A5126" w:rsidP="009A5126">
            <w:pPr>
              <w:jc w:val="right"/>
              <w:rPr>
                <w:rFonts w:ascii="Arial" w:hAnsi="Arial" w:cs="Arial"/>
                <w:sz w:val="22"/>
                <w:szCs w:val="22"/>
              </w:rPr>
            </w:pPr>
          </w:p>
        </w:tc>
        <w:tc>
          <w:tcPr>
            <w:tcW w:w="1696" w:type="dxa"/>
            <w:tcBorders>
              <w:top w:val="nil"/>
              <w:left w:val="nil"/>
              <w:bottom w:val="nil"/>
              <w:right w:val="nil"/>
            </w:tcBorders>
          </w:tcPr>
          <w:p w14:paraId="381A02DA" w14:textId="261B534D" w:rsidR="009A5126" w:rsidRPr="008D0300" w:rsidRDefault="008E7755"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B652F2">
              <w:rPr>
                <w:rFonts w:ascii="Arial" w:hAnsi="Arial" w:cs="Arial"/>
                <w:sz w:val="22"/>
                <w:szCs w:val="22"/>
              </w:rPr>
              <w:t>1,443</w:t>
            </w:r>
            <w:r w:rsidR="008173D2">
              <w:rPr>
                <w:rFonts w:ascii="Arial" w:hAnsi="Arial" w:cs="Arial"/>
                <w:sz w:val="22"/>
                <w:szCs w:val="22"/>
              </w:rPr>
              <w:t>,733</w:t>
            </w:r>
            <w:r>
              <w:rPr>
                <w:rFonts w:ascii="Arial" w:hAnsi="Arial" w:cs="Arial"/>
                <w:sz w:val="22"/>
                <w:szCs w:val="22"/>
              </w:rPr>
              <w:t>)</w:t>
            </w:r>
          </w:p>
        </w:tc>
        <w:tc>
          <w:tcPr>
            <w:tcW w:w="164" w:type="dxa"/>
            <w:tcBorders>
              <w:top w:val="nil"/>
              <w:left w:val="nil"/>
              <w:bottom w:val="nil"/>
              <w:right w:val="nil"/>
            </w:tcBorders>
          </w:tcPr>
          <w:p w14:paraId="4DC8F0CF" w14:textId="45819607" w:rsidR="009A5126" w:rsidRPr="008D0300"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AA812A7" w14:textId="2C1201CF" w:rsidR="009A5126" w:rsidRDefault="008C1FAE" w:rsidP="009A5126">
            <w:pPr>
              <w:jc w:val="right"/>
              <w:rPr>
                <w:rFonts w:ascii="Arial" w:hAnsi="Arial" w:cs="Arial"/>
                <w:sz w:val="22"/>
                <w:szCs w:val="22"/>
              </w:rPr>
            </w:pPr>
            <w:r>
              <w:rPr>
                <w:rFonts w:ascii="Arial" w:hAnsi="Arial" w:cs="Arial"/>
                <w:sz w:val="22"/>
                <w:szCs w:val="22"/>
              </w:rPr>
              <w:t>(</w:t>
            </w:r>
            <w:r w:rsidR="009A5126">
              <w:rPr>
                <w:rFonts w:ascii="Arial" w:hAnsi="Arial" w:cs="Arial"/>
                <w:sz w:val="22"/>
                <w:szCs w:val="22"/>
              </w:rPr>
              <w:t>$</w:t>
            </w:r>
            <w:r w:rsidR="002572E8">
              <w:rPr>
                <w:rFonts w:ascii="Arial" w:hAnsi="Arial" w:cs="Arial"/>
                <w:sz w:val="22"/>
                <w:szCs w:val="22"/>
              </w:rPr>
              <w:t>29,657,179)</w:t>
            </w:r>
          </w:p>
        </w:tc>
        <w:tc>
          <w:tcPr>
            <w:tcW w:w="153" w:type="dxa"/>
            <w:tcBorders>
              <w:top w:val="nil"/>
              <w:left w:val="nil"/>
              <w:bottom w:val="nil"/>
              <w:right w:val="nil"/>
            </w:tcBorders>
          </w:tcPr>
          <w:p w14:paraId="5CE057A0" w14:textId="77777777" w:rsidR="009A5126" w:rsidRPr="008D0300" w:rsidRDefault="009A5126" w:rsidP="009A5126">
            <w:pPr>
              <w:jc w:val="right"/>
              <w:rPr>
                <w:rFonts w:ascii="Arial" w:hAnsi="Arial" w:cs="Arial"/>
                <w:sz w:val="22"/>
                <w:szCs w:val="22"/>
              </w:rPr>
            </w:pPr>
          </w:p>
        </w:tc>
        <w:tc>
          <w:tcPr>
            <w:tcW w:w="768" w:type="dxa"/>
            <w:tcBorders>
              <w:top w:val="nil"/>
              <w:left w:val="nil"/>
              <w:bottom w:val="nil"/>
              <w:right w:val="nil"/>
            </w:tcBorders>
            <w:tcMar>
              <w:top w:w="72" w:type="dxa"/>
              <w:bottom w:w="72" w:type="dxa"/>
            </w:tcMar>
          </w:tcPr>
          <w:p w14:paraId="258E6F7E" w14:textId="453710F8" w:rsidR="009A5126" w:rsidRDefault="00FC052B" w:rsidP="009A5126">
            <w:pPr>
              <w:jc w:val="right"/>
              <w:rPr>
                <w:rFonts w:ascii="Arial" w:hAnsi="Arial" w:cs="Arial"/>
                <w:sz w:val="22"/>
                <w:szCs w:val="22"/>
              </w:rPr>
            </w:pPr>
            <w:r>
              <w:rPr>
                <w:rFonts w:ascii="Arial" w:hAnsi="Arial" w:cs="Arial"/>
                <w:sz w:val="22"/>
                <w:szCs w:val="22"/>
              </w:rPr>
              <w:t>(58</w:t>
            </w:r>
            <w:r w:rsidR="009A5126">
              <w:rPr>
                <w:rFonts w:ascii="Arial" w:hAnsi="Arial" w:cs="Arial"/>
                <w:sz w:val="22"/>
                <w:szCs w:val="22"/>
              </w:rPr>
              <w:t>.0</w:t>
            </w:r>
            <w:r>
              <w:rPr>
                <w:rFonts w:ascii="Arial" w:hAnsi="Arial" w:cs="Arial"/>
                <w:sz w:val="22"/>
                <w:szCs w:val="22"/>
              </w:rPr>
              <w:t>)</w:t>
            </w:r>
            <w:r w:rsidR="009A5126">
              <w:rPr>
                <w:rFonts w:ascii="Arial" w:hAnsi="Arial" w:cs="Arial"/>
                <w:sz w:val="22"/>
                <w:szCs w:val="22"/>
              </w:rPr>
              <w:t xml:space="preserve"> </w:t>
            </w:r>
          </w:p>
        </w:tc>
        <w:tc>
          <w:tcPr>
            <w:tcW w:w="163" w:type="dxa"/>
            <w:tcBorders>
              <w:top w:val="nil"/>
              <w:left w:val="nil"/>
              <w:bottom w:val="nil"/>
              <w:right w:val="nil"/>
            </w:tcBorders>
          </w:tcPr>
          <w:p w14:paraId="6457EA7F" w14:textId="77777777" w:rsidR="009A5126" w:rsidRPr="008D0300" w:rsidRDefault="009A5126" w:rsidP="009A5126">
            <w:pPr>
              <w:jc w:val="right"/>
              <w:rPr>
                <w:rFonts w:ascii="Arial" w:hAnsi="Arial" w:cs="Arial"/>
                <w:sz w:val="22"/>
                <w:szCs w:val="22"/>
              </w:rPr>
            </w:pPr>
          </w:p>
        </w:tc>
        <w:tc>
          <w:tcPr>
            <w:tcW w:w="822" w:type="dxa"/>
            <w:gridSpan w:val="2"/>
            <w:tcBorders>
              <w:top w:val="nil"/>
              <w:left w:val="nil"/>
              <w:bottom w:val="nil"/>
              <w:right w:val="single" w:sz="2" w:space="0" w:color="FFFFFF" w:themeColor="background1"/>
            </w:tcBorders>
            <w:tcMar>
              <w:top w:w="72" w:type="dxa"/>
              <w:left w:w="115" w:type="dxa"/>
              <w:bottom w:w="72" w:type="dxa"/>
              <w:right w:w="115" w:type="dxa"/>
            </w:tcMar>
          </w:tcPr>
          <w:p w14:paraId="1BCBED0B" w14:textId="6BDBD13B" w:rsidR="009A5126" w:rsidRDefault="008E7755" w:rsidP="009A5126">
            <w:pPr>
              <w:jc w:val="right"/>
              <w:rPr>
                <w:rFonts w:ascii="Arial" w:hAnsi="Arial" w:cs="Arial"/>
                <w:sz w:val="22"/>
                <w:szCs w:val="22"/>
              </w:rPr>
            </w:pPr>
            <w:r>
              <w:rPr>
                <w:rFonts w:ascii="Arial" w:hAnsi="Arial" w:cs="Arial"/>
                <w:sz w:val="22"/>
                <w:szCs w:val="22"/>
              </w:rPr>
              <w:t>(</w:t>
            </w:r>
            <w:r w:rsidR="00FC052B">
              <w:rPr>
                <w:rFonts w:ascii="Arial" w:hAnsi="Arial" w:cs="Arial"/>
                <w:sz w:val="22"/>
                <w:szCs w:val="22"/>
              </w:rPr>
              <w:t>1</w:t>
            </w:r>
            <w:r w:rsidR="009A5126">
              <w:rPr>
                <w:rFonts w:ascii="Arial" w:hAnsi="Arial" w:cs="Arial"/>
                <w:sz w:val="22"/>
                <w:szCs w:val="22"/>
              </w:rPr>
              <w:t>.0</w:t>
            </w:r>
            <w:r>
              <w:rPr>
                <w:rFonts w:ascii="Arial" w:hAnsi="Arial" w:cs="Arial"/>
                <w:sz w:val="22"/>
                <w:szCs w:val="22"/>
              </w:rPr>
              <w:t>)</w:t>
            </w:r>
            <w:r w:rsidR="009A5126">
              <w:rPr>
                <w:rFonts w:ascii="Arial" w:hAnsi="Arial" w:cs="Arial"/>
                <w:sz w:val="22"/>
                <w:szCs w:val="22"/>
              </w:rPr>
              <w:t xml:space="preserve"> </w:t>
            </w:r>
          </w:p>
        </w:tc>
      </w:tr>
      <w:tr w:rsidR="00800DBD" w:rsidRPr="008D0300" w14:paraId="25121A11" w14:textId="77777777" w:rsidTr="005808A8">
        <w:trPr>
          <w:cantSplit/>
          <w:jc w:val="center"/>
        </w:trPr>
        <w:tc>
          <w:tcPr>
            <w:tcW w:w="4020" w:type="dxa"/>
            <w:tcBorders>
              <w:top w:val="single" w:sz="4" w:space="0" w:color="auto"/>
              <w:left w:val="nil"/>
              <w:bottom w:val="nil"/>
              <w:right w:val="nil"/>
            </w:tcBorders>
            <w:tcMar>
              <w:top w:w="72" w:type="dxa"/>
              <w:left w:w="115" w:type="dxa"/>
              <w:bottom w:w="72" w:type="dxa"/>
              <w:right w:w="115" w:type="dxa"/>
            </w:tcMar>
          </w:tcPr>
          <w:p w14:paraId="3B2EBE11" w14:textId="419C2493" w:rsidR="009A5126" w:rsidRPr="008D0300" w:rsidRDefault="009A5126" w:rsidP="009A5126">
            <w:pPr>
              <w:rPr>
                <w:rFonts w:ascii="Arial" w:hAnsi="Arial" w:cs="Arial"/>
                <w:b/>
                <w:sz w:val="22"/>
                <w:szCs w:val="22"/>
              </w:rPr>
            </w:pPr>
            <w:r>
              <w:rPr>
                <w:rFonts w:ascii="Arial" w:hAnsi="Arial" w:cs="Arial"/>
                <w:b/>
                <w:sz w:val="22"/>
                <w:szCs w:val="22"/>
              </w:rPr>
              <w:t>2021-2022 Proposed Budget</w:t>
            </w:r>
          </w:p>
        </w:tc>
        <w:tc>
          <w:tcPr>
            <w:tcW w:w="180" w:type="dxa"/>
            <w:tcBorders>
              <w:top w:val="nil"/>
              <w:left w:val="nil"/>
              <w:bottom w:val="nil"/>
              <w:right w:val="nil"/>
            </w:tcBorders>
          </w:tcPr>
          <w:p w14:paraId="3D30E806" w14:textId="77777777" w:rsidR="009A5126" w:rsidRPr="008D0300" w:rsidRDefault="009A5126" w:rsidP="009A5126">
            <w:pPr>
              <w:jc w:val="right"/>
              <w:rPr>
                <w:rFonts w:ascii="Arial" w:hAnsi="Arial" w:cs="Arial"/>
                <w:sz w:val="22"/>
                <w:szCs w:val="22"/>
              </w:rPr>
            </w:pPr>
          </w:p>
        </w:tc>
        <w:tc>
          <w:tcPr>
            <w:tcW w:w="1696" w:type="dxa"/>
            <w:tcBorders>
              <w:top w:val="single" w:sz="4" w:space="0" w:color="auto"/>
              <w:left w:val="nil"/>
              <w:bottom w:val="nil"/>
              <w:right w:val="nil"/>
            </w:tcBorders>
          </w:tcPr>
          <w:p w14:paraId="184215F5" w14:textId="5B301C66" w:rsidR="009A5126" w:rsidRPr="008D0300" w:rsidRDefault="005D49A1" w:rsidP="009A5126">
            <w:pPr>
              <w:jc w:val="right"/>
              <w:rPr>
                <w:rFonts w:ascii="Arial" w:hAnsi="Arial" w:cs="Arial"/>
                <w:sz w:val="22"/>
                <w:szCs w:val="22"/>
              </w:rPr>
            </w:pPr>
            <w:r>
              <w:rPr>
                <w:rFonts w:ascii="Arial" w:hAnsi="Arial" w:cs="Arial"/>
                <w:b/>
                <w:sz w:val="22"/>
                <w:szCs w:val="22"/>
              </w:rPr>
              <w:t>$</w:t>
            </w:r>
            <w:r w:rsidR="00800DBD">
              <w:rPr>
                <w:rFonts w:ascii="Arial" w:hAnsi="Arial" w:cs="Arial"/>
                <w:b/>
                <w:sz w:val="22"/>
                <w:szCs w:val="22"/>
              </w:rPr>
              <w:t>326,696,000</w:t>
            </w:r>
          </w:p>
        </w:tc>
        <w:tc>
          <w:tcPr>
            <w:tcW w:w="164" w:type="dxa"/>
            <w:tcBorders>
              <w:top w:val="nil"/>
              <w:left w:val="nil"/>
              <w:bottom w:val="nil"/>
              <w:right w:val="nil"/>
            </w:tcBorders>
          </w:tcPr>
          <w:p w14:paraId="0B3E60C7" w14:textId="0663C95F" w:rsidR="009A5126" w:rsidRPr="008D0300"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1B5D7957" w14:textId="222AA146" w:rsidR="009A5126" w:rsidRPr="00B33952" w:rsidRDefault="005D49A1" w:rsidP="009A5126">
            <w:pPr>
              <w:jc w:val="right"/>
              <w:rPr>
                <w:rFonts w:ascii="Arial" w:hAnsi="Arial" w:cs="Arial"/>
                <w:b/>
                <w:sz w:val="22"/>
                <w:szCs w:val="22"/>
              </w:rPr>
            </w:pPr>
            <w:r>
              <w:rPr>
                <w:rFonts w:ascii="Arial" w:hAnsi="Arial" w:cs="Arial"/>
                <w:b/>
                <w:sz w:val="22"/>
                <w:szCs w:val="22"/>
              </w:rPr>
              <w:t>$</w:t>
            </w:r>
            <w:r w:rsidR="00800DBD">
              <w:rPr>
                <w:rFonts w:ascii="Arial" w:hAnsi="Arial" w:cs="Arial"/>
                <w:b/>
                <w:sz w:val="22"/>
                <w:szCs w:val="22"/>
              </w:rPr>
              <w:t>24,285,000</w:t>
            </w:r>
          </w:p>
        </w:tc>
        <w:tc>
          <w:tcPr>
            <w:tcW w:w="153" w:type="dxa"/>
            <w:tcBorders>
              <w:top w:val="nil"/>
              <w:left w:val="nil"/>
              <w:bottom w:val="nil"/>
              <w:right w:val="nil"/>
            </w:tcBorders>
          </w:tcPr>
          <w:p w14:paraId="6C04C87B" w14:textId="77777777" w:rsidR="009A5126" w:rsidRPr="00B33952" w:rsidRDefault="009A5126" w:rsidP="009A5126">
            <w:pPr>
              <w:jc w:val="right"/>
              <w:rPr>
                <w:rFonts w:ascii="Arial" w:hAnsi="Arial" w:cs="Arial"/>
                <w:b/>
                <w:sz w:val="22"/>
                <w:szCs w:val="22"/>
              </w:rPr>
            </w:pPr>
          </w:p>
        </w:tc>
        <w:tc>
          <w:tcPr>
            <w:tcW w:w="768" w:type="dxa"/>
            <w:tcBorders>
              <w:top w:val="single" w:sz="2" w:space="0" w:color="auto"/>
              <w:left w:val="nil"/>
              <w:bottom w:val="nil"/>
              <w:right w:val="single" w:sz="2" w:space="0" w:color="FFFFFF" w:themeColor="background1"/>
            </w:tcBorders>
            <w:tcMar>
              <w:top w:w="72" w:type="dxa"/>
              <w:bottom w:w="72" w:type="dxa"/>
            </w:tcMar>
          </w:tcPr>
          <w:p w14:paraId="0E8C1AA3" w14:textId="62BFB9FC" w:rsidR="009A5126" w:rsidRPr="00B33952" w:rsidRDefault="00AE78BA" w:rsidP="009A5126">
            <w:pPr>
              <w:jc w:val="right"/>
              <w:rPr>
                <w:rFonts w:ascii="Arial" w:hAnsi="Arial" w:cs="Arial"/>
                <w:b/>
                <w:sz w:val="22"/>
                <w:szCs w:val="22"/>
              </w:rPr>
            </w:pPr>
            <w:r>
              <w:rPr>
                <w:rFonts w:ascii="Arial" w:hAnsi="Arial" w:cs="Arial"/>
                <w:b/>
                <w:sz w:val="22"/>
                <w:szCs w:val="22"/>
              </w:rPr>
              <w:t>870</w:t>
            </w:r>
            <w:r w:rsidR="009A5126">
              <w:rPr>
                <w:rFonts w:ascii="Arial" w:hAnsi="Arial" w:cs="Arial"/>
                <w:b/>
                <w:sz w:val="22"/>
                <w:szCs w:val="22"/>
              </w:rPr>
              <w:t>.0</w:t>
            </w:r>
          </w:p>
        </w:tc>
        <w:tc>
          <w:tcPr>
            <w:tcW w:w="163" w:type="dxa"/>
            <w:tcBorders>
              <w:top w:val="nil"/>
              <w:left w:val="single" w:sz="2" w:space="0" w:color="FFFFFF" w:themeColor="background1"/>
              <w:bottom w:val="nil"/>
              <w:right w:val="single" w:sz="2" w:space="0" w:color="FFFFFF" w:themeColor="background1"/>
            </w:tcBorders>
          </w:tcPr>
          <w:p w14:paraId="2FE68DBF" w14:textId="77777777" w:rsidR="009A5126" w:rsidRPr="00B33952" w:rsidRDefault="009A5126" w:rsidP="009A5126">
            <w:pPr>
              <w:jc w:val="right"/>
              <w:rPr>
                <w:rFonts w:ascii="Arial" w:hAnsi="Arial" w:cs="Arial"/>
                <w:b/>
                <w:sz w:val="22"/>
                <w:szCs w:val="22"/>
              </w:rPr>
            </w:pPr>
          </w:p>
        </w:tc>
        <w:tc>
          <w:tcPr>
            <w:tcW w:w="82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3AD8AA82" w14:textId="5879ACC8" w:rsidR="009A5126" w:rsidRPr="00B33952" w:rsidRDefault="009A5126" w:rsidP="009A5126">
            <w:pPr>
              <w:jc w:val="right"/>
              <w:rPr>
                <w:rFonts w:ascii="Arial" w:hAnsi="Arial" w:cs="Arial"/>
                <w:b/>
                <w:sz w:val="22"/>
                <w:szCs w:val="22"/>
              </w:rPr>
            </w:pPr>
            <w:r>
              <w:rPr>
                <w:rFonts w:ascii="Arial" w:hAnsi="Arial" w:cs="Arial"/>
                <w:b/>
                <w:sz w:val="22"/>
                <w:szCs w:val="22"/>
              </w:rPr>
              <w:t>0.0</w:t>
            </w:r>
          </w:p>
        </w:tc>
      </w:tr>
      <w:tr w:rsidR="00800DBD" w:rsidRPr="008D0300" w14:paraId="214629B8" w14:textId="77777777" w:rsidTr="005808A8">
        <w:trPr>
          <w:cantSplit/>
          <w:trHeight w:val="261"/>
          <w:jc w:val="center"/>
        </w:trPr>
        <w:tc>
          <w:tcPr>
            <w:tcW w:w="4020" w:type="dxa"/>
            <w:tcBorders>
              <w:top w:val="nil"/>
              <w:left w:val="nil"/>
              <w:bottom w:val="nil"/>
              <w:right w:val="nil"/>
            </w:tcBorders>
            <w:tcMar>
              <w:top w:w="72" w:type="dxa"/>
              <w:left w:w="115" w:type="dxa"/>
              <w:bottom w:w="72" w:type="dxa"/>
              <w:right w:w="115" w:type="dxa"/>
            </w:tcMar>
          </w:tcPr>
          <w:p w14:paraId="012AD374" w14:textId="253FC401" w:rsidR="00A27DEA" w:rsidRPr="00A27DEA" w:rsidRDefault="00087CD0" w:rsidP="00087CD0">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62FEBC77" w14:textId="77777777" w:rsidR="00A27DEA" w:rsidRPr="008D0300" w:rsidRDefault="00A27DEA" w:rsidP="009A5126">
            <w:pPr>
              <w:jc w:val="right"/>
              <w:rPr>
                <w:rFonts w:ascii="Arial" w:hAnsi="Arial" w:cs="Arial"/>
                <w:sz w:val="22"/>
                <w:szCs w:val="22"/>
              </w:rPr>
            </w:pPr>
          </w:p>
        </w:tc>
        <w:tc>
          <w:tcPr>
            <w:tcW w:w="1696" w:type="dxa"/>
            <w:tcBorders>
              <w:top w:val="nil"/>
              <w:left w:val="nil"/>
              <w:bottom w:val="nil"/>
              <w:right w:val="nil"/>
            </w:tcBorders>
          </w:tcPr>
          <w:p w14:paraId="61910B54" w14:textId="4EE650E4" w:rsidR="00A27DEA" w:rsidRPr="0046704C" w:rsidRDefault="00903570" w:rsidP="009A5126">
            <w:pPr>
              <w:jc w:val="right"/>
              <w:rPr>
                <w:rFonts w:ascii="Arial" w:hAnsi="Arial" w:cs="Arial"/>
                <w:sz w:val="22"/>
                <w:szCs w:val="22"/>
              </w:rPr>
            </w:pPr>
            <w:r>
              <w:rPr>
                <w:rFonts w:ascii="Arial" w:hAnsi="Arial" w:cs="Arial"/>
                <w:sz w:val="22"/>
                <w:szCs w:val="22"/>
              </w:rPr>
              <w:t>(1.</w:t>
            </w:r>
            <w:r w:rsidR="00800DBD">
              <w:rPr>
                <w:rFonts w:ascii="Arial" w:hAnsi="Arial" w:cs="Arial"/>
                <w:sz w:val="22"/>
                <w:szCs w:val="22"/>
              </w:rPr>
              <w:t>5</w:t>
            </w:r>
            <w:r w:rsidR="0046704C" w:rsidRPr="0046704C">
              <w:rPr>
                <w:rFonts w:ascii="Arial" w:hAnsi="Arial" w:cs="Arial"/>
                <w:sz w:val="22"/>
                <w:szCs w:val="22"/>
              </w:rPr>
              <w:t>%</w:t>
            </w:r>
            <w:r w:rsidR="00DD2557">
              <w:rPr>
                <w:rFonts w:ascii="Arial" w:hAnsi="Arial" w:cs="Arial"/>
                <w:sz w:val="22"/>
                <w:szCs w:val="22"/>
              </w:rPr>
              <w:t>)</w:t>
            </w:r>
          </w:p>
        </w:tc>
        <w:tc>
          <w:tcPr>
            <w:tcW w:w="164" w:type="dxa"/>
            <w:tcBorders>
              <w:top w:val="nil"/>
              <w:left w:val="nil"/>
              <w:bottom w:val="nil"/>
              <w:right w:val="nil"/>
            </w:tcBorders>
          </w:tcPr>
          <w:p w14:paraId="146C829D" w14:textId="4CA52A1B" w:rsidR="00A27DEA" w:rsidRPr="0046704C" w:rsidRDefault="00A27DEA"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1DB867F" w14:textId="040644EC" w:rsidR="00A27DEA" w:rsidRPr="0046704C" w:rsidRDefault="00A27DEA" w:rsidP="009A5126">
            <w:pPr>
              <w:jc w:val="right"/>
              <w:rPr>
                <w:rFonts w:ascii="Arial" w:hAnsi="Arial" w:cs="Arial"/>
                <w:sz w:val="22"/>
                <w:szCs w:val="22"/>
              </w:rPr>
            </w:pPr>
          </w:p>
        </w:tc>
        <w:tc>
          <w:tcPr>
            <w:tcW w:w="153" w:type="dxa"/>
            <w:tcBorders>
              <w:top w:val="nil"/>
              <w:left w:val="nil"/>
              <w:bottom w:val="nil"/>
              <w:right w:val="nil"/>
            </w:tcBorders>
          </w:tcPr>
          <w:p w14:paraId="7DC37838" w14:textId="225AD89C" w:rsidR="00A27DEA" w:rsidRPr="0046704C" w:rsidRDefault="00A27DEA" w:rsidP="009A5126">
            <w:pPr>
              <w:jc w:val="right"/>
              <w:rPr>
                <w:rFonts w:ascii="Arial" w:hAnsi="Arial" w:cs="Arial"/>
                <w:sz w:val="22"/>
                <w:szCs w:val="22"/>
              </w:rPr>
            </w:pPr>
          </w:p>
        </w:tc>
        <w:tc>
          <w:tcPr>
            <w:tcW w:w="768" w:type="dxa"/>
            <w:tcBorders>
              <w:top w:val="nil"/>
              <w:left w:val="nil"/>
              <w:bottom w:val="nil"/>
              <w:right w:val="single" w:sz="2" w:space="0" w:color="FFFFFF" w:themeColor="background1"/>
            </w:tcBorders>
            <w:tcMar>
              <w:top w:w="72" w:type="dxa"/>
              <w:bottom w:w="72" w:type="dxa"/>
            </w:tcMar>
          </w:tcPr>
          <w:p w14:paraId="4EE8047D" w14:textId="7E003D4B" w:rsidR="00A27DEA" w:rsidRPr="0046704C" w:rsidRDefault="00A27DEA" w:rsidP="009A5126">
            <w:pPr>
              <w:jc w:val="right"/>
              <w:rPr>
                <w:rFonts w:ascii="Arial" w:hAnsi="Arial" w:cs="Arial"/>
                <w:sz w:val="22"/>
                <w:szCs w:val="22"/>
              </w:rPr>
            </w:pPr>
          </w:p>
        </w:tc>
        <w:tc>
          <w:tcPr>
            <w:tcW w:w="163" w:type="dxa"/>
            <w:tcBorders>
              <w:top w:val="nil"/>
              <w:left w:val="single" w:sz="2" w:space="0" w:color="FFFFFF" w:themeColor="background1"/>
              <w:bottom w:val="nil"/>
              <w:right w:val="single" w:sz="2" w:space="0" w:color="FFFFFF" w:themeColor="background1"/>
            </w:tcBorders>
          </w:tcPr>
          <w:p w14:paraId="36010AE6" w14:textId="384BDC8A" w:rsidR="00A27DEA" w:rsidRPr="0046704C" w:rsidRDefault="00A27DEA" w:rsidP="009A5126">
            <w:pPr>
              <w:jc w:val="right"/>
              <w:rPr>
                <w:rFonts w:ascii="Arial" w:hAnsi="Arial" w:cs="Arial"/>
                <w:sz w:val="22"/>
                <w:szCs w:val="22"/>
              </w:rPr>
            </w:pPr>
          </w:p>
        </w:tc>
        <w:tc>
          <w:tcPr>
            <w:tcW w:w="82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610BEB13" w14:textId="5969A0DD" w:rsidR="00A27DEA" w:rsidRPr="0046704C" w:rsidRDefault="00A27DEA" w:rsidP="009A5126">
            <w:pPr>
              <w:jc w:val="right"/>
              <w:rPr>
                <w:rFonts w:ascii="Arial" w:hAnsi="Arial" w:cs="Arial"/>
                <w:sz w:val="22"/>
                <w:szCs w:val="22"/>
              </w:rPr>
            </w:pPr>
          </w:p>
        </w:tc>
      </w:tr>
      <w:tr w:rsidR="00800DBD" w:rsidRPr="008D0300" w14:paraId="6B57AA58" w14:textId="77777777" w:rsidTr="005808A8">
        <w:trPr>
          <w:cantSplit/>
          <w:trHeight w:val="396"/>
          <w:jc w:val="center"/>
        </w:trPr>
        <w:tc>
          <w:tcPr>
            <w:tcW w:w="4020" w:type="dxa"/>
            <w:tcBorders>
              <w:top w:val="nil"/>
              <w:left w:val="nil"/>
              <w:bottom w:val="dotted" w:sz="4" w:space="0" w:color="auto"/>
              <w:right w:val="nil"/>
            </w:tcBorders>
            <w:tcMar>
              <w:top w:w="72" w:type="dxa"/>
              <w:left w:w="115" w:type="dxa"/>
              <w:bottom w:w="72" w:type="dxa"/>
              <w:right w:w="115" w:type="dxa"/>
            </w:tcMar>
          </w:tcPr>
          <w:p w14:paraId="05E85242" w14:textId="747F8AAD" w:rsidR="00A27DEA" w:rsidRPr="00A27DEA" w:rsidRDefault="007D0720" w:rsidP="0004254D">
            <w:pPr>
              <w:rPr>
                <w:rFonts w:ascii="Arial" w:hAnsi="Arial" w:cs="Arial"/>
                <w:sz w:val="22"/>
                <w:szCs w:val="22"/>
              </w:rPr>
            </w:pPr>
            <w:r>
              <w:rPr>
                <w:rFonts w:ascii="Arial" w:hAnsi="Arial" w:cs="Arial"/>
                <w:sz w:val="22"/>
                <w:szCs w:val="22"/>
              </w:rPr>
              <w:t xml:space="preserve">Dec. Pkg. as % </w:t>
            </w:r>
            <w:r w:rsidR="0004254D">
              <w:rPr>
                <w:rFonts w:ascii="Arial" w:hAnsi="Arial" w:cs="Arial"/>
                <w:sz w:val="22"/>
                <w:szCs w:val="22"/>
              </w:rPr>
              <w:t>of prior biennium</w:t>
            </w:r>
          </w:p>
        </w:tc>
        <w:tc>
          <w:tcPr>
            <w:tcW w:w="180" w:type="dxa"/>
            <w:tcBorders>
              <w:top w:val="nil"/>
              <w:left w:val="nil"/>
              <w:bottom w:val="dotted" w:sz="4" w:space="0" w:color="auto"/>
              <w:right w:val="nil"/>
            </w:tcBorders>
          </w:tcPr>
          <w:p w14:paraId="3CA8704A" w14:textId="77777777" w:rsidR="00A27DEA" w:rsidRPr="008D0300" w:rsidRDefault="00A27DEA" w:rsidP="009A5126">
            <w:pPr>
              <w:jc w:val="right"/>
              <w:rPr>
                <w:rFonts w:ascii="Arial" w:hAnsi="Arial" w:cs="Arial"/>
                <w:sz w:val="22"/>
                <w:szCs w:val="22"/>
              </w:rPr>
            </w:pPr>
          </w:p>
        </w:tc>
        <w:tc>
          <w:tcPr>
            <w:tcW w:w="1696" w:type="dxa"/>
            <w:tcBorders>
              <w:top w:val="nil"/>
              <w:left w:val="nil"/>
              <w:bottom w:val="dotted" w:sz="4" w:space="0" w:color="auto"/>
              <w:right w:val="nil"/>
            </w:tcBorders>
          </w:tcPr>
          <w:p w14:paraId="24E89735" w14:textId="5D43A7D7" w:rsidR="00A27DEA" w:rsidRPr="0046704C" w:rsidRDefault="00CA4443" w:rsidP="009A5126">
            <w:pPr>
              <w:jc w:val="right"/>
              <w:rPr>
                <w:rFonts w:ascii="Arial" w:hAnsi="Arial" w:cs="Arial"/>
                <w:sz w:val="22"/>
                <w:szCs w:val="22"/>
              </w:rPr>
            </w:pPr>
            <w:r>
              <w:rPr>
                <w:rFonts w:ascii="Arial" w:hAnsi="Arial" w:cs="Arial"/>
                <w:sz w:val="22"/>
                <w:szCs w:val="22"/>
              </w:rPr>
              <w:t>(</w:t>
            </w:r>
            <w:r w:rsidR="00782EF4">
              <w:rPr>
                <w:rFonts w:ascii="Arial" w:hAnsi="Arial" w:cs="Arial"/>
                <w:sz w:val="22"/>
                <w:szCs w:val="22"/>
              </w:rPr>
              <w:t>4.</w:t>
            </w:r>
            <w:r w:rsidR="00800DBD">
              <w:rPr>
                <w:rFonts w:ascii="Arial" w:hAnsi="Arial" w:cs="Arial"/>
                <w:sz w:val="22"/>
                <w:szCs w:val="22"/>
              </w:rPr>
              <w:t>4</w:t>
            </w:r>
            <w:r w:rsidR="0046704C">
              <w:rPr>
                <w:rFonts w:ascii="Arial" w:hAnsi="Arial" w:cs="Arial"/>
                <w:sz w:val="22"/>
                <w:szCs w:val="22"/>
              </w:rPr>
              <w:t>%</w:t>
            </w:r>
            <w:r>
              <w:rPr>
                <w:rFonts w:ascii="Arial" w:hAnsi="Arial" w:cs="Arial"/>
                <w:sz w:val="22"/>
                <w:szCs w:val="22"/>
              </w:rPr>
              <w:t>)</w:t>
            </w:r>
          </w:p>
        </w:tc>
        <w:tc>
          <w:tcPr>
            <w:tcW w:w="164" w:type="dxa"/>
            <w:tcBorders>
              <w:top w:val="nil"/>
              <w:left w:val="nil"/>
              <w:bottom w:val="dotted" w:sz="4" w:space="0" w:color="auto"/>
              <w:right w:val="nil"/>
            </w:tcBorders>
          </w:tcPr>
          <w:p w14:paraId="09FD9B4F" w14:textId="77777777" w:rsidR="00A27DEA" w:rsidRPr="0046704C" w:rsidRDefault="00A27DEA" w:rsidP="009A5126">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613BCB03" w14:textId="194819C1" w:rsidR="00A27DEA" w:rsidRPr="0046704C" w:rsidRDefault="00A27DEA" w:rsidP="009A5126">
            <w:pPr>
              <w:jc w:val="right"/>
              <w:rPr>
                <w:rFonts w:ascii="Arial" w:hAnsi="Arial" w:cs="Arial"/>
                <w:sz w:val="22"/>
                <w:szCs w:val="22"/>
              </w:rPr>
            </w:pPr>
          </w:p>
        </w:tc>
        <w:tc>
          <w:tcPr>
            <w:tcW w:w="153" w:type="dxa"/>
            <w:tcBorders>
              <w:top w:val="nil"/>
              <w:left w:val="nil"/>
              <w:bottom w:val="dotted" w:sz="4" w:space="0" w:color="auto"/>
              <w:right w:val="nil"/>
            </w:tcBorders>
          </w:tcPr>
          <w:p w14:paraId="4DE81D76" w14:textId="64293666" w:rsidR="00A27DEA" w:rsidRPr="0046704C" w:rsidRDefault="00A27DEA" w:rsidP="009A5126">
            <w:pPr>
              <w:jc w:val="right"/>
              <w:rPr>
                <w:rFonts w:ascii="Arial" w:hAnsi="Arial" w:cs="Arial"/>
                <w:sz w:val="22"/>
                <w:szCs w:val="22"/>
              </w:rPr>
            </w:pPr>
          </w:p>
        </w:tc>
        <w:tc>
          <w:tcPr>
            <w:tcW w:w="768" w:type="dxa"/>
            <w:tcBorders>
              <w:top w:val="nil"/>
              <w:left w:val="nil"/>
              <w:bottom w:val="dotted" w:sz="4" w:space="0" w:color="auto"/>
              <w:right w:val="single" w:sz="2" w:space="0" w:color="FFFFFF" w:themeColor="background1"/>
            </w:tcBorders>
            <w:tcMar>
              <w:top w:w="72" w:type="dxa"/>
              <w:bottom w:w="72" w:type="dxa"/>
            </w:tcMar>
          </w:tcPr>
          <w:p w14:paraId="5CBF1CDE" w14:textId="3BA20A0A" w:rsidR="00A27DEA" w:rsidRPr="0046704C" w:rsidRDefault="00A27DEA" w:rsidP="009A5126">
            <w:pPr>
              <w:jc w:val="right"/>
              <w:rPr>
                <w:rFonts w:ascii="Arial" w:hAnsi="Arial" w:cs="Arial"/>
                <w:sz w:val="22"/>
                <w:szCs w:val="22"/>
              </w:rPr>
            </w:pPr>
          </w:p>
        </w:tc>
        <w:tc>
          <w:tcPr>
            <w:tcW w:w="163" w:type="dxa"/>
            <w:tcBorders>
              <w:top w:val="nil"/>
              <w:left w:val="single" w:sz="2" w:space="0" w:color="FFFFFF" w:themeColor="background1"/>
              <w:bottom w:val="dotted" w:sz="4" w:space="0" w:color="auto"/>
              <w:right w:val="single" w:sz="2" w:space="0" w:color="FFFFFF" w:themeColor="background1"/>
            </w:tcBorders>
          </w:tcPr>
          <w:p w14:paraId="2AC36B28" w14:textId="77777777" w:rsidR="00A27DEA" w:rsidRPr="0046704C" w:rsidRDefault="00A27DEA" w:rsidP="009A5126">
            <w:pPr>
              <w:jc w:val="right"/>
              <w:rPr>
                <w:rFonts w:ascii="Arial" w:hAnsi="Arial" w:cs="Arial"/>
                <w:sz w:val="22"/>
                <w:szCs w:val="22"/>
              </w:rPr>
            </w:pPr>
          </w:p>
        </w:tc>
        <w:tc>
          <w:tcPr>
            <w:tcW w:w="82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5F2B6B3" w14:textId="77777777" w:rsidR="00A27DEA" w:rsidRPr="0046704C" w:rsidRDefault="00A27DEA" w:rsidP="009A5126">
            <w:pPr>
              <w:jc w:val="right"/>
              <w:rPr>
                <w:rFonts w:ascii="Arial" w:hAnsi="Arial" w:cs="Arial"/>
                <w:sz w:val="22"/>
                <w:szCs w:val="22"/>
              </w:rPr>
            </w:pPr>
          </w:p>
        </w:tc>
      </w:tr>
      <w:tr w:rsidR="006F4699" w:rsidRPr="008D0300" w14:paraId="28475DC1" w14:textId="77777777" w:rsidTr="00580825">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083304AF" w14:textId="33155781" w:rsidR="006F4699" w:rsidRPr="006F4699" w:rsidRDefault="006F4699" w:rsidP="00EC5BF3">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Pr>
                <w:rFonts w:ascii="Arial" w:hAnsi="Arial" w:cs="Arial"/>
                <w:sz w:val="22"/>
                <w:szCs w:val="22"/>
              </w:rPr>
              <w:t xml:space="preserve">General Fund, </w:t>
            </w:r>
            <w:r w:rsidR="002E5C9E">
              <w:rPr>
                <w:rFonts w:ascii="Arial" w:hAnsi="Arial" w:cs="Arial"/>
                <w:sz w:val="22"/>
                <w:szCs w:val="22"/>
              </w:rPr>
              <w:t xml:space="preserve">state </w:t>
            </w:r>
            <w:r w:rsidR="00BD400B">
              <w:rPr>
                <w:rFonts w:ascii="Arial" w:hAnsi="Arial" w:cs="Arial"/>
                <w:sz w:val="22"/>
                <w:szCs w:val="22"/>
              </w:rPr>
              <w:t>and local fees</w:t>
            </w:r>
            <w:r>
              <w:rPr>
                <w:rFonts w:ascii="Arial" w:hAnsi="Arial" w:cs="Arial"/>
                <w:sz w:val="22"/>
                <w:szCs w:val="22"/>
              </w:rPr>
              <w:t>.</w:t>
            </w:r>
            <w:r w:rsidR="008A28C6">
              <w:rPr>
                <w:rFonts w:ascii="Arial" w:hAnsi="Arial" w:cs="Arial"/>
                <w:noProof/>
                <w:sz w:val="22"/>
                <w:szCs w:val="22"/>
                <w:lang w:eastAsia="ko-KR"/>
              </w:rPr>
              <w:t xml:space="preserve"> </w:t>
            </w:r>
          </w:p>
        </w:tc>
      </w:tr>
      <w:tr w:rsidR="00B40E00" w:rsidRPr="008D0300" w14:paraId="768B4162" w14:textId="77777777" w:rsidTr="00443370">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45234E9A" w14:textId="02594363" w:rsidR="00B40E00" w:rsidRPr="008C07EB" w:rsidRDefault="008C07EB" w:rsidP="007D0720">
            <w:pPr>
              <w:spacing w:line="264" w:lineRule="auto"/>
              <w:ind w:left="216"/>
              <w:rPr>
                <w:rFonts w:ascii="Arial" w:hAnsi="Arial" w:cs="Arial"/>
                <w:sz w:val="22"/>
                <w:szCs w:val="22"/>
              </w:rPr>
            </w:pPr>
            <w:r>
              <w:rPr>
                <w:rFonts w:ascii="Arial" w:hAnsi="Arial" w:cs="Arial"/>
                <w:b/>
                <w:sz w:val="22"/>
                <w:szCs w:val="22"/>
              </w:rPr>
              <w:t xml:space="preserve">Base </w:t>
            </w:r>
            <w:r w:rsidR="00B40E00">
              <w:rPr>
                <w:rFonts w:ascii="Arial" w:hAnsi="Arial" w:cs="Arial"/>
                <w:b/>
                <w:sz w:val="22"/>
                <w:szCs w:val="22"/>
              </w:rPr>
              <w:t xml:space="preserve">Budget </w:t>
            </w:r>
            <w:r>
              <w:rPr>
                <w:rFonts w:ascii="Arial" w:hAnsi="Arial" w:cs="Arial"/>
                <w:b/>
                <w:sz w:val="22"/>
                <w:szCs w:val="22"/>
              </w:rPr>
              <w:t>Assumptions</w:t>
            </w:r>
            <w:r w:rsidR="00B40E00">
              <w:rPr>
                <w:rFonts w:ascii="Arial" w:hAnsi="Arial" w:cs="Arial"/>
                <w:b/>
                <w:sz w:val="22"/>
                <w:szCs w:val="22"/>
              </w:rPr>
              <w:t>:</w:t>
            </w:r>
            <w:r>
              <w:rPr>
                <w:rFonts w:ascii="Arial" w:hAnsi="Arial" w:cs="Arial"/>
                <w:sz w:val="22"/>
                <w:szCs w:val="22"/>
              </w:rPr>
              <w:t xml:space="preserve"> </w:t>
            </w:r>
            <w:r w:rsidR="003F73E3">
              <w:rPr>
                <w:rFonts w:ascii="Arial" w:hAnsi="Arial" w:cs="Arial"/>
                <w:sz w:val="22"/>
                <w:szCs w:val="22"/>
              </w:rPr>
              <w:t>(1) 0</w:t>
            </w:r>
            <w:r>
              <w:rPr>
                <w:rFonts w:ascii="Arial" w:hAnsi="Arial" w:cs="Arial"/>
                <w:sz w:val="22"/>
                <w:szCs w:val="22"/>
              </w:rPr>
              <w:t>.</w:t>
            </w:r>
            <w:r w:rsidR="003F73E3">
              <w:rPr>
                <w:rFonts w:ascii="Arial" w:hAnsi="Arial" w:cs="Arial"/>
                <w:sz w:val="22"/>
                <w:szCs w:val="22"/>
              </w:rPr>
              <w:t>0</w:t>
            </w:r>
            <w:r>
              <w:rPr>
                <w:rFonts w:ascii="Arial" w:hAnsi="Arial" w:cs="Arial"/>
                <w:sz w:val="22"/>
                <w:szCs w:val="22"/>
              </w:rPr>
              <w:t xml:space="preserve">% GWI for 2021; (2) </w:t>
            </w:r>
            <w:r w:rsidR="00BD400B">
              <w:rPr>
                <w:rFonts w:ascii="Arial" w:hAnsi="Arial" w:cs="Arial"/>
                <w:sz w:val="22"/>
                <w:szCs w:val="22"/>
              </w:rPr>
              <w:t>2</w:t>
            </w:r>
            <w:r>
              <w:rPr>
                <w:rFonts w:ascii="Arial" w:hAnsi="Arial" w:cs="Arial"/>
                <w:sz w:val="22"/>
                <w:szCs w:val="22"/>
              </w:rPr>
              <w:t>.</w:t>
            </w:r>
            <w:r w:rsidR="003F73E3">
              <w:rPr>
                <w:rFonts w:ascii="Arial" w:hAnsi="Arial" w:cs="Arial"/>
                <w:sz w:val="22"/>
                <w:szCs w:val="22"/>
              </w:rPr>
              <w:t>0</w:t>
            </w:r>
            <w:r>
              <w:rPr>
                <w:rFonts w:ascii="Arial" w:hAnsi="Arial" w:cs="Arial"/>
                <w:sz w:val="22"/>
                <w:szCs w:val="22"/>
              </w:rPr>
              <w:t>% GWI for 2022</w:t>
            </w:r>
            <w:r w:rsidR="00BD400B">
              <w:rPr>
                <w:rFonts w:ascii="Arial" w:hAnsi="Arial" w:cs="Arial"/>
                <w:sz w:val="22"/>
                <w:szCs w:val="22"/>
              </w:rPr>
              <w:t>.</w:t>
            </w:r>
          </w:p>
        </w:tc>
      </w:tr>
    </w:tbl>
    <w:p w14:paraId="344FF57F" w14:textId="3650C76A" w:rsidR="00F20221" w:rsidRDefault="00F20221" w:rsidP="00F20221">
      <w:pPr>
        <w:spacing w:line="264" w:lineRule="auto"/>
        <w:contextualSpacing/>
        <w:rPr>
          <w:rFonts w:ascii="Arial" w:hAnsi="Arial" w:cs="Arial"/>
          <w:b/>
          <w:smallCaps/>
          <w:szCs w:val="24"/>
          <w:u w:val="single"/>
        </w:rPr>
      </w:pPr>
    </w:p>
    <w:p w14:paraId="43E0E657" w14:textId="3C22A45D"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77777777" w:rsidR="005C2E8B" w:rsidRDefault="005C2E8B" w:rsidP="0036705B">
      <w:pPr>
        <w:spacing w:line="264" w:lineRule="auto"/>
        <w:contextualSpacing/>
        <w:jc w:val="both"/>
        <w:rPr>
          <w:rFonts w:ascii="Arial" w:hAnsi="Arial" w:cs="Arial"/>
          <w:szCs w:val="24"/>
        </w:rPr>
      </w:pPr>
    </w:p>
    <w:p w14:paraId="200B3EF0" w14:textId="252A2E18" w:rsidR="00F66903" w:rsidRDefault="00F66903" w:rsidP="0036705B">
      <w:pPr>
        <w:spacing w:line="264" w:lineRule="auto"/>
        <w:jc w:val="both"/>
        <w:rPr>
          <w:rFonts w:ascii="Arial" w:hAnsi="Arial" w:cs="Arial"/>
          <w:szCs w:val="24"/>
        </w:rPr>
      </w:pPr>
      <w:r w:rsidRPr="00D9422D">
        <w:rPr>
          <w:rFonts w:ascii="Arial" w:hAnsi="Arial" w:cs="Arial"/>
          <w:szCs w:val="24"/>
        </w:rPr>
        <w:t xml:space="preserve">The King County Department of Adult and Juvenile Detention </w:t>
      </w:r>
      <w:r>
        <w:rPr>
          <w:rFonts w:ascii="Arial" w:hAnsi="Arial" w:cs="Arial"/>
          <w:szCs w:val="24"/>
        </w:rPr>
        <w:t xml:space="preserve">(DAJD) </w:t>
      </w:r>
      <w:r w:rsidRPr="00D9422D">
        <w:rPr>
          <w:rFonts w:ascii="Arial" w:hAnsi="Arial" w:cs="Arial"/>
          <w:szCs w:val="24"/>
        </w:rPr>
        <w:t xml:space="preserve">operates one of the largest detention systems in the Pacific Northwest.  </w:t>
      </w:r>
      <w:r w:rsidR="001A71C1">
        <w:rPr>
          <w:rFonts w:ascii="Arial" w:hAnsi="Arial" w:cs="Arial"/>
          <w:szCs w:val="24"/>
        </w:rPr>
        <w:t>T</w:t>
      </w:r>
      <w:r w:rsidR="001A71C1" w:rsidRPr="008F117B">
        <w:rPr>
          <w:rFonts w:ascii="Arial" w:hAnsi="Arial" w:cs="Arial"/>
          <w:szCs w:val="24"/>
        </w:rPr>
        <w:t xml:space="preserve">he </w:t>
      </w:r>
      <w:r w:rsidR="001A71C1">
        <w:rPr>
          <w:rFonts w:ascii="Arial" w:hAnsi="Arial" w:cs="Arial"/>
          <w:szCs w:val="24"/>
        </w:rPr>
        <w:t>d</w:t>
      </w:r>
      <w:r w:rsidR="001A71C1" w:rsidRPr="008F117B">
        <w:rPr>
          <w:rFonts w:ascii="Arial" w:hAnsi="Arial" w:cs="Arial"/>
          <w:szCs w:val="24"/>
        </w:rPr>
        <w:t xml:space="preserve">epartment </w:t>
      </w:r>
      <w:r w:rsidR="001A71C1">
        <w:rPr>
          <w:rFonts w:ascii="Arial" w:hAnsi="Arial" w:cs="Arial"/>
          <w:szCs w:val="24"/>
        </w:rPr>
        <w:t>operates</w:t>
      </w:r>
      <w:r w:rsidR="001A71C1" w:rsidRPr="008F117B">
        <w:rPr>
          <w:rFonts w:ascii="Arial" w:hAnsi="Arial" w:cs="Arial"/>
          <w:szCs w:val="24"/>
        </w:rPr>
        <w:t xml:space="preserve"> two adult detention faci</w:t>
      </w:r>
      <w:r w:rsidR="001A71C1">
        <w:rPr>
          <w:rFonts w:ascii="Arial" w:hAnsi="Arial" w:cs="Arial"/>
          <w:szCs w:val="24"/>
        </w:rPr>
        <w:t>lities</w:t>
      </w:r>
      <w:r w:rsidR="00B0499C">
        <w:rPr>
          <w:rFonts w:ascii="Arial" w:hAnsi="Arial" w:cs="Arial"/>
          <w:szCs w:val="24"/>
        </w:rPr>
        <w:t>;</w:t>
      </w:r>
      <w:r w:rsidR="001A71C1">
        <w:rPr>
          <w:rFonts w:ascii="Arial" w:hAnsi="Arial" w:cs="Arial"/>
          <w:szCs w:val="24"/>
        </w:rPr>
        <w:t xml:space="preserve"> the King County Correctional Facility (KCCF) in Seattle and the Maleng Regional Justice Center (MRJC) in Kent</w:t>
      </w:r>
      <w:r w:rsidR="00120EEB">
        <w:rPr>
          <w:rFonts w:ascii="Arial" w:hAnsi="Arial" w:cs="Arial"/>
          <w:szCs w:val="24"/>
        </w:rPr>
        <w:t>.</w:t>
      </w:r>
      <w:r w:rsidR="00974011">
        <w:rPr>
          <w:rStyle w:val="FootnoteReference"/>
          <w:rFonts w:ascii="Arial" w:hAnsi="Arial" w:cs="Arial"/>
          <w:szCs w:val="24"/>
        </w:rPr>
        <w:footnoteReference w:id="1"/>
      </w:r>
      <w:r w:rsidR="00120EEB">
        <w:rPr>
          <w:rFonts w:ascii="Arial" w:hAnsi="Arial" w:cs="Arial"/>
          <w:szCs w:val="24"/>
        </w:rPr>
        <w:t xml:space="preserve">  </w:t>
      </w:r>
      <w:r w:rsidR="001A71C1">
        <w:rPr>
          <w:rFonts w:ascii="Arial" w:hAnsi="Arial" w:cs="Arial"/>
          <w:szCs w:val="24"/>
        </w:rPr>
        <w:t xml:space="preserve"> </w:t>
      </w:r>
      <w:r w:rsidR="005C447B">
        <w:rPr>
          <w:rFonts w:ascii="Arial" w:hAnsi="Arial" w:cs="Arial"/>
          <w:szCs w:val="24"/>
        </w:rPr>
        <w:t>Prior to the COVID pandemic</w:t>
      </w:r>
      <w:r w:rsidR="00C3191B">
        <w:rPr>
          <w:rFonts w:ascii="Arial" w:hAnsi="Arial" w:cs="Arial"/>
          <w:szCs w:val="24"/>
        </w:rPr>
        <w:t>, t</w:t>
      </w:r>
      <w:r w:rsidRPr="00D9422D">
        <w:rPr>
          <w:rFonts w:ascii="Arial" w:hAnsi="Arial" w:cs="Arial"/>
          <w:szCs w:val="24"/>
        </w:rPr>
        <w:t xml:space="preserve">he adult system </w:t>
      </w:r>
      <w:r w:rsidR="005C447B">
        <w:rPr>
          <w:rFonts w:ascii="Arial" w:hAnsi="Arial" w:cs="Arial"/>
          <w:szCs w:val="24"/>
        </w:rPr>
        <w:t>ha</w:t>
      </w:r>
      <w:r w:rsidR="00C3191B">
        <w:rPr>
          <w:rFonts w:ascii="Arial" w:hAnsi="Arial" w:cs="Arial"/>
          <w:szCs w:val="24"/>
        </w:rPr>
        <w:t xml:space="preserve">d seen </w:t>
      </w:r>
      <w:r>
        <w:rPr>
          <w:rFonts w:ascii="Arial" w:hAnsi="Arial" w:cs="Arial"/>
          <w:szCs w:val="24"/>
        </w:rPr>
        <w:t>more than 3</w:t>
      </w:r>
      <w:r w:rsidR="00C3191B">
        <w:rPr>
          <w:rFonts w:ascii="Arial" w:hAnsi="Arial" w:cs="Arial"/>
          <w:szCs w:val="24"/>
        </w:rPr>
        <w:t>2</w:t>
      </w:r>
      <w:r>
        <w:rPr>
          <w:rFonts w:ascii="Arial" w:hAnsi="Arial" w:cs="Arial"/>
          <w:szCs w:val="24"/>
        </w:rPr>
        <w:t xml:space="preserve">,000 bookings </w:t>
      </w:r>
      <w:r w:rsidR="00C3191B">
        <w:rPr>
          <w:rFonts w:ascii="Arial" w:hAnsi="Arial" w:cs="Arial"/>
          <w:szCs w:val="24"/>
        </w:rPr>
        <w:t>in 2019</w:t>
      </w:r>
      <w:r w:rsidR="00120EEB">
        <w:rPr>
          <w:rFonts w:ascii="Arial" w:hAnsi="Arial" w:cs="Arial"/>
          <w:szCs w:val="24"/>
        </w:rPr>
        <w:t xml:space="preserve"> and was </w:t>
      </w:r>
      <w:r>
        <w:rPr>
          <w:rFonts w:ascii="Arial" w:hAnsi="Arial" w:cs="Arial"/>
          <w:szCs w:val="24"/>
        </w:rPr>
        <w:t>housing a total of 1,9</w:t>
      </w:r>
      <w:r w:rsidR="0057347E">
        <w:rPr>
          <w:rFonts w:ascii="Arial" w:hAnsi="Arial" w:cs="Arial"/>
          <w:szCs w:val="24"/>
        </w:rPr>
        <w:t>77</w:t>
      </w:r>
      <w:r>
        <w:rPr>
          <w:rFonts w:ascii="Arial" w:hAnsi="Arial" w:cs="Arial"/>
          <w:szCs w:val="24"/>
        </w:rPr>
        <w:t xml:space="preserve"> </w:t>
      </w:r>
      <w:r w:rsidRPr="008F117B">
        <w:rPr>
          <w:rFonts w:ascii="Arial" w:hAnsi="Arial" w:cs="Arial"/>
          <w:szCs w:val="24"/>
        </w:rPr>
        <w:t>i</w:t>
      </w:r>
      <w:r>
        <w:rPr>
          <w:rFonts w:ascii="Arial" w:hAnsi="Arial" w:cs="Arial"/>
          <w:szCs w:val="24"/>
        </w:rPr>
        <w:t xml:space="preserve">nmates on an average daily </w:t>
      </w:r>
      <w:r w:rsidR="0036705B">
        <w:rPr>
          <w:rFonts w:ascii="Arial" w:hAnsi="Arial" w:cs="Arial"/>
          <w:szCs w:val="24"/>
        </w:rPr>
        <w:t xml:space="preserve">population </w:t>
      </w:r>
      <w:r>
        <w:rPr>
          <w:rFonts w:ascii="Arial" w:hAnsi="Arial" w:cs="Arial"/>
          <w:szCs w:val="24"/>
        </w:rPr>
        <w:t xml:space="preserve">(ADP).  The department’s </w:t>
      </w:r>
      <w:r>
        <w:rPr>
          <w:rFonts w:ascii="Arial" w:hAnsi="Arial"/>
          <w:szCs w:val="24"/>
        </w:rPr>
        <w:t>Juvenile Detention Division</w:t>
      </w:r>
      <w:r>
        <w:rPr>
          <w:rFonts w:ascii="Arial" w:hAnsi="Arial" w:cs="Arial"/>
          <w:szCs w:val="24"/>
        </w:rPr>
        <w:t xml:space="preserve"> is responsible for the operation of the county’s</w:t>
      </w:r>
      <w:r w:rsidRPr="008F117B">
        <w:rPr>
          <w:rFonts w:ascii="Arial" w:hAnsi="Arial" w:cs="Arial"/>
          <w:szCs w:val="24"/>
        </w:rPr>
        <w:t xml:space="preserve"> juvenile secure d</w:t>
      </w:r>
      <w:r>
        <w:rPr>
          <w:rFonts w:ascii="Arial" w:hAnsi="Arial" w:cs="Arial"/>
          <w:szCs w:val="24"/>
        </w:rPr>
        <w:t>etention facility in Seattle that house</w:t>
      </w:r>
      <w:r w:rsidR="0057347E">
        <w:rPr>
          <w:rFonts w:ascii="Arial" w:hAnsi="Arial" w:cs="Arial"/>
          <w:szCs w:val="24"/>
        </w:rPr>
        <w:t>d</w:t>
      </w:r>
      <w:r>
        <w:rPr>
          <w:rFonts w:ascii="Arial" w:hAnsi="Arial" w:cs="Arial"/>
          <w:szCs w:val="24"/>
        </w:rPr>
        <w:t xml:space="preserve"> </w:t>
      </w:r>
      <w:r w:rsidR="00DB419E">
        <w:rPr>
          <w:rFonts w:ascii="Arial" w:hAnsi="Arial" w:cs="Arial"/>
          <w:szCs w:val="24"/>
        </w:rPr>
        <w:t>43</w:t>
      </w:r>
      <w:r w:rsidRPr="008F117B">
        <w:rPr>
          <w:rFonts w:ascii="Arial" w:hAnsi="Arial" w:cs="Arial"/>
          <w:szCs w:val="24"/>
        </w:rPr>
        <w:t xml:space="preserve"> offender youth on an average daily basis</w:t>
      </w:r>
      <w:r>
        <w:rPr>
          <w:rFonts w:ascii="Arial" w:hAnsi="Arial" w:cs="Arial"/>
          <w:szCs w:val="24"/>
        </w:rPr>
        <w:t xml:space="preserve"> </w:t>
      </w:r>
      <w:r w:rsidR="00DB419E">
        <w:rPr>
          <w:rFonts w:ascii="Arial" w:hAnsi="Arial" w:cs="Arial"/>
          <w:szCs w:val="24"/>
        </w:rPr>
        <w:t>in 2019</w:t>
      </w:r>
      <w:r w:rsidRPr="008F117B">
        <w:rPr>
          <w:rFonts w:ascii="Arial" w:hAnsi="Arial" w:cs="Arial"/>
          <w:szCs w:val="24"/>
        </w:rPr>
        <w:t>.</w:t>
      </w:r>
      <w:r>
        <w:rPr>
          <w:rFonts w:ascii="Arial" w:hAnsi="Arial" w:cs="Arial"/>
          <w:szCs w:val="24"/>
        </w:rPr>
        <w:t xml:space="preserve"> </w:t>
      </w:r>
      <w:r w:rsidR="00D754A4">
        <w:rPr>
          <w:rFonts w:ascii="Arial" w:hAnsi="Arial" w:cs="Arial"/>
          <w:szCs w:val="24"/>
        </w:rPr>
        <w:t xml:space="preserve"> However, as a consequence of </w:t>
      </w:r>
      <w:r w:rsidR="001F0F28">
        <w:rPr>
          <w:rFonts w:ascii="Arial" w:hAnsi="Arial" w:cs="Arial"/>
          <w:szCs w:val="24"/>
        </w:rPr>
        <w:t xml:space="preserve">the COVID pandemic and the </w:t>
      </w:r>
      <w:r w:rsidR="000504E2">
        <w:rPr>
          <w:rFonts w:ascii="Arial" w:hAnsi="Arial" w:cs="Arial"/>
          <w:szCs w:val="24"/>
        </w:rPr>
        <w:t xml:space="preserve">implementation of policies to ensure that the spread of the virus was contained, </w:t>
      </w:r>
      <w:r w:rsidR="00943DB6">
        <w:rPr>
          <w:rFonts w:ascii="Arial" w:hAnsi="Arial" w:cs="Arial"/>
          <w:szCs w:val="24"/>
        </w:rPr>
        <w:t>detention populations we</w:t>
      </w:r>
      <w:r w:rsidR="00044325">
        <w:rPr>
          <w:rFonts w:ascii="Arial" w:hAnsi="Arial" w:cs="Arial"/>
          <w:szCs w:val="24"/>
        </w:rPr>
        <w:t>re</w:t>
      </w:r>
      <w:r w:rsidR="00943DB6">
        <w:rPr>
          <w:rFonts w:ascii="Arial" w:hAnsi="Arial" w:cs="Arial"/>
          <w:szCs w:val="24"/>
        </w:rPr>
        <w:t xml:space="preserve"> significantly reduced in 2020</w:t>
      </w:r>
      <w:r w:rsidR="003248E3">
        <w:rPr>
          <w:rFonts w:ascii="Arial" w:hAnsi="Arial" w:cs="Arial"/>
          <w:szCs w:val="24"/>
        </w:rPr>
        <w:t xml:space="preserve">.  Adult jail ADP went from </w:t>
      </w:r>
      <w:r w:rsidR="00DE2FF8">
        <w:rPr>
          <w:rFonts w:ascii="Arial" w:hAnsi="Arial" w:cs="Arial"/>
          <w:szCs w:val="24"/>
        </w:rPr>
        <w:t>1,</w:t>
      </w:r>
      <w:r w:rsidR="00373E13">
        <w:rPr>
          <w:rFonts w:ascii="Arial" w:hAnsi="Arial" w:cs="Arial"/>
          <w:szCs w:val="24"/>
        </w:rPr>
        <w:t>9</w:t>
      </w:r>
      <w:r w:rsidR="00DE2FF8">
        <w:rPr>
          <w:rFonts w:ascii="Arial" w:hAnsi="Arial" w:cs="Arial"/>
          <w:szCs w:val="24"/>
        </w:rPr>
        <w:t>45 in February to 1,</w:t>
      </w:r>
      <w:r w:rsidR="00373E13">
        <w:rPr>
          <w:rFonts w:ascii="Arial" w:hAnsi="Arial" w:cs="Arial"/>
          <w:szCs w:val="24"/>
        </w:rPr>
        <w:t xml:space="preserve">305 in August.  Similarly, juvenile secure detention ADP went from </w:t>
      </w:r>
      <w:r w:rsidR="00945925">
        <w:rPr>
          <w:rFonts w:ascii="Arial" w:hAnsi="Arial" w:cs="Arial"/>
          <w:szCs w:val="24"/>
        </w:rPr>
        <w:t>34</w:t>
      </w:r>
      <w:r w:rsidR="00D53098">
        <w:rPr>
          <w:rFonts w:ascii="Arial" w:hAnsi="Arial" w:cs="Arial"/>
          <w:szCs w:val="24"/>
        </w:rPr>
        <w:t xml:space="preserve"> ADP in February to 20 in August</w:t>
      </w:r>
      <w:r w:rsidR="00974011">
        <w:rPr>
          <w:rFonts w:ascii="Arial" w:hAnsi="Arial" w:cs="Arial"/>
          <w:szCs w:val="24"/>
        </w:rPr>
        <w:t>.</w:t>
      </w:r>
      <w:r>
        <w:rPr>
          <w:rFonts w:ascii="Arial" w:hAnsi="Arial" w:cs="Arial"/>
          <w:szCs w:val="24"/>
        </w:rPr>
        <w:t xml:space="preserve"> </w:t>
      </w:r>
    </w:p>
    <w:p w14:paraId="6A7A2D97" w14:textId="77777777" w:rsidR="00F66903" w:rsidRDefault="00F66903" w:rsidP="0036705B">
      <w:pPr>
        <w:spacing w:line="264" w:lineRule="auto"/>
        <w:jc w:val="both"/>
        <w:rPr>
          <w:rFonts w:ascii="Arial" w:hAnsi="Arial" w:cs="Arial"/>
          <w:szCs w:val="24"/>
        </w:rPr>
      </w:pPr>
    </w:p>
    <w:p w14:paraId="6C33E0BB" w14:textId="386460B8" w:rsidR="00F66903" w:rsidRDefault="00F66903" w:rsidP="0036705B">
      <w:pPr>
        <w:spacing w:line="264" w:lineRule="auto"/>
        <w:jc w:val="both"/>
        <w:rPr>
          <w:rFonts w:ascii="Arial" w:hAnsi="Arial"/>
          <w:szCs w:val="24"/>
        </w:rPr>
      </w:pPr>
      <w:r>
        <w:rPr>
          <w:rFonts w:ascii="Arial" w:hAnsi="Arial" w:cs="Arial"/>
          <w:szCs w:val="24"/>
        </w:rPr>
        <w:t>In 2000 (juveniles) and in 2002 (adults),</w:t>
      </w:r>
      <w:r>
        <w:rPr>
          <w:rStyle w:val="FootnoteReference"/>
          <w:rFonts w:ascii="Arial" w:hAnsi="Arial" w:cs="Arial"/>
          <w:szCs w:val="24"/>
        </w:rPr>
        <w:footnoteReference w:id="2"/>
      </w:r>
      <w:r>
        <w:rPr>
          <w:rFonts w:ascii="Arial" w:hAnsi="Arial" w:cs="Arial"/>
          <w:szCs w:val="24"/>
        </w:rPr>
        <w:t xml:space="preserve"> t</w:t>
      </w:r>
      <w:r w:rsidRPr="008F117B">
        <w:rPr>
          <w:rFonts w:ascii="Arial" w:hAnsi="Arial" w:cs="Arial"/>
          <w:szCs w:val="24"/>
        </w:rPr>
        <w:t xml:space="preserve">he </w:t>
      </w:r>
      <w:r>
        <w:rPr>
          <w:rFonts w:ascii="Arial" w:hAnsi="Arial" w:cs="Arial"/>
          <w:szCs w:val="24"/>
        </w:rPr>
        <w:t>C</w:t>
      </w:r>
      <w:r w:rsidRPr="008F117B">
        <w:rPr>
          <w:rFonts w:ascii="Arial" w:hAnsi="Arial" w:cs="Arial"/>
          <w:szCs w:val="24"/>
        </w:rPr>
        <w:t xml:space="preserve">ouncil adopted as county policy that </w:t>
      </w:r>
      <w:r>
        <w:rPr>
          <w:rFonts w:ascii="Arial" w:hAnsi="Arial" w:cs="Arial"/>
          <w:szCs w:val="24"/>
        </w:rPr>
        <w:t xml:space="preserve">its </w:t>
      </w:r>
      <w:r w:rsidRPr="008F117B">
        <w:rPr>
          <w:rFonts w:ascii="Arial" w:hAnsi="Arial" w:cs="Arial"/>
          <w:szCs w:val="24"/>
        </w:rPr>
        <w:t>secure detention</w:t>
      </w:r>
      <w:r>
        <w:rPr>
          <w:rFonts w:ascii="Arial" w:hAnsi="Arial" w:cs="Arial"/>
          <w:szCs w:val="24"/>
        </w:rPr>
        <w:t xml:space="preserve"> facilities</w:t>
      </w:r>
      <w:r w:rsidRPr="008F117B">
        <w:rPr>
          <w:rFonts w:ascii="Arial" w:hAnsi="Arial" w:cs="Arial"/>
          <w:szCs w:val="24"/>
        </w:rPr>
        <w:t xml:space="preserve"> would only </w:t>
      </w:r>
      <w:r>
        <w:rPr>
          <w:rFonts w:ascii="Arial" w:hAnsi="Arial" w:cs="Arial"/>
          <w:szCs w:val="24"/>
        </w:rPr>
        <w:t>be used for public safety purpose</w:t>
      </w:r>
      <w:r w:rsidRPr="008F117B">
        <w:rPr>
          <w:rFonts w:ascii="Arial" w:hAnsi="Arial" w:cs="Arial"/>
          <w:szCs w:val="24"/>
        </w:rPr>
        <w:t>s</w:t>
      </w:r>
      <w:r>
        <w:rPr>
          <w:rFonts w:ascii="Arial" w:hAnsi="Arial" w:cs="Arial"/>
          <w:szCs w:val="24"/>
        </w:rPr>
        <w:t xml:space="preserve">. </w:t>
      </w:r>
      <w:r w:rsidR="0036705B">
        <w:rPr>
          <w:rFonts w:ascii="Arial" w:hAnsi="Arial" w:cs="Arial"/>
          <w:szCs w:val="24"/>
        </w:rPr>
        <w:t xml:space="preserve"> </w:t>
      </w:r>
      <w:r>
        <w:rPr>
          <w:rFonts w:ascii="Arial" w:hAnsi="Arial" w:cs="Arial"/>
          <w:szCs w:val="24"/>
        </w:rPr>
        <w:t xml:space="preserve">As a result, the </w:t>
      </w:r>
      <w:r w:rsidRPr="008F117B">
        <w:rPr>
          <w:rFonts w:ascii="Arial" w:hAnsi="Arial" w:cs="Arial"/>
          <w:szCs w:val="24"/>
        </w:rPr>
        <w:t xml:space="preserve">county </w:t>
      </w:r>
      <w:r>
        <w:rPr>
          <w:rFonts w:ascii="Arial" w:hAnsi="Arial" w:cs="Arial"/>
          <w:szCs w:val="24"/>
        </w:rPr>
        <w:t xml:space="preserve">has </w:t>
      </w:r>
      <w:r w:rsidRPr="008F117B">
        <w:rPr>
          <w:rFonts w:ascii="Arial" w:hAnsi="Arial" w:cs="Arial"/>
          <w:szCs w:val="24"/>
        </w:rPr>
        <w:t>develop</w:t>
      </w:r>
      <w:r>
        <w:rPr>
          <w:rFonts w:ascii="Arial" w:hAnsi="Arial" w:cs="Arial"/>
          <w:szCs w:val="24"/>
        </w:rPr>
        <w:t>ed</w:t>
      </w:r>
      <w:r w:rsidRPr="008F117B">
        <w:rPr>
          <w:rFonts w:ascii="Arial" w:hAnsi="Arial" w:cs="Arial"/>
          <w:szCs w:val="24"/>
        </w:rPr>
        <w:t xml:space="preserve"> alternatives to secure detention, provide</w:t>
      </w:r>
      <w:r>
        <w:rPr>
          <w:rFonts w:ascii="Arial" w:hAnsi="Arial" w:cs="Arial"/>
          <w:szCs w:val="24"/>
        </w:rPr>
        <w:t>s</w:t>
      </w:r>
      <w:r w:rsidRPr="008F117B">
        <w:rPr>
          <w:rFonts w:ascii="Arial" w:hAnsi="Arial" w:cs="Arial"/>
          <w:szCs w:val="24"/>
        </w:rPr>
        <w:t xml:space="preserve"> treatment resources</w:t>
      </w:r>
      <w:r>
        <w:rPr>
          <w:rFonts w:ascii="Arial" w:hAnsi="Arial" w:cs="Arial"/>
          <w:szCs w:val="24"/>
        </w:rPr>
        <w:t xml:space="preserve"> to offenders</w:t>
      </w:r>
      <w:r w:rsidRPr="008F117B">
        <w:rPr>
          <w:rFonts w:ascii="Arial" w:hAnsi="Arial" w:cs="Arial"/>
          <w:szCs w:val="24"/>
        </w:rPr>
        <w:t xml:space="preserve">, and </w:t>
      </w:r>
      <w:r>
        <w:rPr>
          <w:rFonts w:ascii="Arial" w:hAnsi="Arial" w:cs="Arial"/>
          <w:szCs w:val="24"/>
        </w:rPr>
        <w:t>provides other community services to offenders to reduce recidivism</w:t>
      </w:r>
      <w:r w:rsidRPr="008F117B">
        <w:rPr>
          <w:rFonts w:ascii="Arial" w:hAnsi="Arial" w:cs="Arial"/>
          <w:szCs w:val="24"/>
        </w:rPr>
        <w:t xml:space="preserve">.  </w:t>
      </w:r>
      <w:r w:rsidRPr="008F117B">
        <w:rPr>
          <w:rFonts w:ascii="Arial" w:hAnsi="Arial"/>
          <w:szCs w:val="24"/>
        </w:rPr>
        <w:t xml:space="preserve">Alternatives to secure detention </w:t>
      </w:r>
      <w:r>
        <w:rPr>
          <w:rFonts w:ascii="Arial" w:hAnsi="Arial"/>
          <w:szCs w:val="24"/>
        </w:rPr>
        <w:t xml:space="preserve">and treatment programs </w:t>
      </w:r>
      <w:r w:rsidRPr="008F117B">
        <w:rPr>
          <w:rFonts w:ascii="Arial" w:hAnsi="Arial"/>
          <w:szCs w:val="24"/>
        </w:rPr>
        <w:t>for adults are administered through the department’s Community Corrections Division</w:t>
      </w:r>
      <w:r w:rsidRPr="00D848DB">
        <w:rPr>
          <w:rFonts w:ascii="Arial" w:hAnsi="Arial" w:cs="Arial"/>
          <w:szCs w:val="24"/>
        </w:rPr>
        <w:t xml:space="preserve"> </w:t>
      </w:r>
      <w:r>
        <w:rPr>
          <w:rFonts w:ascii="Arial" w:hAnsi="Arial" w:cs="Arial"/>
          <w:szCs w:val="24"/>
        </w:rPr>
        <w:t xml:space="preserve">(CCD).  The division also provides services to the court to support judicial placement decisions for </w:t>
      </w:r>
      <w:r>
        <w:rPr>
          <w:rFonts w:ascii="Arial" w:hAnsi="Arial" w:cs="Arial"/>
          <w:szCs w:val="24"/>
        </w:rPr>
        <w:lastRenderedPageBreak/>
        <w:t>both pre-trial and sentenced inmates</w:t>
      </w:r>
      <w:r>
        <w:rPr>
          <w:rFonts w:ascii="Arial" w:hAnsi="Arial"/>
          <w:szCs w:val="24"/>
        </w:rPr>
        <w:t>.  Alternative programs for juvenile offenders are provided through the Juvenile Detention Division</w:t>
      </w:r>
      <w:r w:rsidRPr="008F117B">
        <w:rPr>
          <w:rFonts w:ascii="Arial" w:hAnsi="Arial"/>
          <w:szCs w:val="24"/>
        </w:rPr>
        <w:t>.</w:t>
      </w:r>
    </w:p>
    <w:p w14:paraId="5909BC3F" w14:textId="4FAD3823" w:rsidR="00563A0F" w:rsidRDefault="00563A0F" w:rsidP="0036705B">
      <w:pPr>
        <w:spacing w:line="264" w:lineRule="auto"/>
        <w:jc w:val="both"/>
        <w:rPr>
          <w:rFonts w:ascii="Arial" w:hAnsi="Arial" w:cs="Arial"/>
          <w:szCs w:val="24"/>
        </w:rPr>
      </w:pPr>
    </w:p>
    <w:p w14:paraId="58418056" w14:textId="3A57F9B2" w:rsidR="004567F8" w:rsidRPr="00F6225B" w:rsidRDefault="004567F8" w:rsidP="0036705B">
      <w:pPr>
        <w:spacing w:line="264" w:lineRule="auto"/>
        <w:contextualSpacing/>
        <w:rPr>
          <w:rFonts w:ascii="Arial" w:hAnsi="Arial" w:cs="Arial"/>
          <w:szCs w:val="24"/>
        </w:rPr>
      </w:pPr>
    </w:p>
    <w:p w14:paraId="63E54FF6" w14:textId="154CE1C7" w:rsidR="005C2E8B" w:rsidRPr="00B2433E" w:rsidRDefault="008156D8" w:rsidP="0036705B">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6F397FB5" w14:textId="77777777" w:rsidR="005C2E8B" w:rsidRPr="00F6225B" w:rsidRDefault="005C2E8B" w:rsidP="0036705B">
      <w:pPr>
        <w:spacing w:line="264" w:lineRule="auto"/>
        <w:contextualSpacing/>
        <w:jc w:val="both"/>
        <w:rPr>
          <w:rFonts w:ascii="Arial" w:hAnsi="Arial" w:cs="Arial"/>
          <w:szCs w:val="24"/>
        </w:rPr>
      </w:pPr>
    </w:p>
    <w:p w14:paraId="0A36C84A" w14:textId="711E45AD" w:rsidR="00D70D5B" w:rsidRDefault="00D70D5B" w:rsidP="0036705B">
      <w:pPr>
        <w:spacing w:line="264" w:lineRule="auto"/>
        <w:jc w:val="both"/>
        <w:rPr>
          <w:rFonts w:ascii="Arial" w:hAnsi="Arial" w:cs="Arial"/>
          <w:szCs w:val="24"/>
        </w:rPr>
      </w:pPr>
      <w:r>
        <w:rPr>
          <w:rFonts w:ascii="Arial" w:hAnsi="Arial" w:cs="Arial"/>
          <w:szCs w:val="24"/>
        </w:rPr>
        <w:t>The department’s 20</w:t>
      </w:r>
      <w:r w:rsidR="00133677">
        <w:rPr>
          <w:rFonts w:ascii="Arial" w:hAnsi="Arial" w:cs="Arial"/>
          <w:szCs w:val="24"/>
        </w:rPr>
        <w:t>21-</w:t>
      </w:r>
      <w:r w:rsidR="009849DD">
        <w:rPr>
          <w:rFonts w:ascii="Arial" w:hAnsi="Arial" w:cs="Arial"/>
          <w:szCs w:val="24"/>
        </w:rPr>
        <w:t>20</w:t>
      </w:r>
      <w:r w:rsidR="00133677">
        <w:rPr>
          <w:rFonts w:ascii="Arial" w:hAnsi="Arial" w:cs="Arial"/>
          <w:szCs w:val="24"/>
        </w:rPr>
        <w:t>22</w:t>
      </w:r>
      <w:r>
        <w:rPr>
          <w:rFonts w:ascii="Arial" w:hAnsi="Arial" w:cs="Arial"/>
          <w:szCs w:val="24"/>
        </w:rPr>
        <w:t xml:space="preserve"> </w:t>
      </w:r>
      <w:r w:rsidR="0036705B">
        <w:rPr>
          <w:rFonts w:ascii="Arial" w:hAnsi="Arial" w:cs="Arial"/>
          <w:szCs w:val="24"/>
        </w:rPr>
        <w:t xml:space="preserve">executive </w:t>
      </w:r>
      <w:r>
        <w:rPr>
          <w:rFonts w:ascii="Arial" w:hAnsi="Arial" w:cs="Arial"/>
          <w:szCs w:val="24"/>
        </w:rPr>
        <w:t>proposed budget is $32</w:t>
      </w:r>
      <w:r w:rsidR="00133677">
        <w:rPr>
          <w:rFonts w:ascii="Arial" w:hAnsi="Arial" w:cs="Arial"/>
          <w:szCs w:val="24"/>
        </w:rPr>
        <w:t>6</w:t>
      </w:r>
      <w:r w:rsidR="009A5AD2">
        <w:rPr>
          <w:rFonts w:ascii="Arial" w:hAnsi="Arial" w:cs="Arial"/>
          <w:szCs w:val="24"/>
        </w:rPr>
        <w:t>.7</w:t>
      </w:r>
      <w:r>
        <w:rPr>
          <w:rFonts w:ascii="Arial" w:hAnsi="Arial" w:cs="Arial"/>
          <w:szCs w:val="24"/>
        </w:rPr>
        <w:t xml:space="preserve"> million, $</w:t>
      </w:r>
      <w:r w:rsidR="00CB4ECD">
        <w:rPr>
          <w:rFonts w:ascii="Arial" w:hAnsi="Arial" w:cs="Arial"/>
          <w:szCs w:val="24"/>
        </w:rPr>
        <w:t>5.1</w:t>
      </w:r>
      <w:r>
        <w:rPr>
          <w:rFonts w:ascii="Arial" w:hAnsi="Arial" w:cs="Arial"/>
          <w:szCs w:val="24"/>
        </w:rPr>
        <w:t xml:space="preserve"> million or </w:t>
      </w:r>
      <w:r w:rsidR="00CB4ECD">
        <w:rPr>
          <w:rFonts w:ascii="Arial" w:hAnsi="Arial" w:cs="Arial"/>
          <w:szCs w:val="24"/>
        </w:rPr>
        <w:t>1.</w:t>
      </w:r>
      <w:r w:rsidR="00430A33">
        <w:rPr>
          <w:rFonts w:ascii="Arial" w:hAnsi="Arial" w:cs="Arial"/>
          <w:szCs w:val="24"/>
        </w:rPr>
        <w:t>5</w:t>
      </w:r>
      <w:r>
        <w:rPr>
          <w:rFonts w:ascii="Arial" w:hAnsi="Arial" w:cs="Arial"/>
          <w:szCs w:val="24"/>
        </w:rPr>
        <w:t xml:space="preserve"> percent </w:t>
      </w:r>
      <w:r w:rsidR="00CB4ECD">
        <w:rPr>
          <w:rFonts w:ascii="Arial" w:hAnsi="Arial" w:cs="Arial"/>
          <w:szCs w:val="24"/>
        </w:rPr>
        <w:t>low</w:t>
      </w:r>
      <w:r>
        <w:rPr>
          <w:rFonts w:ascii="Arial" w:hAnsi="Arial" w:cs="Arial"/>
          <w:szCs w:val="24"/>
        </w:rPr>
        <w:t xml:space="preserve">er than the amount approved in the </w:t>
      </w:r>
      <w:r w:rsidRPr="001B0260">
        <w:rPr>
          <w:rFonts w:ascii="Arial" w:hAnsi="Arial" w:cs="Arial"/>
          <w:szCs w:val="24"/>
        </w:rPr>
        <w:t>201</w:t>
      </w:r>
      <w:r>
        <w:rPr>
          <w:rFonts w:ascii="Arial" w:hAnsi="Arial" w:cs="Arial"/>
          <w:szCs w:val="24"/>
        </w:rPr>
        <w:t>9-20</w:t>
      </w:r>
      <w:r w:rsidRPr="001B0260">
        <w:rPr>
          <w:rFonts w:ascii="Arial" w:hAnsi="Arial" w:cs="Arial"/>
          <w:szCs w:val="24"/>
        </w:rPr>
        <w:t xml:space="preserve"> </w:t>
      </w:r>
      <w:r>
        <w:rPr>
          <w:rFonts w:ascii="Arial" w:hAnsi="Arial" w:cs="Arial"/>
          <w:szCs w:val="24"/>
        </w:rPr>
        <w:t>adopted budget</w:t>
      </w:r>
      <w:r w:rsidRPr="001B0260">
        <w:rPr>
          <w:rFonts w:ascii="Arial" w:hAnsi="Arial" w:cs="Arial"/>
          <w:szCs w:val="24"/>
        </w:rPr>
        <w:t xml:space="preserve">. </w:t>
      </w:r>
      <w:r>
        <w:rPr>
          <w:rFonts w:ascii="Arial" w:hAnsi="Arial" w:cs="Arial"/>
          <w:szCs w:val="24"/>
        </w:rPr>
        <w:t xml:space="preserve"> For </w:t>
      </w:r>
      <w:r w:rsidR="006A20DC">
        <w:rPr>
          <w:rFonts w:ascii="Arial" w:hAnsi="Arial" w:cs="Arial"/>
          <w:szCs w:val="24"/>
        </w:rPr>
        <w:t xml:space="preserve">the </w:t>
      </w:r>
      <w:r>
        <w:rPr>
          <w:rFonts w:ascii="Arial" w:hAnsi="Arial" w:cs="Arial"/>
          <w:szCs w:val="24"/>
        </w:rPr>
        <w:t>20</w:t>
      </w:r>
      <w:r w:rsidR="00B04230">
        <w:rPr>
          <w:rFonts w:ascii="Arial" w:hAnsi="Arial" w:cs="Arial"/>
          <w:szCs w:val="24"/>
        </w:rPr>
        <w:t>21-</w:t>
      </w:r>
      <w:r w:rsidR="006A20DC">
        <w:rPr>
          <w:rFonts w:ascii="Arial" w:hAnsi="Arial" w:cs="Arial"/>
          <w:szCs w:val="24"/>
        </w:rPr>
        <w:t>20</w:t>
      </w:r>
      <w:r w:rsidR="00B04230">
        <w:rPr>
          <w:rFonts w:ascii="Arial" w:hAnsi="Arial" w:cs="Arial"/>
          <w:szCs w:val="24"/>
        </w:rPr>
        <w:t>22 budget</w:t>
      </w:r>
      <w:r>
        <w:rPr>
          <w:rFonts w:ascii="Arial" w:hAnsi="Arial" w:cs="Arial"/>
          <w:szCs w:val="24"/>
        </w:rPr>
        <w:t>, the department projects that its revenues will be $</w:t>
      </w:r>
      <w:r w:rsidR="00B04230">
        <w:rPr>
          <w:rFonts w:ascii="Arial" w:hAnsi="Arial" w:cs="Arial"/>
          <w:szCs w:val="24"/>
        </w:rPr>
        <w:t>24.3</w:t>
      </w:r>
      <w:r>
        <w:rPr>
          <w:rFonts w:ascii="Arial" w:hAnsi="Arial" w:cs="Arial"/>
          <w:szCs w:val="24"/>
        </w:rPr>
        <w:t xml:space="preserve"> million, </w:t>
      </w:r>
      <w:r w:rsidR="00272317">
        <w:rPr>
          <w:rFonts w:ascii="Arial" w:hAnsi="Arial" w:cs="Arial"/>
          <w:szCs w:val="24"/>
        </w:rPr>
        <w:t xml:space="preserve">45.2 </w:t>
      </w:r>
      <w:r>
        <w:rPr>
          <w:rFonts w:ascii="Arial" w:hAnsi="Arial" w:cs="Arial"/>
          <w:szCs w:val="24"/>
        </w:rPr>
        <w:t xml:space="preserve">percent </w:t>
      </w:r>
      <w:r w:rsidR="00272317">
        <w:rPr>
          <w:rFonts w:ascii="Arial" w:hAnsi="Arial" w:cs="Arial"/>
          <w:szCs w:val="24"/>
        </w:rPr>
        <w:t>low</w:t>
      </w:r>
      <w:r>
        <w:rPr>
          <w:rFonts w:ascii="Arial" w:hAnsi="Arial" w:cs="Arial"/>
          <w:szCs w:val="24"/>
        </w:rPr>
        <w:t xml:space="preserve">er than the current biennium.  </w:t>
      </w:r>
      <w:r w:rsidR="00506AF1">
        <w:rPr>
          <w:rFonts w:ascii="Arial" w:hAnsi="Arial" w:cs="Arial"/>
          <w:szCs w:val="24"/>
        </w:rPr>
        <w:t xml:space="preserve">The proposed budget </w:t>
      </w:r>
      <w:r w:rsidR="00333BBC">
        <w:rPr>
          <w:rFonts w:ascii="Arial" w:hAnsi="Arial" w:cs="Arial"/>
          <w:szCs w:val="24"/>
        </w:rPr>
        <w:t xml:space="preserve">is based on </w:t>
      </w:r>
      <w:r w:rsidR="00EA4D67">
        <w:rPr>
          <w:rFonts w:ascii="Arial" w:hAnsi="Arial" w:cs="Arial"/>
          <w:szCs w:val="24"/>
        </w:rPr>
        <w:t xml:space="preserve">maintaining its current </w:t>
      </w:r>
      <w:r w:rsidR="00720EF2">
        <w:rPr>
          <w:rFonts w:ascii="Arial" w:hAnsi="Arial" w:cs="Arial"/>
          <w:szCs w:val="24"/>
        </w:rPr>
        <w:t xml:space="preserve">significantly </w:t>
      </w:r>
      <w:r w:rsidR="00EA4D67">
        <w:rPr>
          <w:rFonts w:ascii="Arial" w:hAnsi="Arial" w:cs="Arial"/>
          <w:szCs w:val="24"/>
        </w:rPr>
        <w:t xml:space="preserve">reduced levels of </w:t>
      </w:r>
      <w:r w:rsidR="00C206FB">
        <w:rPr>
          <w:rFonts w:ascii="Arial" w:hAnsi="Arial" w:cs="Arial"/>
          <w:szCs w:val="24"/>
        </w:rPr>
        <w:t xml:space="preserve">adult </w:t>
      </w:r>
      <w:r w:rsidR="00C27F29">
        <w:rPr>
          <w:rFonts w:ascii="Arial" w:hAnsi="Arial" w:cs="Arial"/>
          <w:szCs w:val="24"/>
        </w:rPr>
        <w:t xml:space="preserve">and juvenile </w:t>
      </w:r>
      <w:r w:rsidR="00EA4D67">
        <w:rPr>
          <w:rFonts w:ascii="Arial" w:hAnsi="Arial" w:cs="Arial"/>
          <w:szCs w:val="24"/>
        </w:rPr>
        <w:t xml:space="preserve">secure detention </w:t>
      </w:r>
      <w:r w:rsidR="00332440">
        <w:rPr>
          <w:rFonts w:ascii="Arial" w:hAnsi="Arial" w:cs="Arial"/>
          <w:szCs w:val="24"/>
        </w:rPr>
        <w:t>populations, but</w:t>
      </w:r>
      <w:r w:rsidR="00C624B1">
        <w:rPr>
          <w:rFonts w:ascii="Arial" w:hAnsi="Arial" w:cs="Arial"/>
          <w:szCs w:val="24"/>
        </w:rPr>
        <w:t xml:space="preserve"> </w:t>
      </w:r>
      <w:r w:rsidR="00EA4D67">
        <w:rPr>
          <w:rFonts w:ascii="Arial" w:hAnsi="Arial" w:cs="Arial"/>
          <w:szCs w:val="24"/>
        </w:rPr>
        <w:t xml:space="preserve">with a corresponding reduction in </w:t>
      </w:r>
      <w:r w:rsidR="00C96D9E">
        <w:rPr>
          <w:rFonts w:ascii="Arial" w:hAnsi="Arial" w:cs="Arial"/>
          <w:szCs w:val="24"/>
        </w:rPr>
        <w:t xml:space="preserve">contract </w:t>
      </w:r>
      <w:r w:rsidR="00EA4D67">
        <w:rPr>
          <w:rFonts w:ascii="Arial" w:hAnsi="Arial" w:cs="Arial"/>
          <w:szCs w:val="24"/>
        </w:rPr>
        <w:t xml:space="preserve">revenue from </w:t>
      </w:r>
      <w:r w:rsidR="00C96D9E">
        <w:rPr>
          <w:rFonts w:ascii="Arial" w:hAnsi="Arial" w:cs="Arial"/>
          <w:szCs w:val="24"/>
        </w:rPr>
        <w:t xml:space="preserve">the state and </w:t>
      </w:r>
      <w:r w:rsidR="00EA4D67">
        <w:rPr>
          <w:rFonts w:ascii="Arial" w:hAnsi="Arial" w:cs="Arial"/>
          <w:szCs w:val="24"/>
        </w:rPr>
        <w:t>cities</w:t>
      </w:r>
      <w:r w:rsidR="00BD196E">
        <w:rPr>
          <w:rFonts w:ascii="Arial" w:hAnsi="Arial" w:cs="Arial"/>
          <w:szCs w:val="24"/>
        </w:rPr>
        <w:t>.  Additionally</w:t>
      </w:r>
      <w:r w:rsidR="005006B9">
        <w:rPr>
          <w:rFonts w:ascii="Arial" w:hAnsi="Arial" w:cs="Arial"/>
          <w:szCs w:val="24"/>
        </w:rPr>
        <w:t>,</w:t>
      </w:r>
      <w:r w:rsidR="00BD196E">
        <w:rPr>
          <w:rFonts w:ascii="Arial" w:hAnsi="Arial" w:cs="Arial"/>
          <w:szCs w:val="24"/>
        </w:rPr>
        <w:t xml:space="preserve"> the Executive is proposing to </w:t>
      </w:r>
      <w:r w:rsidR="004A1119">
        <w:rPr>
          <w:rFonts w:ascii="Arial" w:hAnsi="Arial" w:cs="Arial"/>
          <w:szCs w:val="24"/>
        </w:rPr>
        <w:t xml:space="preserve">eliminate the Community Work Program and </w:t>
      </w:r>
      <w:r w:rsidR="005006B9">
        <w:rPr>
          <w:rFonts w:ascii="Arial" w:hAnsi="Arial" w:cs="Arial"/>
          <w:szCs w:val="24"/>
        </w:rPr>
        <w:t>close the Work/Education Release program in the County Courthouse (re</w:t>
      </w:r>
      <w:r w:rsidR="00B807A5">
        <w:rPr>
          <w:rFonts w:ascii="Arial" w:hAnsi="Arial" w:cs="Arial"/>
          <w:szCs w:val="24"/>
        </w:rPr>
        <w:t>taining a limited number of work release beds through a contract with state)</w:t>
      </w:r>
      <w:r w:rsidR="005006B9">
        <w:rPr>
          <w:rFonts w:ascii="Arial" w:hAnsi="Arial" w:cs="Arial"/>
          <w:szCs w:val="24"/>
        </w:rPr>
        <w:t>.</w:t>
      </w:r>
      <w:r w:rsidR="00BE681D">
        <w:rPr>
          <w:rFonts w:ascii="Arial" w:hAnsi="Arial" w:cs="Arial"/>
          <w:szCs w:val="24"/>
        </w:rPr>
        <w:t xml:space="preserve">  </w:t>
      </w:r>
      <w:r w:rsidR="001C64C9">
        <w:rPr>
          <w:rFonts w:ascii="Arial" w:hAnsi="Arial" w:cs="Arial"/>
          <w:szCs w:val="24"/>
        </w:rPr>
        <w:t xml:space="preserve">The budget also includes a proposal to begin a strategic planning process for the </w:t>
      </w:r>
      <w:r w:rsidR="00B05353">
        <w:rPr>
          <w:rFonts w:ascii="Arial" w:hAnsi="Arial" w:cs="Arial"/>
          <w:szCs w:val="24"/>
        </w:rPr>
        <w:t>future of the Children and Family Justice Center.</w:t>
      </w:r>
    </w:p>
    <w:p w14:paraId="451E05D2" w14:textId="2BD21053" w:rsidR="00E47ABC" w:rsidRDefault="00E47ABC" w:rsidP="0036705B">
      <w:pPr>
        <w:spacing w:line="264" w:lineRule="auto"/>
        <w:jc w:val="both"/>
        <w:rPr>
          <w:rFonts w:ascii="Arial" w:hAnsi="Arial" w:cs="Arial"/>
          <w:szCs w:val="24"/>
        </w:rPr>
      </w:pPr>
    </w:p>
    <w:p w14:paraId="2606212A" w14:textId="7F6D490E" w:rsidR="00656E0F" w:rsidRDefault="00E47ABC" w:rsidP="0036705B">
      <w:pPr>
        <w:pStyle w:val="Default"/>
        <w:spacing w:line="264" w:lineRule="auto"/>
        <w:jc w:val="both"/>
        <w:rPr>
          <w:rFonts w:ascii="Arial" w:hAnsi="Arial" w:cs="Arial"/>
        </w:rPr>
      </w:pPr>
      <w:r>
        <w:rPr>
          <w:rFonts w:ascii="Arial" w:hAnsi="Arial" w:cs="Arial"/>
          <w:b/>
          <w:bCs/>
        </w:rPr>
        <w:t>Direct Service Changes</w:t>
      </w:r>
      <w:r w:rsidR="00430A33">
        <w:rPr>
          <w:rFonts w:ascii="Arial" w:hAnsi="Arial" w:cs="Arial"/>
          <w:b/>
          <w:bCs/>
        </w:rPr>
        <w:t>:</w:t>
      </w:r>
      <w:r>
        <w:rPr>
          <w:rFonts w:ascii="Arial" w:hAnsi="Arial" w:cs="Arial"/>
          <w:b/>
          <w:bCs/>
        </w:rPr>
        <w:t xml:space="preserve"> </w:t>
      </w:r>
      <w:r w:rsidR="004A6BCA">
        <w:rPr>
          <w:rFonts w:ascii="Arial" w:hAnsi="Arial" w:cs="Arial"/>
        </w:rPr>
        <w:t>T</w:t>
      </w:r>
      <w:r w:rsidR="006E0720">
        <w:rPr>
          <w:rFonts w:ascii="Arial" w:hAnsi="Arial" w:cs="Arial"/>
        </w:rPr>
        <w:t xml:space="preserve">he Executive is proposing </w:t>
      </w:r>
      <w:r w:rsidR="004D6821">
        <w:rPr>
          <w:rFonts w:ascii="Arial" w:hAnsi="Arial" w:cs="Arial"/>
        </w:rPr>
        <w:t xml:space="preserve">reductions totaling $3.1 million and </w:t>
      </w:r>
      <w:r w:rsidR="008D61D7">
        <w:rPr>
          <w:rFonts w:ascii="Arial" w:hAnsi="Arial" w:cs="Arial"/>
        </w:rPr>
        <w:t xml:space="preserve">38.0 FTEs for </w:t>
      </w:r>
      <w:r w:rsidR="006E0720">
        <w:rPr>
          <w:rFonts w:ascii="Arial" w:hAnsi="Arial" w:cs="Arial"/>
        </w:rPr>
        <w:t xml:space="preserve">secure detention </w:t>
      </w:r>
      <w:r w:rsidR="004A6BCA">
        <w:rPr>
          <w:rFonts w:ascii="Arial" w:hAnsi="Arial" w:cs="Arial"/>
        </w:rPr>
        <w:t xml:space="preserve">of </w:t>
      </w:r>
      <w:r w:rsidR="006E0720">
        <w:rPr>
          <w:rFonts w:ascii="Arial" w:hAnsi="Arial" w:cs="Arial"/>
        </w:rPr>
        <w:t>juveniles and adults</w:t>
      </w:r>
      <w:r w:rsidR="00A80211">
        <w:rPr>
          <w:rFonts w:ascii="Arial" w:hAnsi="Arial" w:cs="Arial"/>
        </w:rPr>
        <w:t>.</w:t>
      </w:r>
      <w:r w:rsidR="00594776">
        <w:rPr>
          <w:rFonts w:ascii="Arial" w:hAnsi="Arial" w:cs="Arial"/>
        </w:rPr>
        <w:t xml:space="preserve">  In addition, the department’s Community Corrections Division would also </w:t>
      </w:r>
      <w:r w:rsidR="006654D6">
        <w:rPr>
          <w:rFonts w:ascii="Arial" w:hAnsi="Arial" w:cs="Arial"/>
        </w:rPr>
        <w:t>take reductions totaling $</w:t>
      </w:r>
      <w:r w:rsidR="00023483">
        <w:rPr>
          <w:rFonts w:ascii="Arial" w:hAnsi="Arial" w:cs="Arial"/>
        </w:rPr>
        <w:t>4.9 million</w:t>
      </w:r>
      <w:r w:rsidR="005E6D28">
        <w:rPr>
          <w:rFonts w:ascii="Arial" w:hAnsi="Arial" w:cs="Arial"/>
        </w:rPr>
        <w:t xml:space="preserve"> and </w:t>
      </w:r>
      <w:r w:rsidR="00A80211">
        <w:rPr>
          <w:rFonts w:ascii="Arial" w:hAnsi="Arial" w:cs="Arial"/>
        </w:rPr>
        <w:t>19.0 FTEs</w:t>
      </w:r>
      <w:r w:rsidR="00023483">
        <w:rPr>
          <w:rFonts w:ascii="Arial" w:hAnsi="Arial" w:cs="Arial"/>
        </w:rPr>
        <w:t xml:space="preserve"> through the closure of two alternative</w:t>
      </w:r>
      <w:r w:rsidR="00B32B30">
        <w:rPr>
          <w:rFonts w:ascii="Arial" w:hAnsi="Arial" w:cs="Arial"/>
        </w:rPr>
        <w:t>s</w:t>
      </w:r>
      <w:r w:rsidR="00023483">
        <w:rPr>
          <w:rFonts w:ascii="Arial" w:hAnsi="Arial" w:cs="Arial"/>
        </w:rPr>
        <w:t>-to-secure-detention programs</w:t>
      </w:r>
      <w:r w:rsidR="005E6D28">
        <w:rPr>
          <w:rFonts w:ascii="Arial" w:hAnsi="Arial" w:cs="Arial"/>
        </w:rPr>
        <w:t xml:space="preserve">.  </w:t>
      </w:r>
      <w:r w:rsidR="00A80211">
        <w:rPr>
          <w:rFonts w:ascii="Arial" w:hAnsi="Arial" w:cs="Arial"/>
        </w:rPr>
        <w:t xml:space="preserve"> These proposals </w:t>
      </w:r>
      <w:r w:rsidR="00794464">
        <w:rPr>
          <w:rFonts w:ascii="Arial" w:hAnsi="Arial" w:cs="Arial"/>
        </w:rPr>
        <w:t xml:space="preserve">are </w:t>
      </w:r>
      <w:r w:rsidR="00A80211">
        <w:rPr>
          <w:rFonts w:ascii="Arial" w:hAnsi="Arial" w:cs="Arial"/>
        </w:rPr>
        <w:t>described in detail below</w:t>
      </w:r>
      <w:r w:rsidR="00794464">
        <w:rPr>
          <w:rFonts w:ascii="Arial" w:hAnsi="Arial" w:cs="Arial"/>
        </w:rPr>
        <w:t xml:space="preserve">.  </w:t>
      </w:r>
    </w:p>
    <w:p w14:paraId="47C7153B" w14:textId="77777777" w:rsidR="00656E0F" w:rsidRDefault="00656E0F" w:rsidP="0036705B">
      <w:pPr>
        <w:pStyle w:val="Default"/>
        <w:spacing w:line="264" w:lineRule="auto"/>
        <w:jc w:val="both"/>
        <w:rPr>
          <w:rFonts w:ascii="Arial" w:hAnsi="Arial" w:cs="Arial"/>
        </w:rPr>
      </w:pPr>
    </w:p>
    <w:p w14:paraId="34C8FB1F" w14:textId="5CCA4BAD" w:rsidR="00E47ABC" w:rsidRDefault="00457142" w:rsidP="0036705B">
      <w:pPr>
        <w:pStyle w:val="NoSpacing"/>
        <w:spacing w:line="264" w:lineRule="auto"/>
        <w:jc w:val="both"/>
        <w:rPr>
          <w:rFonts w:ascii="Arial" w:hAnsi="Arial" w:cs="Arial"/>
          <w:sz w:val="24"/>
          <w:szCs w:val="24"/>
        </w:rPr>
      </w:pPr>
      <w:r w:rsidRPr="00656E0F">
        <w:rPr>
          <w:rFonts w:ascii="Arial" w:hAnsi="Arial" w:cs="Arial"/>
          <w:sz w:val="24"/>
          <w:szCs w:val="24"/>
        </w:rPr>
        <w:t>The depart</w:t>
      </w:r>
      <w:r w:rsidR="00C44BB6" w:rsidRPr="00656E0F">
        <w:rPr>
          <w:rFonts w:ascii="Arial" w:hAnsi="Arial" w:cs="Arial"/>
          <w:sz w:val="24"/>
          <w:szCs w:val="24"/>
        </w:rPr>
        <w:t>ment</w:t>
      </w:r>
      <w:r w:rsidRPr="00656E0F">
        <w:rPr>
          <w:rFonts w:ascii="Arial" w:hAnsi="Arial" w:cs="Arial"/>
          <w:sz w:val="24"/>
          <w:szCs w:val="24"/>
        </w:rPr>
        <w:t xml:space="preserve"> is also proposing to </w:t>
      </w:r>
      <w:r w:rsidR="005944F4">
        <w:rPr>
          <w:rFonts w:ascii="Arial" w:hAnsi="Arial" w:cs="Arial"/>
          <w:sz w:val="24"/>
          <w:szCs w:val="24"/>
        </w:rPr>
        <w:t>reduce</w:t>
      </w:r>
      <w:r w:rsidRPr="00656E0F">
        <w:rPr>
          <w:rFonts w:ascii="Arial" w:hAnsi="Arial" w:cs="Arial"/>
          <w:sz w:val="24"/>
          <w:szCs w:val="24"/>
        </w:rPr>
        <w:t xml:space="preserve"> </w:t>
      </w:r>
      <w:r w:rsidR="00193E25">
        <w:rPr>
          <w:rFonts w:ascii="Arial" w:hAnsi="Arial" w:cs="Arial"/>
          <w:sz w:val="24"/>
          <w:szCs w:val="24"/>
        </w:rPr>
        <w:t>$933,039 from the DAJD budget</w:t>
      </w:r>
      <w:r w:rsidR="001F02D0">
        <w:rPr>
          <w:rFonts w:ascii="Arial" w:hAnsi="Arial" w:cs="Arial"/>
          <w:sz w:val="24"/>
          <w:szCs w:val="24"/>
        </w:rPr>
        <w:t xml:space="preserve"> for </w:t>
      </w:r>
      <w:r w:rsidRPr="00656E0F">
        <w:rPr>
          <w:rFonts w:ascii="Arial" w:hAnsi="Arial" w:cs="Arial"/>
          <w:sz w:val="24"/>
          <w:szCs w:val="24"/>
        </w:rPr>
        <w:t xml:space="preserve">the South </w:t>
      </w:r>
      <w:r w:rsidR="00C44BB6" w:rsidRPr="00656E0F">
        <w:rPr>
          <w:rFonts w:ascii="Arial" w:hAnsi="Arial" w:cs="Arial"/>
          <w:sz w:val="24"/>
          <w:szCs w:val="24"/>
        </w:rPr>
        <w:t>K</w:t>
      </w:r>
      <w:r w:rsidRPr="00656E0F">
        <w:rPr>
          <w:rFonts w:ascii="Arial" w:hAnsi="Arial" w:cs="Arial"/>
          <w:sz w:val="24"/>
          <w:szCs w:val="24"/>
        </w:rPr>
        <w:t xml:space="preserve">ing </w:t>
      </w:r>
      <w:r w:rsidR="00C44BB6" w:rsidRPr="00656E0F">
        <w:rPr>
          <w:rFonts w:ascii="Arial" w:hAnsi="Arial" w:cs="Arial"/>
          <w:sz w:val="24"/>
          <w:szCs w:val="24"/>
        </w:rPr>
        <w:t>C</w:t>
      </w:r>
      <w:r w:rsidRPr="00656E0F">
        <w:rPr>
          <w:rFonts w:ascii="Arial" w:hAnsi="Arial" w:cs="Arial"/>
          <w:sz w:val="24"/>
          <w:szCs w:val="24"/>
        </w:rPr>
        <w:t xml:space="preserve">ounty </w:t>
      </w:r>
      <w:r w:rsidR="00C44BB6" w:rsidRPr="00656E0F">
        <w:rPr>
          <w:rFonts w:ascii="Arial" w:hAnsi="Arial" w:cs="Arial"/>
          <w:sz w:val="24"/>
          <w:szCs w:val="24"/>
        </w:rPr>
        <w:t>Pretrial Services Project</w:t>
      </w:r>
      <w:r w:rsidR="00656E0F" w:rsidRPr="00656E0F">
        <w:rPr>
          <w:rFonts w:ascii="Arial" w:hAnsi="Arial" w:cs="Arial"/>
          <w:sz w:val="24"/>
          <w:szCs w:val="24"/>
        </w:rPr>
        <w:t xml:space="preserve">, now known as the </w:t>
      </w:r>
      <w:r w:rsidR="00E37D04" w:rsidRPr="00656E0F">
        <w:rPr>
          <w:rFonts w:ascii="Arial" w:hAnsi="Arial" w:cs="Arial"/>
          <w:sz w:val="24"/>
          <w:szCs w:val="24"/>
        </w:rPr>
        <w:t>Pretrial Assessment and Linkage Services (PALS)</w:t>
      </w:r>
      <w:r w:rsidR="006E5FBE">
        <w:rPr>
          <w:rFonts w:ascii="Arial" w:hAnsi="Arial" w:cs="Arial"/>
          <w:sz w:val="24"/>
          <w:szCs w:val="24"/>
        </w:rPr>
        <w:t xml:space="preserve"> program in South King County</w:t>
      </w:r>
      <w:r w:rsidR="001F02D0">
        <w:rPr>
          <w:rFonts w:ascii="Arial" w:hAnsi="Arial" w:cs="Arial"/>
          <w:sz w:val="24"/>
          <w:szCs w:val="24"/>
        </w:rPr>
        <w:t xml:space="preserve">.  The </w:t>
      </w:r>
      <w:r w:rsidR="00151001">
        <w:rPr>
          <w:rFonts w:ascii="Arial" w:hAnsi="Arial" w:cs="Arial"/>
          <w:sz w:val="24"/>
          <w:szCs w:val="24"/>
        </w:rPr>
        <w:t xml:space="preserve">original project was not implemented because of the COVID pandemic.  However, the </w:t>
      </w:r>
      <w:r w:rsidR="00714AD6">
        <w:rPr>
          <w:rFonts w:ascii="Arial" w:hAnsi="Arial" w:cs="Arial"/>
          <w:sz w:val="24"/>
          <w:szCs w:val="24"/>
        </w:rPr>
        <w:t>basic concept of using community resource</w:t>
      </w:r>
      <w:r w:rsidR="006A0D3B">
        <w:rPr>
          <w:rFonts w:ascii="Arial" w:hAnsi="Arial" w:cs="Arial"/>
          <w:sz w:val="24"/>
          <w:szCs w:val="24"/>
        </w:rPr>
        <w:t>s and providers</w:t>
      </w:r>
      <w:r w:rsidR="00714AD6">
        <w:rPr>
          <w:rFonts w:ascii="Arial" w:hAnsi="Arial" w:cs="Arial"/>
          <w:sz w:val="24"/>
          <w:szCs w:val="24"/>
        </w:rPr>
        <w:t xml:space="preserve"> to assess and provide services</w:t>
      </w:r>
      <w:r w:rsidR="00F87E86">
        <w:rPr>
          <w:rFonts w:ascii="Arial" w:hAnsi="Arial" w:cs="Arial"/>
          <w:sz w:val="24"/>
          <w:szCs w:val="24"/>
        </w:rPr>
        <w:t xml:space="preserve"> </w:t>
      </w:r>
      <w:r w:rsidR="00B74DF3">
        <w:rPr>
          <w:rFonts w:ascii="Arial" w:hAnsi="Arial" w:cs="Arial"/>
          <w:sz w:val="24"/>
          <w:szCs w:val="24"/>
        </w:rPr>
        <w:t xml:space="preserve">to pretrial defendants will </w:t>
      </w:r>
      <w:r w:rsidR="002318A4">
        <w:rPr>
          <w:rFonts w:ascii="Arial" w:hAnsi="Arial" w:cs="Arial"/>
          <w:sz w:val="24"/>
          <w:szCs w:val="24"/>
        </w:rPr>
        <w:t>continue using state and MIDD funding</w:t>
      </w:r>
      <w:r w:rsidR="00DB4CD3">
        <w:rPr>
          <w:rFonts w:ascii="Arial" w:hAnsi="Arial" w:cs="Arial"/>
          <w:sz w:val="24"/>
          <w:szCs w:val="24"/>
        </w:rPr>
        <w:t xml:space="preserve"> and be administered by the Department of Community and Human Services</w:t>
      </w:r>
      <w:r w:rsidR="002318A4">
        <w:rPr>
          <w:rFonts w:ascii="Arial" w:hAnsi="Arial" w:cs="Arial"/>
          <w:sz w:val="24"/>
          <w:szCs w:val="24"/>
        </w:rPr>
        <w:t>.</w:t>
      </w:r>
      <w:r w:rsidR="009B1525" w:rsidRPr="009B1525">
        <w:rPr>
          <w:rStyle w:val="FootnoteReference"/>
          <w:rFonts w:ascii="Arial" w:hAnsi="Arial" w:cs="Arial"/>
          <w:b/>
          <w:bCs/>
          <w:sz w:val="24"/>
          <w:szCs w:val="24"/>
        </w:rPr>
        <w:t xml:space="preserve"> </w:t>
      </w:r>
      <w:r w:rsidR="009B1525" w:rsidRPr="00656E0F">
        <w:rPr>
          <w:rStyle w:val="FootnoteReference"/>
          <w:rFonts w:ascii="Arial" w:hAnsi="Arial" w:cs="Arial"/>
          <w:b/>
          <w:bCs/>
          <w:sz w:val="24"/>
          <w:szCs w:val="24"/>
        </w:rPr>
        <w:footnoteReference w:id="3"/>
      </w:r>
    </w:p>
    <w:p w14:paraId="79C340D3" w14:textId="77777777" w:rsidR="002318A4" w:rsidRPr="00656E0F" w:rsidRDefault="002318A4" w:rsidP="0036705B">
      <w:pPr>
        <w:pStyle w:val="NoSpacing"/>
        <w:spacing w:line="264" w:lineRule="auto"/>
        <w:rPr>
          <w:rFonts w:ascii="Arial" w:hAnsi="Arial" w:cs="Arial"/>
          <w:sz w:val="24"/>
          <w:szCs w:val="24"/>
        </w:rPr>
      </w:pPr>
    </w:p>
    <w:p w14:paraId="734E451B" w14:textId="61F737DE" w:rsidR="00E47ABC" w:rsidRPr="00E47ABC" w:rsidRDefault="00754EA5" w:rsidP="0036705B">
      <w:pPr>
        <w:pStyle w:val="NoSpacing"/>
        <w:spacing w:line="264" w:lineRule="auto"/>
        <w:jc w:val="both"/>
        <w:rPr>
          <w:rFonts w:ascii="Arial" w:hAnsi="Arial" w:cs="Arial"/>
          <w:sz w:val="24"/>
          <w:szCs w:val="24"/>
        </w:rPr>
      </w:pPr>
      <w:r>
        <w:rPr>
          <w:rFonts w:ascii="Arial" w:hAnsi="Arial" w:cs="Arial"/>
          <w:sz w:val="24"/>
          <w:szCs w:val="24"/>
        </w:rPr>
        <w:lastRenderedPageBreak/>
        <w:t xml:space="preserve">The department is requesting </w:t>
      </w:r>
      <w:r w:rsidR="004B5DB1">
        <w:rPr>
          <w:rFonts w:ascii="Arial" w:hAnsi="Arial" w:cs="Arial"/>
          <w:sz w:val="24"/>
          <w:szCs w:val="24"/>
        </w:rPr>
        <w:t xml:space="preserve">$222,000 to provide an </w:t>
      </w:r>
      <w:r w:rsidR="00CD188C">
        <w:rPr>
          <w:rFonts w:ascii="Arial" w:hAnsi="Arial" w:cs="Arial"/>
          <w:sz w:val="24"/>
          <w:szCs w:val="24"/>
        </w:rPr>
        <w:t>electronic m</w:t>
      </w:r>
      <w:r w:rsidR="00E47ABC" w:rsidRPr="00656E0F">
        <w:rPr>
          <w:rFonts w:ascii="Arial" w:hAnsi="Arial" w:cs="Arial"/>
          <w:sz w:val="24"/>
          <w:szCs w:val="24"/>
        </w:rPr>
        <w:t>ail scanning</w:t>
      </w:r>
      <w:r w:rsidR="00CD188C">
        <w:rPr>
          <w:rFonts w:ascii="Arial" w:hAnsi="Arial" w:cs="Arial"/>
          <w:sz w:val="24"/>
          <w:szCs w:val="24"/>
        </w:rPr>
        <w:t xml:space="preserve"> service that would allow DAJD to</w:t>
      </w:r>
      <w:r w:rsidR="00684115">
        <w:rPr>
          <w:rFonts w:ascii="Arial" w:hAnsi="Arial" w:cs="Arial"/>
          <w:sz w:val="24"/>
          <w:szCs w:val="24"/>
        </w:rPr>
        <w:t xml:space="preserve"> </w:t>
      </w:r>
      <w:r w:rsidR="00E10187">
        <w:rPr>
          <w:rFonts w:ascii="Arial" w:hAnsi="Arial" w:cs="Arial"/>
          <w:sz w:val="24"/>
          <w:szCs w:val="24"/>
        </w:rPr>
        <w:t>electronically scan all incoming mail for inmates and allow the inmates to access their mail</w:t>
      </w:r>
      <w:r w:rsidR="00684115">
        <w:rPr>
          <w:rFonts w:ascii="Arial" w:hAnsi="Arial" w:cs="Arial"/>
          <w:sz w:val="24"/>
          <w:szCs w:val="24"/>
        </w:rPr>
        <w:t xml:space="preserve"> via a</w:t>
      </w:r>
      <w:r w:rsidR="0076388B">
        <w:rPr>
          <w:rFonts w:ascii="Arial" w:hAnsi="Arial" w:cs="Arial"/>
          <w:sz w:val="24"/>
          <w:szCs w:val="24"/>
        </w:rPr>
        <w:t>n electronic device</w:t>
      </w:r>
      <w:r w:rsidR="00684115">
        <w:rPr>
          <w:rFonts w:ascii="Arial" w:hAnsi="Arial" w:cs="Arial"/>
          <w:sz w:val="24"/>
          <w:szCs w:val="24"/>
        </w:rPr>
        <w:t>. The department notes that t</w:t>
      </w:r>
      <w:r w:rsidR="00E47ABC" w:rsidRPr="00656E0F">
        <w:rPr>
          <w:rFonts w:ascii="Arial" w:hAnsi="Arial" w:cs="Arial"/>
          <w:sz w:val="24"/>
          <w:szCs w:val="24"/>
        </w:rPr>
        <w:t>his is not a technology project but is a vendor-provided solution to handling mail to incarcerated indi</w:t>
      </w:r>
      <w:r w:rsidR="00E47ABC" w:rsidRPr="00E47ABC">
        <w:rPr>
          <w:rFonts w:ascii="Arial" w:hAnsi="Arial" w:cs="Arial"/>
          <w:sz w:val="24"/>
          <w:szCs w:val="24"/>
        </w:rPr>
        <w:t xml:space="preserve">viduals in order to reduce contraband being introduced into secure detention. </w:t>
      </w:r>
      <w:r w:rsidR="00E81281">
        <w:rPr>
          <w:rFonts w:ascii="Arial" w:hAnsi="Arial" w:cs="Arial"/>
          <w:sz w:val="24"/>
          <w:szCs w:val="24"/>
        </w:rPr>
        <w:t>Under this proposal, a</w:t>
      </w:r>
      <w:r w:rsidR="00E47ABC" w:rsidRPr="00E47ABC">
        <w:rPr>
          <w:rFonts w:ascii="Arial" w:hAnsi="Arial" w:cs="Arial"/>
          <w:sz w:val="24"/>
          <w:szCs w:val="24"/>
        </w:rPr>
        <w:t xml:space="preserve">ll mail to individuals inside the jail </w:t>
      </w:r>
      <w:r w:rsidR="00E81281">
        <w:rPr>
          <w:rFonts w:ascii="Arial" w:hAnsi="Arial" w:cs="Arial"/>
          <w:sz w:val="24"/>
          <w:szCs w:val="24"/>
        </w:rPr>
        <w:t>would</w:t>
      </w:r>
      <w:r w:rsidR="00E47ABC" w:rsidRPr="00E47ABC">
        <w:rPr>
          <w:rFonts w:ascii="Arial" w:hAnsi="Arial" w:cs="Arial"/>
          <w:sz w:val="24"/>
          <w:szCs w:val="24"/>
        </w:rPr>
        <w:t xml:space="preserve"> </w:t>
      </w:r>
      <w:r w:rsidR="00020F64">
        <w:rPr>
          <w:rFonts w:ascii="Arial" w:hAnsi="Arial" w:cs="Arial"/>
          <w:sz w:val="24"/>
          <w:szCs w:val="24"/>
        </w:rPr>
        <w:t xml:space="preserve">be </w:t>
      </w:r>
      <w:r w:rsidR="00E47ABC" w:rsidRPr="00E47ABC">
        <w:rPr>
          <w:rFonts w:ascii="Arial" w:hAnsi="Arial" w:cs="Arial"/>
          <w:sz w:val="24"/>
          <w:szCs w:val="24"/>
        </w:rPr>
        <w:t xml:space="preserve">sent to the vendor’s mail processing center where it is scanned and sent back electronically. Recipients will then </w:t>
      </w:r>
      <w:r w:rsidR="0076388B">
        <w:rPr>
          <w:rFonts w:ascii="Arial" w:hAnsi="Arial" w:cs="Arial"/>
          <w:sz w:val="24"/>
          <w:szCs w:val="24"/>
        </w:rPr>
        <w:t xml:space="preserve">be able to </w:t>
      </w:r>
      <w:r w:rsidR="00E47ABC" w:rsidRPr="00E47ABC">
        <w:rPr>
          <w:rFonts w:ascii="Arial" w:hAnsi="Arial" w:cs="Arial"/>
          <w:sz w:val="24"/>
          <w:szCs w:val="24"/>
        </w:rPr>
        <w:t xml:space="preserve">view their mail on kiosks and the video consoles </w:t>
      </w:r>
      <w:r w:rsidR="0076388B">
        <w:rPr>
          <w:rFonts w:ascii="Arial" w:hAnsi="Arial" w:cs="Arial"/>
          <w:sz w:val="24"/>
          <w:szCs w:val="24"/>
        </w:rPr>
        <w:t xml:space="preserve">already </w:t>
      </w:r>
      <w:r w:rsidR="00E47ABC" w:rsidRPr="00E47ABC">
        <w:rPr>
          <w:rFonts w:ascii="Arial" w:hAnsi="Arial" w:cs="Arial"/>
          <w:sz w:val="24"/>
          <w:szCs w:val="24"/>
        </w:rPr>
        <w:t xml:space="preserve">in </w:t>
      </w:r>
      <w:r w:rsidR="009F73F1">
        <w:rPr>
          <w:rFonts w:ascii="Arial" w:hAnsi="Arial" w:cs="Arial"/>
          <w:sz w:val="24"/>
          <w:szCs w:val="24"/>
        </w:rPr>
        <w:t xml:space="preserve">jail </w:t>
      </w:r>
      <w:r w:rsidR="00E47ABC" w:rsidRPr="00E47ABC">
        <w:rPr>
          <w:rFonts w:ascii="Arial" w:hAnsi="Arial" w:cs="Arial"/>
          <w:sz w:val="24"/>
          <w:szCs w:val="24"/>
        </w:rPr>
        <w:t xml:space="preserve">housing units. The </w:t>
      </w:r>
      <w:r w:rsidR="009F73F1">
        <w:rPr>
          <w:rFonts w:ascii="Arial" w:hAnsi="Arial" w:cs="Arial"/>
          <w:sz w:val="24"/>
          <w:szCs w:val="24"/>
        </w:rPr>
        <w:t>department’</w:t>
      </w:r>
      <w:r w:rsidR="00E47ABC" w:rsidRPr="00E47ABC">
        <w:rPr>
          <w:rFonts w:ascii="Arial" w:hAnsi="Arial" w:cs="Arial"/>
          <w:sz w:val="24"/>
          <w:szCs w:val="24"/>
        </w:rPr>
        <w:t>s phone/video visitation vendor</w:t>
      </w:r>
      <w:r w:rsidR="00BF3501">
        <w:rPr>
          <w:rFonts w:ascii="Arial" w:hAnsi="Arial" w:cs="Arial"/>
          <w:sz w:val="24"/>
          <w:szCs w:val="24"/>
        </w:rPr>
        <w:t xml:space="preserve"> would</w:t>
      </w:r>
      <w:r w:rsidR="00E47ABC" w:rsidRPr="00E47ABC">
        <w:rPr>
          <w:rFonts w:ascii="Arial" w:hAnsi="Arial" w:cs="Arial"/>
          <w:sz w:val="24"/>
          <w:szCs w:val="24"/>
        </w:rPr>
        <w:t xml:space="preserve"> provide this service</w:t>
      </w:r>
      <w:r w:rsidR="00437249">
        <w:rPr>
          <w:rFonts w:ascii="Arial" w:hAnsi="Arial" w:cs="Arial"/>
          <w:sz w:val="24"/>
          <w:szCs w:val="24"/>
        </w:rPr>
        <w:t xml:space="preserve">. </w:t>
      </w:r>
      <w:r w:rsidR="00E47ABC" w:rsidRPr="00E47ABC">
        <w:rPr>
          <w:rFonts w:ascii="Arial" w:hAnsi="Arial" w:cs="Arial"/>
          <w:sz w:val="24"/>
          <w:szCs w:val="24"/>
        </w:rPr>
        <w:t xml:space="preserve"> </w:t>
      </w:r>
      <w:r w:rsidR="00AD34E7">
        <w:rPr>
          <w:rFonts w:ascii="Arial" w:hAnsi="Arial" w:cs="Arial"/>
          <w:sz w:val="24"/>
          <w:szCs w:val="24"/>
        </w:rPr>
        <w:t xml:space="preserve">The budget request also contains funding </w:t>
      </w:r>
      <w:r w:rsidR="009C15A2">
        <w:rPr>
          <w:rFonts w:ascii="Arial" w:hAnsi="Arial" w:cs="Arial"/>
          <w:sz w:val="24"/>
          <w:szCs w:val="24"/>
        </w:rPr>
        <w:t>of $</w:t>
      </w:r>
      <w:r w:rsidR="004E6789">
        <w:rPr>
          <w:rFonts w:ascii="Arial" w:hAnsi="Arial" w:cs="Arial"/>
          <w:sz w:val="24"/>
          <w:szCs w:val="24"/>
        </w:rPr>
        <w:t>308,397 and 1.0 FTE for a Public Information Officer</w:t>
      </w:r>
      <w:r w:rsidR="005620F0">
        <w:rPr>
          <w:rFonts w:ascii="Arial" w:hAnsi="Arial" w:cs="Arial"/>
          <w:sz w:val="24"/>
          <w:szCs w:val="24"/>
        </w:rPr>
        <w:t xml:space="preserve">.  There is also request for $547,610 to begin a strategic planning process for the future of the CFJC (as described below).  Finally, the DAJD budget contains </w:t>
      </w:r>
      <w:r w:rsidR="00C55909">
        <w:rPr>
          <w:rFonts w:ascii="Arial" w:hAnsi="Arial" w:cs="Arial"/>
          <w:sz w:val="24"/>
          <w:szCs w:val="24"/>
        </w:rPr>
        <w:t xml:space="preserve">net additions of </w:t>
      </w:r>
      <w:r w:rsidR="0035606A">
        <w:rPr>
          <w:rFonts w:ascii="Arial" w:hAnsi="Arial" w:cs="Arial"/>
          <w:sz w:val="24"/>
          <w:szCs w:val="24"/>
        </w:rPr>
        <w:t xml:space="preserve">$7.1 million in Technical Changes ranging </w:t>
      </w:r>
      <w:r w:rsidR="00EA776E">
        <w:rPr>
          <w:rFonts w:ascii="Arial" w:hAnsi="Arial" w:cs="Arial"/>
          <w:sz w:val="24"/>
          <w:szCs w:val="24"/>
        </w:rPr>
        <w:t>from a $1.2 million reduction in vacancy rates</w:t>
      </w:r>
      <w:r w:rsidR="00C55909">
        <w:rPr>
          <w:rFonts w:ascii="Arial" w:hAnsi="Arial" w:cs="Arial"/>
          <w:sz w:val="24"/>
          <w:szCs w:val="24"/>
        </w:rPr>
        <w:t xml:space="preserve"> to </w:t>
      </w:r>
      <w:r w:rsidR="00134145">
        <w:rPr>
          <w:rFonts w:ascii="Arial" w:hAnsi="Arial" w:cs="Arial"/>
          <w:sz w:val="24"/>
          <w:szCs w:val="24"/>
        </w:rPr>
        <w:t xml:space="preserve">$3.6 million </w:t>
      </w:r>
      <w:proofErr w:type="spellStart"/>
      <w:r w:rsidR="00134145">
        <w:rPr>
          <w:rFonts w:ascii="Arial" w:hAnsi="Arial" w:cs="Arial"/>
          <w:sz w:val="24"/>
          <w:szCs w:val="24"/>
        </w:rPr>
        <w:t>add</w:t>
      </w:r>
      <w:proofErr w:type="spellEnd"/>
      <w:r w:rsidR="00134145">
        <w:rPr>
          <w:rFonts w:ascii="Arial" w:hAnsi="Arial" w:cs="Arial"/>
          <w:sz w:val="24"/>
          <w:szCs w:val="24"/>
        </w:rPr>
        <w:t xml:space="preserve"> for overtime account adjustments.</w:t>
      </w:r>
    </w:p>
    <w:p w14:paraId="0A4A8640" w14:textId="77777777" w:rsidR="00CF0BD9" w:rsidRDefault="00CF0BD9" w:rsidP="0036705B">
      <w:pPr>
        <w:spacing w:line="264" w:lineRule="auto"/>
        <w:contextualSpacing/>
        <w:jc w:val="both"/>
        <w:rPr>
          <w:rFonts w:ascii="Arial" w:hAnsi="Arial" w:cs="Arial"/>
          <w:szCs w:val="24"/>
        </w:rPr>
      </w:pPr>
    </w:p>
    <w:p w14:paraId="3DA733C3" w14:textId="5ADEC478" w:rsidR="005C2E8B" w:rsidRPr="00B2433E" w:rsidRDefault="00547964" w:rsidP="0036705B">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77777777" w:rsidR="005C2E8B" w:rsidRPr="00B2433E" w:rsidRDefault="005C2E8B" w:rsidP="0036705B">
      <w:pPr>
        <w:spacing w:line="264" w:lineRule="auto"/>
        <w:contextualSpacing/>
        <w:jc w:val="center"/>
        <w:rPr>
          <w:rFonts w:ascii="Arial" w:hAnsi="Arial" w:cs="Arial"/>
          <w:szCs w:val="24"/>
        </w:rPr>
      </w:pPr>
    </w:p>
    <w:p w14:paraId="5D7EFFCE" w14:textId="078AC7AA" w:rsidR="00A94556" w:rsidRPr="00B2433E" w:rsidRDefault="00A94556" w:rsidP="0036705B">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1</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sidR="005E20FE">
        <w:rPr>
          <w:rFonts w:ascii="Arial" w:hAnsi="Arial" w:cs="Arial"/>
          <w:b/>
          <w:smallCaps/>
          <w:szCs w:val="24"/>
          <w:u w:val="single"/>
        </w:rPr>
        <w:t>J</w:t>
      </w:r>
      <w:r>
        <w:rPr>
          <w:rFonts w:ascii="Arial" w:hAnsi="Arial" w:cs="Arial"/>
          <w:b/>
          <w:smallCaps/>
          <w:szCs w:val="24"/>
          <w:u w:val="single"/>
        </w:rPr>
        <w:t xml:space="preserve">uvenile Secure </w:t>
      </w:r>
      <w:r w:rsidR="005E20FE">
        <w:rPr>
          <w:rFonts w:ascii="Arial" w:hAnsi="Arial" w:cs="Arial"/>
          <w:b/>
          <w:smallCaps/>
          <w:szCs w:val="24"/>
          <w:u w:val="single"/>
        </w:rPr>
        <w:t>D</w:t>
      </w:r>
      <w:r>
        <w:rPr>
          <w:rFonts w:ascii="Arial" w:hAnsi="Arial" w:cs="Arial"/>
          <w:b/>
          <w:smallCaps/>
          <w:szCs w:val="24"/>
          <w:u w:val="single"/>
        </w:rPr>
        <w:t>etention Population</w:t>
      </w:r>
      <w:r w:rsidR="00C5071E">
        <w:rPr>
          <w:rFonts w:ascii="Arial" w:hAnsi="Arial" w:cs="Arial"/>
          <w:b/>
          <w:smallCaps/>
          <w:szCs w:val="24"/>
          <w:u w:val="single"/>
        </w:rPr>
        <w:t xml:space="preserve"> // Restorative Community Pathways </w:t>
      </w:r>
      <w:r w:rsidR="005808A8">
        <w:rPr>
          <w:rFonts w:ascii="Arial" w:hAnsi="Arial" w:cs="Arial"/>
          <w:b/>
          <w:smallCaps/>
          <w:szCs w:val="24"/>
          <w:u w:val="single"/>
        </w:rPr>
        <w:t xml:space="preserve"> </w:t>
      </w:r>
      <w:r>
        <w:rPr>
          <w:rFonts w:ascii="Arial" w:hAnsi="Arial" w:cs="Arial"/>
          <w:b/>
          <w:smallCaps/>
          <w:szCs w:val="24"/>
          <w:u w:val="single"/>
        </w:rPr>
        <w:t xml:space="preserve"> </w:t>
      </w:r>
      <w:r w:rsidR="00C5071E">
        <w:rPr>
          <w:rFonts w:ascii="Arial" w:hAnsi="Arial" w:cs="Arial"/>
          <w:b/>
          <w:smallCaps/>
          <w:szCs w:val="24"/>
          <w:u w:val="single"/>
        </w:rPr>
        <w:t>(</w:t>
      </w:r>
      <w:r w:rsidR="004B5CFD">
        <w:rPr>
          <w:rFonts w:ascii="Arial" w:hAnsi="Arial" w:cs="Arial"/>
          <w:b/>
          <w:smallCaps/>
          <w:szCs w:val="24"/>
          <w:u w:val="single"/>
        </w:rPr>
        <w:t xml:space="preserve">Reduction of $1,198,258 &amp; </w:t>
      </w:r>
      <w:r w:rsidR="00AE4D77">
        <w:rPr>
          <w:rFonts w:ascii="Arial" w:hAnsi="Arial" w:cs="Arial"/>
          <w:b/>
          <w:smallCaps/>
          <w:szCs w:val="24"/>
          <w:u w:val="single"/>
        </w:rPr>
        <w:t>8.0 FTEs</w:t>
      </w:r>
      <w:r w:rsidR="00C5071E">
        <w:rPr>
          <w:rFonts w:ascii="Arial" w:hAnsi="Arial" w:cs="Arial"/>
          <w:b/>
          <w:smallCaps/>
          <w:szCs w:val="24"/>
          <w:u w:val="single"/>
        </w:rPr>
        <w:t>)</w:t>
      </w:r>
    </w:p>
    <w:p w14:paraId="17B791EC" w14:textId="2FC4F055" w:rsidR="005C2E8B" w:rsidRDefault="005C2E8B" w:rsidP="0036705B">
      <w:pPr>
        <w:spacing w:line="264" w:lineRule="auto"/>
        <w:contextualSpacing/>
        <w:jc w:val="both"/>
        <w:rPr>
          <w:rFonts w:ascii="Arial" w:hAnsi="Arial" w:cs="Arial"/>
          <w:szCs w:val="24"/>
        </w:rPr>
      </w:pPr>
    </w:p>
    <w:p w14:paraId="26A44973" w14:textId="223C9D8E" w:rsidR="00AF2FBC" w:rsidRDefault="00A50AFA" w:rsidP="0036705B">
      <w:pPr>
        <w:spacing w:line="264" w:lineRule="auto"/>
        <w:jc w:val="both"/>
        <w:rPr>
          <w:rFonts w:ascii="Arial" w:hAnsi="Arial" w:cs="Arial"/>
          <w:color w:val="FF0000"/>
          <w:szCs w:val="24"/>
        </w:rPr>
      </w:pPr>
      <w:r w:rsidRPr="008B0D2A">
        <w:rPr>
          <w:rFonts w:ascii="Arial" w:hAnsi="Arial" w:cs="Arial"/>
          <w:szCs w:val="24"/>
        </w:rPr>
        <w:t>Prior to the onset of COVID-19, and in preparation for the 2019 budget year, the average daily population (ADP) target for juvenile detention was 55</w:t>
      </w:r>
      <w:r w:rsidR="00831920">
        <w:rPr>
          <w:rFonts w:ascii="Arial" w:hAnsi="Arial" w:cs="Arial"/>
          <w:szCs w:val="24"/>
        </w:rPr>
        <w:t xml:space="preserve"> youth</w:t>
      </w:r>
      <w:r w:rsidR="00D54301">
        <w:rPr>
          <w:rFonts w:ascii="Arial" w:hAnsi="Arial" w:cs="Arial"/>
          <w:szCs w:val="24"/>
        </w:rPr>
        <w:t>.</w:t>
      </w:r>
      <w:r w:rsidRPr="008B0D2A">
        <w:rPr>
          <w:rFonts w:ascii="Arial" w:hAnsi="Arial" w:cs="Arial"/>
          <w:szCs w:val="24"/>
        </w:rPr>
        <w:t xml:space="preserve"> </w:t>
      </w:r>
      <w:r w:rsidR="009A22CB">
        <w:rPr>
          <w:rFonts w:ascii="Arial" w:hAnsi="Arial" w:cs="Arial"/>
          <w:szCs w:val="24"/>
        </w:rPr>
        <w:t xml:space="preserve"> </w:t>
      </w:r>
      <w:r w:rsidRPr="008B0D2A">
        <w:rPr>
          <w:rFonts w:ascii="Arial" w:hAnsi="Arial" w:cs="Arial"/>
          <w:szCs w:val="24"/>
        </w:rPr>
        <w:t xml:space="preserve">At the onset of the COVID-19 pandemic, the </w:t>
      </w:r>
      <w:r w:rsidR="00947C34">
        <w:rPr>
          <w:rFonts w:ascii="Arial" w:hAnsi="Arial" w:cs="Arial"/>
          <w:szCs w:val="24"/>
        </w:rPr>
        <w:t>department</w:t>
      </w:r>
      <w:r w:rsidRPr="008B0D2A">
        <w:rPr>
          <w:rFonts w:ascii="Arial" w:hAnsi="Arial" w:cs="Arial"/>
          <w:szCs w:val="24"/>
        </w:rPr>
        <w:t xml:space="preserve"> in conjunction with the </w:t>
      </w:r>
      <w:r w:rsidR="00F539C2">
        <w:rPr>
          <w:rFonts w:ascii="Arial" w:hAnsi="Arial" w:cs="Arial"/>
          <w:szCs w:val="24"/>
        </w:rPr>
        <w:t>J</w:t>
      </w:r>
      <w:r w:rsidRPr="008B0D2A">
        <w:rPr>
          <w:rFonts w:ascii="Arial" w:hAnsi="Arial" w:cs="Arial"/>
          <w:szCs w:val="24"/>
        </w:rPr>
        <w:t xml:space="preserve">uvenile </w:t>
      </w:r>
      <w:r w:rsidR="00F539C2">
        <w:rPr>
          <w:rFonts w:ascii="Arial" w:hAnsi="Arial" w:cs="Arial"/>
          <w:szCs w:val="24"/>
        </w:rPr>
        <w:t>C</w:t>
      </w:r>
      <w:r w:rsidRPr="008B0D2A">
        <w:rPr>
          <w:rFonts w:ascii="Arial" w:hAnsi="Arial" w:cs="Arial"/>
          <w:szCs w:val="24"/>
        </w:rPr>
        <w:t xml:space="preserve">ourt </w:t>
      </w:r>
      <w:r w:rsidR="00F539C2">
        <w:rPr>
          <w:rFonts w:ascii="Arial" w:hAnsi="Arial" w:cs="Arial"/>
          <w:szCs w:val="24"/>
        </w:rPr>
        <w:t xml:space="preserve">and other </w:t>
      </w:r>
      <w:r w:rsidRPr="008B0D2A">
        <w:rPr>
          <w:rFonts w:ascii="Arial" w:hAnsi="Arial" w:cs="Arial"/>
          <w:szCs w:val="24"/>
        </w:rPr>
        <w:t>stakeholders</w:t>
      </w:r>
      <w:r w:rsidR="00F539C2">
        <w:rPr>
          <w:rFonts w:ascii="Arial" w:hAnsi="Arial" w:cs="Arial"/>
          <w:szCs w:val="24"/>
        </w:rPr>
        <w:t xml:space="preserve">, </w:t>
      </w:r>
      <w:r w:rsidRPr="008B0D2A">
        <w:rPr>
          <w:rFonts w:ascii="Arial" w:hAnsi="Arial" w:cs="Arial"/>
          <w:szCs w:val="24"/>
        </w:rPr>
        <w:t>identified several policies to reduce the population in detention</w:t>
      </w:r>
      <w:r w:rsidR="00615055">
        <w:rPr>
          <w:rFonts w:ascii="Arial" w:hAnsi="Arial" w:cs="Arial"/>
          <w:szCs w:val="24"/>
        </w:rPr>
        <w:t xml:space="preserve"> to ensure social distancing and to protect both </w:t>
      </w:r>
      <w:r w:rsidR="00D54301">
        <w:rPr>
          <w:rFonts w:ascii="Arial" w:hAnsi="Arial" w:cs="Arial"/>
          <w:szCs w:val="24"/>
        </w:rPr>
        <w:t>detainee and employee health</w:t>
      </w:r>
      <w:r w:rsidRPr="008B0D2A">
        <w:rPr>
          <w:rFonts w:ascii="Arial" w:hAnsi="Arial" w:cs="Arial"/>
          <w:szCs w:val="24"/>
        </w:rPr>
        <w:t xml:space="preserve">. The actual average ADP in 2019 was 43 and thus far </w:t>
      </w:r>
      <w:r w:rsidR="00D54301">
        <w:rPr>
          <w:rFonts w:ascii="Arial" w:hAnsi="Arial" w:cs="Arial"/>
          <w:szCs w:val="24"/>
        </w:rPr>
        <w:t xml:space="preserve">the </w:t>
      </w:r>
      <w:r w:rsidR="00B71039">
        <w:rPr>
          <w:rFonts w:ascii="Arial" w:hAnsi="Arial" w:cs="Arial"/>
          <w:szCs w:val="24"/>
        </w:rPr>
        <w:t xml:space="preserve">2020 year-to-date </w:t>
      </w:r>
      <w:r w:rsidR="00D54301">
        <w:rPr>
          <w:rFonts w:ascii="Arial" w:hAnsi="Arial" w:cs="Arial"/>
          <w:szCs w:val="24"/>
        </w:rPr>
        <w:t xml:space="preserve">ADP has been </w:t>
      </w:r>
      <w:r w:rsidRPr="008B0D2A">
        <w:rPr>
          <w:rFonts w:ascii="Arial" w:hAnsi="Arial" w:cs="Arial"/>
          <w:szCs w:val="24"/>
        </w:rPr>
        <w:t>30</w:t>
      </w:r>
      <w:r w:rsidR="00B71039">
        <w:rPr>
          <w:rFonts w:ascii="Arial" w:hAnsi="Arial" w:cs="Arial"/>
          <w:szCs w:val="24"/>
        </w:rPr>
        <w:t xml:space="preserve"> youth </w:t>
      </w:r>
      <w:r w:rsidR="00D54301">
        <w:rPr>
          <w:rFonts w:ascii="Arial" w:hAnsi="Arial" w:cs="Arial"/>
          <w:szCs w:val="24"/>
        </w:rPr>
        <w:t xml:space="preserve">(in August it was </w:t>
      </w:r>
      <w:r w:rsidR="00B71039">
        <w:rPr>
          <w:rFonts w:ascii="Arial" w:hAnsi="Arial" w:cs="Arial"/>
          <w:szCs w:val="24"/>
        </w:rPr>
        <w:t>20 ADP)</w:t>
      </w:r>
      <w:r w:rsidRPr="008B0D2A">
        <w:rPr>
          <w:rFonts w:ascii="Arial" w:hAnsi="Arial" w:cs="Arial"/>
          <w:szCs w:val="24"/>
        </w:rPr>
        <w:t xml:space="preserve">. </w:t>
      </w:r>
      <w:r w:rsidR="00B71039">
        <w:rPr>
          <w:rFonts w:ascii="Arial" w:hAnsi="Arial" w:cs="Arial"/>
          <w:szCs w:val="24"/>
        </w:rPr>
        <w:t>According to the Executive, t</w:t>
      </w:r>
      <w:r w:rsidRPr="008B0D2A">
        <w:rPr>
          <w:rFonts w:ascii="Arial" w:hAnsi="Arial" w:cs="Arial"/>
          <w:szCs w:val="24"/>
        </w:rPr>
        <w:t>he original</w:t>
      </w:r>
      <w:r w:rsidR="00B71039">
        <w:rPr>
          <w:rFonts w:ascii="Arial" w:hAnsi="Arial" w:cs="Arial"/>
          <w:szCs w:val="24"/>
        </w:rPr>
        <w:t xml:space="preserve"> detention staffing plan</w:t>
      </w:r>
      <w:r w:rsidRPr="008B0D2A">
        <w:rPr>
          <w:rFonts w:ascii="Arial" w:hAnsi="Arial" w:cs="Arial"/>
          <w:szCs w:val="24"/>
        </w:rPr>
        <w:t xml:space="preserve"> for juvenile detention officers anticipated </w:t>
      </w:r>
      <w:r w:rsidR="00D437C7">
        <w:rPr>
          <w:rFonts w:ascii="Arial" w:hAnsi="Arial" w:cs="Arial"/>
          <w:szCs w:val="24"/>
        </w:rPr>
        <w:t xml:space="preserve">having </w:t>
      </w:r>
      <w:r w:rsidR="00B71039">
        <w:rPr>
          <w:rFonts w:ascii="Arial" w:hAnsi="Arial" w:cs="Arial"/>
          <w:szCs w:val="24"/>
        </w:rPr>
        <w:t>four</w:t>
      </w:r>
      <w:r w:rsidRPr="008B0D2A">
        <w:rPr>
          <w:rFonts w:ascii="Arial" w:hAnsi="Arial" w:cs="Arial"/>
          <w:szCs w:val="24"/>
        </w:rPr>
        <w:t xml:space="preserve"> boys’ living halls and </w:t>
      </w:r>
      <w:r w:rsidR="00E72D5D">
        <w:rPr>
          <w:rFonts w:ascii="Arial" w:hAnsi="Arial" w:cs="Arial"/>
          <w:szCs w:val="24"/>
        </w:rPr>
        <w:t>one</w:t>
      </w:r>
      <w:r w:rsidRPr="008B0D2A">
        <w:rPr>
          <w:rFonts w:ascii="Arial" w:hAnsi="Arial" w:cs="Arial"/>
          <w:szCs w:val="24"/>
        </w:rPr>
        <w:t xml:space="preserve"> girls’ living hall </w:t>
      </w:r>
      <w:r w:rsidR="00D437C7">
        <w:rPr>
          <w:rFonts w:ascii="Arial" w:hAnsi="Arial" w:cs="Arial"/>
          <w:szCs w:val="24"/>
        </w:rPr>
        <w:t xml:space="preserve">staffed to handle </w:t>
      </w:r>
      <w:r w:rsidRPr="008B0D2A">
        <w:rPr>
          <w:rFonts w:ascii="Arial" w:hAnsi="Arial" w:cs="Arial"/>
          <w:szCs w:val="24"/>
        </w:rPr>
        <w:t xml:space="preserve">an ADP of 54 youth. </w:t>
      </w:r>
      <w:r w:rsidR="0005152B">
        <w:rPr>
          <w:rFonts w:ascii="Arial" w:hAnsi="Arial" w:cs="Arial"/>
          <w:szCs w:val="24"/>
        </w:rPr>
        <w:t xml:space="preserve"> Nevertheless, </w:t>
      </w:r>
      <w:r w:rsidRPr="008B0D2A">
        <w:rPr>
          <w:rFonts w:ascii="Arial" w:hAnsi="Arial" w:cs="Arial"/>
          <w:szCs w:val="24"/>
        </w:rPr>
        <w:t>DAJD is now expecting ADP to remain in the 25 to 30 range throughout the biennium</w:t>
      </w:r>
      <w:r w:rsidR="00766AE3" w:rsidRPr="00766AE3">
        <w:rPr>
          <w:rFonts w:ascii="Arial" w:hAnsi="Arial" w:cs="Arial"/>
          <w:szCs w:val="24"/>
        </w:rPr>
        <w:t xml:space="preserve"> </w:t>
      </w:r>
      <w:r w:rsidR="00766AE3" w:rsidRPr="008B0D2A">
        <w:rPr>
          <w:rFonts w:ascii="Arial" w:hAnsi="Arial" w:cs="Arial"/>
          <w:szCs w:val="24"/>
        </w:rPr>
        <w:t>and that staffing reductions will be possible in 2022</w:t>
      </w:r>
      <w:r w:rsidR="00AB1CEA">
        <w:rPr>
          <w:rFonts w:ascii="Arial" w:hAnsi="Arial" w:cs="Arial"/>
          <w:szCs w:val="24"/>
        </w:rPr>
        <w:t>,</w:t>
      </w:r>
      <w:r w:rsidR="00766AE3" w:rsidRPr="008B0D2A">
        <w:rPr>
          <w:rFonts w:ascii="Arial" w:hAnsi="Arial" w:cs="Arial"/>
          <w:szCs w:val="24"/>
        </w:rPr>
        <w:t xml:space="preserve"> as the pandemic crisis eases. </w:t>
      </w:r>
      <w:r w:rsidR="00D437C7">
        <w:rPr>
          <w:rFonts w:ascii="Arial" w:hAnsi="Arial" w:cs="Arial"/>
          <w:szCs w:val="24"/>
        </w:rPr>
        <w:t xml:space="preserve">As a result, the </w:t>
      </w:r>
      <w:r w:rsidR="008E2721">
        <w:rPr>
          <w:rFonts w:ascii="Arial" w:hAnsi="Arial" w:cs="Arial"/>
          <w:szCs w:val="24"/>
        </w:rPr>
        <w:t xml:space="preserve">department’s budget request is based on </w:t>
      </w:r>
      <w:r w:rsidR="00FB0F44">
        <w:rPr>
          <w:rFonts w:ascii="Arial" w:hAnsi="Arial" w:cs="Arial"/>
          <w:szCs w:val="24"/>
        </w:rPr>
        <w:t>closing</w:t>
      </w:r>
      <w:r w:rsidRPr="008B0D2A">
        <w:rPr>
          <w:rFonts w:ascii="Arial" w:hAnsi="Arial" w:cs="Arial"/>
          <w:szCs w:val="24"/>
        </w:rPr>
        <w:t xml:space="preserve"> one living hall and eliminati</w:t>
      </w:r>
      <w:r w:rsidR="00FB0F44">
        <w:rPr>
          <w:rFonts w:ascii="Arial" w:hAnsi="Arial" w:cs="Arial"/>
          <w:szCs w:val="24"/>
        </w:rPr>
        <w:t>ng</w:t>
      </w:r>
      <w:r w:rsidRPr="008B0D2A">
        <w:rPr>
          <w:rFonts w:ascii="Arial" w:hAnsi="Arial" w:cs="Arial"/>
          <w:szCs w:val="24"/>
        </w:rPr>
        <w:t xml:space="preserve"> 5 posts, </w:t>
      </w:r>
      <w:r w:rsidR="0022157E">
        <w:rPr>
          <w:rFonts w:ascii="Arial" w:hAnsi="Arial" w:cs="Arial"/>
          <w:szCs w:val="24"/>
        </w:rPr>
        <w:t xml:space="preserve">which results in a </w:t>
      </w:r>
      <w:r w:rsidRPr="008B0D2A">
        <w:rPr>
          <w:rFonts w:ascii="Arial" w:hAnsi="Arial" w:cs="Arial"/>
          <w:szCs w:val="24"/>
        </w:rPr>
        <w:t xml:space="preserve">corresponding </w:t>
      </w:r>
      <w:r w:rsidR="0022157E">
        <w:rPr>
          <w:rFonts w:ascii="Arial" w:hAnsi="Arial" w:cs="Arial"/>
          <w:szCs w:val="24"/>
        </w:rPr>
        <w:t xml:space="preserve">reduction of </w:t>
      </w:r>
      <w:r w:rsidRPr="008B0D2A">
        <w:rPr>
          <w:rFonts w:ascii="Arial" w:hAnsi="Arial" w:cs="Arial"/>
          <w:szCs w:val="24"/>
        </w:rPr>
        <w:t>about 7.5 FTEs, which was rounded to 8</w:t>
      </w:r>
      <w:r w:rsidR="0022157E">
        <w:rPr>
          <w:rFonts w:ascii="Arial" w:hAnsi="Arial" w:cs="Arial"/>
          <w:szCs w:val="24"/>
        </w:rPr>
        <w:t>.0 FTEs</w:t>
      </w:r>
      <w:r w:rsidRPr="008B0D2A">
        <w:rPr>
          <w:rFonts w:ascii="Arial" w:hAnsi="Arial" w:cs="Arial"/>
          <w:szCs w:val="24"/>
        </w:rPr>
        <w:t xml:space="preserve"> in the </w:t>
      </w:r>
      <w:r w:rsidR="0022157E">
        <w:rPr>
          <w:rFonts w:ascii="Arial" w:hAnsi="Arial" w:cs="Arial"/>
          <w:szCs w:val="24"/>
        </w:rPr>
        <w:t>p</w:t>
      </w:r>
      <w:r w:rsidRPr="008B0D2A">
        <w:rPr>
          <w:rFonts w:ascii="Arial" w:hAnsi="Arial" w:cs="Arial"/>
          <w:szCs w:val="24"/>
        </w:rPr>
        <w:t xml:space="preserve">roposed </w:t>
      </w:r>
      <w:r w:rsidR="0022157E">
        <w:rPr>
          <w:rFonts w:ascii="Arial" w:hAnsi="Arial" w:cs="Arial"/>
          <w:szCs w:val="24"/>
        </w:rPr>
        <w:t>b</w:t>
      </w:r>
      <w:r w:rsidRPr="008B0D2A">
        <w:rPr>
          <w:rFonts w:ascii="Arial" w:hAnsi="Arial" w:cs="Arial"/>
          <w:szCs w:val="24"/>
        </w:rPr>
        <w:t xml:space="preserve">udget. </w:t>
      </w:r>
    </w:p>
    <w:p w14:paraId="7F0C1AF1" w14:textId="77777777" w:rsidR="00AF2FBC" w:rsidRDefault="00AF2FBC" w:rsidP="0036705B">
      <w:pPr>
        <w:spacing w:line="264" w:lineRule="auto"/>
        <w:jc w:val="both"/>
        <w:rPr>
          <w:rFonts w:ascii="Arial" w:hAnsi="Arial" w:cs="Arial"/>
          <w:szCs w:val="24"/>
        </w:rPr>
      </w:pPr>
    </w:p>
    <w:p w14:paraId="7515262A" w14:textId="6505B624" w:rsidR="00F175E3" w:rsidRDefault="005F6BA5" w:rsidP="00F175E3">
      <w:pPr>
        <w:spacing w:line="264" w:lineRule="auto"/>
        <w:jc w:val="both"/>
        <w:rPr>
          <w:rFonts w:ascii="Arial" w:hAnsi="Arial" w:cs="Arial"/>
          <w:szCs w:val="24"/>
        </w:rPr>
      </w:pPr>
      <w:r>
        <w:rPr>
          <w:rFonts w:ascii="Arial" w:hAnsi="Arial" w:cs="Arial"/>
          <w:szCs w:val="24"/>
        </w:rPr>
        <w:t>It should be noted that this estimate also includes the potential benefit from the</w:t>
      </w:r>
      <w:r w:rsidR="00391717">
        <w:rPr>
          <w:rFonts w:ascii="Arial" w:hAnsi="Arial" w:cs="Arial"/>
          <w:szCs w:val="24"/>
        </w:rPr>
        <w:t xml:space="preserve"> Restorative Community Pathways (RCP)</w:t>
      </w:r>
      <w:r w:rsidR="005B0B1C">
        <w:rPr>
          <w:rFonts w:ascii="Arial" w:hAnsi="Arial" w:cs="Arial"/>
          <w:szCs w:val="24"/>
        </w:rPr>
        <w:t xml:space="preserve"> program</w:t>
      </w:r>
      <w:r w:rsidR="00F175E3">
        <w:rPr>
          <w:rFonts w:ascii="Arial" w:hAnsi="Arial" w:cs="Arial"/>
          <w:szCs w:val="24"/>
        </w:rPr>
        <w:t xml:space="preserve">.  </w:t>
      </w:r>
      <w:r w:rsidR="00F175E3" w:rsidRPr="00666BC5">
        <w:rPr>
          <w:rFonts w:ascii="Arial" w:hAnsi="Arial" w:cs="Arial"/>
          <w:szCs w:val="24"/>
        </w:rPr>
        <w:t xml:space="preserve">In lieu of filing charges, the King County Prosecuting Attorney’s Office </w:t>
      </w:r>
      <w:r w:rsidR="00F175E3">
        <w:rPr>
          <w:rFonts w:ascii="Arial" w:hAnsi="Arial" w:cs="Arial"/>
          <w:szCs w:val="24"/>
        </w:rPr>
        <w:t xml:space="preserve">(PAO) </w:t>
      </w:r>
      <w:r w:rsidR="00F175E3" w:rsidRPr="00666BC5">
        <w:rPr>
          <w:rFonts w:ascii="Arial" w:hAnsi="Arial" w:cs="Arial"/>
          <w:szCs w:val="24"/>
        </w:rPr>
        <w:t xml:space="preserve">proposes to refer up to 600 young people (about 60 percent of cases) pre-filing in 2022 to community-based organizations for comprehensive services intended to promote accountability, healing, and </w:t>
      </w:r>
      <w:r w:rsidR="00F175E3">
        <w:rPr>
          <w:rFonts w:ascii="Arial" w:hAnsi="Arial" w:cs="Arial"/>
          <w:szCs w:val="24"/>
        </w:rPr>
        <w:t xml:space="preserve">avoid </w:t>
      </w:r>
      <w:r w:rsidR="00F175E3" w:rsidRPr="00666BC5">
        <w:rPr>
          <w:rFonts w:ascii="Arial" w:hAnsi="Arial" w:cs="Arial"/>
          <w:szCs w:val="24"/>
        </w:rPr>
        <w:t xml:space="preserve">future involvement in the criminal legal system. This new diversion program referred to as “Restorative Community Pathways (RCP)” was developed in partnership between community organizations, the Department of Public Defense, the PAO, and the Department of Community and Human Services. This program will serve youth ages 12-17 and will address misdemeanors (except domestic violence and sexual assault) and </w:t>
      </w:r>
      <w:r w:rsidR="00F175E3" w:rsidRPr="00666BC5">
        <w:rPr>
          <w:rFonts w:ascii="Arial" w:hAnsi="Arial" w:cs="Arial"/>
          <w:szCs w:val="24"/>
        </w:rPr>
        <w:lastRenderedPageBreak/>
        <w:t xml:space="preserve">many first-time felony charges. Eligibility is at PAO discretion and </w:t>
      </w:r>
      <w:r w:rsidR="00F175E3">
        <w:rPr>
          <w:rFonts w:ascii="Arial" w:hAnsi="Arial" w:cs="Arial"/>
          <w:szCs w:val="24"/>
        </w:rPr>
        <w:t>PAO</w:t>
      </w:r>
      <w:r w:rsidR="00F175E3" w:rsidRPr="00666BC5">
        <w:rPr>
          <w:rFonts w:ascii="Arial" w:hAnsi="Arial" w:cs="Arial"/>
          <w:szCs w:val="24"/>
        </w:rPr>
        <w:t xml:space="preserve"> will </w:t>
      </w:r>
      <w:r w:rsidR="00F175E3" w:rsidRPr="00666BC5">
        <w:rPr>
          <w:rFonts w:ascii="Arial" w:hAnsi="Arial" w:cs="Arial"/>
        </w:rPr>
        <w:t>consider other factors such as criminal history, level of injury, and use of a deadly weapon.</w:t>
      </w:r>
      <w:r w:rsidR="00C7497F">
        <w:rPr>
          <w:rFonts w:ascii="Arial" w:hAnsi="Arial" w:cs="Arial"/>
          <w:szCs w:val="24"/>
        </w:rPr>
        <w:t xml:space="preserve">  </w:t>
      </w:r>
      <w:r w:rsidR="005B0B1C">
        <w:rPr>
          <w:rFonts w:ascii="Arial" w:hAnsi="Arial" w:cs="Arial"/>
          <w:szCs w:val="24"/>
        </w:rPr>
        <w:t>Th</w:t>
      </w:r>
      <w:r w:rsidR="006E6773">
        <w:rPr>
          <w:rFonts w:ascii="Arial" w:hAnsi="Arial" w:cs="Arial"/>
          <w:szCs w:val="24"/>
        </w:rPr>
        <w:t xml:space="preserve">e use of this new diversion </w:t>
      </w:r>
      <w:r w:rsidR="00790CC3">
        <w:rPr>
          <w:rFonts w:ascii="Arial" w:hAnsi="Arial" w:cs="Arial"/>
          <w:szCs w:val="24"/>
        </w:rPr>
        <w:t xml:space="preserve">program could help keep </w:t>
      </w:r>
      <w:r w:rsidR="00BC6F88">
        <w:rPr>
          <w:rFonts w:ascii="Arial" w:hAnsi="Arial" w:cs="Arial"/>
          <w:szCs w:val="24"/>
        </w:rPr>
        <w:t>juvenile</w:t>
      </w:r>
      <w:r w:rsidR="00790CC3">
        <w:rPr>
          <w:rFonts w:ascii="Arial" w:hAnsi="Arial" w:cs="Arial"/>
          <w:szCs w:val="24"/>
        </w:rPr>
        <w:t xml:space="preserve"> detention populations lower after its implementation in 2022</w:t>
      </w:r>
      <w:r w:rsidR="00F175E3">
        <w:rPr>
          <w:rFonts w:ascii="Arial" w:hAnsi="Arial" w:cs="Arial"/>
          <w:szCs w:val="24"/>
        </w:rPr>
        <w:t xml:space="preserve"> and the executive proposes reduction of </w:t>
      </w:r>
      <w:r w:rsidR="00F175E3" w:rsidRPr="00F175E3">
        <w:rPr>
          <w:rFonts w:ascii="Arial" w:hAnsi="Arial" w:cs="Arial"/>
          <w:szCs w:val="24"/>
        </w:rPr>
        <w:t>$206,402 and 1.6 FTE</w:t>
      </w:r>
      <w:r w:rsidR="00F175E3">
        <w:rPr>
          <w:rFonts w:ascii="Arial" w:hAnsi="Arial" w:cs="Arial"/>
          <w:szCs w:val="24"/>
        </w:rPr>
        <w:t xml:space="preserve"> in the DAJD proposed budget</w:t>
      </w:r>
      <w:r w:rsidR="00790CC3">
        <w:rPr>
          <w:rFonts w:ascii="Arial" w:hAnsi="Arial" w:cs="Arial"/>
          <w:szCs w:val="24"/>
        </w:rPr>
        <w:t>.</w:t>
      </w:r>
      <w:r w:rsidR="00F175E3">
        <w:rPr>
          <w:rFonts w:ascii="Arial" w:hAnsi="Arial" w:cs="Arial"/>
          <w:szCs w:val="24"/>
        </w:rPr>
        <w:t xml:space="preserve"> </w:t>
      </w:r>
      <w:r w:rsidR="00F175E3" w:rsidRPr="00865ECB">
        <w:rPr>
          <w:rFonts w:ascii="Arial" w:hAnsi="Arial" w:cs="Arial"/>
          <w:szCs w:val="24"/>
        </w:rPr>
        <w:t xml:space="preserve">The </w:t>
      </w:r>
      <w:r w:rsidR="00F175E3">
        <w:rPr>
          <w:rFonts w:ascii="Arial" w:hAnsi="Arial" w:cs="Arial"/>
          <w:szCs w:val="24"/>
        </w:rPr>
        <w:t xml:space="preserve">executive proposed RCP Program invests $6.2 million to </w:t>
      </w:r>
      <w:r w:rsidR="00F175E3" w:rsidRPr="00F175E3">
        <w:rPr>
          <w:rFonts w:ascii="Arial" w:hAnsi="Arial" w:cs="Arial"/>
          <w:szCs w:val="24"/>
        </w:rPr>
        <w:t>expand pre-filing diversion opportunities</w:t>
      </w:r>
      <w:r w:rsidR="00F175E3">
        <w:rPr>
          <w:rFonts w:ascii="Arial" w:hAnsi="Arial" w:cs="Arial"/>
          <w:szCs w:val="24"/>
        </w:rPr>
        <w:t>. This proposed appropriation is discussed in the DCHS</w:t>
      </w:r>
      <w:r w:rsidR="00C3271E">
        <w:rPr>
          <w:rFonts w:ascii="Arial" w:hAnsi="Arial" w:cs="Arial"/>
          <w:szCs w:val="24"/>
        </w:rPr>
        <w:t>-Employment Education Resources</w:t>
      </w:r>
      <w:r w:rsidR="00F175E3">
        <w:rPr>
          <w:rFonts w:ascii="Arial" w:hAnsi="Arial" w:cs="Arial"/>
          <w:szCs w:val="24"/>
        </w:rPr>
        <w:t xml:space="preserve"> s</w:t>
      </w:r>
      <w:r w:rsidR="00F175E3" w:rsidRPr="00865ECB">
        <w:rPr>
          <w:rFonts w:ascii="Arial" w:hAnsi="Arial" w:cs="Arial"/>
          <w:szCs w:val="24"/>
        </w:rPr>
        <w:t xml:space="preserve">taff </w:t>
      </w:r>
      <w:r w:rsidR="00F175E3">
        <w:rPr>
          <w:rFonts w:ascii="Arial" w:hAnsi="Arial" w:cs="Arial"/>
          <w:szCs w:val="24"/>
        </w:rPr>
        <w:t xml:space="preserve">report. </w:t>
      </w:r>
    </w:p>
    <w:p w14:paraId="100AC7DC" w14:textId="77777777" w:rsidR="009960E3" w:rsidRDefault="009960E3" w:rsidP="009960E3">
      <w:pPr>
        <w:spacing w:line="264" w:lineRule="auto"/>
        <w:jc w:val="both"/>
        <w:rPr>
          <w:rFonts w:ascii="Arial" w:hAnsi="Arial" w:cs="Arial"/>
          <w:szCs w:val="24"/>
        </w:rPr>
      </w:pPr>
    </w:p>
    <w:p w14:paraId="214E8CDF" w14:textId="124A4572" w:rsidR="00A94556" w:rsidRDefault="009960E3" w:rsidP="009960E3">
      <w:pPr>
        <w:spacing w:line="264" w:lineRule="auto"/>
        <w:contextualSpacing/>
        <w:jc w:val="both"/>
        <w:rPr>
          <w:rFonts w:ascii="Arial" w:hAnsi="Arial" w:cs="Arial"/>
        </w:rPr>
      </w:pPr>
      <w:bookmarkStart w:id="0" w:name="_GoBack"/>
      <w:r>
        <w:rPr>
          <w:rFonts w:ascii="Arial" w:hAnsi="Arial" w:cs="Arial"/>
          <w:color w:val="FF0000"/>
          <w:szCs w:val="24"/>
        </w:rPr>
        <w:t>The committee’s consideration of the overall impacts of the RCP program was discussed in the Prosecuting Attorney</w:t>
      </w:r>
      <w:r>
        <w:rPr>
          <w:rFonts w:ascii="Arial" w:hAnsi="Arial" w:cs="Arial"/>
          <w:color w:val="FF0000"/>
          <w:szCs w:val="24"/>
        </w:rPr>
        <w:t xml:space="preserve"> Office’s </w:t>
      </w:r>
      <w:r>
        <w:rPr>
          <w:rFonts w:ascii="Arial" w:hAnsi="Arial" w:cs="Arial"/>
          <w:color w:val="FF0000"/>
          <w:szCs w:val="24"/>
        </w:rPr>
        <w:t>budget during the October 7</w:t>
      </w:r>
      <w:r w:rsidRPr="00B6751F">
        <w:rPr>
          <w:rFonts w:ascii="Arial" w:hAnsi="Arial" w:cs="Arial"/>
          <w:color w:val="FF0000"/>
          <w:szCs w:val="24"/>
          <w:vertAlign w:val="superscript"/>
        </w:rPr>
        <w:t>th</w:t>
      </w:r>
      <w:r>
        <w:rPr>
          <w:rFonts w:ascii="Arial" w:hAnsi="Arial" w:cs="Arial"/>
          <w:color w:val="FF0000"/>
          <w:szCs w:val="24"/>
        </w:rPr>
        <w:t xml:space="preserve"> Budget and Fiscal Management Committee meeting</w:t>
      </w:r>
      <w:r>
        <w:rPr>
          <w:rFonts w:ascii="Arial" w:hAnsi="Arial" w:cs="Arial"/>
          <w:color w:val="FF0000"/>
          <w:szCs w:val="24"/>
        </w:rPr>
        <w:t>.</w:t>
      </w:r>
    </w:p>
    <w:bookmarkEnd w:id="0"/>
    <w:p w14:paraId="44BC0D87" w14:textId="76AEBB98" w:rsidR="00BF1C44" w:rsidRPr="007635FD" w:rsidRDefault="00BF1C44" w:rsidP="00BF1C44">
      <w:pPr>
        <w:spacing w:line="264" w:lineRule="auto"/>
        <w:jc w:val="both"/>
        <w:rPr>
          <w:rFonts w:ascii="Arial" w:hAnsi="Arial" w:cs="Arial"/>
          <w:color w:val="FF0000"/>
        </w:rPr>
      </w:pPr>
    </w:p>
    <w:p w14:paraId="191E6EB2" w14:textId="77777777" w:rsidR="00BF1C44" w:rsidRDefault="00BF1C44" w:rsidP="0036705B">
      <w:pPr>
        <w:spacing w:line="264" w:lineRule="auto"/>
        <w:contextualSpacing/>
        <w:jc w:val="both"/>
        <w:rPr>
          <w:rFonts w:ascii="Arial" w:hAnsi="Arial" w:cs="Arial"/>
          <w:b/>
          <w:smallCaps/>
          <w:szCs w:val="24"/>
          <w:u w:val="single"/>
        </w:rPr>
      </w:pPr>
    </w:p>
    <w:p w14:paraId="7865D848" w14:textId="408EAB85" w:rsidR="005C2E8B" w:rsidRDefault="005C2E8B" w:rsidP="00C7497F">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2 –</w:t>
      </w:r>
      <w:r w:rsidRPr="005570AE">
        <w:rPr>
          <w:rFonts w:ascii="Arial" w:hAnsi="Arial" w:cs="Arial"/>
          <w:b/>
          <w:smallCaps/>
          <w:szCs w:val="24"/>
          <w:u w:val="single"/>
        </w:rPr>
        <w:t xml:space="preserve"> </w:t>
      </w:r>
      <w:r w:rsidR="00A94556">
        <w:rPr>
          <w:rFonts w:ascii="Arial" w:hAnsi="Arial" w:cs="Arial"/>
          <w:b/>
          <w:smallCaps/>
          <w:szCs w:val="24"/>
          <w:u w:val="single"/>
        </w:rPr>
        <w:t xml:space="preserve">Adult Secure </w:t>
      </w:r>
      <w:r w:rsidR="00E64A2A">
        <w:rPr>
          <w:rFonts w:ascii="Arial" w:hAnsi="Arial" w:cs="Arial"/>
          <w:b/>
          <w:smallCaps/>
          <w:szCs w:val="24"/>
          <w:u w:val="single"/>
        </w:rPr>
        <w:t>D</w:t>
      </w:r>
      <w:r w:rsidR="00A94556">
        <w:rPr>
          <w:rFonts w:ascii="Arial" w:hAnsi="Arial" w:cs="Arial"/>
          <w:b/>
          <w:smallCaps/>
          <w:szCs w:val="24"/>
          <w:u w:val="single"/>
        </w:rPr>
        <w:t xml:space="preserve">etention Population </w:t>
      </w:r>
      <w:r w:rsidR="00F175E3">
        <w:rPr>
          <w:rFonts w:ascii="Arial" w:hAnsi="Arial" w:cs="Arial"/>
          <w:b/>
          <w:smallCaps/>
          <w:szCs w:val="24"/>
          <w:u w:val="single"/>
        </w:rPr>
        <w:t>(</w:t>
      </w:r>
      <w:r w:rsidR="00AE4D77">
        <w:rPr>
          <w:rFonts w:ascii="Arial" w:hAnsi="Arial" w:cs="Arial"/>
          <w:b/>
          <w:smallCaps/>
          <w:szCs w:val="24"/>
          <w:u w:val="single"/>
        </w:rPr>
        <w:t>Reduction of $1,</w:t>
      </w:r>
      <w:r w:rsidR="00E17A55">
        <w:rPr>
          <w:rFonts w:ascii="Arial" w:hAnsi="Arial" w:cs="Arial"/>
          <w:b/>
          <w:smallCaps/>
          <w:szCs w:val="24"/>
          <w:u w:val="single"/>
        </w:rPr>
        <w:t>940,903 &amp; 30.0 FTEs</w:t>
      </w:r>
      <w:r w:rsidR="00F175E3">
        <w:rPr>
          <w:rFonts w:ascii="Arial" w:hAnsi="Arial" w:cs="Arial"/>
          <w:b/>
          <w:smallCaps/>
          <w:szCs w:val="24"/>
          <w:u w:val="single"/>
        </w:rPr>
        <w:t>)</w:t>
      </w:r>
    </w:p>
    <w:p w14:paraId="07318459" w14:textId="14FEDD47" w:rsidR="0022296E" w:rsidRDefault="0022296E" w:rsidP="00C7497F">
      <w:pPr>
        <w:keepNext/>
        <w:spacing w:line="264" w:lineRule="auto"/>
        <w:contextualSpacing/>
        <w:jc w:val="both"/>
        <w:rPr>
          <w:rFonts w:ascii="Arial" w:hAnsi="Arial" w:cs="Arial"/>
          <w:b/>
          <w:smallCaps/>
          <w:szCs w:val="24"/>
          <w:u w:val="single"/>
        </w:rPr>
      </w:pPr>
    </w:p>
    <w:p w14:paraId="5C5D5526" w14:textId="3B1FF267" w:rsidR="00DD117F" w:rsidRDefault="00BC6F88" w:rsidP="00C7497F">
      <w:pPr>
        <w:keepNext/>
        <w:spacing w:line="264" w:lineRule="auto"/>
        <w:jc w:val="both"/>
        <w:rPr>
          <w:rFonts w:ascii="Arial" w:hAnsi="Arial" w:cs="Arial"/>
          <w:szCs w:val="24"/>
        </w:rPr>
      </w:pPr>
      <w:r>
        <w:rPr>
          <w:rFonts w:ascii="Arial" w:hAnsi="Arial" w:cs="Arial"/>
          <w:szCs w:val="24"/>
        </w:rPr>
        <w:t>According to the Executive, u</w:t>
      </w:r>
      <w:r w:rsidR="00837B44" w:rsidRPr="006427EA">
        <w:rPr>
          <w:rFonts w:ascii="Arial" w:hAnsi="Arial" w:cs="Arial"/>
          <w:szCs w:val="24"/>
        </w:rPr>
        <w:t xml:space="preserve">nlike past years, </w:t>
      </w:r>
      <w:r>
        <w:rPr>
          <w:rFonts w:ascii="Arial" w:hAnsi="Arial" w:cs="Arial"/>
          <w:szCs w:val="24"/>
        </w:rPr>
        <w:t xml:space="preserve">the department did </w:t>
      </w:r>
      <w:r w:rsidR="00837B44" w:rsidRPr="006427EA">
        <w:rPr>
          <w:rFonts w:ascii="Arial" w:hAnsi="Arial" w:cs="Arial"/>
          <w:szCs w:val="24"/>
        </w:rPr>
        <w:t xml:space="preserve">not rely on forecasts based on </w:t>
      </w:r>
      <w:r w:rsidR="006F57EA">
        <w:rPr>
          <w:rFonts w:ascii="Arial" w:hAnsi="Arial" w:cs="Arial"/>
          <w:szCs w:val="24"/>
        </w:rPr>
        <w:t xml:space="preserve">its traditional methodology </w:t>
      </w:r>
      <w:r w:rsidR="00FF0F3D">
        <w:rPr>
          <w:rFonts w:ascii="Arial" w:hAnsi="Arial" w:cs="Arial"/>
          <w:szCs w:val="24"/>
        </w:rPr>
        <w:t>(</w:t>
      </w:r>
      <w:r w:rsidR="00B75DDE">
        <w:rPr>
          <w:rFonts w:ascii="Arial" w:hAnsi="Arial" w:cs="Arial"/>
          <w:szCs w:val="24"/>
        </w:rPr>
        <w:t>projections</w:t>
      </w:r>
      <w:r w:rsidR="00236E9D">
        <w:rPr>
          <w:rFonts w:ascii="Arial" w:hAnsi="Arial" w:cs="Arial"/>
          <w:szCs w:val="24"/>
        </w:rPr>
        <w:t xml:space="preserve"> using </w:t>
      </w:r>
      <w:r w:rsidR="00FF0F3D">
        <w:rPr>
          <w:rFonts w:ascii="Arial" w:hAnsi="Arial" w:cs="Arial"/>
          <w:szCs w:val="24"/>
        </w:rPr>
        <w:t>prior historical tr</w:t>
      </w:r>
      <w:r w:rsidR="00C87418">
        <w:rPr>
          <w:rFonts w:ascii="Arial" w:hAnsi="Arial" w:cs="Arial"/>
          <w:szCs w:val="24"/>
        </w:rPr>
        <w:t>e</w:t>
      </w:r>
      <w:r w:rsidR="00FF0F3D">
        <w:rPr>
          <w:rFonts w:ascii="Arial" w:hAnsi="Arial" w:cs="Arial"/>
          <w:szCs w:val="24"/>
        </w:rPr>
        <w:t xml:space="preserve">nds and an evaluation of projected changes in population or policy changes) </w:t>
      </w:r>
      <w:r w:rsidR="00837B44" w:rsidRPr="006427EA">
        <w:rPr>
          <w:rFonts w:ascii="Arial" w:hAnsi="Arial" w:cs="Arial"/>
          <w:szCs w:val="24"/>
        </w:rPr>
        <w:t xml:space="preserve">to estimate </w:t>
      </w:r>
      <w:r w:rsidR="0042341C">
        <w:rPr>
          <w:rFonts w:ascii="Arial" w:hAnsi="Arial" w:cs="Arial"/>
          <w:szCs w:val="24"/>
        </w:rPr>
        <w:t>secure detention</w:t>
      </w:r>
      <w:r w:rsidR="00837B44" w:rsidRPr="006427EA">
        <w:rPr>
          <w:rFonts w:ascii="Arial" w:hAnsi="Arial" w:cs="Arial"/>
          <w:szCs w:val="24"/>
        </w:rPr>
        <w:t xml:space="preserve"> population</w:t>
      </w:r>
      <w:r w:rsidR="00C87418">
        <w:rPr>
          <w:rFonts w:ascii="Arial" w:hAnsi="Arial" w:cs="Arial"/>
          <w:szCs w:val="24"/>
        </w:rPr>
        <w:t xml:space="preserve"> for 2021 and 2022</w:t>
      </w:r>
      <w:r w:rsidR="00837B44" w:rsidRPr="006427EA">
        <w:rPr>
          <w:rFonts w:ascii="Arial" w:hAnsi="Arial" w:cs="Arial"/>
          <w:szCs w:val="24"/>
        </w:rPr>
        <w:t xml:space="preserve">. </w:t>
      </w:r>
      <w:r w:rsidR="00C87418">
        <w:rPr>
          <w:rFonts w:ascii="Arial" w:hAnsi="Arial" w:cs="Arial"/>
          <w:szCs w:val="24"/>
        </w:rPr>
        <w:t xml:space="preserve"> </w:t>
      </w:r>
      <w:r w:rsidR="00DD117F">
        <w:rPr>
          <w:rFonts w:ascii="Arial" w:hAnsi="Arial" w:cs="Arial"/>
          <w:szCs w:val="24"/>
        </w:rPr>
        <w:t>For example, t</w:t>
      </w:r>
      <w:r w:rsidR="003B0866">
        <w:rPr>
          <w:rFonts w:ascii="Arial" w:hAnsi="Arial" w:cs="Arial"/>
          <w:szCs w:val="24"/>
        </w:rPr>
        <w:t xml:space="preserve">he department’s </w:t>
      </w:r>
      <w:r w:rsidR="00C6291B">
        <w:rPr>
          <w:rFonts w:ascii="Arial" w:hAnsi="Arial" w:cs="Arial"/>
          <w:szCs w:val="24"/>
        </w:rPr>
        <w:t xml:space="preserve">budgeted </w:t>
      </w:r>
      <w:r w:rsidR="0064463C">
        <w:rPr>
          <w:rFonts w:ascii="Arial" w:hAnsi="Arial" w:cs="Arial"/>
          <w:szCs w:val="24"/>
        </w:rPr>
        <w:t>population for 202</w:t>
      </w:r>
      <w:r w:rsidR="00BE070F">
        <w:rPr>
          <w:rFonts w:ascii="Arial" w:hAnsi="Arial" w:cs="Arial"/>
          <w:szCs w:val="24"/>
        </w:rPr>
        <w:t>0</w:t>
      </w:r>
      <w:r w:rsidR="002A6E39">
        <w:rPr>
          <w:rFonts w:ascii="Arial" w:hAnsi="Arial" w:cs="Arial"/>
          <w:szCs w:val="24"/>
        </w:rPr>
        <w:t>,</w:t>
      </w:r>
      <w:r w:rsidR="0064463C">
        <w:rPr>
          <w:rFonts w:ascii="Arial" w:hAnsi="Arial" w:cs="Arial"/>
          <w:szCs w:val="24"/>
        </w:rPr>
        <w:t xml:space="preserve"> </w:t>
      </w:r>
      <w:r w:rsidR="00DD117F">
        <w:rPr>
          <w:rFonts w:ascii="Arial" w:hAnsi="Arial" w:cs="Arial"/>
          <w:szCs w:val="24"/>
        </w:rPr>
        <w:t xml:space="preserve">based on these </w:t>
      </w:r>
      <w:r w:rsidR="002A6E39">
        <w:rPr>
          <w:rFonts w:ascii="Arial" w:hAnsi="Arial" w:cs="Arial"/>
          <w:szCs w:val="24"/>
        </w:rPr>
        <w:t xml:space="preserve">historical </w:t>
      </w:r>
      <w:r w:rsidR="00DD117F">
        <w:rPr>
          <w:rFonts w:ascii="Arial" w:hAnsi="Arial" w:cs="Arial"/>
          <w:szCs w:val="24"/>
        </w:rPr>
        <w:t>projections</w:t>
      </w:r>
      <w:r w:rsidR="002A6E39">
        <w:rPr>
          <w:rFonts w:ascii="Arial" w:hAnsi="Arial" w:cs="Arial"/>
          <w:szCs w:val="24"/>
        </w:rPr>
        <w:t>,</w:t>
      </w:r>
      <w:r w:rsidR="00DD117F">
        <w:rPr>
          <w:rFonts w:ascii="Arial" w:hAnsi="Arial" w:cs="Arial"/>
          <w:szCs w:val="24"/>
        </w:rPr>
        <w:t xml:space="preserve"> </w:t>
      </w:r>
      <w:r w:rsidR="0064463C">
        <w:rPr>
          <w:rFonts w:ascii="Arial" w:hAnsi="Arial" w:cs="Arial"/>
          <w:szCs w:val="24"/>
        </w:rPr>
        <w:t>was 2,034 ADP</w:t>
      </w:r>
      <w:r w:rsidR="00BE070F">
        <w:rPr>
          <w:rFonts w:ascii="Arial" w:hAnsi="Arial" w:cs="Arial"/>
          <w:szCs w:val="24"/>
        </w:rPr>
        <w:t xml:space="preserve"> and actual ADP </w:t>
      </w:r>
      <w:r w:rsidR="002E5259">
        <w:rPr>
          <w:rFonts w:ascii="Arial" w:hAnsi="Arial" w:cs="Arial"/>
          <w:szCs w:val="24"/>
        </w:rPr>
        <w:t>in February 2020 was 1,945 ADP</w:t>
      </w:r>
      <w:r w:rsidR="0064463C">
        <w:rPr>
          <w:rFonts w:ascii="Arial" w:hAnsi="Arial" w:cs="Arial"/>
          <w:szCs w:val="24"/>
        </w:rPr>
        <w:t xml:space="preserve">.  </w:t>
      </w:r>
    </w:p>
    <w:p w14:paraId="0E275298" w14:textId="77777777" w:rsidR="00DD117F" w:rsidRDefault="00DD117F" w:rsidP="00C7497F">
      <w:pPr>
        <w:keepNext/>
        <w:spacing w:line="264" w:lineRule="auto"/>
        <w:jc w:val="both"/>
        <w:rPr>
          <w:rFonts w:ascii="Arial" w:hAnsi="Arial" w:cs="Arial"/>
          <w:szCs w:val="24"/>
        </w:rPr>
      </w:pPr>
    </w:p>
    <w:p w14:paraId="12667A63" w14:textId="3C56F744" w:rsidR="00950792" w:rsidRDefault="002E5259" w:rsidP="00C7497F">
      <w:pPr>
        <w:keepNext/>
        <w:spacing w:line="264" w:lineRule="auto"/>
        <w:jc w:val="both"/>
        <w:rPr>
          <w:rFonts w:ascii="Arial" w:hAnsi="Arial" w:cs="Arial"/>
          <w:szCs w:val="24"/>
        </w:rPr>
      </w:pPr>
      <w:r>
        <w:rPr>
          <w:rFonts w:ascii="Arial" w:hAnsi="Arial" w:cs="Arial"/>
          <w:szCs w:val="24"/>
        </w:rPr>
        <w:t xml:space="preserve">However, with onset of the COVID Pandemic and the </w:t>
      </w:r>
      <w:r w:rsidR="00124818">
        <w:rPr>
          <w:rFonts w:ascii="Arial" w:hAnsi="Arial" w:cs="Arial"/>
          <w:szCs w:val="24"/>
        </w:rPr>
        <w:t xml:space="preserve">need to protect both inmates and staff in the jail, the department took several actions. The </w:t>
      </w:r>
      <w:r w:rsidR="004B68ED">
        <w:rPr>
          <w:rFonts w:ascii="Arial" w:hAnsi="Arial" w:cs="Arial"/>
          <w:szCs w:val="24"/>
        </w:rPr>
        <w:t xml:space="preserve">department worked with the </w:t>
      </w:r>
      <w:r w:rsidR="00B61038">
        <w:rPr>
          <w:rFonts w:ascii="Arial" w:hAnsi="Arial" w:cs="Arial"/>
          <w:szCs w:val="24"/>
        </w:rPr>
        <w:t xml:space="preserve">Superior Court, District Court, and the Prosecuting Attorney to develop mechanisms to ensure that the use of </w:t>
      </w:r>
      <w:r w:rsidR="00782197">
        <w:rPr>
          <w:rFonts w:ascii="Arial" w:hAnsi="Arial" w:cs="Arial"/>
          <w:szCs w:val="24"/>
        </w:rPr>
        <w:t xml:space="preserve">detention was limited.  In addition, </w:t>
      </w:r>
      <w:r w:rsidR="00B02ADD">
        <w:rPr>
          <w:rFonts w:ascii="Arial" w:hAnsi="Arial" w:cs="Arial"/>
          <w:szCs w:val="24"/>
        </w:rPr>
        <w:t xml:space="preserve">the department limited the use for the jail for its contract </w:t>
      </w:r>
      <w:r w:rsidR="003A78B8">
        <w:rPr>
          <w:rFonts w:ascii="Arial" w:hAnsi="Arial" w:cs="Arial"/>
          <w:szCs w:val="24"/>
        </w:rPr>
        <w:t>partners</w:t>
      </w:r>
      <w:r w:rsidR="00B02ADD">
        <w:rPr>
          <w:rFonts w:ascii="Arial" w:hAnsi="Arial" w:cs="Arial"/>
          <w:szCs w:val="24"/>
        </w:rPr>
        <w:t>--</w:t>
      </w:r>
      <w:r w:rsidR="004B68ED">
        <w:rPr>
          <w:rFonts w:ascii="Arial" w:hAnsi="Arial" w:cs="Arial"/>
          <w:szCs w:val="24"/>
        </w:rPr>
        <w:t>state Department of Corrections</w:t>
      </w:r>
      <w:r w:rsidR="00B02ADD">
        <w:rPr>
          <w:rFonts w:ascii="Arial" w:hAnsi="Arial" w:cs="Arial"/>
          <w:szCs w:val="24"/>
        </w:rPr>
        <w:t xml:space="preserve"> </w:t>
      </w:r>
      <w:r w:rsidR="003570A4">
        <w:rPr>
          <w:rFonts w:ascii="Arial" w:hAnsi="Arial" w:cs="Arial"/>
          <w:szCs w:val="24"/>
        </w:rPr>
        <w:t>community supervision violators and</w:t>
      </w:r>
      <w:r w:rsidR="004B68ED">
        <w:rPr>
          <w:rFonts w:ascii="Arial" w:hAnsi="Arial" w:cs="Arial"/>
          <w:szCs w:val="24"/>
        </w:rPr>
        <w:t xml:space="preserve"> </w:t>
      </w:r>
      <w:r w:rsidR="00B61038">
        <w:rPr>
          <w:rFonts w:ascii="Arial" w:hAnsi="Arial" w:cs="Arial"/>
          <w:szCs w:val="24"/>
        </w:rPr>
        <w:t>cit</w:t>
      </w:r>
      <w:r w:rsidR="003570A4">
        <w:rPr>
          <w:rFonts w:ascii="Arial" w:hAnsi="Arial" w:cs="Arial"/>
          <w:szCs w:val="24"/>
        </w:rPr>
        <w:t>y misdemeanants</w:t>
      </w:r>
      <w:r w:rsidR="00B61038">
        <w:rPr>
          <w:rFonts w:ascii="Arial" w:hAnsi="Arial" w:cs="Arial"/>
          <w:szCs w:val="24"/>
        </w:rPr>
        <w:t xml:space="preserve">. </w:t>
      </w:r>
    </w:p>
    <w:p w14:paraId="2BA0285A" w14:textId="77777777" w:rsidR="00950792" w:rsidRDefault="00950792" w:rsidP="0036705B">
      <w:pPr>
        <w:spacing w:line="264" w:lineRule="auto"/>
        <w:jc w:val="both"/>
        <w:rPr>
          <w:rFonts w:ascii="Arial" w:hAnsi="Arial" w:cs="Arial"/>
          <w:szCs w:val="24"/>
        </w:rPr>
      </w:pPr>
    </w:p>
    <w:p w14:paraId="20BCFAC6" w14:textId="10EF1369" w:rsidR="00A6701C" w:rsidRPr="006427EA" w:rsidRDefault="00BB01D4" w:rsidP="0036705B">
      <w:pPr>
        <w:spacing w:line="264" w:lineRule="auto"/>
        <w:jc w:val="both"/>
        <w:rPr>
          <w:rFonts w:ascii="Arial" w:hAnsi="Arial" w:cs="Arial"/>
        </w:rPr>
      </w:pPr>
      <w:r>
        <w:rPr>
          <w:rFonts w:ascii="Arial" w:hAnsi="Arial" w:cs="Arial"/>
          <w:szCs w:val="24"/>
        </w:rPr>
        <w:t xml:space="preserve">As a result of these changes, ADP dropped </w:t>
      </w:r>
      <w:r w:rsidR="008C4C65">
        <w:rPr>
          <w:rFonts w:ascii="Arial" w:hAnsi="Arial" w:cs="Arial"/>
          <w:szCs w:val="24"/>
        </w:rPr>
        <w:t xml:space="preserve">to 1,305 ADP in August 2020.  </w:t>
      </w:r>
      <w:r w:rsidR="007A03D3">
        <w:rPr>
          <w:rFonts w:ascii="Arial" w:hAnsi="Arial" w:cs="Arial"/>
          <w:szCs w:val="24"/>
        </w:rPr>
        <w:t>Rather than using historic projections f</w:t>
      </w:r>
      <w:r w:rsidR="00D55065">
        <w:rPr>
          <w:rFonts w:ascii="Arial" w:hAnsi="Arial" w:cs="Arial"/>
          <w:szCs w:val="24"/>
        </w:rPr>
        <w:t xml:space="preserve">or the </w:t>
      </w:r>
      <w:r w:rsidR="00EB7125">
        <w:rPr>
          <w:rFonts w:ascii="Arial" w:hAnsi="Arial" w:cs="Arial"/>
          <w:szCs w:val="24"/>
        </w:rPr>
        <w:t>development of the department’s 2021-2022 population estimates</w:t>
      </w:r>
      <w:r w:rsidR="00950792">
        <w:rPr>
          <w:rFonts w:ascii="Arial" w:hAnsi="Arial" w:cs="Arial"/>
          <w:szCs w:val="24"/>
        </w:rPr>
        <w:t xml:space="preserve"> for the development </w:t>
      </w:r>
      <w:r w:rsidR="00EB7125">
        <w:rPr>
          <w:rFonts w:ascii="Arial" w:hAnsi="Arial" w:cs="Arial"/>
          <w:szCs w:val="24"/>
        </w:rPr>
        <w:t>the department</w:t>
      </w:r>
      <w:r w:rsidR="00982F36">
        <w:rPr>
          <w:rFonts w:ascii="Arial" w:hAnsi="Arial" w:cs="Arial"/>
          <w:szCs w:val="24"/>
        </w:rPr>
        <w:t>’s biennial</w:t>
      </w:r>
      <w:r w:rsidR="00EB7125">
        <w:rPr>
          <w:rFonts w:ascii="Arial" w:hAnsi="Arial" w:cs="Arial"/>
          <w:szCs w:val="24"/>
        </w:rPr>
        <w:t xml:space="preserve"> budget</w:t>
      </w:r>
      <w:r w:rsidR="007A03D3">
        <w:rPr>
          <w:rFonts w:ascii="Arial" w:hAnsi="Arial" w:cs="Arial"/>
          <w:szCs w:val="24"/>
        </w:rPr>
        <w:t>,</w:t>
      </w:r>
      <w:r w:rsidR="00EB7125">
        <w:rPr>
          <w:rFonts w:ascii="Arial" w:hAnsi="Arial" w:cs="Arial"/>
          <w:szCs w:val="24"/>
        </w:rPr>
        <w:t xml:space="preserve"> </w:t>
      </w:r>
      <w:r w:rsidR="00837B44" w:rsidRPr="006427EA">
        <w:rPr>
          <w:rFonts w:ascii="Arial" w:hAnsi="Arial" w:cs="Arial"/>
          <w:szCs w:val="24"/>
        </w:rPr>
        <w:t xml:space="preserve">the Executive </w:t>
      </w:r>
      <w:r w:rsidR="007A03D3">
        <w:rPr>
          <w:rFonts w:ascii="Arial" w:hAnsi="Arial" w:cs="Arial"/>
          <w:szCs w:val="24"/>
        </w:rPr>
        <w:t xml:space="preserve">instead </w:t>
      </w:r>
      <w:r w:rsidR="00837B44" w:rsidRPr="006427EA">
        <w:rPr>
          <w:rFonts w:ascii="Arial" w:hAnsi="Arial" w:cs="Arial"/>
          <w:szCs w:val="24"/>
        </w:rPr>
        <w:t>directed DAJD and other criminal legal system actors to follow policies that will maintain ADP at the current pandemic level of 1</w:t>
      </w:r>
      <w:r w:rsidR="00200EFC">
        <w:rPr>
          <w:rFonts w:ascii="Arial" w:hAnsi="Arial" w:cs="Arial"/>
          <w:szCs w:val="24"/>
        </w:rPr>
        <w:t>,</w:t>
      </w:r>
      <w:r w:rsidR="00837B44" w:rsidRPr="006427EA">
        <w:rPr>
          <w:rFonts w:ascii="Arial" w:hAnsi="Arial" w:cs="Arial"/>
          <w:szCs w:val="24"/>
        </w:rPr>
        <w:t>300 to 1</w:t>
      </w:r>
      <w:r w:rsidR="00200EFC">
        <w:rPr>
          <w:rFonts w:ascii="Arial" w:hAnsi="Arial" w:cs="Arial"/>
          <w:szCs w:val="24"/>
        </w:rPr>
        <w:t>,</w:t>
      </w:r>
      <w:r w:rsidR="00837B44" w:rsidRPr="006427EA">
        <w:rPr>
          <w:rFonts w:ascii="Arial" w:hAnsi="Arial" w:cs="Arial"/>
          <w:szCs w:val="24"/>
        </w:rPr>
        <w:t xml:space="preserve">350 </w:t>
      </w:r>
      <w:r w:rsidR="00200EFC">
        <w:rPr>
          <w:rFonts w:ascii="Arial" w:hAnsi="Arial" w:cs="Arial"/>
          <w:szCs w:val="24"/>
        </w:rPr>
        <w:t xml:space="preserve">ADP even after a return </w:t>
      </w:r>
      <w:r w:rsidR="00837B44" w:rsidRPr="006427EA">
        <w:rPr>
          <w:rFonts w:ascii="Arial" w:hAnsi="Arial" w:cs="Arial"/>
          <w:szCs w:val="24"/>
        </w:rPr>
        <w:t>to normal operations</w:t>
      </w:r>
      <w:r w:rsidR="009E2524">
        <w:rPr>
          <w:rFonts w:ascii="Arial" w:hAnsi="Arial" w:cs="Arial"/>
          <w:szCs w:val="24"/>
        </w:rPr>
        <w:t>.</w:t>
      </w:r>
      <w:r w:rsidR="0026032F">
        <w:rPr>
          <w:rStyle w:val="FootnoteReference"/>
          <w:rFonts w:ascii="Arial" w:hAnsi="Arial" w:cs="Arial"/>
          <w:szCs w:val="24"/>
        </w:rPr>
        <w:footnoteReference w:id="4"/>
      </w:r>
      <w:r w:rsidR="009E2524">
        <w:rPr>
          <w:rFonts w:ascii="Arial" w:hAnsi="Arial" w:cs="Arial"/>
          <w:szCs w:val="24"/>
        </w:rPr>
        <w:t xml:space="preserve">  The budget proposal</w:t>
      </w:r>
      <w:r w:rsidR="00BE77DD">
        <w:rPr>
          <w:rFonts w:ascii="Arial" w:hAnsi="Arial" w:cs="Arial"/>
          <w:szCs w:val="24"/>
        </w:rPr>
        <w:t xml:space="preserve">, using these estimates would </w:t>
      </w:r>
      <w:r w:rsidR="00837B44" w:rsidRPr="006427EA">
        <w:rPr>
          <w:rFonts w:ascii="Arial" w:hAnsi="Arial" w:cs="Arial"/>
          <w:szCs w:val="24"/>
        </w:rPr>
        <w:t>allow DAJD to close one floor of the King County Correctional Facility in mid-2022</w:t>
      </w:r>
      <w:r w:rsidR="00576BA4">
        <w:rPr>
          <w:rFonts w:ascii="Arial" w:hAnsi="Arial" w:cs="Arial"/>
          <w:szCs w:val="24"/>
        </w:rPr>
        <w:t xml:space="preserve"> for a reduction of $1.9 million and </w:t>
      </w:r>
      <w:r w:rsidR="0026032F">
        <w:rPr>
          <w:rFonts w:ascii="Arial" w:hAnsi="Arial" w:cs="Arial"/>
          <w:szCs w:val="24"/>
        </w:rPr>
        <w:t>30.0 FTEs for the biennium</w:t>
      </w:r>
      <w:r w:rsidR="00837B44" w:rsidRPr="006427EA">
        <w:rPr>
          <w:rFonts w:ascii="Arial" w:hAnsi="Arial" w:cs="Arial"/>
          <w:szCs w:val="24"/>
        </w:rPr>
        <w:t xml:space="preserve">. </w:t>
      </w:r>
      <w:r w:rsidR="00C2154B" w:rsidRPr="006427EA">
        <w:rPr>
          <w:rFonts w:ascii="Arial" w:hAnsi="Arial" w:cs="Arial"/>
          <w:szCs w:val="24"/>
        </w:rPr>
        <w:t xml:space="preserve">In order to close a floor, </w:t>
      </w:r>
      <w:r w:rsidR="00C2154B">
        <w:rPr>
          <w:rFonts w:ascii="Arial" w:hAnsi="Arial" w:cs="Arial"/>
          <w:szCs w:val="24"/>
        </w:rPr>
        <w:t xml:space="preserve">the department notes that </w:t>
      </w:r>
      <w:r w:rsidR="00C2154B" w:rsidRPr="006427EA">
        <w:rPr>
          <w:rFonts w:ascii="Arial" w:hAnsi="Arial" w:cs="Arial"/>
          <w:szCs w:val="24"/>
        </w:rPr>
        <w:t>it will be necessary to maintain ADP close to 1</w:t>
      </w:r>
      <w:r w:rsidR="00C2154B">
        <w:rPr>
          <w:rFonts w:ascii="Arial" w:hAnsi="Arial" w:cs="Arial"/>
          <w:szCs w:val="24"/>
        </w:rPr>
        <w:t>,</w:t>
      </w:r>
      <w:r w:rsidR="00C2154B" w:rsidRPr="006427EA">
        <w:rPr>
          <w:rFonts w:ascii="Arial" w:hAnsi="Arial" w:cs="Arial"/>
          <w:szCs w:val="24"/>
        </w:rPr>
        <w:t xml:space="preserve">300 even after conditions allow </w:t>
      </w:r>
      <w:r w:rsidR="00C2154B" w:rsidRPr="006427EA">
        <w:rPr>
          <w:rFonts w:ascii="Arial" w:hAnsi="Arial" w:cs="Arial"/>
          <w:szCs w:val="24"/>
        </w:rPr>
        <w:lastRenderedPageBreak/>
        <w:t>DAJD to return to normal operations</w:t>
      </w:r>
      <w:r w:rsidR="00C2154B">
        <w:rPr>
          <w:rFonts w:ascii="Arial" w:hAnsi="Arial" w:cs="Arial"/>
          <w:szCs w:val="24"/>
        </w:rPr>
        <w:t xml:space="preserve"> and that i</w:t>
      </w:r>
      <w:r w:rsidR="00C2154B" w:rsidRPr="006427EA">
        <w:rPr>
          <w:rFonts w:ascii="Arial" w:hAnsi="Arial" w:cs="Arial"/>
          <w:szCs w:val="24"/>
        </w:rPr>
        <w:t xml:space="preserve">t is unlikely that a floor will be closed prior to July 1, 2022. </w:t>
      </w:r>
      <w:r w:rsidR="00147E2A">
        <w:rPr>
          <w:rFonts w:ascii="Arial" w:hAnsi="Arial" w:cs="Arial"/>
          <w:szCs w:val="24"/>
        </w:rPr>
        <w:t xml:space="preserve">  The department also notes that, d</w:t>
      </w:r>
      <w:r w:rsidR="00A6701C" w:rsidRPr="006427EA">
        <w:rPr>
          <w:rFonts w:ascii="Arial" w:hAnsi="Arial" w:cs="Arial"/>
        </w:rPr>
        <w:t>epending on the floor selected for closure and how it is intended to be used, it may be necessary to retain some of the 30</w:t>
      </w:r>
      <w:r w:rsidR="00147E2A">
        <w:rPr>
          <w:rFonts w:ascii="Arial" w:hAnsi="Arial" w:cs="Arial"/>
        </w:rPr>
        <w:t xml:space="preserve">.0 </w:t>
      </w:r>
      <w:r w:rsidR="00A6701C" w:rsidRPr="006427EA">
        <w:rPr>
          <w:rFonts w:ascii="Arial" w:hAnsi="Arial" w:cs="Arial"/>
        </w:rPr>
        <w:t xml:space="preserve">FTEs eliminated in this proposal. </w:t>
      </w:r>
      <w:r w:rsidR="00024F1A">
        <w:rPr>
          <w:rFonts w:ascii="Arial" w:hAnsi="Arial" w:cs="Arial"/>
        </w:rPr>
        <w:t xml:space="preserve"> According to the Executive, the exact number of FTEs that can be eliminated </w:t>
      </w:r>
      <w:r w:rsidR="00AC03C8">
        <w:rPr>
          <w:rFonts w:ascii="Arial" w:hAnsi="Arial" w:cs="Arial"/>
        </w:rPr>
        <w:t>wi</w:t>
      </w:r>
      <w:r w:rsidR="00A6701C" w:rsidRPr="006427EA">
        <w:rPr>
          <w:rFonts w:ascii="Arial" w:hAnsi="Arial" w:cs="Arial"/>
        </w:rPr>
        <w:t xml:space="preserve">ll be determined during </w:t>
      </w:r>
      <w:r w:rsidR="00AC03C8">
        <w:rPr>
          <w:rFonts w:ascii="Arial" w:hAnsi="Arial" w:cs="Arial"/>
        </w:rPr>
        <w:t xml:space="preserve">the department’s </w:t>
      </w:r>
      <w:r w:rsidR="00A6701C" w:rsidRPr="006427EA">
        <w:rPr>
          <w:rFonts w:ascii="Arial" w:hAnsi="Arial" w:cs="Arial"/>
        </w:rPr>
        <w:t xml:space="preserve">planning </w:t>
      </w:r>
      <w:r w:rsidR="00AC03C8">
        <w:rPr>
          <w:rFonts w:ascii="Arial" w:hAnsi="Arial" w:cs="Arial"/>
        </w:rPr>
        <w:t xml:space="preserve">efforts </w:t>
      </w:r>
      <w:r w:rsidR="00A6701C" w:rsidRPr="006427EA">
        <w:rPr>
          <w:rFonts w:ascii="Arial" w:hAnsi="Arial" w:cs="Arial"/>
        </w:rPr>
        <w:t xml:space="preserve">prior to closure, and if </w:t>
      </w:r>
      <w:r w:rsidR="00467E6C" w:rsidRPr="006427EA">
        <w:rPr>
          <w:rFonts w:ascii="Arial" w:hAnsi="Arial" w:cs="Arial"/>
        </w:rPr>
        <w:t>necessary,</w:t>
      </w:r>
      <w:r w:rsidR="00A6701C" w:rsidRPr="006427EA">
        <w:rPr>
          <w:rFonts w:ascii="Arial" w:hAnsi="Arial" w:cs="Arial"/>
        </w:rPr>
        <w:t xml:space="preserve"> a proposal for supplemental appropriation to retain some of these positions will be transmitted to Council.</w:t>
      </w:r>
    </w:p>
    <w:p w14:paraId="33184E25" w14:textId="77777777" w:rsidR="00837B44" w:rsidRDefault="00837B44" w:rsidP="0036705B">
      <w:pPr>
        <w:spacing w:line="264" w:lineRule="auto"/>
        <w:contextualSpacing/>
        <w:jc w:val="both"/>
        <w:rPr>
          <w:rFonts w:ascii="Arial" w:hAnsi="Arial" w:cs="Arial"/>
          <w:b/>
          <w:smallCaps/>
          <w:szCs w:val="24"/>
          <w:u w:val="single"/>
        </w:rPr>
      </w:pPr>
    </w:p>
    <w:p w14:paraId="23BBDC20" w14:textId="77777777" w:rsidR="005808A8" w:rsidRDefault="0022296E" w:rsidP="0036705B">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3</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sidR="00E64A2A">
        <w:rPr>
          <w:rFonts w:ascii="Arial" w:hAnsi="Arial" w:cs="Arial"/>
          <w:b/>
          <w:smallCaps/>
          <w:szCs w:val="24"/>
          <w:u w:val="single"/>
        </w:rPr>
        <w:t>R</w:t>
      </w:r>
      <w:r>
        <w:rPr>
          <w:rFonts w:ascii="Arial" w:hAnsi="Arial" w:cs="Arial"/>
          <w:b/>
          <w:smallCaps/>
          <w:szCs w:val="24"/>
          <w:u w:val="single"/>
        </w:rPr>
        <w:t xml:space="preserve">eductions in City and State Jail Contract </w:t>
      </w:r>
      <w:r w:rsidR="00E64A2A">
        <w:rPr>
          <w:rFonts w:ascii="Arial" w:hAnsi="Arial" w:cs="Arial"/>
          <w:b/>
          <w:smallCaps/>
          <w:szCs w:val="24"/>
          <w:u w:val="single"/>
        </w:rPr>
        <w:t>R</w:t>
      </w:r>
      <w:r>
        <w:rPr>
          <w:rFonts w:ascii="Arial" w:hAnsi="Arial" w:cs="Arial"/>
          <w:b/>
          <w:smallCaps/>
          <w:szCs w:val="24"/>
          <w:u w:val="single"/>
        </w:rPr>
        <w:t>evenues</w:t>
      </w:r>
      <w:r w:rsidR="005808A8">
        <w:rPr>
          <w:rFonts w:ascii="Arial" w:hAnsi="Arial" w:cs="Arial"/>
          <w:b/>
          <w:smallCaps/>
          <w:szCs w:val="24"/>
          <w:u w:val="single"/>
        </w:rPr>
        <w:t xml:space="preserve">  </w:t>
      </w:r>
    </w:p>
    <w:p w14:paraId="137C8DDD" w14:textId="2C49BBF1" w:rsidR="0022296E" w:rsidRDefault="005808A8" w:rsidP="0036705B">
      <w:pPr>
        <w:spacing w:line="264" w:lineRule="auto"/>
        <w:contextualSpacing/>
        <w:jc w:val="both"/>
        <w:rPr>
          <w:rFonts w:ascii="Arial" w:hAnsi="Arial" w:cs="Arial"/>
          <w:b/>
          <w:smallCaps/>
          <w:szCs w:val="24"/>
          <w:u w:val="single"/>
        </w:rPr>
      </w:pPr>
      <w:r>
        <w:rPr>
          <w:rFonts w:ascii="Arial" w:hAnsi="Arial" w:cs="Arial"/>
          <w:b/>
          <w:smallCaps/>
          <w:szCs w:val="24"/>
          <w:u w:val="single"/>
        </w:rPr>
        <w:t>(</w:t>
      </w:r>
      <w:r w:rsidR="00E17A55">
        <w:rPr>
          <w:rFonts w:ascii="Arial" w:hAnsi="Arial" w:cs="Arial"/>
          <w:b/>
          <w:smallCaps/>
          <w:szCs w:val="24"/>
          <w:u w:val="single"/>
        </w:rPr>
        <w:t>Revenue Reduction of $</w:t>
      </w:r>
      <w:r w:rsidR="007B62CB">
        <w:rPr>
          <w:rFonts w:ascii="Arial" w:hAnsi="Arial" w:cs="Arial"/>
          <w:b/>
          <w:smallCaps/>
          <w:szCs w:val="24"/>
          <w:u w:val="single"/>
        </w:rPr>
        <w:t>21,218,060</w:t>
      </w:r>
      <w:r>
        <w:rPr>
          <w:rFonts w:ascii="Arial" w:hAnsi="Arial" w:cs="Arial"/>
          <w:b/>
          <w:smallCaps/>
          <w:szCs w:val="24"/>
          <w:u w:val="single"/>
        </w:rPr>
        <w:t>)</w:t>
      </w:r>
    </w:p>
    <w:p w14:paraId="2276D711" w14:textId="582C5494" w:rsidR="00407F1F" w:rsidRDefault="00407F1F" w:rsidP="0036705B">
      <w:pPr>
        <w:spacing w:line="264" w:lineRule="auto"/>
        <w:contextualSpacing/>
        <w:jc w:val="both"/>
        <w:rPr>
          <w:rFonts w:ascii="Arial" w:hAnsi="Arial" w:cs="Arial"/>
          <w:b/>
          <w:smallCaps/>
          <w:szCs w:val="24"/>
          <w:u w:val="single"/>
        </w:rPr>
      </w:pPr>
    </w:p>
    <w:p w14:paraId="734C1DEE" w14:textId="02557C5D" w:rsidR="003C244E" w:rsidRDefault="00B86547" w:rsidP="0036705B">
      <w:pPr>
        <w:spacing w:line="264" w:lineRule="auto"/>
        <w:jc w:val="both"/>
        <w:rPr>
          <w:rFonts w:ascii="Arial" w:hAnsi="Arial" w:cs="Arial"/>
        </w:rPr>
      </w:pPr>
      <w:r>
        <w:rPr>
          <w:rFonts w:ascii="Arial" w:hAnsi="Arial" w:cs="Arial"/>
          <w:szCs w:val="24"/>
        </w:rPr>
        <w:t>The County has contracts with the state Department of Correction</w:t>
      </w:r>
      <w:r w:rsidR="00C24226">
        <w:rPr>
          <w:rFonts w:ascii="Arial" w:hAnsi="Arial" w:cs="Arial"/>
          <w:szCs w:val="24"/>
        </w:rPr>
        <w:t>s (DOC)</w:t>
      </w:r>
      <w:r w:rsidR="00B353AE">
        <w:rPr>
          <w:rFonts w:ascii="Arial" w:hAnsi="Arial" w:cs="Arial"/>
          <w:szCs w:val="24"/>
        </w:rPr>
        <w:t xml:space="preserve">, the City of Seattle, and other cities to provide </w:t>
      </w:r>
      <w:r w:rsidR="003C244E">
        <w:rPr>
          <w:rFonts w:ascii="Arial" w:hAnsi="Arial" w:cs="Arial"/>
          <w:szCs w:val="24"/>
        </w:rPr>
        <w:t xml:space="preserve">jail services. For state </w:t>
      </w:r>
      <w:r w:rsidR="00C24226">
        <w:rPr>
          <w:rFonts w:ascii="Arial" w:hAnsi="Arial" w:cs="Arial"/>
          <w:szCs w:val="24"/>
        </w:rPr>
        <w:t xml:space="preserve">DOC </w:t>
      </w:r>
      <w:r w:rsidR="003C244E">
        <w:rPr>
          <w:rFonts w:ascii="Arial" w:hAnsi="Arial" w:cs="Arial"/>
          <w:szCs w:val="24"/>
        </w:rPr>
        <w:t>Community Corrections violators</w:t>
      </w:r>
      <w:r w:rsidR="005449B8">
        <w:rPr>
          <w:rFonts w:ascii="Arial" w:hAnsi="Arial" w:cs="Arial"/>
          <w:szCs w:val="24"/>
        </w:rPr>
        <w:t>,</w:t>
      </w:r>
      <w:r w:rsidR="003C244E">
        <w:rPr>
          <w:rFonts w:ascii="Arial" w:hAnsi="Arial" w:cs="Arial"/>
          <w:szCs w:val="24"/>
        </w:rPr>
        <w:t xml:space="preserve"> </w:t>
      </w:r>
      <w:r w:rsidR="00C24226">
        <w:rPr>
          <w:rFonts w:ascii="Arial" w:hAnsi="Arial" w:cs="Arial"/>
          <w:szCs w:val="24"/>
        </w:rPr>
        <w:t xml:space="preserve">the contract </w:t>
      </w:r>
      <w:r w:rsidR="003C244E">
        <w:rPr>
          <w:rFonts w:ascii="Arial" w:hAnsi="Arial" w:cs="Arial"/>
        </w:rPr>
        <w:t xml:space="preserve">includes an agreed daily rate for violators in county facilities, asks the state to pay for all inmates receiving medical or psychiatric services, and continues the </w:t>
      </w:r>
      <w:r w:rsidR="003C244E" w:rsidRPr="00AB19A5">
        <w:rPr>
          <w:rFonts w:ascii="Arial" w:hAnsi="Arial" w:cs="Arial"/>
        </w:rPr>
        <w:t>reciprocal bed use</w:t>
      </w:r>
      <w:r w:rsidR="003C244E">
        <w:rPr>
          <w:rFonts w:ascii="Arial" w:hAnsi="Arial" w:cs="Arial"/>
        </w:rPr>
        <w:t xml:space="preserve"> whereby the state</w:t>
      </w:r>
      <w:r w:rsidR="003C244E" w:rsidRPr="00AB19A5">
        <w:rPr>
          <w:rFonts w:ascii="Arial" w:hAnsi="Arial" w:cs="Arial"/>
        </w:rPr>
        <w:t xml:space="preserve"> may use 20 beds in King County work release facility</w:t>
      </w:r>
      <w:r w:rsidR="003C244E">
        <w:rPr>
          <w:rFonts w:ascii="Arial" w:hAnsi="Arial" w:cs="Arial"/>
        </w:rPr>
        <w:t xml:space="preserve"> in exchange for 30 beds in the state’s</w:t>
      </w:r>
      <w:r w:rsidR="003C244E" w:rsidRPr="00AB19A5">
        <w:rPr>
          <w:rFonts w:ascii="Arial" w:hAnsi="Arial" w:cs="Arial"/>
        </w:rPr>
        <w:t xml:space="preserve"> work release </w:t>
      </w:r>
      <w:r w:rsidR="005449B8">
        <w:rPr>
          <w:rFonts w:ascii="Arial" w:hAnsi="Arial" w:cs="Arial"/>
        </w:rPr>
        <w:t>facilities</w:t>
      </w:r>
      <w:r w:rsidR="003C244E">
        <w:rPr>
          <w:rFonts w:ascii="Arial" w:hAnsi="Arial" w:cs="Arial"/>
        </w:rPr>
        <w:t>.</w:t>
      </w:r>
      <w:r w:rsidR="003C244E" w:rsidRPr="00AB19A5">
        <w:rPr>
          <w:rFonts w:ascii="Arial" w:hAnsi="Arial" w:cs="Arial"/>
        </w:rPr>
        <w:t xml:space="preserve"> </w:t>
      </w:r>
      <w:r w:rsidR="009D115E">
        <w:rPr>
          <w:rFonts w:ascii="Arial" w:hAnsi="Arial" w:cs="Arial"/>
        </w:rPr>
        <w:t xml:space="preserve">The </w:t>
      </w:r>
      <w:r w:rsidR="009C3093">
        <w:rPr>
          <w:rFonts w:ascii="Arial" w:hAnsi="Arial" w:cs="Arial"/>
        </w:rPr>
        <w:t xml:space="preserve">city </w:t>
      </w:r>
      <w:r w:rsidR="009D115E">
        <w:rPr>
          <w:rFonts w:ascii="Arial" w:hAnsi="Arial" w:cs="Arial"/>
        </w:rPr>
        <w:t xml:space="preserve">contracts </w:t>
      </w:r>
      <w:r w:rsidR="00F06580">
        <w:rPr>
          <w:rFonts w:ascii="Arial" w:hAnsi="Arial" w:cs="Arial"/>
        </w:rPr>
        <w:t xml:space="preserve">contain agreements for the </w:t>
      </w:r>
      <w:r w:rsidR="003E4A5A">
        <w:rPr>
          <w:rFonts w:ascii="Arial" w:hAnsi="Arial" w:cs="Arial"/>
        </w:rPr>
        <w:t xml:space="preserve">payment </w:t>
      </w:r>
      <w:r w:rsidR="005449B8">
        <w:rPr>
          <w:rFonts w:ascii="Arial" w:hAnsi="Arial" w:cs="Arial"/>
        </w:rPr>
        <w:t xml:space="preserve">of </w:t>
      </w:r>
      <w:r w:rsidR="003E4A5A">
        <w:rPr>
          <w:rFonts w:ascii="Arial" w:hAnsi="Arial" w:cs="Arial"/>
        </w:rPr>
        <w:t>booking</w:t>
      </w:r>
      <w:r w:rsidR="00F06580">
        <w:rPr>
          <w:rFonts w:ascii="Arial" w:hAnsi="Arial" w:cs="Arial"/>
        </w:rPr>
        <w:t xml:space="preserve"> fees</w:t>
      </w:r>
      <w:r w:rsidR="003E4A5A">
        <w:rPr>
          <w:rFonts w:ascii="Arial" w:hAnsi="Arial" w:cs="Arial"/>
        </w:rPr>
        <w:t xml:space="preserve">, daily </w:t>
      </w:r>
      <w:r w:rsidR="00F06580">
        <w:rPr>
          <w:rFonts w:ascii="Arial" w:hAnsi="Arial" w:cs="Arial"/>
        </w:rPr>
        <w:t>fees</w:t>
      </w:r>
      <w:r w:rsidR="00750C75">
        <w:rPr>
          <w:rFonts w:ascii="Arial" w:hAnsi="Arial" w:cs="Arial"/>
        </w:rPr>
        <w:t xml:space="preserve">, and the costs for medical and psychiatric services.  </w:t>
      </w:r>
      <w:r w:rsidR="00F6713E">
        <w:rPr>
          <w:rFonts w:ascii="Arial" w:hAnsi="Arial" w:cs="Arial"/>
        </w:rPr>
        <w:t>The Adopted 2019-2020 Budget estimate</w:t>
      </w:r>
      <w:r w:rsidR="00EE32F0">
        <w:rPr>
          <w:rFonts w:ascii="Arial" w:hAnsi="Arial" w:cs="Arial"/>
        </w:rPr>
        <w:t>d</w:t>
      </w:r>
      <w:r w:rsidR="00F6713E">
        <w:rPr>
          <w:rFonts w:ascii="Arial" w:hAnsi="Arial" w:cs="Arial"/>
        </w:rPr>
        <w:t xml:space="preserve"> that state and city contract revenues would</w:t>
      </w:r>
      <w:r w:rsidR="001D19D7">
        <w:rPr>
          <w:rFonts w:ascii="Arial" w:hAnsi="Arial" w:cs="Arial"/>
        </w:rPr>
        <w:t xml:space="preserve"> have</w:t>
      </w:r>
      <w:r w:rsidR="00F6713E">
        <w:rPr>
          <w:rFonts w:ascii="Arial" w:hAnsi="Arial" w:cs="Arial"/>
        </w:rPr>
        <w:t xml:space="preserve"> total</w:t>
      </w:r>
      <w:r w:rsidR="001D19D7">
        <w:rPr>
          <w:rFonts w:ascii="Arial" w:hAnsi="Arial" w:cs="Arial"/>
        </w:rPr>
        <w:t>ed</w:t>
      </w:r>
      <w:r w:rsidR="00F6713E">
        <w:rPr>
          <w:rFonts w:ascii="Arial" w:hAnsi="Arial" w:cs="Arial"/>
        </w:rPr>
        <w:t xml:space="preserve"> $</w:t>
      </w:r>
      <w:r w:rsidR="00BF6DFE">
        <w:rPr>
          <w:rFonts w:ascii="Arial" w:hAnsi="Arial" w:cs="Arial"/>
        </w:rPr>
        <w:t>49.7 million.</w:t>
      </w:r>
    </w:p>
    <w:p w14:paraId="466D8EA6" w14:textId="77777777" w:rsidR="00C24226" w:rsidRDefault="00C24226" w:rsidP="0036705B">
      <w:pPr>
        <w:spacing w:line="264" w:lineRule="auto"/>
        <w:contextualSpacing/>
        <w:jc w:val="both"/>
        <w:rPr>
          <w:rFonts w:ascii="Arial" w:hAnsi="Arial" w:cs="Arial"/>
          <w:szCs w:val="24"/>
        </w:rPr>
      </w:pPr>
    </w:p>
    <w:p w14:paraId="05B30B6A" w14:textId="61054ADC" w:rsidR="00B86547" w:rsidRDefault="000C15C0" w:rsidP="0036705B">
      <w:pPr>
        <w:spacing w:line="264" w:lineRule="auto"/>
        <w:contextualSpacing/>
        <w:jc w:val="both"/>
        <w:rPr>
          <w:rFonts w:ascii="Arial" w:hAnsi="Arial" w:cs="Arial"/>
          <w:szCs w:val="24"/>
        </w:rPr>
      </w:pPr>
      <w:r>
        <w:rPr>
          <w:rFonts w:ascii="Arial" w:hAnsi="Arial" w:cs="Arial"/>
          <w:szCs w:val="24"/>
        </w:rPr>
        <w:t>As noted in the previous iss</w:t>
      </w:r>
      <w:r w:rsidR="002F3BE5">
        <w:rPr>
          <w:rFonts w:ascii="Arial" w:hAnsi="Arial" w:cs="Arial"/>
          <w:szCs w:val="24"/>
        </w:rPr>
        <w:t xml:space="preserve">ue, </w:t>
      </w:r>
      <w:r>
        <w:rPr>
          <w:rFonts w:ascii="Arial" w:hAnsi="Arial" w:cs="Arial"/>
          <w:szCs w:val="24"/>
        </w:rPr>
        <w:t xml:space="preserve">with onset of the COVID </w:t>
      </w:r>
      <w:r w:rsidR="00C537BE">
        <w:rPr>
          <w:rFonts w:ascii="Arial" w:hAnsi="Arial" w:cs="Arial"/>
          <w:szCs w:val="24"/>
        </w:rPr>
        <w:t>p</w:t>
      </w:r>
      <w:r>
        <w:rPr>
          <w:rFonts w:ascii="Arial" w:hAnsi="Arial" w:cs="Arial"/>
          <w:szCs w:val="24"/>
        </w:rPr>
        <w:t xml:space="preserve">andemic and the need to protect both inmates and staff in the jail, the department took several actions. </w:t>
      </w:r>
      <w:r w:rsidR="002F3BE5">
        <w:rPr>
          <w:rFonts w:ascii="Arial" w:hAnsi="Arial" w:cs="Arial"/>
          <w:szCs w:val="24"/>
        </w:rPr>
        <w:t xml:space="preserve">One of which was to limit the </w:t>
      </w:r>
      <w:r>
        <w:rPr>
          <w:rFonts w:ascii="Arial" w:hAnsi="Arial" w:cs="Arial"/>
          <w:szCs w:val="24"/>
        </w:rPr>
        <w:t xml:space="preserve">use for the jail for its contract partners--state Department of Corrections community supervision violators and city misdemeanants. As a result of these changes, </w:t>
      </w:r>
      <w:r w:rsidR="00A67B6B">
        <w:rPr>
          <w:rFonts w:ascii="Arial" w:hAnsi="Arial" w:cs="Arial"/>
          <w:szCs w:val="24"/>
        </w:rPr>
        <w:t xml:space="preserve">the </w:t>
      </w:r>
      <w:r w:rsidR="00EE32F0">
        <w:rPr>
          <w:rFonts w:ascii="Arial" w:hAnsi="Arial" w:cs="Arial"/>
          <w:szCs w:val="24"/>
        </w:rPr>
        <w:t xml:space="preserve">overall secure detention </w:t>
      </w:r>
      <w:r>
        <w:rPr>
          <w:rFonts w:ascii="Arial" w:hAnsi="Arial" w:cs="Arial"/>
          <w:szCs w:val="24"/>
        </w:rPr>
        <w:t xml:space="preserve">ADP dropped </w:t>
      </w:r>
      <w:r w:rsidR="008220B3">
        <w:rPr>
          <w:rFonts w:ascii="Arial" w:hAnsi="Arial" w:cs="Arial"/>
          <w:szCs w:val="24"/>
        </w:rPr>
        <w:t xml:space="preserve">significantly in 2020. </w:t>
      </w:r>
      <w:r w:rsidR="00A24A43">
        <w:rPr>
          <w:rFonts w:ascii="Arial" w:hAnsi="Arial" w:cs="Arial"/>
          <w:szCs w:val="24"/>
        </w:rPr>
        <w:t xml:space="preserve">The state had </w:t>
      </w:r>
      <w:r w:rsidR="001D1F09">
        <w:rPr>
          <w:rFonts w:ascii="Arial" w:hAnsi="Arial" w:cs="Arial"/>
          <w:szCs w:val="24"/>
        </w:rPr>
        <w:t>177 ADP in February 2020</w:t>
      </w:r>
      <w:r w:rsidR="00E442B9">
        <w:rPr>
          <w:rFonts w:ascii="Arial" w:hAnsi="Arial" w:cs="Arial"/>
          <w:szCs w:val="24"/>
        </w:rPr>
        <w:t>, dropping to one ADP for June, July, and August</w:t>
      </w:r>
      <w:r w:rsidR="00F022F1">
        <w:rPr>
          <w:rFonts w:ascii="Arial" w:hAnsi="Arial" w:cs="Arial"/>
          <w:szCs w:val="24"/>
        </w:rPr>
        <w:t>.  City use also declined</w:t>
      </w:r>
      <w:r w:rsidR="003E3C75">
        <w:rPr>
          <w:rFonts w:ascii="Arial" w:hAnsi="Arial" w:cs="Arial"/>
          <w:szCs w:val="24"/>
        </w:rPr>
        <w:t xml:space="preserve">, where </w:t>
      </w:r>
      <w:r w:rsidR="00EF57CB">
        <w:rPr>
          <w:rFonts w:ascii="Arial" w:hAnsi="Arial" w:cs="Arial"/>
          <w:szCs w:val="24"/>
        </w:rPr>
        <w:t xml:space="preserve">cities had 196 ADP in February 2020, declining to </w:t>
      </w:r>
      <w:r w:rsidR="00137F2B">
        <w:rPr>
          <w:rFonts w:ascii="Arial" w:hAnsi="Arial" w:cs="Arial"/>
          <w:szCs w:val="24"/>
        </w:rPr>
        <w:t>59 ADP in August (</w:t>
      </w:r>
      <w:r w:rsidR="00E2245C">
        <w:rPr>
          <w:rFonts w:ascii="Arial" w:hAnsi="Arial" w:cs="Arial"/>
          <w:szCs w:val="24"/>
        </w:rPr>
        <w:t xml:space="preserve">the City of Seattle accounted for 55 ADP). </w:t>
      </w:r>
      <w:r w:rsidR="00B86547">
        <w:rPr>
          <w:rFonts w:ascii="Arial" w:hAnsi="Arial" w:cs="Arial"/>
          <w:szCs w:val="24"/>
        </w:rPr>
        <w:t xml:space="preserve">During this timeframe, the department has also seen a significant </w:t>
      </w:r>
      <w:r w:rsidR="005652EE">
        <w:rPr>
          <w:rFonts w:ascii="Arial" w:hAnsi="Arial" w:cs="Arial"/>
          <w:szCs w:val="24"/>
        </w:rPr>
        <w:t>reduction of revenues</w:t>
      </w:r>
      <w:r w:rsidR="00BC2521">
        <w:rPr>
          <w:rFonts w:ascii="Arial" w:hAnsi="Arial" w:cs="Arial"/>
          <w:szCs w:val="24"/>
        </w:rPr>
        <w:t>.</w:t>
      </w:r>
      <w:r w:rsidR="00BC2521">
        <w:rPr>
          <w:rStyle w:val="FootnoteReference"/>
          <w:rFonts w:ascii="Arial" w:hAnsi="Arial" w:cs="Arial"/>
          <w:szCs w:val="24"/>
        </w:rPr>
        <w:footnoteReference w:id="5"/>
      </w:r>
      <w:r w:rsidR="005652EE">
        <w:rPr>
          <w:rFonts w:ascii="Arial" w:hAnsi="Arial" w:cs="Arial"/>
          <w:szCs w:val="24"/>
        </w:rPr>
        <w:t xml:space="preserve"> </w:t>
      </w:r>
    </w:p>
    <w:p w14:paraId="0F1AC818" w14:textId="77777777" w:rsidR="00B86547" w:rsidRDefault="00B86547" w:rsidP="0036705B">
      <w:pPr>
        <w:spacing w:line="264" w:lineRule="auto"/>
        <w:contextualSpacing/>
        <w:jc w:val="both"/>
        <w:rPr>
          <w:rFonts w:ascii="Arial" w:hAnsi="Arial" w:cs="Arial"/>
          <w:szCs w:val="24"/>
        </w:rPr>
      </w:pPr>
    </w:p>
    <w:p w14:paraId="37B5902D" w14:textId="5DC9C1FB" w:rsidR="00467E6C" w:rsidRPr="00467E6C" w:rsidRDefault="000C15C0" w:rsidP="0036705B">
      <w:pPr>
        <w:spacing w:line="264" w:lineRule="auto"/>
        <w:contextualSpacing/>
        <w:jc w:val="both"/>
        <w:rPr>
          <w:rFonts w:ascii="Arial" w:hAnsi="Arial" w:cs="Arial"/>
          <w:bCs/>
          <w:smallCaps/>
          <w:szCs w:val="24"/>
        </w:rPr>
      </w:pPr>
      <w:r>
        <w:rPr>
          <w:rFonts w:ascii="Arial" w:hAnsi="Arial" w:cs="Arial"/>
          <w:szCs w:val="24"/>
        </w:rPr>
        <w:t xml:space="preserve">Rather than using historic projections for the development of the department’s 2021-2022 population estimates </w:t>
      </w:r>
      <w:r w:rsidR="00A94599">
        <w:rPr>
          <w:rFonts w:ascii="Arial" w:hAnsi="Arial" w:cs="Arial"/>
          <w:szCs w:val="24"/>
        </w:rPr>
        <w:t xml:space="preserve">in developing </w:t>
      </w:r>
      <w:r w:rsidR="00EA2BFD">
        <w:rPr>
          <w:rFonts w:ascii="Arial" w:hAnsi="Arial" w:cs="Arial"/>
          <w:szCs w:val="24"/>
        </w:rPr>
        <w:t>th</w:t>
      </w:r>
      <w:r>
        <w:rPr>
          <w:rFonts w:ascii="Arial" w:hAnsi="Arial" w:cs="Arial"/>
          <w:szCs w:val="24"/>
        </w:rPr>
        <w:t>e department budget</w:t>
      </w:r>
      <w:r w:rsidR="00285B02">
        <w:rPr>
          <w:rFonts w:ascii="Arial" w:hAnsi="Arial" w:cs="Arial"/>
          <w:szCs w:val="24"/>
        </w:rPr>
        <w:t>, which would</w:t>
      </w:r>
      <w:r w:rsidR="00EA2BFD">
        <w:rPr>
          <w:rFonts w:ascii="Arial" w:hAnsi="Arial" w:cs="Arial"/>
          <w:szCs w:val="24"/>
        </w:rPr>
        <w:t xml:space="preserve"> have</w:t>
      </w:r>
      <w:r w:rsidR="00285B02">
        <w:rPr>
          <w:rFonts w:ascii="Arial" w:hAnsi="Arial" w:cs="Arial"/>
          <w:szCs w:val="24"/>
        </w:rPr>
        <w:t xml:space="preserve"> include</w:t>
      </w:r>
      <w:r w:rsidR="00EA2BFD">
        <w:rPr>
          <w:rFonts w:ascii="Arial" w:hAnsi="Arial" w:cs="Arial"/>
          <w:szCs w:val="24"/>
        </w:rPr>
        <w:t>d</w:t>
      </w:r>
      <w:r w:rsidR="00285B02">
        <w:rPr>
          <w:rFonts w:ascii="Arial" w:hAnsi="Arial" w:cs="Arial"/>
          <w:szCs w:val="24"/>
        </w:rPr>
        <w:t xml:space="preserve"> the continued historic</w:t>
      </w:r>
      <w:r w:rsidR="00240862">
        <w:rPr>
          <w:rFonts w:ascii="Arial" w:hAnsi="Arial" w:cs="Arial"/>
          <w:szCs w:val="24"/>
        </w:rPr>
        <w:t>a</w:t>
      </w:r>
      <w:r w:rsidR="00285B02">
        <w:rPr>
          <w:rFonts w:ascii="Arial" w:hAnsi="Arial" w:cs="Arial"/>
          <w:szCs w:val="24"/>
        </w:rPr>
        <w:t>l use of the jail by t</w:t>
      </w:r>
      <w:r w:rsidR="00240862">
        <w:rPr>
          <w:rFonts w:ascii="Arial" w:hAnsi="Arial" w:cs="Arial"/>
          <w:szCs w:val="24"/>
        </w:rPr>
        <w:t>he state and cities</w:t>
      </w:r>
      <w:r>
        <w:rPr>
          <w:rFonts w:ascii="Arial" w:hAnsi="Arial" w:cs="Arial"/>
          <w:szCs w:val="24"/>
        </w:rPr>
        <w:t xml:space="preserve">, </w:t>
      </w:r>
      <w:r w:rsidRPr="006427EA">
        <w:rPr>
          <w:rFonts w:ascii="Arial" w:hAnsi="Arial" w:cs="Arial"/>
          <w:szCs w:val="24"/>
        </w:rPr>
        <w:t xml:space="preserve">the Executive </w:t>
      </w:r>
      <w:r>
        <w:rPr>
          <w:rFonts w:ascii="Arial" w:hAnsi="Arial" w:cs="Arial"/>
          <w:szCs w:val="24"/>
        </w:rPr>
        <w:t xml:space="preserve">instead </w:t>
      </w:r>
      <w:r w:rsidR="00240862">
        <w:rPr>
          <w:rFonts w:ascii="Arial" w:hAnsi="Arial" w:cs="Arial"/>
          <w:szCs w:val="24"/>
        </w:rPr>
        <w:t xml:space="preserve">has </w:t>
      </w:r>
      <w:r w:rsidRPr="006427EA">
        <w:rPr>
          <w:rFonts w:ascii="Arial" w:hAnsi="Arial" w:cs="Arial"/>
          <w:szCs w:val="24"/>
        </w:rPr>
        <w:t xml:space="preserve">directed that </w:t>
      </w:r>
      <w:r w:rsidR="004B03B5">
        <w:rPr>
          <w:rFonts w:ascii="Arial" w:hAnsi="Arial" w:cs="Arial"/>
          <w:szCs w:val="24"/>
        </w:rPr>
        <w:t xml:space="preserve">the department </w:t>
      </w:r>
      <w:r w:rsidRPr="006427EA">
        <w:rPr>
          <w:rFonts w:ascii="Arial" w:hAnsi="Arial" w:cs="Arial"/>
          <w:szCs w:val="24"/>
        </w:rPr>
        <w:t xml:space="preserve">will maintain </w:t>
      </w:r>
      <w:r w:rsidR="004B03B5">
        <w:rPr>
          <w:rFonts w:ascii="Arial" w:hAnsi="Arial" w:cs="Arial"/>
          <w:szCs w:val="24"/>
        </w:rPr>
        <w:t xml:space="preserve">secure detention </w:t>
      </w:r>
      <w:r w:rsidRPr="006427EA">
        <w:rPr>
          <w:rFonts w:ascii="Arial" w:hAnsi="Arial" w:cs="Arial"/>
          <w:szCs w:val="24"/>
        </w:rPr>
        <w:t>ADP at the current level of 1</w:t>
      </w:r>
      <w:r>
        <w:rPr>
          <w:rFonts w:ascii="Arial" w:hAnsi="Arial" w:cs="Arial"/>
          <w:szCs w:val="24"/>
        </w:rPr>
        <w:t>,</w:t>
      </w:r>
      <w:r w:rsidRPr="006427EA">
        <w:rPr>
          <w:rFonts w:ascii="Arial" w:hAnsi="Arial" w:cs="Arial"/>
          <w:szCs w:val="24"/>
        </w:rPr>
        <w:t>300 to 1</w:t>
      </w:r>
      <w:r>
        <w:rPr>
          <w:rFonts w:ascii="Arial" w:hAnsi="Arial" w:cs="Arial"/>
          <w:szCs w:val="24"/>
        </w:rPr>
        <w:t>,</w:t>
      </w:r>
      <w:r w:rsidRPr="006427EA">
        <w:rPr>
          <w:rFonts w:ascii="Arial" w:hAnsi="Arial" w:cs="Arial"/>
          <w:szCs w:val="24"/>
        </w:rPr>
        <w:t xml:space="preserve">350 </w:t>
      </w:r>
      <w:r>
        <w:rPr>
          <w:rFonts w:ascii="Arial" w:hAnsi="Arial" w:cs="Arial"/>
          <w:szCs w:val="24"/>
        </w:rPr>
        <w:t xml:space="preserve">ADP even after a return </w:t>
      </w:r>
      <w:r w:rsidRPr="006427EA">
        <w:rPr>
          <w:rFonts w:ascii="Arial" w:hAnsi="Arial" w:cs="Arial"/>
          <w:szCs w:val="24"/>
        </w:rPr>
        <w:t>to normal operations</w:t>
      </w:r>
      <w:r>
        <w:rPr>
          <w:rFonts w:ascii="Arial" w:hAnsi="Arial" w:cs="Arial"/>
          <w:szCs w:val="24"/>
        </w:rPr>
        <w:t>.</w:t>
      </w:r>
      <w:r w:rsidR="00240862">
        <w:rPr>
          <w:rFonts w:ascii="Arial" w:hAnsi="Arial" w:cs="Arial"/>
          <w:szCs w:val="24"/>
        </w:rPr>
        <w:t xml:space="preserve">  As a consequence</w:t>
      </w:r>
      <w:r w:rsidR="0017544B">
        <w:rPr>
          <w:rFonts w:ascii="Arial" w:hAnsi="Arial" w:cs="Arial"/>
          <w:szCs w:val="24"/>
        </w:rPr>
        <w:t xml:space="preserve">, the department’s budget assumes that </w:t>
      </w:r>
      <w:r w:rsidR="00562241">
        <w:rPr>
          <w:rFonts w:ascii="Arial" w:hAnsi="Arial" w:cs="Arial"/>
          <w:szCs w:val="24"/>
        </w:rPr>
        <w:t xml:space="preserve">there will be no DOC </w:t>
      </w:r>
      <w:r w:rsidR="00C579E4">
        <w:rPr>
          <w:rFonts w:ascii="Arial" w:hAnsi="Arial" w:cs="Arial"/>
          <w:szCs w:val="24"/>
        </w:rPr>
        <w:t>violators housed in secure detention during the biennium</w:t>
      </w:r>
      <w:r w:rsidR="005074DD">
        <w:rPr>
          <w:rFonts w:ascii="Arial" w:hAnsi="Arial" w:cs="Arial"/>
          <w:szCs w:val="24"/>
        </w:rPr>
        <w:t xml:space="preserve"> (</w:t>
      </w:r>
      <w:r w:rsidR="00C579E4">
        <w:rPr>
          <w:rFonts w:ascii="Arial" w:hAnsi="Arial" w:cs="Arial"/>
          <w:szCs w:val="24"/>
        </w:rPr>
        <w:t xml:space="preserve">with a reduction in revenue of </w:t>
      </w:r>
      <w:r w:rsidR="00993671">
        <w:rPr>
          <w:rFonts w:ascii="Arial" w:hAnsi="Arial" w:cs="Arial"/>
          <w:szCs w:val="24"/>
        </w:rPr>
        <w:t>$7 million</w:t>
      </w:r>
      <w:r w:rsidR="00F36DD0">
        <w:rPr>
          <w:rFonts w:ascii="Arial" w:hAnsi="Arial" w:cs="Arial"/>
          <w:szCs w:val="24"/>
        </w:rPr>
        <w:t>)</w:t>
      </w:r>
      <w:r w:rsidR="00C51F04">
        <w:rPr>
          <w:rFonts w:ascii="Arial" w:hAnsi="Arial" w:cs="Arial"/>
          <w:szCs w:val="24"/>
        </w:rPr>
        <w:t xml:space="preserve"> a</w:t>
      </w:r>
      <w:r w:rsidR="00F10D8C">
        <w:rPr>
          <w:rFonts w:ascii="Arial" w:hAnsi="Arial" w:cs="Arial"/>
          <w:szCs w:val="24"/>
        </w:rPr>
        <w:t xml:space="preserve">nd that city numbers will also be kept at low numbers </w:t>
      </w:r>
      <w:r w:rsidR="009544C2">
        <w:rPr>
          <w:rFonts w:ascii="Arial" w:hAnsi="Arial" w:cs="Arial"/>
          <w:szCs w:val="24"/>
        </w:rPr>
        <w:t>(</w:t>
      </w:r>
      <w:r w:rsidR="00F10D8C">
        <w:rPr>
          <w:rFonts w:ascii="Arial" w:hAnsi="Arial" w:cs="Arial"/>
          <w:szCs w:val="24"/>
        </w:rPr>
        <w:t xml:space="preserve">with a </w:t>
      </w:r>
      <w:r w:rsidR="005074DD">
        <w:rPr>
          <w:rFonts w:ascii="Arial" w:hAnsi="Arial" w:cs="Arial"/>
          <w:szCs w:val="24"/>
        </w:rPr>
        <w:t xml:space="preserve">reduction of </w:t>
      </w:r>
      <w:r w:rsidR="00F36DD0">
        <w:rPr>
          <w:rFonts w:ascii="Arial" w:hAnsi="Arial" w:cs="Arial"/>
          <w:szCs w:val="24"/>
        </w:rPr>
        <w:t xml:space="preserve">about </w:t>
      </w:r>
      <w:r w:rsidR="00394D3B">
        <w:rPr>
          <w:rFonts w:ascii="Arial" w:hAnsi="Arial" w:cs="Arial"/>
          <w:szCs w:val="24"/>
        </w:rPr>
        <w:t>$</w:t>
      </w:r>
      <w:r w:rsidR="00C51F04">
        <w:rPr>
          <w:rFonts w:ascii="Arial" w:hAnsi="Arial" w:cs="Arial"/>
          <w:szCs w:val="24"/>
        </w:rPr>
        <w:t>14</w:t>
      </w:r>
      <w:r w:rsidR="00394D3B">
        <w:rPr>
          <w:rFonts w:ascii="Arial" w:hAnsi="Arial" w:cs="Arial"/>
          <w:szCs w:val="24"/>
        </w:rPr>
        <w:t xml:space="preserve"> million</w:t>
      </w:r>
      <w:r w:rsidR="009544C2">
        <w:rPr>
          <w:rFonts w:ascii="Arial" w:hAnsi="Arial" w:cs="Arial"/>
          <w:szCs w:val="24"/>
        </w:rPr>
        <w:t>)</w:t>
      </w:r>
      <w:r w:rsidR="00C51F04">
        <w:rPr>
          <w:rFonts w:ascii="Arial" w:hAnsi="Arial" w:cs="Arial"/>
          <w:szCs w:val="24"/>
        </w:rPr>
        <w:t xml:space="preserve"> for a total reduction of $21</w:t>
      </w:r>
      <w:r w:rsidR="00A928A2">
        <w:rPr>
          <w:rFonts w:ascii="Arial" w:hAnsi="Arial" w:cs="Arial"/>
          <w:szCs w:val="24"/>
        </w:rPr>
        <w:t>.2 million</w:t>
      </w:r>
      <w:r w:rsidR="001266BB">
        <w:rPr>
          <w:rFonts w:ascii="Arial" w:hAnsi="Arial" w:cs="Arial"/>
          <w:szCs w:val="24"/>
        </w:rPr>
        <w:t xml:space="preserve"> in contract revenue compared to 2019-2020</w:t>
      </w:r>
      <w:r w:rsidR="00A928A2">
        <w:rPr>
          <w:rFonts w:ascii="Arial" w:hAnsi="Arial" w:cs="Arial"/>
          <w:szCs w:val="24"/>
        </w:rPr>
        <w:t>.</w:t>
      </w:r>
    </w:p>
    <w:p w14:paraId="74A4CD5D" w14:textId="77777777" w:rsidR="00407F1F" w:rsidRPr="0030748D" w:rsidRDefault="00407F1F" w:rsidP="0036705B">
      <w:pPr>
        <w:spacing w:line="264" w:lineRule="auto"/>
        <w:rPr>
          <w:rFonts w:ascii="Arial" w:hAnsi="Arial" w:cs="Arial"/>
          <w:szCs w:val="24"/>
        </w:rPr>
      </w:pPr>
    </w:p>
    <w:p w14:paraId="27D5163E" w14:textId="77777777" w:rsidR="003F52BE" w:rsidRDefault="003F52BE" w:rsidP="0036705B">
      <w:pPr>
        <w:spacing w:line="264" w:lineRule="auto"/>
        <w:contextualSpacing/>
        <w:jc w:val="both"/>
        <w:rPr>
          <w:rFonts w:ascii="Arial" w:hAnsi="Arial" w:cs="Arial"/>
          <w:b/>
          <w:smallCaps/>
          <w:szCs w:val="24"/>
          <w:u w:val="single"/>
        </w:rPr>
      </w:pPr>
    </w:p>
    <w:p w14:paraId="3D381963" w14:textId="77777777" w:rsidR="003F52BE" w:rsidRDefault="003F52BE" w:rsidP="0036705B">
      <w:pPr>
        <w:spacing w:line="264" w:lineRule="auto"/>
        <w:contextualSpacing/>
        <w:jc w:val="both"/>
        <w:rPr>
          <w:rFonts w:ascii="Arial" w:hAnsi="Arial" w:cs="Arial"/>
          <w:b/>
          <w:smallCaps/>
          <w:szCs w:val="24"/>
          <w:u w:val="single"/>
        </w:rPr>
      </w:pPr>
    </w:p>
    <w:p w14:paraId="344192A9" w14:textId="77777777" w:rsidR="003F52BE" w:rsidRDefault="003F52BE" w:rsidP="0036705B">
      <w:pPr>
        <w:spacing w:line="264" w:lineRule="auto"/>
        <w:contextualSpacing/>
        <w:jc w:val="both"/>
        <w:rPr>
          <w:rFonts w:ascii="Arial" w:hAnsi="Arial" w:cs="Arial"/>
          <w:b/>
          <w:smallCaps/>
          <w:szCs w:val="24"/>
          <w:u w:val="single"/>
        </w:rPr>
      </w:pPr>
    </w:p>
    <w:p w14:paraId="55833673" w14:textId="2C32CF25" w:rsidR="00F8446B" w:rsidRDefault="00F8446B" w:rsidP="0036705B">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4</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 xml:space="preserve">Work </w:t>
      </w:r>
      <w:r w:rsidR="00C537BE">
        <w:rPr>
          <w:rFonts w:ascii="Arial" w:hAnsi="Arial" w:cs="Arial"/>
          <w:b/>
          <w:smallCaps/>
          <w:szCs w:val="24"/>
          <w:u w:val="single"/>
        </w:rPr>
        <w:t>E</w:t>
      </w:r>
      <w:r>
        <w:rPr>
          <w:rFonts w:ascii="Arial" w:hAnsi="Arial" w:cs="Arial"/>
          <w:b/>
          <w:smallCaps/>
          <w:szCs w:val="24"/>
          <w:u w:val="single"/>
        </w:rPr>
        <w:t xml:space="preserve">ducation Release Closure </w:t>
      </w:r>
      <w:r w:rsidR="005808A8">
        <w:rPr>
          <w:rFonts w:ascii="Arial" w:hAnsi="Arial" w:cs="Arial"/>
          <w:b/>
          <w:smallCaps/>
          <w:szCs w:val="24"/>
          <w:u w:val="single"/>
        </w:rPr>
        <w:t>(</w:t>
      </w:r>
      <w:r w:rsidR="00E17A55">
        <w:rPr>
          <w:rFonts w:ascii="Arial" w:hAnsi="Arial" w:cs="Arial"/>
          <w:b/>
          <w:smallCaps/>
          <w:szCs w:val="24"/>
          <w:u w:val="single"/>
        </w:rPr>
        <w:t xml:space="preserve">Reduction </w:t>
      </w:r>
      <w:r w:rsidR="00E34DFF">
        <w:rPr>
          <w:rFonts w:ascii="Arial" w:hAnsi="Arial" w:cs="Arial"/>
          <w:b/>
          <w:smallCaps/>
          <w:szCs w:val="24"/>
          <w:u w:val="single"/>
        </w:rPr>
        <w:t>$2,688,986 &amp; 11.0 FTEs</w:t>
      </w:r>
      <w:r w:rsidR="005808A8">
        <w:rPr>
          <w:rFonts w:ascii="Arial" w:hAnsi="Arial" w:cs="Arial"/>
          <w:b/>
          <w:smallCaps/>
          <w:szCs w:val="24"/>
          <w:u w:val="single"/>
        </w:rPr>
        <w:t xml:space="preserve"> and </w:t>
      </w:r>
      <w:r w:rsidR="00E34DFF">
        <w:rPr>
          <w:rFonts w:ascii="Arial" w:hAnsi="Arial" w:cs="Arial"/>
          <w:b/>
          <w:smallCaps/>
          <w:szCs w:val="24"/>
          <w:u w:val="single"/>
        </w:rPr>
        <w:t>$100,000 revenue reduction</w:t>
      </w:r>
      <w:r w:rsidR="009C34FF">
        <w:rPr>
          <w:rFonts w:ascii="Arial" w:hAnsi="Arial" w:cs="Arial"/>
          <w:b/>
          <w:smallCaps/>
          <w:szCs w:val="24"/>
          <w:u w:val="single"/>
        </w:rPr>
        <w:t>)</w:t>
      </w:r>
    </w:p>
    <w:p w14:paraId="1CF81761" w14:textId="77777777" w:rsidR="001266BB" w:rsidRDefault="001266BB" w:rsidP="0036705B">
      <w:pPr>
        <w:spacing w:line="264" w:lineRule="auto"/>
        <w:contextualSpacing/>
        <w:jc w:val="both"/>
        <w:rPr>
          <w:rFonts w:ascii="Arial" w:hAnsi="Arial" w:cs="Arial"/>
          <w:b/>
          <w:smallCaps/>
          <w:szCs w:val="24"/>
          <w:u w:val="single"/>
        </w:rPr>
      </w:pPr>
    </w:p>
    <w:p w14:paraId="6279904B" w14:textId="343172B8" w:rsidR="00F436D1" w:rsidRPr="004141A1" w:rsidRDefault="001266BB" w:rsidP="0036705B">
      <w:pPr>
        <w:spacing w:line="264" w:lineRule="auto"/>
        <w:jc w:val="both"/>
        <w:rPr>
          <w:rFonts w:ascii="Arial" w:hAnsi="Arial" w:cs="Arial"/>
          <w:color w:val="23221F"/>
          <w:szCs w:val="24"/>
          <w:lang w:val="en"/>
        </w:rPr>
      </w:pPr>
      <w:r>
        <w:rPr>
          <w:rFonts w:ascii="Arial" w:hAnsi="Arial" w:cs="Arial"/>
          <w:color w:val="23221F"/>
          <w:szCs w:val="24"/>
          <w:lang w:val="en"/>
        </w:rPr>
        <w:t>T</w:t>
      </w:r>
      <w:r w:rsidR="00F436D1" w:rsidRPr="004141A1">
        <w:rPr>
          <w:rFonts w:ascii="Arial" w:hAnsi="Arial" w:cs="Arial"/>
          <w:color w:val="23221F"/>
          <w:szCs w:val="24"/>
          <w:lang w:val="en"/>
        </w:rPr>
        <w:t>he Community Corrections Division operates the Work/Education Release (WER) Program which is an alcohol and drug free residential alternative for offenders who are employed or are in one of the County's special treatment courts. When not at work or treatment, offenders are required to be in the WER facility. Offenders are involved in a case management process that directs them to structured programs and/or treatment.  The program operates primarily with 79 beds on the 10</w:t>
      </w:r>
      <w:r w:rsidR="00F436D1" w:rsidRPr="004141A1">
        <w:rPr>
          <w:rFonts w:ascii="Arial" w:hAnsi="Arial" w:cs="Arial"/>
          <w:color w:val="23221F"/>
          <w:szCs w:val="24"/>
          <w:vertAlign w:val="superscript"/>
          <w:lang w:val="en"/>
        </w:rPr>
        <w:t>th</w:t>
      </w:r>
      <w:r w:rsidR="00F436D1" w:rsidRPr="004141A1">
        <w:rPr>
          <w:rFonts w:ascii="Arial" w:hAnsi="Arial" w:cs="Arial"/>
          <w:color w:val="23221F"/>
          <w:szCs w:val="24"/>
          <w:lang w:val="en"/>
        </w:rPr>
        <w:t xml:space="preserve"> floor of the King County Courthouse and 28 shared beds with the state Department of Corrections (two locations with 20 beds for men and eight for women). Participants can be pre-adjudicated or sentenced misdemeanants or felons.</w:t>
      </w:r>
    </w:p>
    <w:p w14:paraId="6CA16ECD" w14:textId="77777777" w:rsidR="00F436D1" w:rsidRPr="004141A1" w:rsidRDefault="00F436D1" w:rsidP="0036705B">
      <w:pPr>
        <w:spacing w:line="264" w:lineRule="auto"/>
        <w:jc w:val="both"/>
        <w:rPr>
          <w:rFonts w:ascii="Arial" w:hAnsi="Arial" w:cs="Arial"/>
          <w:szCs w:val="24"/>
        </w:rPr>
      </w:pPr>
    </w:p>
    <w:p w14:paraId="7F6855F5" w14:textId="34905FBA" w:rsidR="00F436D1" w:rsidRDefault="00F436D1" w:rsidP="0036705B">
      <w:pPr>
        <w:spacing w:line="264" w:lineRule="auto"/>
        <w:jc w:val="both"/>
        <w:rPr>
          <w:rFonts w:ascii="Arial" w:hAnsi="Arial" w:cs="Arial"/>
          <w:szCs w:val="24"/>
        </w:rPr>
      </w:pPr>
      <w:r w:rsidRPr="004141A1">
        <w:rPr>
          <w:rFonts w:ascii="Arial" w:hAnsi="Arial" w:cs="Arial"/>
          <w:szCs w:val="24"/>
        </w:rPr>
        <w:t xml:space="preserve">The 2015-16 </w:t>
      </w:r>
      <w:r w:rsidRPr="004141A1">
        <w:rPr>
          <w:rFonts w:ascii="Arial" w:eastAsia="Calibri" w:hAnsi="Arial" w:cs="Arial"/>
          <w:szCs w:val="24"/>
        </w:rPr>
        <w:t xml:space="preserve">Adopted Budget reduced this program by cutting WER population by approximately half. </w:t>
      </w:r>
      <w:r w:rsidRPr="004141A1">
        <w:rPr>
          <w:rFonts w:ascii="Arial" w:hAnsi="Arial" w:cs="Arial"/>
          <w:szCs w:val="24"/>
        </w:rPr>
        <w:t xml:space="preserve">  The reduction was achieved by limiting the court’s ability to use the alternative for only employed offenders and Drug Court participants—it had previously been open to any person.</w:t>
      </w:r>
      <w:r w:rsidR="009E106A">
        <w:rPr>
          <w:rFonts w:ascii="Arial" w:hAnsi="Arial" w:cs="Arial"/>
          <w:szCs w:val="24"/>
        </w:rPr>
        <w:t xml:space="preserve">  </w:t>
      </w:r>
      <w:r w:rsidRPr="004141A1">
        <w:rPr>
          <w:rFonts w:ascii="Arial" w:hAnsi="Arial" w:cs="Arial"/>
          <w:szCs w:val="24"/>
        </w:rPr>
        <w:t>The Executive’s Proposed 2017-18 Budget included the elimination</w:t>
      </w:r>
      <w:r w:rsidRPr="004141A1">
        <w:rPr>
          <w:rFonts w:ascii="Arial" w:eastAsia="Calibri" w:hAnsi="Arial" w:cs="Arial"/>
          <w:szCs w:val="24"/>
        </w:rPr>
        <w:t xml:space="preserve"> of the Community Corrections Division’s Work/Education</w:t>
      </w:r>
      <w:r w:rsidR="00B961D5">
        <w:rPr>
          <w:rFonts w:ascii="Arial" w:eastAsia="Calibri" w:hAnsi="Arial" w:cs="Arial"/>
          <w:szCs w:val="24"/>
        </w:rPr>
        <w:t xml:space="preserve"> Release program</w:t>
      </w:r>
      <w:r w:rsidRPr="004141A1">
        <w:rPr>
          <w:rFonts w:ascii="Arial" w:eastAsia="Calibri" w:hAnsi="Arial" w:cs="Arial"/>
          <w:szCs w:val="24"/>
        </w:rPr>
        <w:t>.</w:t>
      </w:r>
      <w:r w:rsidRPr="004141A1">
        <w:rPr>
          <w:rFonts w:ascii="Arial" w:hAnsi="Arial" w:cs="Arial"/>
          <w:szCs w:val="24"/>
        </w:rPr>
        <w:t xml:space="preserve">  The King County Council revised this proposal in the 2017-18 Adopted Budget to continue </w:t>
      </w:r>
      <w:r w:rsidRPr="004141A1">
        <w:rPr>
          <w:rFonts w:ascii="Arial" w:eastAsia="Calibri" w:hAnsi="Arial" w:cs="Arial"/>
          <w:szCs w:val="24"/>
        </w:rPr>
        <w:t>Work/Education Release</w:t>
      </w:r>
      <w:r w:rsidRPr="004141A1">
        <w:rPr>
          <w:rFonts w:ascii="Arial" w:hAnsi="Arial" w:cs="Arial"/>
          <w:szCs w:val="24"/>
        </w:rPr>
        <w:t xml:space="preserve"> operations </w:t>
      </w:r>
      <w:r w:rsidR="0023544C">
        <w:rPr>
          <w:rFonts w:ascii="Arial" w:hAnsi="Arial" w:cs="Arial"/>
          <w:szCs w:val="24"/>
        </w:rPr>
        <w:t xml:space="preserve">through </w:t>
      </w:r>
      <w:r w:rsidR="00E10D6F">
        <w:rPr>
          <w:rFonts w:ascii="Arial" w:hAnsi="Arial" w:cs="Arial"/>
          <w:szCs w:val="24"/>
        </w:rPr>
        <w:t xml:space="preserve">2017, with a potential closure </w:t>
      </w:r>
      <w:r w:rsidRPr="004141A1">
        <w:rPr>
          <w:rFonts w:ascii="Arial" w:hAnsi="Arial" w:cs="Arial"/>
          <w:szCs w:val="24"/>
        </w:rPr>
        <w:t xml:space="preserve">sometime in 2018. In addition, the Council included in the 2017-18 Adopted Budget a proviso in the Office of Performance, Strategy and Budget (PSB) budget to analyze options for providing WER and EHD programs as an alternative to the potential program closure in 2018. </w:t>
      </w:r>
    </w:p>
    <w:p w14:paraId="2E5D7694" w14:textId="77777777" w:rsidR="00E10D6F" w:rsidRPr="004141A1" w:rsidRDefault="00E10D6F" w:rsidP="0036705B">
      <w:pPr>
        <w:spacing w:line="264" w:lineRule="auto"/>
        <w:jc w:val="both"/>
        <w:rPr>
          <w:rFonts w:ascii="Arial" w:hAnsi="Arial" w:cs="Arial"/>
          <w:szCs w:val="24"/>
        </w:rPr>
      </w:pPr>
    </w:p>
    <w:p w14:paraId="5AC66CD2" w14:textId="28A89C1B" w:rsidR="002D349E" w:rsidRDefault="00F436D1" w:rsidP="0036705B">
      <w:pPr>
        <w:spacing w:line="264" w:lineRule="auto"/>
        <w:jc w:val="both"/>
        <w:rPr>
          <w:rFonts w:ascii="Arial" w:hAnsi="Arial" w:cs="Arial"/>
          <w:szCs w:val="24"/>
        </w:rPr>
      </w:pPr>
      <w:r w:rsidRPr="00314A03">
        <w:rPr>
          <w:rFonts w:ascii="Arial" w:hAnsi="Arial" w:cs="Arial"/>
          <w:szCs w:val="24"/>
        </w:rPr>
        <w:t>The Executive transmitted the required motion and the report entitled “Work Education Release and Electronic Home Detention Options for King County Proviso Response” on April 28, 2017.  The report contained both short</w:t>
      </w:r>
      <w:r>
        <w:rPr>
          <w:rFonts w:ascii="Arial" w:hAnsi="Arial" w:cs="Arial"/>
          <w:szCs w:val="24"/>
        </w:rPr>
        <w:t xml:space="preserve">- </w:t>
      </w:r>
      <w:r w:rsidRPr="00314A03">
        <w:rPr>
          <w:rFonts w:ascii="Arial" w:hAnsi="Arial" w:cs="Arial"/>
          <w:szCs w:val="24"/>
        </w:rPr>
        <w:t>and long</w:t>
      </w:r>
      <w:r>
        <w:rPr>
          <w:rFonts w:ascii="Arial" w:hAnsi="Arial" w:cs="Arial"/>
          <w:szCs w:val="24"/>
        </w:rPr>
        <w:t>-</w:t>
      </w:r>
      <w:r w:rsidRPr="00314A03">
        <w:rPr>
          <w:rFonts w:ascii="Arial" w:hAnsi="Arial" w:cs="Arial"/>
          <w:szCs w:val="24"/>
        </w:rPr>
        <w:t xml:space="preserve">term recommendations to support these alternatives programs. </w:t>
      </w:r>
    </w:p>
    <w:p w14:paraId="3CC16B64" w14:textId="77777777" w:rsidR="00C7497F" w:rsidRDefault="00C7497F" w:rsidP="0036705B">
      <w:pPr>
        <w:spacing w:line="264" w:lineRule="auto"/>
        <w:jc w:val="both"/>
        <w:rPr>
          <w:rFonts w:ascii="Arial" w:hAnsi="Arial" w:cs="Arial"/>
        </w:rPr>
      </w:pPr>
    </w:p>
    <w:p w14:paraId="57BC6988" w14:textId="5881F280" w:rsidR="0035303D" w:rsidRDefault="00F436D1" w:rsidP="0036705B">
      <w:pPr>
        <w:spacing w:line="264" w:lineRule="auto"/>
        <w:jc w:val="both"/>
        <w:rPr>
          <w:rFonts w:ascii="Arial" w:hAnsi="Arial" w:cs="Arial"/>
        </w:rPr>
      </w:pPr>
      <w:r>
        <w:rPr>
          <w:rFonts w:ascii="Arial" w:hAnsi="Arial" w:cs="Arial"/>
        </w:rPr>
        <w:t>Recognizing the importance of maintaining viable alternatives to secure detention, the Council created the Special Committee on Alternatives to Secure Detention in 2017</w:t>
      </w:r>
      <w:r w:rsidR="00212380">
        <w:rPr>
          <w:rFonts w:ascii="Arial" w:hAnsi="Arial" w:cs="Arial"/>
        </w:rPr>
        <w:t xml:space="preserve"> with a goal of identifying </w:t>
      </w:r>
      <w:r w:rsidR="006A3381">
        <w:rPr>
          <w:rFonts w:ascii="Arial" w:hAnsi="Arial" w:cs="Arial"/>
        </w:rPr>
        <w:t xml:space="preserve">interim and long-term options to keep the WER program open. </w:t>
      </w:r>
      <w:r>
        <w:rPr>
          <w:rFonts w:ascii="Arial" w:hAnsi="Arial" w:cs="Arial"/>
        </w:rPr>
        <w:t>The Committee’s initial meetings included briefings on the WER and EHD programs, along with all Community Corrections Division programs. Additionally, at several meetings, members were briefed by FMD staff on the types of facility options that might be considered for the relocation of the programs. The Committee also reviewed FMDs estimated costs and timelines for a Master Planning effort for both the short-term and long-term relocation of the Work/Release facility.</w:t>
      </w:r>
      <w:r w:rsidR="00170CB9">
        <w:rPr>
          <w:rFonts w:ascii="Arial" w:hAnsi="Arial" w:cs="Arial"/>
        </w:rPr>
        <w:t xml:space="preserve"> </w:t>
      </w:r>
      <w:r>
        <w:rPr>
          <w:rFonts w:ascii="Arial" w:hAnsi="Arial" w:cs="Arial"/>
        </w:rPr>
        <w:t>At its September 27, 2017 meeting, the Committee adopted Motion 14972 which accepted the WER and EHD proviso report, but also amended the motion to include policy guidance for the continuation of the EHD and WER programs. The Committee amended the motion to include the following policy statement</w:t>
      </w:r>
      <w:r w:rsidR="0035303D">
        <w:rPr>
          <w:rFonts w:ascii="Arial" w:hAnsi="Arial" w:cs="Arial"/>
        </w:rPr>
        <w:t>:</w:t>
      </w:r>
    </w:p>
    <w:p w14:paraId="39F09074" w14:textId="77777777" w:rsidR="0035303D" w:rsidRDefault="0035303D" w:rsidP="0036705B">
      <w:pPr>
        <w:spacing w:line="264" w:lineRule="auto"/>
        <w:jc w:val="both"/>
        <w:rPr>
          <w:rFonts w:ascii="Arial" w:hAnsi="Arial" w:cs="Arial"/>
        </w:rPr>
      </w:pPr>
    </w:p>
    <w:p w14:paraId="79DBF0F5" w14:textId="77777777" w:rsidR="0035303D" w:rsidRDefault="00F436D1" w:rsidP="0036705B">
      <w:pPr>
        <w:spacing w:line="264" w:lineRule="auto"/>
        <w:ind w:left="720" w:right="720"/>
        <w:jc w:val="both"/>
        <w:rPr>
          <w:rFonts w:ascii="Arial" w:hAnsi="Arial" w:cs="Arial"/>
        </w:rPr>
      </w:pPr>
      <w:r>
        <w:rPr>
          <w:rFonts w:ascii="Arial" w:hAnsi="Arial" w:cs="Arial"/>
          <w:lang w:bidi="en-US"/>
        </w:rPr>
        <w:lastRenderedPageBreak/>
        <w:t>“</w:t>
      </w:r>
      <w:r w:rsidRPr="008330E9">
        <w:rPr>
          <w:rFonts w:ascii="Arial" w:hAnsi="Arial" w:cs="Arial"/>
        </w:rPr>
        <w:t xml:space="preserve">King County’s work </w:t>
      </w:r>
      <w:r>
        <w:rPr>
          <w:rFonts w:ascii="Arial" w:hAnsi="Arial" w:cs="Arial"/>
        </w:rPr>
        <w:t>education/</w:t>
      </w:r>
      <w:r w:rsidRPr="008330E9">
        <w:rPr>
          <w:rFonts w:ascii="Arial" w:hAnsi="Arial" w:cs="Arial"/>
        </w:rPr>
        <w:t>release and electronic home detention programs will be part of a continuum of programs that provide alternatives to incarceration, help reduce recidivism and racial disproportionality in the criminal justice system, and improve public safety.</w:t>
      </w:r>
      <w:r w:rsidR="004F48D3">
        <w:rPr>
          <w:rFonts w:ascii="Arial" w:hAnsi="Arial" w:cs="Arial"/>
        </w:rPr>
        <w:t xml:space="preserve">” </w:t>
      </w:r>
      <w:r w:rsidRPr="008330E9">
        <w:rPr>
          <w:rFonts w:ascii="Arial" w:hAnsi="Arial" w:cs="Arial"/>
        </w:rPr>
        <w:t xml:space="preserve">  </w:t>
      </w:r>
    </w:p>
    <w:p w14:paraId="78AF8AB5" w14:textId="77777777" w:rsidR="0035303D" w:rsidRDefault="0035303D" w:rsidP="0036705B">
      <w:pPr>
        <w:spacing w:line="264" w:lineRule="auto"/>
        <w:jc w:val="both"/>
        <w:rPr>
          <w:rFonts w:ascii="Arial" w:hAnsi="Arial" w:cs="Arial"/>
        </w:rPr>
      </w:pPr>
    </w:p>
    <w:p w14:paraId="7CA37C73" w14:textId="30D6283B" w:rsidR="00F436D1" w:rsidRDefault="00F436D1" w:rsidP="0036705B">
      <w:pPr>
        <w:spacing w:line="264" w:lineRule="auto"/>
        <w:jc w:val="both"/>
        <w:rPr>
          <w:rFonts w:ascii="Arial" w:hAnsi="Arial" w:cs="Arial"/>
        </w:rPr>
      </w:pPr>
      <w:r>
        <w:rPr>
          <w:rFonts w:ascii="Arial" w:hAnsi="Arial" w:cs="Arial"/>
        </w:rPr>
        <w:t xml:space="preserve">In </w:t>
      </w:r>
      <w:r w:rsidR="004F48D3">
        <w:rPr>
          <w:rFonts w:ascii="Arial" w:hAnsi="Arial" w:cs="Arial"/>
        </w:rPr>
        <w:t xml:space="preserve">addition, </w:t>
      </w:r>
      <w:r>
        <w:rPr>
          <w:rFonts w:ascii="Arial" w:hAnsi="Arial" w:cs="Arial"/>
        </w:rPr>
        <w:t xml:space="preserve">the Committee agreed with the proviso workgroup and acknowledged that the WER program should be continued through the </w:t>
      </w:r>
      <w:r w:rsidR="00270758">
        <w:rPr>
          <w:rFonts w:ascii="Arial" w:hAnsi="Arial" w:cs="Arial"/>
        </w:rPr>
        <w:t>2017-2018</w:t>
      </w:r>
      <w:r>
        <w:rPr>
          <w:rFonts w:ascii="Arial" w:hAnsi="Arial" w:cs="Arial"/>
        </w:rPr>
        <w:t xml:space="preserve"> biennium. As a result, the Executive included in the 2017-18 </w:t>
      </w:r>
      <w:r w:rsidR="00891AB4">
        <w:rPr>
          <w:rFonts w:ascii="Arial" w:hAnsi="Arial" w:cs="Arial"/>
        </w:rPr>
        <w:t>Second Omnibus</w:t>
      </w:r>
      <w:r>
        <w:rPr>
          <w:rFonts w:ascii="Arial" w:hAnsi="Arial" w:cs="Arial"/>
        </w:rPr>
        <w:t xml:space="preserve">, a request for additional expenditure authority of $1.4 million ($461,000 revenue) for the WER program. The Council agreed to the request and, adopted in Ordinance 18602, the increase in the authority for WER funding, at existing operational levels, to maintain the program through 2018. </w:t>
      </w:r>
      <w:r w:rsidR="00270758">
        <w:rPr>
          <w:rFonts w:ascii="Arial" w:hAnsi="Arial" w:cs="Arial"/>
        </w:rPr>
        <w:t xml:space="preserve">The WER program </w:t>
      </w:r>
      <w:r w:rsidR="00481E21">
        <w:rPr>
          <w:rFonts w:ascii="Arial" w:hAnsi="Arial" w:cs="Arial"/>
        </w:rPr>
        <w:t>was funded at these same levels for the 2019-2020 biennium.</w:t>
      </w:r>
    </w:p>
    <w:p w14:paraId="0C10E8B0" w14:textId="77777777" w:rsidR="00A6156D" w:rsidRDefault="00A6156D" w:rsidP="0036705B">
      <w:pPr>
        <w:spacing w:line="264" w:lineRule="auto"/>
        <w:jc w:val="both"/>
        <w:rPr>
          <w:rFonts w:ascii="Arial" w:hAnsi="Arial" w:cs="Arial"/>
        </w:rPr>
      </w:pPr>
      <w:r>
        <w:rPr>
          <w:rFonts w:ascii="Arial" w:hAnsi="Arial" w:cs="Arial"/>
        </w:rPr>
        <w:t xml:space="preserve"> </w:t>
      </w:r>
    </w:p>
    <w:p w14:paraId="2C06AA92" w14:textId="68CBB9D5" w:rsidR="001C6D9B" w:rsidRPr="00054550" w:rsidRDefault="00481E21" w:rsidP="0036705B">
      <w:pPr>
        <w:spacing w:line="264" w:lineRule="auto"/>
        <w:jc w:val="both"/>
        <w:rPr>
          <w:rFonts w:ascii="Arial" w:hAnsi="Arial" w:cs="Arial"/>
          <w:szCs w:val="24"/>
        </w:rPr>
      </w:pPr>
      <w:r>
        <w:rPr>
          <w:rFonts w:ascii="Arial" w:hAnsi="Arial" w:cs="Arial"/>
          <w:szCs w:val="24"/>
        </w:rPr>
        <w:t xml:space="preserve">With onset of the COVID </w:t>
      </w:r>
      <w:r w:rsidR="00A6156D">
        <w:rPr>
          <w:rFonts w:ascii="Arial" w:hAnsi="Arial" w:cs="Arial"/>
          <w:szCs w:val="24"/>
        </w:rPr>
        <w:t>p</w:t>
      </w:r>
      <w:r>
        <w:rPr>
          <w:rFonts w:ascii="Arial" w:hAnsi="Arial" w:cs="Arial"/>
          <w:szCs w:val="24"/>
        </w:rPr>
        <w:t xml:space="preserve">andemic and the need to protect both inmates and staff in the jail, the department took several actions. </w:t>
      </w:r>
      <w:r w:rsidR="001C6D9B">
        <w:rPr>
          <w:rFonts w:ascii="Arial" w:hAnsi="Arial" w:cs="Arial"/>
          <w:szCs w:val="24"/>
        </w:rPr>
        <w:t>One of these actions was to close the WER program. DAJD reports that it</w:t>
      </w:r>
      <w:r w:rsidR="00CF7E08" w:rsidRPr="001C6D9B">
        <w:rPr>
          <w:rFonts w:ascii="Arial" w:hAnsi="Arial" w:cs="Arial"/>
          <w:szCs w:val="24"/>
        </w:rPr>
        <w:t xml:space="preserve"> released individuals from WER gradually over the 3</w:t>
      </w:r>
      <w:r w:rsidR="00CF7E08" w:rsidRPr="001C6D9B">
        <w:rPr>
          <w:rFonts w:ascii="Arial" w:hAnsi="Arial" w:cs="Arial"/>
          <w:szCs w:val="24"/>
          <w:vertAlign w:val="superscript"/>
        </w:rPr>
        <w:t>rd</w:t>
      </w:r>
      <w:r w:rsidR="00CF7E08" w:rsidRPr="001C6D9B">
        <w:rPr>
          <w:rFonts w:ascii="Arial" w:hAnsi="Arial" w:cs="Arial"/>
          <w:szCs w:val="24"/>
        </w:rPr>
        <w:t xml:space="preserve"> and 4</w:t>
      </w:r>
      <w:r w:rsidR="00CF7E08" w:rsidRPr="001C6D9B">
        <w:rPr>
          <w:rFonts w:ascii="Arial" w:hAnsi="Arial" w:cs="Arial"/>
          <w:szCs w:val="24"/>
          <w:vertAlign w:val="superscript"/>
        </w:rPr>
        <w:t>th</w:t>
      </w:r>
      <w:r w:rsidR="00CF7E08" w:rsidRPr="001C6D9B">
        <w:rPr>
          <w:rFonts w:ascii="Arial" w:hAnsi="Arial" w:cs="Arial"/>
          <w:szCs w:val="24"/>
        </w:rPr>
        <w:t xml:space="preserve"> weeks of March, closing it entirely on March 28</w:t>
      </w:r>
      <w:r w:rsidR="001C6D9B" w:rsidRPr="001C6D9B">
        <w:rPr>
          <w:rFonts w:ascii="Arial" w:hAnsi="Arial" w:cs="Arial"/>
          <w:szCs w:val="24"/>
          <w:vertAlign w:val="superscript"/>
        </w:rPr>
        <w:t>th</w:t>
      </w:r>
      <w:r w:rsidR="00CF7E08" w:rsidRPr="001C6D9B">
        <w:rPr>
          <w:rFonts w:ascii="Arial" w:hAnsi="Arial" w:cs="Arial"/>
          <w:szCs w:val="24"/>
        </w:rPr>
        <w:t xml:space="preserve"> to create contingency housing</w:t>
      </w:r>
      <w:r w:rsidR="00F62125">
        <w:rPr>
          <w:rFonts w:ascii="Arial" w:hAnsi="Arial" w:cs="Arial"/>
          <w:szCs w:val="24"/>
        </w:rPr>
        <w:t xml:space="preserve"> (if needed for inmate social distancing)</w:t>
      </w:r>
      <w:r w:rsidR="00CF7E08" w:rsidRPr="001C6D9B">
        <w:rPr>
          <w:rFonts w:ascii="Arial" w:hAnsi="Arial" w:cs="Arial"/>
          <w:szCs w:val="24"/>
        </w:rPr>
        <w:t xml:space="preserve"> and reduce the chance of disease spread. </w:t>
      </w:r>
      <w:r w:rsidR="00CE748A">
        <w:rPr>
          <w:rFonts w:ascii="Arial" w:hAnsi="Arial" w:cs="Arial"/>
          <w:szCs w:val="24"/>
        </w:rPr>
        <w:t xml:space="preserve"> According to data provided by DAJD</w:t>
      </w:r>
      <w:r w:rsidR="00C27A29">
        <w:rPr>
          <w:rFonts w:ascii="Arial" w:hAnsi="Arial" w:cs="Arial"/>
          <w:szCs w:val="24"/>
        </w:rPr>
        <w:t xml:space="preserve">, </w:t>
      </w:r>
      <w:r w:rsidR="00054550">
        <w:rPr>
          <w:rFonts w:ascii="Arial" w:hAnsi="Arial" w:cs="Arial"/>
          <w:szCs w:val="24"/>
        </w:rPr>
        <w:t>half</w:t>
      </w:r>
      <w:r w:rsidR="00C27A29">
        <w:rPr>
          <w:rFonts w:ascii="Arial" w:hAnsi="Arial" w:cs="Arial"/>
          <w:szCs w:val="24"/>
        </w:rPr>
        <w:t xml:space="preserve"> of the program participants were</w:t>
      </w:r>
      <w:r w:rsidR="004222DD">
        <w:rPr>
          <w:rFonts w:ascii="Arial" w:hAnsi="Arial" w:cs="Arial"/>
          <w:szCs w:val="24"/>
        </w:rPr>
        <w:t xml:space="preserve"> either </w:t>
      </w:r>
      <w:r w:rsidR="00C27A29">
        <w:rPr>
          <w:rFonts w:ascii="Arial" w:hAnsi="Arial" w:cs="Arial"/>
          <w:szCs w:val="24"/>
        </w:rPr>
        <w:t xml:space="preserve">released or transferred to other alternative programs (such </w:t>
      </w:r>
      <w:r w:rsidR="00CA3BCC">
        <w:rPr>
          <w:rFonts w:ascii="Arial" w:hAnsi="Arial" w:cs="Arial"/>
          <w:szCs w:val="24"/>
        </w:rPr>
        <w:t>as electronic home monitoring)</w:t>
      </w:r>
      <w:r w:rsidR="00EC722D">
        <w:rPr>
          <w:rFonts w:ascii="Arial" w:hAnsi="Arial" w:cs="Arial"/>
          <w:szCs w:val="24"/>
        </w:rPr>
        <w:t>.</w:t>
      </w:r>
    </w:p>
    <w:p w14:paraId="7A58059B" w14:textId="285DC667" w:rsidR="00CF7E08" w:rsidRPr="006B4EA5" w:rsidRDefault="006B4EA5" w:rsidP="0036705B">
      <w:pPr>
        <w:spacing w:before="120" w:line="264" w:lineRule="auto"/>
        <w:jc w:val="both"/>
        <w:rPr>
          <w:rFonts w:ascii="Arial" w:hAnsi="Arial" w:cs="Arial"/>
          <w:szCs w:val="24"/>
        </w:rPr>
      </w:pPr>
      <w:r>
        <w:rPr>
          <w:rFonts w:ascii="Arial" w:hAnsi="Arial" w:cs="Arial"/>
          <w:szCs w:val="24"/>
        </w:rPr>
        <w:t>In developing it</w:t>
      </w:r>
      <w:r w:rsidR="004222DD">
        <w:rPr>
          <w:rFonts w:ascii="Arial" w:hAnsi="Arial" w:cs="Arial"/>
          <w:szCs w:val="24"/>
        </w:rPr>
        <w:t>s</w:t>
      </w:r>
      <w:r>
        <w:rPr>
          <w:rFonts w:ascii="Arial" w:hAnsi="Arial" w:cs="Arial"/>
          <w:szCs w:val="24"/>
        </w:rPr>
        <w:t xml:space="preserve"> </w:t>
      </w:r>
      <w:r w:rsidR="00D47BB2">
        <w:rPr>
          <w:rFonts w:ascii="Arial" w:hAnsi="Arial" w:cs="Arial"/>
          <w:szCs w:val="24"/>
        </w:rPr>
        <w:t xml:space="preserve">2021-2022 budget proposal and looking to meet its General Fund target reductions, the </w:t>
      </w:r>
      <w:r w:rsidR="00744E84">
        <w:rPr>
          <w:rFonts w:ascii="Arial" w:hAnsi="Arial" w:cs="Arial"/>
          <w:szCs w:val="24"/>
        </w:rPr>
        <w:t>department is proposing the permanent closure of the WER program for a reduction o</w:t>
      </w:r>
      <w:r w:rsidR="004222DD">
        <w:rPr>
          <w:rFonts w:ascii="Arial" w:hAnsi="Arial" w:cs="Arial"/>
          <w:szCs w:val="24"/>
        </w:rPr>
        <w:t>f</w:t>
      </w:r>
      <w:r w:rsidR="00744E84">
        <w:rPr>
          <w:rFonts w:ascii="Arial" w:hAnsi="Arial" w:cs="Arial"/>
          <w:szCs w:val="24"/>
        </w:rPr>
        <w:t xml:space="preserve"> </w:t>
      </w:r>
      <w:r w:rsidR="00240D5E">
        <w:rPr>
          <w:rFonts w:ascii="Arial" w:hAnsi="Arial" w:cs="Arial"/>
          <w:szCs w:val="24"/>
        </w:rPr>
        <w:t>$2.7 million and 11.0 FTEs</w:t>
      </w:r>
      <w:r w:rsidR="00547DB1">
        <w:rPr>
          <w:rFonts w:ascii="Arial" w:hAnsi="Arial" w:cs="Arial"/>
          <w:szCs w:val="24"/>
        </w:rPr>
        <w:t xml:space="preserve"> (10 Correctional Officers and </w:t>
      </w:r>
      <w:r w:rsidR="00A4402B">
        <w:rPr>
          <w:rFonts w:ascii="Arial" w:hAnsi="Arial" w:cs="Arial"/>
          <w:szCs w:val="24"/>
        </w:rPr>
        <w:t>one caseworker)</w:t>
      </w:r>
      <w:r w:rsidR="00240D5E">
        <w:rPr>
          <w:rFonts w:ascii="Arial" w:hAnsi="Arial" w:cs="Arial"/>
          <w:szCs w:val="24"/>
        </w:rPr>
        <w:t>. The Executive notes that t</w:t>
      </w:r>
      <w:r w:rsidR="00CF7E08" w:rsidRPr="006B4EA5">
        <w:rPr>
          <w:rFonts w:ascii="Arial" w:hAnsi="Arial" w:cs="Arial"/>
          <w:szCs w:val="24"/>
        </w:rPr>
        <w:t>he condition of the facility on the 10</w:t>
      </w:r>
      <w:r w:rsidR="00CF7E08" w:rsidRPr="006B4EA5">
        <w:rPr>
          <w:rFonts w:ascii="Arial" w:hAnsi="Arial" w:cs="Arial"/>
          <w:szCs w:val="24"/>
          <w:vertAlign w:val="superscript"/>
        </w:rPr>
        <w:t>th</w:t>
      </w:r>
      <w:r w:rsidR="00CF7E08" w:rsidRPr="006B4EA5">
        <w:rPr>
          <w:rFonts w:ascii="Arial" w:hAnsi="Arial" w:cs="Arial"/>
          <w:szCs w:val="24"/>
        </w:rPr>
        <w:t xml:space="preserve"> floor of the Courthouse was a major consideration in the decision to close WER. Architecturally, the Courthouse location is the same today as it was when it opened as the County’s jail in 1931 and is fundamentally unsuited for a modern corrections program in King County. </w:t>
      </w:r>
      <w:r w:rsidR="00240D5E">
        <w:rPr>
          <w:rFonts w:ascii="Arial" w:hAnsi="Arial" w:cs="Arial"/>
          <w:szCs w:val="24"/>
        </w:rPr>
        <w:t xml:space="preserve">In response to staff questions, the Executive notes that the </w:t>
      </w:r>
      <w:r w:rsidR="00CF7E08" w:rsidRPr="006B4EA5">
        <w:rPr>
          <w:rFonts w:ascii="Arial" w:hAnsi="Arial" w:cs="Arial"/>
          <w:szCs w:val="24"/>
        </w:rPr>
        <w:t>WER in the King County Courthouse is planned to remain closed permanently</w:t>
      </w:r>
      <w:r w:rsidR="00FD6262">
        <w:rPr>
          <w:rFonts w:ascii="Arial" w:hAnsi="Arial" w:cs="Arial"/>
          <w:szCs w:val="24"/>
        </w:rPr>
        <w:t xml:space="preserve"> and that t</w:t>
      </w:r>
      <w:r w:rsidR="00CF7E08" w:rsidRPr="006B4EA5">
        <w:rPr>
          <w:rFonts w:ascii="Arial" w:hAnsi="Arial" w:cs="Arial"/>
          <w:szCs w:val="24"/>
        </w:rPr>
        <w:t xml:space="preserve">here is no planning </w:t>
      </w:r>
      <w:r w:rsidR="00FD6262">
        <w:rPr>
          <w:rFonts w:ascii="Arial" w:hAnsi="Arial" w:cs="Arial"/>
          <w:szCs w:val="24"/>
        </w:rPr>
        <w:t xml:space="preserve">effort </w:t>
      </w:r>
      <w:r w:rsidR="00CF7E08" w:rsidRPr="006B4EA5">
        <w:rPr>
          <w:rFonts w:ascii="Arial" w:hAnsi="Arial" w:cs="Arial"/>
          <w:szCs w:val="24"/>
        </w:rPr>
        <w:t xml:space="preserve">for a future WER program at present, and </w:t>
      </w:r>
      <w:r w:rsidR="000B4BAE">
        <w:rPr>
          <w:rFonts w:ascii="Arial" w:hAnsi="Arial" w:cs="Arial"/>
          <w:szCs w:val="24"/>
        </w:rPr>
        <w:t xml:space="preserve">that </w:t>
      </w:r>
      <w:r w:rsidR="00CF7E08" w:rsidRPr="006B4EA5">
        <w:rPr>
          <w:rFonts w:ascii="Arial" w:hAnsi="Arial" w:cs="Arial"/>
          <w:szCs w:val="24"/>
        </w:rPr>
        <w:t>it would not be possible to establish a new program unless funding were identified.</w:t>
      </w:r>
    </w:p>
    <w:p w14:paraId="39A64324" w14:textId="77777777" w:rsidR="00CF7E08" w:rsidRDefault="00CF7E08" w:rsidP="0036705B">
      <w:pPr>
        <w:spacing w:line="264" w:lineRule="auto"/>
        <w:jc w:val="both"/>
        <w:rPr>
          <w:rFonts w:ascii="Arial" w:hAnsi="Arial" w:cs="Arial"/>
        </w:rPr>
      </w:pPr>
    </w:p>
    <w:p w14:paraId="73EF0018" w14:textId="4916A94B" w:rsidR="00783381" w:rsidRPr="00A4402B" w:rsidRDefault="00FD6262" w:rsidP="0036705B">
      <w:pPr>
        <w:spacing w:line="264" w:lineRule="auto"/>
        <w:jc w:val="both"/>
        <w:rPr>
          <w:rFonts w:ascii="Arial" w:hAnsi="Arial" w:cs="Arial"/>
          <w:szCs w:val="24"/>
        </w:rPr>
      </w:pPr>
      <w:r w:rsidRPr="00A4402B">
        <w:rPr>
          <w:rFonts w:ascii="Arial" w:hAnsi="Arial" w:cs="Arial"/>
          <w:szCs w:val="24"/>
        </w:rPr>
        <w:t>While the County program is proposed to close</w:t>
      </w:r>
      <w:r w:rsidR="00AE1585" w:rsidRPr="00A4402B">
        <w:rPr>
          <w:rFonts w:ascii="Arial" w:hAnsi="Arial" w:cs="Arial"/>
          <w:szCs w:val="24"/>
        </w:rPr>
        <w:t xml:space="preserve">, the department notes that the County </w:t>
      </w:r>
      <w:r w:rsidR="00783381" w:rsidRPr="00A4402B">
        <w:rPr>
          <w:rFonts w:ascii="Arial" w:hAnsi="Arial" w:cs="Arial"/>
          <w:szCs w:val="24"/>
        </w:rPr>
        <w:t>will allow DOC to</w:t>
      </w:r>
      <w:r w:rsidR="00AE1585" w:rsidRPr="00A4402B">
        <w:rPr>
          <w:rFonts w:ascii="Arial" w:hAnsi="Arial" w:cs="Arial"/>
          <w:szCs w:val="24"/>
        </w:rPr>
        <w:t xml:space="preserve"> house in secure detention</w:t>
      </w:r>
      <w:r w:rsidR="00783381" w:rsidRPr="00A4402B">
        <w:rPr>
          <w:rFonts w:ascii="Arial" w:hAnsi="Arial" w:cs="Arial"/>
          <w:szCs w:val="24"/>
        </w:rPr>
        <w:t xml:space="preserve"> up to 30 of their violators at any given time and in return </w:t>
      </w:r>
      <w:r w:rsidR="002A2AF6" w:rsidRPr="00A4402B">
        <w:rPr>
          <w:rFonts w:ascii="Arial" w:hAnsi="Arial" w:cs="Arial"/>
          <w:szCs w:val="24"/>
        </w:rPr>
        <w:t xml:space="preserve">the County </w:t>
      </w:r>
      <w:r w:rsidR="00783381" w:rsidRPr="00A4402B">
        <w:rPr>
          <w:rFonts w:ascii="Arial" w:hAnsi="Arial" w:cs="Arial"/>
          <w:szCs w:val="24"/>
        </w:rPr>
        <w:t xml:space="preserve">will be provided 20 of DOC’s work release beds for </w:t>
      </w:r>
      <w:r w:rsidR="002A2AF6" w:rsidRPr="00A4402B">
        <w:rPr>
          <w:rFonts w:ascii="Arial" w:hAnsi="Arial" w:cs="Arial"/>
          <w:szCs w:val="24"/>
        </w:rPr>
        <w:t>C</w:t>
      </w:r>
      <w:r w:rsidR="00783381" w:rsidRPr="00A4402B">
        <w:rPr>
          <w:rFonts w:ascii="Arial" w:hAnsi="Arial" w:cs="Arial"/>
          <w:szCs w:val="24"/>
        </w:rPr>
        <w:t xml:space="preserve">ounty participants. </w:t>
      </w:r>
      <w:r w:rsidR="002A2AF6" w:rsidRPr="00A4402B">
        <w:rPr>
          <w:rFonts w:ascii="Arial" w:hAnsi="Arial" w:cs="Arial"/>
          <w:szCs w:val="24"/>
        </w:rPr>
        <w:t>If this proposal is adopted</w:t>
      </w:r>
      <w:r w:rsidR="00B81D2A">
        <w:rPr>
          <w:rFonts w:ascii="Arial" w:hAnsi="Arial" w:cs="Arial"/>
          <w:szCs w:val="24"/>
        </w:rPr>
        <w:t>,</w:t>
      </w:r>
      <w:r w:rsidR="002A2AF6" w:rsidRPr="00A4402B">
        <w:rPr>
          <w:rFonts w:ascii="Arial" w:hAnsi="Arial" w:cs="Arial"/>
          <w:szCs w:val="24"/>
        </w:rPr>
        <w:t xml:space="preserve"> the department reports that the County </w:t>
      </w:r>
      <w:r w:rsidR="00783381" w:rsidRPr="00A4402B">
        <w:rPr>
          <w:rFonts w:ascii="Arial" w:hAnsi="Arial" w:cs="Arial"/>
          <w:szCs w:val="24"/>
        </w:rPr>
        <w:t xml:space="preserve">will need to negotiate with </w:t>
      </w:r>
      <w:r w:rsidR="00547DB1" w:rsidRPr="00A4402B">
        <w:rPr>
          <w:rFonts w:ascii="Arial" w:hAnsi="Arial" w:cs="Arial"/>
          <w:szCs w:val="24"/>
        </w:rPr>
        <w:t xml:space="preserve">the </w:t>
      </w:r>
      <w:r w:rsidR="00783381" w:rsidRPr="00A4402B">
        <w:rPr>
          <w:rFonts w:ascii="Arial" w:hAnsi="Arial" w:cs="Arial"/>
          <w:szCs w:val="24"/>
        </w:rPr>
        <w:t>DOC on actual terms</w:t>
      </w:r>
      <w:r w:rsidR="00547DB1" w:rsidRPr="00A4402B">
        <w:rPr>
          <w:rFonts w:ascii="Arial" w:hAnsi="Arial" w:cs="Arial"/>
          <w:szCs w:val="24"/>
        </w:rPr>
        <w:t xml:space="preserve"> of this new agreement</w:t>
      </w:r>
      <w:r w:rsidR="00B81D2A">
        <w:rPr>
          <w:rFonts w:ascii="Arial" w:hAnsi="Arial" w:cs="Arial"/>
          <w:szCs w:val="24"/>
        </w:rPr>
        <w:t xml:space="preserve"> to retain these beds</w:t>
      </w:r>
      <w:r w:rsidR="00783381" w:rsidRPr="00A4402B">
        <w:rPr>
          <w:rFonts w:ascii="Arial" w:hAnsi="Arial" w:cs="Arial"/>
          <w:szCs w:val="24"/>
        </w:rPr>
        <w:t>.</w:t>
      </w:r>
    </w:p>
    <w:p w14:paraId="4B3C46EB" w14:textId="77777777" w:rsidR="00F436D1" w:rsidRPr="00B2433E" w:rsidRDefault="00F436D1" w:rsidP="0036705B">
      <w:pPr>
        <w:spacing w:line="264" w:lineRule="auto"/>
        <w:contextualSpacing/>
        <w:jc w:val="both"/>
        <w:rPr>
          <w:rFonts w:ascii="Arial" w:hAnsi="Arial" w:cs="Arial"/>
          <w:b/>
          <w:smallCaps/>
          <w:szCs w:val="24"/>
          <w:u w:val="single"/>
        </w:rPr>
      </w:pPr>
    </w:p>
    <w:p w14:paraId="7708E908" w14:textId="52A43D87" w:rsidR="005C2E8B" w:rsidRDefault="005C2E8B" w:rsidP="0036705B">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sidR="00306FF5">
        <w:rPr>
          <w:rFonts w:ascii="Arial" w:hAnsi="Arial" w:cs="Arial"/>
          <w:b/>
          <w:smallCaps/>
          <w:szCs w:val="24"/>
          <w:u w:val="single"/>
        </w:rPr>
        <w:t>5</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sidR="00306FF5">
        <w:rPr>
          <w:rFonts w:ascii="Arial" w:hAnsi="Arial" w:cs="Arial"/>
          <w:b/>
          <w:smallCaps/>
          <w:szCs w:val="24"/>
          <w:u w:val="single"/>
        </w:rPr>
        <w:t>Community Work Program Elimination</w:t>
      </w:r>
      <w:r w:rsidR="005808A8">
        <w:rPr>
          <w:rFonts w:ascii="Arial" w:hAnsi="Arial" w:cs="Arial"/>
          <w:b/>
          <w:smallCaps/>
          <w:szCs w:val="24"/>
          <w:u w:val="single"/>
        </w:rPr>
        <w:t xml:space="preserve"> (</w:t>
      </w:r>
      <w:r w:rsidR="00E34DFF">
        <w:rPr>
          <w:rFonts w:ascii="Arial" w:hAnsi="Arial" w:cs="Arial"/>
          <w:b/>
          <w:smallCaps/>
          <w:szCs w:val="24"/>
          <w:u w:val="single"/>
        </w:rPr>
        <w:t xml:space="preserve">Reduction </w:t>
      </w:r>
      <w:r w:rsidR="009C34FF">
        <w:rPr>
          <w:rFonts w:ascii="Arial" w:hAnsi="Arial" w:cs="Arial"/>
          <w:b/>
          <w:smallCaps/>
          <w:szCs w:val="24"/>
          <w:u w:val="single"/>
        </w:rPr>
        <w:t>$2,192,919 &amp;</w:t>
      </w:r>
      <w:r w:rsidR="00891AB4">
        <w:rPr>
          <w:rFonts w:ascii="Arial" w:hAnsi="Arial" w:cs="Arial"/>
          <w:b/>
          <w:smallCaps/>
          <w:szCs w:val="24"/>
          <w:u w:val="single"/>
        </w:rPr>
        <w:t xml:space="preserve"> </w:t>
      </w:r>
      <w:r w:rsidR="009C34FF">
        <w:rPr>
          <w:rFonts w:ascii="Arial" w:hAnsi="Arial" w:cs="Arial"/>
          <w:b/>
          <w:smallCaps/>
          <w:szCs w:val="24"/>
          <w:u w:val="single"/>
        </w:rPr>
        <w:t xml:space="preserve">8.0 </w:t>
      </w:r>
      <w:proofErr w:type="gramStart"/>
      <w:r w:rsidR="009C34FF">
        <w:rPr>
          <w:rFonts w:ascii="Arial" w:hAnsi="Arial" w:cs="Arial"/>
          <w:b/>
          <w:smallCaps/>
          <w:szCs w:val="24"/>
          <w:u w:val="single"/>
        </w:rPr>
        <w:t>FTEs</w:t>
      </w:r>
      <w:r w:rsidR="005808A8">
        <w:rPr>
          <w:rFonts w:ascii="Arial" w:hAnsi="Arial" w:cs="Arial"/>
          <w:b/>
          <w:smallCaps/>
          <w:szCs w:val="24"/>
          <w:u w:val="single"/>
        </w:rPr>
        <w:t xml:space="preserve">  and</w:t>
      </w:r>
      <w:proofErr w:type="gramEnd"/>
      <w:r w:rsidR="005808A8">
        <w:rPr>
          <w:rFonts w:ascii="Arial" w:hAnsi="Arial" w:cs="Arial"/>
          <w:b/>
          <w:smallCaps/>
          <w:szCs w:val="24"/>
          <w:u w:val="single"/>
        </w:rPr>
        <w:t xml:space="preserve"> </w:t>
      </w:r>
      <w:r w:rsidR="00A507BB">
        <w:rPr>
          <w:rFonts w:ascii="Arial" w:hAnsi="Arial" w:cs="Arial"/>
          <w:b/>
          <w:smallCaps/>
          <w:szCs w:val="24"/>
          <w:u w:val="single"/>
        </w:rPr>
        <w:t>$600,000 revenue reduction)</w:t>
      </w:r>
      <w:r w:rsidR="009C34FF">
        <w:rPr>
          <w:rFonts w:ascii="Arial" w:hAnsi="Arial" w:cs="Arial"/>
          <w:b/>
          <w:smallCaps/>
          <w:szCs w:val="24"/>
          <w:u w:val="single"/>
        </w:rPr>
        <w:t xml:space="preserve"> </w:t>
      </w:r>
    </w:p>
    <w:p w14:paraId="48E947D3" w14:textId="6BF68F58" w:rsidR="00B94051" w:rsidRDefault="00B94051" w:rsidP="0036705B">
      <w:pPr>
        <w:spacing w:line="264" w:lineRule="auto"/>
        <w:contextualSpacing/>
        <w:jc w:val="both"/>
        <w:rPr>
          <w:rFonts w:ascii="Arial" w:hAnsi="Arial" w:cs="Arial"/>
          <w:b/>
          <w:smallCaps/>
          <w:szCs w:val="24"/>
          <w:u w:val="single"/>
        </w:rPr>
      </w:pPr>
    </w:p>
    <w:p w14:paraId="62C8A7F7" w14:textId="7D4287AA" w:rsidR="00D9284A" w:rsidRDefault="00D9284A" w:rsidP="0036705B">
      <w:pPr>
        <w:pStyle w:val="NoSpacing"/>
        <w:spacing w:line="264" w:lineRule="auto"/>
        <w:jc w:val="both"/>
        <w:rPr>
          <w:rFonts w:ascii="Arial" w:hAnsi="Arial" w:cs="Arial"/>
          <w:color w:val="23221F"/>
          <w:sz w:val="24"/>
          <w:szCs w:val="24"/>
          <w:lang w:val="en"/>
        </w:rPr>
      </w:pPr>
      <w:r>
        <w:rPr>
          <w:rFonts w:ascii="Arial" w:hAnsi="Arial" w:cs="Arial"/>
          <w:sz w:val="24"/>
          <w:szCs w:val="24"/>
        </w:rPr>
        <w:t>Among several alternatives programs, the C</w:t>
      </w:r>
      <w:r w:rsidR="005B697C">
        <w:rPr>
          <w:rFonts w:ascii="Arial" w:hAnsi="Arial" w:cs="Arial"/>
          <w:sz w:val="24"/>
          <w:szCs w:val="24"/>
        </w:rPr>
        <w:t xml:space="preserve">ommunity </w:t>
      </w:r>
      <w:r>
        <w:rPr>
          <w:rFonts w:ascii="Arial" w:hAnsi="Arial" w:cs="Arial"/>
          <w:sz w:val="24"/>
          <w:szCs w:val="24"/>
        </w:rPr>
        <w:t>C</w:t>
      </w:r>
      <w:r w:rsidR="005B697C">
        <w:rPr>
          <w:rFonts w:ascii="Arial" w:hAnsi="Arial" w:cs="Arial"/>
          <w:sz w:val="24"/>
          <w:szCs w:val="24"/>
        </w:rPr>
        <w:t xml:space="preserve">orrections </w:t>
      </w:r>
      <w:r>
        <w:rPr>
          <w:rFonts w:ascii="Arial" w:hAnsi="Arial" w:cs="Arial"/>
          <w:sz w:val="24"/>
          <w:szCs w:val="24"/>
        </w:rPr>
        <w:t>D</w:t>
      </w:r>
      <w:r w:rsidR="005B697C">
        <w:rPr>
          <w:rFonts w:ascii="Arial" w:hAnsi="Arial" w:cs="Arial"/>
          <w:sz w:val="24"/>
          <w:szCs w:val="24"/>
        </w:rPr>
        <w:t>ivision</w:t>
      </w:r>
      <w:r>
        <w:rPr>
          <w:rFonts w:ascii="Arial" w:hAnsi="Arial" w:cs="Arial"/>
          <w:sz w:val="24"/>
          <w:szCs w:val="24"/>
        </w:rPr>
        <w:t xml:space="preserve"> manages the </w:t>
      </w:r>
      <w:r w:rsidRPr="00DD7E82">
        <w:rPr>
          <w:rFonts w:ascii="Arial" w:hAnsi="Arial" w:cs="Arial"/>
          <w:color w:val="23221F"/>
          <w:sz w:val="24"/>
          <w:szCs w:val="24"/>
          <w:lang w:val="en"/>
        </w:rPr>
        <w:t xml:space="preserve">Community Work Program </w:t>
      </w:r>
      <w:r>
        <w:rPr>
          <w:rFonts w:ascii="Arial" w:hAnsi="Arial" w:cs="Arial"/>
          <w:color w:val="23221F"/>
          <w:sz w:val="24"/>
          <w:szCs w:val="24"/>
          <w:lang w:val="en"/>
        </w:rPr>
        <w:t xml:space="preserve">(CWP) which </w:t>
      </w:r>
      <w:r w:rsidRPr="00DD7E82">
        <w:rPr>
          <w:rFonts w:ascii="Arial" w:hAnsi="Arial" w:cs="Arial"/>
          <w:color w:val="23221F"/>
          <w:sz w:val="24"/>
          <w:szCs w:val="24"/>
          <w:lang w:val="en"/>
        </w:rPr>
        <w:t xml:space="preserve">allows </w:t>
      </w:r>
      <w:r>
        <w:rPr>
          <w:rFonts w:ascii="Arial" w:hAnsi="Arial" w:cs="Arial"/>
          <w:color w:val="23221F"/>
          <w:sz w:val="24"/>
          <w:szCs w:val="24"/>
          <w:lang w:val="en"/>
        </w:rPr>
        <w:t xml:space="preserve">King County </w:t>
      </w:r>
      <w:r w:rsidRPr="00DD7E82">
        <w:rPr>
          <w:rFonts w:ascii="Arial" w:hAnsi="Arial" w:cs="Arial"/>
          <w:color w:val="23221F"/>
          <w:sz w:val="24"/>
          <w:szCs w:val="24"/>
          <w:lang w:val="en"/>
        </w:rPr>
        <w:t xml:space="preserve">District Court to </w:t>
      </w:r>
      <w:r w:rsidRPr="00DD7E82">
        <w:rPr>
          <w:rFonts w:ascii="Arial" w:hAnsi="Arial" w:cs="Arial"/>
          <w:color w:val="23221F"/>
          <w:sz w:val="24"/>
          <w:szCs w:val="24"/>
          <w:lang w:val="en"/>
        </w:rPr>
        <w:lastRenderedPageBreak/>
        <w:t xml:space="preserve">sentence offenders to work </w:t>
      </w:r>
      <w:r w:rsidRPr="001D2BAD">
        <w:rPr>
          <w:rFonts w:ascii="Arial" w:hAnsi="Arial" w:cs="Arial"/>
          <w:color w:val="23221F"/>
          <w:sz w:val="24"/>
          <w:szCs w:val="24"/>
          <w:lang w:val="en"/>
        </w:rPr>
        <w:t>crews to perform supervised manual labor for various public service agencies. The program is designed to provide a diversion from jail for low-level, low-risk offenders and a visible restitution to the community</w:t>
      </w:r>
      <w:r>
        <w:rPr>
          <w:rFonts w:ascii="Arial" w:hAnsi="Arial" w:cs="Arial"/>
          <w:color w:val="23221F"/>
          <w:sz w:val="24"/>
          <w:szCs w:val="24"/>
          <w:lang w:val="en"/>
        </w:rPr>
        <w:t xml:space="preserve"> (persons with misdemeanors, gross misdemeanors, fines, r</w:t>
      </w:r>
      <w:r w:rsidRPr="005A51CB">
        <w:rPr>
          <w:rFonts w:ascii="Arial" w:hAnsi="Arial" w:cs="Arial"/>
          <w:color w:val="23221F"/>
          <w:sz w:val="24"/>
          <w:szCs w:val="24"/>
          <w:lang w:val="en"/>
        </w:rPr>
        <w:t>elicensing, P</w:t>
      </w:r>
      <w:r>
        <w:rPr>
          <w:rFonts w:ascii="Arial" w:hAnsi="Arial" w:cs="Arial"/>
          <w:color w:val="23221F"/>
          <w:sz w:val="24"/>
          <w:szCs w:val="24"/>
          <w:lang w:val="en"/>
        </w:rPr>
        <w:t xml:space="preserve">rosecuting </w:t>
      </w:r>
      <w:r w:rsidRPr="005A51CB">
        <w:rPr>
          <w:rFonts w:ascii="Arial" w:hAnsi="Arial" w:cs="Arial"/>
          <w:color w:val="23221F"/>
          <w:sz w:val="24"/>
          <w:szCs w:val="24"/>
          <w:lang w:val="en"/>
        </w:rPr>
        <w:t>A</w:t>
      </w:r>
      <w:r>
        <w:rPr>
          <w:rFonts w:ascii="Arial" w:hAnsi="Arial" w:cs="Arial"/>
          <w:color w:val="23221F"/>
          <w:sz w:val="24"/>
          <w:szCs w:val="24"/>
          <w:lang w:val="en"/>
        </w:rPr>
        <w:t xml:space="preserve">ttorney Office </w:t>
      </w:r>
      <w:r w:rsidRPr="005A51CB">
        <w:rPr>
          <w:rFonts w:ascii="Arial" w:hAnsi="Arial" w:cs="Arial"/>
          <w:color w:val="23221F"/>
          <w:sz w:val="24"/>
          <w:szCs w:val="24"/>
          <w:lang w:val="en"/>
        </w:rPr>
        <w:t xml:space="preserve">Diversion, </w:t>
      </w:r>
      <w:r>
        <w:rPr>
          <w:rFonts w:ascii="Arial" w:hAnsi="Arial" w:cs="Arial"/>
          <w:color w:val="23221F"/>
          <w:sz w:val="24"/>
          <w:szCs w:val="24"/>
          <w:lang w:val="en"/>
        </w:rPr>
        <w:t>and Contempt Order Violators are all eligible to participate in the program)</w:t>
      </w:r>
      <w:r w:rsidRPr="001D2BAD">
        <w:rPr>
          <w:rFonts w:ascii="Arial" w:hAnsi="Arial" w:cs="Arial"/>
          <w:color w:val="23221F"/>
          <w:sz w:val="24"/>
          <w:szCs w:val="24"/>
          <w:lang w:val="en"/>
        </w:rPr>
        <w:t>. Offenders are sentenced directly to the CWP and may work off their fines, regain their driver’s license or complete the terms of their sentence</w:t>
      </w:r>
      <w:r w:rsidR="00BA728B">
        <w:rPr>
          <w:rFonts w:ascii="Arial" w:hAnsi="Arial" w:cs="Arial"/>
          <w:color w:val="23221F"/>
          <w:sz w:val="24"/>
          <w:szCs w:val="24"/>
          <w:lang w:val="en"/>
        </w:rPr>
        <w:t xml:space="preserve"> by participating in the program</w:t>
      </w:r>
      <w:r w:rsidRPr="001D2BAD">
        <w:rPr>
          <w:rFonts w:ascii="Arial" w:hAnsi="Arial" w:cs="Arial"/>
          <w:color w:val="23221F"/>
          <w:sz w:val="24"/>
          <w:szCs w:val="24"/>
          <w:lang w:val="en"/>
        </w:rPr>
        <w:t>. Individuals who are able to participate in work crew can receive credit towards King County District Court fines at the rate of $150 for every eight-hour day worked.</w:t>
      </w:r>
    </w:p>
    <w:p w14:paraId="2ED25D54" w14:textId="77777777" w:rsidR="005519F0" w:rsidRDefault="005519F0" w:rsidP="0036705B">
      <w:pPr>
        <w:pStyle w:val="NoSpacing"/>
        <w:spacing w:line="264" w:lineRule="auto"/>
        <w:jc w:val="both"/>
        <w:rPr>
          <w:rFonts w:ascii="Arial" w:hAnsi="Arial" w:cs="Arial"/>
          <w:sz w:val="24"/>
          <w:szCs w:val="24"/>
        </w:rPr>
      </w:pPr>
    </w:p>
    <w:p w14:paraId="621DB287" w14:textId="576A3665" w:rsidR="00D2277C" w:rsidRPr="00D2277C" w:rsidRDefault="006F18B9" w:rsidP="0036705B">
      <w:pPr>
        <w:spacing w:line="264" w:lineRule="auto"/>
        <w:jc w:val="both"/>
        <w:rPr>
          <w:rFonts w:ascii="Arial" w:hAnsi="Arial" w:cs="Arial"/>
          <w:szCs w:val="24"/>
          <w:highlight w:val="green"/>
        </w:rPr>
      </w:pPr>
      <w:r>
        <w:rPr>
          <w:rFonts w:ascii="Arial" w:hAnsi="Arial" w:cs="Arial"/>
          <w:szCs w:val="24"/>
        </w:rPr>
        <w:t xml:space="preserve">The </w:t>
      </w:r>
      <w:r w:rsidR="00D2277C" w:rsidRPr="00D2277C">
        <w:rPr>
          <w:rFonts w:ascii="Arial" w:hAnsi="Arial" w:cs="Arial"/>
          <w:szCs w:val="24"/>
        </w:rPr>
        <w:t>Community Work Program (CWP) was closed early in the coronavirus crisis due to the need for social distancing. Rather than planning for a future reopening, the Executive directed DAJD and PSB to find a more efficient and less punitive way to provide</w:t>
      </w:r>
      <w:r>
        <w:rPr>
          <w:rFonts w:ascii="Arial" w:hAnsi="Arial" w:cs="Arial"/>
          <w:szCs w:val="24"/>
        </w:rPr>
        <w:t xml:space="preserve"> participants a means </w:t>
      </w:r>
      <w:r w:rsidR="002F0EF3">
        <w:rPr>
          <w:rFonts w:ascii="Arial" w:hAnsi="Arial" w:cs="Arial"/>
          <w:szCs w:val="24"/>
        </w:rPr>
        <w:t xml:space="preserve">to </w:t>
      </w:r>
      <w:r w:rsidR="00952492">
        <w:rPr>
          <w:rFonts w:ascii="Arial" w:hAnsi="Arial" w:cs="Arial"/>
          <w:szCs w:val="24"/>
        </w:rPr>
        <w:t>be</w:t>
      </w:r>
      <w:r w:rsidR="00D2277C" w:rsidRPr="00D2277C">
        <w:rPr>
          <w:rFonts w:ascii="Arial" w:hAnsi="Arial" w:cs="Arial"/>
          <w:szCs w:val="24"/>
        </w:rPr>
        <w:t xml:space="preserve"> relicens</w:t>
      </w:r>
      <w:r w:rsidR="00952492">
        <w:rPr>
          <w:rFonts w:ascii="Arial" w:hAnsi="Arial" w:cs="Arial"/>
          <w:szCs w:val="24"/>
        </w:rPr>
        <w:t>ed</w:t>
      </w:r>
      <w:r w:rsidR="00D2277C" w:rsidRPr="00D2277C">
        <w:rPr>
          <w:rFonts w:ascii="Arial" w:hAnsi="Arial" w:cs="Arial"/>
          <w:szCs w:val="24"/>
        </w:rPr>
        <w:t xml:space="preserve"> and</w:t>
      </w:r>
      <w:r w:rsidR="00952492">
        <w:rPr>
          <w:rFonts w:ascii="Arial" w:hAnsi="Arial" w:cs="Arial"/>
          <w:szCs w:val="24"/>
        </w:rPr>
        <w:t xml:space="preserve"> also use the</w:t>
      </w:r>
      <w:r w:rsidR="00D2277C" w:rsidRPr="00D2277C">
        <w:rPr>
          <w:rFonts w:ascii="Arial" w:hAnsi="Arial" w:cs="Arial"/>
          <w:szCs w:val="24"/>
        </w:rPr>
        <w:t xml:space="preserve"> fine repayment services available through CWP.</w:t>
      </w:r>
      <w:r w:rsidR="00E236DA">
        <w:rPr>
          <w:rFonts w:ascii="Arial" w:hAnsi="Arial" w:cs="Arial"/>
          <w:szCs w:val="24"/>
        </w:rPr>
        <w:t xml:space="preserve"> The proposed reduction for the b</w:t>
      </w:r>
      <w:r w:rsidR="004C6705">
        <w:rPr>
          <w:rFonts w:ascii="Arial" w:hAnsi="Arial" w:cs="Arial"/>
          <w:szCs w:val="24"/>
        </w:rPr>
        <w:t>iennium is $2.2 million and 8.0 FTEs.</w:t>
      </w:r>
      <w:r w:rsidR="00D2277C" w:rsidRPr="00D2277C">
        <w:rPr>
          <w:rFonts w:ascii="Arial" w:hAnsi="Arial" w:cs="Arial"/>
          <w:szCs w:val="24"/>
        </w:rPr>
        <w:t xml:space="preserve"> The </w:t>
      </w:r>
      <w:r w:rsidR="006E3712">
        <w:rPr>
          <w:rFonts w:ascii="Arial" w:hAnsi="Arial" w:cs="Arial"/>
          <w:szCs w:val="24"/>
        </w:rPr>
        <w:t xml:space="preserve">Executive reports that the </w:t>
      </w:r>
      <w:r w:rsidR="00D2277C" w:rsidRPr="00D2277C">
        <w:rPr>
          <w:rFonts w:ascii="Arial" w:hAnsi="Arial" w:cs="Arial"/>
          <w:szCs w:val="24"/>
        </w:rPr>
        <w:t xml:space="preserve">PSB </w:t>
      </w:r>
      <w:r w:rsidR="006E3712">
        <w:rPr>
          <w:rFonts w:ascii="Arial" w:hAnsi="Arial" w:cs="Arial"/>
          <w:szCs w:val="24"/>
        </w:rPr>
        <w:t>C</w:t>
      </w:r>
      <w:r w:rsidR="00D2277C" w:rsidRPr="00D2277C">
        <w:rPr>
          <w:rFonts w:ascii="Arial" w:hAnsi="Arial" w:cs="Arial"/>
          <w:szCs w:val="24"/>
        </w:rPr>
        <w:t xml:space="preserve">riminal </w:t>
      </w:r>
      <w:r w:rsidR="006E3712">
        <w:rPr>
          <w:rFonts w:ascii="Arial" w:hAnsi="Arial" w:cs="Arial"/>
          <w:szCs w:val="24"/>
        </w:rPr>
        <w:t>J</w:t>
      </w:r>
      <w:r w:rsidR="00D2277C" w:rsidRPr="00D2277C">
        <w:rPr>
          <w:rFonts w:ascii="Arial" w:hAnsi="Arial" w:cs="Arial"/>
          <w:szCs w:val="24"/>
        </w:rPr>
        <w:t xml:space="preserve">ustice </w:t>
      </w:r>
      <w:r w:rsidR="006E3712">
        <w:rPr>
          <w:rFonts w:ascii="Arial" w:hAnsi="Arial" w:cs="Arial"/>
          <w:szCs w:val="24"/>
        </w:rPr>
        <w:t>T</w:t>
      </w:r>
      <w:r w:rsidR="00D2277C" w:rsidRPr="00D2277C">
        <w:rPr>
          <w:rFonts w:ascii="Arial" w:hAnsi="Arial" w:cs="Arial"/>
          <w:szCs w:val="24"/>
        </w:rPr>
        <w:t xml:space="preserve">eam is expected to work closely with DAJD </w:t>
      </w:r>
      <w:r w:rsidR="00E829F0">
        <w:rPr>
          <w:rFonts w:ascii="Arial" w:hAnsi="Arial" w:cs="Arial"/>
          <w:szCs w:val="24"/>
        </w:rPr>
        <w:t xml:space="preserve">and District Court </w:t>
      </w:r>
      <w:r w:rsidR="00D2277C" w:rsidRPr="00D2277C">
        <w:rPr>
          <w:rFonts w:ascii="Arial" w:hAnsi="Arial" w:cs="Arial"/>
          <w:szCs w:val="24"/>
        </w:rPr>
        <w:t>in developing new options</w:t>
      </w:r>
      <w:r w:rsidR="00274AAD">
        <w:rPr>
          <w:rFonts w:ascii="Arial" w:hAnsi="Arial" w:cs="Arial"/>
          <w:szCs w:val="24"/>
        </w:rPr>
        <w:t xml:space="preserve"> in conjunction with County’s Re-Licensing Programs</w:t>
      </w:r>
      <w:r w:rsidR="00D2277C" w:rsidRPr="00D2277C">
        <w:rPr>
          <w:rFonts w:ascii="Arial" w:hAnsi="Arial" w:cs="Arial"/>
          <w:szCs w:val="24"/>
        </w:rPr>
        <w:t xml:space="preserve">. </w:t>
      </w:r>
    </w:p>
    <w:p w14:paraId="6CE60220" w14:textId="77777777" w:rsidR="002F048A" w:rsidRDefault="002F048A" w:rsidP="0036705B">
      <w:pPr>
        <w:spacing w:line="264" w:lineRule="auto"/>
        <w:contextualSpacing/>
        <w:jc w:val="both"/>
        <w:rPr>
          <w:rFonts w:ascii="Arial" w:hAnsi="Arial" w:cs="Arial"/>
          <w:b/>
          <w:smallCaps/>
          <w:szCs w:val="24"/>
          <w:u w:val="single"/>
        </w:rPr>
      </w:pPr>
    </w:p>
    <w:p w14:paraId="0ECB25F5" w14:textId="76B98519" w:rsidR="00B94051" w:rsidRPr="00B2433E" w:rsidRDefault="00B94051" w:rsidP="0036705B">
      <w:pPr>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6</w:t>
      </w:r>
      <w:r w:rsidRPr="00B2433E">
        <w:rPr>
          <w:rFonts w:ascii="Arial" w:hAnsi="Arial" w:cs="Arial"/>
          <w:b/>
          <w:smallCaps/>
          <w:szCs w:val="24"/>
          <w:u w:val="single"/>
        </w:rPr>
        <w:t xml:space="preserve"> –</w:t>
      </w:r>
      <w:r w:rsidR="005808A8">
        <w:rPr>
          <w:rFonts w:ascii="Arial" w:hAnsi="Arial" w:cs="Arial"/>
          <w:b/>
          <w:smallCaps/>
          <w:szCs w:val="24"/>
          <w:u w:val="single"/>
        </w:rPr>
        <w:t xml:space="preserve"> </w:t>
      </w:r>
      <w:r w:rsidR="00C3252D">
        <w:rPr>
          <w:rFonts w:ascii="Arial" w:hAnsi="Arial" w:cs="Arial"/>
          <w:b/>
          <w:smallCaps/>
          <w:szCs w:val="24"/>
          <w:u w:val="single"/>
        </w:rPr>
        <w:t xml:space="preserve">Strategic Planning </w:t>
      </w:r>
      <w:r>
        <w:rPr>
          <w:rFonts w:ascii="Arial" w:hAnsi="Arial" w:cs="Arial"/>
          <w:b/>
          <w:smallCaps/>
          <w:szCs w:val="24"/>
          <w:u w:val="single"/>
        </w:rPr>
        <w:t xml:space="preserve"> </w:t>
      </w:r>
      <w:r w:rsidR="00C3252D">
        <w:rPr>
          <w:rFonts w:ascii="Arial" w:hAnsi="Arial" w:cs="Arial"/>
          <w:b/>
          <w:smallCaps/>
          <w:szCs w:val="24"/>
          <w:u w:val="single"/>
        </w:rPr>
        <w:t>Process for the</w:t>
      </w:r>
      <w:r w:rsidR="00EC722D">
        <w:rPr>
          <w:rFonts w:ascii="Arial" w:hAnsi="Arial" w:cs="Arial"/>
          <w:b/>
          <w:smallCaps/>
          <w:szCs w:val="24"/>
          <w:u w:val="single"/>
        </w:rPr>
        <w:t xml:space="preserve"> </w:t>
      </w:r>
      <w:r w:rsidR="004B5CFD">
        <w:rPr>
          <w:rFonts w:ascii="Arial" w:hAnsi="Arial" w:cs="Arial"/>
          <w:b/>
          <w:smallCaps/>
          <w:szCs w:val="24"/>
          <w:u w:val="single"/>
        </w:rPr>
        <w:t>CFJC</w:t>
      </w:r>
      <w:r w:rsidR="00A507BB">
        <w:rPr>
          <w:rFonts w:ascii="Arial" w:hAnsi="Arial" w:cs="Arial"/>
          <w:b/>
          <w:smallCaps/>
          <w:szCs w:val="24"/>
          <w:u w:val="single"/>
        </w:rPr>
        <w:t xml:space="preserve"> </w:t>
      </w:r>
      <w:r w:rsidR="005808A8">
        <w:rPr>
          <w:rFonts w:ascii="Arial" w:hAnsi="Arial" w:cs="Arial"/>
          <w:b/>
          <w:smallCaps/>
          <w:szCs w:val="24"/>
          <w:u w:val="single"/>
        </w:rPr>
        <w:t xml:space="preserve"> (</w:t>
      </w:r>
      <w:r w:rsidR="00A507BB">
        <w:rPr>
          <w:rFonts w:ascii="Arial" w:hAnsi="Arial" w:cs="Arial"/>
          <w:b/>
          <w:smallCaps/>
          <w:szCs w:val="24"/>
          <w:u w:val="single"/>
        </w:rPr>
        <w:t>$547,610</w:t>
      </w:r>
      <w:r w:rsidR="005808A8">
        <w:rPr>
          <w:rFonts w:ascii="Arial" w:hAnsi="Arial" w:cs="Arial"/>
          <w:b/>
          <w:smallCaps/>
          <w:szCs w:val="24"/>
          <w:u w:val="single"/>
        </w:rPr>
        <w:t>)</w:t>
      </w:r>
    </w:p>
    <w:p w14:paraId="06DBBCBE" w14:textId="3E604887" w:rsidR="00B94051" w:rsidRPr="00B2433E" w:rsidRDefault="00B94051" w:rsidP="0036705B">
      <w:pPr>
        <w:spacing w:line="264" w:lineRule="auto"/>
        <w:contextualSpacing/>
        <w:jc w:val="both"/>
        <w:rPr>
          <w:rFonts w:ascii="Arial" w:hAnsi="Arial" w:cs="Arial"/>
          <w:b/>
          <w:smallCaps/>
          <w:szCs w:val="24"/>
          <w:u w:val="single"/>
        </w:rPr>
      </w:pPr>
    </w:p>
    <w:p w14:paraId="7BAD85FB" w14:textId="7156E09B" w:rsidR="001B69DA" w:rsidRPr="0036767A" w:rsidRDefault="000163D2" w:rsidP="0036705B">
      <w:pPr>
        <w:spacing w:line="264" w:lineRule="auto"/>
        <w:jc w:val="both"/>
        <w:rPr>
          <w:rFonts w:ascii="Arial" w:hAnsi="Arial" w:cs="Arial"/>
          <w:szCs w:val="24"/>
        </w:rPr>
      </w:pPr>
      <w:r w:rsidRPr="0036767A">
        <w:rPr>
          <w:rFonts w:ascii="Arial" w:hAnsi="Arial" w:cs="Arial"/>
          <w:szCs w:val="24"/>
        </w:rPr>
        <w:t xml:space="preserve">The </w:t>
      </w:r>
      <w:r w:rsidR="00891AB4">
        <w:rPr>
          <w:rFonts w:ascii="Arial" w:hAnsi="Arial" w:cs="Arial"/>
          <w:szCs w:val="24"/>
        </w:rPr>
        <w:t>executive proposed</w:t>
      </w:r>
      <w:r w:rsidR="00891AB4" w:rsidRPr="0036767A">
        <w:rPr>
          <w:rFonts w:ascii="Arial" w:hAnsi="Arial" w:cs="Arial"/>
          <w:szCs w:val="24"/>
        </w:rPr>
        <w:t xml:space="preserve"> </w:t>
      </w:r>
      <w:r w:rsidRPr="0036767A">
        <w:rPr>
          <w:rFonts w:ascii="Arial" w:hAnsi="Arial" w:cs="Arial"/>
          <w:szCs w:val="24"/>
        </w:rPr>
        <w:t xml:space="preserve">budget </w:t>
      </w:r>
      <w:r w:rsidR="00810DDF" w:rsidRPr="0036767A">
        <w:rPr>
          <w:rFonts w:ascii="Arial" w:hAnsi="Arial" w:cs="Arial"/>
          <w:szCs w:val="24"/>
        </w:rPr>
        <w:t xml:space="preserve">contains a proposal that would add $547,610 for the 2021-2022 biennium </w:t>
      </w:r>
      <w:r w:rsidR="00F036CE" w:rsidRPr="0036767A">
        <w:rPr>
          <w:rFonts w:ascii="Arial" w:hAnsi="Arial" w:cs="Arial"/>
          <w:szCs w:val="24"/>
        </w:rPr>
        <w:t xml:space="preserve">to develop a strategic plan </w:t>
      </w:r>
      <w:r w:rsidR="00E77DA4" w:rsidRPr="0036767A">
        <w:rPr>
          <w:rFonts w:ascii="Arial" w:hAnsi="Arial" w:cs="Arial"/>
          <w:szCs w:val="24"/>
        </w:rPr>
        <w:t xml:space="preserve">for </w:t>
      </w:r>
      <w:r w:rsidR="00EC722D">
        <w:rPr>
          <w:rFonts w:ascii="Arial" w:hAnsi="Arial" w:cs="Arial"/>
          <w:szCs w:val="24"/>
        </w:rPr>
        <w:t xml:space="preserve">the </w:t>
      </w:r>
      <w:r w:rsidR="00E77DA4" w:rsidRPr="0036767A">
        <w:rPr>
          <w:rFonts w:ascii="Arial" w:hAnsi="Arial" w:cs="Arial"/>
          <w:szCs w:val="24"/>
        </w:rPr>
        <w:t>future of juvenile detention at the C</w:t>
      </w:r>
      <w:r w:rsidR="00015F38">
        <w:rPr>
          <w:rFonts w:ascii="Arial" w:hAnsi="Arial" w:cs="Arial"/>
          <w:szCs w:val="24"/>
        </w:rPr>
        <w:t>hildren and Famil</w:t>
      </w:r>
      <w:r w:rsidR="00D334D7">
        <w:rPr>
          <w:rFonts w:ascii="Arial" w:hAnsi="Arial" w:cs="Arial"/>
          <w:szCs w:val="24"/>
        </w:rPr>
        <w:t>y Justice Center</w:t>
      </w:r>
      <w:r w:rsidR="00891AB4">
        <w:rPr>
          <w:rFonts w:ascii="Arial" w:hAnsi="Arial" w:cs="Arial"/>
          <w:szCs w:val="24"/>
        </w:rPr>
        <w:t xml:space="preserve"> (CFJC)</w:t>
      </w:r>
      <w:r w:rsidR="00E77DA4" w:rsidRPr="0036767A">
        <w:rPr>
          <w:rFonts w:ascii="Arial" w:hAnsi="Arial" w:cs="Arial"/>
          <w:szCs w:val="24"/>
        </w:rPr>
        <w:t xml:space="preserve">. According to the Executive, </w:t>
      </w:r>
      <w:r w:rsidR="006D4D75" w:rsidRPr="0036767A">
        <w:rPr>
          <w:rFonts w:ascii="Arial" w:hAnsi="Arial" w:cs="Arial"/>
          <w:szCs w:val="24"/>
        </w:rPr>
        <w:t>t</w:t>
      </w:r>
      <w:r w:rsidR="001B69DA" w:rsidRPr="0036767A">
        <w:rPr>
          <w:rFonts w:ascii="Arial" w:hAnsi="Arial" w:cs="Arial"/>
          <w:szCs w:val="24"/>
        </w:rPr>
        <w:t>his proposal has two parts</w:t>
      </w:r>
      <w:r w:rsidR="006D4D75" w:rsidRPr="0036767A">
        <w:rPr>
          <w:rFonts w:ascii="Arial" w:hAnsi="Arial" w:cs="Arial"/>
          <w:szCs w:val="24"/>
        </w:rPr>
        <w:t xml:space="preserve">.  The first would be the use of </w:t>
      </w:r>
      <w:r w:rsidR="001B69DA" w:rsidRPr="0036767A">
        <w:rPr>
          <w:rFonts w:ascii="Arial" w:hAnsi="Arial" w:cs="Arial"/>
          <w:szCs w:val="24"/>
        </w:rPr>
        <w:t xml:space="preserve">$247,611 for a TLT project manager </w:t>
      </w:r>
      <w:r w:rsidR="004F0D54" w:rsidRPr="0036767A">
        <w:rPr>
          <w:rFonts w:ascii="Arial" w:hAnsi="Arial" w:cs="Arial"/>
          <w:szCs w:val="24"/>
        </w:rPr>
        <w:t xml:space="preserve">position </w:t>
      </w:r>
      <w:r w:rsidR="001B69DA" w:rsidRPr="0036767A">
        <w:rPr>
          <w:rFonts w:ascii="Arial" w:hAnsi="Arial" w:cs="Arial"/>
          <w:szCs w:val="24"/>
        </w:rPr>
        <w:t>that runs through June 30, 2022</w:t>
      </w:r>
      <w:r w:rsidR="00D334D7">
        <w:rPr>
          <w:rFonts w:ascii="Arial" w:hAnsi="Arial" w:cs="Arial"/>
          <w:szCs w:val="24"/>
        </w:rPr>
        <w:t xml:space="preserve"> (although no TLT authority is being requested)</w:t>
      </w:r>
      <w:r w:rsidR="004F0D54" w:rsidRPr="0036767A">
        <w:rPr>
          <w:rFonts w:ascii="Arial" w:hAnsi="Arial" w:cs="Arial"/>
          <w:szCs w:val="24"/>
        </w:rPr>
        <w:t>. The second element would be the expenditure of</w:t>
      </w:r>
      <w:r w:rsidR="001B69DA" w:rsidRPr="0036767A">
        <w:rPr>
          <w:rFonts w:ascii="Arial" w:hAnsi="Arial" w:cs="Arial"/>
          <w:szCs w:val="24"/>
        </w:rPr>
        <w:t xml:space="preserve"> $300,000 to hire a firm to engage in a strategic planning process with the intent to develop a Master Plan that would propose a set of recommendations to achieve community safety needs of </w:t>
      </w:r>
      <w:r w:rsidR="005D2A64">
        <w:rPr>
          <w:rFonts w:ascii="Arial" w:hAnsi="Arial" w:cs="Arial"/>
          <w:szCs w:val="24"/>
        </w:rPr>
        <w:t>securing</w:t>
      </w:r>
      <w:r w:rsidR="00637947">
        <w:rPr>
          <w:rFonts w:ascii="Arial" w:hAnsi="Arial" w:cs="Arial"/>
          <w:szCs w:val="24"/>
        </w:rPr>
        <w:t xml:space="preserve"> </w:t>
      </w:r>
      <w:r w:rsidR="001B69DA" w:rsidRPr="0036767A">
        <w:rPr>
          <w:rFonts w:ascii="Arial" w:hAnsi="Arial" w:cs="Arial"/>
          <w:szCs w:val="24"/>
        </w:rPr>
        <w:t xml:space="preserve">high-risk youth in an environment other than the current </w:t>
      </w:r>
      <w:r w:rsidR="005D2A64">
        <w:rPr>
          <w:rFonts w:ascii="Arial" w:hAnsi="Arial" w:cs="Arial"/>
          <w:szCs w:val="24"/>
        </w:rPr>
        <w:t xml:space="preserve">detention </w:t>
      </w:r>
      <w:r w:rsidR="00484C4A">
        <w:rPr>
          <w:rFonts w:ascii="Arial" w:hAnsi="Arial" w:cs="Arial"/>
          <w:szCs w:val="24"/>
        </w:rPr>
        <w:t xml:space="preserve">facility at the </w:t>
      </w:r>
      <w:r w:rsidR="001B69DA" w:rsidRPr="0036767A">
        <w:rPr>
          <w:rFonts w:ascii="Arial" w:hAnsi="Arial" w:cs="Arial"/>
          <w:szCs w:val="24"/>
        </w:rPr>
        <w:t>CFJC</w:t>
      </w:r>
      <w:r w:rsidR="00EE240C">
        <w:rPr>
          <w:rFonts w:ascii="Arial" w:hAnsi="Arial" w:cs="Arial"/>
          <w:szCs w:val="24"/>
        </w:rPr>
        <w:t>;</w:t>
      </w:r>
      <w:r w:rsidR="001B69DA" w:rsidRPr="0036767A">
        <w:rPr>
          <w:rFonts w:ascii="Arial" w:hAnsi="Arial" w:cs="Arial"/>
          <w:szCs w:val="24"/>
        </w:rPr>
        <w:t xml:space="preserve"> </w:t>
      </w:r>
      <w:r w:rsidR="0099201D">
        <w:rPr>
          <w:rFonts w:ascii="Arial" w:hAnsi="Arial" w:cs="Arial"/>
          <w:szCs w:val="24"/>
        </w:rPr>
        <w:t xml:space="preserve">along with </w:t>
      </w:r>
      <w:r w:rsidR="001B69DA" w:rsidRPr="0036767A">
        <w:rPr>
          <w:rFonts w:ascii="Arial" w:hAnsi="Arial" w:cs="Arial"/>
          <w:szCs w:val="24"/>
        </w:rPr>
        <w:t xml:space="preserve">options for </w:t>
      </w:r>
      <w:r w:rsidR="0099201D">
        <w:rPr>
          <w:rFonts w:ascii="Arial" w:hAnsi="Arial" w:cs="Arial"/>
          <w:szCs w:val="24"/>
        </w:rPr>
        <w:t xml:space="preserve">an </w:t>
      </w:r>
      <w:r w:rsidR="001B69DA" w:rsidRPr="0036767A">
        <w:rPr>
          <w:rFonts w:ascii="Arial" w:hAnsi="Arial" w:cs="Arial"/>
          <w:szCs w:val="24"/>
        </w:rPr>
        <w:t>alternative use of the CFJC detention space.</w:t>
      </w:r>
    </w:p>
    <w:p w14:paraId="3BD2E46B" w14:textId="77777777" w:rsidR="00484C4A" w:rsidRDefault="00484C4A" w:rsidP="0036705B">
      <w:pPr>
        <w:spacing w:line="264" w:lineRule="auto"/>
        <w:rPr>
          <w:rFonts w:ascii="Arial" w:hAnsi="Arial" w:cs="Arial"/>
          <w:color w:val="FF0000"/>
          <w:szCs w:val="24"/>
        </w:rPr>
      </w:pPr>
    </w:p>
    <w:p w14:paraId="4AF9D775" w14:textId="1879FEBD" w:rsidR="001B69DA" w:rsidRDefault="00484C4A" w:rsidP="0036705B">
      <w:pPr>
        <w:spacing w:line="264" w:lineRule="auto"/>
        <w:jc w:val="both"/>
        <w:rPr>
          <w:rFonts w:ascii="Arial" w:hAnsi="Arial" w:cs="Arial"/>
          <w:szCs w:val="24"/>
        </w:rPr>
      </w:pPr>
      <w:r w:rsidRPr="005E0661">
        <w:rPr>
          <w:rFonts w:ascii="Arial" w:hAnsi="Arial" w:cs="Arial"/>
          <w:szCs w:val="24"/>
        </w:rPr>
        <w:t xml:space="preserve">According to materials provided by the Executive, </w:t>
      </w:r>
      <w:r w:rsidR="001E7B24">
        <w:rPr>
          <w:rFonts w:ascii="Arial" w:hAnsi="Arial" w:cs="Arial"/>
          <w:szCs w:val="24"/>
        </w:rPr>
        <w:t>“</w:t>
      </w:r>
      <w:r w:rsidR="00697DC3" w:rsidRPr="005E0661">
        <w:rPr>
          <w:rFonts w:ascii="Arial" w:hAnsi="Arial" w:cs="Arial"/>
          <w:szCs w:val="24"/>
        </w:rPr>
        <w:t>t</w:t>
      </w:r>
      <w:r w:rsidR="001B69DA" w:rsidRPr="005E0661">
        <w:rPr>
          <w:rFonts w:ascii="Arial" w:hAnsi="Arial" w:cs="Arial"/>
          <w:szCs w:val="24"/>
        </w:rPr>
        <w:t>he project manager w</w:t>
      </w:r>
      <w:r w:rsidR="00697DC3" w:rsidRPr="005E0661">
        <w:rPr>
          <w:rFonts w:ascii="Arial" w:hAnsi="Arial" w:cs="Arial"/>
          <w:szCs w:val="24"/>
        </w:rPr>
        <w:t>ould</w:t>
      </w:r>
      <w:r w:rsidR="001B69DA" w:rsidRPr="005E0661">
        <w:rPr>
          <w:rFonts w:ascii="Arial" w:hAnsi="Arial" w:cs="Arial"/>
          <w:szCs w:val="24"/>
        </w:rPr>
        <w:t xml:space="preserve"> report to the </w:t>
      </w:r>
      <w:r w:rsidR="005E0661" w:rsidRPr="005E0661">
        <w:rPr>
          <w:rFonts w:ascii="Arial" w:hAnsi="Arial" w:cs="Arial"/>
          <w:szCs w:val="24"/>
        </w:rPr>
        <w:t xml:space="preserve">DAJD </w:t>
      </w:r>
      <w:r w:rsidR="001B69DA" w:rsidRPr="005E0661">
        <w:rPr>
          <w:rFonts w:ascii="Arial" w:hAnsi="Arial" w:cs="Arial"/>
          <w:szCs w:val="24"/>
        </w:rPr>
        <w:t xml:space="preserve">Juvenile Division Director, who will also serve as the project sponsor. As envisioned, the project plan will include: </w:t>
      </w:r>
    </w:p>
    <w:p w14:paraId="1B2E5C2C" w14:textId="77777777" w:rsidR="00EC722D" w:rsidRPr="005E0661" w:rsidRDefault="00EC722D" w:rsidP="0036705B">
      <w:pPr>
        <w:spacing w:line="264" w:lineRule="auto"/>
        <w:jc w:val="both"/>
        <w:rPr>
          <w:rFonts w:ascii="Arial" w:hAnsi="Arial" w:cs="Arial"/>
          <w:szCs w:val="24"/>
        </w:rPr>
      </w:pPr>
    </w:p>
    <w:p w14:paraId="6DCB8548" w14:textId="77777777" w:rsidR="001B69DA" w:rsidRPr="005E0661" w:rsidRDefault="001B69DA" w:rsidP="0036705B">
      <w:pPr>
        <w:pStyle w:val="ListParagraph"/>
        <w:numPr>
          <w:ilvl w:val="0"/>
          <w:numId w:val="8"/>
        </w:numPr>
        <w:spacing w:line="264" w:lineRule="auto"/>
        <w:contextualSpacing w:val="0"/>
        <w:jc w:val="both"/>
        <w:rPr>
          <w:rFonts w:ascii="Arial" w:hAnsi="Arial" w:cs="Arial"/>
          <w:szCs w:val="24"/>
        </w:rPr>
      </w:pPr>
      <w:r w:rsidRPr="005E0661">
        <w:rPr>
          <w:rFonts w:ascii="Arial" w:hAnsi="Arial" w:cs="Arial"/>
          <w:szCs w:val="24"/>
        </w:rPr>
        <w:t xml:space="preserve">Legal research to outline and clarify federal, state, and local mandates regarding juvenile detention. </w:t>
      </w:r>
    </w:p>
    <w:p w14:paraId="33C51CEF" w14:textId="77777777" w:rsidR="001B69DA" w:rsidRPr="005E0661" w:rsidRDefault="001B69DA" w:rsidP="0036705B">
      <w:pPr>
        <w:pStyle w:val="ListParagraph"/>
        <w:numPr>
          <w:ilvl w:val="0"/>
          <w:numId w:val="8"/>
        </w:numPr>
        <w:spacing w:line="264" w:lineRule="auto"/>
        <w:contextualSpacing w:val="0"/>
        <w:jc w:val="both"/>
        <w:rPr>
          <w:rFonts w:ascii="Arial" w:hAnsi="Arial" w:cs="Arial"/>
          <w:szCs w:val="24"/>
        </w:rPr>
      </w:pPr>
      <w:r w:rsidRPr="005E0661">
        <w:rPr>
          <w:rFonts w:ascii="Arial" w:hAnsi="Arial" w:cs="Arial"/>
          <w:szCs w:val="24"/>
        </w:rPr>
        <w:t>Multi-level engagement process with community, labor representatives, juvenile justice practitioners, and other stakeholders to identify and explore alternatives to the current secure custody model and potential repurposing opportunities for the existing CFJC structure.</w:t>
      </w:r>
    </w:p>
    <w:p w14:paraId="2BF3C761" w14:textId="77777777" w:rsidR="001B69DA" w:rsidRPr="005E0661" w:rsidRDefault="001B69DA" w:rsidP="0036705B">
      <w:pPr>
        <w:pStyle w:val="ListParagraph"/>
        <w:numPr>
          <w:ilvl w:val="0"/>
          <w:numId w:val="8"/>
        </w:numPr>
        <w:spacing w:line="264" w:lineRule="auto"/>
        <w:contextualSpacing w:val="0"/>
        <w:jc w:val="both"/>
        <w:rPr>
          <w:rFonts w:ascii="Arial" w:hAnsi="Arial" w:cs="Arial"/>
          <w:szCs w:val="24"/>
        </w:rPr>
      </w:pPr>
      <w:r w:rsidRPr="005E0661">
        <w:rPr>
          <w:rFonts w:ascii="Arial" w:hAnsi="Arial" w:cs="Arial"/>
          <w:szCs w:val="24"/>
        </w:rPr>
        <w:t xml:space="preserve">Site visits to jurisdictions implementing promising practices supported by a community-based infrastructure to sustain effective alternatives to detention for high-risk, high-need, juveniles. </w:t>
      </w:r>
    </w:p>
    <w:p w14:paraId="4234A3D0" w14:textId="4A9142DA" w:rsidR="001B69DA" w:rsidRDefault="001B69DA" w:rsidP="0036705B">
      <w:pPr>
        <w:pStyle w:val="ListParagraph"/>
        <w:numPr>
          <w:ilvl w:val="0"/>
          <w:numId w:val="8"/>
        </w:numPr>
        <w:spacing w:line="264" w:lineRule="auto"/>
        <w:contextualSpacing w:val="0"/>
        <w:jc w:val="both"/>
        <w:rPr>
          <w:rFonts w:ascii="Arial" w:hAnsi="Arial" w:cs="Arial"/>
          <w:szCs w:val="24"/>
        </w:rPr>
      </w:pPr>
      <w:r w:rsidRPr="005E0661">
        <w:rPr>
          <w:rFonts w:ascii="Arial" w:hAnsi="Arial" w:cs="Arial"/>
          <w:szCs w:val="24"/>
        </w:rPr>
        <w:lastRenderedPageBreak/>
        <w:t>Analysis of capital needs to support therapeutic residential care for youth unable to return home due to individual or community risks or needs.</w:t>
      </w:r>
      <w:r w:rsidR="001E7B24">
        <w:rPr>
          <w:rFonts w:ascii="Arial" w:hAnsi="Arial" w:cs="Arial"/>
          <w:szCs w:val="24"/>
        </w:rPr>
        <w:t>”</w:t>
      </w:r>
    </w:p>
    <w:p w14:paraId="33AADEBC" w14:textId="77777777" w:rsidR="001E7B24" w:rsidRPr="005E0661" w:rsidRDefault="001E7B24" w:rsidP="0036705B">
      <w:pPr>
        <w:pStyle w:val="ListParagraph"/>
        <w:spacing w:line="264" w:lineRule="auto"/>
        <w:ind w:left="1080"/>
        <w:contextualSpacing w:val="0"/>
        <w:jc w:val="both"/>
        <w:rPr>
          <w:rFonts w:ascii="Arial" w:hAnsi="Arial" w:cs="Arial"/>
          <w:szCs w:val="24"/>
        </w:rPr>
      </w:pPr>
    </w:p>
    <w:p w14:paraId="53256FF4" w14:textId="4E3EDDAF" w:rsidR="005C2E8B" w:rsidRDefault="00891AB4" w:rsidP="002D349E">
      <w:pPr>
        <w:spacing w:line="264" w:lineRule="auto"/>
        <w:jc w:val="both"/>
        <w:rPr>
          <w:rFonts w:ascii="Arial" w:hAnsi="Arial" w:cs="Arial"/>
          <w:szCs w:val="24"/>
        </w:rPr>
      </w:pPr>
      <w:r>
        <w:rPr>
          <w:rFonts w:ascii="Arial" w:hAnsi="Arial" w:cs="Arial"/>
          <w:szCs w:val="24"/>
        </w:rPr>
        <w:t xml:space="preserve">Executive staff </w:t>
      </w:r>
      <w:r w:rsidR="001E7B24">
        <w:rPr>
          <w:rFonts w:ascii="Arial" w:hAnsi="Arial" w:cs="Arial"/>
          <w:szCs w:val="24"/>
        </w:rPr>
        <w:t xml:space="preserve">note that the </w:t>
      </w:r>
      <w:r w:rsidR="001B69DA" w:rsidRPr="005E0661">
        <w:rPr>
          <w:rFonts w:ascii="Arial" w:hAnsi="Arial" w:cs="Arial"/>
          <w:szCs w:val="24"/>
        </w:rPr>
        <w:t xml:space="preserve">project timeline is not yet determined, but this work is intended to commence as early as possible in the 2021-2022 biennium. </w:t>
      </w:r>
    </w:p>
    <w:p w14:paraId="5CCB6B8C" w14:textId="02E9C60F" w:rsidR="00A01166" w:rsidRDefault="00A01166" w:rsidP="002D349E">
      <w:pPr>
        <w:spacing w:line="264" w:lineRule="auto"/>
        <w:jc w:val="both"/>
        <w:rPr>
          <w:rFonts w:ascii="Arial" w:hAnsi="Arial" w:cs="Arial"/>
          <w:szCs w:val="24"/>
        </w:rPr>
      </w:pPr>
    </w:p>
    <w:p w14:paraId="5D5FEC03" w14:textId="43EE22A2" w:rsidR="00A01166" w:rsidRPr="009849DD" w:rsidRDefault="00A01166" w:rsidP="002D349E">
      <w:pPr>
        <w:spacing w:line="264" w:lineRule="auto"/>
        <w:jc w:val="both"/>
        <w:rPr>
          <w:rFonts w:ascii="Arial" w:hAnsi="Arial" w:cs="Arial"/>
          <w:color w:val="C00000"/>
          <w:szCs w:val="24"/>
        </w:rPr>
      </w:pPr>
    </w:p>
    <w:p w14:paraId="59DF0AA4" w14:textId="77777777" w:rsidR="00533B26" w:rsidRPr="009849DD" w:rsidRDefault="00533B26" w:rsidP="00533B26">
      <w:pPr>
        <w:spacing w:line="264" w:lineRule="auto"/>
        <w:contextualSpacing/>
        <w:jc w:val="center"/>
        <w:rPr>
          <w:rFonts w:ascii="Arial" w:hAnsi="Arial" w:cs="Arial"/>
          <w:b/>
          <w:smallCaps/>
          <w:szCs w:val="24"/>
          <w:u w:val="single"/>
        </w:rPr>
      </w:pPr>
      <w:r w:rsidRPr="009849DD">
        <w:rPr>
          <w:rFonts w:ascii="Arial" w:hAnsi="Arial" w:cs="Arial"/>
          <w:b/>
          <w:smallCaps/>
          <w:szCs w:val="24"/>
          <w:u w:val="single"/>
        </w:rPr>
        <w:t>Response to Council Inquiries</w:t>
      </w:r>
    </w:p>
    <w:p w14:paraId="5CA81D81" w14:textId="77777777" w:rsidR="00533B26" w:rsidRPr="009849DD" w:rsidRDefault="00533B26" w:rsidP="00533B26">
      <w:pPr>
        <w:spacing w:line="264" w:lineRule="auto"/>
        <w:contextualSpacing/>
        <w:jc w:val="center"/>
        <w:rPr>
          <w:rFonts w:ascii="Arial" w:hAnsi="Arial" w:cs="Arial"/>
          <w:szCs w:val="24"/>
        </w:rPr>
      </w:pPr>
    </w:p>
    <w:p w14:paraId="16BD06D0" w14:textId="7BC8C5AC" w:rsidR="00533B26" w:rsidRPr="009849DD" w:rsidRDefault="00533B26" w:rsidP="008949AE">
      <w:pPr>
        <w:contextualSpacing/>
        <w:jc w:val="both"/>
        <w:rPr>
          <w:rFonts w:ascii="Arial" w:hAnsi="Arial" w:cs="Arial"/>
          <w:b/>
          <w:smallCaps/>
          <w:szCs w:val="24"/>
        </w:rPr>
      </w:pPr>
      <w:r w:rsidRPr="009849DD">
        <w:rPr>
          <w:rFonts w:ascii="Arial" w:hAnsi="Arial" w:cs="Arial"/>
          <w:b/>
          <w:smallCaps/>
          <w:szCs w:val="24"/>
          <w:u w:val="single"/>
        </w:rPr>
        <w:t>Question 1:</w:t>
      </w:r>
      <w:r w:rsidRPr="009849DD">
        <w:rPr>
          <w:rFonts w:ascii="Arial" w:hAnsi="Arial" w:cs="Arial"/>
          <w:b/>
          <w:smallCaps/>
          <w:szCs w:val="24"/>
        </w:rPr>
        <w:t xml:space="preserve">  </w:t>
      </w:r>
      <w:r w:rsidR="001E690C" w:rsidRPr="009849DD">
        <w:rPr>
          <w:rFonts w:ascii="Arial" w:hAnsi="Arial" w:cs="Arial"/>
          <w:b/>
          <w:smallCaps/>
          <w:szCs w:val="24"/>
        </w:rPr>
        <w:t xml:space="preserve">Does DAJD </w:t>
      </w:r>
      <w:r w:rsidR="005D15CC" w:rsidRPr="009849DD">
        <w:rPr>
          <w:rFonts w:ascii="Arial" w:hAnsi="Arial" w:cs="Arial"/>
          <w:b/>
          <w:smallCaps/>
          <w:szCs w:val="24"/>
        </w:rPr>
        <w:t>oversee</w:t>
      </w:r>
      <w:r w:rsidR="001E690C" w:rsidRPr="009849DD">
        <w:rPr>
          <w:rFonts w:ascii="Arial" w:hAnsi="Arial" w:cs="Arial"/>
          <w:b/>
          <w:smallCaps/>
          <w:szCs w:val="24"/>
        </w:rPr>
        <w:t xml:space="preserve"> Electronic Home Monitoring</w:t>
      </w:r>
      <w:r w:rsidR="007356BE" w:rsidRPr="009849DD">
        <w:rPr>
          <w:rFonts w:ascii="Arial" w:hAnsi="Arial" w:cs="Arial"/>
          <w:b/>
          <w:smallCaps/>
          <w:szCs w:val="24"/>
        </w:rPr>
        <w:t xml:space="preserve"> (EHM)</w:t>
      </w:r>
      <w:r w:rsidR="001E690C" w:rsidRPr="009849DD">
        <w:rPr>
          <w:rFonts w:ascii="Arial" w:hAnsi="Arial" w:cs="Arial"/>
          <w:b/>
          <w:smallCaps/>
          <w:szCs w:val="24"/>
        </w:rPr>
        <w:t xml:space="preserve"> </w:t>
      </w:r>
      <w:r w:rsidR="005D15CC" w:rsidRPr="009849DD">
        <w:rPr>
          <w:rFonts w:ascii="Arial" w:hAnsi="Arial" w:cs="Arial"/>
          <w:b/>
          <w:smallCaps/>
          <w:szCs w:val="24"/>
        </w:rPr>
        <w:t>24</w:t>
      </w:r>
      <w:r w:rsidR="007356BE" w:rsidRPr="009849DD">
        <w:rPr>
          <w:rFonts w:ascii="Arial" w:hAnsi="Arial" w:cs="Arial"/>
          <w:b/>
          <w:smallCaps/>
          <w:szCs w:val="24"/>
        </w:rPr>
        <w:t>-</w:t>
      </w:r>
      <w:r w:rsidR="005D15CC" w:rsidRPr="009849DD">
        <w:rPr>
          <w:rFonts w:ascii="Arial" w:hAnsi="Arial" w:cs="Arial"/>
          <w:b/>
          <w:smallCaps/>
          <w:szCs w:val="24"/>
        </w:rPr>
        <w:t>hours</w:t>
      </w:r>
      <w:r w:rsidR="007356BE" w:rsidRPr="009849DD">
        <w:rPr>
          <w:rFonts w:ascii="Arial" w:hAnsi="Arial" w:cs="Arial"/>
          <w:b/>
          <w:smallCaps/>
          <w:szCs w:val="24"/>
        </w:rPr>
        <w:t>-</w:t>
      </w:r>
      <w:r w:rsidR="006B62DE" w:rsidRPr="009849DD">
        <w:rPr>
          <w:rFonts w:ascii="Arial" w:hAnsi="Arial" w:cs="Arial"/>
          <w:b/>
          <w:smallCaps/>
          <w:szCs w:val="24"/>
        </w:rPr>
        <w:t>a</w:t>
      </w:r>
      <w:r w:rsidR="007356BE" w:rsidRPr="009849DD">
        <w:rPr>
          <w:rFonts w:ascii="Arial" w:hAnsi="Arial" w:cs="Arial"/>
          <w:b/>
          <w:smallCaps/>
          <w:szCs w:val="24"/>
        </w:rPr>
        <w:t>-</w:t>
      </w:r>
      <w:r w:rsidR="006B62DE" w:rsidRPr="009849DD">
        <w:rPr>
          <w:rFonts w:ascii="Arial" w:hAnsi="Arial" w:cs="Arial"/>
          <w:b/>
          <w:smallCaps/>
          <w:szCs w:val="24"/>
        </w:rPr>
        <w:t>day / 7</w:t>
      </w:r>
      <w:r w:rsidR="007356BE" w:rsidRPr="009849DD">
        <w:rPr>
          <w:rFonts w:ascii="Arial" w:hAnsi="Arial" w:cs="Arial"/>
          <w:b/>
          <w:smallCaps/>
          <w:szCs w:val="24"/>
        </w:rPr>
        <w:t>-</w:t>
      </w:r>
      <w:r w:rsidR="006B62DE" w:rsidRPr="009849DD">
        <w:rPr>
          <w:rFonts w:ascii="Arial" w:hAnsi="Arial" w:cs="Arial"/>
          <w:b/>
          <w:smallCaps/>
          <w:szCs w:val="24"/>
        </w:rPr>
        <w:t>days</w:t>
      </w:r>
      <w:r w:rsidR="007356BE" w:rsidRPr="009849DD">
        <w:rPr>
          <w:rFonts w:ascii="Arial" w:hAnsi="Arial" w:cs="Arial"/>
          <w:b/>
          <w:smallCaps/>
          <w:szCs w:val="24"/>
        </w:rPr>
        <w:t>-</w:t>
      </w:r>
      <w:r w:rsidR="006B62DE" w:rsidRPr="009849DD">
        <w:rPr>
          <w:rFonts w:ascii="Arial" w:hAnsi="Arial" w:cs="Arial"/>
          <w:b/>
          <w:smallCaps/>
          <w:szCs w:val="24"/>
        </w:rPr>
        <w:t>a</w:t>
      </w:r>
      <w:r w:rsidR="007356BE" w:rsidRPr="009849DD">
        <w:rPr>
          <w:rFonts w:ascii="Arial" w:hAnsi="Arial" w:cs="Arial"/>
          <w:b/>
          <w:smallCaps/>
          <w:szCs w:val="24"/>
        </w:rPr>
        <w:t>-</w:t>
      </w:r>
      <w:r w:rsidR="006B62DE" w:rsidRPr="009849DD">
        <w:rPr>
          <w:rFonts w:ascii="Arial" w:hAnsi="Arial" w:cs="Arial"/>
          <w:b/>
          <w:smallCaps/>
          <w:szCs w:val="24"/>
        </w:rPr>
        <w:t>week and report violations to the Court?</w:t>
      </w:r>
    </w:p>
    <w:p w14:paraId="6023696F" w14:textId="4990A80E" w:rsidR="00C12A2D" w:rsidRPr="009849DD" w:rsidRDefault="00C12A2D" w:rsidP="008949AE">
      <w:pPr>
        <w:contextualSpacing/>
        <w:jc w:val="both"/>
        <w:rPr>
          <w:rFonts w:ascii="Arial" w:hAnsi="Arial" w:cs="Arial"/>
          <w:b/>
          <w:smallCaps/>
          <w:szCs w:val="24"/>
        </w:rPr>
      </w:pPr>
    </w:p>
    <w:p w14:paraId="1D0DEACE" w14:textId="3A03FC86" w:rsidR="00537C40" w:rsidRPr="009849DD" w:rsidRDefault="00C114CF" w:rsidP="00397C2B">
      <w:pPr>
        <w:jc w:val="both"/>
        <w:rPr>
          <w:rFonts w:ascii="Arial" w:hAnsi="Arial" w:cs="Arial"/>
          <w:szCs w:val="24"/>
        </w:rPr>
      </w:pPr>
      <w:r w:rsidRPr="009849DD">
        <w:rPr>
          <w:rFonts w:ascii="Arial" w:hAnsi="Arial" w:cs="Arial"/>
          <w:smallCaps/>
          <w:szCs w:val="24"/>
          <w:u w:val="single"/>
        </w:rPr>
        <w:t>Answer:</w:t>
      </w:r>
      <w:r w:rsidRPr="009849DD">
        <w:rPr>
          <w:rFonts w:ascii="Arial" w:hAnsi="Arial" w:cs="Arial"/>
          <w:smallCaps/>
          <w:szCs w:val="24"/>
        </w:rPr>
        <w:t xml:space="preserve">  </w:t>
      </w:r>
      <w:r w:rsidR="00250C9D" w:rsidRPr="009849DD">
        <w:rPr>
          <w:rFonts w:ascii="Arial" w:hAnsi="Arial" w:cs="Arial"/>
          <w:szCs w:val="24"/>
        </w:rPr>
        <w:t xml:space="preserve">As of October </w:t>
      </w:r>
      <w:r w:rsidR="007356BE" w:rsidRPr="009849DD">
        <w:rPr>
          <w:rFonts w:ascii="Arial" w:hAnsi="Arial" w:cs="Arial"/>
          <w:szCs w:val="24"/>
        </w:rPr>
        <w:t>8, 2020, t</w:t>
      </w:r>
      <w:r w:rsidR="00537C40" w:rsidRPr="009849DD">
        <w:rPr>
          <w:rFonts w:ascii="Arial" w:hAnsi="Arial" w:cs="Arial"/>
          <w:szCs w:val="24"/>
        </w:rPr>
        <w:t xml:space="preserve">here </w:t>
      </w:r>
      <w:r w:rsidR="007356BE" w:rsidRPr="009849DD">
        <w:rPr>
          <w:rFonts w:ascii="Arial" w:hAnsi="Arial" w:cs="Arial"/>
          <w:szCs w:val="24"/>
        </w:rPr>
        <w:t>were</w:t>
      </w:r>
      <w:r w:rsidR="00537C40" w:rsidRPr="009849DD">
        <w:rPr>
          <w:rFonts w:ascii="Arial" w:hAnsi="Arial" w:cs="Arial"/>
          <w:szCs w:val="24"/>
        </w:rPr>
        <w:t xml:space="preserve"> 213 individuals on EHM (DAJD is budgeted for 65</w:t>
      </w:r>
      <w:r w:rsidR="007356BE" w:rsidRPr="009849DD">
        <w:rPr>
          <w:rFonts w:ascii="Arial" w:hAnsi="Arial" w:cs="Arial"/>
          <w:szCs w:val="24"/>
        </w:rPr>
        <w:t xml:space="preserve"> persons on EHM</w:t>
      </w:r>
      <w:r w:rsidR="00537C40" w:rsidRPr="009849DD">
        <w:rPr>
          <w:rFonts w:ascii="Arial" w:hAnsi="Arial" w:cs="Arial"/>
          <w:szCs w:val="24"/>
        </w:rPr>
        <w:t>).   </w:t>
      </w:r>
      <w:r w:rsidR="004200DD" w:rsidRPr="009849DD">
        <w:rPr>
          <w:rFonts w:ascii="Arial" w:hAnsi="Arial" w:cs="Arial"/>
          <w:szCs w:val="24"/>
        </w:rPr>
        <w:t xml:space="preserve">The County has significantly expanded the use of the </w:t>
      </w:r>
      <w:r w:rsidR="00651304" w:rsidRPr="009849DD">
        <w:rPr>
          <w:rFonts w:ascii="Arial" w:hAnsi="Arial" w:cs="Arial"/>
          <w:szCs w:val="24"/>
        </w:rPr>
        <w:t>EHM as par</w:t>
      </w:r>
      <w:r w:rsidR="005202BC" w:rsidRPr="009849DD">
        <w:rPr>
          <w:rFonts w:ascii="Arial" w:hAnsi="Arial" w:cs="Arial"/>
          <w:szCs w:val="24"/>
        </w:rPr>
        <w:t>t of its response to the COVID p</w:t>
      </w:r>
      <w:r w:rsidR="00651304" w:rsidRPr="009849DD">
        <w:rPr>
          <w:rFonts w:ascii="Arial" w:hAnsi="Arial" w:cs="Arial"/>
          <w:szCs w:val="24"/>
        </w:rPr>
        <w:t>andemic.  Nevertheless, t</w:t>
      </w:r>
      <w:r w:rsidR="00537C40" w:rsidRPr="009849DD">
        <w:rPr>
          <w:rFonts w:ascii="Arial" w:hAnsi="Arial" w:cs="Arial"/>
          <w:szCs w:val="24"/>
        </w:rPr>
        <w:t>he use of EHM is restricted by state statute (</w:t>
      </w:r>
      <w:r w:rsidR="00651304" w:rsidRPr="009849DD">
        <w:rPr>
          <w:rFonts w:ascii="Arial" w:hAnsi="Arial" w:cs="Arial"/>
          <w:szCs w:val="24"/>
        </w:rPr>
        <w:t xml:space="preserve">for </w:t>
      </w:r>
      <w:r w:rsidR="00537C40" w:rsidRPr="009849DD">
        <w:rPr>
          <w:rFonts w:ascii="Arial" w:hAnsi="Arial" w:cs="Arial"/>
          <w:szCs w:val="24"/>
        </w:rPr>
        <w:t>pretrial</w:t>
      </w:r>
      <w:r w:rsidR="00651304" w:rsidRPr="009849DD">
        <w:rPr>
          <w:rFonts w:ascii="Arial" w:hAnsi="Arial" w:cs="Arial"/>
          <w:szCs w:val="24"/>
        </w:rPr>
        <w:t xml:space="preserve"> defendants</w:t>
      </w:r>
      <w:r w:rsidR="00537C40" w:rsidRPr="009849DD">
        <w:rPr>
          <w:rFonts w:ascii="Arial" w:hAnsi="Arial" w:cs="Arial"/>
          <w:szCs w:val="24"/>
        </w:rPr>
        <w:t>: see RCW 10.21.015 regarding violent and sex offense restrictions</w:t>
      </w:r>
      <w:r w:rsidR="00397C2B" w:rsidRPr="009849DD">
        <w:rPr>
          <w:rFonts w:ascii="Arial" w:hAnsi="Arial" w:cs="Arial"/>
          <w:szCs w:val="24"/>
        </w:rPr>
        <w:t>,</w:t>
      </w:r>
      <w:r w:rsidR="00537C40" w:rsidRPr="009849DD">
        <w:rPr>
          <w:rFonts w:ascii="Arial" w:hAnsi="Arial" w:cs="Arial"/>
          <w:szCs w:val="24"/>
        </w:rPr>
        <w:t xml:space="preserve"> and </w:t>
      </w:r>
      <w:r w:rsidR="004200DD" w:rsidRPr="009849DD">
        <w:rPr>
          <w:rFonts w:ascii="Arial" w:hAnsi="Arial" w:cs="Arial"/>
          <w:szCs w:val="24"/>
        </w:rPr>
        <w:t xml:space="preserve">for </w:t>
      </w:r>
      <w:r w:rsidR="00537C40" w:rsidRPr="009849DD">
        <w:rPr>
          <w:rFonts w:ascii="Arial" w:hAnsi="Arial" w:cs="Arial"/>
          <w:szCs w:val="24"/>
        </w:rPr>
        <w:t>sentenced</w:t>
      </w:r>
      <w:r w:rsidR="004200DD" w:rsidRPr="009849DD">
        <w:rPr>
          <w:rFonts w:ascii="Arial" w:hAnsi="Arial" w:cs="Arial"/>
          <w:szCs w:val="24"/>
        </w:rPr>
        <w:t xml:space="preserve"> individuals</w:t>
      </w:r>
      <w:r w:rsidR="00537C40" w:rsidRPr="009849DD">
        <w:rPr>
          <w:rFonts w:ascii="Arial" w:hAnsi="Arial" w:cs="Arial"/>
          <w:szCs w:val="24"/>
        </w:rPr>
        <w:t>: see RCW 9.94A.734 for restricted crimes).</w:t>
      </w:r>
      <w:r w:rsidR="00C6338F" w:rsidRPr="009849DD">
        <w:rPr>
          <w:rFonts w:ascii="Arial" w:hAnsi="Arial" w:cs="Arial"/>
          <w:szCs w:val="24"/>
        </w:rPr>
        <w:t xml:space="preserve"> </w:t>
      </w:r>
      <w:r w:rsidR="00397C2B" w:rsidRPr="009849DD">
        <w:rPr>
          <w:rFonts w:ascii="Arial" w:hAnsi="Arial" w:cs="Arial"/>
          <w:szCs w:val="24"/>
        </w:rPr>
        <w:t xml:space="preserve"> </w:t>
      </w:r>
      <w:r w:rsidR="00537C40" w:rsidRPr="009849DD">
        <w:rPr>
          <w:rFonts w:ascii="Arial" w:hAnsi="Arial" w:cs="Arial"/>
          <w:szCs w:val="24"/>
        </w:rPr>
        <w:t>RCW 9.94A.736 requires that:</w:t>
      </w:r>
    </w:p>
    <w:p w14:paraId="0FB01221" w14:textId="77777777" w:rsidR="0051126E" w:rsidRPr="009849DD" w:rsidRDefault="0051126E" w:rsidP="00397C2B">
      <w:pPr>
        <w:jc w:val="both"/>
        <w:rPr>
          <w:rFonts w:ascii="Arial" w:hAnsi="Arial" w:cs="Arial"/>
          <w:szCs w:val="24"/>
        </w:rPr>
      </w:pPr>
    </w:p>
    <w:p w14:paraId="39F5AF96" w14:textId="77777777" w:rsidR="00537C40" w:rsidRPr="009849DD" w:rsidRDefault="00537C40" w:rsidP="00537C40">
      <w:pPr>
        <w:shd w:val="clear" w:color="auto" w:fill="FFFFFF"/>
        <w:ind w:firstLine="720"/>
        <w:rPr>
          <w:rFonts w:ascii="Arial" w:hAnsi="Arial" w:cs="Arial"/>
          <w:i/>
          <w:iCs/>
          <w:szCs w:val="24"/>
        </w:rPr>
      </w:pPr>
      <w:r w:rsidRPr="009849DD">
        <w:rPr>
          <w:rFonts w:ascii="Arial" w:hAnsi="Arial" w:cs="Arial"/>
          <w:i/>
          <w:iCs/>
          <w:szCs w:val="24"/>
        </w:rPr>
        <w:t>“(2) A monitoring agency shall:</w:t>
      </w:r>
    </w:p>
    <w:p w14:paraId="215DE3A9" w14:textId="77777777" w:rsidR="00537C40" w:rsidRPr="009849DD" w:rsidRDefault="00537C40" w:rsidP="00537C40">
      <w:pPr>
        <w:numPr>
          <w:ilvl w:val="0"/>
          <w:numId w:val="10"/>
        </w:numPr>
        <w:shd w:val="clear" w:color="auto" w:fill="FFFFFF"/>
        <w:rPr>
          <w:rFonts w:ascii="Arial" w:hAnsi="Arial" w:cs="Arial"/>
          <w:i/>
          <w:iCs/>
          <w:szCs w:val="24"/>
        </w:rPr>
      </w:pPr>
      <w:r w:rsidRPr="009849DD">
        <w:rPr>
          <w:rFonts w:ascii="Arial" w:hAnsi="Arial" w:cs="Arial"/>
          <w:i/>
          <w:iCs/>
          <w:szCs w:val="24"/>
        </w:rPr>
        <w:t>Provide notification within twenty-four hours to the court or other supervising agency when the monitoring agency discovers that the monitored individual is unaccounted for…”</w:t>
      </w:r>
    </w:p>
    <w:p w14:paraId="4D10488E" w14:textId="0BDAB2AE" w:rsidR="00397C2B" w:rsidRPr="009849DD" w:rsidRDefault="00397C2B" w:rsidP="00537C40">
      <w:pPr>
        <w:shd w:val="clear" w:color="auto" w:fill="FFFFFF"/>
        <w:rPr>
          <w:rFonts w:ascii="Arial" w:hAnsi="Arial" w:cs="Arial"/>
          <w:szCs w:val="24"/>
        </w:rPr>
      </w:pPr>
    </w:p>
    <w:p w14:paraId="7C6FED2F" w14:textId="77777777" w:rsidR="009849DD" w:rsidRDefault="006C6258" w:rsidP="0096185F">
      <w:pPr>
        <w:shd w:val="clear" w:color="auto" w:fill="FFFFFF"/>
        <w:jc w:val="both"/>
        <w:rPr>
          <w:rFonts w:ascii="Arial" w:hAnsi="Arial" w:cs="Arial"/>
          <w:szCs w:val="24"/>
        </w:rPr>
      </w:pPr>
      <w:r w:rsidRPr="009849DD">
        <w:rPr>
          <w:rFonts w:ascii="Arial" w:hAnsi="Arial" w:cs="Arial"/>
          <w:szCs w:val="24"/>
        </w:rPr>
        <w:t xml:space="preserve">The placement of a person on EHM </w:t>
      </w:r>
      <w:r w:rsidR="0025182E" w:rsidRPr="009849DD">
        <w:rPr>
          <w:rFonts w:ascii="Arial" w:hAnsi="Arial" w:cs="Arial"/>
          <w:szCs w:val="24"/>
        </w:rPr>
        <w:t xml:space="preserve">can occur pre-trial or as part of a criminal sentence.  The </w:t>
      </w:r>
      <w:r w:rsidR="009275FF" w:rsidRPr="009849DD">
        <w:rPr>
          <w:rFonts w:ascii="Arial" w:hAnsi="Arial" w:cs="Arial"/>
          <w:szCs w:val="24"/>
        </w:rPr>
        <w:t>decision to place a person on EHM is made by a judicial officer, with input from</w:t>
      </w:r>
      <w:r w:rsidR="00B95B24" w:rsidRPr="009849DD">
        <w:rPr>
          <w:rFonts w:ascii="Arial" w:hAnsi="Arial" w:cs="Arial"/>
          <w:szCs w:val="24"/>
        </w:rPr>
        <w:t xml:space="preserve"> the PAO, defense</w:t>
      </w:r>
      <w:r w:rsidR="008605D7" w:rsidRPr="009849DD">
        <w:rPr>
          <w:rFonts w:ascii="Arial" w:hAnsi="Arial" w:cs="Arial"/>
          <w:szCs w:val="24"/>
        </w:rPr>
        <w:t xml:space="preserve"> attorney, and DAJD.  Once placed on EHM, </w:t>
      </w:r>
      <w:r w:rsidR="008C4E5E" w:rsidRPr="009849DD">
        <w:rPr>
          <w:rFonts w:ascii="Arial" w:hAnsi="Arial" w:cs="Arial"/>
          <w:szCs w:val="24"/>
        </w:rPr>
        <w:t xml:space="preserve">staff from the department’s </w:t>
      </w:r>
      <w:r w:rsidR="005F07AE" w:rsidRPr="009849DD">
        <w:rPr>
          <w:rFonts w:ascii="Arial" w:hAnsi="Arial" w:cs="Arial"/>
          <w:szCs w:val="24"/>
        </w:rPr>
        <w:t>Community Corrections Division (CCD) attach the equipment needed for monitoring</w:t>
      </w:r>
      <w:r w:rsidR="001F34A6" w:rsidRPr="009849DD">
        <w:rPr>
          <w:rFonts w:ascii="Arial" w:hAnsi="Arial" w:cs="Arial"/>
          <w:szCs w:val="24"/>
        </w:rPr>
        <w:t xml:space="preserve"> after instructing the individuals on the program requirements.  </w:t>
      </w:r>
    </w:p>
    <w:p w14:paraId="156B17A4" w14:textId="77777777" w:rsidR="009849DD" w:rsidRDefault="009849DD" w:rsidP="0096185F">
      <w:pPr>
        <w:shd w:val="clear" w:color="auto" w:fill="FFFFFF"/>
        <w:jc w:val="both"/>
        <w:rPr>
          <w:rFonts w:ascii="Arial" w:hAnsi="Arial" w:cs="Arial"/>
          <w:szCs w:val="24"/>
        </w:rPr>
      </w:pPr>
    </w:p>
    <w:p w14:paraId="5F30CE53" w14:textId="6CEB2EB0" w:rsidR="00537C40" w:rsidRPr="009849DD" w:rsidRDefault="001F34A6" w:rsidP="0096185F">
      <w:pPr>
        <w:shd w:val="clear" w:color="auto" w:fill="FFFFFF"/>
        <w:jc w:val="both"/>
        <w:rPr>
          <w:rFonts w:ascii="Arial" w:hAnsi="Arial" w:cs="Arial"/>
          <w:szCs w:val="24"/>
        </w:rPr>
      </w:pPr>
      <w:r w:rsidRPr="009849DD">
        <w:rPr>
          <w:rFonts w:ascii="Arial" w:hAnsi="Arial" w:cs="Arial"/>
          <w:szCs w:val="24"/>
        </w:rPr>
        <w:t xml:space="preserve">The actual </w:t>
      </w:r>
      <w:r w:rsidR="00397C2B" w:rsidRPr="009849DD">
        <w:rPr>
          <w:rFonts w:ascii="Arial" w:hAnsi="Arial" w:cs="Arial"/>
          <w:szCs w:val="24"/>
        </w:rPr>
        <w:t xml:space="preserve">monitoring of persons </w:t>
      </w:r>
      <w:r w:rsidRPr="009849DD">
        <w:rPr>
          <w:rFonts w:ascii="Arial" w:hAnsi="Arial" w:cs="Arial"/>
          <w:szCs w:val="24"/>
        </w:rPr>
        <w:t xml:space="preserve">is </w:t>
      </w:r>
      <w:r w:rsidR="002D13DD" w:rsidRPr="009849DD">
        <w:rPr>
          <w:rFonts w:ascii="Arial" w:hAnsi="Arial" w:cs="Arial"/>
          <w:szCs w:val="24"/>
        </w:rPr>
        <w:t xml:space="preserve">accomplished by a private </w:t>
      </w:r>
      <w:r w:rsidR="00397C2B" w:rsidRPr="009849DD">
        <w:rPr>
          <w:rFonts w:ascii="Arial" w:hAnsi="Arial" w:cs="Arial"/>
          <w:szCs w:val="24"/>
        </w:rPr>
        <w:t>vendor</w:t>
      </w:r>
      <w:r w:rsidR="002D13DD" w:rsidRPr="009849DD">
        <w:rPr>
          <w:rFonts w:ascii="Arial" w:hAnsi="Arial" w:cs="Arial"/>
          <w:szCs w:val="24"/>
        </w:rPr>
        <w:t xml:space="preserve">, which monitors </w:t>
      </w:r>
      <w:r w:rsidR="00397C2B" w:rsidRPr="009849DD">
        <w:rPr>
          <w:rFonts w:ascii="Arial" w:hAnsi="Arial" w:cs="Arial"/>
          <w:szCs w:val="24"/>
        </w:rPr>
        <w:t xml:space="preserve">24 hours-a-day/7 days-a-week, where the vendor of the service notifies </w:t>
      </w:r>
      <w:r w:rsidR="00D523AF" w:rsidRPr="009849DD">
        <w:rPr>
          <w:rFonts w:ascii="Arial" w:hAnsi="Arial" w:cs="Arial"/>
          <w:szCs w:val="24"/>
        </w:rPr>
        <w:t xml:space="preserve">CCD </w:t>
      </w:r>
      <w:r w:rsidR="00F74EAE" w:rsidRPr="009849DD">
        <w:rPr>
          <w:rFonts w:ascii="Arial" w:hAnsi="Arial" w:cs="Arial"/>
          <w:szCs w:val="24"/>
        </w:rPr>
        <w:t xml:space="preserve">immediately after the violation occurs via email. </w:t>
      </w:r>
      <w:r w:rsidR="00537C40" w:rsidRPr="009849DD">
        <w:rPr>
          <w:rFonts w:ascii="Arial" w:hAnsi="Arial" w:cs="Arial"/>
          <w:szCs w:val="24"/>
        </w:rPr>
        <w:t xml:space="preserve">When there is a violation, CCD staff notify the court and the court can </w:t>
      </w:r>
      <w:r w:rsidR="002B2597" w:rsidRPr="009849DD">
        <w:rPr>
          <w:rFonts w:ascii="Arial" w:hAnsi="Arial" w:cs="Arial"/>
          <w:szCs w:val="24"/>
        </w:rPr>
        <w:t xml:space="preserve">take a variety of actions, including ordering a hearing or </w:t>
      </w:r>
      <w:r w:rsidR="00537C40" w:rsidRPr="009849DD">
        <w:rPr>
          <w:rFonts w:ascii="Arial" w:hAnsi="Arial" w:cs="Arial"/>
          <w:szCs w:val="24"/>
        </w:rPr>
        <w:t>issu</w:t>
      </w:r>
      <w:r w:rsidR="002B2597" w:rsidRPr="009849DD">
        <w:rPr>
          <w:rFonts w:ascii="Arial" w:hAnsi="Arial" w:cs="Arial"/>
          <w:szCs w:val="24"/>
        </w:rPr>
        <w:t>ing</w:t>
      </w:r>
      <w:r w:rsidR="00537C40" w:rsidRPr="009849DD">
        <w:rPr>
          <w:rFonts w:ascii="Arial" w:hAnsi="Arial" w:cs="Arial"/>
          <w:szCs w:val="24"/>
        </w:rPr>
        <w:t xml:space="preserve"> a</w:t>
      </w:r>
      <w:r w:rsidR="002B2597" w:rsidRPr="009849DD">
        <w:rPr>
          <w:rFonts w:ascii="Arial" w:hAnsi="Arial" w:cs="Arial"/>
          <w:szCs w:val="24"/>
        </w:rPr>
        <w:t>n arrest</w:t>
      </w:r>
      <w:r w:rsidR="00537C40" w:rsidRPr="009849DD">
        <w:rPr>
          <w:rFonts w:ascii="Arial" w:hAnsi="Arial" w:cs="Arial"/>
          <w:szCs w:val="24"/>
        </w:rPr>
        <w:t xml:space="preserve"> warrant.  </w:t>
      </w:r>
      <w:r w:rsidR="00CC5D46" w:rsidRPr="009849DD">
        <w:rPr>
          <w:rFonts w:ascii="Arial" w:hAnsi="Arial" w:cs="Arial"/>
          <w:szCs w:val="24"/>
        </w:rPr>
        <w:t xml:space="preserve">It should be noted that the County does not have staff that go out to a participant’s home when there is a violation.  </w:t>
      </w:r>
      <w:r w:rsidR="002E558D" w:rsidRPr="009849DD">
        <w:rPr>
          <w:rFonts w:ascii="Arial" w:hAnsi="Arial" w:cs="Arial"/>
          <w:szCs w:val="24"/>
        </w:rPr>
        <w:t>With the current system</w:t>
      </w:r>
      <w:r w:rsidR="00537C40" w:rsidRPr="009849DD">
        <w:rPr>
          <w:rFonts w:ascii="Arial" w:hAnsi="Arial" w:cs="Arial"/>
          <w:szCs w:val="24"/>
        </w:rPr>
        <w:t xml:space="preserve">, CCD staff </w:t>
      </w:r>
      <w:r w:rsidR="00CC5D46" w:rsidRPr="009849DD">
        <w:rPr>
          <w:rFonts w:ascii="Arial" w:hAnsi="Arial" w:cs="Arial"/>
          <w:szCs w:val="24"/>
        </w:rPr>
        <w:t xml:space="preserve">had not </w:t>
      </w:r>
      <w:r w:rsidR="00537C40" w:rsidRPr="009849DD">
        <w:rPr>
          <w:rFonts w:ascii="Arial" w:hAnsi="Arial" w:cs="Arial"/>
          <w:szCs w:val="24"/>
        </w:rPr>
        <w:t>work</w:t>
      </w:r>
      <w:r w:rsidR="002E558D" w:rsidRPr="009849DD">
        <w:rPr>
          <w:rFonts w:ascii="Arial" w:hAnsi="Arial" w:cs="Arial"/>
          <w:szCs w:val="24"/>
        </w:rPr>
        <w:t>ed</w:t>
      </w:r>
      <w:r w:rsidR="00537C40" w:rsidRPr="009849DD">
        <w:rPr>
          <w:rFonts w:ascii="Arial" w:hAnsi="Arial" w:cs="Arial"/>
          <w:szCs w:val="24"/>
        </w:rPr>
        <w:t xml:space="preserve"> on weekends</w:t>
      </w:r>
      <w:r w:rsidR="00C114CF" w:rsidRPr="009849DD">
        <w:rPr>
          <w:rFonts w:ascii="Arial" w:hAnsi="Arial" w:cs="Arial"/>
          <w:szCs w:val="24"/>
        </w:rPr>
        <w:t>,</w:t>
      </w:r>
      <w:r w:rsidR="00B9571D" w:rsidRPr="009849DD">
        <w:rPr>
          <w:rFonts w:ascii="Arial" w:hAnsi="Arial" w:cs="Arial"/>
          <w:szCs w:val="24"/>
        </w:rPr>
        <w:t xml:space="preserve"> or after regular business</w:t>
      </w:r>
      <w:r w:rsidR="002E558D" w:rsidRPr="009849DD">
        <w:rPr>
          <w:rFonts w:ascii="Arial" w:hAnsi="Arial" w:cs="Arial"/>
          <w:szCs w:val="24"/>
        </w:rPr>
        <w:t xml:space="preserve"> hours</w:t>
      </w:r>
      <w:r w:rsidR="00537C40" w:rsidRPr="009849DD">
        <w:rPr>
          <w:rFonts w:ascii="Arial" w:hAnsi="Arial" w:cs="Arial"/>
          <w:szCs w:val="24"/>
        </w:rPr>
        <w:t xml:space="preserve">, since the court wasn’t working </w:t>
      </w:r>
      <w:r w:rsidR="00B9571D" w:rsidRPr="009849DD">
        <w:rPr>
          <w:rFonts w:ascii="Arial" w:hAnsi="Arial" w:cs="Arial"/>
          <w:szCs w:val="24"/>
        </w:rPr>
        <w:t>during these hours</w:t>
      </w:r>
      <w:r w:rsidR="00537C40" w:rsidRPr="009849DD">
        <w:rPr>
          <w:rFonts w:ascii="Arial" w:hAnsi="Arial" w:cs="Arial"/>
          <w:szCs w:val="24"/>
        </w:rPr>
        <w:t xml:space="preserve">.  </w:t>
      </w:r>
    </w:p>
    <w:p w14:paraId="2791713C" w14:textId="77777777" w:rsidR="00812B10" w:rsidRPr="009849DD" w:rsidRDefault="00812B10" w:rsidP="0096185F">
      <w:pPr>
        <w:shd w:val="clear" w:color="auto" w:fill="FFFFFF"/>
        <w:jc w:val="both"/>
        <w:rPr>
          <w:rFonts w:ascii="Arial" w:hAnsi="Arial" w:cs="Arial"/>
          <w:szCs w:val="24"/>
        </w:rPr>
      </w:pPr>
    </w:p>
    <w:p w14:paraId="6E682503" w14:textId="6D53DC76" w:rsidR="00537C40" w:rsidRPr="009849DD" w:rsidRDefault="00812B10" w:rsidP="0096185F">
      <w:pPr>
        <w:jc w:val="both"/>
        <w:rPr>
          <w:rFonts w:ascii="Arial" w:hAnsi="Arial" w:cs="Arial"/>
          <w:szCs w:val="24"/>
        </w:rPr>
      </w:pPr>
      <w:r w:rsidRPr="009849DD">
        <w:rPr>
          <w:rFonts w:ascii="Arial" w:hAnsi="Arial" w:cs="Arial"/>
          <w:szCs w:val="24"/>
        </w:rPr>
        <w:t xml:space="preserve">The department </w:t>
      </w:r>
      <w:r w:rsidR="001F4FA6" w:rsidRPr="009849DD">
        <w:rPr>
          <w:rFonts w:ascii="Arial" w:hAnsi="Arial" w:cs="Arial"/>
          <w:szCs w:val="24"/>
        </w:rPr>
        <w:t>has noted that</w:t>
      </w:r>
      <w:r w:rsidR="00537C40" w:rsidRPr="009849DD">
        <w:rPr>
          <w:rFonts w:ascii="Arial" w:hAnsi="Arial" w:cs="Arial"/>
          <w:szCs w:val="24"/>
        </w:rPr>
        <w:t>:</w:t>
      </w:r>
    </w:p>
    <w:p w14:paraId="2C60D349" w14:textId="77777777" w:rsidR="00537C40" w:rsidRPr="009849DD" w:rsidRDefault="00537C40" w:rsidP="0096185F">
      <w:pPr>
        <w:jc w:val="both"/>
        <w:rPr>
          <w:rFonts w:ascii="Arial" w:hAnsi="Arial" w:cs="Arial"/>
          <w:sz w:val="22"/>
          <w:szCs w:val="22"/>
        </w:rPr>
      </w:pPr>
    </w:p>
    <w:p w14:paraId="19966047" w14:textId="67DD2E6C" w:rsidR="00537C40" w:rsidRPr="009849DD" w:rsidRDefault="00537C40" w:rsidP="0096185F">
      <w:pPr>
        <w:pStyle w:val="ListParagraph"/>
        <w:numPr>
          <w:ilvl w:val="0"/>
          <w:numId w:val="11"/>
        </w:numPr>
        <w:contextualSpacing w:val="0"/>
        <w:jc w:val="both"/>
        <w:rPr>
          <w:rFonts w:ascii="Arial" w:hAnsi="Arial" w:cs="Arial"/>
        </w:rPr>
      </w:pPr>
      <w:r w:rsidRPr="009849DD">
        <w:rPr>
          <w:rFonts w:ascii="Arial" w:hAnsi="Arial" w:cs="Arial"/>
        </w:rPr>
        <w:t>DAJD’s Electronic Home Monitoring vendor, BI, monitors participants 24/7</w:t>
      </w:r>
      <w:r w:rsidR="001F4FA6" w:rsidRPr="009849DD">
        <w:rPr>
          <w:rFonts w:ascii="Arial" w:hAnsi="Arial" w:cs="Arial"/>
        </w:rPr>
        <w:t>;</w:t>
      </w:r>
    </w:p>
    <w:p w14:paraId="38F84595" w14:textId="21FBE05D" w:rsidR="00537C40" w:rsidRPr="009849DD" w:rsidRDefault="00537C40" w:rsidP="0096185F">
      <w:pPr>
        <w:pStyle w:val="ListParagraph"/>
        <w:numPr>
          <w:ilvl w:val="0"/>
          <w:numId w:val="11"/>
        </w:numPr>
        <w:contextualSpacing w:val="0"/>
        <w:jc w:val="both"/>
        <w:rPr>
          <w:rFonts w:ascii="Arial" w:hAnsi="Arial" w:cs="Arial"/>
        </w:rPr>
      </w:pPr>
      <w:r w:rsidRPr="009849DD">
        <w:rPr>
          <w:rFonts w:ascii="Arial" w:hAnsi="Arial" w:cs="Arial"/>
        </w:rPr>
        <w:t>DAJD’s caseworkers are notified in real time by the vendor when a violation occurs</w:t>
      </w:r>
      <w:r w:rsidR="007915A2" w:rsidRPr="009849DD">
        <w:rPr>
          <w:rFonts w:ascii="Arial" w:hAnsi="Arial" w:cs="Arial"/>
        </w:rPr>
        <w:t>;</w:t>
      </w:r>
      <w:r w:rsidRPr="009849DD">
        <w:rPr>
          <w:rFonts w:ascii="Arial" w:hAnsi="Arial" w:cs="Arial"/>
        </w:rPr>
        <w:t xml:space="preserve"> </w:t>
      </w:r>
    </w:p>
    <w:p w14:paraId="27922B0A" w14:textId="2DBC749F" w:rsidR="00537C40" w:rsidRPr="009849DD" w:rsidRDefault="00537C40" w:rsidP="0096185F">
      <w:pPr>
        <w:pStyle w:val="ListParagraph"/>
        <w:numPr>
          <w:ilvl w:val="0"/>
          <w:numId w:val="11"/>
        </w:numPr>
        <w:contextualSpacing w:val="0"/>
        <w:jc w:val="both"/>
        <w:rPr>
          <w:rFonts w:ascii="Arial" w:hAnsi="Arial" w:cs="Arial"/>
        </w:rPr>
      </w:pPr>
      <w:r w:rsidRPr="009849DD">
        <w:rPr>
          <w:rFonts w:ascii="Arial" w:hAnsi="Arial" w:cs="Arial"/>
        </w:rPr>
        <w:t>DAJD is staffed to send notices of violations to the court Monday through Friday 0730-1600</w:t>
      </w:r>
      <w:r w:rsidR="007915A2" w:rsidRPr="009849DD">
        <w:rPr>
          <w:rFonts w:ascii="Arial" w:hAnsi="Arial" w:cs="Arial"/>
        </w:rPr>
        <w:t>;</w:t>
      </w:r>
    </w:p>
    <w:p w14:paraId="2D89E42B" w14:textId="22E12369" w:rsidR="00537C40" w:rsidRPr="009849DD" w:rsidRDefault="00537C40" w:rsidP="0096185F">
      <w:pPr>
        <w:pStyle w:val="ListParagraph"/>
        <w:numPr>
          <w:ilvl w:val="0"/>
          <w:numId w:val="11"/>
        </w:numPr>
        <w:contextualSpacing w:val="0"/>
        <w:jc w:val="both"/>
        <w:rPr>
          <w:rFonts w:ascii="Arial" w:hAnsi="Arial" w:cs="Arial"/>
        </w:rPr>
      </w:pPr>
      <w:r w:rsidRPr="009849DD">
        <w:rPr>
          <w:rFonts w:ascii="Arial" w:hAnsi="Arial" w:cs="Arial"/>
        </w:rPr>
        <w:t>If a violation occurs outside of caseworker coverage hours, a caseworker will send a notice of violation the next business day</w:t>
      </w:r>
      <w:r w:rsidR="007915A2" w:rsidRPr="009849DD">
        <w:rPr>
          <w:rFonts w:ascii="Arial" w:hAnsi="Arial" w:cs="Arial"/>
        </w:rPr>
        <w:t>;</w:t>
      </w:r>
      <w:r w:rsidR="006D2B4A" w:rsidRPr="009849DD">
        <w:rPr>
          <w:rFonts w:ascii="Arial" w:hAnsi="Arial" w:cs="Arial"/>
        </w:rPr>
        <w:t xml:space="preserve"> and,</w:t>
      </w:r>
    </w:p>
    <w:p w14:paraId="40A8192D" w14:textId="77777777" w:rsidR="0096185F" w:rsidRPr="009849DD" w:rsidRDefault="0096185F" w:rsidP="0096185F">
      <w:pPr>
        <w:jc w:val="both"/>
        <w:rPr>
          <w:rFonts w:ascii="Arial" w:hAnsi="Arial" w:cs="Arial"/>
        </w:rPr>
      </w:pPr>
    </w:p>
    <w:p w14:paraId="1E030EAE" w14:textId="7C5F91CD" w:rsidR="00537C40" w:rsidRPr="009849DD" w:rsidRDefault="00537C40" w:rsidP="0096185F">
      <w:pPr>
        <w:jc w:val="both"/>
        <w:rPr>
          <w:rFonts w:ascii="Arial" w:hAnsi="Arial" w:cs="Arial"/>
        </w:rPr>
      </w:pPr>
      <w:r w:rsidRPr="009849DD">
        <w:rPr>
          <w:rFonts w:ascii="Arial" w:hAnsi="Arial" w:cs="Arial"/>
        </w:rPr>
        <w:lastRenderedPageBreak/>
        <w:t xml:space="preserve">Effective </w:t>
      </w:r>
      <w:r w:rsidR="00AF2C8B" w:rsidRPr="009849DD">
        <w:rPr>
          <w:rFonts w:ascii="Arial" w:hAnsi="Arial" w:cs="Arial"/>
        </w:rPr>
        <w:t xml:space="preserve">on </w:t>
      </w:r>
      <w:r w:rsidR="007915A2" w:rsidRPr="009849DD">
        <w:rPr>
          <w:rFonts w:ascii="Arial" w:hAnsi="Arial" w:cs="Arial"/>
        </w:rPr>
        <w:t>October 3, 2020</w:t>
      </w:r>
      <w:r w:rsidRPr="009849DD">
        <w:rPr>
          <w:rFonts w:ascii="Arial" w:hAnsi="Arial" w:cs="Arial"/>
        </w:rPr>
        <w:t xml:space="preserve">, DAJD </w:t>
      </w:r>
      <w:r w:rsidR="00D27CF2" w:rsidRPr="009849DD">
        <w:rPr>
          <w:rFonts w:ascii="Arial" w:hAnsi="Arial" w:cs="Arial"/>
        </w:rPr>
        <w:t>began</w:t>
      </w:r>
      <w:r w:rsidRPr="009849DD">
        <w:rPr>
          <w:rFonts w:ascii="Arial" w:hAnsi="Arial" w:cs="Arial"/>
        </w:rPr>
        <w:t xml:space="preserve"> provid</w:t>
      </w:r>
      <w:r w:rsidR="00D27CF2" w:rsidRPr="009849DD">
        <w:rPr>
          <w:rFonts w:ascii="Arial" w:hAnsi="Arial" w:cs="Arial"/>
        </w:rPr>
        <w:t>ing four</w:t>
      </w:r>
      <w:r w:rsidRPr="009849DD">
        <w:rPr>
          <w:rFonts w:ascii="Arial" w:hAnsi="Arial" w:cs="Arial"/>
        </w:rPr>
        <w:t xml:space="preserve"> hours of caseworker coverage on overtime each day on Saturdays and Sundays</w:t>
      </w:r>
      <w:r w:rsidR="00BC5A5B" w:rsidRPr="009849DD">
        <w:rPr>
          <w:rFonts w:ascii="Arial" w:hAnsi="Arial" w:cs="Arial"/>
        </w:rPr>
        <w:t xml:space="preserve">.  </w:t>
      </w:r>
      <w:r w:rsidR="00CB375C" w:rsidRPr="009849DD">
        <w:rPr>
          <w:rFonts w:ascii="Arial" w:hAnsi="Arial" w:cs="Arial"/>
        </w:rPr>
        <w:t>Th</w:t>
      </w:r>
      <w:r w:rsidR="0065037D" w:rsidRPr="009849DD">
        <w:rPr>
          <w:rFonts w:ascii="Arial" w:hAnsi="Arial" w:cs="Arial"/>
        </w:rPr>
        <w:t xml:space="preserve">is effort is planned as a pilot project to develop better data on the number of </w:t>
      </w:r>
      <w:r w:rsidR="00C114CF" w:rsidRPr="009849DD">
        <w:rPr>
          <w:rFonts w:ascii="Arial" w:hAnsi="Arial" w:cs="Arial"/>
        </w:rPr>
        <w:t xml:space="preserve">violators during these times.  </w:t>
      </w:r>
      <w:r w:rsidR="00BC5A5B" w:rsidRPr="009849DD">
        <w:rPr>
          <w:rFonts w:ascii="Arial" w:hAnsi="Arial" w:cs="Arial"/>
        </w:rPr>
        <w:t>However, the department</w:t>
      </w:r>
      <w:r w:rsidR="007F2E03" w:rsidRPr="009849DD">
        <w:rPr>
          <w:rFonts w:ascii="Arial" w:hAnsi="Arial" w:cs="Arial"/>
        </w:rPr>
        <w:t xml:space="preserve"> notes that</w:t>
      </w:r>
      <w:r w:rsidR="00BC5A5B" w:rsidRPr="009849DD">
        <w:rPr>
          <w:rFonts w:ascii="Arial" w:hAnsi="Arial" w:cs="Arial"/>
        </w:rPr>
        <w:t xml:space="preserve"> </w:t>
      </w:r>
      <w:r w:rsidR="007F2E03" w:rsidRPr="009849DD">
        <w:rPr>
          <w:rFonts w:ascii="Arial" w:hAnsi="Arial" w:cs="Arial"/>
        </w:rPr>
        <w:t xml:space="preserve">it can provide this coverage </w:t>
      </w:r>
      <w:r w:rsidR="006D2B4A" w:rsidRPr="009849DD">
        <w:rPr>
          <w:rFonts w:ascii="Arial" w:hAnsi="Arial" w:cs="Arial"/>
        </w:rPr>
        <w:t xml:space="preserve">now </w:t>
      </w:r>
      <w:r w:rsidR="0090473C" w:rsidRPr="009849DD">
        <w:rPr>
          <w:rFonts w:ascii="Arial" w:hAnsi="Arial" w:cs="Arial"/>
        </w:rPr>
        <w:t xml:space="preserve">but </w:t>
      </w:r>
      <w:r w:rsidR="006D2B4A" w:rsidRPr="009849DD">
        <w:rPr>
          <w:rFonts w:ascii="Arial" w:hAnsi="Arial" w:cs="Arial"/>
        </w:rPr>
        <w:t>has no proposal to carry forward this coverage into the biennium</w:t>
      </w:r>
      <w:r w:rsidRPr="009849DD">
        <w:rPr>
          <w:rFonts w:ascii="Arial" w:hAnsi="Arial" w:cs="Arial"/>
        </w:rPr>
        <w:t>.</w:t>
      </w:r>
    </w:p>
    <w:p w14:paraId="447FB149" w14:textId="77777777" w:rsidR="0085119C" w:rsidRPr="009849DD" w:rsidRDefault="0085119C" w:rsidP="0096185F">
      <w:pPr>
        <w:jc w:val="both"/>
        <w:rPr>
          <w:rFonts w:ascii="Arial" w:hAnsi="Arial" w:cs="Arial"/>
        </w:rPr>
      </w:pPr>
    </w:p>
    <w:p w14:paraId="7656E081" w14:textId="6B46D13C" w:rsidR="00537C40" w:rsidRPr="009849DD" w:rsidRDefault="0085119C" w:rsidP="0096185F">
      <w:pPr>
        <w:jc w:val="both"/>
        <w:rPr>
          <w:rFonts w:ascii="Arial" w:hAnsi="Arial" w:cs="Arial"/>
        </w:rPr>
      </w:pPr>
      <w:r w:rsidRPr="009849DD">
        <w:rPr>
          <w:rFonts w:ascii="Arial" w:hAnsi="Arial" w:cs="Arial"/>
        </w:rPr>
        <w:t xml:space="preserve">Staff </w:t>
      </w:r>
      <w:r w:rsidR="0096185F" w:rsidRPr="009849DD">
        <w:rPr>
          <w:rFonts w:ascii="Arial" w:hAnsi="Arial" w:cs="Arial"/>
        </w:rPr>
        <w:t>have requested further information on this question.</w:t>
      </w:r>
      <w:r w:rsidR="00537C40" w:rsidRPr="009849DD">
        <w:rPr>
          <w:rFonts w:ascii="Arial" w:hAnsi="Arial" w:cs="Arial"/>
        </w:rPr>
        <w:t xml:space="preserve"> </w:t>
      </w:r>
    </w:p>
    <w:p w14:paraId="7DEFB703" w14:textId="77777777" w:rsidR="00537C40" w:rsidRPr="009849DD" w:rsidRDefault="00537C40" w:rsidP="0096185F">
      <w:pPr>
        <w:jc w:val="both"/>
        <w:rPr>
          <w:rFonts w:ascii="Calibri" w:hAnsi="Calibri"/>
        </w:rPr>
      </w:pPr>
    </w:p>
    <w:p w14:paraId="6117F179" w14:textId="165C495A" w:rsidR="00533B26" w:rsidRPr="009849DD" w:rsidRDefault="00533B26" w:rsidP="00533B26">
      <w:pPr>
        <w:contextualSpacing/>
        <w:jc w:val="both"/>
        <w:rPr>
          <w:rFonts w:ascii="Arial" w:hAnsi="Arial" w:cs="Arial"/>
          <w:b/>
          <w:smallCaps/>
          <w:szCs w:val="24"/>
          <w:u w:val="single"/>
        </w:rPr>
      </w:pPr>
      <w:r w:rsidRPr="009849DD">
        <w:rPr>
          <w:rFonts w:ascii="Arial" w:hAnsi="Arial" w:cs="Arial"/>
          <w:b/>
          <w:smallCaps/>
          <w:szCs w:val="24"/>
          <w:u w:val="single"/>
        </w:rPr>
        <w:t>Question 2:</w:t>
      </w:r>
      <w:r w:rsidRPr="009849DD">
        <w:rPr>
          <w:rFonts w:ascii="Arial" w:hAnsi="Arial" w:cs="Arial"/>
          <w:b/>
          <w:smallCaps/>
          <w:szCs w:val="24"/>
        </w:rPr>
        <w:t xml:space="preserve">  Will </w:t>
      </w:r>
      <w:r w:rsidR="00334FC9" w:rsidRPr="009849DD">
        <w:rPr>
          <w:rFonts w:ascii="Arial" w:hAnsi="Arial" w:cs="Arial"/>
          <w:b/>
          <w:smallCaps/>
          <w:szCs w:val="24"/>
        </w:rPr>
        <w:t xml:space="preserve">DAJD’s </w:t>
      </w:r>
      <w:r w:rsidRPr="009849DD">
        <w:rPr>
          <w:rFonts w:ascii="Arial" w:hAnsi="Arial" w:cs="Arial"/>
          <w:b/>
          <w:smallCaps/>
          <w:szCs w:val="24"/>
        </w:rPr>
        <w:t xml:space="preserve">proposed cuts to its juvenile </w:t>
      </w:r>
      <w:r w:rsidR="00334FC9" w:rsidRPr="009849DD">
        <w:rPr>
          <w:rFonts w:ascii="Arial" w:hAnsi="Arial" w:cs="Arial"/>
          <w:b/>
          <w:smallCaps/>
          <w:szCs w:val="24"/>
        </w:rPr>
        <w:t xml:space="preserve">detention </w:t>
      </w:r>
      <w:r w:rsidRPr="009849DD">
        <w:rPr>
          <w:rFonts w:ascii="Arial" w:hAnsi="Arial" w:cs="Arial"/>
          <w:b/>
          <w:smallCaps/>
          <w:szCs w:val="24"/>
        </w:rPr>
        <w:t xml:space="preserve">staff be subject to evaluation before being implemented?   This questions also applies to proposed reductions—in the </w:t>
      </w:r>
      <w:r w:rsidR="00334FC9" w:rsidRPr="009849DD">
        <w:rPr>
          <w:rFonts w:ascii="Arial" w:hAnsi="Arial" w:cs="Arial"/>
          <w:b/>
          <w:smallCaps/>
          <w:szCs w:val="24"/>
        </w:rPr>
        <w:t xml:space="preserve">Superior Court </w:t>
      </w:r>
      <w:r w:rsidRPr="009849DD">
        <w:rPr>
          <w:rFonts w:ascii="Arial" w:hAnsi="Arial" w:cs="Arial"/>
          <w:b/>
          <w:smallCaps/>
          <w:szCs w:val="24"/>
        </w:rPr>
        <w:t xml:space="preserve">budget—for juvenile </w:t>
      </w:r>
      <w:r w:rsidR="00334FC9" w:rsidRPr="009849DD">
        <w:rPr>
          <w:rFonts w:ascii="Arial" w:hAnsi="Arial" w:cs="Arial"/>
          <w:b/>
          <w:smallCaps/>
          <w:szCs w:val="24"/>
        </w:rPr>
        <w:t xml:space="preserve">probation </w:t>
      </w:r>
      <w:r w:rsidRPr="009849DD">
        <w:rPr>
          <w:rFonts w:ascii="Arial" w:hAnsi="Arial" w:cs="Arial"/>
          <w:b/>
          <w:smallCaps/>
          <w:szCs w:val="24"/>
        </w:rPr>
        <w:t>staff.</w:t>
      </w:r>
    </w:p>
    <w:p w14:paraId="6E9796E1" w14:textId="77777777" w:rsidR="00533B26" w:rsidRPr="009849DD" w:rsidRDefault="00533B26" w:rsidP="00533B26">
      <w:pPr>
        <w:contextualSpacing/>
        <w:jc w:val="both"/>
        <w:rPr>
          <w:rFonts w:ascii="Arial" w:hAnsi="Arial" w:cs="Arial"/>
          <w:smallCaps/>
          <w:szCs w:val="24"/>
          <w:u w:val="single"/>
        </w:rPr>
      </w:pPr>
    </w:p>
    <w:p w14:paraId="21B36EC7" w14:textId="48843378" w:rsidR="00A01166" w:rsidRPr="009849DD" w:rsidRDefault="00533B26" w:rsidP="00533B26">
      <w:pPr>
        <w:spacing w:line="264" w:lineRule="auto"/>
        <w:jc w:val="both"/>
        <w:rPr>
          <w:rFonts w:ascii="Arial" w:hAnsi="Arial" w:cs="Arial"/>
          <w:szCs w:val="24"/>
        </w:rPr>
      </w:pPr>
      <w:r w:rsidRPr="009849DD">
        <w:rPr>
          <w:rFonts w:ascii="Arial" w:hAnsi="Arial" w:cs="Arial"/>
          <w:smallCaps/>
          <w:szCs w:val="24"/>
          <w:u w:val="single"/>
        </w:rPr>
        <w:t>Answer:</w:t>
      </w:r>
      <w:r w:rsidRPr="009849DD">
        <w:rPr>
          <w:rFonts w:ascii="Arial" w:hAnsi="Arial" w:cs="Arial"/>
          <w:smallCaps/>
          <w:szCs w:val="24"/>
        </w:rPr>
        <w:t xml:space="preserve">  </w:t>
      </w:r>
      <w:r w:rsidRPr="009849DD">
        <w:rPr>
          <w:rFonts w:ascii="Arial" w:hAnsi="Arial" w:cs="Arial"/>
          <w:szCs w:val="24"/>
        </w:rPr>
        <w:t xml:space="preserve">According to the Executive, the proposed 2022 reductions for juvenile probation and detention staff are placeholders and will be revised after the County has better developed the Restorative Community Pathways program.   </w:t>
      </w:r>
    </w:p>
    <w:sectPr w:rsidR="00A01166" w:rsidRPr="009849DD"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D7C4" w14:textId="77777777" w:rsidR="00346D39" w:rsidRDefault="00346D39">
      <w:r>
        <w:separator/>
      </w:r>
    </w:p>
  </w:endnote>
  <w:endnote w:type="continuationSeparator" w:id="0">
    <w:p w14:paraId="14C9BCA9" w14:textId="77777777" w:rsidR="00346D39" w:rsidRDefault="003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996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3672" w14:textId="6361CE0E" w:rsidR="00FD1A00" w:rsidRDefault="009960E3">
    <w:pPr>
      <w:pStyle w:val="Footer"/>
      <w:jc w:val="center"/>
    </w:pPr>
  </w:p>
  <w:p w14:paraId="35088CA8" w14:textId="77777777" w:rsidR="00FD1A00" w:rsidRDefault="0099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00D3" w14:textId="77777777" w:rsidR="00346D39" w:rsidRDefault="00346D39">
      <w:r>
        <w:separator/>
      </w:r>
    </w:p>
  </w:footnote>
  <w:footnote w:type="continuationSeparator" w:id="0">
    <w:p w14:paraId="33E2094E" w14:textId="77777777" w:rsidR="00346D39" w:rsidRDefault="00346D39">
      <w:r>
        <w:continuationSeparator/>
      </w:r>
    </w:p>
  </w:footnote>
  <w:footnote w:id="1">
    <w:p w14:paraId="54DB5FE2" w14:textId="7E10B931" w:rsidR="00974011" w:rsidRDefault="00974011">
      <w:pPr>
        <w:pStyle w:val="FootnoteText"/>
      </w:pPr>
      <w:r>
        <w:rPr>
          <w:rStyle w:val="FootnoteReference"/>
        </w:rPr>
        <w:footnoteRef/>
      </w:r>
      <w:r>
        <w:t xml:space="preserve"> </w:t>
      </w:r>
      <w:r w:rsidR="00750C38">
        <w:rPr>
          <w:rFonts w:ascii="Arial" w:hAnsi="Arial" w:cs="Arial"/>
          <w:szCs w:val="24"/>
        </w:rPr>
        <w:t>Medical, dental, and psychiatric services for adults in secure detention are provided by the Department of Public Health and the costs of these services are reflected in the Jail Health Services budget. (The Jail Health Services budget is presented in a separate staff report).</w:t>
      </w:r>
    </w:p>
  </w:footnote>
  <w:footnote w:id="2">
    <w:p w14:paraId="1D414ED6" w14:textId="77777777" w:rsidR="00F66903" w:rsidRPr="00C7497F" w:rsidRDefault="00F66903" w:rsidP="00F66903">
      <w:pPr>
        <w:pStyle w:val="FootnoteText"/>
      </w:pPr>
      <w:r w:rsidRPr="00C7497F">
        <w:rPr>
          <w:rStyle w:val="FootnoteReference"/>
        </w:rPr>
        <w:footnoteRef/>
      </w:r>
      <w:r w:rsidRPr="00C7497F">
        <w:t xml:space="preserve"> Juvenile Justice Operational Master Plan Ordinance 13916, adopted August 7, 2000 and the Adult Justice Operational Master Plan Ordinance 14430, adopted July 22, 2002.</w:t>
      </w:r>
    </w:p>
  </w:footnote>
  <w:footnote w:id="3">
    <w:p w14:paraId="096EB999" w14:textId="77777777" w:rsidR="009B1525" w:rsidRPr="00D03BC1" w:rsidRDefault="009B1525" w:rsidP="009B1525">
      <w:pPr>
        <w:pStyle w:val="NoSpacing"/>
        <w:rPr>
          <w:rFonts w:ascii="Times New Roman" w:hAnsi="Times New Roman"/>
          <w:sz w:val="20"/>
          <w:szCs w:val="20"/>
        </w:rPr>
      </w:pPr>
      <w:r>
        <w:rPr>
          <w:rStyle w:val="FootnoteReference"/>
        </w:rPr>
        <w:footnoteRef/>
      </w:r>
      <w:r>
        <w:t xml:space="preserve"> </w:t>
      </w:r>
      <w:r w:rsidRPr="00825643">
        <w:rPr>
          <w:rFonts w:ascii="Times New Roman" w:eastAsiaTheme="minorHAnsi" w:hAnsi="Times New Roman"/>
          <w:sz w:val="20"/>
          <w:szCs w:val="20"/>
        </w:rPr>
        <w:t xml:space="preserve">The PALS program invests in community partnerships with behavioral health and other human services providers to intervene and assist adult individuals referred by King County Superior Court and courts of limited jurisdiction located in South King County by providing responsive services and supports based on validated screening and needs assessment. Such assessment services are centralized in one location in Kent to streamline linkage and access to needed and ongoing services that are provided in the individual’s local community. </w:t>
      </w:r>
      <w:r>
        <w:rPr>
          <w:rFonts w:ascii="Times New Roman" w:hAnsi="Times New Roman"/>
          <w:sz w:val="20"/>
          <w:szCs w:val="20"/>
        </w:rPr>
        <w:t xml:space="preserve"> </w:t>
      </w:r>
      <w:r w:rsidRPr="00D03BC1">
        <w:rPr>
          <w:rFonts w:ascii="Times New Roman" w:hAnsi="Times New Roman"/>
          <w:sz w:val="20"/>
          <w:szCs w:val="20"/>
        </w:rPr>
        <w:t xml:space="preserve">1) Access to PALS is available to adult individuals on felony pretrial status through King County Superior Court in Kent (Maleng Regional Justice Center); 2) Access to PALS is also available to adult individuals on misdemeanor pretrial status through municipal courts located in South King County; and </w:t>
      </w:r>
      <w:r>
        <w:rPr>
          <w:rFonts w:ascii="Times New Roman" w:hAnsi="Times New Roman"/>
          <w:sz w:val="20"/>
          <w:szCs w:val="20"/>
        </w:rPr>
        <w:t>3</w:t>
      </w:r>
      <w:r w:rsidRPr="00D03BC1">
        <w:rPr>
          <w:rFonts w:ascii="Times New Roman" w:hAnsi="Times New Roman"/>
          <w:sz w:val="20"/>
          <w:szCs w:val="20"/>
        </w:rPr>
        <w:t>) Participants must have an address in South King County or have family or community ties to South King County if experiencing homelessness or unstable housing at time of placement.</w:t>
      </w:r>
      <w:r>
        <w:rPr>
          <w:rFonts w:ascii="Times New Roman" w:hAnsi="Times New Roman"/>
          <w:sz w:val="20"/>
          <w:szCs w:val="20"/>
        </w:rPr>
        <w:t xml:space="preserve">  </w:t>
      </w:r>
      <w:r w:rsidRPr="00D03BC1">
        <w:rPr>
          <w:rFonts w:ascii="Times New Roman" w:hAnsi="Times New Roman"/>
          <w:sz w:val="20"/>
          <w:szCs w:val="20"/>
        </w:rPr>
        <w:t>The PALS program is funded from state Medicaid allocated via the Washington State Health Care Authority to Managed Care Plans operating within King County that subcontract with King County DCHS to provide integrated behavioral health services to publicly funded individuals who reside in King County or are experiencing homelessness</w:t>
      </w:r>
      <w:r>
        <w:rPr>
          <w:rFonts w:ascii="Times New Roman" w:hAnsi="Times New Roman"/>
          <w:sz w:val="20"/>
          <w:szCs w:val="20"/>
        </w:rPr>
        <w:t xml:space="preserve"> and the </w:t>
      </w:r>
      <w:r w:rsidRPr="00D03BC1">
        <w:rPr>
          <w:rFonts w:ascii="Times New Roman" w:hAnsi="Times New Roman"/>
          <w:sz w:val="20"/>
          <w:szCs w:val="20"/>
        </w:rPr>
        <w:t xml:space="preserve">Mental Illness and Drug Dependency (MIDD) sales tax revenues (administered by DCHS). </w:t>
      </w:r>
    </w:p>
    <w:p w14:paraId="77D2DE5F" w14:textId="77777777" w:rsidR="009B1525" w:rsidRPr="00D03BC1" w:rsidRDefault="009B1525" w:rsidP="009B1525">
      <w:pPr>
        <w:pStyle w:val="Default"/>
        <w:rPr>
          <w:rFonts w:ascii="Times New Roman" w:hAnsi="Times New Roman" w:cs="Times New Roman"/>
          <w:color w:val="auto"/>
          <w:sz w:val="20"/>
          <w:szCs w:val="20"/>
        </w:rPr>
      </w:pPr>
    </w:p>
    <w:p w14:paraId="6FA9E0C3" w14:textId="77777777" w:rsidR="009B1525" w:rsidRPr="00825643" w:rsidRDefault="009B1525" w:rsidP="009B1525">
      <w:pPr>
        <w:pStyle w:val="Default"/>
        <w:rPr>
          <w:rFonts w:ascii="Calibri" w:hAnsi="Calibri" w:cs="Calibri"/>
        </w:rPr>
      </w:pPr>
    </w:p>
    <w:p w14:paraId="63209B97" w14:textId="77777777" w:rsidR="009B1525" w:rsidRDefault="009B1525" w:rsidP="009B1525">
      <w:pPr>
        <w:pStyle w:val="FootnoteText"/>
      </w:pPr>
    </w:p>
  </w:footnote>
  <w:footnote w:id="4">
    <w:p w14:paraId="79A9ED7A" w14:textId="77F3FB94" w:rsidR="0026032F" w:rsidRPr="00667513" w:rsidRDefault="0026032F" w:rsidP="00667513">
      <w:pPr>
        <w:jc w:val="both"/>
        <w:rPr>
          <w:sz w:val="20"/>
        </w:rPr>
      </w:pPr>
      <w:r>
        <w:rPr>
          <w:rStyle w:val="FootnoteReference"/>
        </w:rPr>
        <w:footnoteRef/>
      </w:r>
      <w:r>
        <w:t xml:space="preserve"> </w:t>
      </w:r>
      <w:r w:rsidR="00667513">
        <w:rPr>
          <w:sz w:val="20"/>
        </w:rPr>
        <w:t>For example, t</w:t>
      </w:r>
      <w:r w:rsidR="00667513" w:rsidRPr="00667513">
        <w:rPr>
          <w:sz w:val="20"/>
        </w:rPr>
        <w:t>he PAO proposes to divert approximately 1</w:t>
      </w:r>
      <w:r w:rsidR="009E7ACC">
        <w:rPr>
          <w:sz w:val="20"/>
        </w:rPr>
        <w:t>,</w:t>
      </w:r>
      <w:r w:rsidR="00667513" w:rsidRPr="00667513">
        <w:rPr>
          <w:sz w:val="20"/>
        </w:rPr>
        <w:t xml:space="preserve">000 of the lowest-level first time felonies and some misdemeanor filings from the judicial system each year and refer these people to community-based alternatives that emphasizes restorative justice and restoration for harmed parties. According to the PAO, after reviewing law enforcement referrals for eligibility, cases would be referred prior to the Prosecutor filing charges in order to avoid the involvement of the judicial system. The program will be focused on first time </w:t>
      </w:r>
      <w:r w:rsidR="00667513" w:rsidRPr="00667513">
        <w:rPr>
          <w:sz w:val="20"/>
          <w:u w:val="single"/>
        </w:rPr>
        <w:t>felony</w:t>
      </w:r>
      <w:r w:rsidR="00667513" w:rsidRPr="00667513">
        <w:rPr>
          <w:sz w:val="20"/>
        </w:rPr>
        <w:t xml:space="preserve"> offenders committing property and drug related offenses. Defendants who commit similar misdemeanors will be offered the opportunity to participate as well.  </w:t>
      </w:r>
      <w:r w:rsidR="00820975">
        <w:rPr>
          <w:sz w:val="20"/>
        </w:rPr>
        <w:t>T</w:t>
      </w:r>
      <w:r w:rsidR="00667513" w:rsidRPr="00667513">
        <w:rPr>
          <w:sz w:val="20"/>
        </w:rPr>
        <w:t>he major components of this program have not yet been finalized.</w:t>
      </w:r>
    </w:p>
  </w:footnote>
  <w:footnote w:id="5">
    <w:p w14:paraId="7DA52598" w14:textId="38A517D7" w:rsidR="00BC2521" w:rsidRDefault="00BC2521">
      <w:pPr>
        <w:pStyle w:val="FootnoteText"/>
      </w:pPr>
      <w:r>
        <w:rPr>
          <w:rStyle w:val="FootnoteReference"/>
        </w:rPr>
        <w:footnoteRef/>
      </w:r>
      <w:r>
        <w:t xml:space="preserve"> Over $10 million as of August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4"/>
    <w:multiLevelType w:val="hybridMultilevel"/>
    <w:tmpl w:val="4C7A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44CE"/>
    <w:multiLevelType w:val="hybridMultilevel"/>
    <w:tmpl w:val="B678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A9B90"/>
    <w:multiLevelType w:val="hybridMultilevel"/>
    <w:tmpl w:val="7F5912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4F56"/>
    <w:multiLevelType w:val="hybridMultilevel"/>
    <w:tmpl w:val="D7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44487"/>
    <w:multiLevelType w:val="hybridMultilevel"/>
    <w:tmpl w:val="5032F11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251A8"/>
    <w:multiLevelType w:val="hybridMultilevel"/>
    <w:tmpl w:val="A0C4F8C6"/>
    <w:lvl w:ilvl="0" w:tplc="B0E0344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341AA8"/>
    <w:multiLevelType w:val="hybridMultilevel"/>
    <w:tmpl w:val="6BCE47B4"/>
    <w:lvl w:ilvl="0" w:tplc="7A3848C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0"/>
  </w:num>
  <w:num w:numId="6">
    <w:abstractNumId w:val="5"/>
  </w:num>
  <w:num w:numId="7">
    <w:abstractNumId w:val="1"/>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03561"/>
    <w:rsid w:val="00015F38"/>
    <w:rsid w:val="000163D2"/>
    <w:rsid w:val="000168DD"/>
    <w:rsid w:val="00020F64"/>
    <w:rsid w:val="00023483"/>
    <w:rsid w:val="00024F1A"/>
    <w:rsid w:val="000318A3"/>
    <w:rsid w:val="0004254D"/>
    <w:rsid w:val="00044325"/>
    <w:rsid w:val="000504E2"/>
    <w:rsid w:val="00050CED"/>
    <w:rsid w:val="0005152B"/>
    <w:rsid w:val="00054550"/>
    <w:rsid w:val="00083F57"/>
    <w:rsid w:val="00087CD0"/>
    <w:rsid w:val="000B4BAE"/>
    <w:rsid w:val="000C15C0"/>
    <w:rsid w:val="000D7EDA"/>
    <w:rsid w:val="00107A61"/>
    <w:rsid w:val="00120EEB"/>
    <w:rsid w:val="00124818"/>
    <w:rsid w:val="001266BB"/>
    <w:rsid w:val="00133677"/>
    <w:rsid w:val="00134145"/>
    <w:rsid w:val="00137F2B"/>
    <w:rsid w:val="00142497"/>
    <w:rsid w:val="00147E2A"/>
    <w:rsid w:val="00151001"/>
    <w:rsid w:val="00170CB9"/>
    <w:rsid w:val="0017544B"/>
    <w:rsid w:val="00193E25"/>
    <w:rsid w:val="00197DE3"/>
    <w:rsid w:val="001A6FCF"/>
    <w:rsid w:val="001A71C1"/>
    <w:rsid w:val="001B69DA"/>
    <w:rsid w:val="001C64C9"/>
    <w:rsid w:val="001C6D9B"/>
    <w:rsid w:val="001D19D7"/>
    <w:rsid w:val="001D1F09"/>
    <w:rsid w:val="001E690C"/>
    <w:rsid w:val="001E7B24"/>
    <w:rsid w:val="001F02D0"/>
    <w:rsid w:val="001F0F28"/>
    <w:rsid w:val="001F34A6"/>
    <w:rsid w:val="001F4FA6"/>
    <w:rsid w:val="00200EFC"/>
    <w:rsid w:val="002029B2"/>
    <w:rsid w:val="00212380"/>
    <w:rsid w:val="0022157E"/>
    <w:rsid w:val="002220A5"/>
    <w:rsid w:val="0022296E"/>
    <w:rsid w:val="002276DF"/>
    <w:rsid w:val="002318A4"/>
    <w:rsid w:val="0023544C"/>
    <w:rsid w:val="00236A42"/>
    <w:rsid w:val="00236E9D"/>
    <w:rsid w:val="00240862"/>
    <w:rsid w:val="00240D5E"/>
    <w:rsid w:val="00250C9D"/>
    <w:rsid w:val="0025182E"/>
    <w:rsid w:val="002572E8"/>
    <w:rsid w:val="0026032F"/>
    <w:rsid w:val="002606C0"/>
    <w:rsid w:val="002662BD"/>
    <w:rsid w:val="00270758"/>
    <w:rsid w:val="00272317"/>
    <w:rsid w:val="00274AAD"/>
    <w:rsid w:val="00285B02"/>
    <w:rsid w:val="002A01BC"/>
    <w:rsid w:val="002A2AF6"/>
    <w:rsid w:val="002A6E39"/>
    <w:rsid w:val="002A759F"/>
    <w:rsid w:val="002B0629"/>
    <w:rsid w:val="002B2597"/>
    <w:rsid w:val="002D13DD"/>
    <w:rsid w:val="002D349E"/>
    <w:rsid w:val="002E35C0"/>
    <w:rsid w:val="002E5259"/>
    <w:rsid w:val="002E558D"/>
    <w:rsid w:val="002E5C9E"/>
    <w:rsid w:val="002F048A"/>
    <w:rsid w:val="002F0EF3"/>
    <w:rsid w:val="002F3BE5"/>
    <w:rsid w:val="00306FF5"/>
    <w:rsid w:val="003248E3"/>
    <w:rsid w:val="00332440"/>
    <w:rsid w:val="00333BBC"/>
    <w:rsid w:val="00334B6F"/>
    <w:rsid w:val="00334FC9"/>
    <w:rsid w:val="00346D39"/>
    <w:rsid w:val="0035303D"/>
    <w:rsid w:val="0035606A"/>
    <w:rsid w:val="003570A4"/>
    <w:rsid w:val="003605CB"/>
    <w:rsid w:val="0036705B"/>
    <w:rsid w:val="0036767A"/>
    <w:rsid w:val="00373E13"/>
    <w:rsid w:val="00391717"/>
    <w:rsid w:val="00394D3B"/>
    <w:rsid w:val="003951A0"/>
    <w:rsid w:val="00397C2B"/>
    <w:rsid w:val="003A78B8"/>
    <w:rsid w:val="003B0866"/>
    <w:rsid w:val="003B0D0D"/>
    <w:rsid w:val="003C244E"/>
    <w:rsid w:val="003C2464"/>
    <w:rsid w:val="003E0E76"/>
    <w:rsid w:val="003E3C75"/>
    <w:rsid w:val="003E4A5A"/>
    <w:rsid w:val="003F52BE"/>
    <w:rsid w:val="003F62BB"/>
    <w:rsid w:val="003F73E3"/>
    <w:rsid w:val="003F7AEF"/>
    <w:rsid w:val="00407F1F"/>
    <w:rsid w:val="004127C4"/>
    <w:rsid w:val="004200DD"/>
    <w:rsid w:val="004222DD"/>
    <w:rsid w:val="0042341C"/>
    <w:rsid w:val="00430A33"/>
    <w:rsid w:val="00437249"/>
    <w:rsid w:val="00443370"/>
    <w:rsid w:val="004567F8"/>
    <w:rsid w:val="00457142"/>
    <w:rsid w:val="0046704C"/>
    <w:rsid w:val="00467E6C"/>
    <w:rsid w:val="004755BD"/>
    <w:rsid w:val="00481E21"/>
    <w:rsid w:val="00484C4A"/>
    <w:rsid w:val="004A1119"/>
    <w:rsid w:val="004A6BCA"/>
    <w:rsid w:val="004B03B5"/>
    <w:rsid w:val="004B5CFD"/>
    <w:rsid w:val="004B5DB1"/>
    <w:rsid w:val="004B68ED"/>
    <w:rsid w:val="004C6705"/>
    <w:rsid w:val="004D0115"/>
    <w:rsid w:val="004D6821"/>
    <w:rsid w:val="004E6789"/>
    <w:rsid w:val="004F0D54"/>
    <w:rsid w:val="004F48D3"/>
    <w:rsid w:val="005006B9"/>
    <w:rsid w:val="00506AF1"/>
    <w:rsid w:val="005074DD"/>
    <w:rsid w:val="0051126E"/>
    <w:rsid w:val="005202BC"/>
    <w:rsid w:val="00530A98"/>
    <w:rsid w:val="00533B26"/>
    <w:rsid w:val="00537C40"/>
    <w:rsid w:val="005449B8"/>
    <w:rsid w:val="00547964"/>
    <w:rsid w:val="00547B49"/>
    <w:rsid w:val="00547DB1"/>
    <w:rsid w:val="005519F0"/>
    <w:rsid w:val="005620F0"/>
    <w:rsid w:val="00562241"/>
    <w:rsid w:val="00563A0F"/>
    <w:rsid w:val="005652EE"/>
    <w:rsid w:val="00570083"/>
    <w:rsid w:val="0057347E"/>
    <w:rsid w:val="00576BA4"/>
    <w:rsid w:val="00580825"/>
    <w:rsid w:val="005808A8"/>
    <w:rsid w:val="00592D88"/>
    <w:rsid w:val="005944F4"/>
    <w:rsid w:val="00594776"/>
    <w:rsid w:val="005B0B1C"/>
    <w:rsid w:val="005B697C"/>
    <w:rsid w:val="005B7D48"/>
    <w:rsid w:val="005C2E8B"/>
    <w:rsid w:val="005C447B"/>
    <w:rsid w:val="005D15CC"/>
    <w:rsid w:val="005D2A64"/>
    <w:rsid w:val="005D2B85"/>
    <w:rsid w:val="005D49A1"/>
    <w:rsid w:val="005E0661"/>
    <w:rsid w:val="005E20FE"/>
    <w:rsid w:val="005E6D28"/>
    <w:rsid w:val="005E758C"/>
    <w:rsid w:val="005F07AE"/>
    <w:rsid w:val="005F2ACC"/>
    <w:rsid w:val="005F335B"/>
    <w:rsid w:val="005F6BA5"/>
    <w:rsid w:val="00615055"/>
    <w:rsid w:val="0063060C"/>
    <w:rsid w:val="00632B08"/>
    <w:rsid w:val="00637947"/>
    <w:rsid w:val="0064463C"/>
    <w:rsid w:val="0065037D"/>
    <w:rsid w:val="00651304"/>
    <w:rsid w:val="00656E0F"/>
    <w:rsid w:val="006654D6"/>
    <w:rsid w:val="00667513"/>
    <w:rsid w:val="0067376E"/>
    <w:rsid w:val="00680BB2"/>
    <w:rsid w:val="00684115"/>
    <w:rsid w:val="00691690"/>
    <w:rsid w:val="00697DC3"/>
    <w:rsid w:val="006A0D3B"/>
    <w:rsid w:val="006A20DC"/>
    <w:rsid w:val="006A3381"/>
    <w:rsid w:val="006B4EA5"/>
    <w:rsid w:val="006B62DE"/>
    <w:rsid w:val="006C238F"/>
    <w:rsid w:val="006C6258"/>
    <w:rsid w:val="006C7A7A"/>
    <w:rsid w:val="006D2B4A"/>
    <w:rsid w:val="006D4D75"/>
    <w:rsid w:val="006E0720"/>
    <w:rsid w:val="006E3712"/>
    <w:rsid w:val="006E5FBE"/>
    <w:rsid w:val="006E6773"/>
    <w:rsid w:val="006F18B9"/>
    <w:rsid w:val="006F4699"/>
    <w:rsid w:val="006F57EA"/>
    <w:rsid w:val="00714AD6"/>
    <w:rsid w:val="00720EF2"/>
    <w:rsid w:val="0072163D"/>
    <w:rsid w:val="007356BE"/>
    <w:rsid w:val="00744E84"/>
    <w:rsid w:val="00750C38"/>
    <w:rsid w:val="00750C75"/>
    <w:rsid w:val="00754EA5"/>
    <w:rsid w:val="0076388B"/>
    <w:rsid w:val="00766AE3"/>
    <w:rsid w:val="00782197"/>
    <w:rsid w:val="00782EF4"/>
    <w:rsid w:val="00783381"/>
    <w:rsid w:val="00790CC3"/>
    <w:rsid w:val="007915A2"/>
    <w:rsid w:val="00794464"/>
    <w:rsid w:val="007A03D3"/>
    <w:rsid w:val="007A2ABB"/>
    <w:rsid w:val="007B62CB"/>
    <w:rsid w:val="007D0720"/>
    <w:rsid w:val="007F2E03"/>
    <w:rsid w:val="007F3CA3"/>
    <w:rsid w:val="00800DBD"/>
    <w:rsid w:val="00810DDF"/>
    <w:rsid w:val="00812B10"/>
    <w:rsid w:val="008156D8"/>
    <w:rsid w:val="008173D2"/>
    <w:rsid w:val="00820975"/>
    <w:rsid w:val="008220B3"/>
    <w:rsid w:val="00825643"/>
    <w:rsid w:val="00831920"/>
    <w:rsid w:val="00837B44"/>
    <w:rsid w:val="0085119C"/>
    <w:rsid w:val="00853A76"/>
    <w:rsid w:val="008605D7"/>
    <w:rsid w:val="00891AB4"/>
    <w:rsid w:val="008949AE"/>
    <w:rsid w:val="008A0A60"/>
    <w:rsid w:val="008A28C6"/>
    <w:rsid w:val="008A5CF4"/>
    <w:rsid w:val="008B0D2A"/>
    <w:rsid w:val="008C07EB"/>
    <w:rsid w:val="008C1FAE"/>
    <w:rsid w:val="008C4C65"/>
    <w:rsid w:val="008C4E5E"/>
    <w:rsid w:val="008D4C36"/>
    <w:rsid w:val="008D61D7"/>
    <w:rsid w:val="008E2721"/>
    <w:rsid w:val="008E7755"/>
    <w:rsid w:val="00903570"/>
    <w:rsid w:val="0090473C"/>
    <w:rsid w:val="00906FE3"/>
    <w:rsid w:val="009275FF"/>
    <w:rsid w:val="0094047B"/>
    <w:rsid w:val="00943DB6"/>
    <w:rsid w:val="00945925"/>
    <w:rsid w:val="00947C34"/>
    <w:rsid w:val="00950792"/>
    <w:rsid w:val="00952492"/>
    <w:rsid w:val="00953EC9"/>
    <w:rsid w:val="009544C2"/>
    <w:rsid w:val="0096185F"/>
    <w:rsid w:val="00974011"/>
    <w:rsid w:val="00981E14"/>
    <w:rsid w:val="00982F36"/>
    <w:rsid w:val="009849DD"/>
    <w:rsid w:val="00986E6B"/>
    <w:rsid w:val="0099201D"/>
    <w:rsid w:val="00993671"/>
    <w:rsid w:val="009960E3"/>
    <w:rsid w:val="009A22CB"/>
    <w:rsid w:val="009A5126"/>
    <w:rsid w:val="009A5AD2"/>
    <w:rsid w:val="009B1525"/>
    <w:rsid w:val="009B26F5"/>
    <w:rsid w:val="009C15A2"/>
    <w:rsid w:val="009C3093"/>
    <w:rsid w:val="009C34FF"/>
    <w:rsid w:val="009D115E"/>
    <w:rsid w:val="009E0017"/>
    <w:rsid w:val="009E036B"/>
    <w:rsid w:val="009E106A"/>
    <w:rsid w:val="009E2524"/>
    <w:rsid w:val="009E4464"/>
    <w:rsid w:val="009E7ACC"/>
    <w:rsid w:val="009F3F40"/>
    <w:rsid w:val="009F73F1"/>
    <w:rsid w:val="00A01166"/>
    <w:rsid w:val="00A24A43"/>
    <w:rsid w:val="00A27DEA"/>
    <w:rsid w:val="00A31F54"/>
    <w:rsid w:val="00A4402B"/>
    <w:rsid w:val="00A45B01"/>
    <w:rsid w:val="00A507BB"/>
    <w:rsid w:val="00A50AFA"/>
    <w:rsid w:val="00A6156D"/>
    <w:rsid w:val="00A6701C"/>
    <w:rsid w:val="00A67B6B"/>
    <w:rsid w:val="00A80211"/>
    <w:rsid w:val="00A928A2"/>
    <w:rsid w:val="00A94556"/>
    <w:rsid w:val="00A94599"/>
    <w:rsid w:val="00AA3833"/>
    <w:rsid w:val="00AB1CEA"/>
    <w:rsid w:val="00AC03C8"/>
    <w:rsid w:val="00AC2F9A"/>
    <w:rsid w:val="00AD34E7"/>
    <w:rsid w:val="00AE1585"/>
    <w:rsid w:val="00AE47D4"/>
    <w:rsid w:val="00AE4D77"/>
    <w:rsid w:val="00AE78BA"/>
    <w:rsid w:val="00AF265F"/>
    <w:rsid w:val="00AF2C8B"/>
    <w:rsid w:val="00AF2FBC"/>
    <w:rsid w:val="00B02ADD"/>
    <w:rsid w:val="00B03E97"/>
    <w:rsid w:val="00B04230"/>
    <w:rsid w:val="00B0499C"/>
    <w:rsid w:val="00B05353"/>
    <w:rsid w:val="00B32B30"/>
    <w:rsid w:val="00B353AE"/>
    <w:rsid w:val="00B40E00"/>
    <w:rsid w:val="00B60878"/>
    <w:rsid w:val="00B61038"/>
    <w:rsid w:val="00B652F2"/>
    <w:rsid w:val="00B71039"/>
    <w:rsid w:val="00B74DF3"/>
    <w:rsid w:val="00B75DDE"/>
    <w:rsid w:val="00B807A5"/>
    <w:rsid w:val="00B81D2A"/>
    <w:rsid w:val="00B84C5D"/>
    <w:rsid w:val="00B86547"/>
    <w:rsid w:val="00B94051"/>
    <w:rsid w:val="00B95598"/>
    <w:rsid w:val="00B9571D"/>
    <w:rsid w:val="00B95B24"/>
    <w:rsid w:val="00B961D5"/>
    <w:rsid w:val="00B9620C"/>
    <w:rsid w:val="00B97935"/>
    <w:rsid w:val="00BA728B"/>
    <w:rsid w:val="00BB01D4"/>
    <w:rsid w:val="00BC2521"/>
    <w:rsid w:val="00BC5A5B"/>
    <w:rsid w:val="00BC6F88"/>
    <w:rsid w:val="00BD196E"/>
    <w:rsid w:val="00BD400B"/>
    <w:rsid w:val="00BE070F"/>
    <w:rsid w:val="00BE681D"/>
    <w:rsid w:val="00BE77DD"/>
    <w:rsid w:val="00BF1C44"/>
    <w:rsid w:val="00BF3501"/>
    <w:rsid w:val="00BF543C"/>
    <w:rsid w:val="00BF6DFE"/>
    <w:rsid w:val="00C06E93"/>
    <w:rsid w:val="00C114CF"/>
    <w:rsid w:val="00C12A2D"/>
    <w:rsid w:val="00C206FB"/>
    <w:rsid w:val="00C2154B"/>
    <w:rsid w:val="00C23B79"/>
    <w:rsid w:val="00C24226"/>
    <w:rsid w:val="00C27A29"/>
    <w:rsid w:val="00C27F29"/>
    <w:rsid w:val="00C3191B"/>
    <w:rsid w:val="00C3252D"/>
    <w:rsid w:val="00C3271E"/>
    <w:rsid w:val="00C44BB6"/>
    <w:rsid w:val="00C5071E"/>
    <w:rsid w:val="00C51F04"/>
    <w:rsid w:val="00C537BE"/>
    <w:rsid w:val="00C55909"/>
    <w:rsid w:val="00C5595B"/>
    <w:rsid w:val="00C5756D"/>
    <w:rsid w:val="00C579E4"/>
    <w:rsid w:val="00C624B1"/>
    <w:rsid w:val="00C6291B"/>
    <w:rsid w:val="00C6338F"/>
    <w:rsid w:val="00C7497F"/>
    <w:rsid w:val="00C8364A"/>
    <w:rsid w:val="00C87418"/>
    <w:rsid w:val="00C96D9E"/>
    <w:rsid w:val="00CA2EBE"/>
    <w:rsid w:val="00CA3BCC"/>
    <w:rsid w:val="00CA4443"/>
    <w:rsid w:val="00CB375C"/>
    <w:rsid w:val="00CB4ECD"/>
    <w:rsid w:val="00CC5D46"/>
    <w:rsid w:val="00CD188C"/>
    <w:rsid w:val="00CE748A"/>
    <w:rsid w:val="00CF0BD9"/>
    <w:rsid w:val="00CF7E08"/>
    <w:rsid w:val="00D1233D"/>
    <w:rsid w:val="00D20FD1"/>
    <w:rsid w:val="00D2277C"/>
    <w:rsid w:val="00D27CF2"/>
    <w:rsid w:val="00D334D7"/>
    <w:rsid w:val="00D437C7"/>
    <w:rsid w:val="00D47BB2"/>
    <w:rsid w:val="00D523AF"/>
    <w:rsid w:val="00D53098"/>
    <w:rsid w:val="00D54301"/>
    <w:rsid w:val="00D55065"/>
    <w:rsid w:val="00D566D0"/>
    <w:rsid w:val="00D70D5B"/>
    <w:rsid w:val="00D754A4"/>
    <w:rsid w:val="00D861DB"/>
    <w:rsid w:val="00D9284A"/>
    <w:rsid w:val="00DB419E"/>
    <w:rsid w:val="00DB4CD3"/>
    <w:rsid w:val="00DB63D4"/>
    <w:rsid w:val="00DD117F"/>
    <w:rsid w:val="00DD2557"/>
    <w:rsid w:val="00DD66B6"/>
    <w:rsid w:val="00DE2902"/>
    <w:rsid w:val="00DE2FF8"/>
    <w:rsid w:val="00DE36CA"/>
    <w:rsid w:val="00DE3DAC"/>
    <w:rsid w:val="00DF7AE5"/>
    <w:rsid w:val="00E02798"/>
    <w:rsid w:val="00E06509"/>
    <w:rsid w:val="00E10187"/>
    <w:rsid w:val="00E10D6F"/>
    <w:rsid w:val="00E17A55"/>
    <w:rsid w:val="00E20775"/>
    <w:rsid w:val="00E2245C"/>
    <w:rsid w:val="00E236DA"/>
    <w:rsid w:val="00E34DFF"/>
    <w:rsid w:val="00E35D91"/>
    <w:rsid w:val="00E37D04"/>
    <w:rsid w:val="00E442B9"/>
    <w:rsid w:val="00E47ABC"/>
    <w:rsid w:val="00E50C84"/>
    <w:rsid w:val="00E55769"/>
    <w:rsid w:val="00E642CF"/>
    <w:rsid w:val="00E64A2A"/>
    <w:rsid w:val="00E64CE5"/>
    <w:rsid w:val="00E72D5D"/>
    <w:rsid w:val="00E74ACE"/>
    <w:rsid w:val="00E77DA4"/>
    <w:rsid w:val="00E81281"/>
    <w:rsid w:val="00E829F0"/>
    <w:rsid w:val="00E860A2"/>
    <w:rsid w:val="00EA2BFD"/>
    <w:rsid w:val="00EA4D67"/>
    <w:rsid w:val="00EA776E"/>
    <w:rsid w:val="00EB41F6"/>
    <w:rsid w:val="00EB7125"/>
    <w:rsid w:val="00EC5BF3"/>
    <w:rsid w:val="00EC722D"/>
    <w:rsid w:val="00EE240C"/>
    <w:rsid w:val="00EE32F0"/>
    <w:rsid w:val="00EF1C42"/>
    <w:rsid w:val="00EF57CB"/>
    <w:rsid w:val="00F022F1"/>
    <w:rsid w:val="00F036CE"/>
    <w:rsid w:val="00F06580"/>
    <w:rsid w:val="00F10D8C"/>
    <w:rsid w:val="00F1147C"/>
    <w:rsid w:val="00F175E3"/>
    <w:rsid w:val="00F20221"/>
    <w:rsid w:val="00F248D6"/>
    <w:rsid w:val="00F31A61"/>
    <w:rsid w:val="00F36DD0"/>
    <w:rsid w:val="00F41D1D"/>
    <w:rsid w:val="00F436D1"/>
    <w:rsid w:val="00F539C2"/>
    <w:rsid w:val="00F62125"/>
    <w:rsid w:val="00F65BF4"/>
    <w:rsid w:val="00F66903"/>
    <w:rsid w:val="00F6713E"/>
    <w:rsid w:val="00F74EAE"/>
    <w:rsid w:val="00F8446B"/>
    <w:rsid w:val="00F87E86"/>
    <w:rsid w:val="00FB0F44"/>
    <w:rsid w:val="00FC052B"/>
    <w:rsid w:val="00FD6262"/>
    <w:rsid w:val="00FF0F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3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F66903"/>
    <w:rPr>
      <w:sz w:val="20"/>
    </w:rPr>
  </w:style>
  <w:style w:type="character" w:customStyle="1" w:styleId="FootnoteTextChar">
    <w:name w:val="Footnote Text Char"/>
    <w:basedOn w:val="DefaultParagraphFont"/>
    <w:link w:val="FootnoteText"/>
    <w:uiPriority w:val="99"/>
    <w:semiHidden/>
    <w:rsid w:val="00F669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903"/>
    <w:rPr>
      <w:vertAlign w:val="superscript"/>
    </w:rPr>
  </w:style>
  <w:style w:type="paragraph" w:styleId="NoSpacing">
    <w:name w:val="No Spacing"/>
    <w:uiPriority w:val="1"/>
    <w:qFormat/>
    <w:rsid w:val="00D9284A"/>
    <w:pPr>
      <w:spacing w:after="0" w:line="240" w:lineRule="auto"/>
    </w:pPr>
    <w:rPr>
      <w:rFonts w:ascii="Calibri" w:eastAsia="Calibri" w:hAnsi="Calibri" w:cs="Times New Roman"/>
    </w:rPr>
  </w:style>
  <w:style w:type="character" w:styleId="Strong">
    <w:name w:val="Strong"/>
    <w:uiPriority w:val="22"/>
    <w:qFormat/>
    <w:rsid w:val="00D9284A"/>
    <w:rPr>
      <w:b/>
      <w:bCs/>
    </w:rPr>
  </w:style>
  <w:style w:type="paragraph" w:customStyle="1" w:styleId="Default">
    <w:name w:val="Default"/>
    <w:rsid w:val="00E37D0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DD930E709BF42BA95855631B9ACA9" ma:contentTypeVersion="10" ma:contentTypeDescription="Create a new document." ma:contentTypeScope="" ma:versionID="4813317a3ca7c90b5e24002c47fe49f7">
  <xsd:schema xmlns:xsd="http://www.w3.org/2001/XMLSchema" xmlns:xs="http://www.w3.org/2001/XMLSchema" xmlns:p="http://schemas.microsoft.com/office/2006/metadata/properties" xmlns:ns3="39d22586-6408-44fc-8505-9909cb7fe849" targetNamespace="http://schemas.microsoft.com/office/2006/metadata/properties" ma:root="true" ma:fieldsID="944626203a3ca45e3494dd6c3c21335e" ns3:_="">
    <xsd:import namespace="39d22586-6408-44fc-8505-9909cb7fe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586-6408-44fc-8505-9909cb7fe8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A14A-F07B-4F5D-BEA8-43692E3A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586-6408-44fc-8505-9909cb7f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4.xml><?xml version="1.0" encoding="utf-8"?>
<ds:datastoreItem xmlns:ds="http://schemas.openxmlformats.org/officeDocument/2006/customXml" ds:itemID="{0C38E70D-A606-4962-967B-E58F05C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3840</Words>
  <Characters>21893</Characters>
  <Application>Microsoft Office Word</Application>
  <DocSecurity>0</DocSecurity>
  <Lines>371</Lines>
  <Paragraphs>160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Kim, Andrew</cp:lastModifiedBy>
  <cp:revision>6</cp:revision>
  <dcterms:created xsi:type="dcterms:W3CDTF">2020-10-08T23:39:00Z</dcterms:created>
  <dcterms:modified xsi:type="dcterms:W3CDTF">2020-10-09T01:46:00Z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0x01010080ADD930E709BF42BA95855631B9ACA9</vt:lpwstr>
  </property>
</Properties>
</file>