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20D2" w14:textId="37CA20C3" w:rsidR="008A5CF4" w:rsidRPr="0063060C" w:rsidRDefault="00977F3B" w:rsidP="0063060C">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Superior Court</w:t>
      </w:r>
    </w:p>
    <w:p w14:paraId="038CC267" w14:textId="15695E9A" w:rsidR="0063060C" w:rsidRPr="0063060C" w:rsidRDefault="0063060C" w:rsidP="0063060C">
      <w:pPr>
        <w:spacing w:line="264" w:lineRule="auto"/>
        <w:contextualSpacing/>
        <w:jc w:val="center"/>
        <w:rPr>
          <w:rFonts w:ascii="Arial" w:hAnsi="Arial" w:cs="Arial"/>
          <w:b/>
          <w:sz w:val="28"/>
          <w:szCs w:val="28"/>
        </w:rPr>
      </w:pPr>
      <w:r>
        <w:rPr>
          <w:rFonts w:ascii="Arial" w:hAnsi="Arial" w:cs="Arial"/>
          <w:smallCaps/>
          <w:szCs w:val="24"/>
        </w:rPr>
        <w:t xml:space="preserve">Analyst: </w:t>
      </w:r>
      <w:r w:rsidR="00B60878">
        <w:rPr>
          <w:rFonts w:ascii="Arial" w:hAnsi="Arial" w:cs="Arial"/>
          <w:smallCaps/>
          <w:szCs w:val="24"/>
        </w:rPr>
        <w:t>Clifton Curry</w:t>
      </w:r>
    </w:p>
    <w:p w14:paraId="4D38C770" w14:textId="1FE76534" w:rsidR="008A5CF4" w:rsidRPr="001C4B19" w:rsidRDefault="008A5CF4" w:rsidP="008A5CF4">
      <w:pPr>
        <w:rPr>
          <w:rFonts w:ascii="Arial" w:hAnsi="Arial" w:cs="Arial"/>
          <w:b/>
          <w:szCs w:val="24"/>
        </w:rPr>
      </w:pPr>
    </w:p>
    <w:tbl>
      <w:tblPr>
        <w:tblStyle w:val="TableGrid"/>
        <w:tblW w:w="9480" w:type="dxa"/>
        <w:jc w:val="center"/>
        <w:tblCellMar>
          <w:left w:w="72" w:type="dxa"/>
          <w:right w:w="72" w:type="dxa"/>
        </w:tblCellMar>
        <w:tblLook w:val="04A0" w:firstRow="1" w:lastRow="0" w:firstColumn="1" w:lastColumn="0" w:noHBand="0" w:noVBand="1"/>
      </w:tblPr>
      <w:tblGrid>
        <w:gridCol w:w="3660"/>
        <w:gridCol w:w="194"/>
        <w:gridCol w:w="1786"/>
        <w:gridCol w:w="165"/>
        <w:gridCol w:w="1490"/>
        <w:gridCol w:w="161"/>
        <w:gridCol w:w="896"/>
        <w:gridCol w:w="196"/>
        <w:gridCol w:w="926"/>
        <w:gridCol w:w="6"/>
      </w:tblGrid>
      <w:tr w:rsidR="00B40E00" w:rsidRPr="008D0300" w14:paraId="596C73F0" w14:textId="77777777" w:rsidTr="005D49A1">
        <w:trPr>
          <w:cantSplit/>
          <w:trHeight w:val="411"/>
          <w:tblHeader/>
          <w:jc w:val="center"/>
        </w:trPr>
        <w:tc>
          <w:tcPr>
            <w:tcW w:w="3660" w:type="dxa"/>
            <w:tcBorders>
              <w:top w:val="single" w:sz="12" w:space="0" w:color="auto"/>
              <w:left w:val="nil"/>
              <w:bottom w:val="single" w:sz="4" w:space="0" w:color="auto"/>
              <w:right w:val="nil"/>
            </w:tcBorders>
            <w:shd w:val="clear" w:color="auto" w:fill="auto"/>
            <w:vAlign w:val="center"/>
          </w:tcPr>
          <w:p w14:paraId="1647FA31" w14:textId="04CACC99" w:rsidR="00D566D0" w:rsidRPr="008D0300" w:rsidRDefault="00D566D0" w:rsidP="0063060C">
            <w:pPr>
              <w:rPr>
                <w:rFonts w:ascii="Arial" w:hAnsi="Arial" w:cs="Arial"/>
                <w:b/>
                <w:sz w:val="22"/>
                <w:szCs w:val="22"/>
              </w:rPr>
            </w:pPr>
          </w:p>
        </w:tc>
        <w:tc>
          <w:tcPr>
            <w:tcW w:w="194" w:type="dxa"/>
            <w:tcBorders>
              <w:top w:val="single" w:sz="12" w:space="0" w:color="auto"/>
              <w:left w:val="nil"/>
              <w:bottom w:val="nil"/>
              <w:right w:val="nil"/>
            </w:tcBorders>
          </w:tcPr>
          <w:p w14:paraId="508119E7" w14:textId="77777777" w:rsidR="00D566D0" w:rsidRPr="008D0300" w:rsidRDefault="00D566D0" w:rsidP="008A5CF4">
            <w:pPr>
              <w:rPr>
                <w:rFonts w:ascii="Arial" w:hAnsi="Arial" w:cs="Arial"/>
                <w:b/>
                <w:sz w:val="22"/>
                <w:szCs w:val="22"/>
              </w:rPr>
            </w:pPr>
          </w:p>
        </w:tc>
        <w:tc>
          <w:tcPr>
            <w:tcW w:w="1786" w:type="dxa"/>
            <w:tcBorders>
              <w:top w:val="single" w:sz="12" w:space="0" w:color="auto"/>
              <w:left w:val="nil"/>
              <w:bottom w:val="nil"/>
              <w:right w:val="nil"/>
            </w:tcBorders>
            <w:vAlign w:val="center"/>
          </w:tcPr>
          <w:p w14:paraId="03CB8E56" w14:textId="7520B120" w:rsidR="00D566D0" w:rsidRPr="008D0300" w:rsidRDefault="009A5126" w:rsidP="009A5126">
            <w:pPr>
              <w:jc w:val="center"/>
              <w:rPr>
                <w:rFonts w:ascii="Arial" w:hAnsi="Arial" w:cs="Arial"/>
                <w:b/>
                <w:sz w:val="22"/>
                <w:szCs w:val="22"/>
              </w:rPr>
            </w:pPr>
            <w:r>
              <w:rPr>
                <w:rFonts w:ascii="Arial" w:hAnsi="Arial" w:cs="Arial"/>
                <w:b/>
                <w:sz w:val="22"/>
                <w:szCs w:val="22"/>
              </w:rPr>
              <w:t>Expenditures</w:t>
            </w:r>
          </w:p>
        </w:tc>
        <w:tc>
          <w:tcPr>
            <w:tcW w:w="165" w:type="dxa"/>
            <w:tcBorders>
              <w:top w:val="single" w:sz="12" w:space="0" w:color="auto"/>
              <w:left w:val="nil"/>
              <w:bottom w:val="nil"/>
              <w:right w:val="nil"/>
            </w:tcBorders>
          </w:tcPr>
          <w:p w14:paraId="6255EFDB" w14:textId="5CEB78AB" w:rsidR="00D566D0" w:rsidRPr="008D0300" w:rsidRDefault="00D566D0" w:rsidP="008A5CF4">
            <w:pPr>
              <w:rPr>
                <w:rFonts w:ascii="Arial" w:hAnsi="Arial" w:cs="Arial"/>
                <w:b/>
                <w:sz w:val="22"/>
                <w:szCs w:val="22"/>
              </w:rPr>
            </w:pPr>
          </w:p>
        </w:tc>
        <w:tc>
          <w:tcPr>
            <w:tcW w:w="1490" w:type="dxa"/>
            <w:tcBorders>
              <w:top w:val="single" w:sz="12" w:space="0" w:color="auto"/>
              <w:left w:val="nil"/>
              <w:bottom w:val="single" w:sz="2" w:space="0" w:color="auto"/>
              <w:right w:val="nil"/>
            </w:tcBorders>
            <w:shd w:val="clear" w:color="auto" w:fill="auto"/>
            <w:vAlign w:val="center"/>
          </w:tcPr>
          <w:p w14:paraId="3E2CB846" w14:textId="6246048C" w:rsidR="00D566D0" w:rsidRPr="008D0300" w:rsidRDefault="009A5126" w:rsidP="0063060C">
            <w:pPr>
              <w:jc w:val="center"/>
              <w:rPr>
                <w:rFonts w:ascii="Arial" w:hAnsi="Arial" w:cs="Arial"/>
                <w:b/>
                <w:sz w:val="22"/>
                <w:szCs w:val="22"/>
              </w:rPr>
            </w:pPr>
            <w:r>
              <w:rPr>
                <w:rFonts w:ascii="Arial" w:hAnsi="Arial" w:cs="Arial"/>
                <w:b/>
                <w:sz w:val="22"/>
                <w:szCs w:val="22"/>
              </w:rPr>
              <w:t>Revenues</w:t>
            </w:r>
          </w:p>
        </w:tc>
        <w:tc>
          <w:tcPr>
            <w:tcW w:w="161" w:type="dxa"/>
            <w:tcBorders>
              <w:top w:val="single" w:sz="12" w:space="0" w:color="auto"/>
              <w:left w:val="nil"/>
              <w:bottom w:val="nil"/>
              <w:right w:val="nil"/>
            </w:tcBorders>
          </w:tcPr>
          <w:p w14:paraId="54A62A2C" w14:textId="6FBC42CB" w:rsidR="00D566D0" w:rsidRPr="008D0300" w:rsidRDefault="00D566D0" w:rsidP="008A5CF4">
            <w:pPr>
              <w:rPr>
                <w:rFonts w:ascii="Arial" w:hAnsi="Arial" w:cs="Arial"/>
                <w:b/>
                <w:sz w:val="22"/>
                <w:szCs w:val="22"/>
              </w:rPr>
            </w:pPr>
          </w:p>
        </w:tc>
        <w:tc>
          <w:tcPr>
            <w:tcW w:w="896" w:type="dxa"/>
            <w:tcBorders>
              <w:top w:val="single" w:sz="12" w:space="0" w:color="auto"/>
              <w:left w:val="nil"/>
              <w:bottom w:val="single" w:sz="2" w:space="0" w:color="auto"/>
              <w:right w:val="nil"/>
            </w:tcBorders>
            <w:vAlign w:val="center"/>
          </w:tcPr>
          <w:p w14:paraId="05ACC489" w14:textId="31773FEB" w:rsidR="00D566D0" w:rsidRPr="008D0300" w:rsidRDefault="00D566D0" w:rsidP="0063060C">
            <w:pPr>
              <w:jc w:val="center"/>
              <w:rPr>
                <w:rFonts w:ascii="Arial" w:hAnsi="Arial" w:cs="Arial"/>
                <w:b/>
                <w:sz w:val="22"/>
                <w:szCs w:val="22"/>
              </w:rPr>
            </w:pPr>
            <w:r>
              <w:rPr>
                <w:rFonts w:ascii="Arial" w:hAnsi="Arial" w:cs="Arial"/>
                <w:b/>
                <w:sz w:val="22"/>
                <w:szCs w:val="22"/>
              </w:rPr>
              <w:t>FTEs</w:t>
            </w:r>
          </w:p>
        </w:tc>
        <w:tc>
          <w:tcPr>
            <w:tcW w:w="196" w:type="dxa"/>
            <w:tcBorders>
              <w:top w:val="single" w:sz="12" w:space="0" w:color="auto"/>
              <w:left w:val="nil"/>
              <w:bottom w:val="nil"/>
              <w:right w:val="nil"/>
            </w:tcBorders>
          </w:tcPr>
          <w:p w14:paraId="4FFC7A7C" w14:textId="77777777" w:rsidR="00D566D0" w:rsidRDefault="00D566D0" w:rsidP="008A5CF4">
            <w:pPr>
              <w:jc w:val="center"/>
              <w:rPr>
                <w:rFonts w:ascii="Arial" w:hAnsi="Arial" w:cs="Arial"/>
                <w:b/>
                <w:sz w:val="22"/>
                <w:szCs w:val="22"/>
              </w:rPr>
            </w:pPr>
          </w:p>
        </w:tc>
        <w:tc>
          <w:tcPr>
            <w:tcW w:w="932" w:type="dxa"/>
            <w:gridSpan w:val="2"/>
            <w:tcBorders>
              <w:top w:val="single" w:sz="12" w:space="0" w:color="auto"/>
              <w:left w:val="nil"/>
              <w:bottom w:val="single" w:sz="2" w:space="0" w:color="auto"/>
              <w:right w:val="single" w:sz="2" w:space="0" w:color="FFFFFF" w:themeColor="background1"/>
            </w:tcBorders>
            <w:vAlign w:val="center"/>
          </w:tcPr>
          <w:p w14:paraId="23F3C229" w14:textId="5E2587EA" w:rsidR="00D566D0" w:rsidRPr="008D0300" w:rsidRDefault="00D566D0" w:rsidP="008A5CF4">
            <w:pPr>
              <w:jc w:val="center"/>
              <w:rPr>
                <w:rFonts w:ascii="Arial" w:hAnsi="Arial" w:cs="Arial"/>
                <w:b/>
                <w:sz w:val="22"/>
                <w:szCs w:val="22"/>
              </w:rPr>
            </w:pPr>
            <w:r>
              <w:rPr>
                <w:rFonts w:ascii="Arial" w:hAnsi="Arial" w:cs="Arial"/>
                <w:b/>
                <w:sz w:val="22"/>
                <w:szCs w:val="22"/>
              </w:rPr>
              <w:t>TLTs</w:t>
            </w:r>
          </w:p>
        </w:tc>
      </w:tr>
      <w:tr w:rsidR="00B40E00" w:rsidRPr="008D0300" w14:paraId="2F9A4CD3" w14:textId="77777777" w:rsidTr="005D49A1">
        <w:trPr>
          <w:cantSplit/>
          <w:jc w:val="center"/>
        </w:trPr>
        <w:tc>
          <w:tcPr>
            <w:tcW w:w="3660" w:type="dxa"/>
            <w:tcBorders>
              <w:left w:val="nil"/>
              <w:bottom w:val="nil"/>
              <w:right w:val="nil"/>
            </w:tcBorders>
            <w:tcMar>
              <w:top w:w="72" w:type="dxa"/>
              <w:left w:w="115" w:type="dxa"/>
              <w:bottom w:w="72" w:type="dxa"/>
              <w:right w:w="115" w:type="dxa"/>
            </w:tcMar>
          </w:tcPr>
          <w:p w14:paraId="30A89E3F" w14:textId="053F218B" w:rsidR="009A5126" w:rsidRPr="00D566D0" w:rsidRDefault="009A5126" w:rsidP="009A5126">
            <w:pPr>
              <w:rPr>
                <w:rFonts w:ascii="Arial" w:hAnsi="Arial" w:cs="Arial"/>
                <w:sz w:val="22"/>
                <w:szCs w:val="22"/>
              </w:rPr>
            </w:pPr>
            <w:r w:rsidRPr="00D566D0">
              <w:rPr>
                <w:rFonts w:ascii="Arial" w:hAnsi="Arial" w:cs="Arial"/>
                <w:sz w:val="22"/>
                <w:szCs w:val="22"/>
              </w:rPr>
              <w:t>2019-2020 Revised Budget</w:t>
            </w:r>
          </w:p>
        </w:tc>
        <w:tc>
          <w:tcPr>
            <w:tcW w:w="194" w:type="dxa"/>
            <w:tcBorders>
              <w:top w:val="nil"/>
              <w:left w:val="nil"/>
              <w:bottom w:val="nil"/>
              <w:right w:val="nil"/>
            </w:tcBorders>
          </w:tcPr>
          <w:p w14:paraId="5395F1E7" w14:textId="77777777" w:rsidR="009A5126" w:rsidRPr="008D0300" w:rsidRDefault="009A5126" w:rsidP="009A5126">
            <w:pPr>
              <w:jc w:val="right"/>
              <w:rPr>
                <w:rFonts w:ascii="Arial" w:hAnsi="Arial" w:cs="Arial"/>
                <w:sz w:val="22"/>
                <w:szCs w:val="22"/>
              </w:rPr>
            </w:pPr>
          </w:p>
        </w:tc>
        <w:tc>
          <w:tcPr>
            <w:tcW w:w="1786" w:type="dxa"/>
            <w:tcBorders>
              <w:left w:val="nil"/>
              <w:bottom w:val="nil"/>
              <w:right w:val="nil"/>
            </w:tcBorders>
          </w:tcPr>
          <w:p w14:paraId="3A6E1983" w14:textId="190EC96A" w:rsidR="009A5126" w:rsidRPr="008D0300" w:rsidRDefault="009A5126" w:rsidP="009A5126">
            <w:pPr>
              <w:jc w:val="right"/>
              <w:rPr>
                <w:rFonts w:ascii="Arial" w:hAnsi="Arial" w:cs="Arial"/>
                <w:sz w:val="22"/>
                <w:szCs w:val="22"/>
              </w:rPr>
            </w:pPr>
            <w:r>
              <w:rPr>
                <w:rFonts w:ascii="Arial" w:hAnsi="Arial" w:cs="Arial"/>
                <w:sz w:val="22"/>
                <w:szCs w:val="22"/>
              </w:rPr>
              <w:t>$</w:t>
            </w:r>
            <w:r w:rsidR="00CF43DF">
              <w:rPr>
                <w:rFonts w:ascii="Arial" w:hAnsi="Arial" w:cs="Arial"/>
                <w:sz w:val="22"/>
                <w:szCs w:val="22"/>
              </w:rPr>
              <w:t>116,332,245</w:t>
            </w:r>
          </w:p>
        </w:tc>
        <w:tc>
          <w:tcPr>
            <w:tcW w:w="165" w:type="dxa"/>
            <w:tcBorders>
              <w:top w:val="nil"/>
              <w:left w:val="nil"/>
              <w:bottom w:val="nil"/>
              <w:right w:val="nil"/>
            </w:tcBorders>
          </w:tcPr>
          <w:p w14:paraId="4FCBAB7B" w14:textId="50471FA6" w:rsidR="009A5126" w:rsidRPr="008D0300" w:rsidRDefault="009A5126" w:rsidP="009A5126">
            <w:pPr>
              <w:jc w:val="right"/>
              <w:rPr>
                <w:rFonts w:ascii="Arial" w:hAnsi="Arial" w:cs="Arial"/>
                <w:sz w:val="22"/>
                <w:szCs w:val="22"/>
              </w:rPr>
            </w:pPr>
          </w:p>
        </w:tc>
        <w:tc>
          <w:tcPr>
            <w:tcW w:w="1490" w:type="dxa"/>
            <w:tcBorders>
              <w:top w:val="single" w:sz="2" w:space="0" w:color="auto"/>
              <w:left w:val="nil"/>
              <w:bottom w:val="nil"/>
              <w:right w:val="nil"/>
            </w:tcBorders>
            <w:tcMar>
              <w:top w:w="72" w:type="dxa"/>
              <w:bottom w:w="72" w:type="dxa"/>
            </w:tcMar>
          </w:tcPr>
          <w:p w14:paraId="01A9110B" w14:textId="27F0F540" w:rsidR="009A5126" w:rsidRPr="008D0300" w:rsidRDefault="009A5126" w:rsidP="009A5126">
            <w:pPr>
              <w:jc w:val="right"/>
              <w:rPr>
                <w:rFonts w:ascii="Arial" w:hAnsi="Arial" w:cs="Arial"/>
                <w:sz w:val="22"/>
                <w:szCs w:val="22"/>
              </w:rPr>
            </w:pPr>
            <w:r>
              <w:rPr>
                <w:rFonts w:ascii="Arial" w:hAnsi="Arial" w:cs="Arial"/>
                <w:sz w:val="22"/>
                <w:szCs w:val="22"/>
              </w:rPr>
              <w:t>$</w:t>
            </w:r>
            <w:r w:rsidR="00113714">
              <w:rPr>
                <w:rFonts w:ascii="Arial" w:hAnsi="Arial" w:cs="Arial"/>
                <w:sz w:val="22"/>
                <w:szCs w:val="22"/>
              </w:rPr>
              <w:t>8,115,674</w:t>
            </w:r>
          </w:p>
        </w:tc>
        <w:tc>
          <w:tcPr>
            <w:tcW w:w="161" w:type="dxa"/>
            <w:tcBorders>
              <w:top w:val="nil"/>
              <w:left w:val="nil"/>
              <w:bottom w:val="nil"/>
              <w:right w:val="nil"/>
            </w:tcBorders>
          </w:tcPr>
          <w:p w14:paraId="4DFF88B8" w14:textId="225208E8" w:rsidR="009A5126" w:rsidRPr="008D0300" w:rsidRDefault="009A5126" w:rsidP="009A5126">
            <w:pPr>
              <w:jc w:val="right"/>
              <w:rPr>
                <w:rFonts w:ascii="Arial" w:hAnsi="Arial" w:cs="Arial"/>
                <w:sz w:val="22"/>
                <w:szCs w:val="22"/>
              </w:rPr>
            </w:pPr>
          </w:p>
        </w:tc>
        <w:tc>
          <w:tcPr>
            <w:tcW w:w="896" w:type="dxa"/>
            <w:tcBorders>
              <w:top w:val="single" w:sz="2" w:space="0" w:color="auto"/>
              <w:left w:val="nil"/>
              <w:bottom w:val="nil"/>
              <w:right w:val="nil"/>
            </w:tcBorders>
            <w:tcMar>
              <w:top w:w="72" w:type="dxa"/>
              <w:bottom w:w="72" w:type="dxa"/>
            </w:tcMar>
          </w:tcPr>
          <w:p w14:paraId="5F2CDDC0" w14:textId="3131AC66" w:rsidR="009A5126" w:rsidRPr="008D0300" w:rsidRDefault="00113714" w:rsidP="009A5126">
            <w:pPr>
              <w:jc w:val="right"/>
              <w:rPr>
                <w:rFonts w:ascii="Arial" w:hAnsi="Arial" w:cs="Arial"/>
                <w:sz w:val="22"/>
                <w:szCs w:val="22"/>
              </w:rPr>
            </w:pPr>
            <w:r>
              <w:rPr>
                <w:rFonts w:ascii="Arial" w:hAnsi="Arial" w:cs="Arial"/>
                <w:sz w:val="22"/>
                <w:szCs w:val="22"/>
              </w:rPr>
              <w:t>327.8</w:t>
            </w:r>
          </w:p>
        </w:tc>
        <w:tc>
          <w:tcPr>
            <w:tcW w:w="196" w:type="dxa"/>
            <w:tcBorders>
              <w:top w:val="nil"/>
              <w:left w:val="nil"/>
              <w:bottom w:val="nil"/>
              <w:right w:val="nil"/>
            </w:tcBorders>
          </w:tcPr>
          <w:p w14:paraId="5743EB10" w14:textId="77777777" w:rsidR="009A5126" w:rsidRDefault="009A5126" w:rsidP="009A5126">
            <w:pPr>
              <w:jc w:val="right"/>
              <w:rPr>
                <w:rFonts w:ascii="Arial" w:hAnsi="Arial" w:cs="Arial"/>
                <w:sz w:val="22"/>
                <w:szCs w:val="22"/>
              </w:rPr>
            </w:pPr>
          </w:p>
        </w:tc>
        <w:tc>
          <w:tcPr>
            <w:tcW w:w="932"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639D9642" w14:textId="1AA22250" w:rsidR="009A5126" w:rsidRPr="008D0300" w:rsidRDefault="009A5126" w:rsidP="009A5126">
            <w:pPr>
              <w:jc w:val="right"/>
              <w:rPr>
                <w:rFonts w:ascii="Arial" w:hAnsi="Arial" w:cs="Arial"/>
                <w:sz w:val="22"/>
                <w:szCs w:val="22"/>
              </w:rPr>
            </w:pPr>
            <w:r>
              <w:rPr>
                <w:rFonts w:ascii="Arial" w:hAnsi="Arial" w:cs="Arial"/>
                <w:sz w:val="22"/>
                <w:szCs w:val="22"/>
              </w:rPr>
              <w:t>0.0</w:t>
            </w:r>
          </w:p>
        </w:tc>
      </w:tr>
      <w:tr w:rsidR="00B40E00" w:rsidRPr="008D0300" w14:paraId="774D22F3" w14:textId="77777777" w:rsidTr="008A28C6">
        <w:trPr>
          <w:cantSplit/>
          <w:trHeight w:val="216"/>
          <w:jc w:val="center"/>
        </w:trPr>
        <w:tc>
          <w:tcPr>
            <w:tcW w:w="3660" w:type="dxa"/>
            <w:tcBorders>
              <w:top w:val="nil"/>
              <w:left w:val="nil"/>
              <w:bottom w:val="nil"/>
              <w:right w:val="nil"/>
            </w:tcBorders>
            <w:tcMar>
              <w:top w:w="72" w:type="dxa"/>
              <w:left w:w="115" w:type="dxa"/>
              <w:bottom w:w="72" w:type="dxa"/>
              <w:right w:w="115" w:type="dxa"/>
            </w:tcMar>
          </w:tcPr>
          <w:p w14:paraId="4D82153D" w14:textId="4FD2B5F3" w:rsidR="009A5126" w:rsidRDefault="009A5126" w:rsidP="009A5126">
            <w:pPr>
              <w:ind w:left="240"/>
              <w:rPr>
                <w:rFonts w:ascii="Arial" w:hAnsi="Arial" w:cs="Arial"/>
                <w:sz w:val="22"/>
                <w:szCs w:val="22"/>
              </w:rPr>
            </w:pPr>
            <w:r>
              <w:rPr>
                <w:rFonts w:ascii="Arial" w:hAnsi="Arial" w:cs="Arial"/>
                <w:sz w:val="22"/>
                <w:szCs w:val="22"/>
              </w:rPr>
              <w:t>2021-2022 Base Budget</w:t>
            </w:r>
            <w:r w:rsidR="00765B32">
              <w:rPr>
                <w:rFonts w:ascii="Arial" w:hAnsi="Arial" w:cs="Arial"/>
                <w:sz w:val="22"/>
                <w:szCs w:val="22"/>
              </w:rPr>
              <w:t xml:space="preserve"> Adjust.</w:t>
            </w:r>
          </w:p>
        </w:tc>
        <w:tc>
          <w:tcPr>
            <w:tcW w:w="194" w:type="dxa"/>
            <w:tcBorders>
              <w:top w:val="nil"/>
              <w:left w:val="nil"/>
              <w:bottom w:val="nil"/>
              <w:right w:val="nil"/>
            </w:tcBorders>
          </w:tcPr>
          <w:p w14:paraId="6D59484A" w14:textId="122F491C" w:rsidR="009A5126" w:rsidRPr="008D0300" w:rsidRDefault="009A5126" w:rsidP="009A5126">
            <w:pPr>
              <w:jc w:val="right"/>
              <w:rPr>
                <w:rFonts w:ascii="Arial" w:hAnsi="Arial" w:cs="Arial"/>
                <w:sz w:val="22"/>
                <w:szCs w:val="22"/>
              </w:rPr>
            </w:pPr>
          </w:p>
        </w:tc>
        <w:tc>
          <w:tcPr>
            <w:tcW w:w="1786" w:type="dxa"/>
            <w:tcBorders>
              <w:top w:val="nil"/>
              <w:left w:val="nil"/>
              <w:bottom w:val="nil"/>
              <w:right w:val="nil"/>
            </w:tcBorders>
          </w:tcPr>
          <w:p w14:paraId="153739B1" w14:textId="6C5075B9" w:rsidR="009A5126" w:rsidRPr="008D0300" w:rsidRDefault="000D2BED"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Pr>
                <w:rFonts w:ascii="Arial" w:hAnsi="Arial" w:cs="Arial"/>
                <w:sz w:val="22"/>
                <w:szCs w:val="22"/>
              </w:rPr>
              <w:t>1,986,305)</w:t>
            </w:r>
          </w:p>
        </w:tc>
        <w:tc>
          <w:tcPr>
            <w:tcW w:w="165" w:type="dxa"/>
            <w:tcBorders>
              <w:top w:val="nil"/>
              <w:left w:val="nil"/>
              <w:bottom w:val="nil"/>
              <w:right w:val="nil"/>
            </w:tcBorders>
          </w:tcPr>
          <w:p w14:paraId="1275B628" w14:textId="7406A1B1" w:rsidR="009A5126" w:rsidRPr="008D0300" w:rsidRDefault="009A5126" w:rsidP="009A5126">
            <w:pPr>
              <w:jc w:val="right"/>
              <w:rPr>
                <w:rFonts w:ascii="Arial" w:hAnsi="Arial" w:cs="Arial"/>
                <w:sz w:val="22"/>
                <w:szCs w:val="22"/>
              </w:rPr>
            </w:pPr>
          </w:p>
        </w:tc>
        <w:tc>
          <w:tcPr>
            <w:tcW w:w="1490" w:type="dxa"/>
            <w:tcBorders>
              <w:top w:val="nil"/>
              <w:left w:val="nil"/>
              <w:bottom w:val="nil"/>
              <w:right w:val="nil"/>
            </w:tcBorders>
            <w:tcMar>
              <w:top w:w="72" w:type="dxa"/>
              <w:bottom w:w="72" w:type="dxa"/>
            </w:tcMar>
          </w:tcPr>
          <w:p w14:paraId="1ECE2542" w14:textId="3517A4C9" w:rsidR="009A5126" w:rsidRDefault="008E7755"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sidR="00DD091F">
              <w:rPr>
                <w:rFonts w:ascii="Arial" w:hAnsi="Arial" w:cs="Arial"/>
                <w:sz w:val="22"/>
                <w:szCs w:val="22"/>
              </w:rPr>
              <w:t>563,410</w:t>
            </w:r>
            <w:r>
              <w:rPr>
                <w:rFonts w:ascii="Arial" w:hAnsi="Arial" w:cs="Arial"/>
                <w:sz w:val="22"/>
                <w:szCs w:val="22"/>
              </w:rPr>
              <w:t>)</w:t>
            </w:r>
          </w:p>
        </w:tc>
        <w:tc>
          <w:tcPr>
            <w:tcW w:w="161" w:type="dxa"/>
            <w:tcBorders>
              <w:top w:val="nil"/>
              <w:left w:val="nil"/>
              <w:bottom w:val="nil"/>
              <w:right w:val="nil"/>
            </w:tcBorders>
          </w:tcPr>
          <w:p w14:paraId="657812B7" w14:textId="77777777" w:rsidR="009A5126" w:rsidRPr="008D0300" w:rsidRDefault="009A5126" w:rsidP="009A5126">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4A72EA18" w14:textId="58FA27B7" w:rsidR="009A5126" w:rsidRDefault="009A5126" w:rsidP="009A5126">
            <w:pPr>
              <w:jc w:val="right"/>
              <w:rPr>
                <w:rFonts w:ascii="Arial" w:hAnsi="Arial" w:cs="Arial"/>
                <w:sz w:val="22"/>
                <w:szCs w:val="22"/>
              </w:rPr>
            </w:pPr>
            <w:r>
              <w:rPr>
                <w:rFonts w:ascii="Arial" w:hAnsi="Arial" w:cs="Arial"/>
                <w:sz w:val="22"/>
                <w:szCs w:val="22"/>
              </w:rPr>
              <w:t>0.0</w:t>
            </w:r>
          </w:p>
        </w:tc>
        <w:tc>
          <w:tcPr>
            <w:tcW w:w="196" w:type="dxa"/>
            <w:tcBorders>
              <w:top w:val="nil"/>
              <w:left w:val="nil"/>
              <w:bottom w:val="nil"/>
              <w:right w:val="nil"/>
            </w:tcBorders>
          </w:tcPr>
          <w:p w14:paraId="358B7EF9" w14:textId="77777777" w:rsidR="009A5126" w:rsidRPr="008D0300" w:rsidRDefault="009A5126" w:rsidP="009A5126">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4392F1A5" w14:textId="1957EE05" w:rsidR="009A5126" w:rsidRPr="008D0300" w:rsidRDefault="009A5126" w:rsidP="008E7755">
            <w:pPr>
              <w:jc w:val="right"/>
              <w:rPr>
                <w:rFonts w:ascii="Arial" w:hAnsi="Arial" w:cs="Arial"/>
                <w:sz w:val="22"/>
                <w:szCs w:val="22"/>
              </w:rPr>
            </w:pPr>
            <w:r>
              <w:rPr>
                <w:rFonts w:ascii="Arial" w:hAnsi="Arial" w:cs="Arial"/>
                <w:sz w:val="22"/>
                <w:szCs w:val="22"/>
              </w:rPr>
              <w:t>0.0</w:t>
            </w:r>
          </w:p>
        </w:tc>
      </w:tr>
      <w:tr w:rsidR="00B40E00" w:rsidRPr="008D0300" w14:paraId="79518FD7" w14:textId="77777777" w:rsidTr="008A28C6">
        <w:trPr>
          <w:cantSplit/>
          <w:trHeight w:val="369"/>
          <w:jc w:val="center"/>
        </w:trPr>
        <w:tc>
          <w:tcPr>
            <w:tcW w:w="3660" w:type="dxa"/>
            <w:tcBorders>
              <w:top w:val="nil"/>
              <w:left w:val="nil"/>
              <w:bottom w:val="nil"/>
              <w:right w:val="nil"/>
            </w:tcBorders>
            <w:tcMar>
              <w:top w:w="72" w:type="dxa"/>
              <w:left w:w="115" w:type="dxa"/>
              <w:bottom w:w="72" w:type="dxa"/>
              <w:right w:w="115" w:type="dxa"/>
            </w:tcMar>
          </w:tcPr>
          <w:p w14:paraId="6542C693" w14:textId="76356DA9" w:rsidR="009A5126" w:rsidRDefault="009A5126" w:rsidP="009A5126">
            <w:pPr>
              <w:ind w:left="240"/>
              <w:rPr>
                <w:rFonts w:ascii="Arial" w:hAnsi="Arial" w:cs="Arial"/>
                <w:sz w:val="22"/>
                <w:szCs w:val="22"/>
              </w:rPr>
            </w:pPr>
            <w:r>
              <w:rPr>
                <w:rFonts w:ascii="Arial" w:hAnsi="Arial" w:cs="Arial"/>
                <w:sz w:val="22"/>
                <w:szCs w:val="22"/>
              </w:rPr>
              <w:t>2021-2022 Decision Packages</w:t>
            </w:r>
          </w:p>
        </w:tc>
        <w:tc>
          <w:tcPr>
            <w:tcW w:w="194" w:type="dxa"/>
            <w:tcBorders>
              <w:top w:val="nil"/>
              <w:left w:val="nil"/>
              <w:bottom w:val="nil"/>
              <w:right w:val="nil"/>
            </w:tcBorders>
          </w:tcPr>
          <w:p w14:paraId="50A07E4C" w14:textId="0E83589F" w:rsidR="009A5126" w:rsidRPr="008D0300" w:rsidRDefault="009A5126" w:rsidP="009A5126">
            <w:pPr>
              <w:jc w:val="right"/>
              <w:rPr>
                <w:rFonts w:ascii="Arial" w:hAnsi="Arial" w:cs="Arial"/>
                <w:sz w:val="22"/>
                <w:szCs w:val="22"/>
              </w:rPr>
            </w:pPr>
          </w:p>
        </w:tc>
        <w:tc>
          <w:tcPr>
            <w:tcW w:w="1786" w:type="dxa"/>
            <w:tcBorders>
              <w:top w:val="nil"/>
              <w:left w:val="nil"/>
              <w:bottom w:val="nil"/>
              <w:right w:val="nil"/>
            </w:tcBorders>
          </w:tcPr>
          <w:p w14:paraId="381A02DA" w14:textId="75B71494" w:rsidR="009A5126" w:rsidRPr="008D0300" w:rsidRDefault="008E7755"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sidR="006B5167">
              <w:rPr>
                <w:rFonts w:ascii="Arial" w:hAnsi="Arial" w:cs="Arial"/>
                <w:sz w:val="22"/>
                <w:szCs w:val="22"/>
              </w:rPr>
              <w:t>860,594</w:t>
            </w:r>
            <w:r>
              <w:rPr>
                <w:rFonts w:ascii="Arial" w:hAnsi="Arial" w:cs="Arial"/>
                <w:sz w:val="22"/>
                <w:szCs w:val="22"/>
              </w:rPr>
              <w:t>)</w:t>
            </w:r>
          </w:p>
        </w:tc>
        <w:tc>
          <w:tcPr>
            <w:tcW w:w="165" w:type="dxa"/>
            <w:tcBorders>
              <w:top w:val="nil"/>
              <w:left w:val="nil"/>
              <w:bottom w:val="nil"/>
              <w:right w:val="nil"/>
            </w:tcBorders>
          </w:tcPr>
          <w:p w14:paraId="4DC8F0CF" w14:textId="45819607" w:rsidR="009A5126" w:rsidRPr="008D0300" w:rsidRDefault="009A5126" w:rsidP="009A5126">
            <w:pPr>
              <w:jc w:val="right"/>
              <w:rPr>
                <w:rFonts w:ascii="Arial" w:hAnsi="Arial" w:cs="Arial"/>
                <w:sz w:val="22"/>
                <w:szCs w:val="22"/>
              </w:rPr>
            </w:pPr>
          </w:p>
        </w:tc>
        <w:tc>
          <w:tcPr>
            <w:tcW w:w="1490" w:type="dxa"/>
            <w:tcBorders>
              <w:top w:val="nil"/>
              <w:left w:val="nil"/>
              <w:bottom w:val="nil"/>
              <w:right w:val="nil"/>
            </w:tcBorders>
            <w:tcMar>
              <w:top w:w="72" w:type="dxa"/>
              <w:bottom w:w="72" w:type="dxa"/>
            </w:tcMar>
          </w:tcPr>
          <w:p w14:paraId="3AA812A7" w14:textId="466562BA" w:rsidR="009A5126" w:rsidRDefault="00190A6B"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Pr>
                <w:rFonts w:ascii="Arial" w:hAnsi="Arial" w:cs="Arial"/>
                <w:sz w:val="22"/>
                <w:szCs w:val="22"/>
              </w:rPr>
              <w:t>391,850)</w:t>
            </w:r>
          </w:p>
        </w:tc>
        <w:tc>
          <w:tcPr>
            <w:tcW w:w="161" w:type="dxa"/>
            <w:tcBorders>
              <w:top w:val="nil"/>
              <w:left w:val="nil"/>
              <w:bottom w:val="nil"/>
              <w:right w:val="nil"/>
            </w:tcBorders>
          </w:tcPr>
          <w:p w14:paraId="5CE057A0" w14:textId="77777777" w:rsidR="009A5126" w:rsidRPr="008D0300" w:rsidRDefault="009A5126" w:rsidP="009A5126">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258E6F7E" w14:textId="630281DB" w:rsidR="009A5126" w:rsidRDefault="00190A6B" w:rsidP="009A5126">
            <w:pPr>
              <w:jc w:val="right"/>
              <w:rPr>
                <w:rFonts w:ascii="Arial" w:hAnsi="Arial" w:cs="Arial"/>
                <w:sz w:val="22"/>
                <w:szCs w:val="22"/>
              </w:rPr>
            </w:pPr>
            <w:r>
              <w:rPr>
                <w:rFonts w:ascii="Arial" w:hAnsi="Arial" w:cs="Arial"/>
                <w:sz w:val="22"/>
                <w:szCs w:val="22"/>
              </w:rPr>
              <w:t>(18.6)</w:t>
            </w:r>
            <w:r w:rsidR="009A5126">
              <w:rPr>
                <w:rFonts w:ascii="Arial" w:hAnsi="Arial" w:cs="Arial"/>
                <w:sz w:val="22"/>
                <w:szCs w:val="22"/>
              </w:rPr>
              <w:t xml:space="preserve"> </w:t>
            </w:r>
          </w:p>
        </w:tc>
        <w:tc>
          <w:tcPr>
            <w:tcW w:w="196" w:type="dxa"/>
            <w:tcBorders>
              <w:top w:val="nil"/>
              <w:left w:val="nil"/>
              <w:bottom w:val="nil"/>
              <w:right w:val="nil"/>
            </w:tcBorders>
          </w:tcPr>
          <w:p w14:paraId="6457EA7F" w14:textId="77777777" w:rsidR="009A5126" w:rsidRPr="008D0300" w:rsidRDefault="009A5126" w:rsidP="009A5126">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1BCBED0B" w14:textId="01A2F164" w:rsidR="009A5126" w:rsidRDefault="00190A6B" w:rsidP="009A5126">
            <w:pPr>
              <w:jc w:val="right"/>
              <w:rPr>
                <w:rFonts w:ascii="Arial" w:hAnsi="Arial" w:cs="Arial"/>
                <w:sz w:val="22"/>
                <w:szCs w:val="22"/>
              </w:rPr>
            </w:pPr>
            <w:r>
              <w:rPr>
                <w:rFonts w:ascii="Arial" w:hAnsi="Arial" w:cs="Arial"/>
                <w:sz w:val="22"/>
                <w:szCs w:val="22"/>
              </w:rPr>
              <w:t>0.0</w:t>
            </w:r>
            <w:r w:rsidR="009A5126">
              <w:rPr>
                <w:rFonts w:ascii="Arial" w:hAnsi="Arial" w:cs="Arial"/>
                <w:sz w:val="22"/>
                <w:szCs w:val="22"/>
              </w:rPr>
              <w:t xml:space="preserve"> </w:t>
            </w:r>
          </w:p>
        </w:tc>
      </w:tr>
      <w:tr w:rsidR="005D49A1" w:rsidRPr="008D0300" w14:paraId="25121A11" w14:textId="77777777" w:rsidTr="005D49A1">
        <w:trPr>
          <w:cantSplit/>
          <w:jc w:val="center"/>
        </w:trPr>
        <w:tc>
          <w:tcPr>
            <w:tcW w:w="3660" w:type="dxa"/>
            <w:tcBorders>
              <w:top w:val="single" w:sz="4" w:space="0" w:color="auto"/>
              <w:left w:val="nil"/>
              <w:bottom w:val="nil"/>
              <w:right w:val="nil"/>
            </w:tcBorders>
            <w:tcMar>
              <w:top w:w="72" w:type="dxa"/>
              <w:left w:w="115" w:type="dxa"/>
              <w:bottom w:w="72" w:type="dxa"/>
              <w:right w:w="115" w:type="dxa"/>
            </w:tcMar>
          </w:tcPr>
          <w:p w14:paraId="3B2EBE11" w14:textId="419C2493" w:rsidR="009A5126" w:rsidRPr="008D0300" w:rsidRDefault="009A5126" w:rsidP="009A5126">
            <w:pPr>
              <w:rPr>
                <w:rFonts w:ascii="Arial" w:hAnsi="Arial" w:cs="Arial"/>
                <w:b/>
                <w:sz w:val="22"/>
                <w:szCs w:val="22"/>
              </w:rPr>
            </w:pPr>
            <w:r>
              <w:rPr>
                <w:rFonts w:ascii="Arial" w:hAnsi="Arial" w:cs="Arial"/>
                <w:b/>
                <w:sz w:val="22"/>
                <w:szCs w:val="22"/>
              </w:rPr>
              <w:t>2021-2022 Proposed Budget</w:t>
            </w:r>
          </w:p>
        </w:tc>
        <w:tc>
          <w:tcPr>
            <w:tcW w:w="194" w:type="dxa"/>
            <w:tcBorders>
              <w:top w:val="nil"/>
              <w:left w:val="nil"/>
              <w:bottom w:val="nil"/>
              <w:right w:val="nil"/>
            </w:tcBorders>
          </w:tcPr>
          <w:p w14:paraId="3D30E806" w14:textId="77777777" w:rsidR="009A5126" w:rsidRPr="008D0300" w:rsidRDefault="009A5126" w:rsidP="009A5126">
            <w:pPr>
              <w:jc w:val="right"/>
              <w:rPr>
                <w:rFonts w:ascii="Arial" w:hAnsi="Arial" w:cs="Arial"/>
                <w:sz w:val="22"/>
                <w:szCs w:val="22"/>
              </w:rPr>
            </w:pPr>
          </w:p>
        </w:tc>
        <w:tc>
          <w:tcPr>
            <w:tcW w:w="1786" w:type="dxa"/>
            <w:tcBorders>
              <w:top w:val="single" w:sz="4" w:space="0" w:color="auto"/>
              <w:left w:val="nil"/>
              <w:bottom w:val="nil"/>
              <w:right w:val="nil"/>
            </w:tcBorders>
          </w:tcPr>
          <w:p w14:paraId="184215F5" w14:textId="2DF7FE29" w:rsidR="009A5126" w:rsidRPr="008D0300" w:rsidRDefault="005D49A1" w:rsidP="009A5126">
            <w:pPr>
              <w:jc w:val="right"/>
              <w:rPr>
                <w:rFonts w:ascii="Arial" w:hAnsi="Arial" w:cs="Arial"/>
                <w:sz w:val="22"/>
                <w:szCs w:val="22"/>
              </w:rPr>
            </w:pPr>
            <w:r>
              <w:rPr>
                <w:rFonts w:ascii="Arial" w:hAnsi="Arial" w:cs="Arial"/>
                <w:b/>
                <w:sz w:val="22"/>
                <w:szCs w:val="22"/>
              </w:rPr>
              <w:t>$</w:t>
            </w:r>
            <w:r w:rsidR="00B32B32">
              <w:rPr>
                <w:rFonts w:ascii="Arial" w:hAnsi="Arial" w:cs="Arial"/>
                <w:b/>
                <w:sz w:val="22"/>
                <w:szCs w:val="22"/>
              </w:rPr>
              <w:t>113,485,346</w:t>
            </w:r>
          </w:p>
        </w:tc>
        <w:tc>
          <w:tcPr>
            <w:tcW w:w="165" w:type="dxa"/>
            <w:tcBorders>
              <w:top w:val="nil"/>
              <w:left w:val="nil"/>
              <w:bottom w:val="nil"/>
              <w:right w:val="nil"/>
            </w:tcBorders>
          </w:tcPr>
          <w:p w14:paraId="0B3E60C7" w14:textId="0663C95F" w:rsidR="009A5126" w:rsidRPr="008D0300" w:rsidRDefault="009A5126" w:rsidP="009A5126">
            <w:pPr>
              <w:jc w:val="right"/>
              <w:rPr>
                <w:rFonts w:ascii="Arial" w:hAnsi="Arial" w:cs="Arial"/>
                <w:sz w:val="22"/>
                <w:szCs w:val="22"/>
              </w:rPr>
            </w:pPr>
          </w:p>
        </w:tc>
        <w:tc>
          <w:tcPr>
            <w:tcW w:w="1490" w:type="dxa"/>
            <w:tcBorders>
              <w:top w:val="single" w:sz="2" w:space="0" w:color="auto"/>
              <w:left w:val="nil"/>
              <w:bottom w:val="nil"/>
              <w:right w:val="nil"/>
            </w:tcBorders>
            <w:tcMar>
              <w:top w:w="72" w:type="dxa"/>
              <w:bottom w:w="72" w:type="dxa"/>
            </w:tcMar>
          </w:tcPr>
          <w:p w14:paraId="1B5D7957" w14:textId="1B45B984" w:rsidR="009A5126" w:rsidRPr="00B33952" w:rsidRDefault="005D49A1" w:rsidP="009A5126">
            <w:pPr>
              <w:jc w:val="right"/>
              <w:rPr>
                <w:rFonts w:ascii="Arial" w:hAnsi="Arial" w:cs="Arial"/>
                <w:b/>
                <w:sz w:val="22"/>
                <w:szCs w:val="22"/>
              </w:rPr>
            </w:pPr>
            <w:r>
              <w:rPr>
                <w:rFonts w:ascii="Arial" w:hAnsi="Arial" w:cs="Arial"/>
                <w:b/>
                <w:sz w:val="22"/>
                <w:szCs w:val="22"/>
              </w:rPr>
              <w:t>$</w:t>
            </w:r>
            <w:r w:rsidR="00B32B32">
              <w:rPr>
                <w:rFonts w:ascii="Arial" w:hAnsi="Arial" w:cs="Arial"/>
                <w:b/>
                <w:sz w:val="22"/>
                <w:szCs w:val="22"/>
              </w:rPr>
              <w:t>7,160,414</w:t>
            </w:r>
          </w:p>
        </w:tc>
        <w:tc>
          <w:tcPr>
            <w:tcW w:w="161" w:type="dxa"/>
            <w:tcBorders>
              <w:top w:val="nil"/>
              <w:left w:val="nil"/>
              <w:bottom w:val="nil"/>
              <w:right w:val="nil"/>
            </w:tcBorders>
          </w:tcPr>
          <w:p w14:paraId="6C04C87B" w14:textId="77777777" w:rsidR="009A5126" w:rsidRPr="00B33952" w:rsidRDefault="009A5126" w:rsidP="009A5126">
            <w:pPr>
              <w:jc w:val="right"/>
              <w:rPr>
                <w:rFonts w:ascii="Arial" w:hAnsi="Arial" w:cs="Arial"/>
                <w:b/>
                <w:sz w:val="22"/>
                <w:szCs w:val="22"/>
              </w:rPr>
            </w:pPr>
          </w:p>
        </w:tc>
        <w:tc>
          <w:tcPr>
            <w:tcW w:w="896" w:type="dxa"/>
            <w:tcBorders>
              <w:top w:val="single" w:sz="2" w:space="0" w:color="auto"/>
              <w:left w:val="nil"/>
              <w:bottom w:val="nil"/>
              <w:right w:val="single" w:sz="2" w:space="0" w:color="FFFFFF" w:themeColor="background1"/>
            </w:tcBorders>
            <w:tcMar>
              <w:top w:w="72" w:type="dxa"/>
              <w:bottom w:w="72" w:type="dxa"/>
            </w:tcMar>
          </w:tcPr>
          <w:p w14:paraId="0E8C1AA3" w14:textId="53BB65CB" w:rsidR="009A5126" w:rsidRPr="00B33952" w:rsidRDefault="00106A5C" w:rsidP="009A5126">
            <w:pPr>
              <w:jc w:val="right"/>
              <w:rPr>
                <w:rFonts w:ascii="Arial" w:hAnsi="Arial" w:cs="Arial"/>
                <w:b/>
                <w:sz w:val="22"/>
                <w:szCs w:val="22"/>
              </w:rPr>
            </w:pPr>
            <w:r>
              <w:rPr>
                <w:rFonts w:ascii="Arial" w:hAnsi="Arial" w:cs="Arial"/>
                <w:b/>
                <w:sz w:val="22"/>
                <w:szCs w:val="22"/>
              </w:rPr>
              <w:t>309.2</w:t>
            </w:r>
          </w:p>
        </w:tc>
        <w:tc>
          <w:tcPr>
            <w:tcW w:w="196" w:type="dxa"/>
            <w:tcBorders>
              <w:top w:val="nil"/>
              <w:left w:val="single" w:sz="2" w:space="0" w:color="FFFFFF" w:themeColor="background1"/>
              <w:bottom w:val="nil"/>
              <w:right w:val="single" w:sz="2" w:space="0" w:color="FFFFFF" w:themeColor="background1"/>
            </w:tcBorders>
          </w:tcPr>
          <w:p w14:paraId="2FE68DBF" w14:textId="77777777" w:rsidR="009A5126" w:rsidRPr="00B33952" w:rsidRDefault="009A5126" w:rsidP="009A5126">
            <w:pPr>
              <w:jc w:val="right"/>
              <w:rPr>
                <w:rFonts w:ascii="Arial" w:hAnsi="Arial" w:cs="Arial"/>
                <w:b/>
                <w:sz w:val="22"/>
                <w:szCs w:val="22"/>
              </w:rPr>
            </w:pPr>
          </w:p>
        </w:tc>
        <w:tc>
          <w:tcPr>
            <w:tcW w:w="932" w:type="dxa"/>
            <w:gridSpan w:val="2"/>
            <w:tcBorders>
              <w:top w:val="single" w:sz="2" w:space="0" w:color="auto"/>
              <w:left w:val="single" w:sz="2" w:space="0" w:color="FFFFFF" w:themeColor="background1"/>
              <w:bottom w:val="nil"/>
              <w:right w:val="single" w:sz="2" w:space="0" w:color="FFFFFF" w:themeColor="background1"/>
            </w:tcBorders>
            <w:tcMar>
              <w:top w:w="72" w:type="dxa"/>
              <w:left w:w="115" w:type="dxa"/>
              <w:bottom w:w="72" w:type="dxa"/>
              <w:right w:w="115" w:type="dxa"/>
            </w:tcMar>
          </w:tcPr>
          <w:p w14:paraId="3AD8AA82" w14:textId="452A54DC" w:rsidR="009A5126" w:rsidRPr="00B33952" w:rsidRDefault="009A5126" w:rsidP="009A5126">
            <w:pPr>
              <w:jc w:val="right"/>
              <w:rPr>
                <w:rFonts w:ascii="Arial" w:hAnsi="Arial" w:cs="Arial"/>
                <w:b/>
                <w:sz w:val="22"/>
                <w:szCs w:val="22"/>
              </w:rPr>
            </w:pPr>
            <w:r>
              <w:rPr>
                <w:rFonts w:ascii="Arial" w:hAnsi="Arial" w:cs="Arial"/>
                <w:b/>
                <w:sz w:val="22"/>
                <w:szCs w:val="22"/>
              </w:rPr>
              <w:t>0.0</w:t>
            </w:r>
          </w:p>
        </w:tc>
      </w:tr>
      <w:tr w:rsidR="008C07EB" w:rsidRPr="008D0300" w14:paraId="214629B8" w14:textId="77777777" w:rsidTr="005D49A1">
        <w:trPr>
          <w:cantSplit/>
          <w:trHeight w:val="261"/>
          <w:jc w:val="center"/>
        </w:trPr>
        <w:tc>
          <w:tcPr>
            <w:tcW w:w="3660" w:type="dxa"/>
            <w:tcBorders>
              <w:top w:val="nil"/>
              <w:left w:val="nil"/>
              <w:bottom w:val="nil"/>
              <w:right w:val="nil"/>
            </w:tcBorders>
            <w:tcMar>
              <w:top w:w="72" w:type="dxa"/>
              <w:left w:w="115" w:type="dxa"/>
              <w:bottom w:w="72" w:type="dxa"/>
              <w:right w:w="115" w:type="dxa"/>
            </w:tcMar>
          </w:tcPr>
          <w:p w14:paraId="012AD374" w14:textId="253FC401" w:rsidR="00A27DEA" w:rsidRPr="00A27DEA" w:rsidRDefault="00087CD0" w:rsidP="00087CD0">
            <w:pPr>
              <w:rPr>
                <w:rFonts w:ascii="Arial" w:hAnsi="Arial" w:cs="Arial"/>
                <w:sz w:val="22"/>
                <w:szCs w:val="22"/>
              </w:rPr>
            </w:pPr>
            <w:r>
              <w:rPr>
                <w:rFonts w:ascii="Arial" w:hAnsi="Arial" w:cs="Arial"/>
                <w:sz w:val="22"/>
                <w:szCs w:val="22"/>
              </w:rPr>
              <w:t>% Change from prior biennium</w:t>
            </w:r>
          </w:p>
        </w:tc>
        <w:tc>
          <w:tcPr>
            <w:tcW w:w="194" w:type="dxa"/>
            <w:tcBorders>
              <w:top w:val="nil"/>
              <w:left w:val="nil"/>
              <w:bottom w:val="nil"/>
              <w:right w:val="nil"/>
            </w:tcBorders>
          </w:tcPr>
          <w:p w14:paraId="62FEBC77" w14:textId="77777777" w:rsidR="00A27DEA" w:rsidRPr="008D0300" w:rsidRDefault="00A27DEA" w:rsidP="009A5126">
            <w:pPr>
              <w:jc w:val="right"/>
              <w:rPr>
                <w:rFonts w:ascii="Arial" w:hAnsi="Arial" w:cs="Arial"/>
                <w:sz w:val="22"/>
                <w:szCs w:val="22"/>
              </w:rPr>
            </w:pPr>
          </w:p>
        </w:tc>
        <w:tc>
          <w:tcPr>
            <w:tcW w:w="1786" w:type="dxa"/>
            <w:tcBorders>
              <w:top w:val="nil"/>
              <w:left w:val="nil"/>
              <w:bottom w:val="nil"/>
              <w:right w:val="nil"/>
            </w:tcBorders>
          </w:tcPr>
          <w:p w14:paraId="61910B54" w14:textId="6A8066A0" w:rsidR="00A27DEA" w:rsidRPr="0046704C" w:rsidRDefault="00D26580" w:rsidP="009A5126">
            <w:pPr>
              <w:jc w:val="right"/>
              <w:rPr>
                <w:rFonts w:ascii="Arial" w:hAnsi="Arial" w:cs="Arial"/>
                <w:sz w:val="22"/>
                <w:szCs w:val="22"/>
              </w:rPr>
            </w:pPr>
            <w:r>
              <w:rPr>
                <w:rFonts w:ascii="Arial" w:hAnsi="Arial" w:cs="Arial"/>
                <w:sz w:val="22"/>
                <w:szCs w:val="22"/>
              </w:rPr>
              <w:t>(2.4</w:t>
            </w:r>
            <w:r w:rsidR="0046704C" w:rsidRPr="0046704C">
              <w:rPr>
                <w:rFonts w:ascii="Arial" w:hAnsi="Arial" w:cs="Arial"/>
                <w:sz w:val="22"/>
                <w:szCs w:val="22"/>
              </w:rPr>
              <w:t>%</w:t>
            </w:r>
            <w:r w:rsidR="000C6784">
              <w:rPr>
                <w:rFonts w:ascii="Arial" w:hAnsi="Arial" w:cs="Arial"/>
                <w:sz w:val="22"/>
                <w:szCs w:val="22"/>
              </w:rPr>
              <w:t>)</w:t>
            </w:r>
          </w:p>
        </w:tc>
        <w:tc>
          <w:tcPr>
            <w:tcW w:w="165" w:type="dxa"/>
            <w:tcBorders>
              <w:top w:val="nil"/>
              <w:left w:val="nil"/>
              <w:bottom w:val="nil"/>
              <w:right w:val="nil"/>
            </w:tcBorders>
          </w:tcPr>
          <w:p w14:paraId="146C829D" w14:textId="4CA52A1B" w:rsidR="00A27DEA" w:rsidRPr="0046704C" w:rsidRDefault="00A27DEA" w:rsidP="009A5126">
            <w:pPr>
              <w:jc w:val="right"/>
              <w:rPr>
                <w:rFonts w:ascii="Arial" w:hAnsi="Arial" w:cs="Arial"/>
                <w:sz w:val="22"/>
                <w:szCs w:val="22"/>
              </w:rPr>
            </w:pPr>
          </w:p>
        </w:tc>
        <w:tc>
          <w:tcPr>
            <w:tcW w:w="1490" w:type="dxa"/>
            <w:tcBorders>
              <w:top w:val="nil"/>
              <w:left w:val="nil"/>
              <w:bottom w:val="nil"/>
              <w:right w:val="nil"/>
            </w:tcBorders>
            <w:tcMar>
              <w:top w:w="72" w:type="dxa"/>
              <w:bottom w:w="72" w:type="dxa"/>
            </w:tcMar>
          </w:tcPr>
          <w:p w14:paraId="21DB867F" w14:textId="040644EC" w:rsidR="00A27DEA" w:rsidRPr="0046704C" w:rsidRDefault="00A27DEA" w:rsidP="009A5126">
            <w:pPr>
              <w:jc w:val="right"/>
              <w:rPr>
                <w:rFonts w:ascii="Arial" w:hAnsi="Arial" w:cs="Arial"/>
                <w:sz w:val="22"/>
                <w:szCs w:val="22"/>
              </w:rPr>
            </w:pPr>
          </w:p>
        </w:tc>
        <w:tc>
          <w:tcPr>
            <w:tcW w:w="161" w:type="dxa"/>
            <w:tcBorders>
              <w:top w:val="nil"/>
              <w:left w:val="nil"/>
              <w:bottom w:val="nil"/>
              <w:right w:val="nil"/>
            </w:tcBorders>
          </w:tcPr>
          <w:p w14:paraId="7DC37838" w14:textId="225AD89C" w:rsidR="00A27DEA" w:rsidRPr="0046704C" w:rsidRDefault="00A27DEA" w:rsidP="009A5126">
            <w:pPr>
              <w:jc w:val="right"/>
              <w:rPr>
                <w:rFonts w:ascii="Arial" w:hAnsi="Arial" w:cs="Arial"/>
                <w:sz w:val="22"/>
                <w:szCs w:val="22"/>
              </w:rPr>
            </w:pPr>
          </w:p>
        </w:tc>
        <w:tc>
          <w:tcPr>
            <w:tcW w:w="896" w:type="dxa"/>
            <w:tcBorders>
              <w:top w:val="nil"/>
              <w:left w:val="nil"/>
              <w:bottom w:val="nil"/>
              <w:right w:val="single" w:sz="2" w:space="0" w:color="FFFFFF" w:themeColor="background1"/>
            </w:tcBorders>
            <w:tcMar>
              <w:top w:w="72" w:type="dxa"/>
              <w:bottom w:w="72" w:type="dxa"/>
            </w:tcMar>
          </w:tcPr>
          <w:p w14:paraId="4EE8047D" w14:textId="7E003D4B" w:rsidR="00A27DEA" w:rsidRPr="0046704C" w:rsidRDefault="00A27DEA" w:rsidP="009A5126">
            <w:pPr>
              <w:jc w:val="right"/>
              <w:rPr>
                <w:rFonts w:ascii="Arial" w:hAnsi="Arial" w:cs="Arial"/>
                <w:sz w:val="22"/>
                <w:szCs w:val="22"/>
              </w:rPr>
            </w:pPr>
          </w:p>
        </w:tc>
        <w:tc>
          <w:tcPr>
            <w:tcW w:w="196" w:type="dxa"/>
            <w:tcBorders>
              <w:top w:val="nil"/>
              <w:left w:val="single" w:sz="2" w:space="0" w:color="FFFFFF" w:themeColor="background1"/>
              <w:bottom w:val="nil"/>
              <w:right w:val="single" w:sz="2" w:space="0" w:color="FFFFFF" w:themeColor="background1"/>
            </w:tcBorders>
          </w:tcPr>
          <w:p w14:paraId="36010AE6" w14:textId="384BDC8A" w:rsidR="00A27DEA" w:rsidRPr="0046704C" w:rsidRDefault="00A27DEA" w:rsidP="009A5126">
            <w:pPr>
              <w:jc w:val="right"/>
              <w:rPr>
                <w:rFonts w:ascii="Arial" w:hAnsi="Arial" w:cs="Arial"/>
                <w:sz w:val="22"/>
                <w:szCs w:val="22"/>
              </w:rPr>
            </w:pPr>
          </w:p>
        </w:tc>
        <w:tc>
          <w:tcPr>
            <w:tcW w:w="932" w:type="dxa"/>
            <w:gridSpan w:val="2"/>
            <w:tcBorders>
              <w:top w:val="nil"/>
              <w:left w:val="single" w:sz="2" w:space="0" w:color="FFFFFF" w:themeColor="background1"/>
              <w:bottom w:val="nil"/>
              <w:right w:val="single" w:sz="2" w:space="0" w:color="FFFFFF" w:themeColor="background1"/>
            </w:tcBorders>
            <w:tcMar>
              <w:top w:w="72" w:type="dxa"/>
              <w:left w:w="115" w:type="dxa"/>
              <w:bottom w:w="72" w:type="dxa"/>
              <w:right w:w="115" w:type="dxa"/>
            </w:tcMar>
          </w:tcPr>
          <w:p w14:paraId="610BEB13" w14:textId="5969A0DD" w:rsidR="00A27DEA" w:rsidRPr="0046704C" w:rsidRDefault="00A27DEA" w:rsidP="009A5126">
            <w:pPr>
              <w:jc w:val="right"/>
              <w:rPr>
                <w:rFonts w:ascii="Arial" w:hAnsi="Arial" w:cs="Arial"/>
                <w:sz w:val="22"/>
                <w:szCs w:val="22"/>
              </w:rPr>
            </w:pPr>
          </w:p>
        </w:tc>
      </w:tr>
      <w:tr w:rsidR="005D49A1" w:rsidRPr="008D0300" w14:paraId="6B57AA58" w14:textId="77777777" w:rsidTr="005D49A1">
        <w:trPr>
          <w:cantSplit/>
          <w:trHeight w:val="396"/>
          <w:jc w:val="center"/>
        </w:trPr>
        <w:tc>
          <w:tcPr>
            <w:tcW w:w="3660" w:type="dxa"/>
            <w:tcBorders>
              <w:top w:val="nil"/>
              <w:left w:val="nil"/>
              <w:bottom w:val="dotted" w:sz="4" w:space="0" w:color="auto"/>
              <w:right w:val="nil"/>
            </w:tcBorders>
            <w:tcMar>
              <w:top w:w="72" w:type="dxa"/>
              <w:left w:w="115" w:type="dxa"/>
              <w:bottom w:w="72" w:type="dxa"/>
              <w:right w:w="115" w:type="dxa"/>
            </w:tcMar>
          </w:tcPr>
          <w:p w14:paraId="05E85242" w14:textId="747F8AAD" w:rsidR="00A27DEA" w:rsidRPr="00A27DEA" w:rsidRDefault="007D0720" w:rsidP="0004254D">
            <w:pPr>
              <w:rPr>
                <w:rFonts w:ascii="Arial" w:hAnsi="Arial" w:cs="Arial"/>
                <w:sz w:val="22"/>
                <w:szCs w:val="22"/>
              </w:rPr>
            </w:pPr>
            <w:r>
              <w:rPr>
                <w:rFonts w:ascii="Arial" w:hAnsi="Arial" w:cs="Arial"/>
                <w:sz w:val="22"/>
                <w:szCs w:val="22"/>
              </w:rPr>
              <w:t xml:space="preserve">Dec. Pkg. as % </w:t>
            </w:r>
            <w:r w:rsidR="0004254D">
              <w:rPr>
                <w:rFonts w:ascii="Arial" w:hAnsi="Arial" w:cs="Arial"/>
                <w:sz w:val="22"/>
                <w:szCs w:val="22"/>
              </w:rPr>
              <w:t>of prior biennium</w:t>
            </w:r>
          </w:p>
        </w:tc>
        <w:tc>
          <w:tcPr>
            <w:tcW w:w="194" w:type="dxa"/>
            <w:tcBorders>
              <w:top w:val="nil"/>
              <w:left w:val="nil"/>
              <w:bottom w:val="dotted" w:sz="4" w:space="0" w:color="auto"/>
              <w:right w:val="nil"/>
            </w:tcBorders>
          </w:tcPr>
          <w:p w14:paraId="3CA8704A" w14:textId="77777777" w:rsidR="00A27DEA" w:rsidRPr="008D0300" w:rsidRDefault="00A27DEA" w:rsidP="009A5126">
            <w:pPr>
              <w:jc w:val="right"/>
              <w:rPr>
                <w:rFonts w:ascii="Arial" w:hAnsi="Arial" w:cs="Arial"/>
                <w:sz w:val="22"/>
                <w:szCs w:val="22"/>
              </w:rPr>
            </w:pPr>
          </w:p>
        </w:tc>
        <w:tc>
          <w:tcPr>
            <w:tcW w:w="1786" w:type="dxa"/>
            <w:tcBorders>
              <w:top w:val="nil"/>
              <w:left w:val="nil"/>
              <w:bottom w:val="dotted" w:sz="4" w:space="0" w:color="auto"/>
              <w:right w:val="nil"/>
            </w:tcBorders>
          </w:tcPr>
          <w:p w14:paraId="24E89735" w14:textId="1550A85B" w:rsidR="00A27DEA" w:rsidRPr="0046704C" w:rsidRDefault="00765B32" w:rsidP="009A5126">
            <w:pPr>
              <w:jc w:val="right"/>
              <w:rPr>
                <w:rFonts w:ascii="Arial" w:hAnsi="Arial" w:cs="Arial"/>
                <w:sz w:val="22"/>
                <w:szCs w:val="22"/>
              </w:rPr>
            </w:pPr>
            <w:r>
              <w:rPr>
                <w:rFonts w:ascii="Arial" w:hAnsi="Arial" w:cs="Arial"/>
                <w:sz w:val="22"/>
                <w:szCs w:val="22"/>
              </w:rPr>
              <w:t>(</w:t>
            </w:r>
            <w:r w:rsidR="0046704C">
              <w:rPr>
                <w:rFonts w:ascii="Arial" w:hAnsi="Arial" w:cs="Arial"/>
                <w:sz w:val="22"/>
                <w:szCs w:val="22"/>
              </w:rPr>
              <w:t>0.</w:t>
            </w:r>
            <w:r w:rsidR="000C4BFC">
              <w:rPr>
                <w:rFonts w:ascii="Arial" w:hAnsi="Arial" w:cs="Arial"/>
                <w:sz w:val="22"/>
                <w:szCs w:val="22"/>
              </w:rPr>
              <w:t>7</w:t>
            </w:r>
            <w:r w:rsidR="0046704C">
              <w:rPr>
                <w:rFonts w:ascii="Arial" w:hAnsi="Arial" w:cs="Arial"/>
                <w:sz w:val="22"/>
                <w:szCs w:val="22"/>
              </w:rPr>
              <w:t>%</w:t>
            </w:r>
            <w:r>
              <w:rPr>
                <w:rFonts w:ascii="Arial" w:hAnsi="Arial" w:cs="Arial"/>
                <w:sz w:val="22"/>
                <w:szCs w:val="22"/>
              </w:rPr>
              <w:t>)</w:t>
            </w:r>
          </w:p>
        </w:tc>
        <w:tc>
          <w:tcPr>
            <w:tcW w:w="165" w:type="dxa"/>
            <w:tcBorders>
              <w:top w:val="nil"/>
              <w:left w:val="nil"/>
              <w:bottom w:val="dotted" w:sz="4" w:space="0" w:color="auto"/>
              <w:right w:val="nil"/>
            </w:tcBorders>
          </w:tcPr>
          <w:p w14:paraId="09FD9B4F" w14:textId="77777777" w:rsidR="00A27DEA" w:rsidRPr="0046704C" w:rsidRDefault="00A27DEA" w:rsidP="009A5126">
            <w:pPr>
              <w:jc w:val="right"/>
              <w:rPr>
                <w:rFonts w:ascii="Arial" w:hAnsi="Arial" w:cs="Arial"/>
                <w:sz w:val="22"/>
                <w:szCs w:val="22"/>
              </w:rPr>
            </w:pPr>
          </w:p>
        </w:tc>
        <w:tc>
          <w:tcPr>
            <w:tcW w:w="1490" w:type="dxa"/>
            <w:tcBorders>
              <w:top w:val="nil"/>
              <w:left w:val="nil"/>
              <w:bottom w:val="dotted" w:sz="4" w:space="0" w:color="auto"/>
              <w:right w:val="nil"/>
            </w:tcBorders>
            <w:tcMar>
              <w:top w:w="72" w:type="dxa"/>
              <w:bottom w:w="72" w:type="dxa"/>
            </w:tcMar>
          </w:tcPr>
          <w:p w14:paraId="613BCB03" w14:textId="194819C1" w:rsidR="00A27DEA" w:rsidRPr="0046704C" w:rsidRDefault="00A27DEA" w:rsidP="009A5126">
            <w:pPr>
              <w:jc w:val="right"/>
              <w:rPr>
                <w:rFonts w:ascii="Arial" w:hAnsi="Arial" w:cs="Arial"/>
                <w:sz w:val="22"/>
                <w:szCs w:val="22"/>
              </w:rPr>
            </w:pPr>
          </w:p>
        </w:tc>
        <w:tc>
          <w:tcPr>
            <w:tcW w:w="161" w:type="dxa"/>
            <w:tcBorders>
              <w:top w:val="nil"/>
              <w:left w:val="nil"/>
              <w:bottom w:val="dotted" w:sz="4" w:space="0" w:color="auto"/>
              <w:right w:val="nil"/>
            </w:tcBorders>
          </w:tcPr>
          <w:p w14:paraId="4DE81D76" w14:textId="64293666" w:rsidR="00A27DEA" w:rsidRPr="0046704C" w:rsidRDefault="00A27DEA" w:rsidP="009A5126">
            <w:pPr>
              <w:jc w:val="right"/>
              <w:rPr>
                <w:rFonts w:ascii="Arial" w:hAnsi="Arial" w:cs="Arial"/>
                <w:sz w:val="22"/>
                <w:szCs w:val="22"/>
              </w:rPr>
            </w:pPr>
          </w:p>
        </w:tc>
        <w:tc>
          <w:tcPr>
            <w:tcW w:w="896" w:type="dxa"/>
            <w:tcBorders>
              <w:top w:val="nil"/>
              <w:left w:val="nil"/>
              <w:bottom w:val="dotted" w:sz="4" w:space="0" w:color="auto"/>
              <w:right w:val="single" w:sz="2" w:space="0" w:color="FFFFFF" w:themeColor="background1"/>
            </w:tcBorders>
            <w:tcMar>
              <w:top w:w="72" w:type="dxa"/>
              <w:bottom w:w="72" w:type="dxa"/>
            </w:tcMar>
          </w:tcPr>
          <w:p w14:paraId="5CBF1CDE" w14:textId="3BA20A0A" w:rsidR="00A27DEA" w:rsidRPr="0046704C" w:rsidRDefault="00A27DEA" w:rsidP="009A5126">
            <w:pPr>
              <w:jc w:val="right"/>
              <w:rPr>
                <w:rFonts w:ascii="Arial" w:hAnsi="Arial" w:cs="Arial"/>
                <w:sz w:val="22"/>
                <w:szCs w:val="22"/>
              </w:rPr>
            </w:pPr>
          </w:p>
        </w:tc>
        <w:tc>
          <w:tcPr>
            <w:tcW w:w="196" w:type="dxa"/>
            <w:tcBorders>
              <w:top w:val="nil"/>
              <w:left w:val="single" w:sz="2" w:space="0" w:color="FFFFFF" w:themeColor="background1"/>
              <w:bottom w:val="dotted" w:sz="4" w:space="0" w:color="auto"/>
              <w:right w:val="single" w:sz="2" w:space="0" w:color="FFFFFF" w:themeColor="background1"/>
            </w:tcBorders>
          </w:tcPr>
          <w:p w14:paraId="2AC36B28" w14:textId="77777777" w:rsidR="00A27DEA" w:rsidRPr="0046704C" w:rsidRDefault="00A27DEA" w:rsidP="009A5126">
            <w:pPr>
              <w:jc w:val="right"/>
              <w:rPr>
                <w:rFonts w:ascii="Arial" w:hAnsi="Arial" w:cs="Arial"/>
                <w:sz w:val="22"/>
                <w:szCs w:val="22"/>
              </w:rPr>
            </w:pPr>
          </w:p>
        </w:tc>
        <w:tc>
          <w:tcPr>
            <w:tcW w:w="932" w:type="dxa"/>
            <w:gridSpan w:val="2"/>
            <w:tcBorders>
              <w:top w:val="nil"/>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25F2B6B3" w14:textId="77777777" w:rsidR="00A27DEA" w:rsidRPr="0046704C" w:rsidRDefault="00A27DEA" w:rsidP="009A5126">
            <w:pPr>
              <w:jc w:val="right"/>
              <w:rPr>
                <w:rFonts w:ascii="Arial" w:hAnsi="Arial" w:cs="Arial"/>
                <w:sz w:val="22"/>
                <w:szCs w:val="22"/>
              </w:rPr>
            </w:pPr>
          </w:p>
        </w:tc>
      </w:tr>
      <w:tr w:rsidR="006F4699" w:rsidRPr="008D0300" w14:paraId="28475DC1" w14:textId="77777777" w:rsidTr="00580825">
        <w:trPr>
          <w:gridAfter w:val="1"/>
          <w:wAfter w:w="6" w:type="dxa"/>
          <w:cantSplit/>
          <w:trHeight w:val="287"/>
          <w:jc w:val="center"/>
        </w:trPr>
        <w:tc>
          <w:tcPr>
            <w:tcW w:w="9474" w:type="dxa"/>
            <w:gridSpan w:val="9"/>
            <w:tcBorders>
              <w:top w:val="dotted" w:sz="4" w:space="0" w:color="auto"/>
              <w:left w:val="nil"/>
              <w:bottom w:val="nil"/>
              <w:right w:val="single" w:sz="2" w:space="0" w:color="FFFFFF" w:themeColor="background1"/>
            </w:tcBorders>
            <w:tcMar>
              <w:top w:w="72" w:type="dxa"/>
              <w:left w:w="115" w:type="dxa"/>
              <w:bottom w:w="72" w:type="dxa"/>
              <w:right w:w="115" w:type="dxa"/>
            </w:tcMar>
            <w:vAlign w:val="center"/>
          </w:tcPr>
          <w:p w14:paraId="083304AF" w14:textId="03A6CA91" w:rsidR="006F4699" w:rsidRPr="006F4699" w:rsidRDefault="006F4699" w:rsidP="00EC5BF3">
            <w:pPr>
              <w:spacing w:line="264" w:lineRule="auto"/>
              <w:ind w:left="216"/>
              <w:rPr>
                <w:rFonts w:ascii="Arial" w:hAnsi="Arial" w:cs="Arial"/>
                <w:b/>
                <w:sz w:val="22"/>
                <w:szCs w:val="22"/>
              </w:rPr>
            </w:pPr>
            <w:r w:rsidRPr="006F4699">
              <w:rPr>
                <w:rFonts w:ascii="Arial" w:hAnsi="Arial" w:cs="Arial"/>
                <w:b/>
                <w:sz w:val="22"/>
                <w:szCs w:val="22"/>
              </w:rPr>
              <w:t>Major Revenue Sources</w:t>
            </w:r>
            <w:r>
              <w:rPr>
                <w:rFonts w:ascii="Arial" w:hAnsi="Arial" w:cs="Arial"/>
                <w:b/>
                <w:sz w:val="22"/>
                <w:szCs w:val="22"/>
              </w:rPr>
              <w:t xml:space="preserve">: </w:t>
            </w:r>
            <w:r>
              <w:rPr>
                <w:rFonts w:ascii="Arial" w:hAnsi="Arial" w:cs="Arial"/>
                <w:sz w:val="22"/>
                <w:szCs w:val="22"/>
              </w:rPr>
              <w:t xml:space="preserve">General Fund, </w:t>
            </w:r>
            <w:r w:rsidR="00C902DE">
              <w:rPr>
                <w:rFonts w:ascii="Arial" w:hAnsi="Arial" w:cs="Arial"/>
                <w:sz w:val="22"/>
                <w:szCs w:val="22"/>
              </w:rPr>
              <w:t>fees</w:t>
            </w:r>
          </w:p>
        </w:tc>
      </w:tr>
      <w:tr w:rsidR="00B40E00" w:rsidRPr="008D0300" w14:paraId="768B4162" w14:textId="77777777" w:rsidTr="00443370">
        <w:trPr>
          <w:gridAfter w:val="1"/>
          <w:wAfter w:w="6" w:type="dxa"/>
          <w:cantSplit/>
          <w:trHeight w:val="396"/>
          <w:jc w:val="center"/>
        </w:trPr>
        <w:tc>
          <w:tcPr>
            <w:tcW w:w="9474" w:type="dxa"/>
            <w:gridSpan w:val="9"/>
            <w:tcBorders>
              <w:top w:val="nil"/>
              <w:left w:val="nil"/>
              <w:bottom w:val="single" w:sz="12" w:space="0" w:color="auto"/>
              <w:right w:val="single" w:sz="2" w:space="0" w:color="FFFFFF" w:themeColor="background1"/>
            </w:tcBorders>
            <w:tcMar>
              <w:top w:w="72" w:type="dxa"/>
              <w:left w:w="115" w:type="dxa"/>
              <w:bottom w:w="72" w:type="dxa"/>
              <w:right w:w="115" w:type="dxa"/>
            </w:tcMar>
            <w:vAlign w:val="center"/>
          </w:tcPr>
          <w:p w14:paraId="45234E9A" w14:textId="573D05CB" w:rsidR="00B40E00" w:rsidRPr="008C07EB" w:rsidRDefault="008C07EB" w:rsidP="00765B32">
            <w:pPr>
              <w:spacing w:line="264" w:lineRule="auto"/>
              <w:ind w:left="216"/>
              <w:rPr>
                <w:rFonts w:ascii="Arial" w:hAnsi="Arial" w:cs="Arial"/>
                <w:sz w:val="22"/>
                <w:szCs w:val="22"/>
              </w:rPr>
            </w:pPr>
            <w:r>
              <w:rPr>
                <w:rFonts w:ascii="Arial" w:hAnsi="Arial" w:cs="Arial"/>
                <w:b/>
                <w:sz w:val="22"/>
                <w:szCs w:val="22"/>
              </w:rPr>
              <w:t xml:space="preserve">Base </w:t>
            </w:r>
            <w:r w:rsidR="00B40E00">
              <w:rPr>
                <w:rFonts w:ascii="Arial" w:hAnsi="Arial" w:cs="Arial"/>
                <w:b/>
                <w:sz w:val="22"/>
                <w:szCs w:val="22"/>
              </w:rPr>
              <w:t xml:space="preserve">Budget </w:t>
            </w:r>
            <w:r>
              <w:rPr>
                <w:rFonts w:ascii="Arial" w:hAnsi="Arial" w:cs="Arial"/>
                <w:b/>
                <w:sz w:val="22"/>
                <w:szCs w:val="22"/>
              </w:rPr>
              <w:t>Assumptions</w:t>
            </w:r>
            <w:r w:rsidR="00B40E00">
              <w:rPr>
                <w:rFonts w:ascii="Arial" w:hAnsi="Arial" w:cs="Arial"/>
                <w:b/>
                <w:sz w:val="22"/>
                <w:szCs w:val="22"/>
              </w:rPr>
              <w:t>:</w:t>
            </w:r>
            <w:r>
              <w:rPr>
                <w:rFonts w:ascii="Arial" w:hAnsi="Arial" w:cs="Arial"/>
                <w:sz w:val="22"/>
                <w:szCs w:val="22"/>
              </w:rPr>
              <w:t xml:space="preserve"> </w:t>
            </w:r>
            <w:r w:rsidR="003F73E3">
              <w:rPr>
                <w:rFonts w:ascii="Arial" w:hAnsi="Arial" w:cs="Arial"/>
                <w:sz w:val="22"/>
                <w:szCs w:val="22"/>
              </w:rPr>
              <w:t>(1) 0</w:t>
            </w:r>
            <w:r>
              <w:rPr>
                <w:rFonts w:ascii="Arial" w:hAnsi="Arial" w:cs="Arial"/>
                <w:sz w:val="22"/>
                <w:szCs w:val="22"/>
              </w:rPr>
              <w:t>.</w:t>
            </w:r>
            <w:r w:rsidR="003F73E3">
              <w:rPr>
                <w:rFonts w:ascii="Arial" w:hAnsi="Arial" w:cs="Arial"/>
                <w:sz w:val="22"/>
                <w:szCs w:val="22"/>
              </w:rPr>
              <w:t>0</w:t>
            </w:r>
            <w:r>
              <w:rPr>
                <w:rFonts w:ascii="Arial" w:hAnsi="Arial" w:cs="Arial"/>
                <w:sz w:val="22"/>
                <w:szCs w:val="22"/>
              </w:rPr>
              <w:t xml:space="preserve">% GWI for 2021; (2) </w:t>
            </w:r>
            <w:r w:rsidR="00765B32">
              <w:rPr>
                <w:rFonts w:ascii="Arial" w:hAnsi="Arial" w:cs="Arial"/>
                <w:sz w:val="22"/>
                <w:szCs w:val="22"/>
              </w:rPr>
              <w:t>2</w:t>
            </w:r>
            <w:r>
              <w:rPr>
                <w:rFonts w:ascii="Arial" w:hAnsi="Arial" w:cs="Arial"/>
                <w:sz w:val="22"/>
                <w:szCs w:val="22"/>
              </w:rPr>
              <w:t>.</w:t>
            </w:r>
            <w:r w:rsidR="003F73E3">
              <w:rPr>
                <w:rFonts w:ascii="Arial" w:hAnsi="Arial" w:cs="Arial"/>
                <w:sz w:val="22"/>
                <w:szCs w:val="22"/>
              </w:rPr>
              <w:t>0</w:t>
            </w:r>
            <w:r>
              <w:rPr>
                <w:rFonts w:ascii="Arial" w:hAnsi="Arial" w:cs="Arial"/>
                <w:sz w:val="22"/>
                <w:szCs w:val="22"/>
              </w:rPr>
              <w:t>% GWI for 2022</w:t>
            </w:r>
          </w:p>
        </w:tc>
      </w:tr>
    </w:tbl>
    <w:p w14:paraId="6441FF93" w14:textId="784E841C" w:rsidR="008A5CF4" w:rsidRDefault="008A5CF4" w:rsidP="008A5CF4">
      <w:pPr>
        <w:spacing w:line="264" w:lineRule="auto"/>
        <w:contextualSpacing/>
        <w:rPr>
          <w:rFonts w:ascii="Arial" w:hAnsi="Arial" w:cs="Arial"/>
          <w:b/>
          <w:szCs w:val="24"/>
          <w:u w:val="single"/>
        </w:rPr>
      </w:pPr>
    </w:p>
    <w:p w14:paraId="344FF57F" w14:textId="3650C76A" w:rsidR="00F20221" w:rsidRDefault="00F20221" w:rsidP="00F20221">
      <w:pPr>
        <w:spacing w:line="264" w:lineRule="auto"/>
        <w:contextualSpacing/>
        <w:rPr>
          <w:rFonts w:ascii="Arial" w:hAnsi="Arial" w:cs="Arial"/>
          <w:b/>
          <w:smallCaps/>
          <w:szCs w:val="24"/>
          <w:u w:val="single"/>
        </w:rPr>
      </w:pPr>
    </w:p>
    <w:p w14:paraId="43E0E657" w14:textId="3C22A45D" w:rsidR="005C2E8B" w:rsidRPr="00B2433E" w:rsidRDefault="008156D8" w:rsidP="008156D8">
      <w:pPr>
        <w:spacing w:line="264" w:lineRule="auto"/>
        <w:contextualSpacing/>
        <w:jc w:val="center"/>
        <w:rPr>
          <w:rFonts w:ascii="Arial" w:hAnsi="Arial" w:cs="Arial"/>
          <w:b/>
          <w:szCs w:val="24"/>
        </w:rPr>
      </w:pPr>
      <w:r>
        <w:rPr>
          <w:rFonts w:ascii="Arial" w:hAnsi="Arial" w:cs="Arial"/>
          <w:b/>
          <w:smallCaps/>
          <w:szCs w:val="24"/>
          <w:u w:val="single"/>
        </w:rPr>
        <w:t>Description</w:t>
      </w:r>
    </w:p>
    <w:p w14:paraId="25F15ECA" w14:textId="77777777" w:rsidR="005C2E8B" w:rsidRDefault="005C2E8B" w:rsidP="008A5CF4">
      <w:pPr>
        <w:spacing w:line="264" w:lineRule="auto"/>
        <w:contextualSpacing/>
        <w:jc w:val="both"/>
        <w:rPr>
          <w:rFonts w:ascii="Arial" w:hAnsi="Arial" w:cs="Arial"/>
          <w:szCs w:val="24"/>
        </w:rPr>
      </w:pPr>
    </w:p>
    <w:p w14:paraId="798BE230" w14:textId="748F9DEA" w:rsidR="002D2BAE" w:rsidRDefault="002D2BAE" w:rsidP="009C1145">
      <w:pPr>
        <w:spacing w:line="264" w:lineRule="auto"/>
        <w:jc w:val="both"/>
        <w:rPr>
          <w:rFonts w:ascii="Arial" w:hAnsi="Arial" w:cs="Arial"/>
          <w:szCs w:val="24"/>
        </w:rPr>
      </w:pPr>
      <w:r>
        <w:rPr>
          <w:rFonts w:ascii="Arial" w:hAnsi="Arial" w:cs="Arial"/>
          <w:szCs w:val="24"/>
        </w:rPr>
        <w:t>King County Superior Court is the County’s general jurisdiction trial court and the largest of the 29 superior court districts in Washington State, handling over 53,000 new cases in 201</w:t>
      </w:r>
      <w:r w:rsidR="003D3CAB">
        <w:rPr>
          <w:rFonts w:ascii="Arial" w:hAnsi="Arial" w:cs="Arial"/>
          <w:szCs w:val="24"/>
        </w:rPr>
        <w:t>9</w:t>
      </w:r>
      <w:r>
        <w:rPr>
          <w:rFonts w:ascii="Arial" w:hAnsi="Arial" w:cs="Arial"/>
          <w:szCs w:val="24"/>
        </w:rPr>
        <w:t xml:space="preserve">. The Court </w:t>
      </w:r>
      <w:r w:rsidR="001201F7">
        <w:rPr>
          <w:rFonts w:ascii="Arial" w:hAnsi="Arial" w:cs="Arial"/>
          <w:szCs w:val="24"/>
        </w:rPr>
        <w:t xml:space="preserve">currently </w:t>
      </w:r>
      <w:r>
        <w:rPr>
          <w:rFonts w:ascii="Arial" w:hAnsi="Arial" w:cs="Arial"/>
          <w:szCs w:val="24"/>
        </w:rPr>
        <w:t>has 53 judges and 9 commissioners.  The cases over which Superior Court has jurisdiction include felony criminal cases, civil matters involving more than $300, unlawful detainers, injunctions, family law cases, probate and guardianship matters, juvenile offender cases, juvenile dependency cases, and mental illness and involuntary commitment matters.</w:t>
      </w:r>
      <w:r w:rsidR="004644DC">
        <w:rPr>
          <w:rFonts w:ascii="Arial" w:hAnsi="Arial" w:cs="Arial"/>
          <w:szCs w:val="24"/>
        </w:rPr>
        <w:t xml:space="preserve">  </w:t>
      </w:r>
      <w:r>
        <w:rPr>
          <w:rFonts w:ascii="Arial" w:hAnsi="Arial" w:cs="Arial"/>
          <w:szCs w:val="24"/>
        </w:rPr>
        <w:t xml:space="preserve">The court manages or participates in three MIDD-funded therapeutic court programs: Family Treatment Court, King County Adult Drug Diversion Court, and Juvenile </w:t>
      </w:r>
      <w:r w:rsidR="000A60E3">
        <w:rPr>
          <w:rFonts w:ascii="Arial" w:hAnsi="Arial" w:cs="Arial"/>
          <w:szCs w:val="24"/>
        </w:rPr>
        <w:t xml:space="preserve">Therapeutic Response </w:t>
      </w:r>
      <w:r w:rsidR="00C153D7">
        <w:rPr>
          <w:rFonts w:ascii="Arial" w:hAnsi="Arial" w:cs="Arial"/>
          <w:szCs w:val="24"/>
        </w:rPr>
        <w:t xml:space="preserve">and Accountability Court (formerly known as the Juvenile </w:t>
      </w:r>
      <w:r>
        <w:rPr>
          <w:rFonts w:ascii="Arial" w:hAnsi="Arial" w:cs="Arial"/>
          <w:szCs w:val="24"/>
        </w:rPr>
        <w:t>Drug Court.</w:t>
      </w:r>
      <w:r w:rsidR="00C153D7">
        <w:rPr>
          <w:rFonts w:ascii="Arial" w:hAnsi="Arial" w:cs="Arial"/>
          <w:szCs w:val="24"/>
        </w:rPr>
        <w:t>)</w:t>
      </w:r>
    </w:p>
    <w:p w14:paraId="58418056" w14:textId="3A57F9B2" w:rsidR="004567F8" w:rsidRPr="00F6225B" w:rsidRDefault="004567F8" w:rsidP="008A5CF4">
      <w:pPr>
        <w:spacing w:line="264" w:lineRule="auto"/>
        <w:contextualSpacing/>
        <w:rPr>
          <w:rFonts w:ascii="Arial" w:hAnsi="Arial" w:cs="Arial"/>
          <w:szCs w:val="24"/>
        </w:rPr>
      </w:pPr>
    </w:p>
    <w:p w14:paraId="63E54FF6" w14:textId="154CE1C7" w:rsidR="005C2E8B" w:rsidRPr="00B2433E" w:rsidRDefault="008156D8" w:rsidP="008156D8">
      <w:pPr>
        <w:spacing w:line="264" w:lineRule="auto"/>
        <w:contextualSpacing/>
        <w:jc w:val="center"/>
        <w:rPr>
          <w:rFonts w:ascii="Arial" w:hAnsi="Arial" w:cs="Arial"/>
          <w:b/>
          <w:szCs w:val="24"/>
        </w:rPr>
      </w:pPr>
      <w:r>
        <w:rPr>
          <w:rFonts w:ascii="Arial" w:hAnsi="Arial" w:cs="Arial"/>
          <w:b/>
          <w:smallCaps/>
          <w:szCs w:val="24"/>
          <w:u w:val="single"/>
        </w:rPr>
        <w:t>Summary of Proposed Budget and Changes</w:t>
      </w:r>
    </w:p>
    <w:p w14:paraId="6F397FB5" w14:textId="77777777" w:rsidR="005C2E8B" w:rsidRPr="00F6225B" w:rsidRDefault="005C2E8B" w:rsidP="008A5CF4">
      <w:pPr>
        <w:spacing w:line="264" w:lineRule="auto"/>
        <w:contextualSpacing/>
        <w:jc w:val="both"/>
        <w:rPr>
          <w:rFonts w:ascii="Arial" w:hAnsi="Arial" w:cs="Arial"/>
          <w:szCs w:val="24"/>
        </w:rPr>
      </w:pPr>
    </w:p>
    <w:p w14:paraId="783F8A24" w14:textId="6FFE0C56" w:rsidR="003D3CAB" w:rsidRDefault="003D3CAB" w:rsidP="003D3CAB">
      <w:pPr>
        <w:jc w:val="both"/>
        <w:rPr>
          <w:rFonts w:ascii="Arial" w:hAnsi="Arial" w:cs="Arial"/>
          <w:szCs w:val="24"/>
        </w:rPr>
      </w:pPr>
      <w:r>
        <w:rPr>
          <w:rFonts w:ascii="Arial" w:hAnsi="Arial" w:cs="Arial"/>
          <w:szCs w:val="24"/>
        </w:rPr>
        <w:t xml:space="preserve">The Executive’s proposed budget would </w:t>
      </w:r>
      <w:r w:rsidR="0036795F">
        <w:rPr>
          <w:rFonts w:ascii="Arial" w:hAnsi="Arial" w:cs="Arial"/>
          <w:szCs w:val="24"/>
        </w:rPr>
        <w:t>de</w:t>
      </w:r>
      <w:r>
        <w:rPr>
          <w:rFonts w:ascii="Arial" w:hAnsi="Arial" w:cs="Arial"/>
          <w:szCs w:val="24"/>
        </w:rPr>
        <w:t>crease the Superior Court appropriation by $</w:t>
      </w:r>
      <w:r w:rsidR="00591525">
        <w:rPr>
          <w:rFonts w:ascii="Arial" w:hAnsi="Arial" w:cs="Arial"/>
          <w:szCs w:val="24"/>
        </w:rPr>
        <w:t>2.8</w:t>
      </w:r>
      <w:r>
        <w:rPr>
          <w:rFonts w:ascii="Arial" w:hAnsi="Arial" w:cs="Arial"/>
          <w:szCs w:val="24"/>
        </w:rPr>
        <w:t xml:space="preserve"> million or </w:t>
      </w:r>
      <w:r w:rsidR="00591525">
        <w:rPr>
          <w:rFonts w:ascii="Arial" w:hAnsi="Arial" w:cs="Arial"/>
          <w:szCs w:val="24"/>
        </w:rPr>
        <w:t>2.4</w:t>
      </w:r>
      <w:r>
        <w:rPr>
          <w:rFonts w:ascii="Arial" w:hAnsi="Arial" w:cs="Arial"/>
          <w:szCs w:val="24"/>
        </w:rPr>
        <w:t xml:space="preserve"> percent, from $1</w:t>
      </w:r>
      <w:r w:rsidR="00591525">
        <w:rPr>
          <w:rFonts w:ascii="Arial" w:hAnsi="Arial" w:cs="Arial"/>
          <w:szCs w:val="24"/>
        </w:rPr>
        <w:t>16</w:t>
      </w:r>
      <w:r w:rsidR="002C3F0A">
        <w:rPr>
          <w:rFonts w:ascii="Arial" w:hAnsi="Arial" w:cs="Arial"/>
          <w:szCs w:val="24"/>
        </w:rPr>
        <w:t>.3</w:t>
      </w:r>
      <w:r>
        <w:rPr>
          <w:rFonts w:ascii="Arial" w:hAnsi="Arial" w:cs="Arial"/>
          <w:szCs w:val="24"/>
        </w:rPr>
        <w:t xml:space="preserve"> million in the 201</w:t>
      </w:r>
      <w:r w:rsidR="002C3F0A">
        <w:rPr>
          <w:rFonts w:ascii="Arial" w:hAnsi="Arial" w:cs="Arial"/>
          <w:szCs w:val="24"/>
        </w:rPr>
        <w:t>9-20</w:t>
      </w:r>
      <w:r>
        <w:rPr>
          <w:rFonts w:ascii="Arial" w:hAnsi="Arial" w:cs="Arial"/>
          <w:szCs w:val="24"/>
        </w:rPr>
        <w:t xml:space="preserve"> biennium to $1</w:t>
      </w:r>
      <w:r w:rsidR="002C3F0A">
        <w:rPr>
          <w:rFonts w:ascii="Arial" w:hAnsi="Arial" w:cs="Arial"/>
          <w:szCs w:val="24"/>
        </w:rPr>
        <w:t>13.5</w:t>
      </w:r>
      <w:r>
        <w:rPr>
          <w:rFonts w:ascii="Arial" w:hAnsi="Arial" w:cs="Arial"/>
          <w:szCs w:val="24"/>
        </w:rPr>
        <w:t xml:space="preserve"> million in the 20</w:t>
      </w:r>
      <w:r w:rsidR="002C3F0A">
        <w:rPr>
          <w:rFonts w:ascii="Arial" w:hAnsi="Arial" w:cs="Arial"/>
          <w:szCs w:val="24"/>
        </w:rPr>
        <w:t>21-22</w:t>
      </w:r>
      <w:r>
        <w:rPr>
          <w:rFonts w:ascii="Arial" w:hAnsi="Arial" w:cs="Arial"/>
          <w:szCs w:val="24"/>
        </w:rPr>
        <w:t xml:space="preserve"> biennium. Revenues are expected to decrease by 1</w:t>
      </w:r>
      <w:r w:rsidR="002C3F0A">
        <w:rPr>
          <w:rFonts w:ascii="Arial" w:hAnsi="Arial" w:cs="Arial"/>
          <w:szCs w:val="24"/>
        </w:rPr>
        <w:t>1.8</w:t>
      </w:r>
      <w:r>
        <w:rPr>
          <w:rFonts w:ascii="Arial" w:hAnsi="Arial" w:cs="Arial"/>
          <w:szCs w:val="24"/>
        </w:rPr>
        <w:t xml:space="preserve"> percent, from $</w:t>
      </w:r>
      <w:r w:rsidR="00CB30A3">
        <w:rPr>
          <w:rFonts w:ascii="Arial" w:hAnsi="Arial" w:cs="Arial"/>
          <w:szCs w:val="24"/>
        </w:rPr>
        <w:t>8.1</w:t>
      </w:r>
      <w:r>
        <w:rPr>
          <w:rFonts w:ascii="Arial" w:hAnsi="Arial" w:cs="Arial"/>
          <w:szCs w:val="24"/>
        </w:rPr>
        <w:t xml:space="preserve"> million in 201</w:t>
      </w:r>
      <w:r w:rsidR="00CB30A3">
        <w:rPr>
          <w:rFonts w:ascii="Arial" w:hAnsi="Arial" w:cs="Arial"/>
          <w:szCs w:val="24"/>
        </w:rPr>
        <w:t>9-20</w:t>
      </w:r>
      <w:r>
        <w:rPr>
          <w:rFonts w:ascii="Arial" w:hAnsi="Arial" w:cs="Arial"/>
          <w:szCs w:val="24"/>
        </w:rPr>
        <w:t xml:space="preserve"> to $7.</w:t>
      </w:r>
      <w:r w:rsidR="00CB30A3">
        <w:rPr>
          <w:rFonts w:ascii="Arial" w:hAnsi="Arial" w:cs="Arial"/>
          <w:szCs w:val="24"/>
        </w:rPr>
        <w:t>1</w:t>
      </w:r>
      <w:r>
        <w:rPr>
          <w:rFonts w:ascii="Arial" w:hAnsi="Arial" w:cs="Arial"/>
          <w:szCs w:val="24"/>
        </w:rPr>
        <w:t xml:space="preserve"> million in 20</w:t>
      </w:r>
      <w:r w:rsidR="00CB30A3">
        <w:rPr>
          <w:rFonts w:ascii="Arial" w:hAnsi="Arial" w:cs="Arial"/>
          <w:szCs w:val="24"/>
        </w:rPr>
        <w:t>21-22</w:t>
      </w:r>
      <w:r>
        <w:rPr>
          <w:rFonts w:ascii="Arial" w:hAnsi="Arial" w:cs="Arial"/>
          <w:szCs w:val="24"/>
        </w:rPr>
        <w:t xml:space="preserve">. The proposed employee count for Superior Court would </w:t>
      </w:r>
      <w:r w:rsidR="00CB30A3">
        <w:rPr>
          <w:rFonts w:ascii="Arial" w:hAnsi="Arial" w:cs="Arial"/>
          <w:szCs w:val="24"/>
        </w:rPr>
        <w:t>be reduced by 18.2 FTEs over the biennium.</w:t>
      </w:r>
      <w:r w:rsidR="00337DED">
        <w:rPr>
          <w:rFonts w:ascii="Arial" w:hAnsi="Arial" w:cs="Arial"/>
          <w:szCs w:val="24"/>
        </w:rPr>
        <w:t xml:space="preserve">  The court’s budget contains several reductions, </w:t>
      </w:r>
      <w:r w:rsidR="00E73B95">
        <w:rPr>
          <w:rFonts w:ascii="Arial" w:hAnsi="Arial" w:cs="Arial"/>
          <w:szCs w:val="24"/>
        </w:rPr>
        <w:t>the transition of therapeutic court costs from the MIDD Fund to the General Fun</w:t>
      </w:r>
      <w:r w:rsidR="0075485A">
        <w:rPr>
          <w:rFonts w:ascii="Arial" w:hAnsi="Arial" w:cs="Arial"/>
          <w:szCs w:val="24"/>
        </w:rPr>
        <w:t>d</w:t>
      </w:r>
      <w:r w:rsidR="00E73B95">
        <w:rPr>
          <w:rFonts w:ascii="Arial" w:hAnsi="Arial" w:cs="Arial"/>
          <w:szCs w:val="24"/>
        </w:rPr>
        <w:t xml:space="preserve"> and adds the </w:t>
      </w:r>
      <w:r w:rsidR="00EB716F">
        <w:rPr>
          <w:rFonts w:ascii="Arial" w:hAnsi="Arial" w:cs="Arial"/>
          <w:szCs w:val="24"/>
        </w:rPr>
        <w:t xml:space="preserve">costs </w:t>
      </w:r>
      <w:r w:rsidR="002F7685">
        <w:rPr>
          <w:rFonts w:ascii="Arial" w:hAnsi="Arial" w:cs="Arial"/>
          <w:szCs w:val="24"/>
        </w:rPr>
        <w:t>of t</w:t>
      </w:r>
      <w:r w:rsidR="00594F44">
        <w:rPr>
          <w:rFonts w:ascii="Arial" w:hAnsi="Arial" w:cs="Arial"/>
          <w:szCs w:val="24"/>
        </w:rPr>
        <w:t>wo</w:t>
      </w:r>
      <w:r w:rsidR="002F7685">
        <w:rPr>
          <w:rFonts w:ascii="Arial" w:hAnsi="Arial" w:cs="Arial"/>
          <w:szCs w:val="24"/>
        </w:rPr>
        <w:t xml:space="preserve"> new judicial positions </w:t>
      </w:r>
      <w:r w:rsidR="00594F44">
        <w:rPr>
          <w:rFonts w:ascii="Arial" w:hAnsi="Arial" w:cs="Arial"/>
          <w:szCs w:val="24"/>
        </w:rPr>
        <w:t xml:space="preserve">(a new judge and commissioner) </w:t>
      </w:r>
      <w:r w:rsidR="00EB716F">
        <w:rPr>
          <w:rFonts w:ascii="Arial" w:hAnsi="Arial" w:cs="Arial"/>
          <w:szCs w:val="24"/>
        </w:rPr>
        <w:t xml:space="preserve">and </w:t>
      </w:r>
      <w:r w:rsidR="002F7685">
        <w:rPr>
          <w:rFonts w:ascii="Arial" w:hAnsi="Arial" w:cs="Arial"/>
          <w:szCs w:val="24"/>
        </w:rPr>
        <w:t xml:space="preserve">the </w:t>
      </w:r>
      <w:r w:rsidR="00EB716F">
        <w:rPr>
          <w:rFonts w:ascii="Arial" w:hAnsi="Arial" w:cs="Arial"/>
          <w:szCs w:val="24"/>
        </w:rPr>
        <w:t xml:space="preserve">staff </w:t>
      </w:r>
      <w:r w:rsidR="00594F44">
        <w:rPr>
          <w:rFonts w:ascii="Arial" w:hAnsi="Arial" w:cs="Arial"/>
          <w:szCs w:val="24"/>
        </w:rPr>
        <w:t xml:space="preserve">that </w:t>
      </w:r>
      <w:r w:rsidR="00EB716F">
        <w:rPr>
          <w:rFonts w:ascii="Arial" w:hAnsi="Arial" w:cs="Arial"/>
          <w:szCs w:val="24"/>
        </w:rPr>
        <w:t xml:space="preserve">support </w:t>
      </w:r>
      <w:r w:rsidR="00594F44">
        <w:rPr>
          <w:rFonts w:ascii="Arial" w:hAnsi="Arial" w:cs="Arial"/>
          <w:szCs w:val="24"/>
        </w:rPr>
        <w:t xml:space="preserve">the </w:t>
      </w:r>
      <w:r w:rsidR="00EB716F">
        <w:rPr>
          <w:rFonts w:ascii="Arial" w:hAnsi="Arial" w:cs="Arial"/>
          <w:szCs w:val="24"/>
        </w:rPr>
        <w:t>new jud</w:t>
      </w:r>
      <w:r w:rsidR="00594F44">
        <w:rPr>
          <w:rFonts w:ascii="Arial" w:hAnsi="Arial" w:cs="Arial"/>
          <w:szCs w:val="24"/>
        </w:rPr>
        <w:t>ge</w:t>
      </w:r>
      <w:r w:rsidR="00DC01F4">
        <w:rPr>
          <w:rFonts w:ascii="Arial" w:hAnsi="Arial" w:cs="Arial"/>
          <w:szCs w:val="24"/>
        </w:rPr>
        <w:t>.</w:t>
      </w:r>
    </w:p>
    <w:p w14:paraId="158580B4" w14:textId="6FC21DB6" w:rsidR="005C2E8B" w:rsidRDefault="005C2E8B" w:rsidP="008A5CF4">
      <w:pPr>
        <w:spacing w:line="264" w:lineRule="auto"/>
        <w:contextualSpacing/>
        <w:jc w:val="both"/>
        <w:rPr>
          <w:rFonts w:ascii="Arial" w:hAnsi="Arial" w:cs="Arial"/>
          <w:szCs w:val="24"/>
        </w:rPr>
      </w:pPr>
    </w:p>
    <w:p w14:paraId="52FA4388" w14:textId="30B5CF1B" w:rsidR="00063947" w:rsidRPr="002F7685" w:rsidRDefault="00896571" w:rsidP="00896571">
      <w:pPr>
        <w:jc w:val="both"/>
        <w:rPr>
          <w:rFonts w:ascii="Arial" w:hAnsi="Arial" w:cs="Arial"/>
          <w:szCs w:val="24"/>
        </w:rPr>
      </w:pPr>
      <w:r w:rsidRPr="00900EAC">
        <w:rPr>
          <w:rFonts w:ascii="Arial" w:hAnsi="Arial" w:cs="Arial"/>
          <w:b/>
          <w:bCs/>
          <w:szCs w:val="24"/>
        </w:rPr>
        <w:t>Direct Service Changes</w:t>
      </w:r>
      <w:r w:rsidR="00C902DE">
        <w:rPr>
          <w:rFonts w:ascii="Arial" w:hAnsi="Arial" w:cs="Arial"/>
          <w:b/>
          <w:bCs/>
          <w:szCs w:val="24"/>
        </w:rPr>
        <w:t>:</w:t>
      </w:r>
      <w:r>
        <w:rPr>
          <w:rFonts w:ascii="Arial" w:hAnsi="Arial" w:cs="Arial"/>
          <w:b/>
          <w:bCs/>
          <w:szCs w:val="24"/>
        </w:rPr>
        <w:t xml:space="preserve">  </w:t>
      </w:r>
      <w:r w:rsidR="002F7685">
        <w:rPr>
          <w:rFonts w:ascii="Arial" w:hAnsi="Arial" w:cs="Arial"/>
          <w:szCs w:val="24"/>
        </w:rPr>
        <w:t xml:space="preserve">The Superior </w:t>
      </w:r>
      <w:r w:rsidR="00DA7B44">
        <w:rPr>
          <w:rFonts w:ascii="Arial" w:hAnsi="Arial" w:cs="Arial"/>
          <w:szCs w:val="24"/>
        </w:rPr>
        <w:t>Court 2021-2022 budget proposal contains a variety of proposed reductions</w:t>
      </w:r>
      <w:r w:rsidR="00DD28F4">
        <w:rPr>
          <w:rFonts w:ascii="Arial" w:hAnsi="Arial" w:cs="Arial"/>
          <w:szCs w:val="24"/>
        </w:rPr>
        <w:t xml:space="preserve">—many to be taken </w:t>
      </w:r>
      <w:proofErr w:type="gramStart"/>
      <w:r w:rsidR="00DD28F4">
        <w:rPr>
          <w:rFonts w:ascii="Arial" w:hAnsi="Arial" w:cs="Arial"/>
          <w:szCs w:val="24"/>
        </w:rPr>
        <w:t>as a result of</w:t>
      </w:r>
      <w:proofErr w:type="gramEnd"/>
      <w:r w:rsidR="00DD28F4">
        <w:rPr>
          <w:rFonts w:ascii="Arial" w:hAnsi="Arial" w:cs="Arial"/>
          <w:szCs w:val="24"/>
        </w:rPr>
        <w:t xml:space="preserve"> the severe strain on the County’s General Fund.  </w:t>
      </w:r>
      <w:r w:rsidR="007A7A0E">
        <w:rPr>
          <w:rFonts w:ascii="Arial" w:hAnsi="Arial" w:cs="Arial"/>
          <w:szCs w:val="24"/>
        </w:rPr>
        <w:t xml:space="preserve">However, some of the reductions are predicated on the implementation of </w:t>
      </w:r>
      <w:r w:rsidR="00C61096">
        <w:rPr>
          <w:rFonts w:ascii="Arial" w:hAnsi="Arial" w:cs="Arial"/>
          <w:szCs w:val="24"/>
        </w:rPr>
        <w:t xml:space="preserve">proposed juvenile offender diversion programs.  The </w:t>
      </w:r>
      <w:r w:rsidR="00A33F44">
        <w:rPr>
          <w:rFonts w:ascii="Arial" w:hAnsi="Arial" w:cs="Arial"/>
          <w:szCs w:val="24"/>
        </w:rPr>
        <w:t xml:space="preserve">court’s budget </w:t>
      </w:r>
      <w:r w:rsidR="00A33F44">
        <w:rPr>
          <w:rFonts w:ascii="Arial" w:hAnsi="Arial" w:cs="Arial"/>
          <w:szCs w:val="24"/>
        </w:rPr>
        <w:lastRenderedPageBreak/>
        <w:t xml:space="preserve">proposal includes a reduction of </w:t>
      </w:r>
      <w:r w:rsidR="002F1BCA">
        <w:rPr>
          <w:rFonts w:ascii="Arial" w:hAnsi="Arial" w:cs="Arial"/>
          <w:szCs w:val="24"/>
        </w:rPr>
        <w:t>$891,927 and 4.0 FTEs to meet its General Fund Reduction targets</w:t>
      </w:r>
      <w:r w:rsidR="008D7A19">
        <w:rPr>
          <w:rStyle w:val="FootnoteReference"/>
          <w:rFonts w:ascii="Arial" w:hAnsi="Arial" w:cs="Arial"/>
          <w:szCs w:val="24"/>
        </w:rPr>
        <w:footnoteReference w:id="1"/>
      </w:r>
      <w:r w:rsidR="003A6CB6">
        <w:rPr>
          <w:rFonts w:ascii="Arial" w:hAnsi="Arial" w:cs="Arial"/>
          <w:szCs w:val="24"/>
        </w:rPr>
        <w:t xml:space="preserve"> along with a </w:t>
      </w:r>
      <w:r w:rsidR="00ED178C">
        <w:rPr>
          <w:rFonts w:ascii="Arial" w:hAnsi="Arial" w:cs="Arial"/>
          <w:szCs w:val="24"/>
        </w:rPr>
        <w:t xml:space="preserve">reduction of </w:t>
      </w:r>
      <w:r w:rsidR="008D6B3C">
        <w:rPr>
          <w:rFonts w:ascii="Arial" w:hAnsi="Arial" w:cs="Arial"/>
          <w:szCs w:val="24"/>
        </w:rPr>
        <w:t>$</w:t>
      </w:r>
      <w:r w:rsidR="00062FF3">
        <w:rPr>
          <w:rFonts w:ascii="Arial" w:hAnsi="Arial" w:cs="Arial"/>
          <w:szCs w:val="24"/>
        </w:rPr>
        <w:t>800,126</w:t>
      </w:r>
      <w:r w:rsidR="008D6B3C">
        <w:rPr>
          <w:rFonts w:ascii="Arial" w:hAnsi="Arial" w:cs="Arial"/>
          <w:szCs w:val="24"/>
        </w:rPr>
        <w:t xml:space="preserve"> and 3.0 FTEs by reducing Court Reporter </w:t>
      </w:r>
      <w:r w:rsidR="00547302">
        <w:rPr>
          <w:rFonts w:ascii="Arial" w:hAnsi="Arial" w:cs="Arial"/>
          <w:szCs w:val="24"/>
        </w:rPr>
        <w:t xml:space="preserve">positions and a supervisor position.  Furthermore, as an Administrative Change, </w:t>
      </w:r>
      <w:r w:rsidR="00E86E42">
        <w:rPr>
          <w:rFonts w:ascii="Arial" w:hAnsi="Arial" w:cs="Arial"/>
          <w:szCs w:val="24"/>
        </w:rPr>
        <w:t xml:space="preserve">the court’s budget includes a reduction of </w:t>
      </w:r>
      <w:r w:rsidR="00ED178C">
        <w:rPr>
          <w:rFonts w:ascii="Arial" w:hAnsi="Arial" w:cs="Arial"/>
          <w:szCs w:val="24"/>
        </w:rPr>
        <w:t>$1</w:t>
      </w:r>
      <w:r w:rsidR="008D42A5">
        <w:rPr>
          <w:rFonts w:ascii="Arial" w:hAnsi="Arial" w:cs="Arial"/>
          <w:szCs w:val="24"/>
        </w:rPr>
        <w:t xml:space="preserve">.2 million that would be achieved by all non-elected court staff taking </w:t>
      </w:r>
      <w:r w:rsidR="00C751DE">
        <w:rPr>
          <w:rFonts w:ascii="Arial" w:hAnsi="Arial" w:cs="Arial"/>
          <w:szCs w:val="24"/>
        </w:rPr>
        <w:t xml:space="preserve">five </w:t>
      </w:r>
      <w:r w:rsidR="008119A4">
        <w:rPr>
          <w:rFonts w:ascii="Arial" w:hAnsi="Arial" w:cs="Arial"/>
          <w:szCs w:val="24"/>
        </w:rPr>
        <w:t xml:space="preserve">(furlough) </w:t>
      </w:r>
      <w:r w:rsidR="00C751DE">
        <w:rPr>
          <w:rFonts w:ascii="Arial" w:hAnsi="Arial" w:cs="Arial"/>
          <w:szCs w:val="24"/>
        </w:rPr>
        <w:t>unpaid days in both years of the biennium</w:t>
      </w:r>
      <w:r w:rsidR="00E86E42">
        <w:rPr>
          <w:rFonts w:ascii="Arial" w:hAnsi="Arial" w:cs="Arial"/>
          <w:szCs w:val="24"/>
        </w:rPr>
        <w:t>,</w:t>
      </w:r>
      <w:r w:rsidR="00C751DE">
        <w:rPr>
          <w:rFonts w:ascii="Arial" w:hAnsi="Arial" w:cs="Arial"/>
          <w:szCs w:val="24"/>
        </w:rPr>
        <w:t xml:space="preserve"> for a total of ten </w:t>
      </w:r>
      <w:r w:rsidR="00E86E42">
        <w:rPr>
          <w:rFonts w:ascii="Arial" w:hAnsi="Arial" w:cs="Arial"/>
          <w:szCs w:val="24"/>
        </w:rPr>
        <w:t xml:space="preserve">furlough </w:t>
      </w:r>
      <w:r w:rsidR="00C751DE">
        <w:rPr>
          <w:rFonts w:ascii="Arial" w:hAnsi="Arial" w:cs="Arial"/>
          <w:szCs w:val="24"/>
        </w:rPr>
        <w:t>days</w:t>
      </w:r>
      <w:r w:rsidR="00982209">
        <w:rPr>
          <w:rFonts w:ascii="Arial" w:hAnsi="Arial" w:cs="Arial"/>
          <w:szCs w:val="24"/>
        </w:rPr>
        <w:t xml:space="preserve">.  </w:t>
      </w:r>
      <w:r w:rsidR="006D7E57">
        <w:rPr>
          <w:rFonts w:ascii="Arial" w:hAnsi="Arial" w:cs="Arial"/>
          <w:szCs w:val="24"/>
        </w:rPr>
        <w:t>T</w:t>
      </w:r>
      <w:r w:rsidR="00982209">
        <w:rPr>
          <w:rFonts w:ascii="Arial" w:hAnsi="Arial" w:cs="Arial"/>
          <w:szCs w:val="24"/>
        </w:rPr>
        <w:t xml:space="preserve">he Superior Court budget also contains a </w:t>
      </w:r>
      <w:r w:rsidR="006D7E57">
        <w:rPr>
          <w:rFonts w:ascii="Arial" w:hAnsi="Arial" w:cs="Arial"/>
          <w:szCs w:val="24"/>
        </w:rPr>
        <w:t xml:space="preserve">proposed </w:t>
      </w:r>
      <w:r w:rsidR="00CB5C70">
        <w:rPr>
          <w:rFonts w:ascii="Arial" w:hAnsi="Arial" w:cs="Arial"/>
          <w:szCs w:val="24"/>
        </w:rPr>
        <w:t xml:space="preserve">$980,000 </w:t>
      </w:r>
      <w:r w:rsidR="006D7E57">
        <w:rPr>
          <w:rFonts w:ascii="Arial" w:hAnsi="Arial" w:cs="Arial"/>
          <w:szCs w:val="24"/>
        </w:rPr>
        <w:t xml:space="preserve">technical </w:t>
      </w:r>
      <w:r w:rsidR="00CB5C70">
        <w:rPr>
          <w:rFonts w:ascii="Arial" w:hAnsi="Arial" w:cs="Arial"/>
          <w:szCs w:val="24"/>
        </w:rPr>
        <w:t xml:space="preserve">reduction that captures salary savings through a vacancy rate adjustment.  </w:t>
      </w:r>
    </w:p>
    <w:p w14:paraId="4A9B7B2C" w14:textId="18ACE089" w:rsidR="00063947" w:rsidRDefault="00063947" w:rsidP="00896571">
      <w:pPr>
        <w:jc w:val="both"/>
        <w:rPr>
          <w:rFonts w:ascii="Arial" w:hAnsi="Arial" w:cs="Arial"/>
          <w:b/>
          <w:bCs/>
          <w:szCs w:val="24"/>
        </w:rPr>
      </w:pPr>
    </w:p>
    <w:p w14:paraId="248D2743" w14:textId="14CC3E00" w:rsidR="007B5755" w:rsidRDefault="006D7E57" w:rsidP="0020444B">
      <w:pPr>
        <w:spacing w:line="264" w:lineRule="auto"/>
        <w:jc w:val="both"/>
        <w:rPr>
          <w:rFonts w:ascii="Arial" w:hAnsi="Arial" w:cs="Arial"/>
          <w:szCs w:val="24"/>
        </w:rPr>
      </w:pPr>
      <w:r>
        <w:rPr>
          <w:rFonts w:ascii="Arial" w:hAnsi="Arial" w:cs="Arial"/>
          <w:szCs w:val="24"/>
        </w:rPr>
        <w:t>In addition to these reductions,</w:t>
      </w:r>
      <w:r w:rsidR="00606E92">
        <w:rPr>
          <w:rFonts w:ascii="Arial" w:hAnsi="Arial" w:cs="Arial"/>
          <w:szCs w:val="24"/>
        </w:rPr>
        <w:t xml:space="preserve"> the court’s budget contains a reduction of $1.1 million and 1</w:t>
      </w:r>
      <w:r w:rsidR="002935BE">
        <w:rPr>
          <w:rFonts w:ascii="Arial" w:hAnsi="Arial" w:cs="Arial"/>
          <w:szCs w:val="24"/>
        </w:rPr>
        <w:t xml:space="preserve">5.0 FTEs </w:t>
      </w:r>
      <w:r w:rsidR="00577EE0">
        <w:rPr>
          <w:rFonts w:ascii="Arial" w:hAnsi="Arial" w:cs="Arial"/>
          <w:szCs w:val="24"/>
        </w:rPr>
        <w:t>related</w:t>
      </w:r>
      <w:r w:rsidR="002935BE">
        <w:rPr>
          <w:rFonts w:ascii="Arial" w:hAnsi="Arial" w:cs="Arial"/>
          <w:szCs w:val="24"/>
        </w:rPr>
        <w:t xml:space="preserve"> to the implementation of </w:t>
      </w:r>
      <w:r w:rsidR="00A800F1">
        <w:rPr>
          <w:rFonts w:ascii="Arial" w:hAnsi="Arial" w:cs="Arial"/>
          <w:szCs w:val="24"/>
        </w:rPr>
        <w:t>a new</w:t>
      </w:r>
      <w:r w:rsidR="000A4383">
        <w:rPr>
          <w:rFonts w:ascii="Arial" w:hAnsi="Arial" w:cs="Arial"/>
          <w:szCs w:val="24"/>
        </w:rPr>
        <w:t xml:space="preserve"> juvenile diversion initiative promulgated by the Prosec</w:t>
      </w:r>
      <w:r w:rsidR="0080600D">
        <w:rPr>
          <w:rFonts w:ascii="Arial" w:hAnsi="Arial" w:cs="Arial"/>
          <w:szCs w:val="24"/>
        </w:rPr>
        <w:t>uting Attorney’s Office</w:t>
      </w:r>
      <w:r w:rsidR="00EB5055">
        <w:rPr>
          <w:rFonts w:ascii="Arial" w:hAnsi="Arial" w:cs="Arial"/>
          <w:szCs w:val="24"/>
        </w:rPr>
        <w:t xml:space="preserve"> (see below)</w:t>
      </w:r>
      <w:r w:rsidR="00F67E30">
        <w:rPr>
          <w:rFonts w:ascii="Arial" w:hAnsi="Arial" w:cs="Arial"/>
          <w:szCs w:val="24"/>
        </w:rPr>
        <w:t xml:space="preserve">. </w:t>
      </w:r>
      <w:r w:rsidR="0080600D">
        <w:rPr>
          <w:rFonts w:ascii="Arial" w:hAnsi="Arial" w:cs="Arial"/>
          <w:szCs w:val="24"/>
        </w:rPr>
        <w:t xml:space="preserve"> </w:t>
      </w:r>
    </w:p>
    <w:p w14:paraId="2A656731" w14:textId="77777777" w:rsidR="00F67E30" w:rsidRDefault="00F67E30" w:rsidP="0020444B">
      <w:pPr>
        <w:spacing w:line="264" w:lineRule="auto"/>
        <w:jc w:val="both"/>
        <w:rPr>
          <w:rFonts w:ascii="Arial" w:hAnsi="Arial" w:cs="Arial"/>
          <w:szCs w:val="24"/>
        </w:rPr>
      </w:pPr>
    </w:p>
    <w:p w14:paraId="1F723994" w14:textId="6782E9CF" w:rsidR="003135B2" w:rsidRPr="00084FA8" w:rsidRDefault="003135B2" w:rsidP="003135B2">
      <w:pPr>
        <w:jc w:val="both"/>
        <w:rPr>
          <w:rFonts w:ascii="Arial" w:hAnsi="Arial" w:cs="Arial"/>
          <w:szCs w:val="24"/>
        </w:rPr>
      </w:pPr>
      <w:r>
        <w:rPr>
          <w:rFonts w:ascii="Arial" w:hAnsi="Arial" w:cs="Arial"/>
        </w:rPr>
        <w:t xml:space="preserve">The budget proposal also includes a funding shifts for the King County Adult Drug Diversion Court, </w:t>
      </w:r>
      <w:r w:rsidR="00845028">
        <w:rPr>
          <w:rFonts w:ascii="Arial" w:hAnsi="Arial" w:cs="Arial"/>
          <w:szCs w:val="24"/>
        </w:rPr>
        <w:t>Juvenile Therapeutic Response and Accountability Court,</w:t>
      </w:r>
      <w:r>
        <w:rPr>
          <w:rFonts w:ascii="Arial" w:hAnsi="Arial" w:cs="Arial"/>
        </w:rPr>
        <w:t xml:space="preserve"> and Family Treatment Court</w:t>
      </w:r>
      <w:r>
        <w:rPr>
          <w:rStyle w:val="FootnoteReference"/>
          <w:rFonts w:ascii="Arial" w:hAnsi="Arial" w:cs="Arial"/>
        </w:rPr>
        <w:footnoteReference w:id="2"/>
      </w:r>
      <w:r>
        <w:rPr>
          <w:rFonts w:ascii="Arial" w:hAnsi="Arial" w:cs="Arial"/>
        </w:rPr>
        <w:t>.  The Superior Court operates (with support from DJA) three of the County’s therapeutic courts that receive funding through the County’s Mental Illness and Drug Dependency (MIDD) Fund in addition to the state’s Criminal Justice Treatment Account (CJTA).</w:t>
      </w:r>
      <w:r>
        <w:rPr>
          <w:rStyle w:val="FootnoteReference"/>
          <w:rFonts w:ascii="Arial" w:hAnsi="Arial" w:cs="Arial"/>
        </w:rPr>
        <w:footnoteReference w:id="3"/>
      </w:r>
      <w:r>
        <w:rPr>
          <w:rFonts w:ascii="Arial" w:hAnsi="Arial" w:cs="Arial"/>
        </w:rPr>
        <w:t xml:space="preserve">  Because of the significant revenue reductions in the MIDD fund</w:t>
      </w:r>
      <w:r w:rsidR="00214923">
        <w:rPr>
          <w:rFonts w:ascii="Arial" w:hAnsi="Arial" w:cs="Arial"/>
        </w:rPr>
        <w:t xml:space="preserve"> due to the COVID pandemic</w:t>
      </w:r>
      <w:r>
        <w:rPr>
          <w:rFonts w:ascii="Arial" w:hAnsi="Arial" w:cs="Arial"/>
        </w:rPr>
        <w:t>, the Superior Court budget proposal reduces MIDD funding for each of the Adult Drug and Family Treatment courts for a total of $248,324 moving most of these expenditures to the General Fund</w:t>
      </w:r>
      <w:r w:rsidR="003D15CF">
        <w:rPr>
          <w:rFonts w:ascii="Arial" w:hAnsi="Arial" w:cs="Arial"/>
        </w:rPr>
        <w:t>, where the General Fund</w:t>
      </w:r>
      <w:r>
        <w:rPr>
          <w:rFonts w:ascii="Arial" w:hAnsi="Arial" w:cs="Arial"/>
        </w:rPr>
        <w:t xml:space="preserve"> will be backed up by revenues from the state CJTA, allowing for the continuation of these services while reducing the pressure on the MIDD Fund.  However, the Court does report that there will be a slight decline in funding for the Family Treatment Court of $226,110, a reduction of approximately eight percent (where total expenditures for 2019-20 were $2.7 million and are proposed to be $2.5 million in 2021-2022) due to the </w:t>
      </w:r>
      <w:r w:rsidR="00724FA5">
        <w:rPr>
          <w:rFonts w:ascii="Arial" w:hAnsi="Arial" w:cs="Arial"/>
        </w:rPr>
        <w:t>reduction</w:t>
      </w:r>
      <w:r>
        <w:rPr>
          <w:rFonts w:ascii="Arial" w:hAnsi="Arial" w:cs="Arial"/>
        </w:rPr>
        <w:t xml:space="preserve"> of MIDD revenues.</w:t>
      </w:r>
    </w:p>
    <w:p w14:paraId="366B6EC1" w14:textId="77777777" w:rsidR="003135B2" w:rsidRDefault="003135B2" w:rsidP="00896571">
      <w:pPr>
        <w:jc w:val="both"/>
        <w:rPr>
          <w:rFonts w:ascii="Arial" w:hAnsi="Arial" w:cs="Arial"/>
          <w:b/>
          <w:bCs/>
          <w:szCs w:val="24"/>
        </w:rPr>
      </w:pPr>
    </w:p>
    <w:p w14:paraId="14A3754B" w14:textId="6674A46B" w:rsidR="00896571" w:rsidRDefault="00F37F2F" w:rsidP="00896571">
      <w:pPr>
        <w:jc w:val="both"/>
        <w:rPr>
          <w:rFonts w:ascii="Arial" w:hAnsi="Arial" w:cs="Arial"/>
        </w:rPr>
      </w:pPr>
      <w:r>
        <w:rPr>
          <w:rFonts w:ascii="Arial" w:hAnsi="Arial" w:cs="Arial"/>
          <w:b/>
          <w:bCs/>
          <w:szCs w:val="24"/>
        </w:rPr>
        <w:t>Administrative Service Changes</w:t>
      </w:r>
      <w:r w:rsidR="00C902DE">
        <w:rPr>
          <w:rFonts w:ascii="Arial" w:hAnsi="Arial" w:cs="Arial"/>
          <w:b/>
          <w:bCs/>
          <w:szCs w:val="24"/>
        </w:rPr>
        <w:t>:</w:t>
      </w:r>
      <w:r>
        <w:rPr>
          <w:rFonts w:ascii="Arial" w:hAnsi="Arial" w:cs="Arial"/>
          <w:b/>
          <w:bCs/>
          <w:szCs w:val="24"/>
        </w:rPr>
        <w:t xml:space="preserve">  </w:t>
      </w:r>
      <w:r w:rsidR="00896571">
        <w:rPr>
          <w:rFonts w:ascii="Arial" w:hAnsi="Arial" w:cs="Arial"/>
          <w:szCs w:val="24"/>
        </w:rPr>
        <w:t>The Superior Court budget request includes an add</w:t>
      </w:r>
      <w:r w:rsidR="00D070E6">
        <w:rPr>
          <w:rFonts w:ascii="Arial" w:hAnsi="Arial" w:cs="Arial"/>
          <w:szCs w:val="24"/>
        </w:rPr>
        <w:t>ition</w:t>
      </w:r>
      <w:r w:rsidR="00896571">
        <w:rPr>
          <w:rFonts w:ascii="Arial" w:hAnsi="Arial" w:cs="Arial"/>
          <w:szCs w:val="24"/>
        </w:rPr>
        <w:t xml:space="preserve"> of $</w:t>
      </w:r>
      <w:r w:rsidR="006F4868">
        <w:rPr>
          <w:rFonts w:ascii="Arial" w:hAnsi="Arial" w:cs="Arial"/>
          <w:szCs w:val="24"/>
        </w:rPr>
        <w:t>805</w:t>
      </w:r>
      <w:r w:rsidR="00063947">
        <w:rPr>
          <w:rFonts w:ascii="Arial" w:hAnsi="Arial" w:cs="Arial"/>
          <w:szCs w:val="24"/>
        </w:rPr>
        <w:t>,681</w:t>
      </w:r>
      <w:r w:rsidR="00896571">
        <w:rPr>
          <w:rFonts w:ascii="Arial" w:hAnsi="Arial" w:cs="Arial"/>
          <w:szCs w:val="24"/>
        </w:rPr>
        <w:t xml:space="preserve"> and </w:t>
      </w:r>
      <w:r w:rsidR="00063947">
        <w:rPr>
          <w:rFonts w:ascii="Arial" w:hAnsi="Arial" w:cs="Arial"/>
          <w:szCs w:val="24"/>
        </w:rPr>
        <w:t>3</w:t>
      </w:r>
      <w:r w:rsidR="00896571">
        <w:rPr>
          <w:rFonts w:ascii="Arial" w:hAnsi="Arial" w:cs="Arial"/>
          <w:szCs w:val="24"/>
        </w:rPr>
        <w:t xml:space="preserve">.0 FTEs to support a new judicial officer.  </w:t>
      </w:r>
      <w:r w:rsidR="00896571" w:rsidRPr="00084FA8">
        <w:rPr>
          <w:rFonts w:ascii="Arial" w:hAnsi="Arial" w:cs="Arial"/>
        </w:rPr>
        <w:t xml:space="preserve">The number of </w:t>
      </w:r>
      <w:r w:rsidR="00896571">
        <w:rPr>
          <w:rFonts w:ascii="Arial" w:hAnsi="Arial" w:cs="Arial"/>
        </w:rPr>
        <w:t>S</w:t>
      </w:r>
      <w:r w:rsidR="00896571" w:rsidRPr="00084FA8">
        <w:rPr>
          <w:rFonts w:ascii="Arial" w:hAnsi="Arial" w:cs="Arial"/>
        </w:rPr>
        <w:t xml:space="preserve">uperior </w:t>
      </w:r>
      <w:r w:rsidR="00896571">
        <w:rPr>
          <w:rFonts w:ascii="Arial" w:hAnsi="Arial" w:cs="Arial"/>
        </w:rPr>
        <w:t>C</w:t>
      </w:r>
      <w:r w:rsidR="00896571" w:rsidRPr="00084FA8">
        <w:rPr>
          <w:rFonts w:ascii="Arial" w:hAnsi="Arial" w:cs="Arial"/>
        </w:rPr>
        <w:t>ourt judicial positions is established in state statute.</w:t>
      </w:r>
      <w:r w:rsidR="00896571">
        <w:rPr>
          <w:rStyle w:val="FootnoteReference"/>
          <w:rFonts w:ascii="Arial" w:hAnsi="Arial" w:cs="Arial"/>
        </w:rPr>
        <w:footnoteReference w:id="4"/>
      </w:r>
      <w:r w:rsidR="00896571" w:rsidRPr="00084FA8">
        <w:rPr>
          <w:rFonts w:ascii="Arial" w:hAnsi="Arial" w:cs="Arial"/>
        </w:rPr>
        <w:t xml:space="preserve">  Currently, the county has 5</w:t>
      </w:r>
      <w:r w:rsidR="00896571">
        <w:rPr>
          <w:rFonts w:ascii="Arial" w:hAnsi="Arial" w:cs="Arial"/>
        </w:rPr>
        <w:t>3</w:t>
      </w:r>
      <w:r w:rsidR="00896571" w:rsidRPr="00084FA8">
        <w:rPr>
          <w:rFonts w:ascii="Arial" w:hAnsi="Arial" w:cs="Arial"/>
        </w:rPr>
        <w:t xml:space="preserve"> </w:t>
      </w:r>
      <w:r w:rsidR="00896571">
        <w:rPr>
          <w:rFonts w:ascii="Arial" w:hAnsi="Arial" w:cs="Arial"/>
        </w:rPr>
        <w:t>S</w:t>
      </w:r>
      <w:r w:rsidR="00896571" w:rsidRPr="00084FA8">
        <w:rPr>
          <w:rFonts w:ascii="Arial" w:hAnsi="Arial" w:cs="Arial"/>
        </w:rPr>
        <w:t xml:space="preserve">uperior </w:t>
      </w:r>
      <w:r w:rsidR="00896571">
        <w:rPr>
          <w:rFonts w:ascii="Arial" w:hAnsi="Arial" w:cs="Arial"/>
        </w:rPr>
        <w:t>C</w:t>
      </w:r>
      <w:r w:rsidR="00896571" w:rsidRPr="00084FA8">
        <w:rPr>
          <w:rFonts w:ascii="Arial" w:hAnsi="Arial" w:cs="Arial"/>
        </w:rPr>
        <w:t>ourt judges</w:t>
      </w:r>
      <w:r w:rsidR="00896571">
        <w:rPr>
          <w:rFonts w:ascii="Arial" w:hAnsi="Arial" w:cs="Arial"/>
        </w:rPr>
        <w:t xml:space="preserve"> and nine commissioners</w:t>
      </w:r>
      <w:r w:rsidR="00896571" w:rsidRPr="00084FA8">
        <w:rPr>
          <w:rFonts w:ascii="Arial" w:hAnsi="Arial" w:cs="Arial"/>
        </w:rPr>
        <w:t xml:space="preserve">.  In May 1989, the </w:t>
      </w:r>
      <w:r w:rsidR="00896571">
        <w:rPr>
          <w:rFonts w:ascii="Arial" w:hAnsi="Arial" w:cs="Arial"/>
        </w:rPr>
        <w:t>C</w:t>
      </w:r>
      <w:r w:rsidR="00896571" w:rsidRPr="00084FA8">
        <w:rPr>
          <w:rFonts w:ascii="Arial" w:hAnsi="Arial" w:cs="Arial"/>
        </w:rPr>
        <w:t xml:space="preserve">ounty adopted Ordinance 8936, which enacted an agreement between the </w:t>
      </w:r>
      <w:r w:rsidR="00896571">
        <w:rPr>
          <w:rFonts w:ascii="Arial" w:hAnsi="Arial" w:cs="Arial"/>
        </w:rPr>
        <w:t>E</w:t>
      </w:r>
      <w:r w:rsidR="00896571" w:rsidRPr="00084FA8">
        <w:rPr>
          <w:rFonts w:ascii="Arial" w:hAnsi="Arial" w:cs="Arial"/>
        </w:rPr>
        <w:t xml:space="preserve">xecutive, the </w:t>
      </w:r>
      <w:r w:rsidR="00896571">
        <w:rPr>
          <w:rFonts w:ascii="Arial" w:hAnsi="Arial" w:cs="Arial"/>
        </w:rPr>
        <w:t>S</w:t>
      </w:r>
      <w:r w:rsidR="00896571" w:rsidRPr="00084FA8">
        <w:rPr>
          <w:rFonts w:ascii="Arial" w:hAnsi="Arial" w:cs="Arial"/>
        </w:rPr>
        <w:t xml:space="preserve">uperior </w:t>
      </w:r>
      <w:r w:rsidR="00896571">
        <w:rPr>
          <w:rFonts w:ascii="Arial" w:hAnsi="Arial" w:cs="Arial"/>
        </w:rPr>
        <w:t>C</w:t>
      </w:r>
      <w:r w:rsidR="00896571" w:rsidRPr="00084FA8">
        <w:rPr>
          <w:rFonts w:ascii="Arial" w:hAnsi="Arial" w:cs="Arial"/>
        </w:rPr>
        <w:t xml:space="preserve">ourt, and the </w:t>
      </w:r>
      <w:r w:rsidR="00896571">
        <w:rPr>
          <w:rFonts w:ascii="Arial" w:hAnsi="Arial" w:cs="Arial"/>
        </w:rPr>
        <w:t>C</w:t>
      </w:r>
      <w:r w:rsidR="00896571" w:rsidRPr="00084FA8">
        <w:rPr>
          <w:rFonts w:ascii="Arial" w:hAnsi="Arial" w:cs="Arial"/>
        </w:rPr>
        <w:t xml:space="preserve">ounty </w:t>
      </w:r>
      <w:r w:rsidR="00896571">
        <w:rPr>
          <w:rFonts w:ascii="Arial" w:hAnsi="Arial" w:cs="Arial"/>
        </w:rPr>
        <w:t>C</w:t>
      </w:r>
      <w:r w:rsidR="00896571" w:rsidRPr="00084FA8">
        <w:rPr>
          <w:rFonts w:ascii="Arial" w:hAnsi="Arial" w:cs="Arial"/>
        </w:rPr>
        <w:t xml:space="preserve">ouncil establishing a system for the creation of new judgeships.  This inter-branch planning and coordination process was called a “Protocol” and a protocol committee, supported by a technical committee (primarily analytic staff from each branch of </w:t>
      </w:r>
      <w:r w:rsidR="00896571">
        <w:rPr>
          <w:rFonts w:ascii="Arial" w:hAnsi="Arial" w:cs="Arial"/>
        </w:rPr>
        <w:t>C</w:t>
      </w:r>
      <w:r w:rsidR="00896571" w:rsidRPr="00084FA8">
        <w:rPr>
          <w:rFonts w:ascii="Arial" w:hAnsi="Arial" w:cs="Arial"/>
        </w:rPr>
        <w:t xml:space="preserve">ounty government), was created to review court </w:t>
      </w:r>
      <w:r w:rsidR="00896571" w:rsidRPr="00084FA8">
        <w:rPr>
          <w:rFonts w:ascii="Arial" w:hAnsi="Arial" w:cs="Arial"/>
        </w:rPr>
        <w:lastRenderedPageBreak/>
        <w:t xml:space="preserve">workload and determine when new judicial officers were needed.   The protocol committee has representatives from the court, Department of Judicial Administration, the </w:t>
      </w:r>
      <w:r w:rsidR="00896571">
        <w:rPr>
          <w:rFonts w:ascii="Arial" w:hAnsi="Arial" w:cs="Arial"/>
        </w:rPr>
        <w:t>C</w:t>
      </w:r>
      <w:r w:rsidR="00896571" w:rsidRPr="00084FA8">
        <w:rPr>
          <w:rFonts w:ascii="Arial" w:hAnsi="Arial" w:cs="Arial"/>
        </w:rPr>
        <w:t xml:space="preserve">ouncil, the </w:t>
      </w:r>
      <w:r w:rsidR="00896571">
        <w:rPr>
          <w:rFonts w:ascii="Arial" w:hAnsi="Arial" w:cs="Arial"/>
        </w:rPr>
        <w:t>E</w:t>
      </w:r>
      <w:r w:rsidR="00896571" w:rsidRPr="00084FA8">
        <w:rPr>
          <w:rFonts w:ascii="Arial" w:hAnsi="Arial" w:cs="Arial"/>
        </w:rPr>
        <w:t xml:space="preserve">xecutive, and the local bar.  The committee has established specific criteria for reviewing the workload of the court, including defined indicators and </w:t>
      </w:r>
      <w:r w:rsidR="00896571">
        <w:rPr>
          <w:rFonts w:ascii="Arial" w:hAnsi="Arial" w:cs="Arial"/>
        </w:rPr>
        <w:t xml:space="preserve">has </w:t>
      </w:r>
      <w:r w:rsidR="00896571" w:rsidRPr="00084FA8">
        <w:rPr>
          <w:rFonts w:ascii="Arial" w:hAnsi="Arial" w:cs="Arial"/>
        </w:rPr>
        <w:t xml:space="preserve">developed a set of indicators to measure judicial need.  The committee has used the indicators to inform decisions on whether to increase </w:t>
      </w:r>
      <w:r w:rsidR="00896571">
        <w:rPr>
          <w:rFonts w:ascii="Arial" w:hAnsi="Arial" w:cs="Arial"/>
        </w:rPr>
        <w:t xml:space="preserve">or decrease </w:t>
      </w:r>
      <w:r w:rsidR="00896571" w:rsidRPr="00084FA8">
        <w:rPr>
          <w:rFonts w:ascii="Arial" w:hAnsi="Arial" w:cs="Arial"/>
        </w:rPr>
        <w:t>the number of King County Superior Court jud</w:t>
      </w:r>
      <w:r w:rsidR="00896571">
        <w:rPr>
          <w:rFonts w:ascii="Arial" w:hAnsi="Arial" w:cs="Arial"/>
        </w:rPr>
        <w:t>icial officers (judges and commissioners)</w:t>
      </w:r>
      <w:r w:rsidR="00896571" w:rsidRPr="00084FA8">
        <w:rPr>
          <w:rFonts w:ascii="Arial" w:hAnsi="Arial" w:cs="Arial"/>
        </w:rPr>
        <w:t xml:space="preserve">.  In 2019, members of the committee </w:t>
      </w:r>
      <w:r w:rsidR="00896571">
        <w:rPr>
          <w:rFonts w:ascii="Arial" w:hAnsi="Arial" w:cs="Arial"/>
        </w:rPr>
        <w:t xml:space="preserve">met and </w:t>
      </w:r>
      <w:r w:rsidR="00896571" w:rsidRPr="00084FA8">
        <w:rPr>
          <w:rFonts w:ascii="Arial" w:hAnsi="Arial" w:cs="Arial"/>
        </w:rPr>
        <w:t xml:space="preserve">acknowledged that the various indicators represented the need for added judicial officers.  </w:t>
      </w:r>
      <w:r w:rsidR="00896571">
        <w:rPr>
          <w:rFonts w:ascii="Arial" w:hAnsi="Arial" w:cs="Arial"/>
        </w:rPr>
        <w:t>The committee agreed to the addition of one Superior Court judge and one commissioner in the 2021-2022 budget to address the increase in court workload.</w:t>
      </w:r>
      <w:r w:rsidR="00896571">
        <w:rPr>
          <w:rStyle w:val="FootnoteReference"/>
          <w:rFonts w:ascii="Arial" w:hAnsi="Arial" w:cs="Arial"/>
        </w:rPr>
        <w:footnoteReference w:id="5"/>
      </w:r>
      <w:r w:rsidR="00896571">
        <w:rPr>
          <w:rFonts w:ascii="Arial" w:hAnsi="Arial" w:cs="Arial"/>
        </w:rPr>
        <w:t xml:space="preserve">  This funding request would fund the </w:t>
      </w:r>
      <w:r w:rsidR="00114D73">
        <w:rPr>
          <w:rFonts w:ascii="Arial" w:hAnsi="Arial" w:cs="Arial"/>
        </w:rPr>
        <w:t>new jud</w:t>
      </w:r>
      <w:r w:rsidR="005B5EC8">
        <w:rPr>
          <w:rFonts w:ascii="Arial" w:hAnsi="Arial" w:cs="Arial"/>
        </w:rPr>
        <w:t>ge</w:t>
      </w:r>
      <w:r w:rsidR="00896571">
        <w:rPr>
          <w:rFonts w:ascii="Arial" w:hAnsi="Arial" w:cs="Arial"/>
        </w:rPr>
        <w:t xml:space="preserve"> </w:t>
      </w:r>
      <w:r w:rsidR="005B5EC8">
        <w:rPr>
          <w:rFonts w:ascii="Arial" w:hAnsi="Arial" w:cs="Arial"/>
        </w:rPr>
        <w:t xml:space="preserve">and the </w:t>
      </w:r>
      <w:r w:rsidR="00114D73">
        <w:rPr>
          <w:rFonts w:ascii="Arial" w:hAnsi="Arial" w:cs="Arial"/>
        </w:rPr>
        <w:t xml:space="preserve">other </w:t>
      </w:r>
      <w:r w:rsidR="005B5EC8">
        <w:rPr>
          <w:rFonts w:ascii="Arial" w:hAnsi="Arial" w:cs="Arial"/>
        </w:rPr>
        <w:t xml:space="preserve">court </w:t>
      </w:r>
      <w:r w:rsidR="00114D73">
        <w:rPr>
          <w:rFonts w:ascii="Arial" w:hAnsi="Arial" w:cs="Arial"/>
        </w:rPr>
        <w:t xml:space="preserve">staff </w:t>
      </w:r>
      <w:r w:rsidR="005B5EC8">
        <w:rPr>
          <w:rFonts w:ascii="Arial" w:hAnsi="Arial" w:cs="Arial"/>
        </w:rPr>
        <w:t xml:space="preserve">that </w:t>
      </w:r>
      <w:r w:rsidR="00896571">
        <w:rPr>
          <w:rFonts w:ascii="Arial" w:hAnsi="Arial" w:cs="Arial"/>
        </w:rPr>
        <w:t>support the new positions</w:t>
      </w:r>
      <w:r w:rsidR="00AC54E9">
        <w:rPr>
          <w:rFonts w:ascii="Arial" w:hAnsi="Arial" w:cs="Arial"/>
        </w:rPr>
        <w:t>.  The judge and bailiff positions would</w:t>
      </w:r>
      <w:r w:rsidR="006B2D7A">
        <w:rPr>
          <w:rFonts w:ascii="Arial" w:hAnsi="Arial" w:cs="Arial"/>
        </w:rPr>
        <w:t xml:space="preserve"> begin in July 2021</w:t>
      </w:r>
      <w:r w:rsidR="00896571">
        <w:rPr>
          <w:rFonts w:ascii="Arial" w:hAnsi="Arial" w:cs="Arial"/>
        </w:rPr>
        <w:t>.</w:t>
      </w:r>
    </w:p>
    <w:p w14:paraId="04FAC8F4" w14:textId="77777777" w:rsidR="00896571" w:rsidRPr="00FD1A00" w:rsidRDefault="00896571" w:rsidP="008A5CF4">
      <w:pPr>
        <w:spacing w:line="264" w:lineRule="auto"/>
        <w:contextualSpacing/>
        <w:jc w:val="both"/>
        <w:rPr>
          <w:rFonts w:ascii="Arial" w:hAnsi="Arial" w:cs="Arial"/>
          <w:szCs w:val="24"/>
        </w:rPr>
      </w:pPr>
    </w:p>
    <w:p w14:paraId="3DA733C3" w14:textId="5ADEC478" w:rsidR="005C2E8B" w:rsidRPr="00B2433E" w:rsidRDefault="00547964" w:rsidP="008156D8">
      <w:pPr>
        <w:spacing w:line="264" w:lineRule="auto"/>
        <w:contextualSpacing/>
        <w:jc w:val="center"/>
        <w:rPr>
          <w:rFonts w:ascii="Arial" w:hAnsi="Arial" w:cs="Arial"/>
          <w:b/>
          <w:smallCaps/>
          <w:szCs w:val="24"/>
          <w:u w:val="single"/>
        </w:rPr>
      </w:pPr>
      <w:r>
        <w:rPr>
          <w:rFonts w:ascii="Arial" w:hAnsi="Arial" w:cs="Arial"/>
          <w:b/>
          <w:smallCaps/>
          <w:szCs w:val="24"/>
          <w:u w:val="single"/>
        </w:rPr>
        <w:t xml:space="preserve">Key </w:t>
      </w:r>
      <w:r w:rsidR="008156D8">
        <w:rPr>
          <w:rFonts w:ascii="Arial" w:hAnsi="Arial" w:cs="Arial"/>
          <w:b/>
          <w:smallCaps/>
          <w:szCs w:val="24"/>
          <w:u w:val="single"/>
        </w:rPr>
        <w:t>Issues</w:t>
      </w:r>
    </w:p>
    <w:p w14:paraId="5279866C" w14:textId="58C49800" w:rsidR="005C2E8B" w:rsidRDefault="005C2E8B" w:rsidP="008A5CF4">
      <w:pPr>
        <w:spacing w:line="264" w:lineRule="auto"/>
        <w:contextualSpacing/>
        <w:jc w:val="center"/>
        <w:rPr>
          <w:rFonts w:ascii="Arial" w:hAnsi="Arial" w:cs="Arial"/>
          <w:szCs w:val="24"/>
        </w:rPr>
      </w:pPr>
    </w:p>
    <w:p w14:paraId="20C2B90E" w14:textId="15E903FA" w:rsidR="003737CE" w:rsidRPr="00B2433E" w:rsidRDefault="003737CE" w:rsidP="003737CE">
      <w:pPr>
        <w:spacing w:line="264" w:lineRule="auto"/>
        <w:contextualSpacing/>
        <w:jc w:val="both"/>
        <w:rPr>
          <w:rFonts w:ascii="Arial" w:hAnsi="Arial" w:cs="Arial"/>
          <w:b/>
          <w:smallCaps/>
          <w:szCs w:val="24"/>
          <w:u w:val="single"/>
        </w:rPr>
      </w:pPr>
      <w:r w:rsidRPr="00B2433E">
        <w:rPr>
          <w:rFonts w:ascii="Arial" w:hAnsi="Arial" w:cs="Arial"/>
          <w:b/>
          <w:smallCaps/>
          <w:szCs w:val="24"/>
          <w:u w:val="single"/>
        </w:rPr>
        <w:t>Issue 1 –</w:t>
      </w:r>
      <w:r w:rsidR="00AA0281">
        <w:rPr>
          <w:rFonts w:ascii="Arial" w:hAnsi="Arial" w:cs="Arial"/>
          <w:b/>
          <w:smallCaps/>
          <w:szCs w:val="24"/>
          <w:u w:val="single"/>
        </w:rPr>
        <w:t xml:space="preserve">Restorative </w:t>
      </w:r>
      <w:r w:rsidR="00EF394D">
        <w:rPr>
          <w:rFonts w:ascii="Arial" w:hAnsi="Arial" w:cs="Arial"/>
          <w:b/>
          <w:smallCaps/>
          <w:szCs w:val="24"/>
          <w:u w:val="single"/>
        </w:rPr>
        <w:t>Community Pathways</w:t>
      </w:r>
      <w:proofErr w:type="gramStart"/>
      <w:r w:rsidR="00C902DE">
        <w:rPr>
          <w:rFonts w:ascii="Arial" w:hAnsi="Arial" w:cs="Arial"/>
          <w:b/>
          <w:smallCaps/>
          <w:szCs w:val="24"/>
          <w:u w:val="single"/>
        </w:rPr>
        <w:t xml:space="preserve"> </w:t>
      </w:r>
      <w:r w:rsidR="00EF394D">
        <w:rPr>
          <w:rFonts w:ascii="Arial" w:hAnsi="Arial" w:cs="Arial"/>
          <w:b/>
          <w:smallCaps/>
          <w:szCs w:val="24"/>
          <w:u w:val="single"/>
        </w:rPr>
        <w:t xml:space="preserve"> </w:t>
      </w:r>
      <w:r w:rsidR="00C902DE">
        <w:rPr>
          <w:rFonts w:ascii="Arial" w:hAnsi="Arial" w:cs="Arial"/>
          <w:b/>
          <w:smallCaps/>
          <w:szCs w:val="24"/>
          <w:u w:val="single"/>
        </w:rPr>
        <w:t xml:space="preserve"> </w:t>
      </w:r>
      <w:r w:rsidR="00AA0281">
        <w:rPr>
          <w:rFonts w:ascii="Arial" w:hAnsi="Arial" w:cs="Arial"/>
          <w:b/>
          <w:smallCaps/>
          <w:szCs w:val="24"/>
          <w:u w:val="single"/>
        </w:rPr>
        <w:t>(</w:t>
      </w:r>
      <w:proofErr w:type="gramEnd"/>
      <w:r w:rsidR="003B0D82">
        <w:rPr>
          <w:rFonts w:ascii="Arial" w:hAnsi="Arial" w:cs="Arial"/>
          <w:b/>
          <w:smallCaps/>
          <w:szCs w:val="24"/>
          <w:u w:val="single"/>
        </w:rPr>
        <w:t>Reduction of $1,110,238 &amp; 15.0 FTEs</w:t>
      </w:r>
      <w:r w:rsidR="00AA0281">
        <w:rPr>
          <w:rFonts w:ascii="Arial" w:hAnsi="Arial" w:cs="Arial"/>
          <w:b/>
          <w:smallCaps/>
          <w:szCs w:val="24"/>
          <w:u w:val="single"/>
        </w:rPr>
        <w:t>)</w:t>
      </w:r>
    </w:p>
    <w:p w14:paraId="59B15188" w14:textId="6100CA1D" w:rsidR="00B85924" w:rsidRDefault="00B85924" w:rsidP="00B85924">
      <w:pPr>
        <w:jc w:val="both"/>
        <w:rPr>
          <w:rFonts w:ascii="Arial" w:hAnsi="Arial" w:cs="Arial"/>
          <w:color w:val="23221F"/>
          <w:szCs w:val="24"/>
        </w:rPr>
      </w:pPr>
    </w:p>
    <w:p w14:paraId="35E7F60C" w14:textId="2BA57372" w:rsidR="00765B32" w:rsidRPr="007862DF" w:rsidRDefault="00765B32" w:rsidP="00765B32">
      <w:pPr>
        <w:spacing w:line="264" w:lineRule="auto"/>
        <w:jc w:val="both"/>
        <w:rPr>
          <w:rFonts w:ascii="Arial" w:hAnsi="Arial" w:cs="Arial"/>
          <w:szCs w:val="24"/>
        </w:rPr>
      </w:pPr>
      <w:r w:rsidRPr="00666BC5">
        <w:rPr>
          <w:rFonts w:ascii="Arial" w:hAnsi="Arial" w:cs="Arial"/>
          <w:szCs w:val="24"/>
        </w:rPr>
        <w:t xml:space="preserve">In lieu of filing charges, the King County Prosecuting Attorney’s Office proposes to refer up to 600 young people (about 60 percent of cases) pre-filing in 2022 to community-based organizations for comprehensive services intended to promote accountability, healing, and </w:t>
      </w:r>
      <w:r>
        <w:rPr>
          <w:rFonts w:ascii="Arial" w:hAnsi="Arial" w:cs="Arial"/>
          <w:szCs w:val="24"/>
        </w:rPr>
        <w:t xml:space="preserve">avoid </w:t>
      </w:r>
      <w:r w:rsidRPr="00666BC5">
        <w:rPr>
          <w:rFonts w:ascii="Arial" w:hAnsi="Arial" w:cs="Arial"/>
          <w:szCs w:val="24"/>
        </w:rPr>
        <w:t xml:space="preserve">future involvement in the criminal legal system. This new diversion program referred to as “Restorative Community Pathways (RCP)” was developed in partnership between community organizations, the Department of Public Defense, the PAO, and the Department of Community and Human Services. This program will serve youth ages 12-17 and will address misdemeanors (except domestic violence and sexual assault) and many first-time felony charges. Eligibility is at PAO discretion and </w:t>
      </w:r>
      <w:r>
        <w:rPr>
          <w:rFonts w:ascii="Arial" w:hAnsi="Arial" w:cs="Arial"/>
          <w:szCs w:val="24"/>
        </w:rPr>
        <w:t>PAO</w:t>
      </w:r>
      <w:r w:rsidRPr="00666BC5">
        <w:rPr>
          <w:rFonts w:ascii="Arial" w:hAnsi="Arial" w:cs="Arial"/>
          <w:szCs w:val="24"/>
        </w:rPr>
        <w:t xml:space="preserve"> will </w:t>
      </w:r>
      <w:r w:rsidRPr="00666BC5">
        <w:rPr>
          <w:rFonts w:ascii="Arial" w:hAnsi="Arial" w:cs="Arial"/>
        </w:rPr>
        <w:t>consider other factors such as criminal history, level of injury, and use of a deadly weapon.</w:t>
      </w:r>
    </w:p>
    <w:p w14:paraId="1ED6F058" w14:textId="77777777" w:rsidR="00765B32" w:rsidRPr="00666BC5" w:rsidRDefault="00765B32" w:rsidP="00765B32">
      <w:pPr>
        <w:jc w:val="both"/>
        <w:rPr>
          <w:rFonts w:ascii="Arial" w:hAnsi="Arial" w:cs="Arial"/>
          <w:u w:val="single"/>
        </w:rPr>
      </w:pPr>
    </w:p>
    <w:p w14:paraId="60BF626A" w14:textId="3D4EF1D3" w:rsidR="002617CE" w:rsidRDefault="00765B32" w:rsidP="00765B32">
      <w:pPr>
        <w:jc w:val="both"/>
        <w:rPr>
          <w:rFonts w:ascii="Arial" w:hAnsi="Arial" w:cs="Arial"/>
          <w:szCs w:val="24"/>
        </w:rPr>
      </w:pPr>
      <w:r w:rsidRPr="009C1145">
        <w:rPr>
          <w:rStyle w:val="Strong"/>
          <w:rFonts w:ascii="Arial" w:hAnsi="Arial" w:cs="Arial"/>
          <w:b w:val="0"/>
          <w:color w:val="23221F"/>
          <w:lang w:val="en"/>
        </w:rPr>
        <w:t>RCP will both complement and expand on pre-filing diversion opportunities for justice involved youth. Cases will continue to be diverted through the Choose 180 workshop (first time juvenile misdemeanor offenders) and FIRS program (intra-familial domestic violence cases).</w:t>
      </w:r>
      <w:r w:rsidRPr="00BE1075">
        <w:rPr>
          <w:rStyle w:val="Strong"/>
          <w:rFonts w:ascii="Arial" w:hAnsi="Arial" w:cs="Arial"/>
          <w:color w:val="23221F"/>
          <w:lang w:val="en"/>
        </w:rPr>
        <w:t xml:space="preserve"> </w:t>
      </w:r>
      <w:r>
        <w:rPr>
          <w:rFonts w:ascii="Arial" w:hAnsi="Arial" w:cs="Arial"/>
          <w:szCs w:val="24"/>
        </w:rPr>
        <w:t xml:space="preserve">The RCP program would also include appropriate services </w:t>
      </w:r>
      <w:r w:rsidRPr="00F71880">
        <w:rPr>
          <w:rFonts w:ascii="Arial" w:hAnsi="Arial" w:cs="Arial"/>
          <w:szCs w:val="24"/>
        </w:rPr>
        <w:t>and support for harmed parties</w:t>
      </w:r>
      <w:r>
        <w:rPr>
          <w:rFonts w:ascii="Arial" w:hAnsi="Arial" w:cs="Arial"/>
          <w:szCs w:val="24"/>
        </w:rPr>
        <w:t xml:space="preserve"> </w:t>
      </w:r>
      <w:r w:rsidRPr="00F71880">
        <w:rPr>
          <w:rFonts w:ascii="Arial" w:hAnsi="Arial" w:cs="Arial"/>
          <w:szCs w:val="24"/>
        </w:rPr>
        <w:t xml:space="preserve">and </w:t>
      </w:r>
      <w:r>
        <w:rPr>
          <w:rFonts w:ascii="Arial" w:hAnsi="Arial" w:cs="Arial"/>
          <w:szCs w:val="24"/>
        </w:rPr>
        <w:t xml:space="preserve">a </w:t>
      </w:r>
      <w:r w:rsidRPr="00F71880">
        <w:rPr>
          <w:rFonts w:ascii="Arial" w:hAnsi="Arial" w:cs="Arial"/>
          <w:szCs w:val="24"/>
        </w:rPr>
        <w:t>restitution</w:t>
      </w:r>
      <w:r>
        <w:rPr>
          <w:rFonts w:ascii="Arial" w:hAnsi="Arial" w:cs="Arial"/>
          <w:szCs w:val="24"/>
        </w:rPr>
        <w:t xml:space="preserve"> fund </w:t>
      </w:r>
      <w:r w:rsidRPr="00F71880">
        <w:rPr>
          <w:rFonts w:ascii="Arial" w:hAnsi="Arial" w:cs="Arial"/>
          <w:szCs w:val="24"/>
        </w:rPr>
        <w:t xml:space="preserve">so that youths who cannot pay fines </w:t>
      </w:r>
      <w:r>
        <w:rPr>
          <w:rFonts w:ascii="Arial" w:hAnsi="Arial" w:cs="Arial"/>
          <w:szCs w:val="24"/>
        </w:rPr>
        <w:t xml:space="preserve">or </w:t>
      </w:r>
      <w:r w:rsidRPr="00F71880">
        <w:rPr>
          <w:rFonts w:ascii="Arial" w:hAnsi="Arial" w:cs="Arial"/>
          <w:szCs w:val="24"/>
        </w:rPr>
        <w:t>other financial obligations do not end up in a cycle of probation violations and</w:t>
      </w:r>
      <w:r>
        <w:rPr>
          <w:rFonts w:ascii="Arial" w:hAnsi="Arial" w:cs="Arial"/>
          <w:szCs w:val="24"/>
        </w:rPr>
        <w:t xml:space="preserve"> </w:t>
      </w:r>
      <w:r w:rsidRPr="00F71880">
        <w:rPr>
          <w:rFonts w:ascii="Arial" w:hAnsi="Arial" w:cs="Arial"/>
          <w:szCs w:val="24"/>
        </w:rPr>
        <w:t>incarceration.</w:t>
      </w:r>
    </w:p>
    <w:p w14:paraId="18A00D5D" w14:textId="4F2D56DE" w:rsidR="00765B32" w:rsidRDefault="00765B32" w:rsidP="00765B32">
      <w:pPr>
        <w:jc w:val="both"/>
        <w:rPr>
          <w:rFonts w:ascii="Arial" w:hAnsi="Arial" w:cs="Arial"/>
          <w:szCs w:val="24"/>
        </w:rPr>
      </w:pPr>
    </w:p>
    <w:p w14:paraId="1EBEAC5B" w14:textId="6C445E78" w:rsidR="00765B32" w:rsidRDefault="00765B32" w:rsidP="00765B32">
      <w:pPr>
        <w:spacing w:line="264" w:lineRule="auto"/>
        <w:jc w:val="both"/>
        <w:rPr>
          <w:rFonts w:ascii="Arial" w:hAnsi="Arial" w:cs="Arial"/>
          <w:szCs w:val="24"/>
        </w:rPr>
      </w:pPr>
      <w:r>
        <w:rPr>
          <w:rFonts w:ascii="Arial" w:hAnsi="Arial" w:cs="Arial"/>
          <w:szCs w:val="24"/>
        </w:rPr>
        <w:t>The total appropriation for this program is $6.2 million, largely in the DCHS</w:t>
      </w:r>
      <w:r w:rsidR="00C902DE">
        <w:rPr>
          <w:rFonts w:ascii="Arial" w:hAnsi="Arial" w:cs="Arial"/>
          <w:szCs w:val="24"/>
        </w:rPr>
        <w:t xml:space="preserve"> – Employment Education Resources</w:t>
      </w:r>
      <w:r>
        <w:rPr>
          <w:rFonts w:ascii="Arial" w:hAnsi="Arial" w:cs="Arial"/>
          <w:szCs w:val="24"/>
        </w:rPr>
        <w:t xml:space="preserve"> appropriation, and includes funding for the following:</w:t>
      </w:r>
    </w:p>
    <w:p w14:paraId="13E6D250" w14:textId="77777777" w:rsidR="00765B32" w:rsidRDefault="00765B32" w:rsidP="00765B32">
      <w:pPr>
        <w:spacing w:line="264" w:lineRule="auto"/>
        <w:jc w:val="both"/>
        <w:rPr>
          <w:rFonts w:ascii="Arial" w:hAnsi="Arial" w:cs="Arial"/>
          <w:szCs w:val="24"/>
        </w:rPr>
      </w:pPr>
    </w:p>
    <w:p w14:paraId="191F03D5" w14:textId="77777777" w:rsidR="00765B32" w:rsidRDefault="00765B32" w:rsidP="00765B32">
      <w:pPr>
        <w:pStyle w:val="ListParagraph"/>
        <w:numPr>
          <w:ilvl w:val="0"/>
          <w:numId w:val="5"/>
        </w:numPr>
        <w:spacing w:line="264" w:lineRule="auto"/>
        <w:jc w:val="both"/>
        <w:rPr>
          <w:rFonts w:ascii="Arial" w:hAnsi="Arial" w:cs="Arial"/>
          <w:szCs w:val="24"/>
        </w:rPr>
      </w:pPr>
      <w:r>
        <w:rPr>
          <w:rFonts w:ascii="Arial" w:hAnsi="Arial" w:cs="Arial"/>
          <w:szCs w:val="24"/>
        </w:rPr>
        <w:t>$5.2 million for community grants for DCHS (of this, PAO anticipates $150,000 will be needed for a restitution fund)</w:t>
      </w:r>
    </w:p>
    <w:p w14:paraId="55E2C1C4" w14:textId="77777777" w:rsidR="00765B32" w:rsidRDefault="00765B32" w:rsidP="00765B32">
      <w:pPr>
        <w:pStyle w:val="ListParagraph"/>
        <w:numPr>
          <w:ilvl w:val="0"/>
          <w:numId w:val="5"/>
        </w:numPr>
        <w:spacing w:line="264" w:lineRule="auto"/>
        <w:jc w:val="both"/>
        <w:rPr>
          <w:rFonts w:ascii="Arial" w:hAnsi="Arial" w:cs="Arial"/>
          <w:szCs w:val="24"/>
        </w:rPr>
      </w:pPr>
      <w:r>
        <w:rPr>
          <w:rFonts w:ascii="Arial" w:hAnsi="Arial" w:cs="Arial"/>
          <w:szCs w:val="24"/>
        </w:rPr>
        <w:t xml:space="preserve">$509,917 and two FTEs for DCHS to manage the program </w:t>
      </w:r>
    </w:p>
    <w:p w14:paraId="77306FAA" w14:textId="77777777" w:rsidR="00765B32" w:rsidRDefault="00765B32" w:rsidP="00765B32">
      <w:pPr>
        <w:pStyle w:val="ListParagraph"/>
        <w:numPr>
          <w:ilvl w:val="0"/>
          <w:numId w:val="5"/>
        </w:numPr>
        <w:spacing w:line="264" w:lineRule="auto"/>
        <w:jc w:val="both"/>
        <w:rPr>
          <w:rFonts w:ascii="Arial" w:hAnsi="Arial" w:cs="Arial"/>
          <w:szCs w:val="24"/>
        </w:rPr>
      </w:pPr>
      <w:r>
        <w:rPr>
          <w:rFonts w:ascii="Arial" w:hAnsi="Arial" w:cs="Arial"/>
          <w:szCs w:val="24"/>
        </w:rPr>
        <w:t>$500,000 for program evaluation</w:t>
      </w:r>
    </w:p>
    <w:p w14:paraId="1838C971" w14:textId="77777777" w:rsidR="00765B32" w:rsidRDefault="00765B32" w:rsidP="00765B32">
      <w:pPr>
        <w:spacing w:line="264" w:lineRule="auto"/>
        <w:jc w:val="both"/>
        <w:rPr>
          <w:rFonts w:ascii="Arial" w:hAnsi="Arial" w:cs="Arial"/>
          <w:szCs w:val="24"/>
        </w:rPr>
      </w:pPr>
    </w:p>
    <w:p w14:paraId="5594B11E" w14:textId="77777777" w:rsidR="00765B32" w:rsidRDefault="00765B32" w:rsidP="00765B32">
      <w:pPr>
        <w:spacing w:line="264" w:lineRule="auto"/>
        <w:jc w:val="both"/>
        <w:rPr>
          <w:rFonts w:ascii="Arial" w:hAnsi="Arial" w:cs="Arial"/>
          <w:szCs w:val="24"/>
        </w:rPr>
      </w:pPr>
      <w:r>
        <w:rPr>
          <w:rFonts w:ascii="Arial" w:hAnsi="Arial" w:cs="Arial"/>
          <w:szCs w:val="24"/>
        </w:rPr>
        <w:lastRenderedPageBreak/>
        <w:t xml:space="preserve">DCHS Children Youth and Young Adults Division will work with DPD, PAO, and community organizations serving youth and harmed parties to develop a selection process for community-based organizations. Selected RCP community-based organizations are expected to begin receiving referrals by July 2021. Council staff have asked PSB for information on the capacity of existing community-based organizations to do this work and whether there is any funding in the proposed budget specifically dedicated to building the capacity of community-based organizations to serve as part of a diversion program.  </w:t>
      </w:r>
    </w:p>
    <w:p w14:paraId="445BA729" w14:textId="77777777" w:rsidR="00765B32" w:rsidRPr="00303AE5" w:rsidRDefault="00765B32" w:rsidP="00765B32">
      <w:pPr>
        <w:spacing w:line="264" w:lineRule="auto"/>
        <w:jc w:val="both"/>
        <w:rPr>
          <w:rFonts w:ascii="Arial" w:hAnsi="Arial" w:cs="Arial"/>
          <w:szCs w:val="24"/>
        </w:rPr>
      </w:pPr>
    </w:p>
    <w:p w14:paraId="196A5153" w14:textId="7AE41424" w:rsidR="00765B32" w:rsidRDefault="00765B32" w:rsidP="009C1145">
      <w:pPr>
        <w:spacing w:line="264" w:lineRule="auto"/>
        <w:jc w:val="both"/>
        <w:rPr>
          <w:rFonts w:ascii="Arial" w:hAnsi="Arial" w:cs="Arial"/>
          <w:szCs w:val="24"/>
        </w:rPr>
      </w:pPr>
      <w:r>
        <w:rPr>
          <w:rFonts w:ascii="Arial" w:hAnsi="Arial" w:cs="Arial"/>
          <w:szCs w:val="24"/>
        </w:rPr>
        <w:t>The program would largely be funded by the General Fund ($5.2 million) and from Best Starts for Kids ($1 million from shifting the BSK funding for existing CEDAR and Theft 3 diversion programs into this program). According to Executive staff, t</w:t>
      </w:r>
      <w:r w:rsidRPr="00F71880">
        <w:rPr>
          <w:rFonts w:ascii="Arial" w:hAnsi="Arial" w:cs="Arial"/>
          <w:szCs w:val="24"/>
        </w:rPr>
        <w:t xml:space="preserve">he program will eventually be fully funded through staff savings </w:t>
      </w:r>
      <w:r>
        <w:rPr>
          <w:rFonts w:ascii="Arial" w:hAnsi="Arial" w:cs="Arial"/>
          <w:szCs w:val="24"/>
        </w:rPr>
        <w:t xml:space="preserve">throughout the criminal justice system by diverting cases away from the criminal legal system. The proposed budget includes savings expected in the appropriation units listed below </w:t>
      </w:r>
      <w:r w:rsidRPr="00BD040B">
        <w:rPr>
          <w:rFonts w:ascii="Arial" w:hAnsi="Arial" w:cs="Arial"/>
          <w:szCs w:val="24"/>
        </w:rPr>
        <w:t xml:space="preserve">beginning in 2022 </w:t>
      </w:r>
      <w:proofErr w:type="gramStart"/>
      <w:r w:rsidRPr="00BD040B">
        <w:rPr>
          <w:rFonts w:ascii="Arial" w:hAnsi="Arial" w:cs="Arial"/>
          <w:szCs w:val="24"/>
        </w:rPr>
        <w:t>as</w:t>
      </w:r>
      <w:r>
        <w:rPr>
          <w:rFonts w:ascii="Arial" w:hAnsi="Arial" w:cs="Arial"/>
          <w:szCs w:val="24"/>
        </w:rPr>
        <w:t xml:space="preserve"> a result of</w:t>
      </w:r>
      <w:proofErr w:type="gramEnd"/>
      <w:r>
        <w:rPr>
          <w:rFonts w:ascii="Arial" w:hAnsi="Arial" w:cs="Arial"/>
          <w:szCs w:val="24"/>
        </w:rPr>
        <w:t xml:space="preserve"> the effects of this program. The savings are discussed in the staff report for each appropriation. </w:t>
      </w:r>
    </w:p>
    <w:p w14:paraId="1242320A" w14:textId="77777777" w:rsidR="004E0821" w:rsidRDefault="004E0821" w:rsidP="00B85924">
      <w:pPr>
        <w:jc w:val="both"/>
        <w:rPr>
          <w:rFonts w:ascii="Arial" w:hAnsi="Arial" w:cs="Arial"/>
          <w:szCs w:val="24"/>
        </w:rPr>
      </w:pPr>
    </w:p>
    <w:p w14:paraId="4B0315EB" w14:textId="00B64A8C" w:rsidR="00A74467" w:rsidRDefault="004E0821" w:rsidP="009C1145">
      <w:pPr>
        <w:spacing w:line="264" w:lineRule="auto"/>
        <w:jc w:val="both"/>
        <w:rPr>
          <w:rFonts w:ascii="Arial" w:hAnsi="Arial" w:cs="Arial"/>
          <w:szCs w:val="24"/>
        </w:rPr>
      </w:pPr>
      <w:r>
        <w:rPr>
          <w:rFonts w:ascii="Arial" w:hAnsi="Arial" w:cs="Arial"/>
          <w:szCs w:val="24"/>
        </w:rPr>
        <w:t xml:space="preserve">The </w:t>
      </w:r>
      <w:r w:rsidR="00765B32">
        <w:rPr>
          <w:rFonts w:ascii="Arial" w:hAnsi="Arial" w:cs="Arial"/>
          <w:szCs w:val="24"/>
        </w:rPr>
        <w:t xml:space="preserve">executive proposed </w:t>
      </w:r>
      <w:r>
        <w:rPr>
          <w:rFonts w:ascii="Arial" w:hAnsi="Arial" w:cs="Arial"/>
          <w:szCs w:val="24"/>
        </w:rPr>
        <w:t xml:space="preserve">budget contains a reduction of $1.1 million and 15.0 FTEs related to the implementation of </w:t>
      </w:r>
      <w:r w:rsidR="003B79DD">
        <w:rPr>
          <w:rFonts w:ascii="Arial" w:hAnsi="Arial" w:cs="Arial"/>
          <w:szCs w:val="24"/>
        </w:rPr>
        <w:t>the RCP</w:t>
      </w:r>
      <w:r w:rsidR="00182A67">
        <w:rPr>
          <w:rFonts w:ascii="Arial" w:hAnsi="Arial" w:cs="Arial"/>
          <w:szCs w:val="24"/>
        </w:rPr>
        <w:t xml:space="preserve"> and the potential </w:t>
      </w:r>
      <w:r w:rsidR="001D60A7">
        <w:rPr>
          <w:rFonts w:ascii="Arial" w:hAnsi="Arial" w:cs="Arial"/>
          <w:szCs w:val="24"/>
        </w:rPr>
        <w:t xml:space="preserve">reduction in the number of </w:t>
      </w:r>
      <w:proofErr w:type="gramStart"/>
      <w:r w:rsidR="001D60A7">
        <w:rPr>
          <w:rFonts w:ascii="Arial" w:hAnsi="Arial" w:cs="Arial"/>
          <w:szCs w:val="24"/>
        </w:rPr>
        <w:t>youth</w:t>
      </w:r>
      <w:proofErr w:type="gramEnd"/>
      <w:r w:rsidR="001D60A7">
        <w:rPr>
          <w:rFonts w:ascii="Arial" w:hAnsi="Arial" w:cs="Arial"/>
          <w:szCs w:val="24"/>
        </w:rPr>
        <w:t xml:space="preserve"> who </w:t>
      </w:r>
      <w:r w:rsidR="00E90EC9">
        <w:rPr>
          <w:rFonts w:ascii="Arial" w:hAnsi="Arial" w:cs="Arial"/>
          <w:szCs w:val="24"/>
        </w:rPr>
        <w:t>would be</w:t>
      </w:r>
      <w:r w:rsidR="001D60A7">
        <w:rPr>
          <w:rFonts w:ascii="Arial" w:hAnsi="Arial" w:cs="Arial"/>
          <w:szCs w:val="24"/>
        </w:rPr>
        <w:t xml:space="preserve"> diverted from Juvenile Court jurisdiction</w:t>
      </w:r>
      <w:r w:rsidR="003B79DD">
        <w:rPr>
          <w:rFonts w:ascii="Arial" w:hAnsi="Arial" w:cs="Arial"/>
          <w:szCs w:val="24"/>
        </w:rPr>
        <w:t xml:space="preserve">.  </w:t>
      </w:r>
      <w:r w:rsidR="00A74467">
        <w:rPr>
          <w:rFonts w:ascii="Arial" w:hAnsi="Arial" w:cs="Arial"/>
          <w:szCs w:val="24"/>
        </w:rPr>
        <w:t xml:space="preserve">The proposed court reduction to its Juvenile Probation Services budget is a “placeholder” estimate and is subject to change based on the timing of the initiation of the RCP and the actual number of </w:t>
      </w:r>
      <w:proofErr w:type="gramStart"/>
      <w:r w:rsidR="00A74467">
        <w:rPr>
          <w:rFonts w:ascii="Arial" w:hAnsi="Arial" w:cs="Arial"/>
          <w:szCs w:val="24"/>
        </w:rPr>
        <w:t>youth</w:t>
      </w:r>
      <w:proofErr w:type="gramEnd"/>
      <w:r w:rsidR="00A74467">
        <w:rPr>
          <w:rFonts w:ascii="Arial" w:hAnsi="Arial" w:cs="Arial"/>
          <w:szCs w:val="24"/>
        </w:rPr>
        <w:t xml:space="preserve"> diverted.</w:t>
      </w:r>
      <w:r w:rsidR="00A74467" w:rsidRPr="00577EE0">
        <w:rPr>
          <w:rFonts w:ascii="Arial" w:hAnsi="Arial" w:cs="Arial"/>
          <w:szCs w:val="24"/>
        </w:rPr>
        <w:t xml:space="preserve"> </w:t>
      </w:r>
      <w:r w:rsidR="00A74467">
        <w:rPr>
          <w:rFonts w:ascii="Arial" w:hAnsi="Arial" w:cs="Arial"/>
          <w:szCs w:val="24"/>
        </w:rPr>
        <w:t>Further, the reductions are based on implementation in 2022 and no 2021 reductions are included in the court’s budget related to the implementation of this program.</w:t>
      </w:r>
    </w:p>
    <w:p w14:paraId="6C5694D4" w14:textId="5B20B587" w:rsidR="007635FD" w:rsidRDefault="007635FD" w:rsidP="009C1145">
      <w:pPr>
        <w:spacing w:line="264" w:lineRule="auto"/>
        <w:jc w:val="both"/>
        <w:rPr>
          <w:rFonts w:ascii="Arial" w:hAnsi="Arial" w:cs="Arial"/>
          <w:szCs w:val="24"/>
        </w:rPr>
      </w:pPr>
      <w:bookmarkStart w:id="0" w:name="_Hlk53075147"/>
    </w:p>
    <w:p w14:paraId="10E0EC37" w14:textId="03495018" w:rsidR="007635FD" w:rsidRPr="007635FD" w:rsidRDefault="00C61CFC" w:rsidP="009C1145">
      <w:pPr>
        <w:spacing w:line="264" w:lineRule="auto"/>
        <w:jc w:val="both"/>
        <w:rPr>
          <w:rFonts w:ascii="Arial" w:hAnsi="Arial" w:cs="Arial"/>
          <w:color w:val="FF0000"/>
        </w:rPr>
      </w:pPr>
      <w:r>
        <w:rPr>
          <w:rFonts w:ascii="Arial" w:hAnsi="Arial" w:cs="Arial"/>
          <w:color w:val="FF0000"/>
          <w:szCs w:val="24"/>
        </w:rPr>
        <w:t>The committee’s consideration of the</w:t>
      </w:r>
      <w:r w:rsidR="008A0ED4">
        <w:rPr>
          <w:rFonts w:ascii="Arial" w:hAnsi="Arial" w:cs="Arial"/>
          <w:color w:val="FF0000"/>
          <w:szCs w:val="24"/>
        </w:rPr>
        <w:t xml:space="preserve"> overall impacts of the</w:t>
      </w:r>
      <w:r w:rsidR="00A84E84">
        <w:rPr>
          <w:rFonts w:ascii="Arial" w:hAnsi="Arial" w:cs="Arial"/>
          <w:color w:val="FF0000"/>
          <w:szCs w:val="24"/>
        </w:rPr>
        <w:t xml:space="preserve"> RCP program was</w:t>
      </w:r>
      <w:r>
        <w:rPr>
          <w:rFonts w:ascii="Arial" w:hAnsi="Arial" w:cs="Arial"/>
          <w:color w:val="FF0000"/>
          <w:szCs w:val="24"/>
        </w:rPr>
        <w:t xml:space="preserve"> </w:t>
      </w:r>
      <w:r w:rsidR="008A0ED4">
        <w:rPr>
          <w:rFonts w:ascii="Arial" w:hAnsi="Arial" w:cs="Arial"/>
          <w:color w:val="FF0000"/>
          <w:szCs w:val="24"/>
        </w:rPr>
        <w:t>discussed in the Prosecuting Attorney’s budget</w:t>
      </w:r>
      <w:r w:rsidR="00B6751F">
        <w:rPr>
          <w:rFonts w:ascii="Arial" w:hAnsi="Arial" w:cs="Arial"/>
          <w:color w:val="FF0000"/>
          <w:szCs w:val="24"/>
        </w:rPr>
        <w:t xml:space="preserve"> during the October 7</w:t>
      </w:r>
      <w:r w:rsidR="00B6751F" w:rsidRPr="00B6751F">
        <w:rPr>
          <w:rFonts w:ascii="Arial" w:hAnsi="Arial" w:cs="Arial"/>
          <w:color w:val="FF0000"/>
          <w:szCs w:val="24"/>
          <w:vertAlign w:val="superscript"/>
        </w:rPr>
        <w:t>th</w:t>
      </w:r>
      <w:r w:rsidR="00B6751F">
        <w:rPr>
          <w:rFonts w:ascii="Arial" w:hAnsi="Arial" w:cs="Arial"/>
          <w:color w:val="FF0000"/>
          <w:szCs w:val="24"/>
        </w:rPr>
        <w:t xml:space="preserve"> Budget and Fiscal Management Committee meeting</w:t>
      </w:r>
      <w:bookmarkEnd w:id="0"/>
      <w:r w:rsidR="00B6751F">
        <w:rPr>
          <w:rFonts w:ascii="Arial" w:hAnsi="Arial" w:cs="Arial"/>
          <w:color w:val="FF0000"/>
          <w:szCs w:val="24"/>
        </w:rPr>
        <w:t>.</w:t>
      </w:r>
    </w:p>
    <w:p w14:paraId="0176F0DE" w14:textId="688D8710" w:rsidR="00A74467" w:rsidRDefault="00A74467" w:rsidP="000315B8">
      <w:pPr>
        <w:spacing w:line="264" w:lineRule="auto"/>
        <w:contextualSpacing/>
        <w:rPr>
          <w:rFonts w:ascii="Arial" w:hAnsi="Arial" w:cs="Arial"/>
          <w:szCs w:val="24"/>
        </w:rPr>
      </w:pPr>
    </w:p>
    <w:p w14:paraId="01D64332" w14:textId="77777777" w:rsidR="002E7892" w:rsidRPr="00B2433E" w:rsidRDefault="002E7892" w:rsidP="002E7892">
      <w:pPr>
        <w:spacing w:line="264" w:lineRule="auto"/>
        <w:contextualSpacing/>
        <w:jc w:val="center"/>
        <w:rPr>
          <w:rFonts w:ascii="Arial" w:hAnsi="Arial" w:cs="Arial"/>
          <w:b/>
          <w:smallCaps/>
          <w:szCs w:val="24"/>
          <w:u w:val="single"/>
        </w:rPr>
      </w:pPr>
      <w:r>
        <w:rPr>
          <w:rFonts w:ascii="Arial" w:hAnsi="Arial" w:cs="Arial"/>
          <w:b/>
          <w:smallCaps/>
          <w:szCs w:val="24"/>
          <w:u w:val="single"/>
        </w:rPr>
        <w:t>Response to Council Inquiries</w:t>
      </w:r>
    </w:p>
    <w:p w14:paraId="13DC7F6D" w14:textId="77777777" w:rsidR="002E7892" w:rsidRPr="00B2433E" w:rsidRDefault="002E7892" w:rsidP="002E7892">
      <w:pPr>
        <w:spacing w:line="264" w:lineRule="auto"/>
        <w:contextualSpacing/>
        <w:jc w:val="center"/>
        <w:rPr>
          <w:rFonts w:ascii="Arial" w:hAnsi="Arial" w:cs="Arial"/>
          <w:szCs w:val="24"/>
        </w:rPr>
      </w:pPr>
    </w:p>
    <w:p w14:paraId="0D113D2A" w14:textId="05FC9799" w:rsidR="002E7892" w:rsidRPr="005D49A1" w:rsidRDefault="002E7892" w:rsidP="00ED0973">
      <w:pPr>
        <w:contextualSpacing/>
        <w:jc w:val="both"/>
        <w:rPr>
          <w:rFonts w:ascii="Arial" w:hAnsi="Arial" w:cs="Arial"/>
          <w:b/>
          <w:smallCaps/>
          <w:szCs w:val="24"/>
          <w:u w:val="single"/>
        </w:rPr>
      </w:pPr>
      <w:r>
        <w:rPr>
          <w:rFonts w:ascii="Arial" w:hAnsi="Arial" w:cs="Arial"/>
          <w:b/>
          <w:smallCaps/>
          <w:szCs w:val="24"/>
          <w:u w:val="single"/>
        </w:rPr>
        <w:t>Question 1:</w:t>
      </w:r>
      <w:r>
        <w:rPr>
          <w:rFonts w:ascii="Arial" w:hAnsi="Arial" w:cs="Arial"/>
          <w:b/>
          <w:smallCaps/>
          <w:szCs w:val="24"/>
        </w:rPr>
        <w:t xml:space="preserve">  </w:t>
      </w:r>
      <w:r w:rsidR="0073148F">
        <w:rPr>
          <w:rFonts w:ascii="Arial" w:hAnsi="Arial" w:cs="Arial"/>
          <w:b/>
          <w:smallCaps/>
          <w:szCs w:val="24"/>
        </w:rPr>
        <w:t>Why is the 4</w:t>
      </w:r>
      <w:r w:rsidR="0073148F" w:rsidRPr="0073148F">
        <w:rPr>
          <w:rFonts w:ascii="Arial" w:hAnsi="Arial" w:cs="Arial"/>
          <w:b/>
          <w:smallCaps/>
          <w:szCs w:val="24"/>
          <w:vertAlign w:val="superscript"/>
        </w:rPr>
        <w:t>th</w:t>
      </w:r>
      <w:r w:rsidR="0073148F">
        <w:rPr>
          <w:rFonts w:ascii="Arial" w:hAnsi="Arial" w:cs="Arial"/>
          <w:b/>
          <w:smallCaps/>
          <w:szCs w:val="24"/>
        </w:rPr>
        <w:t xml:space="preserve"> Avenue entrance to the Courthouse being closed </w:t>
      </w:r>
      <w:r w:rsidR="00955060">
        <w:rPr>
          <w:rFonts w:ascii="Arial" w:hAnsi="Arial" w:cs="Arial"/>
          <w:b/>
          <w:smallCaps/>
          <w:szCs w:val="24"/>
        </w:rPr>
        <w:t>when staff and the Court have expressed concerns about the safety of the 3</w:t>
      </w:r>
      <w:r w:rsidR="00955060" w:rsidRPr="00955060">
        <w:rPr>
          <w:rFonts w:ascii="Arial" w:hAnsi="Arial" w:cs="Arial"/>
          <w:b/>
          <w:smallCaps/>
          <w:szCs w:val="24"/>
          <w:vertAlign w:val="superscript"/>
        </w:rPr>
        <w:t>rd</w:t>
      </w:r>
      <w:r w:rsidR="00955060">
        <w:rPr>
          <w:rFonts w:ascii="Arial" w:hAnsi="Arial" w:cs="Arial"/>
          <w:b/>
          <w:smallCaps/>
          <w:szCs w:val="24"/>
        </w:rPr>
        <w:t xml:space="preserve"> Avenue entrance for staff and jurors</w:t>
      </w:r>
      <w:r>
        <w:rPr>
          <w:rFonts w:ascii="Arial" w:hAnsi="Arial" w:cs="Arial"/>
          <w:b/>
          <w:smallCaps/>
          <w:szCs w:val="24"/>
        </w:rPr>
        <w:t xml:space="preserve">? </w:t>
      </w:r>
    </w:p>
    <w:p w14:paraId="16F6912B" w14:textId="77777777" w:rsidR="00955060" w:rsidRDefault="00955060" w:rsidP="002E7892">
      <w:pPr>
        <w:spacing w:line="360" w:lineRule="auto"/>
        <w:contextualSpacing/>
        <w:rPr>
          <w:rFonts w:ascii="Arial" w:hAnsi="Arial" w:cs="Arial"/>
          <w:smallCaps/>
          <w:szCs w:val="24"/>
          <w:u w:val="single"/>
        </w:rPr>
      </w:pPr>
    </w:p>
    <w:p w14:paraId="69642017" w14:textId="7492DA7F" w:rsidR="002E7892" w:rsidRDefault="002E7892" w:rsidP="002E5FDB">
      <w:pPr>
        <w:contextualSpacing/>
        <w:jc w:val="both"/>
        <w:rPr>
          <w:rFonts w:ascii="Arial" w:hAnsi="Arial" w:cs="Arial"/>
          <w:szCs w:val="24"/>
        </w:rPr>
      </w:pPr>
      <w:r w:rsidRPr="005D49A1">
        <w:rPr>
          <w:rFonts w:ascii="Arial" w:hAnsi="Arial" w:cs="Arial"/>
          <w:smallCaps/>
          <w:szCs w:val="24"/>
          <w:u w:val="single"/>
        </w:rPr>
        <w:t>Answer:</w:t>
      </w:r>
      <w:r w:rsidRPr="005D49A1">
        <w:rPr>
          <w:rFonts w:ascii="Arial" w:hAnsi="Arial" w:cs="Arial"/>
          <w:smallCaps/>
          <w:szCs w:val="24"/>
        </w:rPr>
        <w:t xml:space="preserve">  </w:t>
      </w:r>
      <w:r>
        <w:rPr>
          <w:rFonts w:ascii="Arial" w:hAnsi="Arial" w:cs="Arial"/>
          <w:szCs w:val="24"/>
        </w:rPr>
        <w:t>Th</w:t>
      </w:r>
      <w:r w:rsidR="00955060">
        <w:rPr>
          <w:rFonts w:ascii="Arial" w:hAnsi="Arial" w:cs="Arial"/>
          <w:szCs w:val="24"/>
        </w:rPr>
        <w:t>e closure of the 4</w:t>
      </w:r>
      <w:r w:rsidR="00955060" w:rsidRPr="00955060">
        <w:rPr>
          <w:rFonts w:ascii="Arial" w:hAnsi="Arial" w:cs="Arial"/>
          <w:szCs w:val="24"/>
          <w:vertAlign w:val="superscript"/>
        </w:rPr>
        <w:t>th</w:t>
      </w:r>
      <w:r w:rsidR="00955060">
        <w:rPr>
          <w:rFonts w:ascii="Arial" w:hAnsi="Arial" w:cs="Arial"/>
          <w:szCs w:val="24"/>
        </w:rPr>
        <w:t xml:space="preserve"> Avenue </w:t>
      </w:r>
      <w:r w:rsidR="00E94FE7">
        <w:rPr>
          <w:rFonts w:ascii="Arial" w:hAnsi="Arial" w:cs="Arial"/>
          <w:szCs w:val="24"/>
        </w:rPr>
        <w:t>entrance is an issue in the Sheriff’s Office budget</w:t>
      </w:r>
      <w:r w:rsidR="00830FA5">
        <w:rPr>
          <w:rFonts w:ascii="Arial" w:hAnsi="Arial" w:cs="Arial"/>
          <w:szCs w:val="24"/>
        </w:rPr>
        <w:t>, where it wil</w:t>
      </w:r>
      <w:r w:rsidR="002E5FDB">
        <w:rPr>
          <w:rFonts w:ascii="Arial" w:hAnsi="Arial" w:cs="Arial"/>
          <w:szCs w:val="24"/>
        </w:rPr>
        <w:t>l</w:t>
      </w:r>
      <w:r w:rsidR="00830FA5">
        <w:rPr>
          <w:rFonts w:ascii="Arial" w:hAnsi="Arial" w:cs="Arial"/>
          <w:szCs w:val="24"/>
        </w:rPr>
        <w:t xml:space="preserve"> be more fully discussed</w:t>
      </w:r>
      <w:r w:rsidR="00A84E84">
        <w:rPr>
          <w:rFonts w:ascii="Arial" w:hAnsi="Arial" w:cs="Arial"/>
          <w:szCs w:val="24"/>
        </w:rPr>
        <w:t xml:space="preserve">. </w:t>
      </w:r>
    </w:p>
    <w:p w14:paraId="412FF629" w14:textId="17B65ADD" w:rsidR="002E7892" w:rsidRDefault="002E7892" w:rsidP="002E5FDB">
      <w:pPr>
        <w:contextualSpacing/>
        <w:jc w:val="both"/>
        <w:rPr>
          <w:rFonts w:ascii="Arial" w:hAnsi="Arial" w:cs="Arial"/>
          <w:szCs w:val="24"/>
        </w:rPr>
      </w:pPr>
    </w:p>
    <w:p w14:paraId="49C8985E" w14:textId="2F8A1DF3" w:rsidR="00B6751F" w:rsidRDefault="00B6751F" w:rsidP="002E5FDB">
      <w:pPr>
        <w:contextualSpacing/>
        <w:jc w:val="both"/>
        <w:rPr>
          <w:rFonts w:ascii="Arial" w:hAnsi="Arial" w:cs="Arial"/>
          <w:szCs w:val="24"/>
        </w:rPr>
      </w:pPr>
    </w:p>
    <w:p w14:paraId="60ABB7E9" w14:textId="36BB4E2C" w:rsidR="00B6751F" w:rsidRDefault="00B6751F" w:rsidP="002E5FDB">
      <w:pPr>
        <w:contextualSpacing/>
        <w:jc w:val="both"/>
        <w:rPr>
          <w:rFonts w:ascii="Arial" w:hAnsi="Arial" w:cs="Arial"/>
          <w:szCs w:val="24"/>
        </w:rPr>
      </w:pPr>
    </w:p>
    <w:p w14:paraId="4AB2B05F" w14:textId="442503CE" w:rsidR="00B6751F" w:rsidRDefault="00B6751F" w:rsidP="002E5FDB">
      <w:pPr>
        <w:contextualSpacing/>
        <w:jc w:val="both"/>
        <w:rPr>
          <w:rFonts w:ascii="Arial" w:hAnsi="Arial" w:cs="Arial"/>
          <w:szCs w:val="24"/>
        </w:rPr>
      </w:pPr>
    </w:p>
    <w:p w14:paraId="5B0FC0C3" w14:textId="77777777" w:rsidR="00B6751F" w:rsidRDefault="00B6751F" w:rsidP="002E5FDB">
      <w:pPr>
        <w:contextualSpacing/>
        <w:jc w:val="both"/>
        <w:rPr>
          <w:rFonts w:ascii="Arial" w:hAnsi="Arial" w:cs="Arial"/>
          <w:szCs w:val="24"/>
        </w:rPr>
      </w:pPr>
      <w:bookmarkStart w:id="1" w:name="_GoBack"/>
      <w:bookmarkEnd w:id="1"/>
    </w:p>
    <w:p w14:paraId="68035AA2" w14:textId="0AEECFA4" w:rsidR="002E7892" w:rsidRPr="005D49A1" w:rsidRDefault="002E7892" w:rsidP="002E5FDB">
      <w:pPr>
        <w:contextualSpacing/>
        <w:jc w:val="both"/>
        <w:rPr>
          <w:rFonts w:ascii="Arial" w:hAnsi="Arial" w:cs="Arial"/>
          <w:b/>
          <w:smallCaps/>
          <w:szCs w:val="24"/>
          <w:u w:val="single"/>
        </w:rPr>
      </w:pPr>
      <w:r>
        <w:rPr>
          <w:rFonts w:ascii="Arial" w:hAnsi="Arial" w:cs="Arial"/>
          <w:b/>
          <w:smallCaps/>
          <w:szCs w:val="24"/>
          <w:u w:val="single"/>
        </w:rPr>
        <w:lastRenderedPageBreak/>
        <w:t>Question 2:</w:t>
      </w:r>
      <w:r>
        <w:rPr>
          <w:rFonts w:ascii="Arial" w:hAnsi="Arial" w:cs="Arial"/>
          <w:b/>
          <w:smallCaps/>
          <w:szCs w:val="24"/>
        </w:rPr>
        <w:t xml:space="preserve">  </w:t>
      </w:r>
      <w:r w:rsidR="00830FA5">
        <w:rPr>
          <w:rFonts w:ascii="Arial" w:hAnsi="Arial" w:cs="Arial"/>
          <w:b/>
          <w:smallCaps/>
          <w:szCs w:val="24"/>
        </w:rPr>
        <w:t>Will the Court’s proposed cuts to its juvenile probation staff</w:t>
      </w:r>
      <w:r w:rsidR="008435E6">
        <w:rPr>
          <w:rFonts w:ascii="Arial" w:hAnsi="Arial" w:cs="Arial"/>
          <w:b/>
          <w:smallCaps/>
          <w:szCs w:val="24"/>
        </w:rPr>
        <w:t xml:space="preserve"> be subject to evaluation before being implemented</w:t>
      </w:r>
      <w:r>
        <w:rPr>
          <w:rFonts w:ascii="Arial" w:hAnsi="Arial" w:cs="Arial"/>
          <w:b/>
          <w:smallCaps/>
          <w:szCs w:val="24"/>
        </w:rPr>
        <w:t xml:space="preserve">? </w:t>
      </w:r>
      <w:r w:rsidR="00064A26">
        <w:rPr>
          <w:rFonts w:ascii="Arial" w:hAnsi="Arial" w:cs="Arial"/>
          <w:b/>
          <w:smallCaps/>
          <w:szCs w:val="24"/>
        </w:rPr>
        <w:t xml:space="preserve">  This questions also applies to proposed reductions—in the DAJD budget—for </w:t>
      </w:r>
      <w:r w:rsidR="007635FD">
        <w:rPr>
          <w:rFonts w:ascii="Arial" w:hAnsi="Arial" w:cs="Arial"/>
          <w:b/>
          <w:smallCaps/>
          <w:szCs w:val="24"/>
        </w:rPr>
        <w:t>juvenile detention staff.</w:t>
      </w:r>
    </w:p>
    <w:p w14:paraId="630F9F76" w14:textId="77777777" w:rsidR="00ED0973" w:rsidRDefault="00ED0973" w:rsidP="002E5FDB">
      <w:pPr>
        <w:contextualSpacing/>
        <w:jc w:val="both"/>
        <w:rPr>
          <w:rFonts w:ascii="Arial" w:hAnsi="Arial" w:cs="Arial"/>
          <w:smallCaps/>
          <w:szCs w:val="24"/>
          <w:u w:val="single"/>
        </w:rPr>
      </w:pPr>
    </w:p>
    <w:p w14:paraId="18835811" w14:textId="397C0F4C" w:rsidR="002E7892" w:rsidRPr="00B2433E" w:rsidRDefault="002E7892" w:rsidP="00C34787">
      <w:pPr>
        <w:contextualSpacing/>
        <w:jc w:val="both"/>
        <w:rPr>
          <w:rFonts w:ascii="Arial" w:hAnsi="Arial" w:cs="Arial"/>
          <w:szCs w:val="24"/>
        </w:rPr>
      </w:pPr>
      <w:r w:rsidRPr="005D49A1">
        <w:rPr>
          <w:rFonts w:ascii="Arial" w:hAnsi="Arial" w:cs="Arial"/>
          <w:smallCaps/>
          <w:szCs w:val="24"/>
          <w:u w:val="single"/>
        </w:rPr>
        <w:t>Answer:</w:t>
      </w:r>
      <w:r w:rsidRPr="005D49A1">
        <w:rPr>
          <w:rFonts w:ascii="Arial" w:hAnsi="Arial" w:cs="Arial"/>
          <w:smallCaps/>
          <w:szCs w:val="24"/>
        </w:rPr>
        <w:t xml:space="preserve">  </w:t>
      </w:r>
      <w:r w:rsidR="00ED0973">
        <w:rPr>
          <w:rFonts w:ascii="Arial" w:hAnsi="Arial" w:cs="Arial"/>
          <w:szCs w:val="24"/>
        </w:rPr>
        <w:t>A</w:t>
      </w:r>
      <w:r w:rsidR="00E36640">
        <w:rPr>
          <w:rFonts w:ascii="Arial" w:hAnsi="Arial" w:cs="Arial"/>
          <w:szCs w:val="24"/>
        </w:rPr>
        <w:t xml:space="preserve">ccording to the Executive, the proposed 2022 reductions for juvenile </w:t>
      </w:r>
      <w:r w:rsidR="004215AD">
        <w:rPr>
          <w:rFonts w:ascii="Arial" w:hAnsi="Arial" w:cs="Arial"/>
          <w:szCs w:val="24"/>
        </w:rPr>
        <w:t>probation</w:t>
      </w:r>
      <w:r w:rsidR="00E36640">
        <w:rPr>
          <w:rFonts w:ascii="Arial" w:hAnsi="Arial" w:cs="Arial"/>
          <w:szCs w:val="24"/>
        </w:rPr>
        <w:t xml:space="preserve"> </w:t>
      </w:r>
      <w:r w:rsidR="007635FD">
        <w:rPr>
          <w:rFonts w:ascii="Arial" w:hAnsi="Arial" w:cs="Arial"/>
          <w:szCs w:val="24"/>
        </w:rPr>
        <w:t xml:space="preserve">and detention </w:t>
      </w:r>
      <w:r w:rsidR="00E36640">
        <w:rPr>
          <w:rFonts w:ascii="Arial" w:hAnsi="Arial" w:cs="Arial"/>
          <w:szCs w:val="24"/>
        </w:rPr>
        <w:t>staff</w:t>
      </w:r>
      <w:r w:rsidR="004215AD">
        <w:rPr>
          <w:rFonts w:ascii="Arial" w:hAnsi="Arial" w:cs="Arial"/>
          <w:szCs w:val="24"/>
        </w:rPr>
        <w:t xml:space="preserve"> </w:t>
      </w:r>
      <w:r w:rsidR="007635FD">
        <w:rPr>
          <w:rFonts w:ascii="Arial" w:hAnsi="Arial" w:cs="Arial"/>
          <w:szCs w:val="24"/>
        </w:rPr>
        <w:t xml:space="preserve">are </w:t>
      </w:r>
      <w:r w:rsidR="004215AD">
        <w:rPr>
          <w:rFonts w:ascii="Arial" w:hAnsi="Arial" w:cs="Arial"/>
          <w:szCs w:val="24"/>
        </w:rPr>
        <w:t>placeholder</w:t>
      </w:r>
      <w:r w:rsidR="007635FD">
        <w:rPr>
          <w:rFonts w:ascii="Arial" w:hAnsi="Arial" w:cs="Arial"/>
          <w:szCs w:val="24"/>
        </w:rPr>
        <w:t>s</w:t>
      </w:r>
      <w:r w:rsidR="004215AD">
        <w:rPr>
          <w:rFonts w:ascii="Arial" w:hAnsi="Arial" w:cs="Arial"/>
          <w:szCs w:val="24"/>
        </w:rPr>
        <w:t xml:space="preserve"> and </w:t>
      </w:r>
      <w:r w:rsidR="007635FD">
        <w:rPr>
          <w:rFonts w:ascii="Arial" w:hAnsi="Arial" w:cs="Arial"/>
          <w:szCs w:val="24"/>
        </w:rPr>
        <w:t>will</w:t>
      </w:r>
      <w:r w:rsidR="00404A25">
        <w:rPr>
          <w:rFonts w:ascii="Arial" w:hAnsi="Arial" w:cs="Arial"/>
          <w:szCs w:val="24"/>
        </w:rPr>
        <w:t xml:space="preserve"> be revised</w:t>
      </w:r>
      <w:r w:rsidR="004215AD">
        <w:rPr>
          <w:rFonts w:ascii="Arial" w:hAnsi="Arial" w:cs="Arial"/>
          <w:szCs w:val="24"/>
        </w:rPr>
        <w:t xml:space="preserve"> after the County has </w:t>
      </w:r>
      <w:r w:rsidR="00711B88">
        <w:rPr>
          <w:rFonts w:ascii="Arial" w:hAnsi="Arial" w:cs="Arial"/>
          <w:szCs w:val="24"/>
        </w:rPr>
        <w:t xml:space="preserve">better developed the Restorative Community Pathways program.  </w:t>
      </w:r>
      <w:r w:rsidR="00E36640">
        <w:rPr>
          <w:rFonts w:ascii="Arial" w:hAnsi="Arial" w:cs="Arial"/>
          <w:szCs w:val="24"/>
        </w:rPr>
        <w:t xml:space="preserve"> </w:t>
      </w:r>
    </w:p>
    <w:sectPr w:rsidR="002E7892" w:rsidRPr="00B2433E" w:rsidSect="008E7755">
      <w:footerReference w:type="even" r:id="rId11"/>
      <w:foot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55A8" w14:textId="77777777" w:rsidR="0008732B" w:rsidRDefault="0008732B">
      <w:r>
        <w:separator/>
      </w:r>
    </w:p>
  </w:endnote>
  <w:endnote w:type="continuationSeparator" w:id="0">
    <w:p w14:paraId="5B6C2BD2" w14:textId="77777777" w:rsidR="0008732B" w:rsidRDefault="0008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6D38" w14:textId="77777777" w:rsidR="00FD1A00" w:rsidRDefault="00570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AF8E7" w14:textId="77777777" w:rsidR="00FD1A00" w:rsidRDefault="00B67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3672" w14:textId="6361CE0E" w:rsidR="00FD1A00" w:rsidRDefault="00B6751F">
    <w:pPr>
      <w:pStyle w:val="Footer"/>
      <w:jc w:val="center"/>
    </w:pPr>
  </w:p>
  <w:p w14:paraId="35088CA8" w14:textId="77777777" w:rsidR="00FD1A00" w:rsidRDefault="00B6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57A9" w14:textId="77777777" w:rsidR="0008732B" w:rsidRDefault="0008732B">
      <w:r>
        <w:separator/>
      </w:r>
    </w:p>
  </w:footnote>
  <w:footnote w:type="continuationSeparator" w:id="0">
    <w:p w14:paraId="61313E56" w14:textId="77777777" w:rsidR="0008732B" w:rsidRDefault="0008732B">
      <w:r>
        <w:continuationSeparator/>
      </w:r>
    </w:p>
  </w:footnote>
  <w:footnote w:id="1">
    <w:p w14:paraId="6B5A375C" w14:textId="1323BF37" w:rsidR="008D7A19" w:rsidRDefault="008D7A19">
      <w:pPr>
        <w:pStyle w:val="FootnoteText"/>
      </w:pPr>
      <w:r>
        <w:rPr>
          <w:rStyle w:val="FootnoteReference"/>
        </w:rPr>
        <w:footnoteRef/>
      </w:r>
      <w:r>
        <w:t xml:space="preserve"> Vacant positions: Family Law</w:t>
      </w:r>
      <w:r w:rsidR="00D52213">
        <w:t xml:space="preserve"> Seminar Tech, Civil Case Specialist, and two Juvenile Probation Coun</w:t>
      </w:r>
      <w:r w:rsidR="003A6CB6">
        <w:t>selors.</w:t>
      </w:r>
    </w:p>
  </w:footnote>
  <w:footnote w:id="2">
    <w:p w14:paraId="34F36042" w14:textId="77777777" w:rsidR="003135B2" w:rsidRDefault="003135B2" w:rsidP="003135B2">
      <w:pPr>
        <w:pStyle w:val="FootnoteText"/>
      </w:pPr>
      <w:r>
        <w:rPr>
          <w:rStyle w:val="FootnoteReference"/>
        </w:rPr>
        <w:footnoteRef/>
      </w:r>
      <w:r>
        <w:t xml:space="preserve"> Family Treatment Court (FTC) began in August 2004. Family Treatment Court is an alternative to regular dependency court and is designed to improve the safety and well-being of children in the dependency system by providing parents access to drug and alcohol treatment, judicial monitoring of their sobriety and individualized services to support the entire family.</w:t>
      </w:r>
    </w:p>
  </w:footnote>
  <w:footnote w:id="3">
    <w:p w14:paraId="32AFB565" w14:textId="0F52C861" w:rsidR="003135B2" w:rsidRDefault="003135B2" w:rsidP="00E81F09">
      <w:pPr>
        <w:pStyle w:val="NoSpacing"/>
      </w:pPr>
      <w:r>
        <w:rPr>
          <w:rStyle w:val="FootnoteReference"/>
        </w:rPr>
        <w:footnoteRef/>
      </w:r>
      <w:r>
        <w:t xml:space="preserve"> </w:t>
      </w:r>
      <w:r w:rsidRPr="0089277A">
        <w:rPr>
          <w:rFonts w:ascii="Times New Roman" w:hAnsi="Times New Roman" w:cs="Times New Roman"/>
          <w:sz w:val="20"/>
          <w:szCs w:val="20"/>
        </w:rPr>
        <w:t xml:space="preserve">The Criminal Justice Treatment Account (CJTA), established in RCW </w:t>
      </w:r>
      <w:r w:rsidRPr="0089277A">
        <w:rPr>
          <w:rFonts w:ascii="Times New Roman" w:hAnsi="Times New Roman" w:cs="Times New Roman"/>
          <w:color w:val="000000"/>
          <w:sz w:val="20"/>
          <w:szCs w:val="20"/>
        </w:rPr>
        <w:t xml:space="preserve">70.96A.350, </w:t>
      </w:r>
      <w:r w:rsidRPr="0089277A">
        <w:rPr>
          <w:rFonts w:ascii="Times New Roman" w:hAnsi="Times New Roman" w:cs="Times New Roman"/>
          <w:sz w:val="20"/>
          <w:szCs w:val="20"/>
        </w:rPr>
        <w:t>began in 2002 to aid those involved in the criminal justice system gain access to substance use disorder treatment. Specifically, this funding was dedicated to support defendants with a substance use disorder — including those enrolled in a drug court program.</w:t>
      </w:r>
    </w:p>
  </w:footnote>
  <w:footnote w:id="4">
    <w:p w14:paraId="5DD78ABF" w14:textId="0AD265CB" w:rsidR="00896571" w:rsidRPr="00084FA8" w:rsidRDefault="00896571" w:rsidP="00896571">
      <w:pPr>
        <w:pStyle w:val="FootnoteText"/>
      </w:pPr>
      <w:r w:rsidRPr="00084FA8">
        <w:rPr>
          <w:rStyle w:val="FootnoteReference"/>
        </w:rPr>
        <w:footnoteRef/>
      </w:r>
      <w:r w:rsidRPr="00084FA8">
        <w:t xml:space="preserve"> RCW 2.08.061 establishes 58 positions for King County and allows the county to fill positions up to that limit, but only if the </w:t>
      </w:r>
      <w:r w:rsidR="000B1D99">
        <w:t>C</w:t>
      </w:r>
      <w:r w:rsidRPr="00084FA8">
        <w:t xml:space="preserve">ounty </w:t>
      </w:r>
      <w:r w:rsidR="000B1D99">
        <w:t>C</w:t>
      </w:r>
      <w:r w:rsidRPr="00084FA8">
        <w:t>ouncil approves the positions and agrees to pay half the salary and all other costs associated with new positions.</w:t>
      </w:r>
    </w:p>
  </w:footnote>
  <w:footnote w:id="5">
    <w:p w14:paraId="30F2ACAF" w14:textId="77777777" w:rsidR="00896571" w:rsidRDefault="00896571" w:rsidP="00896571">
      <w:pPr>
        <w:pStyle w:val="FootnoteText"/>
      </w:pPr>
      <w:r>
        <w:rPr>
          <w:rStyle w:val="FootnoteReference"/>
        </w:rPr>
        <w:footnoteRef/>
      </w:r>
      <w:r>
        <w:t xml:space="preserve"> The Superior Court indicates that it will use its new judicial officers to increase support for the ITA Court and Family Law </w:t>
      </w:r>
      <w:r w:rsidRPr="00DC34A7">
        <w:rPr>
          <w:i/>
          <w:iCs/>
        </w:rPr>
        <w:t xml:space="preserve">Ex </w:t>
      </w:r>
      <w:proofErr w:type="spellStart"/>
      <w:r w:rsidRPr="00DC34A7">
        <w:rPr>
          <w:i/>
          <w:iCs/>
        </w:rPr>
        <w:t>Parte</w:t>
      </w:r>
      <w:proofErr w:type="spellEnd"/>
      <w:r>
        <w:t xml:space="preserve"> calendars.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E2F0B"/>
    <w:multiLevelType w:val="hybridMultilevel"/>
    <w:tmpl w:val="F8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94EC8"/>
    <w:multiLevelType w:val="hybridMultilevel"/>
    <w:tmpl w:val="477A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A7C4C"/>
    <w:multiLevelType w:val="hybridMultilevel"/>
    <w:tmpl w:val="663EC3BC"/>
    <w:lvl w:ilvl="0" w:tplc="46D6D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F051F"/>
    <w:multiLevelType w:val="hybridMultilevel"/>
    <w:tmpl w:val="092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E8B"/>
    <w:rsid w:val="000168DD"/>
    <w:rsid w:val="000315B8"/>
    <w:rsid w:val="0004254D"/>
    <w:rsid w:val="00062FF3"/>
    <w:rsid w:val="00063947"/>
    <w:rsid w:val="00064A26"/>
    <w:rsid w:val="00083F57"/>
    <w:rsid w:val="0008732B"/>
    <w:rsid w:val="00087CD0"/>
    <w:rsid w:val="000977DE"/>
    <w:rsid w:val="000A4383"/>
    <w:rsid w:val="000A60E3"/>
    <w:rsid w:val="000B1D99"/>
    <w:rsid w:val="000C4BFC"/>
    <w:rsid w:val="000C4F6D"/>
    <w:rsid w:val="000C6784"/>
    <w:rsid w:val="000D2BED"/>
    <w:rsid w:val="000D7EDA"/>
    <w:rsid w:val="000E1DB0"/>
    <w:rsid w:val="00106A5C"/>
    <w:rsid w:val="00107A61"/>
    <w:rsid w:val="00113714"/>
    <w:rsid w:val="00114D73"/>
    <w:rsid w:val="001201F7"/>
    <w:rsid w:val="00182A67"/>
    <w:rsid w:val="00182CD7"/>
    <w:rsid w:val="00190A6B"/>
    <w:rsid w:val="001D60A7"/>
    <w:rsid w:val="001E61BF"/>
    <w:rsid w:val="002029B2"/>
    <w:rsid w:val="0020444B"/>
    <w:rsid w:val="00212198"/>
    <w:rsid w:val="00214923"/>
    <w:rsid w:val="002220A5"/>
    <w:rsid w:val="00236536"/>
    <w:rsid w:val="00236A42"/>
    <w:rsid w:val="002401AF"/>
    <w:rsid w:val="002457B9"/>
    <w:rsid w:val="002617CE"/>
    <w:rsid w:val="002662BD"/>
    <w:rsid w:val="002935BE"/>
    <w:rsid w:val="002A759F"/>
    <w:rsid w:val="002B640E"/>
    <w:rsid w:val="002C3F0A"/>
    <w:rsid w:val="002D2BAE"/>
    <w:rsid w:val="002E35C0"/>
    <w:rsid w:val="002E5FDB"/>
    <w:rsid w:val="002E7892"/>
    <w:rsid w:val="002F1BCA"/>
    <w:rsid w:val="002F7685"/>
    <w:rsid w:val="003135B2"/>
    <w:rsid w:val="00334B6F"/>
    <w:rsid w:val="00337DED"/>
    <w:rsid w:val="003605CB"/>
    <w:rsid w:val="00360D4E"/>
    <w:rsid w:val="0036795F"/>
    <w:rsid w:val="003737CE"/>
    <w:rsid w:val="0038163C"/>
    <w:rsid w:val="003A6CB6"/>
    <w:rsid w:val="003B0D82"/>
    <w:rsid w:val="003B79DD"/>
    <w:rsid w:val="003D15CF"/>
    <w:rsid w:val="003D3CAB"/>
    <w:rsid w:val="003E650D"/>
    <w:rsid w:val="003F62BB"/>
    <w:rsid w:val="003F73E3"/>
    <w:rsid w:val="00404A25"/>
    <w:rsid w:val="004127C4"/>
    <w:rsid w:val="004215AD"/>
    <w:rsid w:val="0042251D"/>
    <w:rsid w:val="00443370"/>
    <w:rsid w:val="004511E6"/>
    <w:rsid w:val="004567F8"/>
    <w:rsid w:val="004644DC"/>
    <w:rsid w:val="0046704C"/>
    <w:rsid w:val="00481DC5"/>
    <w:rsid w:val="00491AB6"/>
    <w:rsid w:val="004D0115"/>
    <w:rsid w:val="004D3FE1"/>
    <w:rsid w:val="004E0821"/>
    <w:rsid w:val="004F05C4"/>
    <w:rsid w:val="004F7814"/>
    <w:rsid w:val="005126C0"/>
    <w:rsid w:val="005202E2"/>
    <w:rsid w:val="005417E6"/>
    <w:rsid w:val="00547302"/>
    <w:rsid w:val="00547964"/>
    <w:rsid w:val="00547B49"/>
    <w:rsid w:val="00570083"/>
    <w:rsid w:val="00577EE0"/>
    <w:rsid w:val="00580825"/>
    <w:rsid w:val="00591525"/>
    <w:rsid w:val="00594F44"/>
    <w:rsid w:val="005B5EC8"/>
    <w:rsid w:val="005B7D48"/>
    <w:rsid w:val="005C2E8B"/>
    <w:rsid w:val="005D2B85"/>
    <w:rsid w:val="005D49A1"/>
    <w:rsid w:val="005E58F1"/>
    <w:rsid w:val="005F3868"/>
    <w:rsid w:val="00606E92"/>
    <w:rsid w:val="0063060C"/>
    <w:rsid w:val="0067376E"/>
    <w:rsid w:val="006B2D7A"/>
    <w:rsid w:val="006B5167"/>
    <w:rsid w:val="006B690A"/>
    <w:rsid w:val="006C7A7A"/>
    <w:rsid w:val="006D7E57"/>
    <w:rsid w:val="006E791A"/>
    <w:rsid w:val="006F4699"/>
    <w:rsid w:val="006F4868"/>
    <w:rsid w:val="006F5F37"/>
    <w:rsid w:val="007072E2"/>
    <w:rsid w:val="00711B88"/>
    <w:rsid w:val="00720E31"/>
    <w:rsid w:val="00724FA5"/>
    <w:rsid w:val="0073148F"/>
    <w:rsid w:val="0075485A"/>
    <w:rsid w:val="007635FD"/>
    <w:rsid w:val="00765B32"/>
    <w:rsid w:val="007707AF"/>
    <w:rsid w:val="007A2ABB"/>
    <w:rsid w:val="007A7A0E"/>
    <w:rsid w:val="007B5755"/>
    <w:rsid w:val="007D0720"/>
    <w:rsid w:val="007D3442"/>
    <w:rsid w:val="007F1921"/>
    <w:rsid w:val="0080600D"/>
    <w:rsid w:val="008119A4"/>
    <w:rsid w:val="008156D8"/>
    <w:rsid w:val="00830FA5"/>
    <w:rsid w:val="008435E6"/>
    <w:rsid w:val="00845028"/>
    <w:rsid w:val="00853A05"/>
    <w:rsid w:val="00886BB2"/>
    <w:rsid w:val="00896571"/>
    <w:rsid w:val="008A0ED4"/>
    <w:rsid w:val="008A28C6"/>
    <w:rsid w:val="008A5CF4"/>
    <w:rsid w:val="008C07EB"/>
    <w:rsid w:val="008D42A5"/>
    <w:rsid w:val="008D6B3C"/>
    <w:rsid w:val="008D7A19"/>
    <w:rsid w:val="008E7755"/>
    <w:rsid w:val="00947DFC"/>
    <w:rsid w:val="00955060"/>
    <w:rsid w:val="00977F3B"/>
    <w:rsid w:val="00982209"/>
    <w:rsid w:val="00986E6B"/>
    <w:rsid w:val="00997F49"/>
    <w:rsid w:val="009A5126"/>
    <w:rsid w:val="009B26F5"/>
    <w:rsid w:val="009C1145"/>
    <w:rsid w:val="009C42B0"/>
    <w:rsid w:val="009C664C"/>
    <w:rsid w:val="009E0017"/>
    <w:rsid w:val="009E036B"/>
    <w:rsid w:val="009E4464"/>
    <w:rsid w:val="009F3F40"/>
    <w:rsid w:val="00A27DEA"/>
    <w:rsid w:val="00A31F54"/>
    <w:rsid w:val="00A33F44"/>
    <w:rsid w:val="00A411BE"/>
    <w:rsid w:val="00A45B01"/>
    <w:rsid w:val="00A74467"/>
    <w:rsid w:val="00A800F1"/>
    <w:rsid w:val="00A84E84"/>
    <w:rsid w:val="00AA0281"/>
    <w:rsid w:val="00AB43E7"/>
    <w:rsid w:val="00AC54E9"/>
    <w:rsid w:val="00B25174"/>
    <w:rsid w:val="00B32B32"/>
    <w:rsid w:val="00B3465E"/>
    <w:rsid w:val="00B40E00"/>
    <w:rsid w:val="00B53BAE"/>
    <w:rsid w:val="00B60878"/>
    <w:rsid w:val="00B64B21"/>
    <w:rsid w:val="00B6751F"/>
    <w:rsid w:val="00B766DC"/>
    <w:rsid w:val="00B84C5D"/>
    <w:rsid w:val="00B85924"/>
    <w:rsid w:val="00B95598"/>
    <w:rsid w:val="00BD793C"/>
    <w:rsid w:val="00BF065C"/>
    <w:rsid w:val="00BF543C"/>
    <w:rsid w:val="00BF5C48"/>
    <w:rsid w:val="00C06B5F"/>
    <w:rsid w:val="00C153D7"/>
    <w:rsid w:val="00C3298C"/>
    <w:rsid w:val="00C34787"/>
    <w:rsid w:val="00C61096"/>
    <w:rsid w:val="00C61CFC"/>
    <w:rsid w:val="00C751DE"/>
    <w:rsid w:val="00C902DE"/>
    <w:rsid w:val="00CA1A23"/>
    <w:rsid w:val="00CA4443"/>
    <w:rsid w:val="00CB30A3"/>
    <w:rsid w:val="00CB5C70"/>
    <w:rsid w:val="00CE6503"/>
    <w:rsid w:val="00CF43DF"/>
    <w:rsid w:val="00D070E6"/>
    <w:rsid w:val="00D1233D"/>
    <w:rsid w:val="00D26580"/>
    <w:rsid w:val="00D52213"/>
    <w:rsid w:val="00D566D0"/>
    <w:rsid w:val="00D861DB"/>
    <w:rsid w:val="00D930E2"/>
    <w:rsid w:val="00DA7B44"/>
    <w:rsid w:val="00DB63D4"/>
    <w:rsid w:val="00DC01F4"/>
    <w:rsid w:val="00DC04C1"/>
    <w:rsid w:val="00DD091F"/>
    <w:rsid w:val="00DD129F"/>
    <w:rsid w:val="00DD28F4"/>
    <w:rsid w:val="00DE2902"/>
    <w:rsid w:val="00E02798"/>
    <w:rsid w:val="00E1682A"/>
    <w:rsid w:val="00E20775"/>
    <w:rsid w:val="00E2358D"/>
    <w:rsid w:val="00E24AD5"/>
    <w:rsid w:val="00E35D91"/>
    <w:rsid w:val="00E36640"/>
    <w:rsid w:val="00E45739"/>
    <w:rsid w:val="00E642CF"/>
    <w:rsid w:val="00E73B95"/>
    <w:rsid w:val="00E74ACE"/>
    <w:rsid w:val="00E81F09"/>
    <w:rsid w:val="00E86E42"/>
    <w:rsid w:val="00E90EC9"/>
    <w:rsid w:val="00E94FE7"/>
    <w:rsid w:val="00EB35BE"/>
    <w:rsid w:val="00EB5055"/>
    <w:rsid w:val="00EB716F"/>
    <w:rsid w:val="00EC5BF3"/>
    <w:rsid w:val="00ED0973"/>
    <w:rsid w:val="00ED178C"/>
    <w:rsid w:val="00ED33B1"/>
    <w:rsid w:val="00EF394D"/>
    <w:rsid w:val="00F14C61"/>
    <w:rsid w:val="00F20221"/>
    <w:rsid w:val="00F248D6"/>
    <w:rsid w:val="00F37F2F"/>
    <w:rsid w:val="00F41D1D"/>
    <w:rsid w:val="00F67E30"/>
    <w:rsid w:val="00F71106"/>
    <w:rsid w:val="00FC6F67"/>
    <w:rsid w:val="00FD45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CD1"/>
  <w15:docId w15:val="{5ADE9C08-3525-4DEE-80AE-B980547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E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link w:val="CGTimes11Char"/>
    <w:rsid w:val="005C2E8B"/>
    <w:rPr>
      <w:rFonts w:ascii="CG Times" w:hAnsi="CG Times"/>
      <w:sz w:val="22"/>
    </w:rPr>
  </w:style>
  <w:style w:type="paragraph" w:styleId="Footer">
    <w:name w:val="footer"/>
    <w:basedOn w:val="Normal"/>
    <w:link w:val="FooterChar"/>
    <w:uiPriority w:val="99"/>
    <w:rsid w:val="005C2E8B"/>
    <w:pPr>
      <w:tabs>
        <w:tab w:val="center" w:pos="4320"/>
        <w:tab w:val="right" w:pos="8640"/>
      </w:tabs>
    </w:pPr>
  </w:style>
  <w:style w:type="character" w:customStyle="1" w:styleId="FooterChar">
    <w:name w:val="Footer Char"/>
    <w:basedOn w:val="DefaultParagraphFont"/>
    <w:link w:val="Footer"/>
    <w:uiPriority w:val="99"/>
    <w:rsid w:val="005C2E8B"/>
    <w:rPr>
      <w:rFonts w:ascii="Times New Roman" w:eastAsia="Times New Roman" w:hAnsi="Times New Roman" w:cs="Times New Roman"/>
      <w:sz w:val="24"/>
      <w:szCs w:val="20"/>
    </w:rPr>
  </w:style>
  <w:style w:type="character" w:styleId="PageNumber">
    <w:name w:val="page number"/>
    <w:basedOn w:val="DefaultParagraphFont"/>
    <w:rsid w:val="005C2E8B"/>
  </w:style>
  <w:style w:type="character" w:customStyle="1" w:styleId="CGTimes11Char">
    <w:name w:val="CG Times 11 Char"/>
    <w:link w:val="CGTimes11"/>
    <w:rsid w:val="005C2E8B"/>
    <w:rPr>
      <w:rFonts w:ascii="CG Times" w:eastAsia="Times New Roman" w:hAnsi="CG Times" w:cs="Times New Roman"/>
      <w:szCs w:val="20"/>
    </w:rPr>
  </w:style>
  <w:style w:type="table" w:styleId="TableGrid">
    <w:name w:val="Table Grid"/>
    <w:basedOn w:val="TableNormal"/>
    <w:uiPriority w:val="39"/>
    <w:rsid w:val="008A5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B2"/>
    <w:pPr>
      <w:tabs>
        <w:tab w:val="center" w:pos="4680"/>
        <w:tab w:val="right" w:pos="9360"/>
      </w:tabs>
    </w:pPr>
  </w:style>
  <w:style w:type="character" w:customStyle="1" w:styleId="HeaderChar">
    <w:name w:val="Header Char"/>
    <w:basedOn w:val="DefaultParagraphFont"/>
    <w:link w:val="Header"/>
    <w:uiPriority w:val="99"/>
    <w:rsid w:val="002029B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0E00"/>
    <w:rPr>
      <w:sz w:val="16"/>
      <w:szCs w:val="16"/>
    </w:rPr>
  </w:style>
  <w:style w:type="paragraph" w:styleId="CommentText">
    <w:name w:val="annotation text"/>
    <w:basedOn w:val="Normal"/>
    <w:link w:val="CommentTextChar"/>
    <w:uiPriority w:val="99"/>
    <w:semiHidden/>
    <w:unhideWhenUsed/>
    <w:rsid w:val="00B40E00"/>
    <w:rPr>
      <w:sz w:val="20"/>
    </w:rPr>
  </w:style>
  <w:style w:type="character" w:customStyle="1" w:styleId="CommentTextChar">
    <w:name w:val="Comment Text Char"/>
    <w:basedOn w:val="DefaultParagraphFont"/>
    <w:link w:val="CommentText"/>
    <w:uiPriority w:val="99"/>
    <w:semiHidden/>
    <w:rsid w:val="00B40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00"/>
    <w:rPr>
      <w:b/>
      <w:bCs/>
    </w:rPr>
  </w:style>
  <w:style w:type="character" w:customStyle="1" w:styleId="CommentSubjectChar">
    <w:name w:val="Comment Subject Char"/>
    <w:basedOn w:val="CommentTextChar"/>
    <w:link w:val="CommentSubject"/>
    <w:uiPriority w:val="99"/>
    <w:semiHidden/>
    <w:rsid w:val="00B40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0"/>
    <w:rPr>
      <w:rFonts w:ascii="Segoe UI" w:eastAsia="Times New Roman" w:hAnsi="Segoe UI" w:cs="Segoe UI"/>
      <w:sz w:val="18"/>
      <w:szCs w:val="18"/>
    </w:rPr>
  </w:style>
  <w:style w:type="paragraph" w:styleId="ListParagraph">
    <w:name w:val="List Paragraph"/>
    <w:basedOn w:val="Normal"/>
    <w:uiPriority w:val="34"/>
    <w:qFormat/>
    <w:rsid w:val="008156D8"/>
    <w:pPr>
      <w:ind w:left="720"/>
      <w:contextualSpacing/>
    </w:pPr>
  </w:style>
  <w:style w:type="paragraph" w:styleId="FootnoteText">
    <w:name w:val="footnote text"/>
    <w:basedOn w:val="Normal"/>
    <w:link w:val="FootnoteTextChar"/>
    <w:uiPriority w:val="99"/>
    <w:semiHidden/>
    <w:unhideWhenUsed/>
    <w:rsid w:val="00896571"/>
    <w:rPr>
      <w:sz w:val="20"/>
    </w:rPr>
  </w:style>
  <w:style w:type="character" w:customStyle="1" w:styleId="FootnoteTextChar">
    <w:name w:val="Footnote Text Char"/>
    <w:basedOn w:val="DefaultParagraphFont"/>
    <w:link w:val="FootnoteText"/>
    <w:uiPriority w:val="99"/>
    <w:semiHidden/>
    <w:rsid w:val="008965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96571"/>
    <w:rPr>
      <w:vertAlign w:val="superscript"/>
    </w:rPr>
  </w:style>
  <w:style w:type="paragraph" w:styleId="NoSpacing">
    <w:name w:val="No Spacing"/>
    <w:uiPriority w:val="1"/>
    <w:qFormat/>
    <w:rsid w:val="003E650D"/>
    <w:pPr>
      <w:spacing w:after="0" w:line="240" w:lineRule="auto"/>
    </w:pPr>
  </w:style>
  <w:style w:type="character" w:styleId="Strong">
    <w:name w:val="Strong"/>
    <w:basedOn w:val="DefaultParagraphFont"/>
    <w:uiPriority w:val="22"/>
    <w:qFormat/>
    <w:rsid w:val="00765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DD930E709BF42BA95855631B9ACA9" ma:contentTypeVersion="10" ma:contentTypeDescription="Create a new document." ma:contentTypeScope="" ma:versionID="4813317a3ca7c90b5e24002c47fe49f7">
  <xsd:schema xmlns:xsd="http://www.w3.org/2001/XMLSchema" xmlns:xs="http://www.w3.org/2001/XMLSchema" xmlns:p="http://schemas.microsoft.com/office/2006/metadata/properties" xmlns:ns3="39d22586-6408-44fc-8505-9909cb7fe849" targetNamespace="http://schemas.microsoft.com/office/2006/metadata/properties" ma:root="true" ma:fieldsID="944626203a3ca45e3494dd6c3c21335e" ns3:_="">
    <xsd:import namespace="39d22586-6408-44fc-8505-9909cb7fe8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2586-6408-44fc-8505-9909cb7fe8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A14A-F07B-4F5D-BEA8-43692E3AC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2586-6408-44fc-8505-9909cb7fe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37E2D-BBDF-4D0A-870A-9F3BEB0E7A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FD9A2-A397-40CA-96E0-C2913181A545}">
  <ds:schemaRefs>
    <ds:schemaRef ds:uri="http://schemas.microsoft.com/sharepoint/v3/contenttype/forms"/>
  </ds:schemaRefs>
</ds:datastoreItem>
</file>

<file path=customXml/itemProps4.xml><?xml version="1.0" encoding="utf-8"?>
<ds:datastoreItem xmlns:ds="http://schemas.openxmlformats.org/officeDocument/2006/customXml" ds:itemID="{1631CEAD-BD94-4DA4-95B7-B5AC4AE6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1627</Words>
  <Characters>9277</Characters>
  <Application>Microsoft Office Word</Application>
  <DocSecurity>0</DocSecurity>
  <Lines>157</Lines>
  <Paragraphs>68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dc:creator>
  <cp:lastModifiedBy>Kim, Andrew</cp:lastModifiedBy>
  <cp:revision>5</cp:revision>
  <dcterms:created xsi:type="dcterms:W3CDTF">2020-10-08T16:27:00Z</dcterms:created>
  <dcterms:modified xsi:type="dcterms:W3CDTF">2020-10-09T01:46:00Z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0x01010080ADD930E709BF42BA95855631B9ACA9</vt:lpwstr>
  </property>
</Properties>
</file>