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A2" w:rsidRDefault="009D5EA2" w:rsidP="009D5EA2">
      <w:pPr>
        <w:rPr>
          <w:b/>
        </w:rPr>
      </w:pPr>
      <w:r>
        <w:rPr>
          <w:b/>
        </w:rPr>
        <w:t>Summary of Prospective Costs, P.O. 2020-0224 Establishing Juneteenth as a Paid County Holiday</w:t>
      </w:r>
    </w:p>
    <w:p w:rsidR="009D5EA2" w:rsidRDefault="009D5EA2" w:rsidP="009D5EA2">
      <w:pPr>
        <w:rPr>
          <w:b/>
        </w:rPr>
      </w:pPr>
    </w:p>
    <w:p w:rsidR="009D5EA2" w:rsidRDefault="009D5EA2" w:rsidP="009D5EA2">
      <w:pPr>
        <w:rPr>
          <w:b/>
        </w:rPr>
      </w:pPr>
      <w:r w:rsidRPr="009D5EA2">
        <w:rPr>
          <w:b/>
        </w:rPr>
        <w:t>From:  Matthew McCoy, King County Office of Labor Relations</w:t>
      </w:r>
    </w:p>
    <w:p w:rsidR="009D5EA2" w:rsidRPr="009D5EA2" w:rsidRDefault="009D5EA2" w:rsidP="009D5EA2">
      <w:pPr>
        <w:rPr>
          <w:b/>
        </w:rPr>
      </w:pPr>
      <w:r>
        <w:rPr>
          <w:b/>
        </w:rPr>
        <w:t>To:  Mike Reed, Council Staff</w:t>
      </w:r>
    </w:p>
    <w:p w:rsidR="009D5EA2" w:rsidRPr="009D5EA2" w:rsidRDefault="009D5EA2" w:rsidP="009D5EA2">
      <w:pPr>
        <w:rPr>
          <w:b/>
        </w:rPr>
      </w:pPr>
      <w:r w:rsidRPr="009D5EA2">
        <w:rPr>
          <w:b/>
        </w:rPr>
        <w:t>June 21, 2020</w:t>
      </w:r>
    </w:p>
    <w:p w:rsidR="009D5EA2" w:rsidRDefault="009D5EA2" w:rsidP="009D5EA2"/>
    <w:p w:rsidR="009D5EA2" w:rsidRDefault="009D5EA2" w:rsidP="009D5EA2">
      <w:r>
        <w:t>Hi Mike,</w:t>
      </w:r>
    </w:p>
    <w:p w:rsidR="009D5EA2" w:rsidRDefault="009D5EA2" w:rsidP="009D5EA2"/>
    <w:p w:rsidR="009D5EA2" w:rsidRDefault="009D5EA2" w:rsidP="009D5EA2">
      <w:r>
        <w:t xml:space="preserve">There are at least a couple different ways to approach the cost of the holiday.  The way I think about it is actual extra money out the door (beyond what we would be paying if there was no holiday).  We can also look at the lost productivity of the day.  For many employees, however, they will simply make up for lost productivity on another day (such as you and me, I suspect).  This is certainly true for exempt employees so they can be excluded altogether.  For non-exempt employees, about 75% of the workforce, if we take the productivity loss for just that day, the cost is about $6.3M. </w:t>
      </w:r>
    </w:p>
    <w:p w:rsidR="009D5EA2" w:rsidRDefault="009D5EA2" w:rsidP="009D5EA2"/>
    <w:p w:rsidR="009D5EA2" w:rsidRDefault="009D5EA2" w:rsidP="009D5EA2">
      <w:r>
        <w:t>If we concentrate more on actual money out the door, the question becomes does this department maintain service even on holidays.  If they do, they are almost certain to be paying OT for it.  To focus in on this, I looked at the OT rates for departments as an indication that they would need to pay OT for the holiday.  I found that there are six departments where OT exceeds 3% of payroll (see chart below).  To arrive at a ballpark estimate I have assumed that for all those departments with &gt;3% OT the holiday would be paid at 1.5X payroll.  For all others it would be 0.  This results in what I think is a conservative, on the high side, estimate of $4.8M.  Transit is half of that total.  The cost to the general fund, loosely defined by the department, is a bit under $1M.  A less conservative estimate might be something like 75% of the holiday being turned into 1.5X pay, or $3.6M ($750k for GF)</w:t>
      </w:r>
    </w:p>
    <w:p w:rsidR="009D5EA2" w:rsidRDefault="009D5EA2" w:rsidP="009D5EA2"/>
    <w:p w:rsidR="009D5EA2" w:rsidRDefault="009D5EA2" w:rsidP="009D5EA2">
      <w:r>
        <w:t xml:space="preserve">The costs go down if we did something really radical, like have no bus service at all that day.  I think pretty much the only departments that must work OT are the jail (a lot of employees), paramedics (small # of employees), wastewater (modest number of employee), and depending on who you talk to, the Sheriff’s office (don’t think I am missing any others – maybe public health?).  There is also a question of lost revenue which may be an issue with some departments.  I am ignoring that.  </w:t>
      </w:r>
    </w:p>
    <w:p w:rsidR="009D5EA2" w:rsidRDefault="009D5EA2" w:rsidP="009D5EA2"/>
    <w:p w:rsidR="009D5EA2" w:rsidRDefault="009D5EA2" w:rsidP="009D5EA2">
      <w:r>
        <w:t xml:space="preserve">I do want to be clear that this is a 30,000 foot examination of this.  If I had more time I would want to study the six high OT departments in more depth and try to gauge the relationship between the OT and holiday pay.  If you want a different breakout of the costs let me know.  Any other questions just let me know.  If not clear, just let me know. </w:t>
      </w:r>
      <w:r>
        <w:rPr>
          <w:rFonts w:ascii="Wingdings" w:hAnsi="Wingdings"/>
        </w:rPr>
        <w:t></w:t>
      </w:r>
    </w:p>
    <w:p w:rsidR="009D5EA2" w:rsidRDefault="009D5EA2" w:rsidP="009D5EA2"/>
    <w:p w:rsidR="009D5EA2" w:rsidRDefault="009D5EA2" w:rsidP="009D5EA2"/>
    <w:p w:rsidR="009D5EA2" w:rsidRDefault="009D5EA2" w:rsidP="009D5EA2">
      <w:r>
        <w:t>-Matt</w:t>
      </w:r>
    </w:p>
    <w:p w:rsidR="009D5EA2" w:rsidRDefault="009D5EA2" w:rsidP="009D5EA2"/>
    <w:tbl>
      <w:tblPr>
        <w:tblW w:w="6200" w:type="dxa"/>
        <w:tblCellMar>
          <w:left w:w="0" w:type="dxa"/>
          <w:right w:w="0" w:type="dxa"/>
        </w:tblCellMar>
        <w:tblLook w:val="04A0" w:firstRow="1" w:lastRow="0" w:firstColumn="1" w:lastColumn="0" w:noHBand="0" w:noVBand="1"/>
      </w:tblPr>
      <w:tblGrid>
        <w:gridCol w:w="3340"/>
        <w:gridCol w:w="2380"/>
        <w:gridCol w:w="595"/>
      </w:tblGrid>
      <w:tr w:rsidR="009D5EA2" w:rsidTr="009D5EA2">
        <w:trPr>
          <w:trHeight w:val="315"/>
        </w:trPr>
        <w:tc>
          <w:tcPr>
            <w:tcW w:w="3340" w:type="dxa"/>
            <w:tcBorders>
              <w:top w:val="nil"/>
              <w:left w:val="nil"/>
              <w:bottom w:val="single" w:sz="8" w:space="0" w:color="auto"/>
              <w:right w:val="nil"/>
            </w:tcBorders>
            <w:noWrap/>
            <w:tcMar>
              <w:top w:w="0" w:type="dxa"/>
              <w:left w:w="108" w:type="dxa"/>
              <w:bottom w:w="0" w:type="dxa"/>
              <w:right w:w="108" w:type="dxa"/>
            </w:tcMar>
            <w:vAlign w:val="bottom"/>
            <w:hideMark/>
          </w:tcPr>
          <w:p w:rsidR="009D5EA2" w:rsidRDefault="009D5EA2">
            <w:pPr>
              <w:jc w:val="center"/>
              <w:rPr>
                <w:color w:val="000000"/>
              </w:rPr>
            </w:pPr>
            <w:r>
              <w:rPr>
                <w:color w:val="000000"/>
              </w:rPr>
              <w:t>Agency</w:t>
            </w:r>
          </w:p>
        </w:tc>
        <w:tc>
          <w:tcPr>
            <w:tcW w:w="2380" w:type="dxa"/>
            <w:tcBorders>
              <w:top w:val="nil"/>
              <w:left w:val="nil"/>
              <w:bottom w:val="single" w:sz="8" w:space="0" w:color="auto"/>
              <w:right w:val="nil"/>
            </w:tcBorders>
            <w:noWrap/>
            <w:tcMar>
              <w:top w:w="0" w:type="dxa"/>
              <w:left w:w="108" w:type="dxa"/>
              <w:bottom w:w="0" w:type="dxa"/>
              <w:right w:w="108" w:type="dxa"/>
            </w:tcMar>
            <w:vAlign w:val="bottom"/>
            <w:hideMark/>
          </w:tcPr>
          <w:p w:rsidR="009D5EA2" w:rsidRDefault="009D5EA2">
            <w:pPr>
              <w:jc w:val="center"/>
              <w:rPr>
                <w:color w:val="000000"/>
              </w:rPr>
            </w:pPr>
            <w:r>
              <w:rPr>
                <w:color w:val="000000"/>
              </w:rPr>
              <w:t>% of Payroll that is OT</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 xml:space="preserve">DAJD-Adult &amp; </w:t>
            </w:r>
            <w:proofErr w:type="spellStart"/>
            <w:r>
              <w:rPr>
                <w:color w:val="000000"/>
              </w:rPr>
              <w:t>Juvnile</w:t>
            </w:r>
            <w:proofErr w:type="spellEnd"/>
            <w:r>
              <w:rPr>
                <w:color w:val="000000"/>
              </w:rPr>
              <w:t xml:space="preserve"> Detention</w:t>
            </w:r>
          </w:p>
        </w:tc>
        <w:tc>
          <w:tcPr>
            <w:tcW w:w="2380" w:type="dxa"/>
            <w:shd w:val="clear" w:color="auto" w:fill="BDD7EE"/>
            <w:noWrap/>
            <w:tcMar>
              <w:top w:w="0" w:type="dxa"/>
              <w:left w:w="108" w:type="dxa"/>
              <w:bottom w:w="0" w:type="dxa"/>
              <w:right w:w="108" w:type="dxa"/>
            </w:tcMar>
            <w:vAlign w:val="bottom"/>
            <w:hideMark/>
          </w:tcPr>
          <w:p w:rsidR="009D5EA2" w:rsidRDefault="009D5EA2">
            <w:pPr>
              <w:jc w:val="center"/>
              <w:rPr>
                <w:color w:val="000000"/>
              </w:rPr>
            </w:pPr>
            <w:r>
              <w:rPr>
                <w:color w:val="000000"/>
              </w:rPr>
              <w:t>14.30%</w:t>
            </w:r>
          </w:p>
        </w:tc>
        <w:tc>
          <w:tcPr>
            <w:tcW w:w="480" w:type="dxa"/>
            <w:shd w:val="clear" w:color="auto" w:fill="FFE699"/>
            <w:noWrap/>
            <w:tcMar>
              <w:top w:w="0" w:type="dxa"/>
              <w:left w:w="108" w:type="dxa"/>
              <w:bottom w:w="0" w:type="dxa"/>
              <w:right w:w="108" w:type="dxa"/>
            </w:tcMar>
            <w:vAlign w:val="bottom"/>
            <w:hideMark/>
          </w:tcPr>
          <w:p w:rsidR="009D5EA2" w:rsidRDefault="009D5EA2">
            <w:pPr>
              <w:rPr>
                <w:color w:val="000000"/>
              </w:rPr>
            </w:pPr>
            <w:r>
              <w:rPr>
                <w:color w:val="000000"/>
              </w:rPr>
              <w:t>&gt;3%</w:t>
            </w: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 xml:space="preserve">DCHS - Community &amp; Human </w:t>
            </w:r>
            <w:proofErr w:type="spellStart"/>
            <w:r>
              <w:rPr>
                <w:color w:val="000000"/>
              </w:rPr>
              <w:t>Srvcs</w:t>
            </w:r>
            <w:proofErr w:type="spellEnd"/>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0.46%</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DES - Executive Services</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2.71%</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DHR - Dept. of Human Resources</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0.24%</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DJA - Judicial Administration</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1.79%</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DLS - Dept. of Local Services</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4.23%</w:t>
            </w:r>
          </w:p>
        </w:tc>
        <w:tc>
          <w:tcPr>
            <w:tcW w:w="480" w:type="dxa"/>
            <w:shd w:val="clear" w:color="auto" w:fill="FFE699"/>
            <w:noWrap/>
            <w:tcMar>
              <w:top w:w="0" w:type="dxa"/>
              <w:left w:w="108" w:type="dxa"/>
              <w:bottom w:w="0" w:type="dxa"/>
              <w:right w:w="108" w:type="dxa"/>
            </w:tcMar>
            <w:vAlign w:val="bottom"/>
            <w:hideMark/>
          </w:tcPr>
          <w:p w:rsidR="009D5EA2" w:rsidRDefault="009D5EA2">
            <w:pPr>
              <w:rPr>
                <w:color w:val="000000"/>
              </w:rPr>
            </w:pPr>
            <w:r>
              <w:rPr>
                <w:color w:val="000000"/>
              </w:rPr>
              <w:t>&gt;3%</w:t>
            </w: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DNRP-Natural Resources &amp; Parks</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3.97%</w:t>
            </w:r>
          </w:p>
        </w:tc>
        <w:tc>
          <w:tcPr>
            <w:tcW w:w="480" w:type="dxa"/>
            <w:shd w:val="clear" w:color="auto" w:fill="FFE699"/>
            <w:noWrap/>
            <w:tcMar>
              <w:top w:w="0" w:type="dxa"/>
              <w:left w:w="108" w:type="dxa"/>
              <w:bottom w:w="0" w:type="dxa"/>
              <w:right w:w="108" w:type="dxa"/>
            </w:tcMar>
            <w:vAlign w:val="bottom"/>
            <w:hideMark/>
          </w:tcPr>
          <w:p w:rsidR="009D5EA2" w:rsidRDefault="009D5EA2">
            <w:pPr>
              <w:rPr>
                <w:color w:val="000000"/>
              </w:rPr>
            </w:pPr>
            <w:r>
              <w:rPr>
                <w:color w:val="000000"/>
              </w:rPr>
              <w:t>&gt;3%</w:t>
            </w: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lastRenderedPageBreak/>
              <w:t>DOA - Assessor's Office</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1.27%</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 xml:space="preserve">DPD - </w:t>
            </w:r>
            <w:proofErr w:type="spellStart"/>
            <w:r>
              <w:rPr>
                <w:color w:val="000000"/>
              </w:rPr>
              <w:t>Dept</w:t>
            </w:r>
            <w:proofErr w:type="spellEnd"/>
            <w:r>
              <w:rPr>
                <w:color w:val="000000"/>
              </w:rPr>
              <w:t xml:space="preserve"> of Public Defense</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0.08%</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DPH - Public Health</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3.72%</w:t>
            </w:r>
          </w:p>
        </w:tc>
        <w:tc>
          <w:tcPr>
            <w:tcW w:w="480" w:type="dxa"/>
            <w:shd w:val="clear" w:color="auto" w:fill="FFE699"/>
            <w:noWrap/>
            <w:tcMar>
              <w:top w:w="0" w:type="dxa"/>
              <w:left w:w="108" w:type="dxa"/>
              <w:bottom w:w="0" w:type="dxa"/>
              <w:right w:w="108" w:type="dxa"/>
            </w:tcMar>
            <w:vAlign w:val="bottom"/>
            <w:hideMark/>
          </w:tcPr>
          <w:p w:rsidR="009D5EA2" w:rsidRDefault="009D5EA2">
            <w:pPr>
              <w:rPr>
                <w:color w:val="000000"/>
              </w:rPr>
            </w:pPr>
            <w:r>
              <w:rPr>
                <w:color w:val="000000"/>
              </w:rPr>
              <w:t>&gt;3%</w:t>
            </w: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EXEC - Executive's Office</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0.02%</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KCAO - Administration Offices</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2.35%</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KCC - King County Council</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0.07%</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KCDC - District Court</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0.23%</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KCE - King County Elections</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1.93%</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KCIT - Information Technology</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0.19%</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KCSC - Superior Court</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0.29%</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KCSO - Sheriff's Office</w:t>
            </w:r>
          </w:p>
        </w:tc>
        <w:tc>
          <w:tcPr>
            <w:tcW w:w="2380" w:type="dxa"/>
            <w:shd w:val="clear" w:color="auto" w:fill="BDD7EE"/>
            <w:noWrap/>
            <w:tcMar>
              <w:top w:w="0" w:type="dxa"/>
              <w:left w:w="108" w:type="dxa"/>
              <w:bottom w:w="0" w:type="dxa"/>
              <w:right w:w="108" w:type="dxa"/>
            </w:tcMar>
            <w:vAlign w:val="bottom"/>
            <w:hideMark/>
          </w:tcPr>
          <w:p w:rsidR="009D5EA2" w:rsidRDefault="009D5EA2">
            <w:pPr>
              <w:jc w:val="center"/>
              <w:rPr>
                <w:color w:val="000000"/>
              </w:rPr>
            </w:pPr>
            <w:r>
              <w:rPr>
                <w:color w:val="000000"/>
              </w:rPr>
              <w:t>13.49%</w:t>
            </w:r>
          </w:p>
        </w:tc>
        <w:tc>
          <w:tcPr>
            <w:tcW w:w="480" w:type="dxa"/>
            <w:shd w:val="clear" w:color="auto" w:fill="FFE699"/>
            <w:noWrap/>
            <w:tcMar>
              <w:top w:w="0" w:type="dxa"/>
              <w:left w:w="108" w:type="dxa"/>
              <w:bottom w:w="0" w:type="dxa"/>
              <w:right w:w="108" w:type="dxa"/>
            </w:tcMar>
            <w:vAlign w:val="bottom"/>
            <w:hideMark/>
          </w:tcPr>
          <w:p w:rsidR="009D5EA2" w:rsidRDefault="009D5EA2">
            <w:pPr>
              <w:rPr>
                <w:color w:val="000000"/>
              </w:rPr>
            </w:pPr>
            <w:r>
              <w:rPr>
                <w:color w:val="000000"/>
              </w:rPr>
              <w:t>&gt;3%</w:t>
            </w: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color w:val="000000"/>
              </w:rPr>
            </w:pPr>
            <w:r>
              <w:rPr>
                <w:color w:val="000000"/>
              </w:rPr>
              <w:t>MTD - Metro Transit</w:t>
            </w:r>
          </w:p>
        </w:tc>
        <w:tc>
          <w:tcPr>
            <w:tcW w:w="2380" w:type="dxa"/>
            <w:noWrap/>
            <w:tcMar>
              <w:top w:w="0" w:type="dxa"/>
              <w:left w:w="108" w:type="dxa"/>
              <w:bottom w:w="0" w:type="dxa"/>
              <w:right w:w="108" w:type="dxa"/>
            </w:tcMar>
            <w:vAlign w:val="bottom"/>
            <w:hideMark/>
          </w:tcPr>
          <w:p w:rsidR="009D5EA2" w:rsidRDefault="009D5EA2">
            <w:pPr>
              <w:jc w:val="center"/>
              <w:rPr>
                <w:color w:val="000000"/>
              </w:rPr>
            </w:pPr>
            <w:r>
              <w:rPr>
                <w:color w:val="000000"/>
              </w:rPr>
              <w:t>13.21%</w:t>
            </w:r>
          </w:p>
        </w:tc>
        <w:tc>
          <w:tcPr>
            <w:tcW w:w="480" w:type="dxa"/>
            <w:shd w:val="clear" w:color="auto" w:fill="FFE699"/>
            <w:noWrap/>
            <w:tcMar>
              <w:top w:w="0" w:type="dxa"/>
              <w:left w:w="108" w:type="dxa"/>
              <w:bottom w:w="0" w:type="dxa"/>
              <w:right w:w="108" w:type="dxa"/>
            </w:tcMar>
            <w:vAlign w:val="bottom"/>
            <w:hideMark/>
          </w:tcPr>
          <w:p w:rsidR="009D5EA2" w:rsidRDefault="009D5EA2">
            <w:pPr>
              <w:rPr>
                <w:color w:val="000000"/>
              </w:rPr>
            </w:pPr>
            <w:r>
              <w:rPr>
                <w:color w:val="000000"/>
              </w:rPr>
              <w:t>&gt;3%</w:t>
            </w:r>
          </w:p>
        </w:tc>
      </w:tr>
      <w:tr w:rsidR="009D5EA2" w:rsidTr="009D5EA2">
        <w:trPr>
          <w:trHeight w:val="315"/>
        </w:trPr>
        <w:tc>
          <w:tcPr>
            <w:tcW w:w="3340" w:type="dxa"/>
            <w:tcBorders>
              <w:top w:val="nil"/>
              <w:left w:val="nil"/>
              <w:bottom w:val="single" w:sz="8" w:space="0" w:color="auto"/>
              <w:right w:val="nil"/>
            </w:tcBorders>
            <w:noWrap/>
            <w:tcMar>
              <w:top w:w="0" w:type="dxa"/>
              <w:left w:w="108" w:type="dxa"/>
              <w:bottom w:w="0" w:type="dxa"/>
              <w:right w:w="108" w:type="dxa"/>
            </w:tcMar>
            <w:vAlign w:val="bottom"/>
            <w:hideMark/>
          </w:tcPr>
          <w:p w:rsidR="009D5EA2" w:rsidRDefault="009D5EA2">
            <w:pPr>
              <w:rPr>
                <w:color w:val="000000"/>
              </w:rPr>
            </w:pPr>
            <w:r>
              <w:rPr>
                <w:color w:val="000000"/>
              </w:rPr>
              <w:t>PAO - Prosecuting Attorneys</w:t>
            </w:r>
          </w:p>
        </w:tc>
        <w:tc>
          <w:tcPr>
            <w:tcW w:w="2380" w:type="dxa"/>
            <w:tcBorders>
              <w:top w:val="nil"/>
              <w:left w:val="nil"/>
              <w:bottom w:val="single" w:sz="8" w:space="0" w:color="auto"/>
              <w:right w:val="nil"/>
            </w:tcBorders>
            <w:noWrap/>
            <w:tcMar>
              <w:top w:w="0" w:type="dxa"/>
              <w:left w:w="108" w:type="dxa"/>
              <w:bottom w:w="0" w:type="dxa"/>
              <w:right w:w="108" w:type="dxa"/>
            </w:tcMar>
            <w:vAlign w:val="bottom"/>
            <w:hideMark/>
          </w:tcPr>
          <w:p w:rsidR="009D5EA2" w:rsidRDefault="009D5EA2">
            <w:pPr>
              <w:jc w:val="center"/>
              <w:rPr>
                <w:color w:val="000000"/>
              </w:rPr>
            </w:pPr>
            <w:r>
              <w:rPr>
                <w:color w:val="000000"/>
              </w:rPr>
              <w:t>0.31%</w:t>
            </w:r>
          </w:p>
        </w:tc>
        <w:tc>
          <w:tcPr>
            <w:tcW w:w="480" w:type="dxa"/>
            <w:noWrap/>
            <w:tcMar>
              <w:top w:w="0" w:type="dxa"/>
              <w:left w:w="108" w:type="dxa"/>
              <w:bottom w:w="0" w:type="dxa"/>
              <w:right w:w="108" w:type="dxa"/>
            </w:tcMar>
            <w:vAlign w:val="bottom"/>
            <w:hideMark/>
          </w:tcPr>
          <w:p w:rsidR="009D5EA2" w:rsidRDefault="009D5EA2">
            <w:pPr>
              <w:rPr>
                <w:color w:val="00000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rFonts w:ascii="Times New Roman" w:eastAsia="Times New Roman" w:hAnsi="Times New Roman"/>
                <w:sz w:val="20"/>
                <w:szCs w:val="20"/>
              </w:rPr>
            </w:pPr>
          </w:p>
        </w:tc>
        <w:tc>
          <w:tcPr>
            <w:tcW w:w="2380" w:type="dxa"/>
            <w:noWrap/>
            <w:tcMar>
              <w:top w:w="0" w:type="dxa"/>
              <w:left w:w="108" w:type="dxa"/>
              <w:bottom w:w="0" w:type="dxa"/>
              <w:right w:w="108" w:type="dxa"/>
            </w:tcMar>
            <w:vAlign w:val="bottom"/>
            <w:hideMark/>
          </w:tcPr>
          <w:p w:rsidR="009D5EA2" w:rsidRDefault="009D5EA2">
            <w:pPr>
              <w:rPr>
                <w:rFonts w:ascii="Times New Roman" w:eastAsia="Times New Roman" w:hAnsi="Times New Roman"/>
                <w:sz w:val="20"/>
                <w:szCs w:val="20"/>
              </w:rPr>
            </w:pPr>
          </w:p>
        </w:tc>
        <w:tc>
          <w:tcPr>
            <w:tcW w:w="480" w:type="dxa"/>
            <w:noWrap/>
            <w:tcMar>
              <w:top w:w="0" w:type="dxa"/>
              <w:left w:w="108" w:type="dxa"/>
              <w:bottom w:w="0" w:type="dxa"/>
              <w:right w:w="108" w:type="dxa"/>
            </w:tcMar>
            <w:vAlign w:val="bottom"/>
            <w:hideMark/>
          </w:tcPr>
          <w:p w:rsidR="009D5EA2" w:rsidRDefault="009D5EA2">
            <w:pPr>
              <w:rPr>
                <w:rFonts w:ascii="Times New Roman" w:eastAsia="Times New Roman" w:hAnsi="Times New Roman"/>
                <w:sz w:val="20"/>
                <w:szCs w:val="20"/>
              </w:rPr>
            </w:pPr>
          </w:p>
        </w:tc>
      </w:tr>
      <w:tr w:rsidR="009D5EA2" w:rsidTr="009D5EA2">
        <w:trPr>
          <w:trHeight w:val="300"/>
        </w:trPr>
        <w:tc>
          <w:tcPr>
            <w:tcW w:w="3340" w:type="dxa"/>
            <w:noWrap/>
            <w:tcMar>
              <w:top w:w="0" w:type="dxa"/>
              <w:left w:w="108" w:type="dxa"/>
              <w:bottom w:w="0" w:type="dxa"/>
              <w:right w:w="108" w:type="dxa"/>
            </w:tcMar>
            <w:vAlign w:val="bottom"/>
            <w:hideMark/>
          </w:tcPr>
          <w:p w:rsidR="009D5EA2" w:rsidRDefault="009D5EA2">
            <w:pPr>
              <w:rPr>
                <w:rFonts w:ascii="Times New Roman" w:eastAsia="Times New Roman" w:hAnsi="Times New Roman"/>
                <w:sz w:val="20"/>
                <w:szCs w:val="20"/>
              </w:rPr>
            </w:pPr>
          </w:p>
        </w:tc>
        <w:tc>
          <w:tcPr>
            <w:tcW w:w="2380" w:type="dxa"/>
            <w:shd w:val="clear" w:color="auto" w:fill="BDD7EE"/>
            <w:noWrap/>
            <w:tcMar>
              <w:top w:w="0" w:type="dxa"/>
              <w:left w:w="108" w:type="dxa"/>
              <w:bottom w:w="0" w:type="dxa"/>
              <w:right w:w="108" w:type="dxa"/>
            </w:tcMar>
            <w:vAlign w:val="bottom"/>
            <w:hideMark/>
          </w:tcPr>
          <w:p w:rsidR="009D5EA2" w:rsidRDefault="009D5EA2">
            <w:pPr>
              <w:rPr>
                <w:color w:val="000000"/>
              </w:rPr>
            </w:pPr>
            <w:r>
              <w:rPr>
                <w:color w:val="000000"/>
              </w:rPr>
              <w:t>General Fund</w:t>
            </w:r>
          </w:p>
        </w:tc>
        <w:tc>
          <w:tcPr>
            <w:tcW w:w="480" w:type="dxa"/>
            <w:noWrap/>
            <w:tcMar>
              <w:top w:w="0" w:type="dxa"/>
              <w:left w:w="108" w:type="dxa"/>
              <w:bottom w:w="0" w:type="dxa"/>
              <w:right w:w="108" w:type="dxa"/>
            </w:tcMar>
            <w:vAlign w:val="bottom"/>
            <w:hideMark/>
          </w:tcPr>
          <w:p w:rsidR="009D5EA2" w:rsidRDefault="009D5EA2">
            <w:pPr>
              <w:rPr>
                <w:color w:val="000000"/>
              </w:rPr>
            </w:pPr>
          </w:p>
        </w:tc>
      </w:tr>
    </w:tbl>
    <w:p w:rsidR="009D5EA2" w:rsidRDefault="009D5EA2" w:rsidP="009D5EA2"/>
    <w:p w:rsidR="008C4AFA" w:rsidRPr="009D5EA2" w:rsidRDefault="00020A25" w:rsidP="009D5EA2"/>
    <w:sectPr w:rsidR="008C4AFA" w:rsidRPr="009D5EA2" w:rsidSect="00020A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25" w:rsidRDefault="00020A25" w:rsidP="00020A25">
      <w:r>
        <w:separator/>
      </w:r>
    </w:p>
  </w:endnote>
  <w:endnote w:type="continuationSeparator" w:id="0">
    <w:p w:rsidR="00020A25" w:rsidRDefault="00020A25" w:rsidP="0002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5" w:rsidRDefault="00020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5" w:rsidRDefault="00020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5" w:rsidRDefault="0002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25" w:rsidRDefault="00020A25" w:rsidP="00020A25">
      <w:r>
        <w:separator/>
      </w:r>
    </w:p>
  </w:footnote>
  <w:footnote w:type="continuationSeparator" w:id="0">
    <w:p w:rsidR="00020A25" w:rsidRDefault="00020A25" w:rsidP="0002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5" w:rsidRDefault="00020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5" w:rsidRDefault="00020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5" w:rsidRPr="00020A25" w:rsidRDefault="00020A25" w:rsidP="00020A25">
    <w:pPr>
      <w:pStyle w:val="Header"/>
      <w:jc w:val="right"/>
      <w:rPr>
        <w:rFonts w:ascii="Times New Roman" w:hAnsi="Times New Roman"/>
        <w:b/>
        <w:sz w:val="24"/>
      </w:rPr>
    </w:pPr>
    <w:bookmarkStart w:id="0" w:name="_GoBack"/>
    <w:r w:rsidRPr="00020A25">
      <w:rPr>
        <w:rFonts w:ascii="Times New Roman" w:hAnsi="Times New Roman"/>
        <w:b/>
        <w:sz w:val="24"/>
      </w:rPr>
      <w:t>ATTACHMENT 2</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A2"/>
    <w:rsid w:val="00020A25"/>
    <w:rsid w:val="001224A6"/>
    <w:rsid w:val="00784340"/>
    <w:rsid w:val="009D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6375"/>
  <w15:chartTrackingRefBased/>
  <w15:docId w15:val="{2D84A6FA-6AD1-46E3-AC6D-8CB7E3D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25"/>
    <w:pPr>
      <w:tabs>
        <w:tab w:val="center" w:pos="4680"/>
        <w:tab w:val="right" w:pos="9360"/>
      </w:tabs>
    </w:pPr>
  </w:style>
  <w:style w:type="character" w:customStyle="1" w:styleId="HeaderChar">
    <w:name w:val="Header Char"/>
    <w:basedOn w:val="DefaultParagraphFont"/>
    <w:link w:val="Header"/>
    <w:uiPriority w:val="99"/>
    <w:rsid w:val="00020A25"/>
    <w:rPr>
      <w:rFonts w:ascii="Calibri" w:hAnsi="Calibri" w:cs="Times New Roman"/>
    </w:rPr>
  </w:style>
  <w:style w:type="paragraph" w:styleId="Footer">
    <w:name w:val="footer"/>
    <w:basedOn w:val="Normal"/>
    <w:link w:val="FooterChar"/>
    <w:uiPriority w:val="99"/>
    <w:unhideWhenUsed/>
    <w:rsid w:val="00020A25"/>
    <w:pPr>
      <w:tabs>
        <w:tab w:val="center" w:pos="4680"/>
        <w:tab w:val="right" w:pos="9360"/>
      </w:tabs>
    </w:pPr>
  </w:style>
  <w:style w:type="character" w:customStyle="1" w:styleId="FooterChar">
    <w:name w:val="Footer Char"/>
    <w:basedOn w:val="DefaultParagraphFont"/>
    <w:link w:val="Footer"/>
    <w:uiPriority w:val="99"/>
    <w:rsid w:val="00020A2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Calderon, Angelica</cp:lastModifiedBy>
  <cp:revision>2</cp:revision>
  <dcterms:created xsi:type="dcterms:W3CDTF">2020-07-24T19:34:00Z</dcterms:created>
  <dcterms:modified xsi:type="dcterms:W3CDTF">2020-07-27T16:17:00Z</dcterms:modified>
</cp:coreProperties>
</file>