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9E2FB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1358841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590450AB" w14:textId="77777777" w:rsidR="00C30D67" w:rsidRDefault="00C30D67" w:rsidP="00785660">
      <w:pPr>
        <w:jc w:val="both"/>
        <w:rPr>
          <w:rFonts w:ascii="Arial" w:hAnsi="Arial" w:cs="Arial"/>
          <w:b/>
          <w:u w:val="single"/>
        </w:rPr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631F6B" w:rsidRPr="009349D6" w14:paraId="37C17113" w14:textId="77777777" w:rsidTr="00172BE1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123" w14:textId="77777777" w:rsidR="00631F6B" w:rsidRPr="009349D6" w:rsidRDefault="00631F6B" w:rsidP="00172BE1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D391" w14:textId="02C9FE6A" w:rsidR="00631F6B" w:rsidRPr="009349D6" w:rsidRDefault="00E110A1" w:rsidP="00172BE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23A" w14:textId="77777777" w:rsidR="00631F6B" w:rsidRPr="009349D6" w:rsidRDefault="00631F6B" w:rsidP="00172BE1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8AA" w14:textId="0CFFADF2" w:rsidR="00631F6B" w:rsidRPr="009349D6" w:rsidRDefault="00631F6B" w:rsidP="00172BE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Clifton Curry</w:t>
            </w:r>
          </w:p>
        </w:tc>
      </w:tr>
      <w:tr w:rsidR="00631F6B" w:rsidRPr="009349D6" w14:paraId="3BA408C5" w14:textId="77777777" w:rsidTr="00172BE1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C0A" w14:textId="77777777" w:rsidR="00631F6B" w:rsidRPr="009349D6" w:rsidRDefault="00631F6B" w:rsidP="00172BE1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AFB6" w14:textId="4D436443" w:rsidR="00631F6B" w:rsidRPr="009349D6" w:rsidRDefault="00631F6B" w:rsidP="00172BE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2020-0166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5CF" w14:textId="77777777" w:rsidR="00631F6B" w:rsidRPr="009349D6" w:rsidRDefault="00631F6B" w:rsidP="00172BE1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4FB" w14:textId="77777777" w:rsidR="00631F6B" w:rsidRPr="009349D6" w:rsidRDefault="00631F6B" w:rsidP="00172BE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21, 2020</w:t>
            </w:r>
          </w:p>
        </w:tc>
      </w:tr>
    </w:tbl>
    <w:p w14:paraId="1EF14383" w14:textId="77777777" w:rsidR="00631F6B" w:rsidRDefault="00631F6B" w:rsidP="00631F6B">
      <w:pPr>
        <w:rPr>
          <w:rFonts w:ascii="Arial" w:hAnsi="Arial" w:cs="Arial"/>
          <w:b/>
          <w:smallCaps/>
          <w:szCs w:val="24"/>
          <w:u w:val="single"/>
        </w:rPr>
      </w:pPr>
    </w:p>
    <w:p w14:paraId="762EFF03" w14:textId="77777777" w:rsidR="00C30D67" w:rsidRDefault="00C30D67" w:rsidP="00785660">
      <w:pPr>
        <w:jc w:val="both"/>
        <w:rPr>
          <w:rFonts w:ascii="Arial" w:hAnsi="Arial" w:cs="Arial"/>
          <w:b/>
          <w:u w:val="single"/>
        </w:rPr>
      </w:pPr>
    </w:p>
    <w:p w14:paraId="35B902ED" w14:textId="1597A8AF" w:rsidR="00785660" w:rsidRPr="009349D6" w:rsidRDefault="00785660" w:rsidP="00785660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  <w:bookmarkStart w:id="0" w:name="_GoBack"/>
      <w:bookmarkEnd w:id="0"/>
    </w:p>
    <w:p w14:paraId="15B220DB" w14:textId="77777777" w:rsidR="00785660" w:rsidRDefault="00785660" w:rsidP="00785660">
      <w:pPr>
        <w:rPr>
          <w:rFonts w:ascii="Arial" w:hAnsi="Arial" w:cs="Arial"/>
        </w:rPr>
      </w:pPr>
    </w:p>
    <w:p w14:paraId="71763CAC" w14:textId="4C858A99" w:rsidR="006A7ED2" w:rsidRPr="006A7ED2" w:rsidRDefault="003914D8" w:rsidP="006A7ED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A7ED2">
        <w:rPr>
          <w:rFonts w:ascii="Arial" w:hAnsi="Arial" w:cs="Arial"/>
        </w:rPr>
        <w:t>Proposed Motion 2020-</w:t>
      </w:r>
      <w:r w:rsidR="00F972FB" w:rsidRPr="006A7ED2">
        <w:rPr>
          <w:rFonts w:ascii="Arial" w:hAnsi="Arial" w:cs="Arial"/>
        </w:rPr>
        <w:t>016</w:t>
      </w:r>
      <w:r w:rsidR="004D261E" w:rsidRPr="006A7ED2">
        <w:rPr>
          <w:rFonts w:ascii="Arial" w:hAnsi="Arial" w:cs="Arial"/>
        </w:rPr>
        <w:t>6</w:t>
      </w:r>
      <w:r w:rsidR="002A52A0" w:rsidRPr="006A7ED2">
        <w:rPr>
          <w:rFonts w:ascii="Arial" w:hAnsi="Arial" w:cs="Arial"/>
        </w:rPr>
        <w:t xml:space="preserve"> </w:t>
      </w:r>
      <w:r w:rsidR="006A7ED2">
        <w:rPr>
          <w:rFonts w:ascii="Arial" w:hAnsi="Arial" w:cs="Arial"/>
        </w:rPr>
        <w:t xml:space="preserve">would </w:t>
      </w:r>
      <w:r w:rsidR="006A7ED2" w:rsidRPr="006A7ED2">
        <w:rPr>
          <w:rFonts w:ascii="Arial" w:hAnsi="Arial" w:cs="Arial"/>
          <w:szCs w:val="24"/>
        </w:rPr>
        <w:t xml:space="preserve">create a </w:t>
      </w:r>
      <w:r w:rsidR="001B7D6E">
        <w:rPr>
          <w:rFonts w:ascii="Arial" w:hAnsi="Arial" w:cs="Arial"/>
          <w:szCs w:val="24"/>
        </w:rPr>
        <w:t>B</w:t>
      </w:r>
      <w:r w:rsidR="006A7ED2" w:rsidRPr="006A7ED2">
        <w:rPr>
          <w:rFonts w:ascii="Arial" w:hAnsi="Arial" w:cs="Arial"/>
          <w:szCs w:val="24"/>
        </w:rPr>
        <w:t>lue</w:t>
      </w:r>
      <w:r w:rsidR="001B7D6E">
        <w:rPr>
          <w:rFonts w:ascii="Arial" w:hAnsi="Arial" w:cs="Arial"/>
          <w:szCs w:val="24"/>
        </w:rPr>
        <w:t>-R</w:t>
      </w:r>
      <w:r w:rsidR="006A7ED2" w:rsidRPr="006A7ED2">
        <w:rPr>
          <w:rFonts w:ascii="Arial" w:hAnsi="Arial" w:cs="Arial"/>
          <w:szCs w:val="24"/>
        </w:rPr>
        <w:t xml:space="preserve">ibbon panel of representatives from </w:t>
      </w:r>
      <w:r w:rsidR="00CB53AB">
        <w:rPr>
          <w:rFonts w:ascii="Arial" w:hAnsi="Arial" w:cs="Arial"/>
          <w:szCs w:val="24"/>
        </w:rPr>
        <w:t>a variety of organizations</w:t>
      </w:r>
      <w:r w:rsidR="006A7ED2" w:rsidRPr="006A7ED2">
        <w:rPr>
          <w:rFonts w:ascii="Arial" w:hAnsi="Arial" w:cs="Arial"/>
          <w:szCs w:val="24"/>
        </w:rPr>
        <w:t xml:space="preserve"> to identify issues </w:t>
      </w:r>
      <w:r w:rsidR="00746F6A">
        <w:rPr>
          <w:rFonts w:ascii="Arial" w:hAnsi="Arial" w:cs="Arial"/>
          <w:szCs w:val="24"/>
        </w:rPr>
        <w:t xml:space="preserve">and make recommendations </w:t>
      </w:r>
      <w:r w:rsidR="006A7ED2" w:rsidRPr="006A7ED2">
        <w:rPr>
          <w:rFonts w:ascii="Arial" w:hAnsi="Arial" w:cs="Arial"/>
          <w:szCs w:val="24"/>
        </w:rPr>
        <w:t>relating to the economic recovery from the coronavirus pandemic in King County.</w:t>
      </w:r>
    </w:p>
    <w:p w14:paraId="6DA33478" w14:textId="5E16B7AE" w:rsidR="00785660" w:rsidRPr="00C75025" w:rsidRDefault="00785660" w:rsidP="00785660">
      <w:pPr>
        <w:jc w:val="both"/>
        <w:rPr>
          <w:rFonts w:ascii="Arial" w:hAnsi="Arial" w:cs="Arial"/>
          <w:b/>
          <w:u w:val="single"/>
        </w:rPr>
      </w:pPr>
    </w:p>
    <w:p w14:paraId="68A47B6A" w14:textId="77777777" w:rsidR="00785660" w:rsidRDefault="00785660" w:rsidP="00785660">
      <w:pPr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091F868D" w14:textId="77777777" w:rsidR="00785660" w:rsidRDefault="00785660" w:rsidP="00785660">
      <w:pPr>
        <w:rPr>
          <w:rFonts w:ascii="Arial" w:hAnsi="Arial" w:cs="Arial"/>
        </w:rPr>
      </w:pPr>
    </w:p>
    <w:p w14:paraId="2EEC75D8" w14:textId="2B53D85E" w:rsidR="005F51B7" w:rsidRPr="005F51B7" w:rsidRDefault="00AC47E5" w:rsidP="005F51B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F51B7">
        <w:rPr>
          <w:rFonts w:ascii="Arial" w:hAnsi="Arial" w:cs="Arial"/>
        </w:rPr>
        <w:t>Proposed Motion 2020-</w:t>
      </w:r>
      <w:r w:rsidR="00F972FB" w:rsidRPr="005F51B7">
        <w:rPr>
          <w:rFonts w:ascii="Arial" w:hAnsi="Arial" w:cs="Arial"/>
        </w:rPr>
        <w:t>016</w:t>
      </w:r>
      <w:r w:rsidR="004D261E" w:rsidRPr="005F51B7">
        <w:rPr>
          <w:rFonts w:ascii="Arial" w:hAnsi="Arial" w:cs="Arial"/>
        </w:rPr>
        <w:t>6</w:t>
      </w:r>
      <w:r w:rsidR="00891E2D" w:rsidRPr="005F51B7">
        <w:rPr>
          <w:rFonts w:ascii="Arial" w:hAnsi="Arial" w:cs="Arial"/>
        </w:rPr>
        <w:t xml:space="preserve"> would call on </w:t>
      </w:r>
      <w:r w:rsidR="006A7ED2">
        <w:rPr>
          <w:rFonts w:ascii="Arial" w:hAnsi="Arial" w:cs="Arial"/>
        </w:rPr>
        <w:t>the Executive to establish a</w:t>
      </w:r>
      <w:r w:rsidR="005F51B7" w:rsidRPr="005F51B7">
        <w:rPr>
          <w:rFonts w:ascii="Arial" w:hAnsi="Arial" w:cs="Arial"/>
          <w:szCs w:val="24"/>
        </w:rPr>
        <w:t xml:space="preserve"> </w:t>
      </w:r>
      <w:r w:rsidR="001F6EC6">
        <w:rPr>
          <w:rFonts w:ascii="Arial" w:hAnsi="Arial" w:cs="Arial"/>
          <w:szCs w:val="24"/>
        </w:rPr>
        <w:t>B</w:t>
      </w:r>
      <w:r w:rsidR="005F51B7" w:rsidRPr="005F51B7">
        <w:rPr>
          <w:rFonts w:ascii="Arial" w:hAnsi="Arial" w:cs="Arial"/>
          <w:szCs w:val="24"/>
        </w:rPr>
        <w:t>lue</w:t>
      </w:r>
      <w:r w:rsidR="001B7D6E">
        <w:rPr>
          <w:rFonts w:ascii="Arial" w:hAnsi="Arial" w:cs="Arial"/>
          <w:szCs w:val="24"/>
        </w:rPr>
        <w:t>-</w:t>
      </w:r>
      <w:r w:rsidR="001F6EC6">
        <w:rPr>
          <w:rFonts w:ascii="Arial" w:hAnsi="Arial" w:cs="Arial"/>
          <w:szCs w:val="24"/>
        </w:rPr>
        <w:t>R</w:t>
      </w:r>
      <w:r w:rsidR="005F51B7" w:rsidRPr="005F51B7">
        <w:rPr>
          <w:rFonts w:ascii="Arial" w:hAnsi="Arial" w:cs="Arial"/>
          <w:szCs w:val="24"/>
        </w:rPr>
        <w:t xml:space="preserve">ibbon </w:t>
      </w:r>
      <w:r w:rsidR="00E56AB1">
        <w:rPr>
          <w:rFonts w:ascii="Arial" w:hAnsi="Arial" w:cs="Arial"/>
          <w:szCs w:val="24"/>
        </w:rPr>
        <w:t>group (</w:t>
      </w:r>
      <w:r w:rsidR="00E56AB1" w:rsidRPr="00CE6807">
        <w:rPr>
          <w:rFonts w:ascii="Arial" w:hAnsi="Arial" w:cs="Arial"/>
          <w:szCs w:val="24"/>
        </w:rPr>
        <w:t>named the  “Coronavirus Recovery Economic” (</w:t>
      </w:r>
      <w:proofErr w:type="spellStart"/>
      <w:r w:rsidR="00E56AB1" w:rsidRPr="00CE6807">
        <w:rPr>
          <w:rFonts w:ascii="Arial" w:hAnsi="Arial" w:cs="Arial"/>
          <w:szCs w:val="24"/>
        </w:rPr>
        <w:t>CuRE</w:t>
      </w:r>
      <w:proofErr w:type="spellEnd"/>
      <w:r w:rsidR="00E56AB1" w:rsidRPr="00CE6807">
        <w:rPr>
          <w:rFonts w:ascii="Arial" w:hAnsi="Arial" w:cs="Arial"/>
          <w:szCs w:val="24"/>
        </w:rPr>
        <w:t>) task force</w:t>
      </w:r>
      <w:r w:rsidR="00E56AB1">
        <w:rPr>
          <w:rFonts w:ascii="Arial" w:hAnsi="Arial" w:cs="Arial"/>
          <w:szCs w:val="24"/>
        </w:rPr>
        <w:t>)</w:t>
      </w:r>
      <w:r w:rsidR="005F51B7" w:rsidRPr="005F51B7">
        <w:rPr>
          <w:rFonts w:ascii="Arial" w:hAnsi="Arial" w:cs="Arial"/>
          <w:szCs w:val="24"/>
        </w:rPr>
        <w:t xml:space="preserve"> of representatives from state and local governments, business and industry and other organizations, to identify and address issues relating to the economic recovery from the coronavirus pandemic in King County.</w:t>
      </w:r>
    </w:p>
    <w:p w14:paraId="633895F1" w14:textId="4D6F90BB" w:rsidR="00785660" w:rsidRDefault="00785660" w:rsidP="00785660">
      <w:pPr>
        <w:jc w:val="both"/>
        <w:rPr>
          <w:rFonts w:ascii="Arial" w:hAnsi="Arial" w:cs="Arial"/>
          <w:szCs w:val="24"/>
        </w:rPr>
      </w:pPr>
    </w:p>
    <w:p w14:paraId="1AC69171" w14:textId="77777777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4EC64C01" w14:textId="734EA9E0" w:rsidR="00074A56" w:rsidRDefault="00074A56" w:rsidP="005B478C">
      <w:pPr>
        <w:jc w:val="both"/>
        <w:rPr>
          <w:rFonts w:ascii="Arial" w:hAnsi="Arial" w:cs="Arial"/>
        </w:rPr>
      </w:pPr>
    </w:p>
    <w:p w14:paraId="45EF47C0" w14:textId="6AC8B040" w:rsidR="00082EFD" w:rsidRDefault="00082EFD" w:rsidP="00082EF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Pr="00CE6807">
        <w:rPr>
          <w:rFonts w:ascii="Arial" w:hAnsi="Arial" w:cs="Arial"/>
          <w:szCs w:val="24"/>
        </w:rPr>
        <w:t xml:space="preserve">King County </w:t>
      </w:r>
      <w:r>
        <w:rPr>
          <w:rFonts w:ascii="Arial" w:hAnsi="Arial" w:cs="Arial"/>
          <w:szCs w:val="24"/>
        </w:rPr>
        <w:t>E</w:t>
      </w:r>
      <w:r w:rsidRPr="00CE6807">
        <w:rPr>
          <w:rFonts w:ascii="Arial" w:hAnsi="Arial" w:cs="Arial"/>
          <w:szCs w:val="24"/>
        </w:rPr>
        <w:t xml:space="preserve">xecutive issued a </w:t>
      </w:r>
      <w:r>
        <w:rPr>
          <w:rFonts w:ascii="Arial" w:hAnsi="Arial" w:cs="Arial"/>
          <w:szCs w:val="24"/>
        </w:rPr>
        <w:t>P</w:t>
      </w:r>
      <w:r w:rsidRPr="00CE6807">
        <w:rPr>
          <w:rFonts w:ascii="Arial" w:hAnsi="Arial" w:cs="Arial"/>
          <w:szCs w:val="24"/>
        </w:rPr>
        <w:t xml:space="preserve">roclamation of </w:t>
      </w:r>
      <w:r>
        <w:rPr>
          <w:rFonts w:ascii="Arial" w:hAnsi="Arial" w:cs="Arial"/>
          <w:szCs w:val="24"/>
        </w:rPr>
        <w:t>E</w:t>
      </w:r>
      <w:r w:rsidRPr="00CE6807">
        <w:rPr>
          <w:rFonts w:ascii="Arial" w:hAnsi="Arial" w:cs="Arial"/>
          <w:szCs w:val="24"/>
        </w:rPr>
        <w:t xml:space="preserve">mergency on March 1, 2020, in order to allow King County to quickly respond to </w:t>
      </w:r>
      <w:r>
        <w:rPr>
          <w:rFonts w:ascii="Arial" w:hAnsi="Arial" w:cs="Arial"/>
          <w:szCs w:val="24"/>
        </w:rPr>
        <w:t xml:space="preserve">the </w:t>
      </w:r>
      <w:r w:rsidRPr="00CE6807">
        <w:rPr>
          <w:rFonts w:ascii="Arial" w:hAnsi="Arial" w:cs="Arial"/>
          <w:szCs w:val="24"/>
        </w:rPr>
        <w:t xml:space="preserve">new </w:t>
      </w:r>
      <w:r>
        <w:rPr>
          <w:rFonts w:ascii="Arial" w:hAnsi="Arial" w:cs="Arial"/>
          <w:szCs w:val="24"/>
        </w:rPr>
        <w:t>and</w:t>
      </w:r>
      <w:r w:rsidRPr="00CE6807">
        <w:rPr>
          <w:rFonts w:ascii="Arial" w:hAnsi="Arial" w:cs="Arial"/>
          <w:szCs w:val="24"/>
        </w:rPr>
        <w:t xml:space="preserve"> different demands on service in response to the </w:t>
      </w:r>
      <w:r>
        <w:rPr>
          <w:rFonts w:ascii="Arial" w:hAnsi="Arial" w:cs="Arial"/>
          <w:szCs w:val="24"/>
        </w:rPr>
        <w:t xml:space="preserve">emerging </w:t>
      </w:r>
      <w:r w:rsidRPr="00CE6807">
        <w:rPr>
          <w:rFonts w:ascii="Arial" w:hAnsi="Arial" w:cs="Arial"/>
          <w:szCs w:val="24"/>
        </w:rPr>
        <w:t>COVID-19</w:t>
      </w:r>
      <w:r>
        <w:rPr>
          <w:rFonts w:ascii="Arial" w:hAnsi="Arial" w:cs="Arial"/>
          <w:szCs w:val="24"/>
        </w:rPr>
        <w:t xml:space="preserve"> pandemic.</w:t>
      </w:r>
      <w:r w:rsidR="00F477DD">
        <w:rPr>
          <w:rStyle w:val="FootnoteReferenc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 xml:space="preserve">  T</w:t>
      </w:r>
      <w:r w:rsidRPr="00CE6807">
        <w:rPr>
          <w:rFonts w:ascii="Arial" w:hAnsi="Arial" w:cs="Arial"/>
          <w:szCs w:val="24"/>
        </w:rPr>
        <w:t>he Washington State Governor issued a “</w:t>
      </w:r>
      <w:r>
        <w:rPr>
          <w:rFonts w:ascii="Arial" w:hAnsi="Arial" w:cs="Arial"/>
          <w:szCs w:val="24"/>
        </w:rPr>
        <w:t>S</w:t>
      </w:r>
      <w:r w:rsidRPr="00CE6807">
        <w:rPr>
          <w:rFonts w:ascii="Arial" w:hAnsi="Arial" w:cs="Arial"/>
          <w:szCs w:val="24"/>
        </w:rPr>
        <w:t>tay-at-</w:t>
      </w:r>
      <w:r>
        <w:rPr>
          <w:rFonts w:ascii="Arial" w:hAnsi="Arial" w:cs="Arial"/>
          <w:szCs w:val="24"/>
        </w:rPr>
        <w:t>H</w:t>
      </w:r>
      <w:r w:rsidRPr="00CE6807">
        <w:rPr>
          <w:rFonts w:ascii="Arial" w:hAnsi="Arial" w:cs="Arial"/>
          <w:szCs w:val="24"/>
        </w:rPr>
        <w:t>ome” order on March 23, 2020,</w:t>
      </w:r>
      <w:r w:rsidR="00DD669E">
        <w:rPr>
          <w:rStyle w:val="FootnoteReference"/>
          <w:rFonts w:ascii="Arial" w:hAnsi="Arial" w:cs="Arial"/>
          <w:szCs w:val="24"/>
        </w:rPr>
        <w:footnoteReference w:id="2"/>
      </w:r>
      <w:r w:rsidRPr="00CE6807">
        <w:rPr>
          <w:rFonts w:ascii="Arial" w:hAnsi="Arial" w:cs="Arial"/>
          <w:szCs w:val="24"/>
        </w:rPr>
        <w:t xml:space="preserve"> for all but essential activities and essential workers, including those responding to the COVID-19 outbreak</w:t>
      </w:r>
      <w:r>
        <w:rPr>
          <w:rFonts w:ascii="Arial" w:hAnsi="Arial" w:cs="Arial"/>
          <w:szCs w:val="24"/>
        </w:rPr>
        <w:t xml:space="preserve">. </w:t>
      </w:r>
    </w:p>
    <w:p w14:paraId="2F0F2113" w14:textId="77777777" w:rsidR="00082EFD" w:rsidRDefault="00082EFD" w:rsidP="00082EF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E1FE4E1" w14:textId="7A627276" w:rsidR="00082EFD" w:rsidRDefault="00082EFD" w:rsidP="00082EF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Due to these orders and the impact of t</w:t>
      </w:r>
      <w:r w:rsidRPr="00CE6807">
        <w:rPr>
          <w:rFonts w:ascii="Arial" w:hAnsi="Arial" w:cs="Arial"/>
          <w:szCs w:val="24"/>
        </w:rPr>
        <w:t>he COVID-19 pandemic and response measures ha</w:t>
      </w:r>
      <w:r>
        <w:rPr>
          <w:rFonts w:ascii="Arial" w:hAnsi="Arial" w:cs="Arial"/>
          <w:szCs w:val="24"/>
        </w:rPr>
        <w:t>s</w:t>
      </w:r>
      <w:r w:rsidRPr="00CE6807">
        <w:rPr>
          <w:rFonts w:ascii="Arial" w:hAnsi="Arial" w:cs="Arial"/>
          <w:szCs w:val="24"/>
        </w:rPr>
        <w:t xml:space="preserve"> resulted in a significant reduction in economic activity in retail, construction, manufacturing, travel, tourism, </w:t>
      </w:r>
      <w:r>
        <w:rPr>
          <w:rFonts w:ascii="Arial" w:hAnsi="Arial" w:cs="Arial"/>
          <w:szCs w:val="24"/>
        </w:rPr>
        <w:t xml:space="preserve">hospitality, </w:t>
      </w:r>
      <w:r w:rsidRPr="00CE6807">
        <w:rPr>
          <w:rFonts w:ascii="Arial" w:hAnsi="Arial" w:cs="Arial"/>
          <w:szCs w:val="24"/>
        </w:rPr>
        <w:t xml:space="preserve">professional services, personal services, and other industries and businesses deemed non-essential in the Washington State Governor’s </w:t>
      </w:r>
      <w:r>
        <w:rPr>
          <w:rFonts w:ascii="Arial" w:hAnsi="Arial" w:cs="Arial"/>
          <w:szCs w:val="24"/>
        </w:rPr>
        <w:t xml:space="preserve">and other local </w:t>
      </w:r>
      <w:r w:rsidRPr="00CE6807">
        <w:rPr>
          <w:rFonts w:ascii="Arial" w:hAnsi="Arial" w:cs="Arial"/>
          <w:szCs w:val="24"/>
        </w:rPr>
        <w:t>stay-at-home order</w:t>
      </w:r>
      <w:r>
        <w:rPr>
          <w:rFonts w:ascii="Arial" w:hAnsi="Arial" w:cs="Arial"/>
          <w:szCs w:val="24"/>
        </w:rPr>
        <w:t xml:space="preserve">s. Furthermore, </w:t>
      </w:r>
      <w:r w:rsidRPr="00CE6807">
        <w:rPr>
          <w:rFonts w:ascii="Arial" w:hAnsi="Arial" w:cs="Arial"/>
          <w:szCs w:val="24"/>
        </w:rPr>
        <w:t xml:space="preserve">COVID-19 response </w:t>
      </w:r>
      <w:r w:rsidRPr="00CE6807">
        <w:rPr>
          <w:rFonts w:ascii="Arial" w:hAnsi="Arial" w:cs="Arial"/>
          <w:szCs w:val="24"/>
        </w:rPr>
        <w:lastRenderedPageBreak/>
        <w:t>measures have resulted in significant unemployment claims</w:t>
      </w:r>
      <w:r w:rsidR="00800E9E">
        <w:rPr>
          <w:rStyle w:val="FootnoteReference"/>
          <w:rFonts w:ascii="Arial" w:hAnsi="Arial" w:cs="Arial"/>
          <w:szCs w:val="24"/>
        </w:rPr>
        <w:footnoteReference w:id="3"/>
      </w:r>
      <w:r w:rsidRPr="00CE6807">
        <w:rPr>
          <w:rFonts w:ascii="Arial" w:hAnsi="Arial" w:cs="Arial"/>
          <w:szCs w:val="24"/>
        </w:rPr>
        <w:t xml:space="preserve"> and many Washington and King County businesses have already identified long-term negative impacts that will affect the reopening of businesses after the emergency is lifted</w:t>
      </w:r>
      <w:r>
        <w:rPr>
          <w:rFonts w:ascii="Arial" w:hAnsi="Arial" w:cs="Arial"/>
          <w:szCs w:val="24"/>
        </w:rPr>
        <w:t xml:space="preserve">.   </w:t>
      </w:r>
    </w:p>
    <w:p w14:paraId="160B0CD2" w14:textId="77777777" w:rsidR="00082EFD" w:rsidRDefault="00082EFD" w:rsidP="00082EF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D5E9D3F" w14:textId="13DD75D4" w:rsidR="00575B03" w:rsidRDefault="00082EFD" w:rsidP="00F00AE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Both the state and </w:t>
      </w:r>
      <w:r w:rsidRPr="00CE6807">
        <w:rPr>
          <w:rFonts w:ascii="Arial" w:hAnsi="Arial" w:cs="Arial"/>
          <w:szCs w:val="24"/>
        </w:rPr>
        <w:t>federal government</w:t>
      </w:r>
      <w:r>
        <w:rPr>
          <w:rFonts w:ascii="Arial" w:hAnsi="Arial" w:cs="Arial"/>
          <w:szCs w:val="24"/>
        </w:rPr>
        <w:t>s</w:t>
      </w:r>
      <w:r w:rsidRPr="00CE6807">
        <w:rPr>
          <w:rFonts w:ascii="Arial" w:hAnsi="Arial" w:cs="Arial"/>
          <w:szCs w:val="24"/>
        </w:rPr>
        <w:t xml:space="preserve"> ha</w:t>
      </w:r>
      <w:r>
        <w:rPr>
          <w:rFonts w:ascii="Arial" w:hAnsi="Arial" w:cs="Arial"/>
          <w:szCs w:val="24"/>
        </w:rPr>
        <w:t>ve</w:t>
      </w:r>
      <w:r w:rsidRPr="00CE6807">
        <w:rPr>
          <w:rFonts w:ascii="Arial" w:hAnsi="Arial" w:cs="Arial"/>
          <w:szCs w:val="24"/>
        </w:rPr>
        <w:t xml:space="preserve"> taken actions to ameliorate the financial impact of the pandemic on persons and businesses through </w:t>
      </w:r>
      <w:r w:rsidR="008A1A72">
        <w:rPr>
          <w:rFonts w:ascii="Arial" w:hAnsi="Arial" w:cs="Arial"/>
          <w:szCs w:val="24"/>
        </w:rPr>
        <w:t>a variety of regulatory changes</w:t>
      </w:r>
      <w:r w:rsidR="008E27B2">
        <w:rPr>
          <w:rFonts w:ascii="Arial" w:hAnsi="Arial" w:cs="Arial"/>
          <w:szCs w:val="24"/>
        </w:rPr>
        <w:t xml:space="preserve">, </w:t>
      </w:r>
      <w:r w:rsidR="003552CD">
        <w:rPr>
          <w:rFonts w:ascii="Arial" w:hAnsi="Arial" w:cs="Arial"/>
          <w:szCs w:val="24"/>
        </w:rPr>
        <w:t>moratoriums,</w:t>
      </w:r>
      <w:r w:rsidR="008A1A72">
        <w:rPr>
          <w:rFonts w:ascii="Arial" w:hAnsi="Arial" w:cs="Arial"/>
          <w:szCs w:val="24"/>
        </w:rPr>
        <w:t xml:space="preserve"> and the federal government has </w:t>
      </w:r>
      <w:r w:rsidRPr="00CE6807">
        <w:rPr>
          <w:rFonts w:ascii="Arial" w:hAnsi="Arial" w:cs="Arial"/>
          <w:szCs w:val="24"/>
        </w:rPr>
        <w:t>adopt</w:t>
      </w:r>
      <w:r w:rsidR="001C37AB">
        <w:rPr>
          <w:rFonts w:ascii="Arial" w:hAnsi="Arial" w:cs="Arial"/>
          <w:szCs w:val="24"/>
        </w:rPr>
        <w:t>ed</w:t>
      </w:r>
      <w:r w:rsidRPr="00CE6807">
        <w:rPr>
          <w:rFonts w:ascii="Arial" w:hAnsi="Arial" w:cs="Arial"/>
          <w:szCs w:val="24"/>
        </w:rPr>
        <w:t xml:space="preserve"> a </w:t>
      </w:r>
      <w:r>
        <w:rPr>
          <w:rFonts w:ascii="Arial" w:hAnsi="Arial" w:cs="Arial"/>
          <w:szCs w:val="24"/>
        </w:rPr>
        <w:t>$2.2</w:t>
      </w:r>
      <w:r w:rsidRPr="00CE6807">
        <w:rPr>
          <w:rFonts w:ascii="Arial" w:hAnsi="Arial" w:cs="Arial"/>
          <w:szCs w:val="24"/>
        </w:rPr>
        <w:t xml:space="preserve"> trillion-dollar stimulus package for the country</w:t>
      </w:r>
      <w:r w:rsidR="001C37AB">
        <w:rPr>
          <w:rFonts w:ascii="Arial" w:hAnsi="Arial" w:cs="Arial"/>
          <w:szCs w:val="24"/>
        </w:rPr>
        <w:t xml:space="preserve">, with funds being allocated to state and local governments, </w:t>
      </w:r>
      <w:r w:rsidR="001B6623">
        <w:rPr>
          <w:rFonts w:ascii="Arial" w:hAnsi="Arial" w:cs="Arial"/>
          <w:szCs w:val="24"/>
        </w:rPr>
        <w:t>p</w:t>
      </w:r>
      <w:r w:rsidR="008F1895">
        <w:rPr>
          <w:rFonts w:ascii="Arial" w:hAnsi="Arial" w:cs="Arial"/>
          <w:szCs w:val="24"/>
        </w:rPr>
        <w:t>r</w:t>
      </w:r>
      <w:r w:rsidR="001B6623">
        <w:rPr>
          <w:rFonts w:ascii="Arial" w:hAnsi="Arial" w:cs="Arial"/>
          <w:szCs w:val="24"/>
        </w:rPr>
        <w:t>ivate businesses, non-profit organizations, and individuals</w:t>
      </w:r>
      <w:r w:rsidRPr="00CE6807">
        <w:rPr>
          <w:rFonts w:ascii="Arial" w:hAnsi="Arial" w:cs="Arial"/>
          <w:szCs w:val="24"/>
        </w:rPr>
        <w:t>.</w:t>
      </w:r>
      <w:r w:rsidR="00B931FA">
        <w:rPr>
          <w:rStyle w:val="FootnoteReference"/>
          <w:rFonts w:ascii="Arial" w:hAnsi="Arial" w:cs="Arial"/>
          <w:szCs w:val="24"/>
        </w:rPr>
        <w:footnoteReference w:id="4"/>
      </w:r>
      <w:r w:rsidR="00B04B24">
        <w:rPr>
          <w:rFonts w:ascii="Arial" w:hAnsi="Arial" w:cs="Arial"/>
          <w:szCs w:val="24"/>
        </w:rPr>
        <w:t xml:space="preserve">  </w:t>
      </w:r>
      <w:r w:rsidR="006F1B2A">
        <w:rPr>
          <w:rFonts w:ascii="Arial" w:hAnsi="Arial" w:cs="Arial"/>
          <w:szCs w:val="24"/>
        </w:rPr>
        <w:t xml:space="preserve">The local impact of all of </w:t>
      </w:r>
      <w:r w:rsidR="00B04B24">
        <w:rPr>
          <w:rFonts w:ascii="Arial" w:hAnsi="Arial" w:cs="Arial"/>
          <w:szCs w:val="24"/>
        </w:rPr>
        <w:t xml:space="preserve">these actions </w:t>
      </w:r>
      <w:r w:rsidR="006F1B2A">
        <w:rPr>
          <w:rFonts w:ascii="Arial" w:hAnsi="Arial" w:cs="Arial"/>
          <w:szCs w:val="24"/>
        </w:rPr>
        <w:t>will have significant</w:t>
      </w:r>
      <w:r w:rsidR="00F00AE5">
        <w:rPr>
          <w:rFonts w:ascii="Arial" w:hAnsi="Arial" w:cs="Arial"/>
          <w:szCs w:val="24"/>
        </w:rPr>
        <w:t xml:space="preserve"> short</w:t>
      </w:r>
      <w:r w:rsidR="00C40719">
        <w:rPr>
          <w:rFonts w:ascii="Arial" w:hAnsi="Arial" w:cs="Arial"/>
          <w:szCs w:val="24"/>
        </w:rPr>
        <w:t>-</w:t>
      </w:r>
      <w:r w:rsidR="00F00AE5">
        <w:rPr>
          <w:rFonts w:ascii="Arial" w:hAnsi="Arial" w:cs="Arial"/>
          <w:szCs w:val="24"/>
        </w:rPr>
        <w:t xml:space="preserve"> and long</w:t>
      </w:r>
      <w:r w:rsidR="00C40719">
        <w:rPr>
          <w:rFonts w:ascii="Arial" w:hAnsi="Arial" w:cs="Arial"/>
          <w:szCs w:val="24"/>
        </w:rPr>
        <w:t>-</w:t>
      </w:r>
      <w:r w:rsidR="00F00AE5">
        <w:rPr>
          <w:rFonts w:ascii="Arial" w:hAnsi="Arial" w:cs="Arial"/>
          <w:szCs w:val="24"/>
        </w:rPr>
        <w:t>term impacts on the County.</w:t>
      </w:r>
    </w:p>
    <w:p w14:paraId="014D89C8" w14:textId="77777777" w:rsidR="00F00AE5" w:rsidRDefault="00F00AE5" w:rsidP="00F00AE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C33F92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19AD0B9B" w14:textId="4D94B266" w:rsidR="00264BE1" w:rsidRDefault="00264BE1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72C79B76" w14:textId="1E54E41F" w:rsidR="004D4234" w:rsidRPr="00CE6807" w:rsidRDefault="008D6C14" w:rsidP="00BF745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Th</w:t>
      </w:r>
      <w:r w:rsidR="0017638A">
        <w:rPr>
          <w:rFonts w:ascii="Arial" w:hAnsi="Arial" w:cs="Arial"/>
          <w:bCs/>
          <w:szCs w:val="24"/>
        </w:rPr>
        <w:t>is</w:t>
      </w:r>
      <w:r>
        <w:rPr>
          <w:rFonts w:ascii="Arial" w:hAnsi="Arial" w:cs="Arial"/>
          <w:bCs/>
          <w:szCs w:val="24"/>
        </w:rPr>
        <w:t xml:space="preserve"> Proposed Motion would call on </w:t>
      </w:r>
      <w:r w:rsidR="001B7D6E">
        <w:rPr>
          <w:rFonts w:ascii="Arial" w:hAnsi="Arial" w:cs="Arial"/>
        </w:rPr>
        <w:t xml:space="preserve">the Executive </w:t>
      </w:r>
      <w:r w:rsidR="0017638A">
        <w:rPr>
          <w:rFonts w:ascii="Arial" w:hAnsi="Arial" w:cs="Arial"/>
        </w:rPr>
        <w:t>to establi</w:t>
      </w:r>
      <w:r w:rsidR="0017638A" w:rsidRPr="00CE6807">
        <w:rPr>
          <w:rFonts w:ascii="Arial" w:hAnsi="Arial" w:cs="Arial"/>
          <w:szCs w:val="24"/>
        </w:rPr>
        <w:t xml:space="preserve">sh a </w:t>
      </w:r>
      <w:r w:rsidR="0017638A">
        <w:rPr>
          <w:rFonts w:ascii="Arial" w:hAnsi="Arial" w:cs="Arial"/>
          <w:szCs w:val="24"/>
        </w:rPr>
        <w:t>B</w:t>
      </w:r>
      <w:r w:rsidR="0017638A" w:rsidRPr="00CE6807">
        <w:rPr>
          <w:rFonts w:ascii="Arial" w:hAnsi="Arial" w:cs="Arial"/>
          <w:szCs w:val="24"/>
        </w:rPr>
        <w:t>lue</w:t>
      </w:r>
      <w:r w:rsidR="0017638A">
        <w:rPr>
          <w:rFonts w:ascii="Arial" w:hAnsi="Arial" w:cs="Arial"/>
          <w:szCs w:val="24"/>
        </w:rPr>
        <w:t>-R</w:t>
      </w:r>
      <w:r w:rsidR="0017638A" w:rsidRPr="00CE6807">
        <w:rPr>
          <w:rFonts w:ascii="Arial" w:hAnsi="Arial" w:cs="Arial"/>
          <w:szCs w:val="24"/>
        </w:rPr>
        <w:t>ibbon panel named the  “Coronavirus Recovery Economic” (</w:t>
      </w:r>
      <w:proofErr w:type="spellStart"/>
      <w:r w:rsidR="0017638A" w:rsidRPr="00CE6807">
        <w:rPr>
          <w:rFonts w:ascii="Arial" w:hAnsi="Arial" w:cs="Arial"/>
          <w:szCs w:val="24"/>
        </w:rPr>
        <w:t>CuRE</w:t>
      </w:r>
      <w:proofErr w:type="spellEnd"/>
      <w:r w:rsidR="0017638A" w:rsidRPr="00CE6807">
        <w:rPr>
          <w:rFonts w:ascii="Arial" w:hAnsi="Arial" w:cs="Arial"/>
          <w:szCs w:val="24"/>
        </w:rPr>
        <w:t xml:space="preserve">) task force made up of state and local government leaders and business and industry representatives and leaders to identify issues and make recommendations for the economic recovery to the COVID-19 Pandemic.  </w:t>
      </w:r>
      <w:r w:rsidR="00410791">
        <w:rPr>
          <w:rFonts w:ascii="Arial" w:hAnsi="Arial" w:cs="Arial"/>
          <w:szCs w:val="24"/>
        </w:rPr>
        <w:t>The Motion establishes the membership of the task force to include representatives of state and local government</w:t>
      </w:r>
      <w:r w:rsidR="00221EFC">
        <w:rPr>
          <w:rFonts w:ascii="Arial" w:hAnsi="Arial" w:cs="Arial"/>
          <w:szCs w:val="24"/>
        </w:rPr>
        <w:t xml:space="preserve">, specific industries, unions, and other affected organizations.  In addition, the Motion </w:t>
      </w:r>
      <w:r w:rsidR="00D57C62">
        <w:rPr>
          <w:rFonts w:ascii="Arial" w:hAnsi="Arial" w:cs="Arial"/>
          <w:szCs w:val="24"/>
        </w:rPr>
        <w:t>states</w:t>
      </w:r>
      <w:r w:rsidR="00BF7458">
        <w:rPr>
          <w:rFonts w:ascii="Arial" w:hAnsi="Arial" w:cs="Arial"/>
          <w:szCs w:val="24"/>
        </w:rPr>
        <w:t xml:space="preserve"> that the E</w:t>
      </w:r>
      <w:r w:rsidR="004D4234" w:rsidRPr="00CE6807">
        <w:rPr>
          <w:rFonts w:ascii="Arial" w:hAnsi="Arial" w:cs="Arial"/>
          <w:szCs w:val="24"/>
        </w:rPr>
        <w:t>xecutive should</w:t>
      </w:r>
      <w:r w:rsidR="00BF7458">
        <w:rPr>
          <w:rFonts w:ascii="Arial" w:hAnsi="Arial" w:cs="Arial"/>
          <w:szCs w:val="24"/>
        </w:rPr>
        <w:t xml:space="preserve"> </w:t>
      </w:r>
      <w:r w:rsidR="004D4234" w:rsidRPr="00CE6807">
        <w:rPr>
          <w:rFonts w:ascii="Arial" w:hAnsi="Arial" w:cs="Arial"/>
          <w:szCs w:val="24"/>
        </w:rPr>
        <w:t xml:space="preserve">begin the establishment of the task force </w:t>
      </w:r>
      <w:r w:rsidR="00BF7458" w:rsidRPr="00CE6807">
        <w:rPr>
          <w:rFonts w:ascii="Arial" w:hAnsi="Arial" w:cs="Arial"/>
          <w:szCs w:val="24"/>
        </w:rPr>
        <w:t>by May 15, 2020</w:t>
      </w:r>
      <w:r w:rsidR="00BF7458">
        <w:rPr>
          <w:rFonts w:ascii="Arial" w:hAnsi="Arial" w:cs="Arial"/>
          <w:szCs w:val="24"/>
        </w:rPr>
        <w:t xml:space="preserve"> </w:t>
      </w:r>
      <w:r w:rsidR="004D4234" w:rsidRPr="00CE6807">
        <w:rPr>
          <w:rFonts w:ascii="Arial" w:hAnsi="Arial" w:cs="Arial"/>
          <w:szCs w:val="24"/>
        </w:rPr>
        <w:t xml:space="preserve">and be prepared to report to the </w:t>
      </w:r>
      <w:r w:rsidR="00065EFB">
        <w:rPr>
          <w:rFonts w:ascii="Arial" w:hAnsi="Arial" w:cs="Arial"/>
          <w:szCs w:val="24"/>
        </w:rPr>
        <w:t>C</w:t>
      </w:r>
      <w:r w:rsidR="004D4234" w:rsidRPr="00CE6807">
        <w:rPr>
          <w:rFonts w:ascii="Arial" w:hAnsi="Arial" w:cs="Arial"/>
          <w:szCs w:val="24"/>
        </w:rPr>
        <w:t>ouncil its recommendations within three months of effective date of this motion.</w:t>
      </w:r>
    </w:p>
    <w:p w14:paraId="6F2C51E7" w14:textId="29C4BAE1" w:rsidR="0017638A" w:rsidRPr="00CE6807" w:rsidRDefault="0017638A" w:rsidP="0017638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059DE2C" w14:textId="680CA98A" w:rsidR="0017638A" w:rsidRDefault="00B64627" w:rsidP="001B7D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64627">
        <w:rPr>
          <w:rFonts w:ascii="Arial" w:hAnsi="Arial" w:cs="Arial"/>
          <w:b/>
          <w:bCs/>
          <w:u w:val="single"/>
        </w:rPr>
        <w:t>AMENDMENT</w:t>
      </w:r>
    </w:p>
    <w:p w14:paraId="48D10267" w14:textId="1555F925" w:rsidR="00B64627" w:rsidRDefault="00B64627" w:rsidP="001B7D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E43BE1C" w14:textId="2B8E05C7" w:rsidR="00B64627" w:rsidRPr="00B64627" w:rsidRDefault="00B64627" w:rsidP="001B7D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 Striking Amendment that incorporate</w:t>
      </w:r>
      <w:r w:rsidR="00280E72">
        <w:rPr>
          <w:rFonts w:ascii="Arial" w:hAnsi="Arial" w:cs="Arial"/>
        </w:rPr>
        <w:t>s format and</w:t>
      </w:r>
      <w:r>
        <w:rPr>
          <w:rFonts w:ascii="Arial" w:hAnsi="Arial" w:cs="Arial"/>
        </w:rPr>
        <w:t xml:space="preserve"> technical changes recommended by the Code Reviser.</w:t>
      </w:r>
    </w:p>
    <w:p w14:paraId="69B4F507" w14:textId="77777777" w:rsidR="00B64627" w:rsidRDefault="00B64627" w:rsidP="001B7D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821184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11E6D085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7A4A28FD" w14:textId="6CA007DC" w:rsidR="00C521D8" w:rsidRDefault="00FC69E2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Proposed Motion 2020-</w:t>
      </w:r>
      <w:r w:rsidR="00F972FB">
        <w:rPr>
          <w:rFonts w:ascii="Arial" w:hAnsi="Arial" w:cs="Arial"/>
          <w:i w:val="0"/>
          <w:szCs w:val="24"/>
        </w:rPr>
        <w:t>016</w:t>
      </w:r>
      <w:r w:rsidR="001B7D6E">
        <w:rPr>
          <w:rFonts w:ascii="Arial" w:hAnsi="Arial" w:cs="Arial"/>
          <w:i w:val="0"/>
          <w:szCs w:val="24"/>
        </w:rPr>
        <w:t>6</w:t>
      </w:r>
    </w:p>
    <w:p w14:paraId="525A7556" w14:textId="15B98AEB" w:rsidR="00E55212" w:rsidRDefault="00E55212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Striking Amendment S-1</w:t>
      </w:r>
    </w:p>
    <w:p w14:paraId="0A131505" w14:textId="3279F168" w:rsidR="00E55212" w:rsidRPr="00FC69E2" w:rsidRDefault="00E55212" w:rsidP="00280E72">
      <w:pPr>
        <w:pStyle w:val="BodyText"/>
        <w:ind w:left="360"/>
        <w:jc w:val="both"/>
        <w:rPr>
          <w:rFonts w:ascii="Arial" w:hAnsi="Arial" w:cs="Arial"/>
          <w:i w:val="0"/>
          <w:szCs w:val="24"/>
        </w:rPr>
      </w:pPr>
    </w:p>
    <w:sectPr w:rsidR="00E55212" w:rsidRPr="00FC69E2" w:rsidSect="00C75025">
      <w:headerReference w:type="first" r:id="rId11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1251" w14:textId="77777777" w:rsidR="00C67051" w:rsidRDefault="00C67051">
      <w:r>
        <w:separator/>
      </w:r>
    </w:p>
  </w:endnote>
  <w:endnote w:type="continuationSeparator" w:id="0">
    <w:p w14:paraId="2839B21B" w14:textId="77777777" w:rsidR="00C67051" w:rsidRDefault="00C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47BA" w14:textId="77777777" w:rsidR="00C67051" w:rsidRDefault="00C67051">
      <w:r>
        <w:separator/>
      </w:r>
    </w:p>
  </w:footnote>
  <w:footnote w:type="continuationSeparator" w:id="0">
    <w:p w14:paraId="0827DAE9" w14:textId="77777777" w:rsidR="00C67051" w:rsidRDefault="00C67051">
      <w:r>
        <w:continuationSeparator/>
      </w:r>
    </w:p>
  </w:footnote>
  <w:footnote w:id="1">
    <w:p w14:paraId="609CDE65" w14:textId="3892A3BB" w:rsidR="00F477DD" w:rsidRDefault="00F477DD" w:rsidP="00E55212">
      <w:pPr>
        <w:pStyle w:val="Heading1"/>
        <w:shd w:val="clear" w:color="auto" w:fill="FFFFFF"/>
        <w:spacing w:before="0"/>
      </w:pPr>
      <w:r w:rsidRPr="006C7A19">
        <w:rPr>
          <w:rStyle w:val="FootnoteReference"/>
          <w:rFonts w:ascii="Times New Roman" w:hAnsi="Times New Roman" w:cs="Times New Roman"/>
          <w:color w:val="auto"/>
          <w:sz w:val="22"/>
          <w:szCs w:val="22"/>
        </w:rPr>
        <w:footnoteRef/>
      </w:r>
      <w:r w:rsidR="00AB6723">
        <w:rPr>
          <w:rFonts w:ascii="Times New Roman" w:hAnsi="Times New Roman" w:cs="Times New Roman"/>
          <w:color w:val="23221F"/>
          <w:sz w:val="20"/>
          <w:szCs w:val="20"/>
        </w:rPr>
        <w:t xml:space="preserve"> Proclamation of Emergency</w:t>
      </w:r>
      <w:r w:rsidR="00C23FDF">
        <w:rPr>
          <w:rFonts w:ascii="Times New Roman" w:hAnsi="Times New Roman" w:cs="Times New Roman"/>
          <w:color w:val="23221F"/>
          <w:sz w:val="20"/>
          <w:szCs w:val="20"/>
        </w:rPr>
        <w:t>,</w:t>
      </w:r>
      <w:r w:rsidR="006C7A19">
        <w:rPr>
          <w:rFonts w:ascii="Times New Roman" w:hAnsi="Times New Roman" w:cs="Times New Roman"/>
          <w:color w:val="23221F"/>
          <w:sz w:val="20"/>
          <w:szCs w:val="20"/>
        </w:rPr>
        <w:t xml:space="preserve"> “</w:t>
      </w:r>
      <w:r w:rsidRPr="00F477DD">
        <w:rPr>
          <w:rFonts w:ascii="Times New Roman" w:hAnsi="Times New Roman" w:cs="Times New Roman"/>
          <w:color w:val="23221F"/>
          <w:sz w:val="20"/>
          <w:szCs w:val="20"/>
        </w:rPr>
        <w:t>Significant Health Emergency Caused by Novel Coronavirus</w:t>
      </w:r>
      <w:r w:rsidR="006C7A19">
        <w:rPr>
          <w:rFonts w:ascii="Times New Roman" w:hAnsi="Times New Roman" w:cs="Times New Roman"/>
          <w:color w:val="23221F"/>
          <w:sz w:val="20"/>
          <w:szCs w:val="20"/>
        </w:rPr>
        <w:t xml:space="preserve">” </w:t>
      </w:r>
      <w:r w:rsidRPr="00F477DD">
        <w:rPr>
          <w:rStyle w:val="Strong"/>
          <w:rFonts w:ascii="Times New Roman" w:hAnsi="Times New Roman" w:cs="Times New Roman"/>
          <w:b w:val="0"/>
          <w:bCs w:val="0"/>
          <w:color w:val="23221F"/>
          <w:sz w:val="20"/>
          <w:szCs w:val="20"/>
        </w:rPr>
        <w:t>Document Code No.: </w:t>
      </w:r>
      <w:r w:rsidRPr="00F477DD">
        <w:rPr>
          <w:rFonts w:ascii="Times New Roman" w:hAnsi="Times New Roman" w:cs="Times New Roman"/>
          <w:color w:val="23221F"/>
          <w:sz w:val="20"/>
          <w:szCs w:val="20"/>
        </w:rPr>
        <w:t>PHL-10-4-EO</w:t>
      </w:r>
      <w:r w:rsidR="00AB6723">
        <w:rPr>
          <w:rFonts w:ascii="Times New Roman" w:hAnsi="Times New Roman" w:cs="Times New Roman"/>
          <w:color w:val="23221F"/>
          <w:sz w:val="20"/>
          <w:szCs w:val="20"/>
        </w:rPr>
        <w:t>,</w:t>
      </w:r>
      <w:r w:rsidRPr="00F477DD">
        <w:rPr>
          <w:rStyle w:val="Strong"/>
          <w:rFonts w:ascii="Times New Roman" w:hAnsi="Times New Roman" w:cs="Times New Roman"/>
          <w:b w:val="0"/>
          <w:bCs w:val="0"/>
          <w:color w:val="23221F"/>
          <w:sz w:val="20"/>
          <w:szCs w:val="20"/>
        </w:rPr>
        <w:t> </w:t>
      </w:r>
      <w:r w:rsidRPr="00F477DD">
        <w:rPr>
          <w:rFonts w:ascii="Times New Roman" w:hAnsi="Times New Roman" w:cs="Times New Roman"/>
          <w:color w:val="23221F"/>
          <w:sz w:val="20"/>
          <w:szCs w:val="20"/>
        </w:rPr>
        <w:t>March 1, 2020</w:t>
      </w:r>
      <w:r w:rsidR="00C23FDF">
        <w:rPr>
          <w:rFonts w:ascii="Times New Roman" w:hAnsi="Times New Roman" w:cs="Times New Roman"/>
          <w:color w:val="23221F"/>
          <w:sz w:val="20"/>
          <w:szCs w:val="20"/>
        </w:rPr>
        <w:t>.</w:t>
      </w:r>
    </w:p>
  </w:footnote>
  <w:footnote w:id="2">
    <w:p w14:paraId="301E8668" w14:textId="17EFAAC4" w:rsidR="00DD669E" w:rsidRDefault="00DD669E" w:rsidP="00B70233">
      <w:r>
        <w:rPr>
          <w:rStyle w:val="FootnoteReference"/>
        </w:rPr>
        <w:footnoteRef/>
      </w:r>
      <w:r>
        <w:t xml:space="preserve"> </w:t>
      </w:r>
      <w:r w:rsidR="00B65273">
        <w:rPr>
          <w:sz w:val="20"/>
        </w:rPr>
        <w:t xml:space="preserve">Proclamation 20-25, by the Governor Amending Proclamation 20-05 “Stay Home-Stay Healthy” Office of the Washington State Governor, March </w:t>
      </w:r>
      <w:r w:rsidR="00B931FA">
        <w:rPr>
          <w:sz w:val="20"/>
        </w:rPr>
        <w:t>23, 2020.</w:t>
      </w:r>
    </w:p>
  </w:footnote>
  <w:footnote w:id="3">
    <w:p w14:paraId="2DCDFFAC" w14:textId="0B2EFBCD" w:rsidR="00800E9E" w:rsidRDefault="00800E9E" w:rsidP="00280E72">
      <w:pPr>
        <w:pStyle w:val="NormalWeb"/>
        <w:spacing w:after="240" w:afterAutospacing="0"/>
      </w:pPr>
      <w:r w:rsidRPr="000653B0">
        <w:rPr>
          <w:rStyle w:val="FootnoteReference"/>
          <w:sz w:val="20"/>
          <w:szCs w:val="20"/>
        </w:rPr>
        <w:footnoteRef/>
      </w:r>
      <w:r w:rsidRPr="000653B0">
        <w:rPr>
          <w:sz w:val="20"/>
          <w:szCs w:val="20"/>
        </w:rPr>
        <w:t xml:space="preserve"> </w:t>
      </w:r>
      <w:r w:rsidR="00043E27" w:rsidRPr="000653B0">
        <w:rPr>
          <w:sz w:val="20"/>
          <w:szCs w:val="20"/>
        </w:rPr>
        <w:t xml:space="preserve">Over </w:t>
      </w:r>
      <w:r w:rsidR="000653B0" w:rsidRPr="000653B0">
        <w:rPr>
          <w:sz w:val="20"/>
          <w:szCs w:val="20"/>
        </w:rPr>
        <w:t>“</w:t>
      </w:r>
      <w:r w:rsidR="000653B0" w:rsidRPr="000653B0">
        <w:rPr>
          <w:color w:val="232323"/>
          <w:sz w:val="20"/>
          <w:szCs w:val="20"/>
        </w:rPr>
        <w:t>170,000 new jobless claims were filed in the state for the week ending April 4 – seven times the peak during the height of the Great Recession.</w:t>
      </w:r>
      <w:r w:rsidR="000653B0">
        <w:rPr>
          <w:color w:val="232323"/>
          <w:sz w:val="20"/>
          <w:szCs w:val="20"/>
        </w:rPr>
        <w:t xml:space="preserve">”  </w:t>
      </w:r>
      <w:r w:rsidR="003D04C5">
        <w:rPr>
          <w:color w:val="232323"/>
          <w:sz w:val="20"/>
          <w:szCs w:val="20"/>
        </w:rPr>
        <w:t>Business and Worker’s Weekly Update, Washington State Department of Commerce</w:t>
      </w:r>
      <w:r w:rsidR="00B70233">
        <w:rPr>
          <w:color w:val="232323"/>
          <w:sz w:val="20"/>
          <w:szCs w:val="20"/>
        </w:rPr>
        <w:t>, April 15, 2020.</w:t>
      </w:r>
    </w:p>
  </w:footnote>
  <w:footnote w:id="4">
    <w:p w14:paraId="31FDFFA3" w14:textId="52452DB3" w:rsidR="00B931FA" w:rsidRPr="00694BAC" w:rsidRDefault="00B931FA">
      <w:pPr>
        <w:pStyle w:val="FootnoteText"/>
      </w:pPr>
      <w:r w:rsidRPr="00280E72">
        <w:rPr>
          <w:rStyle w:val="FootnoteReference"/>
        </w:rPr>
        <w:footnoteRef/>
      </w:r>
      <w:r w:rsidRPr="00280E72">
        <w:t xml:space="preserve"> </w:t>
      </w:r>
      <w:r w:rsidR="00BA0E4D" w:rsidRPr="00280E72">
        <w:t>“</w:t>
      </w:r>
      <w:r w:rsidR="00340075" w:rsidRPr="00280E72">
        <w:t>Coronavirus Preparedness and Response Supplemental Appropriations Act, 2020</w:t>
      </w:r>
      <w:r w:rsidR="00694BAC" w:rsidRPr="00280E72">
        <w:rPr>
          <w:shd w:val="clear" w:color="auto" w:fill="FFFFFF"/>
        </w:rPr>
        <w:t>,</w:t>
      </w:r>
      <w:r w:rsidR="00BA0E4D" w:rsidRPr="00280E72">
        <w:rPr>
          <w:shd w:val="clear" w:color="auto" w:fill="FFFFFF"/>
        </w:rPr>
        <w:t>”</w:t>
      </w:r>
      <w:r w:rsidR="00694BAC" w:rsidRPr="00280E72">
        <w:rPr>
          <w:shd w:val="clear" w:color="auto" w:fill="FFFFFF"/>
        </w:rPr>
        <w:t xml:space="preserve"> </w:t>
      </w:r>
      <w:r w:rsidR="0075059E" w:rsidRPr="00280E72">
        <w:rPr>
          <w:shd w:val="clear" w:color="auto" w:fill="FFFFFF"/>
        </w:rPr>
        <w:t xml:space="preserve">H.R. </w:t>
      </w:r>
      <w:r w:rsidR="007D19FA" w:rsidRPr="00280E72">
        <w:rPr>
          <w:shd w:val="clear" w:color="auto" w:fill="FFFFFF"/>
        </w:rPr>
        <w:t>6074</w:t>
      </w:r>
      <w:r w:rsidR="0075059E" w:rsidRPr="00280E72">
        <w:rPr>
          <w:shd w:val="clear" w:color="auto" w:fill="FFFFFF"/>
        </w:rPr>
        <w:t>, Ma</w:t>
      </w:r>
      <w:r w:rsidR="007D19FA" w:rsidRPr="00280E72">
        <w:rPr>
          <w:shd w:val="clear" w:color="auto" w:fill="FFFFFF"/>
        </w:rPr>
        <w:t xml:space="preserve">rch </w:t>
      </w:r>
      <w:r w:rsidR="00BA0E4D" w:rsidRPr="00280E72">
        <w:rPr>
          <w:shd w:val="clear" w:color="auto" w:fill="FFFFFF"/>
        </w:rPr>
        <w:t>6, 2020.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8B7A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6B2DF1D3" wp14:editId="5CA31C91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FB730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0F038D9F" w14:textId="249E3052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63B07FC5" w14:textId="28CC7CC5" w:rsidR="006563CB" w:rsidRDefault="006563CB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  <w:p w14:paraId="165CD6CB" w14:textId="77777777" w:rsidR="00C75025" w:rsidRPr="004A1D48" w:rsidRDefault="00C75025" w:rsidP="00C75025">
    <w:pPr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6662C"/>
    <w:multiLevelType w:val="hybridMultilevel"/>
    <w:tmpl w:val="E1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942420"/>
    <w:multiLevelType w:val="hybridMultilevel"/>
    <w:tmpl w:val="3F74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42"/>
  </w:num>
  <w:num w:numId="5">
    <w:abstractNumId w:val="39"/>
  </w:num>
  <w:num w:numId="6">
    <w:abstractNumId w:val="13"/>
  </w:num>
  <w:num w:numId="7">
    <w:abstractNumId w:val="40"/>
  </w:num>
  <w:num w:numId="8">
    <w:abstractNumId w:val="15"/>
  </w:num>
  <w:num w:numId="9">
    <w:abstractNumId w:val="3"/>
  </w:num>
  <w:num w:numId="10">
    <w:abstractNumId w:val="41"/>
  </w:num>
  <w:num w:numId="11">
    <w:abstractNumId w:val="2"/>
  </w:num>
  <w:num w:numId="12">
    <w:abstractNumId w:val="18"/>
  </w:num>
  <w:num w:numId="13">
    <w:abstractNumId w:val="22"/>
  </w:num>
  <w:num w:numId="14">
    <w:abstractNumId w:val="17"/>
  </w:num>
  <w:num w:numId="15">
    <w:abstractNumId w:val="24"/>
  </w:num>
  <w:num w:numId="16">
    <w:abstractNumId w:val="16"/>
  </w:num>
  <w:num w:numId="17">
    <w:abstractNumId w:val="34"/>
  </w:num>
  <w:num w:numId="18">
    <w:abstractNumId w:val="23"/>
  </w:num>
  <w:num w:numId="19">
    <w:abstractNumId w:val="31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5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6"/>
  </w:num>
  <w:num w:numId="38">
    <w:abstractNumId w:val="20"/>
  </w:num>
  <w:num w:numId="39">
    <w:abstractNumId w:val="32"/>
  </w:num>
  <w:num w:numId="40">
    <w:abstractNumId w:val="29"/>
  </w:num>
  <w:num w:numId="41">
    <w:abstractNumId w:val="37"/>
  </w:num>
  <w:num w:numId="42">
    <w:abstractNumId w:val="26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5440"/>
    <w:rsid w:val="00006AAA"/>
    <w:rsid w:val="00007170"/>
    <w:rsid w:val="000079A1"/>
    <w:rsid w:val="0001061C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0E9D"/>
    <w:rsid w:val="00043E27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53B0"/>
    <w:rsid w:val="00065EFB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2EFD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28B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30E"/>
    <w:rsid w:val="000F29F5"/>
    <w:rsid w:val="000F4DCA"/>
    <w:rsid w:val="000F5E4A"/>
    <w:rsid w:val="00100AEC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21E8"/>
    <w:rsid w:val="00163DEF"/>
    <w:rsid w:val="0016552E"/>
    <w:rsid w:val="00166774"/>
    <w:rsid w:val="001675B4"/>
    <w:rsid w:val="001702C8"/>
    <w:rsid w:val="001718C9"/>
    <w:rsid w:val="00171FE0"/>
    <w:rsid w:val="001738AC"/>
    <w:rsid w:val="00173D99"/>
    <w:rsid w:val="00174080"/>
    <w:rsid w:val="00174BB6"/>
    <w:rsid w:val="00174FEE"/>
    <w:rsid w:val="0017638A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623"/>
    <w:rsid w:val="001B6C67"/>
    <w:rsid w:val="001B7023"/>
    <w:rsid w:val="001B7D6E"/>
    <w:rsid w:val="001C0CD3"/>
    <w:rsid w:val="001C254D"/>
    <w:rsid w:val="001C37AB"/>
    <w:rsid w:val="001C4B19"/>
    <w:rsid w:val="001C4EAE"/>
    <w:rsid w:val="001D0111"/>
    <w:rsid w:val="001D15FF"/>
    <w:rsid w:val="001D2DDB"/>
    <w:rsid w:val="001D335B"/>
    <w:rsid w:val="001D396A"/>
    <w:rsid w:val="001D4E93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1F6EC6"/>
    <w:rsid w:val="002005DF"/>
    <w:rsid w:val="00201498"/>
    <w:rsid w:val="00202D9F"/>
    <w:rsid w:val="002054F9"/>
    <w:rsid w:val="002072C9"/>
    <w:rsid w:val="0020735A"/>
    <w:rsid w:val="00210E29"/>
    <w:rsid w:val="00212C08"/>
    <w:rsid w:val="00215732"/>
    <w:rsid w:val="00220282"/>
    <w:rsid w:val="00221EFC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53BA"/>
    <w:rsid w:val="00236BA3"/>
    <w:rsid w:val="00240199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0E72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52A0"/>
    <w:rsid w:val="002A6326"/>
    <w:rsid w:val="002B0E1F"/>
    <w:rsid w:val="002B376D"/>
    <w:rsid w:val="002B388F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28A6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B05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3DBB"/>
    <w:rsid w:val="003260D6"/>
    <w:rsid w:val="00327189"/>
    <w:rsid w:val="0032788E"/>
    <w:rsid w:val="00330976"/>
    <w:rsid w:val="00332122"/>
    <w:rsid w:val="00332D92"/>
    <w:rsid w:val="00336FF7"/>
    <w:rsid w:val="003377D3"/>
    <w:rsid w:val="00340075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2CD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959"/>
    <w:rsid w:val="00384C61"/>
    <w:rsid w:val="00386DA4"/>
    <w:rsid w:val="003910D8"/>
    <w:rsid w:val="003912A1"/>
    <w:rsid w:val="003914D8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4BE4"/>
    <w:rsid w:val="003C6B62"/>
    <w:rsid w:val="003C7596"/>
    <w:rsid w:val="003C78B5"/>
    <w:rsid w:val="003D04C5"/>
    <w:rsid w:val="003D06D2"/>
    <w:rsid w:val="003D24A2"/>
    <w:rsid w:val="003D38C9"/>
    <w:rsid w:val="003D3E56"/>
    <w:rsid w:val="003D7347"/>
    <w:rsid w:val="003E0A75"/>
    <w:rsid w:val="003E2957"/>
    <w:rsid w:val="003E32E3"/>
    <w:rsid w:val="003E52FC"/>
    <w:rsid w:val="003E54B1"/>
    <w:rsid w:val="003E6396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0791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D6B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61E"/>
    <w:rsid w:val="004D2FE8"/>
    <w:rsid w:val="004D30D7"/>
    <w:rsid w:val="004D31B6"/>
    <w:rsid w:val="004D3E48"/>
    <w:rsid w:val="004D4234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D93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726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78D"/>
    <w:rsid w:val="005A5CC1"/>
    <w:rsid w:val="005A7B2A"/>
    <w:rsid w:val="005A7E12"/>
    <w:rsid w:val="005B0541"/>
    <w:rsid w:val="005B0FD8"/>
    <w:rsid w:val="005B4026"/>
    <w:rsid w:val="005B478C"/>
    <w:rsid w:val="005B7D1A"/>
    <w:rsid w:val="005C3532"/>
    <w:rsid w:val="005C44C6"/>
    <w:rsid w:val="005C4BCC"/>
    <w:rsid w:val="005C624B"/>
    <w:rsid w:val="005D056C"/>
    <w:rsid w:val="005D1665"/>
    <w:rsid w:val="005E0937"/>
    <w:rsid w:val="005E3B87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1B7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5ED9"/>
    <w:rsid w:val="00616C01"/>
    <w:rsid w:val="006201B7"/>
    <w:rsid w:val="0062055D"/>
    <w:rsid w:val="00623245"/>
    <w:rsid w:val="006233C8"/>
    <w:rsid w:val="00623E0D"/>
    <w:rsid w:val="00626066"/>
    <w:rsid w:val="006270DE"/>
    <w:rsid w:val="006270F9"/>
    <w:rsid w:val="006315D7"/>
    <w:rsid w:val="006317CD"/>
    <w:rsid w:val="0063186B"/>
    <w:rsid w:val="00631E7B"/>
    <w:rsid w:val="00631F6B"/>
    <w:rsid w:val="00632319"/>
    <w:rsid w:val="00632ED8"/>
    <w:rsid w:val="00641390"/>
    <w:rsid w:val="006414E2"/>
    <w:rsid w:val="006425FE"/>
    <w:rsid w:val="00643BA7"/>
    <w:rsid w:val="00643DFB"/>
    <w:rsid w:val="00643E28"/>
    <w:rsid w:val="00645C5A"/>
    <w:rsid w:val="00650F7C"/>
    <w:rsid w:val="0065437B"/>
    <w:rsid w:val="0065437F"/>
    <w:rsid w:val="006563CB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4BAC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A7ED2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2D8"/>
    <w:rsid w:val="006C1861"/>
    <w:rsid w:val="006C7139"/>
    <w:rsid w:val="006C71C9"/>
    <w:rsid w:val="006C7A1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1B2A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3A3D"/>
    <w:rsid w:val="00734103"/>
    <w:rsid w:val="0073475E"/>
    <w:rsid w:val="00734CFE"/>
    <w:rsid w:val="00734F1B"/>
    <w:rsid w:val="00734F2E"/>
    <w:rsid w:val="007362F4"/>
    <w:rsid w:val="007404DF"/>
    <w:rsid w:val="00746F6A"/>
    <w:rsid w:val="007470ED"/>
    <w:rsid w:val="00750388"/>
    <w:rsid w:val="0075059E"/>
    <w:rsid w:val="007506B8"/>
    <w:rsid w:val="00751F2E"/>
    <w:rsid w:val="00753172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85660"/>
    <w:rsid w:val="00790106"/>
    <w:rsid w:val="00790D5F"/>
    <w:rsid w:val="00791045"/>
    <w:rsid w:val="00795056"/>
    <w:rsid w:val="007964BF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19FA"/>
    <w:rsid w:val="007D2C57"/>
    <w:rsid w:val="007D72EC"/>
    <w:rsid w:val="007D78E8"/>
    <w:rsid w:val="007D7D5A"/>
    <w:rsid w:val="007E3231"/>
    <w:rsid w:val="007F0F9A"/>
    <w:rsid w:val="007F2EFD"/>
    <w:rsid w:val="007F3034"/>
    <w:rsid w:val="007F566F"/>
    <w:rsid w:val="00800E9E"/>
    <w:rsid w:val="0080188E"/>
    <w:rsid w:val="008028FF"/>
    <w:rsid w:val="008029E9"/>
    <w:rsid w:val="0080343E"/>
    <w:rsid w:val="00803ADB"/>
    <w:rsid w:val="0080466D"/>
    <w:rsid w:val="00804D5C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4143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31D0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1E2D"/>
    <w:rsid w:val="00892075"/>
    <w:rsid w:val="00892A2F"/>
    <w:rsid w:val="0089377A"/>
    <w:rsid w:val="00894CDD"/>
    <w:rsid w:val="00897140"/>
    <w:rsid w:val="008A1766"/>
    <w:rsid w:val="008A1A72"/>
    <w:rsid w:val="008A2B57"/>
    <w:rsid w:val="008A5B27"/>
    <w:rsid w:val="008A5F35"/>
    <w:rsid w:val="008A706A"/>
    <w:rsid w:val="008B2C01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B0A"/>
    <w:rsid w:val="008D2884"/>
    <w:rsid w:val="008D2E17"/>
    <w:rsid w:val="008D460A"/>
    <w:rsid w:val="008D6C14"/>
    <w:rsid w:val="008D79B2"/>
    <w:rsid w:val="008D7ED0"/>
    <w:rsid w:val="008E27B2"/>
    <w:rsid w:val="008E2972"/>
    <w:rsid w:val="008E30E9"/>
    <w:rsid w:val="008E4FD4"/>
    <w:rsid w:val="008E5F44"/>
    <w:rsid w:val="008F1895"/>
    <w:rsid w:val="008F18D1"/>
    <w:rsid w:val="008F3077"/>
    <w:rsid w:val="008F40D5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36DC0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7643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683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5DB8"/>
    <w:rsid w:val="00AB62CD"/>
    <w:rsid w:val="00AB6723"/>
    <w:rsid w:val="00AB745F"/>
    <w:rsid w:val="00AB7EDB"/>
    <w:rsid w:val="00AC1CD2"/>
    <w:rsid w:val="00AC47E5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4B2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55DE5"/>
    <w:rsid w:val="00B64627"/>
    <w:rsid w:val="00B65273"/>
    <w:rsid w:val="00B65EB6"/>
    <w:rsid w:val="00B66304"/>
    <w:rsid w:val="00B701FA"/>
    <w:rsid w:val="00B70233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31FA"/>
    <w:rsid w:val="00B943D8"/>
    <w:rsid w:val="00B94EC0"/>
    <w:rsid w:val="00B954C0"/>
    <w:rsid w:val="00B97541"/>
    <w:rsid w:val="00BA0E4D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2082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4B17"/>
    <w:rsid w:val="00BE5F70"/>
    <w:rsid w:val="00BF0A06"/>
    <w:rsid w:val="00BF14DE"/>
    <w:rsid w:val="00BF201B"/>
    <w:rsid w:val="00BF2F40"/>
    <w:rsid w:val="00BF6682"/>
    <w:rsid w:val="00BF69A0"/>
    <w:rsid w:val="00BF7458"/>
    <w:rsid w:val="00C00353"/>
    <w:rsid w:val="00C01B37"/>
    <w:rsid w:val="00C02B0D"/>
    <w:rsid w:val="00C039FB"/>
    <w:rsid w:val="00C0656A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3FDF"/>
    <w:rsid w:val="00C24296"/>
    <w:rsid w:val="00C2460A"/>
    <w:rsid w:val="00C2551D"/>
    <w:rsid w:val="00C26326"/>
    <w:rsid w:val="00C26D26"/>
    <w:rsid w:val="00C27E56"/>
    <w:rsid w:val="00C27F02"/>
    <w:rsid w:val="00C30C8A"/>
    <w:rsid w:val="00C30D67"/>
    <w:rsid w:val="00C315A7"/>
    <w:rsid w:val="00C3183B"/>
    <w:rsid w:val="00C3244B"/>
    <w:rsid w:val="00C35A36"/>
    <w:rsid w:val="00C36D52"/>
    <w:rsid w:val="00C37A37"/>
    <w:rsid w:val="00C40719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663F2"/>
    <w:rsid w:val="00C67051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46D5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6469"/>
    <w:rsid w:val="00CA74BD"/>
    <w:rsid w:val="00CB0923"/>
    <w:rsid w:val="00CB1443"/>
    <w:rsid w:val="00CB175C"/>
    <w:rsid w:val="00CB2BF5"/>
    <w:rsid w:val="00CB4508"/>
    <w:rsid w:val="00CB53AB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7C62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22EB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5826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669E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2D29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10A1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0ED4"/>
    <w:rsid w:val="00E32B17"/>
    <w:rsid w:val="00E3323F"/>
    <w:rsid w:val="00E33C11"/>
    <w:rsid w:val="00E34C23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5212"/>
    <w:rsid w:val="00E56250"/>
    <w:rsid w:val="00E56AB1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267A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0227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0AE5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477DD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2FB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2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E2900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character" w:customStyle="1" w:styleId="Heading1Char">
    <w:name w:val="Heading 1 Char"/>
    <w:basedOn w:val="DefaultParagraphFont"/>
    <w:link w:val="Heading1"/>
    <w:uiPriority w:val="9"/>
    <w:rsid w:val="00F47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9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6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24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D930E709BF42BA95855631B9ACA9" ma:contentTypeVersion="10" ma:contentTypeDescription="Create a new document." ma:contentTypeScope="" ma:versionID="4813317a3ca7c90b5e24002c47fe49f7">
  <xsd:schema xmlns:xsd="http://www.w3.org/2001/XMLSchema" xmlns:xs="http://www.w3.org/2001/XMLSchema" xmlns:p="http://schemas.microsoft.com/office/2006/metadata/properties" xmlns:ns3="39d22586-6408-44fc-8505-9909cb7fe849" targetNamespace="http://schemas.microsoft.com/office/2006/metadata/properties" ma:root="true" ma:fieldsID="944626203a3ca45e3494dd6c3c21335e" ns3:_="">
    <xsd:import namespace="39d22586-6408-44fc-8505-9909cb7fe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2586-6408-44fc-8505-9909cb7f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3B00-B5D8-4D6D-A2DC-DDB3294A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2586-6408-44fc-8505-9909cb7f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967A4-00BB-46E5-9883-C86EE5B4F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75280-8AD5-47A1-97AA-BEEE390D4DA2}">
  <ds:schemaRefs>
    <ds:schemaRef ds:uri="http://schemas.microsoft.com/office/2006/documentManagement/types"/>
    <ds:schemaRef ds:uri="http://schemas.microsoft.com/office/infopath/2007/PartnerControls"/>
    <ds:schemaRef ds:uri="39d22586-6408-44fc-8505-9909cb7fe84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8C4BF4-E35C-4377-8822-D12B956A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Calderon, Angelica</cp:lastModifiedBy>
  <cp:revision>4</cp:revision>
  <cp:lastPrinted>2015-03-13T15:09:00Z</cp:lastPrinted>
  <dcterms:created xsi:type="dcterms:W3CDTF">2020-04-15T18:55:00Z</dcterms:created>
  <dcterms:modified xsi:type="dcterms:W3CDTF">2020-04-17T18:32:00Z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0x01010080ADD930E709BF42BA95855631B9ACA9</vt:lpwstr>
  </property>
</Properties>
</file>