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F7" w:rsidRPr="00A46A5D" w:rsidRDefault="00DC71F7" w:rsidP="00DC71F7">
      <w:pPr>
        <w:pStyle w:val="Heading2"/>
        <w:rPr>
          <w:b w:val="0"/>
          <w:sz w:val="24"/>
          <w:u w:val="none"/>
        </w:rPr>
      </w:pPr>
      <w:bookmarkStart w:id="0" w:name="_GoBack"/>
      <w:bookmarkEnd w:id="0"/>
    </w:p>
    <w:p w:rsidR="00DC71F7" w:rsidRPr="00F71F8C" w:rsidRDefault="00DC71F7" w:rsidP="00DC71F7">
      <w:pPr>
        <w:pStyle w:val="Heading2"/>
        <w:rPr>
          <w:rFonts w:ascii="Arial" w:hAnsi="Arial" w:cs="Arial"/>
          <w:sz w:val="24"/>
        </w:rPr>
      </w:pPr>
      <w:r>
        <w:rPr>
          <w:rFonts w:ascii="Arial" w:hAnsi="Arial" w:cs="Arial"/>
          <w:sz w:val="24"/>
        </w:rPr>
        <w:t xml:space="preserve">REVISED </w:t>
      </w:r>
      <w:r w:rsidRPr="00F71F8C">
        <w:rPr>
          <w:rFonts w:ascii="Arial" w:hAnsi="Arial" w:cs="Arial"/>
          <w:sz w:val="24"/>
        </w:rPr>
        <w:t>STAFF REPORT</w:t>
      </w:r>
    </w:p>
    <w:p w:rsidR="00DC71F7" w:rsidRPr="00F3508D" w:rsidRDefault="00DC71F7" w:rsidP="00DC71F7">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C71F7" w:rsidRPr="009349D6"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rPr>
            </w:pPr>
            <w:r>
              <w:rPr>
                <w:rFonts w:ascii="Arial" w:hAnsi="Arial" w:cs="Arial"/>
              </w:rPr>
              <w:t>Mike Reed</w:t>
            </w:r>
          </w:p>
        </w:tc>
      </w:tr>
      <w:tr w:rsidR="00DC71F7" w:rsidRPr="009349D6"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rPr>
            </w:pPr>
            <w:r>
              <w:rPr>
                <w:rFonts w:ascii="Arial" w:hAnsi="Arial" w:cs="Arial"/>
              </w:rPr>
              <w:t>2020-0044</w:t>
            </w:r>
          </w:p>
        </w:tc>
        <w:tc>
          <w:tcPr>
            <w:tcW w:w="117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DC71F7" w:rsidRPr="009349D6" w:rsidRDefault="00DC71F7" w:rsidP="00B566A6">
            <w:pPr>
              <w:spacing w:before="40" w:after="40"/>
              <w:rPr>
                <w:rFonts w:ascii="Arial" w:hAnsi="Arial" w:cs="Arial"/>
              </w:rPr>
            </w:pPr>
            <w:r>
              <w:rPr>
                <w:rFonts w:ascii="Arial" w:hAnsi="Arial" w:cs="Arial"/>
              </w:rPr>
              <w:t>February 26, 2020</w:t>
            </w:r>
          </w:p>
        </w:tc>
      </w:tr>
    </w:tbl>
    <w:p w:rsidR="008F687A" w:rsidRDefault="008F687A" w:rsidP="008F687A">
      <w:pPr>
        <w:rPr>
          <w:rFonts w:ascii="Arial" w:hAnsi="Arial" w:cs="Arial"/>
          <w:b/>
          <w:smallCaps/>
          <w:szCs w:val="24"/>
          <w:u w:val="single"/>
        </w:rPr>
      </w:pPr>
    </w:p>
    <w:p w:rsidR="008F687A" w:rsidRDefault="008F687A" w:rsidP="008F687A">
      <w:pPr>
        <w:rPr>
          <w:rFonts w:ascii="Arial" w:hAnsi="Arial" w:cs="Arial"/>
          <w:b/>
          <w:smallCaps/>
          <w:szCs w:val="24"/>
          <w:u w:val="single"/>
        </w:rPr>
      </w:pPr>
      <w:r>
        <w:rPr>
          <w:rFonts w:ascii="Arial" w:hAnsi="Arial" w:cs="Arial"/>
          <w:b/>
          <w:smallCaps/>
          <w:szCs w:val="24"/>
          <w:u w:val="single"/>
        </w:rPr>
        <w:t>COMMITTEE ACTION</w:t>
      </w:r>
    </w:p>
    <w:p w:rsidR="008F687A" w:rsidRDefault="008F687A" w:rsidP="008F687A">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F687A" w:rsidTr="00B566A6">
        <w:tc>
          <w:tcPr>
            <w:tcW w:w="9535" w:type="dxa"/>
          </w:tcPr>
          <w:p w:rsidR="008F687A" w:rsidRDefault="008F687A" w:rsidP="00B566A6">
            <w:pPr>
              <w:jc w:val="both"/>
              <w:rPr>
                <w:rFonts w:ascii="Arial" w:hAnsi="Arial" w:cs="Arial"/>
                <w:b/>
                <w:i/>
              </w:rPr>
            </w:pPr>
          </w:p>
          <w:p w:rsidR="008F687A" w:rsidRDefault="008F687A" w:rsidP="00B566A6">
            <w:pPr>
              <w:jc w:val="both"/>
              <w:rPr>
                <w:rFonts w:ascii="Arial" w:hAnsi="Arial" w:cs="Arial"/>
                <w:b/>
                <w:i/>
              </w:rPr>
            </w:pPr>
            <w:r w:rsidRPr="00E70F57">
              <w:rPr>
                <w:rFonts w:ascii="Arial" w:hAnsi="Arial" w:cs="Arial"/>
                <w:b/>
                <w:i/>
              </w:rPr>
              <w:t>Proposed Substitute Ordinance 2020-004</w:t>
            </w:r>
            <w:r>
              <w:rPr>
                <w:rFonts w:ascii="Arial" w:hAnsi="Arial" w:cs="Arial"/>
                <w:b/>
                <w:i/>
              </w:rPr>
              <w:t>4</w:t>
            </w:r>
            <w:r w:rsidRPr="00E70F57">
              <w:rPr>
                <w:rFonts w:ascii="Arial" w:hAnsi="Arial" w:cs="Arial"/>
                <w:b/>
                <w:i/>
              </w:rPr>
              <w:t xml:space="preserve">.2 authorizing the executive to enter into a loan agreement with the Washington State Department of Commerce Public Works Board for loan financing for the </w:t>
            </w:r>
            <w:r>
              <w:rPr>
                <w:rFonts w:ascii="Arial" w:hAnsi="Arial" w:cs="Arial"/>
                <w:b/>
                <w:i/>
              </w:rPr>
              <w:t>Brightwater reclaimed water storage</w:t>
            </w:r>
            <w:r w:rsidRPr="00E70F57">
              <w:rPr>
                <w:rFonts w:ascii="Arial" w:hAnsi="Arial" w:cs="Arial"/>
                <w:b/>
                <w:i/>
              </w:rPr>
              <w:t xml:space="preserve"> project, passed out of committee on February 26, 2020, with a “Do Pass” recommendation. The Ordinance was amended in committee with Amendment 1 to make technical changes, including inserting code references and correcting section identification.</w:t>
            </w:r>
          </w:p>
          <w:p w:rsidR="008F687A" w:rsidRPr="00A11E83" w:rsidRDefault="008F687A" w:rsidP="00B566A6">
            <w:pPr>
              <w:jc w:val="both"/>
              <w:rPr>
                <w:rFonts w:ascii="Arial" w:hAnsi="Arial" w:cs="Arial"/>
                <w:b/>
                <w:i/>
              </w:rPr>
            </w:pPr>
          </w:p>
        </w:tc>
      </w:tr>
    </w:tbl>
    <w:p w:rsidR="00DC71F7" w:rsidRDefault="00DC71F7" w:rsidP="00DC71F7">
      <w:pPr>
        <w:rPr>
          <w:rFonts w:ascii="Arial" w:hAnsi="Arial" w:cs="Arial"/>
          <w:b/>
          <w:smallCaps/>
          <w:szCs w:val="24"/>
          <w:u w:val="single"/>
        </w:rPr>
      </w:pPr>
    </w:p>
    <w:p w:rsidR="00DC71F7" w:rsidRDefault="00DC71F7" w:rsidP="00DC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r w:rsidRPr="0030080B">
        <w:rPr>
          <w:rFonts w:ascii="Arial" w:hAnsi="Arial" w:cs="Arial"/>
          <w:b/>
          <w:szCs w:val="24"/>
          <w:u w:val="single"/>
        </w:rPr>
        <w:t>SUBJECT</w:t>
      </w:r>
    </w:p>
    <w:p w:rsidR="00DC71F7" w:rsidRDefault="00DC71F7" w:rsidP="00DC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p>
    <w:p w:rsidR="00DC71F7" w:rsidRDefault="00DC71F7" w:rsidP="00DC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szCs w:val="24"/>
        </w:rPr>
      </w:pPr>
      <w:r w:rsidRPr="0030080B">
        <w:rPr>
          <w:rFonts w:ascii="Arial" w:hAnsi="Arial"/>
          <w:szCs w:val="24"/>
        </w:rPr>
        <w:t>A</w:t>
      </w:r>
      <w:r>
        <w:rPr>
          <w:rFonts w:ascii="Arial" w:hAnsi="Arial"/>
          <w:szCs w:val="24"/>
        </w:rPr>
        <w:t>n</w:t>
      </w:r>
      <w:r w:rsidRPr="0030080B">
        <w:rPr>
          <w:rFonts w:ascii="Arial" w:hAnsi="Arial"/>
          <w:szCs w:val="24"/>
        </w:rPr>
        <w:t xml:space="preserve"> </w:t>
      </w:r>
      <w:r>
        <w:rPr>
          <w:rFonts w:ascii="Arial" w:hAnsi="Arial"/>
          <w:szCs w:val="24"/>
        </w:rPr>
        <w:t>ordinance</w:t>
      </w:r>
      <w:r w:rsidRPr="0030080B">
        <w:rPr>
          <w:rFonts w:ascii="Arial" w:hAnsi="Arial"/>
          <w:szCs w:val="24"/>
        </w:rPr>
        <w:t xml:space="preserve"> authorizing the executive to</w:t>
      </w:r>
      <w:r>
        <w:rPr>
          <w:rFonts w:ascii="Arial" w:hAnsi="Arial"/>
          <w:szCs w:val="24"/>
        </w:rPr>
        <w:t xml:space="preserve"> enter into a loan agreement</w:t>
      </w:r>
      <w:r w:rsidRPr="00995B94">
        <w:rPr>
          <w:rFonts w:ascii="Arial" w:hAnsi="Arial"/>
          <w:szCs w:val="24"/>
        </w:rPr>
        <w:t xml:space="preserve"> with the Washington State </w:t>
      </w:r>
      <w:r>
        <w:rPr>
          <w:rFonts w:ascii="Arial" w:hAnsi="Arial"/>
          <w:szCs w:val="24"/>
        </w:rPr>
        <w:t xml:space="preserve">Department of Commerce </w:t>
      </w:r>
      <w:r w:rsidRPr="00995B94">
        <w:rPr>
          <w:rFonts w:ascii="Arial" w:hAnsi="Arial"/>
          <w:szCs w:val="24"/>
        </w:rPr>
        <w:t xml:space="preserve">Public Works </w:t>
      </w:r>
      <w:r>
        <w:rPr>
          <w:rFonts w:ascii="Arial" w:hAnsi="Arial"/>
          <w:szCs w:val="24"/>
        </w:rPr>
        <w:t>Board</w:t>
      </w:r>
      <w:r w:rsidRPr="00995B94">
        <w:rPr>
          <w:rFonts w:ascii="Arial" w:hAnsi="Arial"/>
          <w:szCs w:val="24"/>
        </w:rPr>
        <w:t xml:space="preserve"> for</w:t>
      </w:r>
      <w:r>
        <w:rPr>
          <w:rFonts w:ascii="Arial" w:hAnsi="Arial"/>
          <w:szCs w:val="24"/>
        </w:rPr>
        <w:t xml:space="preserve"> loan</w:t>
      </w:r>
      <w:r w:rsidRPr="00995B94">
        <w:rPr>
          <w:rFonts w:ascii="Arial" w:hAnsi="Arial"/>
          <w:szCs w:val="24"/>
        </w:rPr>
        <w:t xml:space="preserve"> financing </w:t>
      </w:r>
      <w:r>
        <w:rPr>
          <w:rFonts w:ascii="Arial" w:hAnsi="Arial"/>
          <w:szCs w:val="24"/>
        </w:rPr>
        <w:t>for a capital project</w:t>
      </w:r>
      <w:r w:rsidRPr="00995B94">
        <w:rPr>
          <w:rFonts w:ascii="Arial" w:hAnsi="Arial"/>
          <w:szCs w:val="24"/>
        </w:rPr>
        <w:t xml:space="preserve"> </w:t>
      </w:r>
      <w:r>
        <w:rPr>
          <w:rFonts w:ascii="Arial" w:hAnsi="Arial"/>
          <w:szCs w:val="24"/>
        </w:rPr>
        <w:t>of</w:t>
      </w:r>
      <w:r w:rsidRPr="00995B94">
        <w:rPr>
          <w:rFonts w:ascii="Arial" w:hAnsi="Arial"/>
          <w:szCs w:val="24"/>
        </w:rPr>
        <w:t xml:space="preserve"> the Wastewater Treatment Division (WTD) in the Department of Natural Resources and Parks.</w:t>
      </w:r>
    </w:p>
    <w:p w:rsidR="00DC71F7" w:rsidRPr="0030080B" w:rsidRDefault="00DC71F7" w:rsidP="00DC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Cs w:val="24"/>
        </w:rPr>
      </w:pPr>
    </w:p>
    <w:p w:rsidR="00DC71F7" w:rsidRDefault="00DC71F7" w:rsidP="00DC71F7">
      <w:pPr>
        <w:rPr>
          <w:rFonts w:ascii="Arial" w:hAnsi="Arial" w:cs="Arial"/>
          <w:szCs w:val="24"/>
        </w:rPr>
      </w:pPr>
      <w:r w:rsidRPr="0030080B">
        <w:rPr>
          <w:rFonts w:ascii="Arial" w:hAnsi="Arial" w:cs="Arial"/>
          <w:b/>
          <w:szCs w:val="24"/>
          <w:u w:val="single"/>
        </w:rPr>
        <w:t>SUMMARY</w:t>
      </w:r>
    </w:p>
    <w:p w:rsidR="00DC71F7" w:rsidRDefault="00DC71F7" w:rsidP="00DC71F7">
      <w:pPr>
        <w:rPr>
          <w:rFonts w:ascii="Arial" w:hAnsi="Arial" w:cs="Arial"/>
          <w:szCs w:val="24"/>
        </w:rPr>
      </w:pPr>
    </w:p>
    <w:p w:rsidR="00DC71F7" w:rsidRDefault="00DC71F7" w:rsidP="00DC71F7">
      <w:pPr>
        <w:jc w:val="both"/>
        <w:rPr>
          <w:rFonts w:ascii="Arial" w:hAnsi="Arial"/>
          <w:szCs w:val="24"/>
        </w:rPr>
      </w:pPr>
      <w:r w:rsidRPr="00855195">
        <w:rPr>
          <w:rFonts w:ascii="Arial" w:hAnsi="Arial" w:cs="Arial"/>
          <w:szCs w:val="24"/>
        </w:rPr>
        <w:t xml:space="preserve">Proposed Ordinance </w:t>
      </w:r>
      <w:r>
        <w:rPr>
          <w:rFonts w:ascii="Arial" w:hAnsi="Arial" w:cs="Arial"/>
          <w:szCs w:val="24"/>
        </w:rPr>
        <w:t>2020-0044</w:t>
      </w:r>
      <w:r w:rsidRPr="00855195">
        <w:rPr>
          <w:rFonts w:ascii="Arial" w:hAnsi="Arial" w:cs="Arial"/>
          <w:szCs w:val="24"/>
        </w:rPr>
        <w:t xml:space="preserve"> </w:t>
      </w:r>
      <w:r w:rsidRPr="00855195">
        <w:rPr>
          <w:rFonts w:ascii="Arial" w:hAnsi="Arial"/>
          <w:szCs w:val="24"/>
        </w:rPr>
        <w:t>would authorize the executive to enter into an agreement with the Public Works Board</w:t>
      </w:r>
      <w:r>
        <w:rPr>
          <w:rFonts w:ascii="Arial" w:hAnsi="Arial"/>
          <w:szCs w:val="24"/>
        </w:rPr>
        <w:t xml:space="preserve"> of the</w:t>
      </w:r>
      <w:r w:rsidRPr="00855195">
        <w:rPr>
          <w:rFonts w:ascii="Arial" w:hAnsi="Arial"/>
          <w:szCs w:val="24"/>
        </w:rPr>
        <w:t xml:space="preserve"> Washington State</w:t>
      </w:r>
      <w:r>
        <w:rPr>
          <w:rFonts w:ascii="Arial" w:hAnsi="Arial"/>
          <w:szCs w:val="24"/>
        </w:rPr>
        <w:t xml:space="preserve"> Department of Commerce</w:t>
      </w:r>
      <w:r w:rsidRPr="00855195">
        <w:rPr>
          <w:rFonts w:ascii="Arial" w:hAnsi="Arial"/>
          <w:szCs w:val="24"/>
        </w:rPr>
        <w:t xml:space="preserve"> for </w:t>
      </w:r>
      <w:r>
        <w:rPr>
          <w:rFonts w:ascii="Arial" w:hAnsi="Arial"/>
          <w:szCs w:val="24"/>
        </w:rPr>
        <w:t xml:space="preserve">a project </w:t>
      </w:r>
      <w:r w:rsidRPr="00995B94">
        <w:rPr>
          <w:rFonts w:ascii="Arial" w:hAnsi="Arial"/>
          <w:szCs w:val="24"/>
        </w:rPr>
        <w:t>that ha</w:t>
      </w:r>
      <w:r>
        <w:rPr>
          <w:rFonts w:ascii="Arial" w:hAnsi="Arial"/>
          <w:szCs w:val="24"/>
        </w:rPr>
        <w:t>s</w:t>
      </w:r>
      <w:r w:rsidRPr="00995B94">
        <w:rPr>
          <w:rFonts w:ascii="Arial" w:hAnsi="Arial"/>
          <w:szCs w:val="24"/>
        </w:rPr>
        <w:t xml:space="preserve"> been awarded </w:t>
      </w:r>
      <w:r>
        <w:rPr>
          <w:rFonts w:ascii="Arial" w:hAnsi="Arial"/>
          <w:szCs w:val="24"/>
        </w:rPr>
        <w:t>a Public Works Trust Fund (</w:t>
      </w:r>
      <w:r w:rsidRPr="00995B94">
        <w:rPr>
          <w:rFonts w:ascii="Arial" w:hAnsi="Arial"/>
          <w:szCs w:val="24"/>
        </w:rPr>
        <w:t>PWTF</w:t>
      </w:r>
      <w:r>
        <w:rPr>
          <w:rFonts w:ascii="Arial" w:hAnsi="Arial"/>
          <w:szCs w:val="24"/>
        </w:rPr>
        <w:t>) loan of $1,000,000</w:t>
      </w:r>
      <w:r w:rsidRPr="00995B94">
        <w:rPr>
          <w:rFonts w:ascii="Arial" w:hAnsi="Arial"/>
          <w:szCs w:val="24"/>
        </w:rPr>
        <w:t xml:space="preserve"> for </w:t>
      </w:r>
      <w:r>
        <w:rPr>
          <w:rFonts w:ascii="Arial" w:hAnsi="Arial"/>
          <w:szCs w:val="24"/>
        </w:rPr>
        <w:t>the Brightwater Reclaimed Water Storage Project.  This five-year</w:t>
      </w:r>
      <w:r w:rsidRPr="00995B94">
        <w:rPr>
          <w:rFonts w:ascii="Arial" w:hAnsi="Arial"/>
          <w:szCs w:val="24"/>
        </w:rPr>
        <w:t xml:space="preserve"> </w:t>
      </w:r>
      <w:r>
        <w:rPr>
          <w:rFonts w:ascii="Arial" w:hAnsi="Arial"/>
          <w:szCs w:val="24"/>
        </w:rPr>
        <w:t xml:space="preserve">loan is provided at an interest rate of 0.79%, and is estimated to </w:t>
      </w:r>
      <w:r w:rsidRPr="00995B94">
        <w:rPr>
          <w:rFonts w:ascii="Arial" w:hAnsi="Arial"/>
          <w:szCs w:val="24"/>
        </w:rPr>
        <w:t>save King County</w:t>
      </w:r>
      <w:r>
        <w:rPr>
          <w:rFonts w:ascii="Arial" w:hAnsi="Arial"/>
          <w:szCs w:val="24"/>
        </w:rPr>
        <w:t xml:space="preserve"> </w:t>
      </w:r>
      <w:r w:rsidRPr="00D9015C">
        <w:rPr>
          <w:rFonts w:ascii="Arial" w:hAnsi="Arial"/>
          <w:szCs w:val="24"/>
        </w:rPr>
        <w:t>$</w:t>
      </w:r>
      <w:r>
        <w:rPr>
          <w:rFonts w:ascii="Arial" w:hAnsi="Arial"/>
          <w:szCs w:val="24"/>
        </w:rPr>
        <w:t>615,662</w:t>
      </w:r>
      <w:r w:rsidRPr="00995B94">
        <w:rPr>
          <w:rFonts w:ascii="Arial" w:hAnsi="Arial"/>
          <w:szCs w:val="24"/>
        </w:rPr>
        <w:t xml:space="preserve"> in interest expense as compared to conventional bond financing.</w:t>
      </w:r>
      <w:r>
        <w:rPr>
          <w:rFonts w:ascii="Arial" w:hAnsi="Arial"/>
          <w:szCs w:val="24"/>
        </w:rPr>
        <w:t xml:space="preserve">  </w:t>
      </w:r>
    </w:p>
    <w:p w:rsidR="00DC71F7" w:rsidRDefault="00DC71F7" w:rsidP="00DC71F7">
      <w:pPr>
        <w:jc w:val="both"/>
        <w:rPr>
          <w:rFonts w:ascii="Arial" w:hAnsi="Arial"/>
          <w:szCs w:val="24"/>
        </w:rPr>
      </w:pPr>
    </w:p>
    <w:p w:rsidR="00DC71F7" w:rsidRPr="004D1005" w:rsidRDefault="00DC71F7" w:rsidP="00DC71F7">
      <w:pPr>
        <w:jc w:val="both"/>
        <w:rPr>
          <w:rFonts w:ascii="Arial" w:hAnsi="Arial"/>
          <w:szCs w:val="24"/>
        </w:rPr>
      </w:pPr>
      <w:r w:rsidRPr="004D1005">
        <w:rPr>
          <w:rFonts w:ascii="Arial" w:hAnsi="Arial" w:cs="Arial"/>
          <w:szCs w:val="24"/>
        </w:rPr>
        <w:t>Amendment 1 would make technical changes, including inserting code references and correcting section identification.</w:t>
      </w:r>
    </w:p>
    <w:p w:rsidR="00DC71F7" w:rsidRPr="0030080B" w:rsidRDefault="00DC71F7" w:rsidP="00DC71F7">
      <w:pPr>
        <w:jc w:val="both"/>
        <w:rPr>
          <w:rFonts w:ascii="Arial" w:hAnsi="Arial" w:cs="Arial"/>
          <w:b/>
          <w:szCs w:val="24"/>
          <w:u w:val="single"/>
        </w:rPr>
      </w:pPr>
    </w:p>
    <w:p w:rsidR="00DC71F7" w:rsidRDefault="00DC71F7" w:rsidP="00DC71F7">
      <w:pPr>
        <w:pStyle w:val="Flush1CS1"/>
        <w:tabs>
          <w:tab w:val="left" w:pos="720"/>
          <w:tab w:val="decimal" w:pos="7200"/>
        </w:tabs>
        <w:jc w:val="both"/>
        <w:rPr>
          <w:rFonts w:ascii="Arial" w:hAnsi="Arial" w:cs="Arial"/>
          <w:b/>
          <w:szCs w:val="24"/>
          <w:u w:val="single"/>
        </w:rPr>
      </w:pPr>
      <w:r w:rsidRPr="0030080B">
        <w:rPr>
          <w:rFonts w:ascii="Arial" w:hAnsi="Arial" w:cs="Arial"/>
          <w:b/>
          <w:szCs w:val="24"/>
          <w:u w:val="single"/>
        </w:rPr>
        <w:t>BACKGROUND</w:t>
      </w:r>
    </w:p>
    <w:p w:rsidR="00DC71F7" w:rsidRDefault="00DC71F7" w:rsidP="00DC71F7">
      <w:pPr>
        <w:jc w:val="both"/>
        <w:rPr>
          <w:rFonts w:ascii="Arial" w:hAnsi="Arial" w:cs="Arial"/>
          <w:szCs w:val="24"/>
        </w:rPr>
      </w:pPr>
    </w:p>
    <w:p w:rsidR="00DC71F7" w:rsidRPr="004E08FE" w:rsidRDefault="00DC71F7" w:rsidP="00DC71F7">
      <w:pPr>
        <w:jc w:val="both"/>
        <w:rPr>
          <w:rFonts w:ascii="Arial" w:hAnsi="Arial" w:cs="Arial"/>
          <w:szCs w:val="24"/>
          <w:u w:val="single"/>
        </w:rPr>
      </w:pPr>
      <w:r>
        <w:rPr>
          <w:rFonts w:ascii="Arial" w:hAnsi="Arial" w:cs="Arial"/>
          <w:szCs w:val="24"/>
          <w:u w:val="single"/>
        </w:rPr>
        <w:t>Brightwater Reclaimed Water Storage Project</w:t>
      </w:r>
    </w:p>
    <w:p w:rsidR="00DC71F7" w:rsidRDefault="00DC71F7" w:rsidP="00DC71F7">
      <w:pPr>
        <w:jc w:val="both"/>
        <w:rPr>
          <w:rFonts w:ascii="Arial" w:hAnsi="Arial" w:cs="Arial"/>
          <w:szCs w:val="24"/>
        </w:rPr>
      </w:pPr>
      <w:r>
        <w:rPr>
          <w:rFonts w:ascii="Arial" w:hAnsi="Arial" w:cs="Arial"/>
          <w:szCs w:val="24"/>
        </w:rPr>
        <w:t xml:space="preserve">The Brightwater Reclaimed Water Storage Project is being undertaken consistent with the Wastewater Treatment Division’s broader efforts to reuse and recover salvageable </w:t>
      </w:r>
      <w:r>
        <w:rPr>
          <w:rFonts w:ascii="Arial" w:hAnsi="Arial" w:cs="Arial"/>
          <w:szCs w:val="24"/>
        </w:rPr>
        <w:lastRenderedPageBreak/>
        <w:t xml:space="preserve">resources associated with the wastewater treatment process.  To facilitate provision of a consistent volume of reuse water, the Division is proposing to develop and construct a storage facility to capture excess reuse flow as it becomes available, for use during periods of lower flow.  This loan would provide funding for an alternatives analysis and design of the project, as well as for preconstruction costs.   </w:t>
      </w:r>
    </w:p>
    <w:p w:rsidR="00DC71F7" w:rsidRPr="00D80DCA" w:rsidRDefault="00DC71F7" w:rsidP="00DC71F7">
      <w:pPr>
        <w:jc w:val="both"/>
        <w:rPr>
          <w:rFonts w:ascii="Arial" w:hAnsi="Arial"/>
          <w:szCs w:val="24"/>
        </w:rPr>
      </w:pPr>
    </w:p>
    <w:p w:rsidR="00DC71F7" w:rsidRDefault="00DC71F7" w:rsidP="00DC71F7">
      <w:pPr>
        <w:jc w:val="both"/>
        <w:rPr>
          <w:rFonts w:ascii="Arial" w:hAnsi="Arial"/>
          <w:szCs w:val="24"/>
        </w:rPr>
      </w:pPr>
      <w:r>
        <w:rPr>
          <w:rFonts w:ascii="Arial" w:hAnsi="Arial" w:cs="Arial"/>
          <w:szCs w:val="24"/>
          <w:u w:val="single"/>
        </w:rPr>
        <w:t>Public Works Trust Fund Loan Programs</w:t>
      </w:r>
    </w:p>
    <w:p w:rsidR="00DC71F7" w:rsidRDefault="00DC71F7" w:rsidP="00DC71F7">
      <w:pPr>
        <w:jc w:val="both"/>
        <w:rPr>
          <w:rFonts w:ascii="Arial" w:hAnsi="Arial"/>
          <w:szCs w:val="24"/>
        </w:rPr>
      </w:pPr>
      <w:r w:rsidRPr="001F7C60">
        <w:rPr>
          <w:rFonts w:ascii="Arial" w:hAnsi="Arial"/>
          <w:szCs w:val="24"/>
        </w:rPr>
        <w:t xml:space="preserve">The purpose of the </w:t>
      </w:r>
      <w:r>
        <w:rPr>
          <w:rFonts w:ascii="Arial" w:hAnsi="Arial"/>
          <w:szCs w:val="24"/>
        </w:rPr>
        <w:t>Public Works Trust Fund Construction Loan P</w:t>
      </w:r>
      <w:r w:rsidRPr="001F7C60">
        <w:rPr>
          <w:rFonts w:ascii="Arial" w:hAnsi="Arial"/>
          <w:szCs w:val="24"/>
        </w:rPr>
        <w:t>rogram is to help local governments address critical infrastructure needs for water, sewer, storm water, roads, bridges and solid waste/recycling systems.</w:t>
      </w:r>
      <w:r>
        <w:rPr>
          <w:rFonts w:ascii="Arial" w:hAnsi="Arial"/>
          <w:szCs w:val="24"/>
        </w:rPr>
        <w:t xml:space="preserve">  The Washington State Public Works Board has administered this and other infrastructure loan programs since 1986.  The Public Works Board reports executing several thousand agreements for infrastructure projects with cities, counties, special purpose districts and others.</w:t>
      </w:r>
    </w:p>
    <w:p w:rsidR="00DC71F7" w:rsidRDefault="00DC71F7" w:rsidP="00DC71F7">
      <w:pPr>
        <w:jc w:val="both"/>
        <w:rPr>
          <w:rFonts w:ascii="Arial" w:hAnsi="Arial"/>
          <w:szCs w:val="24"/>
        </w:rPr>
      </w:pPr>
    </w:p>
    <w:p w:rsidR="00DC71F7" w:rsidRPr="0030080B" w:rsidRDefault="00DC71F7" w:rsidP="00DC71F7">
      <w:pPr>
        <w:jc w:val="both"/>
        <w:rPr>
          <w:rFonts w:ascii="Arial" w:hAnsi="Arial" w:cs="Arial"/>
          <w:b/>
          <w:szCs w:val="24"/>
          <w:u w:val="single"/>
        </w:rPr>
      </w:pPr>
      <w:r w:rsidRPr="0030080B">
        <w:rPr>
          <w:rFonts w:ascii="Arial" w:hAnsi="Arial" w:cs="Arial"/>
          <w:b/>
          <w:szCs w:val="24"/>
          <w:u w:val="single"/>
        </w:rPr>
        <w:t>ANALYSIS</w:t>
      </w:r>
    </w:p>
    <w:p w:rsidR="00DC71F7" w:rsidRDefault="00DC71F7" w:rsidP="00DC71F7">
      <w:pPr>
        <w:jc w:val="both"/>
        <w:rPr>
          <w:rFonts w:ascii="Arial" w:hAnsi="Arial" w:cs="Arial"/>
          <w:szCs w:val="24"/>
        </w:rPr>
      </w:pPr>
    </w:p>
    <w:p w:rsidR="00DC71F7" w:rsidRPr="0013270F" w:rsidRDefault="00DC71F7" w:rsidP="00DC71F7">
      <w:pPr>
        <w:jc w:val="both"/>
        <w:rPr>
          <w:rFonts w:ascii="Arial" w:hAnsi="Arial" w:cs="Arial"/>
          <w:szCs w:val="24"/>
          <w:u w:val="single"/>
        </w:rPr>
      </w:pPr>
      <w:r>
        <w:rPr>
          <w:rFonts w:ascii="Arial" w:hAnsi="Arial" w:cs="Arial"/>
          <w:szCs w:val="24"/>
          <w:u w:val="single"/>
        </w:rPr>
        <w:t>Savings</w:t>
      </w:r>
    </w:p>
    <w:p w:rsidR="00DC71F7" w:rsidRDefault="00DC71F7" w:rsidP="00DC71F7">
      <w:pPr>
        <w:jc w:val="both"/>
        <w:rPr>
          <w:rFonts w:ascii="Arial" w:hAnsi="Arial"/>
          <w:szCs w:val="24"/>
        </w:rPr>
      </w:pPr>
      <w:r>
        <w:rPr>
          <w:rFonts w:ascii="Arial" w:hAnsi="Arial"/>
          <w:szCs w:val="24"/>
        </w:rPr>
        <w:t>This</w:t>
      </w:r>
      <w:r w:rsidRPr="00201868">
        <w:rPr>
          <w:rFonts w:ascii="Arial" w:hAnsi="Arial"/>
          <w:szCs w:val="24"/>
        </w:rPr>
        <w:t xml:space="preserve"> low interest loan agreement </w:t>
      </w:r>
      <w:r>
        <w:rPr>
          <w:rFonts w:ascii="Arial" w:hAnsi="Arial"/>
          <w:szCs w:val="24"/>
        </w:rPr>
        <w:t>is</w:t>
      </w:r>
      <w:r w:rsidRPr="00201868">
        <w:rPr>
          <w:rFonts w:ascii="Arial" w:hAnsi="Arial"/>
          <w:szCs w:val="24"/>
        </w:rPr>
        <w:t xml:space="preserve"> estimated to save King County $</w:t>
      </w:r>
      <w:r>
        <w:rPr>
          <w:rFonts w:ascii="Arial" w:hAnsi="Arial"/>
          <w:szCs w:val="24"/>
        </w:rPr>
        <w:t>615,662</w:t>
      </w:r>
      <w:r w:rsidRPr="00995B94">
        <w:rPr>
          <w:rFonts w:ascii="Arial" w:hAnsi="Arial"/>
          <w:szCs w:val="24"/>
        </w:rPr>
        <w:t xml:space="preserve"> </w:t>
      </w:r>
      <w:r w:rsidRPr="00201868">
        <w:rPr>
          <w:rFonts w:ascii="Arial" w:hAnsi="Arial"/>
          <w:szCs w:val="24"/>
        </w:rPr>
        <w:t xml:space="preserve">in interest expense </w:t>
      </w:r>
      <w:r>
        <w:rPr>
          <w:rFonts w:ascii="Arial" w:hAnsi="Arial"/>
          <w:szCs w:val="24"/>
        </w:rPr>
        <w:t>over the period of the loan</w:t>
      </w:r>
      <w:r w:rsidRPr="00201868">
        <w:rPr>
          <w:rFonts w:ascii="Arial" w:hAnsi="Arial"/>
          <w:szCs w:val="24"/>
        </w:rPr>
        <w:t xml:space="preserve"> as compared to conventional bond financing.</w:t>
      </w:r>
      <w:r>
        <w:rPr>
          <w:rFonts w:ascii="Arial" w:hAnsi="Arial"/>
          <w:szCs w:val="24"/>
        </w:rPr>
        <w:t xml:space="preserve">  The savings calculations are presented in the fiscal note that was transmitted with the legislation.  The award of this loan will assist the County in its effort to control costs associated with this project.</w:t>
      </w:r>
    </w:p>
    <w:p w:rsidR="008F687A" w:rsidRPr="0030080B" w:rsidRDefault="00DC71F7" w:rsidP="008F687A">
      <w:pPr>
        <w:jc w:val="both"/>
        <w:rPr>
          <w:rFonts w:ascii="Arial" w:hAnsi="Arial" w:cs="Arial"/>
          <w:b/>
          <w:szCs w:val="24"/>
          <w:u w:val="single"/>
        </w:rPr>
      </w:pPr>
      <w:r>
        <w:rPr>
          <w:rFonts w:ascii="Arial" w:hAnsi="Arial" w:cs="Arial"/>
          <w:szCs w:val="24"/>
        </w:rPr>
        <w:br/>
      </w:r>
      <w:r w:rsidR="008F687A">
        <w:rPr>
          <w:rFonts w:ascii="Arial" w:hAnsi="Arial" w:cs="Arial"/>
          <w:b/>
          <w:szCs w:val="24"/>
          <w:u w:val="single"/>
        </w:rPr>
        <w:t>AMENDMENT</w:t>
      </w:r>
    </w:p>
    <w:p w:rsidR="008F687A" w:rsidRDefault="008F687A" w:rsidP="008F687A">
      <w:pPr>
        <w:jc w:val="both"/>
        <w:rPr>
          <w:rFonts w:ascii="Arial" w:hAnsi="Arial" w:cs="Arial"/>
          <w:szCs w:val="24"/>
        </w:rPr>
      </w:pPr>
    </w:p>
    <w:p w:rsidR="008F687A" w:rsidRPr="00E70F57" w:rsidRDefault="008F687A" w:rsidP="008F687A">
      <w:pPr>
        <w:jc w:val="both"/>
        <w:rPr>
          <w:rFonts w:ascii="Arial" w:hAnsi="Arial"/>
          <w:szCs w:val="24"/>
        </w:rPr>
      </w:pPr>
      <w:r w:rsidRPr="009A37EA">
        <w:rPr>
          <w:rFonts w:ascii="Arial" w:hAnsi="Arial" w:cs="Arial"/>
          <w:szCs w:val="24"/>
        </w:rPr>
        <w:t>Amendment 1 would</w:t>
      </w:r>
      <w:r w:rsidRPr="00F42872">
        <w:rPr>
          <w:rFonts w:ascii="Arial" w:hAnsi="Arial" w:cs="Arial"/>
          <w:szCs w:val="24"/>
        </w:rPr>
        <w:t xml:space="preserve"> </w:t>
      </w:r>
      <w:r>
        <w:rPr>
          <w:rFonts w:ascii="Arial" w:hAnsi="Arial" w:cs="Arial"/>
          <w:szCs w:val="24"/>
        </w:rPr>
        <w:t>make technical changes, including inserting code references and correcting section identification.</w:t>
      </w:r>
    </w:p>
    <w:p w:rsidR="00DC71F7" w:rsidRPr="008F687A" w:rsidRDefault="00DC71F7" w:rsidP="00DC71F7">
      <w:pPr>
        <w:jc w:val="both"/>
        <w:rPr>
          <w:rFonts w:ascii="Arial" w:hAnsi="Arial" w:cs="Arial"/>
          <w:szCs w:val="24"/>
        </w:rPr>
      </w:pPr>
    </w:p>
    <w:p w:rsidR="00DC71F7" w:rsidRDefault="00DC71F7" w:rsidP="00DC71F7"/>
    <w:p w:rsidR="00DC71F7" w:rsidRDefault="00DC71F7" w:rsidP="00DC71F7"/>
    <w:p w:rsidR="00DC71F7" w:rsidRDefault="00DC71F7" w:rsidP="00DC71F7"/>
    <w:p w:rsidR="008C4AFA" w:rsidRDefault="00797453"/>
    <w:sectPr w:rsidR="008C4AFA" w:rsidSect="005E49E3">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CB" w:rsidRDefault="008F687A">
      <w:r>
        <w:separator/>
      </w:r>
    </w:p>
  </w:endnote>
  <w:endnote w:type="continuationSeparator" w:id="0">
    <w:p w:rsidR="00160CCB" w:rsidRDefault="008F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79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797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79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CB" w:rsidRDefault="008F687A">
      <w:r>
        <w:separator/>
      </w:r>
    </w:p>
  </w:footnote>
  <w:footnote w:type="continuationSeparator" w:id="0">
    <w:p w:rsidR="00160CCB" w:rsidRDefault="008F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797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797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8F687A" w:rsidP="00C75025">
    <w:pPr>
      <w:jc w:val="center"/>
    </w:pPr>
    <w:r>
      <w:rPr>
        <w:noProof/>
      </w:rPr>
      <w:drawing>
        <wp:inline distT="0" distB="0" distL="0" distR="0" wp14:anchorId="72CC6FEB" wp14:editId="27EE7A7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797453" w:rsidP="00C75025">
    <w:pPr>
      <w:jc w:val="center"/>
      <w:rPr>
        <w:rFonts w:ascii="Arial" w:hAnsi="Arial"/>
        <w:szCs w:val="22"/>
      </w:rPr>
    </w:pPr>
  </w:p>
  <w:p w:rsidR="00C75025" w:rsidRDefault="008F687A"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F687A"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34FA6"/>
    <w:multiLevelType w:val="hybridMultilevel"/>
    <w:tmpl w:val="99E09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7"/>
    <w:rsid w:val="001224A6"/>
    <w:rsid w:val="00160CCB"/>
    <w:rsid w:val="00784340"/>
    <w:rsid w:val="00797453"/>
    <w:rsid w:val="008F687A"/>
    <w:rsid w:val="00DC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8904-3B92-4E9C-8FF7-6DC2E9F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F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C71F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1F7"/>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DC71F7"/>
    <w:pPr>
      <w:tabs>
        <w:tab w:val="center" w:pos="4320"/>
        <w:tab w:val="right" w:pos="8640"/>
      </w:tabs>
    </w:pPr>
  </w:style>
  <w:style w:type="character" w:customStyle="1" w:styleId="FooterChar">
    <w:name w:val="Footer Char"/>
    <w:basedOn w:val="DefaultParagraphFont"/>
    <w:link w:val="Footer"/>
    <w:uiPriority w:val="99"/>
    <w:rsid w:val="00DC71F7"/>
    <w:rPr>
      <w:rFonts w:ascii="Times New Roman" w:eastAsia="Times New Roman" w:hAnsi="Times New Roman" w:cs="Times New Roman"/>
      <w:sz w:val="24"/>
      <w:szCs w:val="20"/>
    </w:rPr>
  </w:style>
  <w:style w:type="paragraph" w:styleId="Header">
    <w:name w:val="header"/>
    <w:basedOn w:val="Normal"/>
    <w:link w:val="HeaderChar"/>
    <w:rsid w:val="00DC71F7"/>
    <w:pPr>
      <w:tabs>
        <w:tab w:val="center" w:pos="4320"/>
        <w:tab w:val="right" w:pos="8640"/>
      </w:tabs>
    </w:pPr>
  </w:style>
  <w:style w:type="character" w:customStyle="1" w:styleId="HeaderChar">
    <w:name w:val="Header Char"/>
    <w:basedOn w:val="DefaultParagraphFont"/>
    <w:link w:val="Header"/>
    <w:rsid w:val="00DC71F7"/>
    <w:rPr>
      <w:rFonts w:ascii="Times New Roman" w:eastAsia="Times New Roman" w:hAnsi="Times New Roman" w:cs="Times New Roman"/>
      <w:sz w:val="24"/>
      <w:szCs w:val="20"/>
    </w:rPr>
  </w:style>
  <w:style w:type="paragraph" w:styleId="BodyText">
    <w:name w:val="Body Text"/>
    <w:basedOn w:val="Normal"/>
    <w:link w:val="BodyTextChar"/>
    <w:rsid w:val="00DC71F7"/>
    <w:rPr>
      <w:i/>
    </w:rPr>
  </w:style>
  <w:style w:type="character" w:customStyle="1" w:styleId="BodyTextChar">
    <w:name w:val="Body Text Char"/>
    <w:basedOn w:val="DefaultParagraphFont"/>
    <w:link w:val="BodyText"/>
    <w:rsid w:val="00DC71F7"/>
    <w:rPr>
      <w:rFonts w:ascii="Times New Roman" w:eastAsia="Times New Roman" w:hAnsi="Times New Roman" w:cs="Times New Roman"/>
      <w:i/>
      <w:sz w:val="24"/>
      <w:szCs w:val="20"/>
    </w:rPr>
  </w:style>
  <w:style w:type="paragraph" w:styleId="ListParagraph">
    <w:name w:val="List Paragraph"/>
    <w:basedOn w:val="Normal"/>
    <w:uiPriority w:val="34"/>
    <w:qFormat/>
    <w:rsid w:val="00DC71F7"/>
    <w:pPr>
      <w:spacing w:line="300" w:lineRule="exact"/>
      <w:ind w:left="720"/>
    </w:pPr>
    <w:rPr>
      <w:szCs w:val="24"/>
    </w:rPr>
  </w:style>
  <w:style w:type="paragraph" w:customStyle="1" w:styleId="Flush1CS1">
    <w:name w:val="Flush 1 &lt;CS 1&gt;"/>
    <w:basedOn w:val="Normal"/>
    <w:rsid w:val="00DC71F7"/>
  </w:style>
  <w:style w:type="table" w:styleId="TableGrid">
    <w:name w:val="Table Grid"/>
    <w:basedOn w:val="TableNormal"/>
    <w:rsid w:val="008F68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REVISED STAFF REPORT</vt:lpstr>
    </vt:vector>
  </TitlesOfParts>
  <Company>King County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2</cp:revision>
  <dcterms:created xsi:type="dcterms:W3CDTF">2020-02-26T19:32:00Z</dcterms:created>
  <dcterms:modified xsi:type="dcterms:W3CDTF">2020-02-26T19:32:00Z</dcterms:modified>
</cp:coreProperties>
</file>