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D7BA" w14:textId="77777777" w:rsidR="00EB5A13" w:rsidRPr="00A46A5D" w:rsidRDefault="00EB5A13" w:rsidP="00EB5A13">
      <w:pPr>
        <w:pStyle w:val="Heading2"/>
        <w:rPr>
          <w:b w:val="0"/>
          <w:sz w:val="24"/>
          <w:u w:val="none"/>
        </w:rPr>
      </w:pPr>
    </w:p>
    <w:p w14:paraId="09C8DB9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99D856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EA6758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B138DD2"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8347D31" w14:textId="3029F52C" w:rsidR="00EB5A13" w:rsidRPr="009349D6" w:rsidRDefault="00F72659"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00B39AB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433720" w14:textId="7D268B15" w:rsidR="00EB5A13" w:rsidRPr="009349D6" w:rsidRDefault="004E735A" w:rsidP="00074A56">
            <w:pPr>
              <w:spacing w:before="40" w:after="40"/>
              <w:rPr>
                <w:rFonts w:ascii="Arial" w:hAnsi="Arial" w:cs="Arial"/>
              </w:rPr>
            </w:pPr>
            <w:r>
              <w:rPr>
                <w:rFonts w:ascii="Arial" w:hAnsi="Arial" w:cs="Arial"/>
              </w:rPr>
              <w:t>Leah Krekel-Zoppi</w:t>
            </w:r>
          </w:p>
        </w:tc>
      </w:tr>
      <w:tr w:rsidR="00EB5A13" w:rsidRPr="009349D6" w14:paraId="0BCF64B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F7BC81"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05077037" w14:textId="4186BCE3" w:rsidR="00EB5A13" w:rsidRPr="009349D6" w:rsidRDefault="004E735A" w:rsidP="00074A56">
            <w:pPr>
              <w:spacing w:before="40" w:after="40"/>
              <w:rPr>
                <w:rFonts w:ascii="Arial" w:hAnsi="Arial" w:cs="Arial"/>
              </w:rPr>
            </w:pPr>
            <w:r>
              <w:rPr>
                <w:rFonts w:ascii="Arial" w:hAnsi="Arial" w:cs="Arial"/>
              </w:rPr>
              <w:t>2019-0445</w:t>
            </w:r>
          </w:p>
        </w:tc>
        <w:tc>
          <w:tcPr>
            <w:tcW w:w="1170" w:type="dxa"/>
            <w:tcBorders>
              <w:top w:val="single" w:sz="4" w:space="0" w:color="auto"/>
              <w:left w:val="single" w:sz="4" w:space="0" w:color="auto"/>
              <w:bottom w:val="single" w:sz="4" w:space="0" w:color="auto"/>
              <w:right w:val="single" w:sz="4" w:space="0" w:color="auto"/>
            </w:tcBorders>
            <w:vAlign w:val="center"/>
          </w:tcPr>
          <w:p w14:paraId="0968AF2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014DF83" w14:textId="0DCC75B9" w:rsidR="00EB5A13" w:rsidRPr="009349D6" w:rsidRDefault="006213BE" w:rsidP="006213BE">
            <w:pPr>
              <w:spacing w:before="40" w:after="40"/>
              <w:rPr>
                <w:rFonts w:ascii="Arial" w:hAnsi="Arial" w:cs="Arial"/>
              </w:rPr>
            </w:pPr>
            <w:r>
              <w:rPr>
                <w:rFonts w:ascii="Arial" w:hAnsi="Arial" w:cs="Arial"/>
              </w:rPr>
              <w:t>February 12</w:t>
            </w:r>
            <w:r w:rsidR="004E735A">
              <w:rPr>
                <w:rFonts w:ascii="Arial" w:hAnsi="Arial" w:cs="Arial"/>
              </w:rPr>
              <w:t xml:space="preserve">, </w:t>
            </w:r>
            <w:r>
              <w:rPr>
                <w:rFonts w:ascii="Arial" w:hAnsi="Arial" w:cs="Arial"/>
              </w:rPr>
              <w:t>2020</w:t>
            </w:r>
          </w:p>
        </w:tc>
      </w:tr>
    </w:tbl>
    <w:p w14:paraId="2E581FFE" w14:textId="77777777" w:rsidR="00C37A37" w:rsidRPr="009864F8" w:rsidRDefault="00C37A37" w:rsidP="00C37A37">
      <w:pPr>
        <w:rPr>
          <w:rFonts w:ascii="Arial" w:hAnsi="Arial" w:cs="Arial"/>
          <w:b/>
          <w:smallCaps/>
          <w:szCs w:val="24"/>
          <w:u w:val="single"/>
        </w:rPr>
      </w:pPr>
    </w:p>
    <w:p w14:paraId="1D6B2E34" w14:textId="77777777" w:rsidR="00785660" w:rsidRDefault="00785660" w:rsidP="005B478C">
      <w:pPr>
        <w:jc w:val="both"/>
        <w:rPr>
          <w:rFonts w:ascii="Arial" w:hAnsi="Arial" w:cs="Arial"/>
          <w:b/>
          <w:szCs w:val="24"/>
          <w:u w:val="single"/>
        </w:rPr>
      </w:pPr>
    </w:p>
    <w:p w14:paraId="33D838F0"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090D23EF" w14:textId="77777777" w:rsidR="00785660" w:rsidRDefault="00785660" w:rsidP="00785660">
      <w:pPr>
        <w:rPr>
          <w:rFonts w:ascii="Arial" w:hAnsi="Arial" w:cs="Arial"/>
        </w:rPr>
      </w:pPr>
    </w:p>
    <w:p w14:paraId="1CF8CDCF" w14:textId="2ACCB518" w:rsidR="00785660" w:rsidRDefault="0042569E" w:rsidP="006213BE">
      <w:pPr>
        <w:jc w:val="both"/>
        <w:rPr>
          <w:rFonts w:ascii="Arial" w:hAnsi="Arial" w:cs="Arial"/>
        </w:rPr>
      </w:pPr>
      <w:r>
        <w:rPr>
          <w:rFonts w:ascii="Arial" w:hAnsi="Arial" w:cs="Arial"/>
        </w:rPr>
        <w:t>An ordinance</w:t>
      </w:r>
      <w:r w:rsidRPr="0042569E">
        <w:rPr>
          <w:rFonts w:ascii="Arial" w:hAnsi="Arial" w:cs="Arial"/>
        </w:rPr>
        <w:t xml:space="preserve"> authorizing a lease agreement for privately owned land and facilities</w:t>
      </w:r>
      <w:r>
        <w:rPr>
          <w:rFonts w:ascii="Arial" w:hAnsi="Arial" w:cs="Arial"/>
        </w:rPr>
        <w:t>, called the Eagle lease,</w:t>
      </w:r>
      <w:r w:rsidRPr="0042569E">
        <w:rPr>
          <w:rFonts w:ascii="Arial" w:hAnsi="Arial" w:cs="Arial"/>
        </w:rPr>
        <w:t xml:space="preserve"> to support Met</w:t>
      </w:r>
      <w:r>
        <w:rPr>
          <w:rFonts w:ascii="Arial" w:hAnsi="Arial" w:cs="Arial"/>
        </w:rPr>
        <w:t>ro T</w:t>
      </w:r>
      <w:r w:rsidRPr="0042569E">
        <w:rPr>
          <w:rFonts w:ascii="Arial" w:hAnsi="Arial" w:cs="Arial"/>
        </w:rPr>
        <w:t>ransit operations in South King County.</w:t>
      </w:r>
    </w:p>
    <w:p w14:paraId="2A84B35C" w14:textId="77777777" w:rsidR="0042569E" w:rsidRDefault="0042569E" w:rsidP="00785660">
      <w:pPr>
        <w:rPr>
          <w:rFonts w:ascii="Arial" w:hAnsi="Arial" w:cs="Arial"/>
          <w:b/>
          <w:smallCaps/>
          <w:szCs w:val="24"/>
          <w:u w:val="single"/>
        </w:rPr>
      </w:pPr>
    </w:p>
    <w:p w14:paraId="0FFC32F4"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593B6952" w14:textId="77777777" w:rsidR="00785660" w:rsidRDefault="00785660" w:rsidP="00785660">
      <w:pPr>
        <w:rPr>
          <w:rFonts w:ascii="Arial" w:hAnsi="Arial" w:cs="Arial"/>
        </w:rPr>
      </w:pPr>
    </w:p>
    <w:p w14:paraId="5A03C535" w14:textId="625DC764" w:rsidR="00785660" w:rsidRDefault="00B71CF2" w:rsidP="00785660">
      <w:pPr>
        <w:jc w:val="both"/>
        <w:rPr>
          <w:rFonts w:ascii="Arial" w:hAnsi="Arial" w:cs="Arial"/>
        </w:rPr>
      </w:pPr>
      <w:r>
        <w:rPr>
          <w:rFonts w:ascii="Arial" w:hAnsi="Arial" w:cs="Arial"/>
        </w:rPr>
        <w:t>Proposed Ordinance 2019-0445 would authorize the Executive to enter into a ten-year lease agreement for the Eagle property adjacent to Metro Transit’s South Base campus. The proposed lease would replace an existing short term lease Metro has for the property, and would allow Metro to continue using the property to free up space on the South Base campus, enabling Metro to build a new South Annex Base to increase bus storage capacity.</w:t>
      </w:r>
    </w:p>
    <w:p w14:paraId="42B72CA2" w14:textId="58993A7F" w:rsidR="00B71CF2" w:rsidRDefault="00B71CF2" w:rsidP="00785660">
      <w:pPr>
        <w:jc w:val="both"/>
        <w:rPr>
          <w:rFonts w:ascii="Arial" w:hAnsi="Arial" w:cs="Arial"/>
        </w:rPr>
      </w:pPr>
    </w:p>
    <w:p w14:paraId="5DB16F93" w14:textId="77CD0309" w:rsidR="00785660" w:rsidRPr="00011670" w:rsidRDefault="00011670" w:rsidP="00011670">
      <w:pPr>
        <w:jc w:val="both"/>
        <w:rPr>
          <w:rFonts w:ascii="Arial" w:hAnsi="Arial" w:cs="Arial"/>
          <w:szCs w:val="24"/>
        </w:rPr>
      </w:pPr>
      <w:r w:rsidRPr="00011670">
        <w:rPr>
          <w:rFonts w:ascii="Arial" w:hAnsi="Arial" w:cs="Arial"/>
          <w:szCs w:val="24"/>
        </w:rPr>
        <w:t xml:space="preserve">The fiscal impacts of the proposed Eagle lease for the 2019-2020 biennium, including rent, operating costs, tenant improvement, and transaction costs, would be approximately $1 million. The Council </w:t>
      </w:r>
      <w:r>
        <w:rPr>
          <w:rFonts w:ascii="Arial" w:hAnsi="Arial" w:cs="Arial"/>
          <w:szCs w:val="24"/>
        </w:rPr>
        <w:t>provided budget appropriation authority for this transaction</w:t>
      </w:r>
      <w:r w:rsidR="006213BE">
        <w:rPr>
          <w:rFonts w:ascii="Arial" w:hAnsi="Arial" w:cs="Arial"/>
          <w:szCs w:val="24"/>
        </w:rPr>
        <w:t xml:space="preserve"> through the 2019 2</w:t>
      </w:r>
      <w:r w:rsidR="006213BE" w:rsidRPr="000B35BF">
        <w:rPr>
          <w:rFonts w:ascii="Arial" w:hAnsi="Arial" w:cs="Arial"/>
          <w:szCs w:val="24"/>
          <w:vertAlign w:val="superscript"/>
        </w:rPr>
        <w:t>nd</w:t>
      </w:r>
      <w:r w:rsidR="006213BE">
        <w:rPr>
          <w:rFonts w:ascii="Arial" w:hAnsi="Arial" w:cs="Arial"/>
          <w:szCs w:val="24"/>
        </w:rPr>
        <w:t xml:space="preserve"> Omnibus (Ordinance 19021)</w:t>
      </w:r>
      <w:r>
        <w:rPr>
          <w:rFonts w:ascii="Arial" w:hAnsi="Arial" w:cs="Arial"/>
          <w:szCs w:val="24"/>
        </w:rPr>
        <w:t>.</w:t>
      </w:r>
    </w:p>
    <w:p w14:paraId="7B1234C3" w14:textId="77777777" w:rsidR="00C75025" w:rsidRDefault="00C75025" w:rsidP="005B478C">
      <w:pPr>
        <w:jc w:val="both"/>
        <w:rPr>
          <w:rFonts w:ascii="Arial" w:hAnsi="Arial" w:cs="Arial"/>
          <w:szCs w:val="24"/>
        </w:rPr>
      </w:pPr>
    </w:p>
    <w:p w14:paraId="047F1F4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BE03CDE" w14:textId="77777777" w:rsidR="00074A56" w:rsidRDefault="00074A56" w:rsidP="005B478C">
      <w:pPr>
        <w:jc w:val="both"/>
        <w:rPr>
          <w:rFonts w:ascii="Arial" w:hAnsi="Arial" w:cs="Arial"/>
        </w:rPr>
      </w:pPr>
    </w:p>
    <w:p w14:paraId="7536FB4E" w14:textId="77777777" w:rsidR="00A81513" w:rsidRDefault="00A81513" w:rsidP="00785660">
      <w:pPr>
        <w:jc w:val="both"/>
        <w:rPr>
          <w:rFonts w:ascii="Arial" w:hAnsi="Arial" w:cs="Arial"/>
          <w:b/>
        </w:rPr>
      </w:pPr>
      <w:r>
        <w:rPr>
          <w:rFonts w:ascii="Arial" w:hAnsi="Arial" w:cs="Arial"/>
          <w:b/>
        </w:rPr>
        <w:t>Metro Transit Operation Growth Capacity and Base Expansion Plans</w:t>
      </w:r>
    </w:p>
    <w:p w14:paraId="55A2B4C9" w14:textId="2B50B3E5" w:rsidR="00A81513" w:rsidRDefault="00A81513" w:rsidP="00785660">
      <w:pPr>
        <w:jc w:val="both"/>
        <w:rPr>
          <w:rFonts w:ascii="Arial" w:hAnsi="Arial" w:cs="Arial"/>
        </w:rPr>
      </w:pPr>
    </w:p>
    <w:p w14:paraId="4060DEFB" w14:textId="0EFA5F64" w:rsidR="00473A47" w:rsidRPr="00473A47" w:rsidRDefault="00A81513" w:rsidP="00A81513">
      <w:pPr>
        <w:jc w:val="both"/>
        <w:rPr>
          <w:rFonts w:ascii="Arial" w:hAnsi="Arial" w:cs="Arial"/>
        </w:rPr>
      </w:pPr>
      <w:r>
        <w:rPr>
          <w:rFonts w:ascii="Arial" w:hAnsi="Arial" w:cs="Arial"/>
        </w:rPr>
        <w:t xml:space="preserve">Metro Transit currently has seven transit bases on four campuses spread throughout King County, which are operating above optimal capacity. </w:t>
      </w:r>
      <w:r w:rsidR="006213BE">
        <w:rPr>
          <w:rFonts w:ascii="Arial" w:hAnsi="Arial" w:cs="Arial"/>
        </w:rPr>
        <w:t xml:space="preserve"> </w:t>
      </w:r>
      <w:r>
        <w:rPr>
          <w:rFonts w:ascii="Arial" w:hAnsi="Arial" w:cs="Arial"/>
        </w:rPr>
        <w:t xml:space="preserve">According to Metro, in order to keep up with growth in the current system and meet business goals such as expanding the system as envisioned in METRO CONNECTS, Metro’s long range plan, and transitioning to a zero-emissions fleet, Metro needs to expand base capacity.  In March 2019, Metro </w:t>
      </w:r>
      <w:r w:rsidR="00473A47">
        <w:rPr>
          <w:rFonts w:ascii="Arial" w:hAnsi="Arial" w:cs="Arial"/>
        </w:rPr>
        <w:t>release</w:t>
      </w:r>
      <w:r w:rsidR="006213BE">
        <w:rPr>
          <w:rFonts w:ascii="Arial" w:hAnsi="Arial" w:cs="Arial"/>
        </w:rPr>
        <w:t>d</w:t>
      </w:r>
      <w:r w:rsidR="00473A47">
        <w:rPr>
          <w:rFonts w:ascii="Arial" w:hAnsi="Arial" w:cs="Arial"/>
        </w:rPr>
        <w:t xml:space="preserve"> a</w:t>
      </w:r>
      <w:r w:rsidR="00011670">
        <w:rPr>
          <w:rFonts w:ascii="Arial" w:hAnsi="Arial" w:cs="Arial"/>
        </w:rPr>
        <w:t>n</w:t>
      </w:r>
      <w:r w:rsidR="00473A47">
        <w:rPr>
          <w:rFonts w:ascii="Arial" w:hAnsi="Arial" w:cs="Arial"/>
        </w:rPr>
        <w:t xml:space="preserve"> </w:t>
      </w:r>
      <w:r w:rsidR="00473A47" w:rsidRPr="00473A47">
        <w:rPr>
          <w:rFonts w:ascii="Arial" w:hAnsi="Arial" w:cs="Arial"/>
        </w:rPr>
        <w:t>Operational Capacity Growth Report</w:t>
      </w:r>
      <w:r w:rsidR="00473A47">
        <w:rPr>
          <w:rFonts w:ascii="Arial" w:hAnsi="Arial" w:cs="Arial"/>
        </w:rPr>
        <w:t>,</w:t>
      </w:r>
      <w:r w:rsidR="00473A47">
        <w:rPr>
          <w:rStyle w:val="FootnoteReference"/>
          <w:rFonts w:ascii="Arial" w:hAnsi="Arial" w:cs="Arial"/>
        </w:rPr>
        <w:footnoteReference w:id="1"/>
      </w:r>
      <w:r w:rsidR="00473A47">
        <w:rPr>
          <w:rFonts w:ascii="Arial" w:hAnsi="Arial" w:cs="Arial"/>
        </w:rPr>
        <w:t xml:space="preserve"> outlining Metro’s strategy for </w:t>
      </w:r>
      <w:r w:rsidR="00473A47" w:rsidRPr="00473A47">
        <w:rPr>
          <w:rFonts w:ascii="Arial" w:hAnsi="Arial" w:cs="Arial"/>
        </w:rPr>
        <w:t>meet</w:t>
      </w:r>
      <w:r w:rsidR="00473A47">
        <w:rPr>
          <w:rFonts w:ascii="Arial" w:hAnsi="Arial" w:cs="Arial"/>
        </w:rPr>
        <w:t>ing</w:t>
      </w:r>
      <w:r w:rsidR="00473A47" w:rsidRPr="00473A47">
        <w:rPr>
          <w:rFonts w:ascii="Arial" w:hAnsi="Arial" w:cs="Arial"/>
        </w:rPr>
        <w:t xml:space="preserve"> facility capacity needs over the next 20 years</w:t>
      </w:r>
      <w:r w:rsidR="00473A47">
        <w:rPr>
          <w:rFonts w:ascii="Arial" w:hAnsi="Arial" w:cs="Arial"/>
        </w:rPr>
        <w:t xml:space="preserve">.  That strategy involves </w:t>
      </w:r>
      <w:r w:rsidR="00473A47" w:rsidRPr="00473A47">
        <w:rPr>
          <w:rFonts w:ascii="Arial" w:hAnsi="Arial" w:cs="Arial"/>
        </w:rPr>
        <w:t xml:space="preserve">relocating some of the existing office, training, and facility functions from the current South Base, South Facilities, and South Annex properties, all part of a large South campus in Tukwila, to free up space for a new South Annex Base, scheduled to </w:t>
      </w:r>
      <w:r w:rsidR="00473A47" w:rsidRPr="00473A47">
        <w:rPr>
          <w:rFonts w:ascii="Arial" w:hAnsi="Arial" w:cs="Arial"/>
        </w:rPr>
        <w:lastRenderedPageBreak/>
        <w:t xml:space="preserve">be operational in 2025. </w:t>
      </w:r>
      <w:r w:rsidR="006213BE">
        <w:rPr>
          <w:rFonts w:ascii="Arial" w:hAnsi="Arial" w:cs="Arial"/>
        </w:rPr>
        <w:t xml:space="preserve"> </w:t>
      </w:r>
      <w:r w:rsidR="00473A47" w:rsidRPr="00473A47">
        <w:rPr>
          <w:rFonts w:ascii="Arial" w:hAnsi="Arial" w:cs="Arial"/>
        </w:rPr>
        <w:t>This new expansion would provide near term capacity while Metro plans and constructs a completely new, ninth bus base in South King County.</w:t>
      </w:r>
      <w:r w:rsidR="00577600">
        <w:rPr>
          <w:rFonts w:ascii="Arial" w:hAnsi="Arial" w:cs="Arial"/>
        </w:rPr>
        <w:t xml:space="preserve">  </w:t>
      </w:r>
      <w:r w:rsidR="00473A47">
        <w:rPr>
          <w:rFonts w:ascii="Arial" w:hAnsi="Arial" w:cs="Arial"/>
        </w:rPr>
        <w:t xml:space="preserve">This Eagle property, the subject of this proposed ordinance, would </w:t>
      </w:r>
      <w:r w:rsidR="00577600">
        <w:rPr>
          <w:rFonts w:ascii="Arial" w:hAnsi="Arial" w:cs="Arial"/>
        </w:rPr>
        <w:t xml:space="preserve">house some of the administrative and training functions that are being relocated from the South campus to free up space for the new South Annex Base.  </w:t>
      </w:r>
      <w:r w:rsidR="00BB3AB7" w:rsidRPr="00BB3AB7">
        <w:rPr>
          <w:rFonts w:ascii="Arial" w:hAnsi="Arial" w:cs="Arial"/>
        </w:rPr>
        <w:t xml:space="preserve">The Eagle property located near the South Base, according to Metro, </w:t>
      </w:r>
      <w:r w:rsidR="0035756A">
        <w:rPr>
          <w:rFonts w:ascii="Arial" w:hAnsi="Arial" w:cs="Arial"/>
        </w:rPr>
        <w:t xml:space="preserve">is </w:t>
      </w:r>
      <w:r w:rsidR="00BB3AB7" w:rsidRPr="00BB3AB7">
        <w:rPr>
          <w:rFonts w:ascii="Arial" w:hAnsi="Arial" w:cs="Arial"/>
        </w:rPr>
        <w:t>well-suited for relocating some of the functions from nearby existing Metro-owned facilities.</w:t>
      </w:r>
      <w:r w:rsidR="00BB3AB7">
        <w:rPr>
          <w:rFonts w:ascii="Arial" w:hAnsi="Arial" w:cs="Arial"/>
        </w:rPr>
        <w:t xml:space="preserve">  </w:t>
      </w:r>
      <w:r w:rsidR="00577600">
        <w:rPr>
          <w:rFonts w:ascii="Arial" w:hAnsi="Arial" w:cs="Arial"/>
        </w:rPr>
        <w:t>Metro entered into a short term lease for the Eagle property when it became available in 2018, and has now negotiated a long-term lease for Council consideration.</w:t>
      </w:r>
    </w:p>
    <w:p w14:paraId="170A2CCA" w14:textId="77777777" w:rsidR="00A81513" w:rsidRPr="00A81513" w:rsidRDefault="00A81513" w:rsidP="00A81513">
      <w:pPr>
        <w:jc w:val="both"/>
        <w:rPr>
          <w:rFonts w:ascii="Arial" w:hAnsi="Arial" w:cs="Arial"/>
          <w:highlight w:val="lightGray"/>
        </w:rPr>
      </w:pPr>
    </w:p>
    <w:p w14:paraId="072B1FE5"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C73518F" w14:textId="77777777" w:rsidR="00074A56" w:rsidRDefault="00074A56" w:rsidP="005B478C">
      <w:pPr>
        <w:jc w:val="both"/>
        <w:rPr>
          <w:rFonts w:ascii="Arial" w:hAnsi="Arial" w:cs="Arial"/>
        </w:rPr>
      </w:pPr>
    </w:p>
    <w:p w14:paraId="608927B2" w14:textId="77777777" w:rsidR="002A066E" w:rsidRDefault="00577600" w:rsidP="00577600">
      <w:pPr>
        <w:jc w:val="both"/>
        <w:rPr>
          <w:rFonts w:ascii="Arial" w:hAnsi="Arial" w:cs="Arial"/>
        </w:rPr>
      </w:pPr>
      <w:r>
        <w:rPr>
          <w:rFonts w:ascii="Arial" w:hAnsi="Arial" w:cs="Arial"/>
        </w:rPr>
        <w:t>Proposed Ordinance 2019-0</w:t>
      </w:r>
      <w:r w:rsidR="00BB3AB7">
        <w:rPr>
          <w:rFonts w:ascii="Arial" w:hAnsi="Arial" w:cs="Arial"/>
        </w:rPr>
        <w:t>445</w:t>
      </w:r>
      <w:r>
        <w:rPr>
          <w:rFonts w:ascii="Arial" w:hAnsi="Arial" w:cs="Arial"/>
        </w:rPr>
        <w:t xml:space="preserve"> was transmitted to Council pursuant to King County Code 4A.100.070, which requires Council approval of leases with terms lasting longer than five yea</w:t>
      </w:r>
      <w:r w:rsidRPr="00FA5B91">
        <w:rPr>
          <w:rFonts w:ascii="Arial" w:hAnsi="Arial" w:cs="Arial"/>
        </w:rPr>
        <w:t xml:space="preserve">rs. The proposed </w:t>
      </w:r>
      <w:r w:rsidR="00BB3AB7">
        <w:rPr>
          <w:rFonts w:ascii="Arial" w:hAnsi="Arial" w:cs="Arial"/>
        </w:rPr>
        <w:t>lease includes a ten</w:t>
      </w:r>
      <w:r w:rsidRPr="00FA5B91">
        <w:rPr>
          <w:rFonts w:ascii="Arial" w:hAnsi="Arial" w:cs="Arial"/>
        </w:rPr>
        <w:t>-year term with an option to extend for an additional five-year term.</w:t>
      </w:r>
    </w:p>
    <w:p w14:paraId="0163BF4B" w14:textId="77777777" w:rsidR="002A066E" w:rsidRDefault="002A066E" w:rsidP="00577600">
      <w:pPr>
        <w:jc w:val="both"/>
        <w:rPr>
          <w:rFonts w:ascii="Arial" w:hAnsi="Arial" w:cs="Arial"/>
        </w:rPr>
      </w:pPr>
    </w:p>
    <w:p w14:paraId="58FB5803" w14:textId="77777777" w:rsidR="002A066E" w:rsidRDefault="00577600" w:rsidP="00577600">
      <w:pPr>
        <w:jc w:val="both"/>
        <w:rPr>
          <w:rFonts w:ascii="Arial" w:hAnsi="Arial" w:cs="Arial"/>
        </w:rPr>
      </w:pPr>
      <w:r>
        <w:rPr>
          <w:rFonts w:ascii="Arial" w:hAnsi="Arial" w:cs="Arial"/>
        </w:rPr>
        <w:t xml:space="preserve">A lease alternative analysis was conducted; however, as indicated in the transmitted lease property summary, </w:t>
      </w:r>
      <w:r w:rsidR="002A066E">
        <w:rPr>
          <w:rFonts w:ascii="Arial" w:hAnsi="Arial" w:cs="Arial"/>
        </w:rPr>
        <w:t xml:space="preserve">the market for this type of property in the area was extremely limited and acquiring land to build the needed facilities did not fit within Metro’s timeframe for completing the South Base expansions. </w:t>
      </w:r>
    </w:p>
    <w:p w14:paraId="7D3B7487" w14:textId="77777777" w:rsidR="002A066E" w:rsidRDefault="002A066E" w:rsidP="00577600">
      <w:pPr>
        <w:jc w:val="both"/>
        <w:rPr>
          <w:rFonts w:ascii="Arial" w:hAnsi="Arial" w:cs="Arial"/>
        </w:rPr>
      </w:pPr>
    </w:p>
    <w:p w14:paraId="75FB2B61" w14:textId="6CF25175" w:rsidR="00577600" w:rsidRPr="00F81AD6" w:rsidRDefault="00577600" w:rsidP="00577600">
      <w:pPr>
        <w:jc w:val="both"/>
        <w:rPr>
          <w:rFonts w:ascii="Arial" w:hAnsi="Arial" w:cs="Arial"/>
        </w:rPr>
      </w:pPr>
      <w:r w:rsidRPr="00FA5B91">
        <w:rPr>
          <w:rFonts w:ascii="Arial" w:hAnsi="Arial" w:cs="Arial"/>
        </w:rPr>
        <w:t xml:space="preserve">Table 1 provides </w:t>
      </w:r>
      <w:r>
        <w:rPr>
          <w:rFonts w:ascii="Arial" w:hAnsi="Arial" w:cs="Arial"/>
        </w:rPr>
        <w:t xml:space="preserve">a </w:t>
      </w:r>
      <w:r w:rsidRPr="00FA5B91">
        <w:rPr>
          <w:rFonts w:ascii="Arial" w:hAnsi="Arial" w:cs="Arial"/>
        </w:rPr>
        <w:t>summary of the lease terms.</w:t>
      </w:r>
    </w:p>
    <w:p w14:paraId="3FBC2FEF" w14:textId="77777777" w:rsidR="00577600" w:rsidRDefault="00577600" w:rsidP="00577600">
      <w:pPr>
        <w:jc w:val="center"/>
        <w:rPr>
          <w:rFonts w:ascii="Arial" w:hAnsi="Arial" w:cs="Arial"/>
          <w:b/>
        </w:rPr>
      </w:pPr>
    </w:p>
    <w:p w14:paraId="3187BBDE" w14:textId="502FF245" w:rsidR="00577600" w:rsidRPr="00FA5B91" w:rsidRDefault="00577600" w:rsidP="00577600">
      <w:pPr>
        <w:jc w:val="center"/>
        <w:rPr>
          <w:rFonts w:ascii="Arial" w:hAnsi="Arial" w:cs="Arial"/>
          <w:b/>
        </w:rPr>
      </w:pPr>
      <w:r w:rsidRPr="00FA5B91">
        <w:rPr>
          <w:rFonts w:ascii="Arial" w:hAnsi="Arial" w:cs="Arial"/>
          <w:b/>
        </w:rPr>
        <w:t xml:space="preserve">Table 1. Summary of </w:t>
      </w:r>
      <w:r w:rsidR="002A066E">
        <w:rPr>
          <w:rFonts w:ascii="Arial" w:hAnsi="Arial" w:cs="Arial"/>
          <w:b/>
        </w:rPr>
        <w:t xml:space="preserve">Eagle </w:t>
      </w:r>
      <w:r w:rsidRPr="00FA5B91">
        <w:rPr>
          <w:rFonts w:ascii="Arial" w:hAnsi="Arial" w:cs="Arial"/>
          <w:b/>
        </w:rPr>
        <w:t>Lease Terms</w:t>
      </w:r>
    </w:p>
    <w:tbl>
      <w:tblPr>
        <w:tblStyle w:val="TableGrid"/>
        <w:tblW w:w="0" w:type="auto"/>
        <w:tblInd w:w="198" w:type="dxa"/>
        <w:tblLook w:val="04A0" w:firstRow="1" w:lastRow="0" w:firstColumn="1" w:lastColumn="0" w:noHBand="0" w:noVBand="1"/>
      </w:tblPr>
      <w:tblGrid>
        <w:gridCol w:w="2527"/>
        <w:gridCol w:w="6743"/>
      </w:tblGrid>
      <w:tr w:rsidR="00577600" w:rsidRPr="00126597" w14:paraId="08A15BA2" w14:textId="77777777" w:rsidTr="004D5BB8">
        <w:trPr>
          <w:cantSplit/>
          <w:tblHeader/>
        </w:trPr>
        <w:tc>
          <w:tcPr>
            <w:tcW w:w="2527" w:type="dxa"/>
            <w:shd w:val="clear" w:color="auto" w:fill="000000" w:themeFill="text1"/>
            <w:tcMar>
              <w:top w:w="43" w:type="dxa"/>
              <w:left w:w="115" w:type="dxa"/>
              <w:bottom w:w="43" w:type="dxa"/>
              <w:right w:w="115" w:type="dxa"/>
            </w:tcMar>
          </w:tcPr>
          <w:p w14:paraId="3F3EF789" w14:textId="77777777" w:rsidR="00577600" w:rsidRPr="00F81AD6" w:rsidRDefault="00577600" w:rsidP="004D5BB8">
            <w:pPr>
              <w:jc w:val="both"/>
              <w:rPr>
                <w:rFonts w:ascii="Arial" w:hAnsi="Arial" w:cs="Arial"/>
                <w:b/>
                <w:sz w:val="22"/>
                <w:szCs w:val="22"/>
              </w:rPr>
            </w:pPr>
            <w:r w:rsidRPr="00F81AD6">
              <w:rPr>
                <w:rFonts w:ascii="Arial" w:hAnsi="Arial" w:cs="Arial"/>
                <w:b/>
                <w:sz w:val="22"/>
                <w:szCs w:val="22"/>
              </w:rPr>
              <w:t>Category</w:t>
            </w:r>
          </w:p>
        </w:tc>
        <w:tc>
          <w:tcPr>
            <w:tcW w:w="6743" w:type="dxa"/>
            <w:shd w:val="clear" w:color="auto" w:fill="000000" w:themeFill="text1"/>
            <w:tcMar>
              <w:top w:w="43" w:type="dxa"/>
              <w:left w:w="115" w:type="dxa"/>
              <w:bottom w:w="43" w:type="dxa"/>
              <w:right w:w="115" w:type="dxa"/>
            </w:tcMar>
          </w:tcPr>
          <w:p w14:paraId="6DAB0BF9" w14:textId="77777777" w:rsidR="00577600" w:rsidRPr="00F81AD6" w:rsidRDefault="00577600" w:rsidP="004D5BB8">
            <w:pPr>
              <w:jc w:val="both"/>
              <w:rPr>
                <w:rFonts w:ascii="Arial" w:hAnsi="Arial" w:cs="Arial"/>
                <w:b/>
                <w:sz w:val="22"/>
                <w:szCs w:val="22"/>
              </w:rPr>
            </w:pPr>
            <w:r w:rsidRPr="00F81AD6">
              <w:rPr>
                <w:rFonts w:ascii="Arial" w:hAnsi="Arial" w:cs="Arial"/>
                <w:b/>
                <w:sz w:val="22"/>
                <w:szCs w:val="22"/>
              </w:rPr>
              <w:t>Terms</w:t>
            </w:r>
          </w:p>
          <w:p w14:paraId="55F73B0E" w14:textId="77777777" w:rsidR="00577600" w:rsidRPr="00F81AD6" w:rsidRDefault="00577600" w:rsidP="004D5BB8">
            <w:pPr>
              <w:jc w:val="both"/>
              <w:rPr>
                <w:rFonts w:ascii="Arial" w:hAnsi="Arial" w:cs="Arial"/>
                <w:b/>
                <w:sz w:val="22"/>
                <w:szCs w:val="22"/>
              </w:rPr>
            </w:pPr>
          </w:p>
        </w:tc>
      </w:tr>
      <w:tr w:rsidR="00577600" w:rsidRPr="00126597" w14:paraId="59D4F130" w14:textId="77777777" w:rsidTr="004D5BB8">
        <w:tc>
          <w:tcPr>
            <w:tcW w:w="2527" w:type="dxa"/>
            <w:tcMar>
              <w:top w:w="43" w:type="dxa"/>
              <w:left w:w="115" w:type="dxa"/>
              <w:bottom w:w="43" w:type="dxa"/>
              <w:right w:w="115" w:type="dxa"/>
            </w:tcMar>
          </w:tcPr>
          <w:p w14:paraId="31451DA2" w14:textId="77777777" w:rsidR="00577600" w:rsidRPr="00F81AD6" w:rsidRDefault="00577600" w:rsidP="004D5BB8">
            <w:pPr>
              <w:rPr>
                <w:rFonts w:ascii="Arial" w:hAnsi="Arial" w:cs="Arial"/>
                <w:b/>
                <w:sz w:val="22"/>
                <w:szCs w:val="22"/>
              </w:rPr>
            </w:pPr>
            <w:r w:rsidRPr="00F81AD6">
              <w:rPr>
                <w:rFonts w:ascii="Arial" w:hAnsi="Arial" w:cs="Arial"/>
                <w:b/>
                <w:sz w:val="22"/>
                <w:szCs w:val="22"/>
              </w:rPr>
              <w:t>Square Footage</w:t>
            </w:r>
          </w:p>
        </w:tc>
        <w:tc>
          <w:tcPr>
            <w:tcW w:w="6743" w:type="dxa"/>
            <w:tcMar>
              <w:top w:w="43" w:type="dxa"/>
              <w:left w:w="115" w:type="dxa"/>
              <w:bottom w:w="43" w:type="dxa"/>
              <w:right w:w="115" w:type="dxa"/>
            </w:tcMar>
          </w:tcPr>
          <w:p w14:paraId="5321FC32" w14:textId="4E02CBAE" w:rsidR="00577600" w:rsidRPr="00F81AD6" w:rsidRDefault="002A066E" w:rsidP="004D5BB8">
            <w:pPr>
              <w:jc w:val="both"/>
              <w:rPr>
                <w:rFonts w:ascii="Arial" w:hAnsi="Arial" w:cs="Arial"/>
                <w:sz w:val="22"/>
                <w:szCs w:val="22"/>
              </w:rPr>
            </w:pPr>
            <w:r w:rsidRPr="002A066E">
              <w:rPr>
                <w:rFonts w:ascii="Arial" w:hAnsi="Arial" w:cs="Arial"/>
                <w:sz w:val="22"/>
                <w:szCs w:val="22"/>
              </w:rPr>
              <w:t>93,248 square feet of improved land and 12,500 square feet of warehouse and office space.</w:t>
            </w:r>
          </w:p>
        </w:tc>
      </w:tr>
      <w:tr w:rsidR="00577600" w:rsidRPr="00126597" w14:paraId="4612EB75" w14:textId="77777777" w:rsidTr="004D5BB8">
        <w:tc>
          <w:tcPr>
            <w:tcW w:w="2527" w:type="dxa"/>
            <w:tcMar>
              <w:top w:w="43" w:type="dxa"/>
              <w:left w:w="115" w:type="dxa"/>
              <w:bottom w:w="43" w:type="dxa"/>
              <w:right w:w="115" w:type="dxa"/>
            </w:tcMar>
          </w:tcPr>
          <w:p w14:paraId="5935B546" w14:textId="6CA8EB3A" w:rsidR="00577600" w:rsidRPr="00870CEA" w:rsidRDefault="00577600" w:rsidP="004D5BB8">
            <w:pPr>
              <w:rPr>
                <w:rFonts w:ascii="Arial" w:hAnsi="Arial" w:cs="Arial"/>
                <w:b/>
                <w:sz w:val="22"/>
                <w:szCs w:val="22"/>
              </w:rPr>
            </w:pPr>
            <w:r w:rsidRPr="00870CEA">
              <w:rPr>
                <w:rFonts w:ascii="Arial" w:hAnsi="Arial" w:cs="Arial"/>
                <w:b/>
                <w:sz w:val="22"/>
                <w:szCs w:val="22"/>
              </w:rPr>
              <w:t>Base Rent</w:t>
            </w:r>
          </w:p>
        </w:tc>
        <w:tc>
          <w:tcPr>
            <w:tcW w:w="6743" w:type="dxa"/>
            <w:tcMar>
              <w:top w:w="43" w:type="dxa"/>
              <w:left w:w="115" w:type="dxa"/>
              <w:bottom w:w="43" w:type="dxa"/>
              <w:right w:w="115" w:type="dxa"/>
            </w:tcMar>
          </w:tcPr>
          <w:p w14:paraId="26C09B4F" w14:textId="58BDEFFD" w:rsidR="00577600" w:rsidRPr="00870CEA" w:rsidRDefault="002A066E" w:rsidP="002A066E">
            <w:pPr>
              <w:jc w:val="both"/>
              <w:rPr>
                <w:rFonts w:ascii="Arial" w:hAnsi="Arial" w:cs="Arial"/>
                <w:sz w:val="22"/>
                <w:szCs w:val="22"/>
              </w:rPr>
            </w:pPr>
            <w:r w:rsidRPr="002A066E">
              <w:rPr>
                <w:rFonts w:ascii="Arial" w:hAnsi="Arial" w:cs="Arial"/>
                <w:sz w:val="22"/>
                <w:szCs w:val="22"/>
              </w:rPr>
              <w:t>$28,000/month until 11/1/23.  3% annual increases thereafter</w:t>
            </w:r>
            <w:r>
              <w:rPr>
                <w:rFonts w:ascii="Arial" w:hAnsi="Arial" w:cs="Arial"/>
                <w:sz w:val="22"/>
                <w:szCs w:val="22"/>
              </w:rPr>
              <w:t>.</w:t>
            </w:r>
          </w:p>
        </w:tc>
      </w:tr>
      <w:tr w:rsidR="00577600" w:rsidRPr="00126597" w14:paraId="3085FD79" w14:textId="77777777" w:rsidTr="004D5BB8">
        <w:tc>
          <w:tcPr>
            <w:tcW w:w="2527" w:type="dxa"/>
            <w:tcMar>
              <w:top w:w="43" w:type="dxa"/>
              <w:left w:w="115" w:type="dxa"/>
              <w:bottom w:w="43" w:type="dxa"/>
              <w:right w:w="115" w:type="dxa"/>
            </w:tcMar>
          </w:tcPr>
          <w:p w14:paraId="5EDFC576" w14:textId="77777777" w:rsidR="00577600" w:rsidRDefault="00577600" w:rsidP="004D5BB8">
            <w:pPr>
              <w:rPr>
                <w:rFonts w:ascii="Arial" w:hAnsi="Arial" w:cs="Arial"/>
                <w:b/>
                <w:sz w:val="22"/>
                <w:szCs w:val="22"/>
              </w:rPr>
            </w:pPr>
            <w:r w:rsidRPr="00870CEA">
              <w:rPr>
                <w:rFonts w:ascii="Arial" w:hAnsi="Arial" w:cs="Arial"/>
                <w:b/>
                <w:sz w:val="22"/>
                <w:szCs w:val="22"/>
              </w:rPr>
              <w:t>Operating Costs (Additional Rent)</w:t>
            </w:r>
            <w:r>
              <w:rPr>
                <w:rStyle w:val="FootnoteReference"/>
                <w:rFonts w:ascii="Arial" w:hAnsi="Arial" w:cs="Arial"/>
                <w:b/>
                <w:sz w:val="22"/>
                <w:szCs w:val="22"/>
              </w:rPr>
              <w:footnoteReference w:id="2"/>
            </w:r>
          </w:p>
          <w:p w14:paraId="49A73787" w14:textId="77777777" w:rsidR="00577600" w:rsidRPr="00870CEA" w:rsidRDefault="00577600" w:rsidP="004D5BB8">
            <w:pPr>
              <w:rPr>
                <w:rFonts w:ascii="Arial" w:hAnsi="Arial" w:cs="Arial"/>
                <w:b/>
                <w:sz w:val="22"/>
                <w:szCs w:val="22"/>
              </w:rPr>
            </w:pPr>
          </w:p>
        </w:tc>
        <w:tc>
          <w:tcPr>
            <w:tcW w:w="6743" w:type="dxa"/>
            <w:tcMar>
              <w:top w:w="43" w:type="dxa"/>
              <w:left w:w="115" w:type="dxa"/>
              <w:bottom w:w="43" w:type="dxa"/>
              <w:right w:w="115" w:type="dxa"/>
            </w:tcMar>
          </w:tcPr>
          <w:p w14:paraId="2F0A12F5" w14:textId="7A74AE96" w:rsidR="00577600" w:rsidRPr="00870CEA" w:rsidRDefault="002A066E" w:rsidP="004D5BB8">
            <w:pPr>
              <w:jc w:val="both"/>
              <w:rPr>
                <w:rFonts w:ascii="Arial" w:hAnsi="Arial" w:cs="Arial"/>
                <w:sz w:val="22"/>
                <w:szCs w:val="22"/>
              </w:rPr>
            </w:pPr>
            <w:r w:rsidRPr="002A066E">
              <w:rPr>
                <w:rFonts w:ascii="Arial" w:hAnsi="Arial" w:cs="Arial"/>
                <w:sz w:val="22"/>
                <w:szCs w:val="22"/>
              </w:rPr>
              <w:t>$8,888.21/month – 2019 rate</w:t>
            </w:r>
            <w:r>
              <w:rPr>
                <w:rFonts w:ascii="Arial" w:hAnsi="Arial" w:cs="Arial"/>
                <w:sz w:val="22"/>
                <w:szCs w:val="22"/>
              </w:rPr>
              <w:t xml:space="preserve">, variable based on actual </w:t>
            </w:r>
            <w:r w:rsidRPr="002A066E">
              <w:rPr>
                <w:rFonts w:ascii="Arial" w:hAnsi="Arial" w:cs="Arial"/>
                <w:sz w:val="22"/>
                <w:szCs w:val="22"/>
              </w:rPr>
              <w:t>operating costs.</w:t>
            </w:r>
          </w:p>
        </w:tc>
      </w:tr>
      <w:tr w:rsidR="00577600" w:rsidRPr="00126597" w14:paraId="13535866" w14:textId="77777777" w:rsidTr="004D5BB8">
        <w:tc>
          <w:tcPr>
            <w:tcW w:w="2527" w:type="dxa"/>
            <w:tcMar>
              <w:top w:w="43" w:type="dxa"/>
              <w:left w:w="115" w:type="dxa"/>
              <w:bottom w:w="43" w:type="dxa"/>
              <w:right w:w="115" w:type="dxa"/>
            </w:tcMar>
          </w:tcPr>
          <w:p w14:paraId="1F59D4D7" w14:textId="77777777" w:rsidR="00577600" w:rsidRPr="00F81AD6" w:rsidRDefault="00577600" w:rsidP="004D5BB8">
            <w:pPr>
              <w:rPr>
                <w:rFonts w:ascii="Arial" w:hAnsi="Arial" w:cs="Arial"/>
                <w:b/>
                <w:sz w:val="22"/>
                <w:szCs w:val="22"/>
              </w:rPr>
            </w:pPr>
            <w:r w:rsidRPr="00F81AD6">
              <w:rPr>
                <w:rFonts w:ascii="Arial" w:hAnsi="Arial" w:cs="Arial"/>
                <w:b/>
                <w:sz w:val="22"/>
                <w:szCs w:val="22"/>
              </w:rPr>
              <w:t>Term</w:t>
            </w:r>
          </w:p>
        </w:tc>
        <w:tc>
          <w:tcPr>
            <w:tcW w:w="6743" w:type="dxa"/>
            <w:tcMar>
              <w:top w:w="43" w:type="dxa"/>
              <w:left w:w="115" w:type="dxa"/>
              <w:bottom w:w="43" w:type="dxa"/>
              <w:right w:w="115" w:type="dxa"/>
            </w:tcMar>
          </w:tcPr>
          <w:p w14:paraId="5446F354" w14:textId="38DC9945" w:rsidR="00577600" w:rsidRPr="00F81AD6" w:rsidRDefault="002B5D19" w:rsidP="004D5BB8">
            <w:pPr>
              <w:jc w:val="both"/>
              <w:rPr>
                <w:rFonts w:ascii="Arial" w:hAnsi="Arial" w:cs="Arial"/>
                <w:sz w:val="22"/>
                <w:szCs w:val="22"/>
              </w:rPr>
            </w:pPr>
            <w:r>
              <w:rPr>
                <w:rFonts w:ascii="Arial" w:hAnsi="Arial" w:cs="Arial"/>
                <w:sz w:val="22"/>
                <w:szCs w:val="22"/>
              </w:rPr>
              <w:t>Ten</w:t>
            </w:r>
            <w:r w:rsidR="00577600" w:rsidRPr="00F81AD6">
              <w:rPr>
                <w:rFonts w:ascii="Arial" w:hAnsi="Arial" w:cs="Arial"/>
                <w:sz w:val="22"/>
                <w:szCs w:val="22"/>
              </w:rPr>
              <w:t xml:space="preserve"> years for the initial term with an option to extend for an additional five-year term.</w:t>
            </w:r>
          </w:p>
          <w:p w14:paraId="40F1B256" w14:textId="77777777" w:rsidR="00577600" w:rsidRPr="00F81AD6" w:rsidRDefault="00577600" w:rsidP="004D5BB8">
            <w:pPr>
              <w:jc w:val="both"/>
              <w:rPr>
                <w:rFonts w:ascii="Arial" w:hAnsi="Arial" w:cs="Arial"/>
                <w:sz w:val="22"/>
                <w:szCs w:val="22"/>
              </w:rPr>
            </w:pPr>
          </w:p>
        </w:tc>
      </w:tr>
      <w:tr w:rsidR="00577600" w:rsidRPr="00126597" w14:paraId="2603DFC6" w14:textId="77777777" w:rsidTr="004D5BB8">
        <w:tc>
          <w:tcPr>
            <w:tcW w:w="2527" w:type="dxa"/>
            <w:tcMar>
              <w:top w:w="43" w:type="dxa"/>
              <w:left w:w="115" w:type="dxa"/>
              <w:bottom w:w="43" w:type="dxa"/>
              <w:right w:w="115" w:type="dxa"/>
            </w:tcMar>
          </w:tcPr>
          <w:p w14:paraId="7F72FBA5" w14:textId="77777777" w:rsidR="00577600" w:rsidRPr="00126597" w:rsidRDefault="00577600" w:rsidP="004D5BB8">
            <w:pPr>
              <w:rPr>
                <w:rFonts w:ascii="Arial" w:hAnsi="Arial" w:cs="Arial"/>
                <w:b/>
                <w:color w:val="FF0000"/>
                <w:sz w:val="22"/>
                <w:szCs w:val="22"/>
              </w:rPr>
            </w:pPr>
            <w:r w:rsidRPr="00430FE0">
              <w:rPr>
                <w:rFonts w:ascii="Arial" w:hAnsi="Arial" w:cs="Arial"/>
                <w:b/>
                <w:sz w:val="22"/>
                <w:szCs w:val="22"/>
              </w:rPr>
              <w:t>Other Considerations</w:t>
            </w:r>
          </w:p>
        </w:tc>
        <w:tc>
          <w:tcPr>
            <w:tcW w:w="6743" w:type="dxa"/>
            <w:tcMar>
              <w:top w:w="43" w:type="dxa"/>
              <w:left w:w="115" w:type="dxa"/>
              <w:bottom w:w="43" w:type="dxa"/>
              <w:right w:w="115" w:type="dxa"/>
            </w:tcMar>
          </w:tcPr>
          <w:p w14:paraId="6E7F5341" w14:textId="2A197B15" w:rsidR="002B5D19" w:rsidRPr="004B45BB" w:rsidRDefault="002B5D19" w:rsidP="004B45BB">
            <w:pPr>
              <w:pStyle w:val="ListParagraph0"/>
              <w:numPr>
                <w:ilvl w:val="0"/>
                <w:numId w:val="44"/>
              </w:numPr>
              <w:ind w:left="216" w:hanging="180"/>
              <w:rPr>
                <w:rFonts w:ascii="Arial" w:hAnsi="Arial" w:cs="Arial"/>
                <w:sz w:val="22"/>
                <w:szCs w:val="22"/>
              </w:rPr>
            </w:pPr>
            <w:r w:rsidRPr="004B45BB">
              <w:rPr>
                <w:rFonts w:ascii="Arial" w:hAnsi="Arial" w:cs="Arial"/>
                <w:sz w:val="22"/>
                <w:szCs w:val="22"/>
              </w:rPr>
              <w:t>Monthly rent remains the same as in the existing short-term lease</w:t>
            </w:r>
          </w:p>
          <w:p w14:paraId="4B383F58" w14:textId="5C5EEF78" w:rsidR="00577600" w:rsidRPr="004B45BB" w:rsidRDefault="002B5D19" w:rsidP="004B45BB">
            <w:pPr>
              <w:pStyle w:val="ListParagraph0"/>
              <w:numPr>
                <w:ilvl w:val="0"/>
                <w:numId w:val="44"/>
              </w:numPr>
              <w:ind w:left="216" w:hanging="180"/>
              <w:rPr>
                <w:rFonts w:ascii="Arial" w:hAnsi="Arial" w:cs="Arial"/>
                <w:sz w:val="22"/>
                <w:szCs w:val="22"/>
              </w:rPr>
            </w:pPr>
            <w:r w:rsidRPr="004B45BB">
              <w:rPr>
                <w:rFonts w:ascii="Arial" w:hAnsi="Arial" w:cs="Arial"/>
                <w:sz w:val="22"/>
                <w:szCs w:val="22"/>
              </w:rPr>
              <w:t xml:space="preserve">Requires the landlord to complete specified tenant improvements within 90 days of the lease commencement. </w:t>
            </w:r>
          </w:p>
          <w:p w14:paraId="47E2E577" w14:textId="3C85834B" w:rsidR="00577600" w:rsidRPr="004B45BB" w:rsidRDefault="002B5D19" w:rsidP="004B45BB">
            <w:pPr>
              <w:pStyle w:val="ListParagraph0"/>
              <w:numPr>
                <w:ilvl w:val="0"/>
                <w:numId w:val="44"/>
              </w:numPr>
              <w:ind w:left="216" w:hanging="180"/>
              <w:rPr>
                <w:rFonts w:ascii="Arial" w:hAnsi="Arial" w:cs="Arial"/>
                <w:sz w:val="22"/>
                <w:szCs w:val="22"/>
              </w:rPr>
            </w:pPr>
            <w:r w:rsidRPr="004B45BB">
              <w:rPr>
                <w:rFonts w:ascii="Arial" w:hAnsi="Arial" w:cs="Arial"/>
                <w:sz w:val="22"/>
                <w:szCs w:val="22"/>
              </w:rPr>
              <w:t>Holdover: Rent would be 150</w:t>
            </w:r>
            <w:r w:rsidR="00577600" w:rsidRPr="004B45BB">
              <w:rPr>
                <w:rFonts w:ascii="Arial" w:hAnsi="Arial" w:cs="Arial"/>
                <w:sz w:val="22"/>
                <w:szCs w:val="22"/>
              </w:rPr>
              <w:t>% of base rent</w:t>
            </w:r>
          </w:p>
          <w:p w14:paraId="6689DF8B" w14:textId="5E73400F" w:rsidR="00577600" w:rsidRDefault="00577600" w:rsidP="004B45BB">
            <w:pPr>
              <w:pStyle w:val="ListParagraph0"/>
              <w:numPr>
                <w:ilvl w:val="0"/>
                <w:numId w:val="44"/>
              </w:numPr>
              <w:ind w:left="216" w:hanging="180"/>
              <w:rPr>
                <w:rFonts w:ascii="Arial" w:hAnsi="Arial" w:cs="Arial"/>
                <w:sz w:val="22"/>
                <w:szCs w:val="22"/>
              </w:rPr>
            </w:pPr>
            <w:r w:rsidRPr="004B45BB">
              <w:rPr>
                <w:rFonts w:ascii="Arial" w:hAnsi="Arial" w:cs="Arial"/>
                <w:sz w:val="22"/>
                <w:szCs w:val="22"/>
              </w:rPr>
              <w:t>Extension: Base rent would be reassessed for extended terms and based on fair market value agreed by both parties.</w:t>
            </w:r>
          </w:p>
          <w:p w14:paraId="5251C51E" w14:textId="02F304F6" w:rsidR="00577600" w:rsidRPr="004B45BB" w:rsidRDefault="004B45BB" w:rsidP="004B45BB">
            <w:pPr>
              <w:pStyle w:val="ListParagraph0"/>
              <w:numPr>
                <w:ilvl w:val="0"/>
                <w:numId w:val="44"/>
              </w:numPr>
              <w:ind w:left="216" w:hanging="180"/>
              <w:rPr>
                <w:rFonts w:ascii="Arial" w:hAnsi="Arial" w:cs="Arial"/>
                <w:sz w:val="22"/>
                <w:szCs w:val="22"/>
              </w:rPr>
            </w:pPr>
            <w:r w:rsidRPr="000053B4">
              <w:rPr>
                <w:rFonts w:ascii="Arial" w:hAnsi="Arial" w:cs="Arial"/>
                <w:sz w:val="22"/>
                <w:szCs w:val="22"/>
              </w:rPr>
              <w:t>Includes a right of first offer for Metro should the landlord decide to sell the property during the term of the lease.</w:t>
            </w:r>
          </w:p>
        </w:tc>
      </w:tr>
      <w:tr w:rsidR="00577600" w:rsidRPr="00126597" w14:paraId="192148ED" w14:textId="77777777" w:rsidTr="004D5BB8">
        <w:tc>
          <w:tcPr>
            <w:tcW w:w="2527" w:type="dxa"/>
            <w:tcMar>
              <w:top w:w="43" w:type="dxa"/>
              <w:left w:w="115" w:type="dxa"/>
              <w:bottom w:w="43" w:type="dxa"/>
              <w:right w:w="115" w:type="dxa"/>
            </w:tcMar>
          </w:tcPr>
          <w:p w14:paraId="7DAC7A87" w14:textId="77777777" w:rsidR="00577600" w:rsidRPr="00F81AD6" w:rsidRDefault="00577600" w:rsidP="004D5BB8">
            <w:pPr>
              <w:jc w:val="both"/>
              <w:rPr>
                <w:rFonts w:ascii="Arial" w:hAnsi="Arial" w:cs="Arial"/>
                <w:b/>
                <w:sz w:val="22"/>
                <w:szCs w:val="22"/>
              </w:rPr>
            </w:pPr>
            <w:r w:rsidRPr="00F81AD6">
              <w:rPr>
                <w:rFonts w:ascii="Arial" w:hAnsi="Arial" w:cs="Arial"/>
                <w:b/>
                <w:sz w:val="22"/>
                <w:szCs w:val="22"/>
              </w:rPr>
              <w:t>Commencement Date</w:t>
            </w:r>
          </w:p>
        </w:tc>
        <w:tc>
          <w:tcPr>
            <w:tcW w:w="6743" w:type="dxa"/>
            <w:tcMar>
              <w:top w:w="43" w:type="dxa"/>
              <w:left w:w="115" w:type="dxa"/>
              <w:bottom w:w="43" w:type="dxa"/>
              <w:right w:w="115" w:type="dxa"/>
            </w:tcMar>
          </w:tcPr>
          <w:p w14:paraId="5CE597CF" w14:textId="5422B784" w:rsidR="00577600" w:rsidRPr="00F81AD6" w:rsidRDefault="002B5D19" w:rsidP="004D5BB8">
            <w:pPr>
              <w:jc w:val="both"/>
              <w:rPr>
                <w:rFonts w:ascii="Arial" w:hAnsi="Arial" w:cs="Arial"/>
                <w:sz w:val="22"/>
                <w:szCs w:val="22"/>
              </w:rPr>
            </w:pPr>
            <w:r>
              <w:rPr>
                <w:rFonts w:ascii="Arial" w:hAnsi="Arial" w:cs="Arial"/>
                <w:sz w:val="22"/>
                <w:szCs w:val="22"/>
              </w:rPr>
              <w:t>November 1, 2019</w:t>
            </w:r>
            <w:r>
              <w:rPr>
                <w:rStyle w:val="FootnoteReference"/>
                <w:rFonts w:ascii="Arial" w:hAnsi="Arial" w:cs="Arial"/>
                <w:sz w:val="22"/>
                <w:szCs w:val="22"/>
              </w:rPr>
              <w:footnoteReference w:id="3"/>
            </w:r>
          </w:p>
          <w:p w14:paraId="6EFDC952" w14:textId="77777777" w:rsidR="00577600" w:rsidRPr="00F81AD6" w:rsidRDefault="00577600" w:rsidP="004D5BB8">
            <w:pPr>
              <w:jc w:val="both"/>
              <w:rPr>
                <w:rFonts w:ascii="Arial" w:hAnsi="Arial" w:cs="Arial"/>
                <w:sz w:val="22"/>
                <w:szCs w:val="22"/>
              </w:rPr>
            </w:pPr>
          </w:p>
        </w:tc>
      </w:tr>
    </w:tbl>
    <w:p w14:paraId="2CF76292" w14:textId="77777777" w:rsidR="00577600" w:rsidRPr="00126597" w:rsidRDefault="00577600" w:rsidP="00577600">
      <w:pPr>
        <w:jc w:val="both"/>
        <w:rPr>
          <w:rFonts w:ascii="Arial" w:hAnsi="Arial" w:cs="Arial"/>
          <w:color w:val="FF0000"/>
        </w:rPr>
      </w:pPr>
    </w:p>
    <w:p w14:paraId="298D56E7" w14:textId="0E13C1AE" w:rsidR="00577600" w:rsidRPr="00E30E85" w:rsidRDefault="00577600" w:rsidP="00577600">
      <w:pPr>
        <w:jc w:val="both"/>
        <w:rPr>
          <w:rFonts w:ascii="Arial" w:hAnsi="Arial" w:cs="Arial"/>
        </w:rPr>
      </w:pPr>
      <w:r w:rsidRPr="00E30E85">
        <w:rPr>
          <w:rFonts w:ascii="Arial" w:hAnsi="Arial" w:cs="Arial"/>
        </w:rPr>
        <w:t>Table 2 below estimates the financial impacts</w:t>
      </w:r>
      <w:r w:rsidR="00E30E85">
        <w:rPr>
          <w:rFonts w:ascii="Arial" w:hAnsi="Arial" w:cs="Arial"/>
        </w:rPr>
        <w:t>, including rent, operating costs, tenant improvement,</w:t>
      </w:r>
      <w:r w:rsidRPr="00E30E85">
        <w:rPr>
          <w:rFonts w:ascii="Arial" w:hAnsi="Arial" w:cs="Arial"/>
        </w:rPr>
        <w:t xml:space="preserve"> </w:t>
      </w:r>
      <w:r w:rsidR="00E30E85">
        <w:rPr>
          <w:rFonts w:ascii="Arial" w:hAnsi="Arial" w:cs="Arial"/>
        </w:rPr>
        <w:t xml:space="preserve">and transaction costs, </w:t>
      </w:r>
      <w:r w:rsidRPr="00E30E85">
        <w:rPr>
          <w:rFonts w:ascii="Arial" w:hAnsi="Arial" w:cs="Arial"/>
        </w:rPr>
        <w:t xml:space="preserve">of the proposed </w:t>
      </w:r>
      <w:r w:rsidR="005C15F3" w:rsidRPr="00E30E85">
        <w:rPr>
          <w:rFonts w:ascii="Arial" w:hAnsi="Arial" w:cs="Arial"/>
        </w:rPr>
        <w:t xml:space="preserve">Eagle </w:t>
      </w:r>
      <w:r w:rsidRPr="00E30E85">
        <w:rPr>
          <w:rFonts w:ascii="Arial" w:hAnsi="Arial" w:cs="Arial"/>
        </w:rPr>
        <w:t xml:space="preserve">lease for the 2019-2020 biennium and future biennia. </w:t>
      </w:r>
      <w:r w:rsidR="005C15F3" w:rsidRPr="00E30E85">
        <w:rPr>
          <w:rFonts w:ascii="Arial" w:hAnsi="Arial" w:cs="Arial"/>
        </w:rPr>
        <w:t>N</w:t>
      </w:r>
      <w:r w:rsidRPr="00E30E85">
        <w:rPr>
          <w:rFonts w:ascii="Arial" w:hAnsi="Arial" w:cs="Arial"/>
        </w:rPr>
        <w:t xml:space="preserve">ote that 2019-2020 </w:t>
      </w:r>
      <w:r w:rsidR="004B45BB">
        <w:rPr>
          <w:rFonts w:ascii="Arial" w:hAnsi="Arial" w:cs="Arial"/>
        </w:rPr>
        <w:t xml:space="preserve">biennial </w:t>
      </w:r>
      <w:r w:rsidRPr="00E30E85">
        <w:rPr>
          <w:rFonts w:ascii="Arial" w:hAnsi="Arial" w:cs="Arial"/>
        </w:rPr>
        <w:t xml:space="preserve">costs would be subject to the lease commencement date (Table 2 uses a </w:t>
      </w:r>
      <w:r w:rsidR="005C15F3" w:rsidRPr="00E30E85">
        <w:rPr>
          <w:rFonts w:ascii="Arial" w:hAnsi="Arial" w:cs="Arial"/>
        </w:rPr>
        <w:t>Nov</w:t>
      </w:r>
      <w:r w:rsidRPr="00E30E85">
        <w:rPr>
          <w:rFonts w:ascii="Arial" w:hAnsi="Arial" w:cs="Arial"/>
        </w:rPr>
        <w:t xml:space="preserve">ember 1, 2019 start date). </w:t>
      </w:r>
      <w:r w:rsidR="005C15F3" w:rsidRPr="00E30E85">
        <w:rPr>
          <w:rFonts w:ascii="Arial" w:hAnsi="Arial" w:cs="Arial"/>
        </w:rPr>
        <w:t>The cost of the proposed lease w</w:t>
      </w:r>
      <w:r w:rsidRPr="00E30E85">
        <w:rPr>
          <w:rFonts w:ascii="Arial" w:hAnsi="Arial" w:cs="Arial"/>
        </w:rPr>
        <w:t xml:space="preserve">as included in </w:t>
      </w:r>
      <w:r w:rsidR="005C15F3" w:rsidRPr="00E30E85">
        <w:rPr>
          <w:rFonts w:ascii="Arial" w:hAnsi="Arial" w:cs="Arial"/>
        </w:rPr>
        <w:t xml:space="preserve">the 2019 </w:t>
      </w:r>
      <w:r w:rsidR="00D84AF7">
        <w:rPr>
          <w:rFonts w:ascii="Arial" w:hAnsi="Arial" w:cs="Arial"/>
        </w:rPr>
        <w:t>2</w:t>
      </w:r>
      <w:r w:rsidR="00D84AF7" w:rsidRPr="000B35BF">
        <w:rPr>
          <w:rFonts w:ascii="Arial" w:hAnsi="Arial" w:cs="Arial"/>
          <w:vertAlign w:val="superscript"/>
        </w:rPr>
        <w:t>nd</w:t>
      </w:r>
      <w:r w:rsidR="005C15F3" w:rsidRPr="00E30E85">
        <w:rPr>
          <w:rFonts w:ascii="Arial" w:hAnsi="Arial" w:cs="Arial"/>
        </w:rPr>
        <w:t xml:space="preserve"> </w:t>
      </w:r>
      <w:r w:rsidR="00D84AF7">
        <w:rPr>
          <w:rFonts w:ascii="Arial" w:hAnsi="Arial" w:cs="Arial"/>
        </w:rPr>
        <w:t>O</w:t>
      </w:r>
      <w:r w:rsidR="005C15F3" w:rsidRPr="00E30E85">
        <w:rPr>
          <w:rFonts w:ascii="Arial" w:hAnsi="Arial" w:cs="Arial"/>
        </w:rPr>
        <w:t>mnibus</w:t>
      </w:r>
      <w:r w:rsidR="00E30E85" w:rsidRPr="00E30E85">
        <w:rPr>
          <w:rStyle w:val="FootnoteReference"/>
          <w:rFonts w:ascii="Arial" w:hAnsi="Arial" w:cs="Arial"/>
        </w:rPr>
        <w:footnoteReference w:id="4"/>
      </w:r>
      <w:r w:rsidRPr="00E30E85">
        <w:rPr>
          <w:rFonts w:ascii="Arial" w:hAnsi="Arial" w:cs="Arial"/>
        </w:rPr>
        <w:t xml:space="preserve">. </w:t>
      </w:r>
    </w:p>
    <w:p w14:paraId="2E4BA9EB" w14:textId="77777777" w:rsidR="00577600" w:rsidRPr="00E30E85" w:rsidRDefault="00577600" w:rsidP="00577600">
      <w:pPr>
        <w:jc w:val="both"/>
        <w:rPr>
          <w:rFonts w:ascii="Arial" w:hAnsi="Arial" w:cs="Arial"/>
          <w:color w:val="FF0000"/>
        </w:rPr>
      </w:pPr>
    </w:p>
    <w:p w14:paraId="27C27995" w14:textId="04BA9807" w:rsidR="00577600" w:rsidRPr="00E30E85" w:rsidRDefault="00577600" w:rsidP="00577600">
      <w:pPr>
        <w:jc w:val="center"/>
        <w:rPr>
          <w:rFonts w:ascii="Arial" w:hAnsi="Arial" w:cs="Arial"/>
          <w:b/>
        </w:rPr>
      </w:pPr>
      <w:r w:rsidRPr="00E30E85">
        <w:rPr>
          <w:rFonts w:ascii="Arial" w:hAnsi="Arial" w:cs="Arial"/>
          <w:b/>
        </w:rPr>
        <w:t xml:space="preserve">Table 2. Fiscal Impacts of Proposed Ordinance </w:t>
      </w:r>
      <w:r w:rsidR="00E30E85" w:rsidRPr="00E30E85">
        <w:rPr>
          <w:rFonts w:ascii="Arial" w:hAnsi="Arial" w:cs="Arial"/>
          <w:b/>
        </w:rPr>
        <w:t>2019-0445</w:t>
      </w:r>
    </w:p>
    <w:tbl>
      <w:tblPr>
        <w:tblStyle w:val="TableGrid"/>
        <w:tblW w:w="0" w:type="auto"/>
        <w:tblLook w:val="04A0" w:firstRow="1" w:lastRow="0" w:firstColumn="1" w:lastColumn="0" w:noHBand="0" w:noVBand="1"/>
      </w:tblPr>
      <w:tblGrid>
        <w:gridCol w:w="2696"/>
        <w:gridCol w:w="2409"/>
        <w:gridCol w:w="2062"/>
        <w:gridCol w:w="2409"/>
      </w:tblGrid>
      <w:tr w:rsidR="00E30E85" w:rsidRPr="002B5D19" w14:paraId="22903A8C" w14:textId="77777777" w:rsidTr="00E30E85">
        <w:tc>
          <w:tcPr>
            <w:tcW w:w="2696" w:type="dxa"/>
            <w:shd w:val="clear" w:color="auto" w:fill="000000" w:themeFill="text1"/>
            <w:vAlign w:val="center"/>
          </w:tcPr>
          <w:p w14:paraId="6ABF2178" w14:textId="77777777" w:rsidR="00E30E85" w:rsidRPr="002B5D19" w:rsidRDefault="00E30E85" w:rsidP="004D5BB8">
            <w:pPr>
              <w:jc w:val="center"/>
              <w:rPr>
                <w:rFonts w:ascii="Arial" w:hAnsi="Arial" w:cs="Arial"/>
                <w:b/>
                <w:color w:val="FFFFFF" w:themeColor="background1"/>
                <w:sz w:val="22"/>
                <w:szCs w:val="22"/>
              </w:rPr>
            </w:pPr>
            <w:r w:rsidRPr="002B5D19">
              <w:rPr>
                <w:rFonts w:ascii="Arial" w:hAnsi="Arial" w:cs="Arial"/>
                <w:b/>
                <w:color w:val="FFFFFF" w:themeColor="background1"/>
                <w:sz w:val="22"/>
                <w:szCs w:val="22"/>
              </w:rPr>
              <w:t>2019-2020</w:t>
            </w:r>
          </w:p>
          <w:p w14:paraId="4173D85A" w14:textId="77777777" w:rsidR="00E30E85" w:rsidRPr="002B5D19" w:rsidRDefault="00E30E85" w:rsidP="004D5BB8">
            <w:pPr>
              <w:jc w:val="center"/>
              <w:rPr>
                <w:rFonts w:ascii="Arial" w:hAnsi="Arial" w:cs="Arial"/>
                <w:i/>
                <w:color w:val="FFFFFF" w:themeColor="background1"/>
                <w:sz w:val="22"/>
                <w:szCs w:val="22"/>
                <w:highlight w:val="yellow"/>
              </w:rPr>
            </w:pPr>
            <w:r w:rsidRPr="002B5D19">
              <w:rPr>
                <w:rFonts w:ascii="Arial" w:hAnsi="Arial" w:cs="Arial"/>
                <w:b/>
                <w:i/>
                <w:color w:val="FFFFFF" w:themeColor="background1"/>
                <w:sz w:val="22"/>
                <w:szCs w:val="22"/>
              </w:rPr>
              <w:t>(Subject to lease commencement date)</w:t>
            </w:r>
          </w:p>
        </w:tc>
        <w:tc>
          <w:tcPr>
            <w:tcW w:w="2409" w:type="dxa"/>
            <w:shd w:val="clear" w:color="auto" w:fill="000000" w:themeFill="text1"/>
            <w:vAlign w:val="center"/>
          </w:tcPr>
          <w:p w14:paraId="143FD3C8" w14:textId="77777777" w:rsidR="00E30E85" w:rsidRPr="002B5D19" w:rsidRDefault="00E30E85" w:rsidP="004D5BB8">
            <w:pPr>
              <w:jc w:val="center"/>
              <w:rPr>
                <w:rFonts w:ascii="Arial" w:hAnsi="Arial" w:cs="Arial"/>
                <w:color w:val="FFFFFF" w:themeColor="background1"/>
                <w:sz w:val="22"/>
                <w:szCs w:val="22"/>
                <w:highlight w:val="yellow"/>
              </w:rPr>
            </w:pPr>
            <w:r w:rsidRPr="002B5D19">
              <w:rPr>
                <w:rFonts w:ascii="Arial" w:hAnsi="Arial" w:cs="Arial"/>
                <w:b/>
                <w:color w:val="FFFFFF" w:themeColor="background1"/>
                <w:sz w:val="22"/>
                <w:szCs w:val="22"/>
              </w:rPr>
              <w:t>2021-2022</w:t>
            </w:r>
          </w:p>
        </w:tc>
        <w:tc>
          <w:tcPr>
            <w:tcW w:w="2062" w:type="dxa"/>
            <w:shd w:val="clear" w:color="auto" w:fill="000000" w:themeFill="text1"/>
            <w:vAlign w:val="center"/>
          </w:tcPr>
          <w:p w14:paraId="1096BE62" w14:textId="22EA279C" w:rsidR="00E30E85" w:rsidRPr="002B5D19" w:rsidRDefault="00E30E85" w:rsidP="00E30E85">
            <w:pPr>
              <w:jc w:val="center"/>
              <w:rPr>
                <w:rFonts w:ascii="Arial" w:hAnsi="Arial" w:cs="Arial"/>
                <w:b/>
                <w:color w:val="FFFFFF" w:themeColor="background1"/>
                <w:sz w:val="22"/>
                <w:szCs w:val="22"/>
              </w:rPr>
            </w:pPr>
            <w:r>
              <w:rPr>
                <w:rFonts w:ascii="Arial" w:hAnsi="Arial" w:cs="Arial"/>
                <w:b/>
                <w:color w:val="FFFFFF" w:themeColor="background1"/>
                <w:sz w:val="22"/>
                <w:szCs w:val="22"/>
              </w:rPr>
              <w:t>2023-2024</w:t>
            </w:r>
          </w:p>
        </w:tc>
        <w:tc>
          <w:tcPr>
            <w:tcW w:w="2409" w:type="dxa"/>
            <w:shd w:val="clear" w:color="auto" w:fill="000000" w:themeFill="text1"/>
            <w:vAlign w:val="center"/>
          </w:tcPr>
          <w:p w14:paraId="43E0CFC9" w14:textId="290D1E42" w:rsidR="00E30E85" w:rsidRPr="00E30E85" w:rsidRDefault="00E30E85" w:rsidP="00E30E85">
            <w:pPr>
              <w:jc w:val="center"/>
              <w:rPr>
                <w:rFonts w:ascii="Arial" w:hAnsi="Arial" w:cs="Arial"/>
                <w:b/>
                <w:color w:val="FFFFFF" w:themeColor="background1"/>
                <w:sz w:val="22"/>
                <w:szCs w:val="22"/>
              </w:rPr>
            </w:pPr>
            <w:r w:rsidRPr="002B5D19">
              <w:rPr>
                <w:rFonts w:ascii="Arial" w:hAnsi="Arial" w:cs="Arial"/>
                <w:b/>
                <w:color w:val="FFFFFF" w:themeColor="background1"/>
                <w:sz w:val="22"/>
                <w:szCs w:val="22"/>
              </w:rPr>
              <w:t>Out Years</w:t>
            </w:r>
          </w:p>
        </w:tc>
      </w:tr>
      <w:tr w:rsidR="00E30E85" w:rsidRPr="002B5D19" w14:paraId="765285A1" w14:textId="77777777" w:rsidTr="00E30E85">
        <w:trPr>
          <w:trHeight w:val="368"/>
        </w:trPr>
        <w:tc>
          <w:tcPr>
            <w:tcW w:w="2696" w:type="dxa"/>
            <w:vAlign w:val="center"/>
          </w:tcPr>
          <w:p w14:paraId="1222CF40" w14:textId="6FC23C87" w:rsidR="00E30E85" w:rsidRPr="002B5D19" w:rsidRDefault="00E30E85" w:rsidP="004D5BB8">
            <w:pPr>
              <w:jc w:val="center"/>
              <w:rPr>
                <w:rFonts w:ascii="Arial" w:hAnsi="Arial" w:cs="Arial"/>
                <w:sz w:val="22"/>
                <w:szCs w:val="22"/>
                <w:highlight w:val="yellow"/>
              </w:rPr>
            </w:pPr>
            <w:r w:rsidRPr="00E30E85">
              <w:rPr>
                <w:rFonts w:ascii="Arial" w:hAnsi="Arial" w:cs="Arial"/>
                <w:sz w:val="22"/>
                <w:szCs w:val="22"/>
              </w:rPr>
              <w:t>$1,016,421</w:t>
            </w:r>
          </w:p>
        </w:tc>
        <w:tc>
          <w:tcPr>
            <w:tcW w:w="2409" w:type="dxa"/>
            <w:vAlign w:val="center"/>
          </w:tcPr>
          <w:p w14:paraId="5C757B2D" w14:textId="349C580A" w:rsidR="00E30E85" w:rsidRPr="002B5D19" w:rsidRDefault="00E30E85" w:rsidP="004D5BB8">
            <w:pPr>
              <w:jc w:val="center"/>
              <w:rPr>
                <w:rFonts w:ascii="Arial" w:hAnsi="Arial" w:cs="Arial"/>
                <w:sz w:val="22"/>
                <w:szCs w:val="22"/>
                <w:highlight w:val="yellow"/>
              </w:rPr>
            </w:pPr>
            <w:r w:rsidRPr="00E30E85">
              <w:rPr>
                <w:rFonts w:ascii="Arial" w:hAnsi="Arial" w:cs="Arial"/>
                <w:sz w:val="22"/>
                <w:szCs w:val="22"/>
              </w:rPr>
              <w:t>$885,293</w:t>
            </w:r>
          </w:p>
        </w:tc>
        <w:tc>
          <w:tcPr>
            <w:tcW w:w="2062" w:type="dxa"/>
            <w:vAlign w:val="center"/>
          </w:tcPr>
          <w:p w14:paraId="197AFD3D" w14:textId="1723807A" w:rsidR="00E30E85" w:rsidRPr="002B5D19" w:rsidRDefault="00E30E85" w:rsidP="00E30E85">
            <w:pPr>
              <w:jc w:val="center"/>
              <w:rPr>
                <w:rFonts w:ascii="Arial" w:hAnsi="Arial" w:cs="Arial"/>
                <w:sz w:val="22"/>
                <w:szCs w:val="22"/>
                <w:highlight w:val="yellow"/>
              </w:rPr>
            </w:pPr>
            <w:r w:rsidRPr="00E30E85">
              <w:rPr>
                <w:rFonts w:ascii="Arial" w:hAnsi="Arial" w:cs="Arial"/>
                <w:sz w:val="22"/>
                <w:szCs w:val="22"/>
              </w:rPr>
              <w:t>$903,065</w:t>
            </w:r>
          </w:p>
        </w:tc>
        <w:tc>
          <w:tcPr>
            <w:tcW w:w="2409" w:type="dxa"/>
            <w:vAlign w:val="center"/>
          </w:tcPr>
          <w:p w14:paraId="22035EA4" w14:textId="7E53E043" w:rsidR="00E30E85" w:rsidRPr="002B5D19" w:rsidRDefault="00E30E85" w:rsidP="004D5BB8">
            <w:pPr>
              <w:jc w:val="center"/>
              <w:rPr>
                <w:rFonts w:ascii="Arial" w:hAnsi="Arial" w:cs="Arial"/>
                <w:sz w:val="22"/>
                <w:szCs w:val="22"/>
                <w:highlight w:val="yellow"/>
              </w:rPr>
            </w:pPr>
            <w:r w:rsidRPr="00E30E85">
              <w:rPr>
                <w:rFonts w:ascii="Arial" w:hAnsi="Arial" w:cs="Arial"/>
                <w:sz w:val="22"/>
                <w:szCs w:val="22"/>
              </w:rPr>
              <w:t>$2,414,922</w:t>
            </w:r>
          </w:p>
        </w:tc>
      </w:tr>
    </w:tbl>
    <w:p w14:paraId="56DD5956" w14:textId="77777777" w:rsidR="00577600" w:rsidRPr="002B5D19" w:rsidRDefault="00577600" w:rsidP="00577600">
      <w:pPr>
        <w:pStyle w:val="BodyText"/>
        <w:jc w:val="both"/>
        <w:rPr>
          <w:rFonts w:ascii="Arial" w:hAnsi="Arial" w:cs="Arial"/>
          <w:b/>
          <w:i w:val="0"/>
          <w:smallCaps/>
          <w:color w:val="FF0000"/>
          <w:szCs w:val="24"/>
          <w:highlight w:val="yellow"/>
        </w:rPr>
      </w:pPr>
    </w:p>
    <w:p w14:paraId="04B92F28" w14:textId="5CA6ABBE" w:rsidR="00577600" w:rsidRDefault="00577600" w:rsidP="00577600">
      <w:pPr>
        <w:pStyle w:val="BodyText"/>
        <w:jc w:val="both"/>
        <w:rPr>
          <w:rFonts w:ascii="Arial" w:hAnsi="Arial" w:cs="Arial"/>
          <w:i w:val="0"/>
          <w:szCs w:val="24"/>
        </w:rPr>
      </w:pPr>
      <w:r w:rsidRPr="00011670">
        <w:rPr>
          <w:rFonts w:ascii="Arial" w:hAnsi="Arial" w:cs="Arial"/>
          <w:i w:val="0"/>
          <w:szCs w:val="24"/>
        </w:rPr>
        <w:t>The proposed lease agreement has had Counci</w:t>
      </w:r>
      <w:r w:rsidR="006D7F6E">
        <w:rPr>
          <w:rFonts w:ascii="Arial" w:hAnsi="Arial" w:cs="Arial"/>
          <w:i w:val="0"/>
          <w:szCs w:val="24"/>
        </w:rPr>
        <w:t>l legal review. The lease needs to be updated because the lease and rent commencement dates have passed, and the existing short term lease needs to be terminated</w:t>
      </w:r>
      <w:r w:rsidRPr="00011670">
        <w:rPr>
          <w:rFonts w:ascii="Arial" w:hAnsi="Arial" w:cs="Arial"/>
          <w:i w:val="0"/>
          <w:szCs w:val="24"/>
        </w:rPr>
        <w:t>.</w:t>
      </w:r>
    </w:p>
    <w:p w14:paraId="4F52CF1F" w14:textId="77777777" w:rsidR="00577600" w:rsidRDefault="00577600" w:rsidP="00577600">
      <w:pPr>
        <w:jc w:val="both"/>
        <w:rPr>
          <w:rFonts w:ascii="Arial" w:hAnsi="Arial" w:cs="Arial"/>
          <w:b/>
          <w:szCs w:val="24"/>
          <w:u w:val="single"/>
        </w:rPr>
      </w:pPr>
    </w:p>
    <w:p w14:paraId="49EC3FD2"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075947DD" w14:textId="77777777" w:rsidR="00074A56" w:rsidRDefault="00074A56" w:rsidP="005B478C">
      <w:pPr>
        <w:pStyle w:val="BodyText"/>
        <w:jc w:val="both"/>
        <w:rPr>
          <w:rFonts w:ascii="Arial" w:hAnsi="Arial" w:cs="Arial"/>
          <w:i w:val="0"/>
          <w:szCs w:val="24"/>
        </w:rPr>
      </w:pPr>
    </w:p>
    <w:p w14:paraId="4A3B480A" w14:textId="2676D7E5" w:rsidR="00785660" w:rsidRPr="001C4B19" w:rsidRDefault="006D7F6E" w:rsidP="006D7F6E">
      <w:pPr>
        <w:pStyle w:val="BodyText"/>
        <w:jc w:val="both"/>
        <w:rPr>
          <w:rFonts w:ascii="Arial" w:hAnsi="Arial" w:cs="Arial"/>
          <w:i w:val="0"/>
          <w:szCs w:val="24"/>
        </w:rPr>
      </w:pPr>
      <w:r>
        <w:rPr>
          <w:rFonts w:ascii="Arial" w:hAnsi="Arial" w:cs="Arial"/>
          <w:i w:val="0"/>
          <w:szCs w:val="24"/>
        </w:rPr>
        <w:t>Amendment 1 would require</w:t>
      </w:r>
      <w:r w:rsidRPr="006D7F6E">
        <w:rPr>
          <w:rFonts w:ascii="Arial" w:hAnsi="Arial" w:cs="Arial"/>
          <w:i w:val="0"/>
          <w:szCs w:val="24"/>
        </w:rPr>
        <w:t xml:space="preserve"> the parties </w:t>
      </w:r>
      <w:r>
        <w:rPr>
          <w:rFonts w:ascii="Arial" w:hAnsi="Arial" w:cs="Arial"/>
          <w:i w:val="0"/>
          <w:szCs w:val="24"/>
        </w:rPr>
        <w:t xml:space="preserve">of the proposed lease </w:t>
      </w:r>
      <w:r w:rsidRPr="006D7F6E">
        <w:rPr>
          <w:rFonts w:ascii="Arial" w:hAnsi="Arial" w:cs="Arial"/>
          <w:i w:val="0"/>
          <w:szCs w:val="24"/>
        </w:rPr>
        <w:t>to negotiate a</w:t>
      </w:r>
      <w:r>
        <w:rPr>
          <w:rFonts w:ascii="Arial" w:hAnsi="Arial" w:cs="Arial"/>
          <w:i w:val="0"/>
          <w:szCs w:val="24"/>
        </w:rPr>
        <w:t>n amendment to the lease with</w:t>
      </w:r>
      <w:r w:rsidRPr="006D7F6E">
        <w:rPr>
          <w:rFonts w:ascii="Arial" w:hAnsi="Arial" w:cs="Arial"/>
          <w:i w:val="0"/>
          <w:szCs w:val="24"/>
        </w:rPr>
        <w:t xml:space="preserve"> new lease and rent commencement date</w:t>
      </w:r>
      <w:r>
        <w:rPr>
          <w:rFonts w:ascii="Arial" w:hAnsi="Arial" w:cs="Arial"/>
          <w:i w:val="0"/>
          <w:szCs w:val="24"/>
        </w:rPr>
        <w:t>s</w:t>
      </w:r>
      <w:r w:rsidRPr="006D7F6E">
        <w:rPr>
          <w:rFonts w:ascii="Arial" w:hAnsi="Arial" w:cs="Arial"/>
          <w:i w:val="0"/>
          <w:szCs w:val="24"/>
        </w:rPr>
        <w:t xml:space="preserve"> </w:t>
      </w:r>
      <w:r>
        <w:rPr>
          <w:rFonts w:ascii="Arial" w:hAnsi="Arial" w:cs="Arial"/>
          <w:i w:val="0"/>
          <w:szCs w:val="24"/>
        </w:rPr>
        <w:t xml:space="preserve">and terminating the existing short-term lease, </w:t>
      </w:r>
      <w:r w:rsidRPr="006D7F6E">
        <w:rPr>
          <w:rFonts w:ascii="Arial" w:hAnsi="Arial" w:cs="Arial"/>
          <w:i w:val="0"/>
          <w:szCs w:val="24"/>
        </w:rPr>
        <w:t xml:space="preserve">prior to executing the </w:t>
      </w:r>
      <w:r>
        <w:rPr>
          <w:rFonts w:ascii="Arial" w:hAnsi="Arial" w:cs="Arial"/>
          <w:i w:val="0"/>
          <w:szCs w:val="24"/>
        </w:rPr>
        <w:t xml:space="preserve">proposed </w:t>
      </w:r>
      <w:r w:rsidRPr="006D7F6E">
        <w:rPr>
          <w:rFonts w:ascii="Arial" w:hAnsi="Arial" w:cs="Arial"/>
          <w:i w:val="0"/>
          <w:szCs w:val="24"/>
        </w:rPr>
        <w:t>lease</w:t>
      </w:r>
      <w:r>
        <w:rPr>
          <w:rFonts w:ascii="Arial" w:hAnsi="Arial" w:cs="Arial"/>
          <w:i w:val="0"/>
          <w:szCs w:val="24"/>
        </w:rPr>
        <w:t>.</w:t>
      </w:r>
    </w:p>
    <w:p w14:paraId="5F4776E8" w14:textId="77777777" w:rsidR="00575B03" w:rsidRDefault="00575B03" w:rsidP="005B478C">
      <w:pPr>
        <w:pStyle w:val="BodyText"/>
        <w:jc w:val="both"/>
        <w:rPr>
          <w:rFonts w:ascii="Arial" w:hAnsi="Arial" w:cs="Arial"/>
          <w:i w:val="0"/>
          <w:szCs w:val="24"/>
        </w:rPr>
      </w:pPr>
    </w:p>
    <w:p w14:paraId="53A982DD" w14:textId="77777777"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290E374C" w14:textId="77777777" w:rsidR="00785660" w:rsidRPr="001C4B19" w:rsidRDefault="00785660" w:rsidP="00785660">
      <w:pPr>
        <w:jc w:val="both"/>
        <w:rPr>
          <w:rFonts w:ascii="Arial" w:hAnsi="Arial" w:cs="Arial"/>
          <w:szCs w:val="24"/>
        </w:rPr>
      </w:pPr>
    </w:p>
    <w:p w14:paraId="78702748" w14:textId="34943052" w:rsidR="00785660" w:rsidRDefault="00011670" w:rsidP="00011670">
      <w:pPr>
        <w:pStyle w:val="BodyText"/>
        <w:numPr>
          <w:ilvl w:val="0"/>
          <w:numId w:val="46"/>
        </w:numPr>
        <w:jc w:val="both"/>
        <w:rPr>
          <w:rFonts w:ascii="Arial" w:hAnsi="Arial" w:cs="Arial"/>
          <w:i w:val="0"/>
          <w:szCs w:val="24"/>
        </w:rPr>
      </w:pPr>
      <w:r>
        <w:rPr>
          <w:rFonts w:ascii="Arial" w:hAnsi="Arial" w:cs="Arial"/>
          <w:i w:val="0"/>
          <w:szCs w:val="24"/>
        </w:rPr>
        <w:t xml:space="preserve">Tom Paine, </w:t>
      </w:r>
      <w:r w:rsidRPr="00011670">
        <w:rPr>
          <w:rFonts w:ascii="Arial" w:hAnsi="Arial" w:cs="Arial"/>
          <w:i w:val="0"/>
          <w:szCs w:val="24"/>
        </w:rPr>
        <w:t>Acting Supervisor, Transit Real Estate and Environmental</w:t>
      </w:r>
      <w:r>
        <w:rPr>
          <w:rFonts w:ascii="Arial" w:hAnsi="Arial" w:cs="Arial"/>
          <w:i w:val="0"/>
          <w:szCs w:val="24"/>
        </w:rPr>
        <w:t xml:space="preserve">, </w:t>
      </w:r>
      <w:r w:rsidRPr="00011670">
        <w:rPr>
          <w:rFonts w:ascii="Arial" w:hAnsi="Arial" w:cs="Arial"/>
          <w:i w:val="0"/>
          <w:szCs w:val="24"/>
        </w:rPr>
        <w:t>King County Metro Transit Department</w:t>
      </w:r>
    </w:p>
    <w:p w14:paraId="340E93A1" w14:textId="77777777" w:rsidR="00011670" w:rsidRPr="00011670" w:rsidRDefault="00011670" w:rsidP="00011670">
      <w:pPr>
        <w:pStyle w:val="BodyText"/>
        <w:ind w:left="720"/>
        <w:jc w:val="both"/>
        <w:rPr>
          <w:rFonts w:ascii="Arial" w:hAnsi="Arial" w:cs="Arial"/>
          <w:i w:val="0"/>
          <w:szCs w:val="24"/>
        </w:rPr>
      </w:pPr>
    </w:p>
    <w:p w14:paraId="019FE52E"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E27B81A" w14:textId="77777777" w:rsidR="00B24961" w:rsidRPr="001C4B19" w:rsidRDefault="00B24961" w:rsidP="005B478C">
      <w:pPr>
        <w:pStyle w:val="BodyText"/>
        <w:jc w:val="both"/>
        <w:rPr>
          <w:rFonts w:ascii="Arial" w:hAnsi="Arial" w:cs="Arial"/>
          <w:i w:val="0"/>
          <w:szCs w:val="24"/>
        </w:rPr>
      </w:pPr>
    </w:p>
    <w:p w14:paraId="04CEA59A" w14:textId="64E8F7C3"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85660">
        <w:rPr>
          <w:rFonts w:ascii="Arial" w:hAnsi="Arial" w:cs="Arial"/>
          <w:i w:val="0"/>
          <w:szCs w:val="24"/>
        </w:rPr>
        <w:t xml:space="preserve"> 2019-</w:t>
      </w:r>
      <w:r w:rsidR="00E30E85">
        <w:rPr>
          <w:rFonts w:ascii="Arial" w:hAnsi="Arial" w:cs="Arial"/>
          <w:i w:val="0"/>
          <w:szCs w:val="24"/>
        </w:rPr>
        <w:t>0445</w:t>
      </w:r>
      <w:r w:rsidR="00575B03" w:rsidRPr="001C4B19">
        <w:rPr>
          <w:rFonts w:ascii="Arial" w:hAnsi="Arial" w:cs="Arial"/>
          <w:i w:val="0"/>
          <w:szCs w:val="24"/>
        </w:rPr>
        <w:t xml:space="preserve"> (and its attachments)</w:t>
      </w:r>
    </w:p>
    <w:p w14:paraId="06B3B008" w14:textId="62F4E92E" w:rsidR="00664648" w:rsidRDefault="00664648" w:rsidP="005B478C">
      <w:pPr>
        <w:pStyle w:val="BodyText"/>
        <w:numPr>
          <w:ilvl w:val="0"/>
          <w:numId w:val="35"/>
        </w:numPr>
        <w:jc w:val="both"/>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r w:rsidR="00E30E85">
        <w:rPr>
          <w:rFonts w:ascii="Arial" w:hAnsi="Arial" w:cs="Arial"/>
          <w:i w:val="0"/>
          <w:szCs w:val="24"/>
        </w:rPr>
        <w:t>1</w:t>
      </w:r>
    </w:p>
    <w:p w14:paraId="68A26E6A" w14:textId="3291C4A9" w:rsidR="00774AD2" w:rsidRPr="001C4B19" w:rsidRDefault="00774AD2" w:rsidP="005B478C">
      <w:pPr>
        <w:pStyle w:val="BodyText"/>
        <w:numPr>
          <w:ilvl w:val="0"/>
          <w:numId w:val="35"/>
        </w:numPr>
        <w:jc w:val="both"/>
        <w:rPr>
          <w:rFonts w:ascii="Arial" w:hAnsi="Arial" w:cs="Arial"/>
          <w:i w:val="0"/>
          <w:szCs w:val="24"/>
        </w:rPr>
      </w:pPr>
      <w:r>
        <w:rPr>
          <w:rFonts w:ascii="Arial" w:hAnsi="Arial" w:cs="Arial"/>
          <w:i w:val="0"/>
          <w:szCs w:val="24"/>
        </w:rPr>
        <w:t>Attachment B to Amendment 1: Lease amendment 1</w:t>
      </w:r>
    </w:p>
    <w:p w14:paraId="3674E764"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3DDDC1EB"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6563198A" w14:textId="177489E2" w:rsidR="00C521D8" w:rsidRPr="00E30E85" w:rsidRDefault="00E30E85" w:rsidP="00E30E85">
      <w:pPr>
        <w:pStyle w:val="BodyText"/>
        <w:numPr>
          <w:ilvl w:val="0"/>
          <w:numId w:val="35"/>
        </w:numPr>
        <w:jc w:val="both"/>
        <w:rPr>
          <w:rFonts w:ascii="Arial" w:hAnsi="Arial" w:cs="Arial"/>
          <w:i w:val="0"/>
          <w:szCs w:val="24"/>
        </w:rPr>
      </w:pPr>
      <w:r>
        <w:rPr>
          <w:rFonts w:ascii="Arial" w:hAnsi="Arial" w:cs="Arial"/>
          <w:i w:val="0"/>
          <w:szCs w:val="24"/>
        </w:rPr>
        <w:t>Transmitted Lease Property Summary</w:t>
      </w:r>
    </w:p>
    <w:sectPr w:rsidR="00C521D8" w:rsidRPr="00E30E85"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5C42" w14:textId="77777777" w:rsidR="004D5BB8" w:rsidRDefault="004D5BB8">
      <w:r>
        <w:separator/>
      </w:r>
    </w:p>
  </w:endnote>
  <w:endnote w:type="continuationSeparator" w:id="0">
    <w:p w14:paraId="079D8D16" w14:textId="77777777" w:rsidR="004D5BB8" w:rsidRDefault="004D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7799"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3D7F"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D692"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108F" w14:textId="77777777" w:rsidR="004D5BB8" w:rsidRDefault="004D5BB8">
      <w:r>
        <w:separator/>
      </w:r>
    </w:p>
  </w:footnote>
  <w:footnote w:type="continuationSeparator" w:id="0">
    <w:p w14:paraId="38BBA80B" w14:textId="77777777" w:rsidR="004D5BB8" w:rsidRDefault="004D5BB8">
      <w:r>
        <w:continuationSeparator/>
      </w:r>
    </w:p>
  </w:footnote>
  <w:footnote w:id="1">
    <w:p w14:paraId="74A5B456" w14:textId="35B17647" w:rsidR="00473A47" w:rsidRPr="00473A47" w:rsidRDefault="00473A47">
      <w:pPr>
        <w:pStyle w:val="FootnoteText"/>
        <w:rPr>
          <w:rFonts w:ascii="Arial" w:hAnsi="Arial" w:cs="Arial"/>
        </w:rPr>
      </w:pPr>
      <w:r w:rsidRPr="00473A47">
        <w:rPr>
          <w:rStyle w:val="FootnoteReference"/>
          <w:rFonts w:ascii="Arial" w:hAnsi="Arial" w:cs="Arial"/>
        </w:rPr>
        <w:footnoteRef/>
      </w:r>
      <w:r w:rsidRPr="00473A47">
        <w:rPr>
          <w:rFonts w:ascii="Arial" w:hAnsi="Arial" w:cs="Arial"/>
        </w:rPr>
        <w:t xml:space="preserve"> https://www.kingcounty.gov/~/media/depts/transportation/metro/accountability/pdf/2019/metro-facilities-master-plan-operational-capacity-report.pdf</w:t>
      </w:r>
    </w:p>
  </w:footnote>
  <w:footnote w:id="2">
    <w:p w14:paraId="36E0BDF1" w14:textId="77777777" w:rsidR="00577600" w:rsidRPr="00870CEA" w:rsidRDefault="00577600" w:rsidP="00577600">
      <w:pPr>
        <w:pStyle w:val="FootnoteText"/>
        <w:rPr>
          <w:rFonts w:ascii="Arial" w:hAnsi="Arial" w:cs="Arial"/>
        </w:rPr>
      </w:pPr>
      <w:r w:rsidRPr="00870CEA">
        <w:rPr>
          <w:rStyle w:val="FootnoteReference"/>
          <w:rFonts w:ascii="Arial" w:hAnsi="Arial" w:cs="Arial"/>
        </w:rPr>
        <w:footnoteRef/>
      </w:r>
      <w:r w:rsidRPr="00870CEA">
        <w:rPr>
          <w:rFonts w:ascii="Arial" w:hAnsi="Arial" w:cs="Arial"/>
        </w:rPr>
        <w:t xml:space="preserve"> The transmitted agreement is a NNN (‘triple net’) lease, meaning that the tenant pays for its share of property taxes, insurance and common area maintenance in addition to the base rent.</w:t>
      </w:r>
    </w:p>
  </w:footnote>
  <w:footnote w:id="3">
    <w:p w14:paraId="52E7385D" w14:textId="6B644AC6" w:rsidR="002B5D19" w:rsidRPr="002B5D19" w:rsidRDefault="002B5D19">
      <w:pPr>
        <w:pStyle w:val="FootnoteText"/>
        <w:rPr>
          <w:rFonts w:ascii="Arial" w:hAnsi="Arial" w:cs="Arial"/>
        </w:rPr>
      </w:pPr>
      <w:r w:rsidRPr="002B5D19">
        <w:rPr>
          <w:rStyle w:val="FootnoteReference"/>
          <w:rFonts w:ascii="Arial" w:hAnsi="Arial" w:cs="Arial"/>
        </w:rPr>
        <w:footnoteRef/>
      </w:r>
      <w:r w:rsidRPr="002B5D19">
        <w:rPr>
          <w:rFonts w:ascii="Arial" w:hAnsi="Arial" w:cs="Arial"/>
        </w:rPr>
        <w:t xml:space="preserve"> The commencement date for the lease would need to be amended, since </w:t>
      </w:r>
      <w:r w:rsidR="006D7F6E">
        <w:rPr>
          <w:rFonts w:ascii="Arial" w:hAnsi="Arial" w:cs="Arial"/>
        </w:rPr>
        <w:t xml:space="preserve">the </w:t>
      </w:r>
      <w:r w:rsidRPr="002B5D19">
        <w:rPr>
          <w:rFonts w:ascii="Arial" w:hAnsi="Arial" w:cs="Arial"/>
        </w:rPr>
        <w:t>commencement date in the lease as transmitted has passed.</w:t>
      </w:r>
    </w:p>
  </w:footnote>
  <w:footnote w:id="4">
    <w:p w14:paraId="119DF895" w14:textId="1ECFFCC2" w:rsidR="00E30E85" w:rsidRPr="00E30E85" w:rsidRDefault="00E30E85">
      <w:pPr>
        <w:pStyle w:val="FootnoteText"/>
        <w:rPr>
          <w:rFonts w:ascii="Arial" w:hAnsi="Arial" w:cs="Arial"/>
        </w:rPr>
      </w:pPr>
      <w:r w:rsidRPr="00E30E85">
        <w:rPr>
          <w:rStyle w:val="FootnoteReference"/>
          <w:rFonts w:ascii="Arial" w:hAnsi="Arial" w:cs="Arial"/>
        </w:rPr>
        <w:footnoteRef/>
      </w:r>
      <w:r w:rsidRPr="00E30E85">
        <w:rPr>
          <w:rFonts w:ascii="Arial" w:hAnsi="Arial" w:cs="Arial"/>
        </w:rPr>
        <w:t xml:space="preserve"> Ordinance </w:t>
      </w:r>
      <w:r w:rsidRPr="00E30E85">
        <w:rPr>
          <w:rFonts w:ascii="Arial" w:hAnsi="Arial" w:cs="Arial"/>
          <w:color w:val="000000"/>
        </w:rPr>
        <w:t>19021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2BB0"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6CB"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2365" w14:textId="77777777" w:rsidR="00C75025" w:rsidRDefault="00C75025" w:rsidP="00C75025">
    <w:pPr>
      <w:jc w:val="center"/>
    </w:pPr>
    <w:r>
      <w:rPr>
        <w:noProof/>
      </w:rPr>
      <w:drawing>
        <wp:inline distT="0" distB="0" distL="0" distR="0" wp14:anchorId="5B1F5AB7" wp14:editId="5CE801F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BEBD46" w14:textId="77777777" w:rsidR="00C75025" w:rsidRPr="003B03EF" w:rsidRDefault="00C75025" w:rsidP="00C75025">
    <w:pPr>
      <w:jc w:val="center"/>
      <w:rPr>
        <w:rFonts w:ascii="Arial" w:hAnsi="Arial"/>
        <w:szCs w:val="22"/>
      </w:rPr>
    </w:pPr>
  </w:p>
  <w:p w14:paraId="736FE943"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754B071"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479"/>
    <w:multiLevelType w:val="hybridMultilevel"/>
    <w:tmpl w:val="296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321FF"/>
    <w:multiLevelType w:val="hybridMultilevel"/>
    <w:tmpl w:val="F44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5C0A05"/>
    <w:multiLevelType w:val="hybridMultilevel"/>
    <w:tmpl w:val="3C1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5"/>
  </w:num>
  <w:num w:numId="5">
    <w:abstractNumId w:val="41"/>
  </w:num>
  <w:num w:numId="6">
    <w:abstractNumId w:val="14"/>
  </w:num>
  <w:num w:numId="7">
    <w:abstractNumId w:val="42"/>
  </w:num>
  <w:num w:numId="8">
    <w:abstractNumId w:val="16"/>
  </w:num>
  <w:num w:numId="9">
    <w:abstractNumId w:val="3"/>
  </w:num>
  <w:num w:numId="10">
    <w:abstractNumId w:val="44"/>
  </w:num>
  <w:num w:numId="11">
    <w:abstractNumId w:val="2"/>
  </w:num>
  <w:num w:numId="12">
    <w:abstractNumId w:val="19"/>
  </w:num>
  <w:num w:numId="13">
    <w:abstractNumId w:val="23"/>
  </w:num>
  <w:num w:numId="14">
    <w:abstractNumId w:val="18"/>
  </w:num>
  <w:num w:numId="15">
    <w:abstractNumId w:val="25"/>
  </w:num>
  <w:num w:numId="16">
    <w:abstractNumId w:val="17"/>
  </w:num>
  <w:num w:numId="17">
    <w:abstractNumId w:val="36"/>
  </w:num>
  <w:num w:numId="18">
    <w:abstractNumId w:val="24"/>
  </w:num>
  <w:num w:numId="19">
    <w:abstractNumId w:val="33"/>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5"/>
  </w:num>
  <w:num w:numId="32">
    <w:abstractNumId w:val="37"/>
  </w:num>
  <w:num w:numId="33">
    <w:abstractNumId w:val="15"/>
  </w:num>
  <w:num w:numId="34">
    <w:abstractNumId w:val="11"/>
  </w:num>
  <w:num w:numId="35">
    <w:abstractNumId w:val="7"/>
  </w:num>
  <w:num w:numId="36">
    <w:abstractNumId w:val="28"/>
  </w:num>
  <w:num w:numId="37">
    <w:abstractNumId w:val="38"/>
  </w:num>
  <w:num w:numId="38">
    <w:abstractNumId w:val="21"/>
  </w:num>
  <w:num w:numId="39">
    <w:abstractNumId w:val="34"/>
  </w:num>
  <w:num w:numId="40">
    <w:abstractNumId w:val="30"/>
  </w:num>
  <w:num w:numId="41">
    <w:abstractNumId w:val="39"/>
  </w:num>
  <w:num w:numId="42">
    <w:abstractNumId w:val="27"/>
  </w:num>
  <w:num w:numId="43">
    <w:abstractNumId w:val="20"/>
  </w:num>
  <w:num w:numId="44">
    <w:abstractNumId w:val="43"/>
  </w:num>
  <w:num w:numId="45">
    <w:abstractNumId w:val="32"/>
  </w:num>
  <w:num w:numId="4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1670"/>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5BF"/>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066E"/>
    <w:rsid w:val="002A1127"/>
    <w:rsid w:val="002A1228"/>
    <w:rsid w:val="002A2420"/>
    <w:rsid w:val="002A6326"/>
    <w:rsid w:val="002B0E1F"/>
    <w:rsid w:val="002B376D"/>
    <w:rsid w:val="002B5D19"/>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5756A"/>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569E"/>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A47"/>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45BB"/>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BB8"/>
    <w:rsid w:val="004D6102"/>
    <w:rsid w:val="004E03AF"/>
    <w:rsid w:val="004E0E02"/>
    <w:rsid w:val="004E25F6"/>
    <w:rsid w:val="004E48AE"/>
    <w:rsid w:val="004E646C"/>
    <w:rsid w:val="004E6D1D"/>
    <w:rsid w:val="004E735A"/>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600"/>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15F3"/>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13BE"/>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D7F6E"/>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AD2"/>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92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1C5"/>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2C3D"/>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513"/>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1CF2"/>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AB7"/>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AF7"/>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E85"/>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659"/>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190F3"/>
  <w15:docId w15:val="{3D55350C-E659-403F-85F7-5AA422D9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semiHidden/>
    <w:rsid w:val="0057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3603076">
      <w:bodyDiv w:val="1"/>
      <w:marLeft w:val="0"/>
      <w:marRight w:val="0"/>
      <w:marTop w:val="0"/>
      <w:marBottom w:val="0"/>
      <w:divBdr>
        <w:top w:val="none" w:sz="0" w:space="0" w:color="auto"/>
        <w:left w:val="none" w:sz="0" w:space="0" w:color="auto"/>
        <w:bottom w:val="none" w:sz="0" w:space="0" w:color="auto"/>
        <w:right w:val="none" w:sz="0" w:space="0" w:color="auto"/>
      </w:divBdr>
    </w:div>
    <w:div w:id="44153895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12431603">
      <w:bodyDiv w:val="1"/>
      <w:marLeft w:val="0"/>
      <w:marRight w:val="0"/>
      <w:marTop w:val="0"/>
      <w:marBottom w:val="0"/>
      <w:divBdr>
        <w:top w:val="none" w:sz="0" w:space="0" w:color="auto"/>
        <w:left w:val="none" w:sz="0" w:space="0" w:color="auto"/>
        <w:bottom w:val="none" w:sz="0" w:space="0" w:color="auto"/>
        <w:right w:val="none" w:sz="0" w:space="0" w:color="auto"/>
      </w:divBdr>
    </w:div>
    <w:div w:id="118181486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86790507">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68C2C2335C545A61F21CE31C117CD" ma:contentTypeVersion="9" ma:contentTypeDescription="Create a new document." ma:contentTypeScope="" ma:versionID="3d66a54afbe9bbc13c31aee9c5df2b42">
  <xsd:schema xmlns:xsd="http://www.w3.org/2001/XMLSchema" xmlns:xs="http://www.w3.org/2001/XMLSchema" xmlns:p="http://schemas.microsoft.com/office/2006/metadata/properties" xmlns:ns3="3a41f7cc-0e21-439a-870f-32d5395bacfa" xmlns:ns4="a4f304f4-56b8-4faa-9022-752e45f62851" targetNamespace="http://schemas.microsoft.com/office/2006/metadata/properties" ma:root="true" ma:fieldsID="1fe03af7ac94556a54996b13b27ed70a" ns3:_="" ns4:_="">
    <xsd:import namespace="3a41f7cc-0e21-439a-870f-32d5395bacfa"/>
    <xsd:import namespace="a4f304f4-56b8-4faa-9022-752e45f628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f7cc-0e21-439a-870f-32d5395ba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304f4-56b8-4faa-9022-752e45f62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03F8-2BC1-42A2-809F-7CAE18A0FA5B}">
  <ds:schemaRefs>
    <ds:schemaRef ds:uri="http://schemas.microsoft.com/sharepoint/v3/contenttype/forms"/>
  </ds:schemaRefs>
</ds:datastoreItem>
</file>

<file path=customXml/itemProps2.xml><?xml version="1.0" encoding="utf-8"?>
<ds:datastoreItem xmlns:ds="http://schemas.openxmlformats.org/officeDocument/2006/customXml" ds:itemID="{4EFE8090-FEE8-4740-93A8-4635A0C42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f7cc-0e21-439a-870f-32d5395bacfa"/>
    <ds:schemaRef ds:uri="a4f304f4-56b8-4faa-9022-752e45f6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01443-7477-44E3-8FB3-A14528F7B18C}">
  <ds:schemaRefs>
    <ds:schemaRef ds:uri="http://purl.org/dc/elements/1.1/"/>
    <ds:schemaRef ds:uri="http://schemas.microsoft.com/office/2006/metadata/properties"/>
    <ds:schemaRef ds:uri="3a41f7cc-0e21-439a-870f-32d5395bacfa"/>
    <ds:schemaRef ds:uri="http://purl.org/dc/terms/"/>
    <ds:schemaRef ds:uri="http://schemas.microsoft.com/office/2006/documentManagement/types"/>
    <ds:schemaRef ds:uri="http://schemas.microsoft.com/office/infopath/2007/PartnerControls"/>
    <ds:schemaRef ds:uri="a4f304f4-56b8-4faa-9022-752e45f6285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9BE0E8-72BE-4172-8795-BA662AFE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Daly, Sharon</cp:lastModifiedBy>
  <cp:revision>6</cp:revision>
  <cp:lastPrinted>2015-03-13T15:09:00Z</cp:lastPrinted>
  <dcterms:created xsi:type="dcterms:W3CDTF">2019-12-19T20:42:00Z</dcterms:created>
  <dcterms:modified xsi:type="dcterms:W3CDTF">2020-02-04T19:39:00Z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0x010100A7468C2C2335C545A61F21CE31C117CD</vt:lpwstr>
  </property>
</Properties>
</file>