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540E" w14:textId="77777777" w:rsidR="00EB5A13" w:rsidRPr="00A46A5D" w:rsidRDefault="00EB5A13" w:rsidP="00EB5A13">
      <w:pPr>
        <w:pStyle w:val="Heading2"/>
        <w:rPr>
          <w:b w:val="0"/>
          <w:sz w:val="24"/>
          <w:u w:val="none"/>
        </w:rPr>
      </w:pPr>
    </w:p>
    <w:p w14:paraId="788D610B"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62D0D988"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2B4F32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1361E09"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42AFAC4" w14:textId="28122E8B" w:rsidR="00EB5A13" w:rsidRPr="009349D6" w:rsidRDefault="00A42457"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4FE2ED3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FB375A4" w14:textId="77777777" w:rsidR="00EB5A13" w:rsidRPr="009349D6" w:rsidRDefault="008A0105" w:rsidP="00074A56">
            <w:pPr>
              <w:spacing w:before="40" w:after="40"/>
              <w:rPr>
                <w:rFonts w:ascii="Arial" w:hAnsi="Arial" w:cs="Arial"/>
              </w:rPr>
            </w:pPr>
            <w:r>
              <w:rPr>
                <w:rFonts w:ascii="Arial" w:hAnsi="Arial" w:cs="Arial"/>
              </w:rPr>
              <w:t>Terra Rose</w:t>
            </w:r>
          </w:p>
        </w:tc>
      </w:tr>
      <w:tr w:rsidR="00EB5A13" w:rsidRPr="009349D6" w14:paraId="36D7B92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2E06865"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611CCFF" w14:textId="77777777" w:rsidR="00EB5A13" w:rsidRPr="009349D6" w:rsidRDefault="008A0105" w:rsidP="00074A56">
            <w:pPr>
              <w:spacing w:before="40" w:after="40"/>
              <w:rPr>
                <w:rFonts w:ascii="Arial" w:hAnsi="Arial" w:cs="Arial"/>
              </w:rPr>
            </w:pPr>
            <w:r>
              <w:rPr>
                <w:rFonts w:ascii="Arial" w:hAnsi="Arial" w:cs="Arial"/>
              </w:rPr>
              <w:t>2019-0409</w:t>
            </w:r>
          </w:p>
        </w:tc>
        <w:tc>
          <w:tcPr>
            <w:tcW w:w="1170" w:type="dxa"/>
            <w:tcBorders>
              <w:top w:val="single" w:sz="4" w:space="0" w:color="auto"/>
              <w:left w:val="single" w:sz="4" w:space="0" w:color="auto"/>
              <w:bottom w:val="single" w:sz="4" w:space="0" w:color="auto"/>
              <w:right w:val="single" w:sz="4" w:space="0" w:color="auto"/>
            </w:tcBorders>
            <w:vAlign w:val="center"/>
          </w:tcPr>
          <w:p w14:paraId="03F23878"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E6D014C" w14:textId="54649392" w:rsidR="00EB5A13" w:rsidRPr="009349D6" w:rsidRDefault="00AD25D1" w:rsidP="00074A56">
            <w:pPr>
              <w:spacing w:before="40" w:after="40"/>
              <w:rPr>
                <w:rFonts w:ascii="Arial" w:hAnsi="Arial" w:cs="Arial"/>
              </w:rPr>
            </w:pPr>
            <w:r>
              <w:rPr>
                <w:rFonts w:ascii="Arial" w:hAnsi="Arial" w:cs="Arial"/>
              </w:rPr>
              <w:t>November 19, 2019</w:t>
            </w:r>
          </w:p>
        </w:tc>
      </w:tr>
    </w:tbl>
    <w:p w14:paraId="0CE78A81" w14:textId="77777777" w:rsidR="00C37A37" w:rsidRPr="009864F8" w:rsidRDefault="00C37A37" w:rsidP="00C37A37">
      <w:pPr>
        <w:rPr>
          <w:rFonts w:ascii="Arial" w:hAnsi="Arial" w:cs="Arial"/>
          <w:b/>
          <w:smallCaps/>
          <w:szCs w:val="24"/>
          <w:u w:val="single"/>
        </w:rPr>
      </w:pPr>
    </w:p>
    <w:p w14:paraId="29B92F36"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4054F4DF" w14:textId="77777777" w:rsidR="0026669B" w:rsidRDefault="0026669B" w:rsidP="0026669B">
      <w:pPr>
        <w:jc w:val="both"/>
        <w:rPr>
          <w:rFonts w:ascii="Arial" w:hAnsi="Arial" w:cs="Arial"/>
        </w:rPr>
      </w:pPr>
    </w:p>
    <w:p w14:paraId="1642E914" w14:textId="3BBD06CD" w:rsidR="0096684D" w:rsidRPr="00C75025" w:rsidRDefault="009549C5" w:rsidP="0096684D">
      <w:pPr>
        <w:jc w:val="both"/>
        <w:rPr>
          <w:rFonts w:ascii="Arial" w:hAnsi="Arial" w:cs="Arial"/>
          <w:b/>
          <w:u w:val="single"/>
        </w:rPr>
      </w:pPr>
      <w:r>
        <w:rPr>
          <w:rFonts w:ascii="Arial" w:hAnsi="Arial" w:cs="Arial"/>
        </w:rPr>
        <w:t xml:space="preserve">Proposed Ordinance 2019-0409 would </w:t>
      </w:r>
      <w:r w:rsidR="006838C2">
        <w:rPr>
          <w:rFonts w:ascii="Arial" w:hAnsi="Arial" w:cs="Arial"/>
        </w:rPr>
        <w:t>authorize</w:t>
      </w:r>
      <w:r w:rsidR="00720CE4">
        <w:rPr>
          <w:rFonts w:ascii="Arial" w:hAnsi="Arial" w:cs="Arial"/>
        </w:rPr>
        <w:t xml:space="preserve"> </w:t>
      </w:r>
      <w:r>
        <w:rPr>
          <w:rFonts w:ascii="Arial" w:hAnsi="Arial" w:cs="Arial"/>
        </w:rPr>
        <w:t xml:space="preserve">an agreement between King County and the City of Seattle for the operation and maintenance of the </w:t>
      </w:r>
      <w:r w:rsidR="004C1819">
        <w:rPr>
          <w:rFonts w:ascii="Arial" w:hAnsi="Arial" w:cs="Arial"/>
        </w:rPr>
        <w:t>Seattle streetcar system.</w:t>
      </w:r>
    </w:p>
    <w:p w14:paraId="1FF4647B" w14:textId="77777777" w:rsidR="0026669B" w:rsidRDefault="0026669B" w:rsidP="0026669B">
      <w:pPr>
        <w:jc w:val="both"/>
        <w:rPr>
          <w:rFonts w:ascii="Arial" w:hAnsi="Arial" w:cs="Arial"/>
          <w:b/>
          <w:smallCaps/>
          <w:szCs w:val="24"/>
          <w:u w:val="single"/>
        </w:rPr>
      </w:pPr>
    </w:p>
    <w:p w14:paraId="7DBF8FB5" w14:textId="77777777"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14:paraId="6CF43A26" w14:textId="77777777" w:rsidR="00A24662" w:rsidRDefault="00A24662" w:rsidP="0026669B">
      <w:pPr>
        <w:jc w:val="both"/>
        <w:rPr>
          <w:rFonts w:ascii="Arial" w:hAnsi="Arial" w:cs="Arial"/>
        </w:rPr>
      </w:pPr>
    </w:p>
    <w:p w14:paraId="44C6A4DB" w14:textId="70D47ED0" w:rsidR="0026669B" w:rsidRDefault="00A24662" w:rsidP="0026669B">
      <w:pPr>
        <w:jc w:val="both"/>
        <w:rPr>
          <w:rFonts w:ascii="Arial" w:hAnsi="Arial" w:cs="Arial"/>
        </w:rPr>
      </w:pPr>
      <w:r>
        <w:rPr>
          <w:rFonts w:ascii="Arial" w:hAnsi="Arial" w:cs="Arial"/>
        </w:rPr>
        <w:t xml:space="preserve">The Committee received an initial briefing on </w:t>
      </w:r>
      <w:r w:rsidR="00B73AB3">
        <w:rPr>
          <w:rFonts w:ascii="Arial" w:hAnsi="Arial" w:cs="Arial"/>
        </w:rPr>
        <w:t>November 5, 2019 on Proposed Ordinance 2019-0409, which w</w:t>
      </w:r>
      <w:r w:rsidR="006826CF">
        <w:rPr>
          <w:rFonts w:ascii="Arial" w:hAnsi="Arial" w:cs="Arial"/>
        </w:rPr>
        <w:t xml:space="preserve">ould </w:t>
      </w:r>
      <w:r w:rsidR="00882464">
        <w:rPr>
          <w:rFonts w:ascii="Arial" w:hAnsi="Arial" w:cs="Arial"/>
        </w:rPr>
        <w:t>authorize</w:t>
      </w:r>
      <w:r w:rsidR="003001E1">
        <w:rPr>
          <w:rFonts w:ascii="Arial" w:hAnsi="Arial" w:cs="Arial"/>
        </w:rPr>
        <w:t xml:space="preserve"> an agreement between </w:t>
      </w:r>
      <w:r w:rsidR="009F3435">
        <w:rPr>
          <w:rFonts w:ascii="Arial" w:hAnsi="Arial" w:cs="Arial"/>
        </w:rPr>
        <w:t xml:space="preserve">King County </w:t>
      </w:r>
      <w:r w:rsidR="003001E1">
        <w:rPr>
          <w:rFonts w:ascii="Arial" w:hAnsi="Arial" w:cs="Arial"/>
        </w:rPr>
        <w:t xml:space="preserve">and the City of Seattle (“City”) </w:t>
      </w:r>
      <w:r w:rsidR="009F3435">
        <w:rPr>
          <w:rFonts w:ascii="Arial" w:hAnsi="Arial" w:cs="Arial"/>
        </w:rPr>
        <w:t xml:space="preserve">to operate and maintain the Seattle </w:t>
      </w:r>
      <w:r w:rsidR="00EB2161">
        <w:rPr>
          <w:rFonts w:ascii="Arial" w:hAnsi="Arial" w:cs="Arial"/>
        </w:rPr>
        <w:t xml:space="preserve">streetcar system </w:t>
      </w:r>
      <w:r w:rsidR="009F3435">
        <w:rPr>
          <w:rFonts w:ascii="Arial" w:hAnsi="Arial" w:cs="Arial"/>
        </w:rPr>
        <w:t>on behalf of the City</w:t>
      </w:r>
      <w:r w:rsidR="003001E1">
        <w:rPr>
          <w:rFonts w:ascii="Arial" w:hAnsi="Arial" w:cs="Arial"/>
        </w:rPr>
        <w:t xml:space="preserve">. </w:t>
      </w:r>
      <w:r w:rsidR="008E4AD2">
        <w:rPr>
          <w:rFonts w:ascii="Arial" w:hAnsi="Arial" w:cs="Arial"/>
        </w:rPr>
        <w:t xml:space="preserve">The </w:t>
      </w:r>
      <w:r w:rsidR="00EB2161">
        <w:rPr>
          <w:rFonts w:ascii="Arial" w:hAnsi="Arial" w:cs="Arial"/>
        </w:rPr>
        <w:t>Seattle streetcar system currently is made up of the South Lake Union line</w:t>
      </w:r>
      <w:r w:rsidR="00467D43">
        <w:rPr>
          <w:rFonts w:ascii="Arial" w:hAnsi="Arial" w:cs="Arial"/>
        </w:rPr>
        <w:t>, which opened in 2007</w:t>
      </w:r>
      <w:r w:rsidR="00887163">
        <w:rPr>
          <w:rFonts w:ascii="Arial" w:hAnsi="Arial" w:cs="Arial"/>
        </w:rPr>
        <w:t>,</w:t>
      </w:r>
      <w:r w:rsidR="00467D43">
        <w:rPr>
          <w:rFonts w:ascii="Arial" w:hAnsi="Arial" w:cs="Arial"/>
        </w:rPr>
        <w:t xml:space="preserve"> and the First Hill line, which opened in 2016. </w:t>
      </w:r>
      <w:r w:rsidR="000C1108">
        <w:rPr>
          <w:rFonts w:ascii="Arial" w:hAnsi="Arial" w:cs="Arial"/>
        </w:rPr>
        <w:t>The County and the City</w:t>
      </w:r>
      <w:r w:rsidR="00B03F24">
        <w:rPr>
          <w:rFonts w:ascii="Arial" w:hAnsi="Arial" w:cs="Arial"/>
        </w:rPr>
        <w:t xml:space="preserve"> first entered </w:t>
      </w:r>
      <w:r w:rsidR="00E64973">
        <w:rPr>
          <w:rFonts w:ascii="Arial" w:hAnsi="Arial" w:cs="Arial"/>
        </w:rPr>
        <w:t xml:space="preserve">into </w:t>
      </w:r>
      <w:r w:rsidR="00B03F24">
        <w:rPr>
          <w:rFonts w:ascii="Arial" w:hAnsi="Arial" w:cs="Arial"/>
        </w:rPr>
        <w:t xml:space="preserve">an </w:t>
      </w:r>
      <w:r w:rsidR="003001E1">
        <w:rPr>
          <w:rFonts w:ascii="Arial" w:hAnsi="Arial" w:cs="Arial"/>
        </w:rPr>
        <w:t xml:space="preserve">operation and maintenance </w:t>
      </w:r>
      <w:r w:rsidR="00B03F24">
        <w:rPr>
          <w:rFonts w:ascii="Arial" w:hAnsi="Arial" w:cs="Arial"/>
        </w:rPr>
        <w:t>agreement</w:t>
      </w:r>
      <w:r w:rsidR="00A11D27">
        <w:rPr>
          <w:rStyle w:val="FootnoteReference"/>
          <w:rFonts w:ascii="Arial" w:hAnsi="Arial" w:cs="Arial"/>
        </w:rPr>
        <w:footnoteReference w:id="1"/>
      </w:r>
      <w:r w:rsidR="00B03F24">
        <w:rPr>
          <w:rFonts w:ascii="Arial" w:hAnsi="Arial" w:cs="Arial"/>
        </w:rPr>
        <w:t xml:space="preserve"> </w:t>
      </w:r>
      <w:r w:rsidR="00E35343">
        <w:rPr>
          <w:rFonts w:ascii="Arial" w:hAnsi="Arial" w:cs="Arial"/>
        </w:rPr>
        <w:t>in 2007</w:t>
      </w:r>
      <w:r w:rsidR="00474B64">
        <w:rPr>
          <w:rFonts w:ascii="Arial" w:hAnsi="Arial" w:cs="Arial"/>
        </w:rPr>
        <w:t xml:space="preserve"> and </w:t>
      </w:r>
      <w:r w:rsidR="007B0250">
        <w:rPr>
          <w:rFonts w:ascii="Arial" w:hAnsi="Arial" w:cs="Arial"/>
        </w:rPr>
        <w:t xml:space="preserve">the Council approved </w:t>
      </w:r>
      <w:r w:rsidR="00DC6041">
        <w:rPr>
          <w:rFonts w:ascii="Arial" w:hAnsi="Arial" w:cs="Arial"/>
        </w:rPr>
        <w:t>the current</w:t>
      </w:r>
      <w:r w:rsidR="00474B64">
        <w:rPr>
          <w:rFonts w:ascii="Arial" w:hAnsi="Arial" w:cs="Arial"/>
        </w:rPr>
        <w:t xml:space="preserve"> agreement</w:t>
      </w:r>
      <w:r w:rsidR="005B427D">
        <w:rPr>
          <w:rStyle w:val="FootnoteReference"/>
          <w:rFonts w:ascii="Arial" w:hAnsi="Arial" w:cs="Arial"/>
        </w:rPr>
        <w:footnoteReference w:id="2"/>
      </w:r>
      <w:r w:rsidR="00474B64">
        <w:rPr>
          <w:rFonts w:ascii="Arial" w:hAnsi="Arial" w:cs="Arial"/>
        </w:rPr>
        <w:t xml:space="preserve"> </w:t>
      </w:r>
      <w:r w:rsidR="005B427D">
        <w:rPr>
          <w:rFonts w:ascii="Arial" w:hAnsi="Arial" w:cs="Arial"/>
        </w:rPr>
        <w:t>in 2014</w:t>
      </w:r>
      <w:r w:rsidR="00F0232A">
        <w:rPr>
          <w:rFonts w:ascii="Arial" w:hAnsi="Arial" w:cs="Arial"/>
        </w:rPr>
        <w:t xml:space="preserve">, which is set to </w:t>
      </w:r>
      <w:r w:rsidR="00D15CED">
        <w:rPr>
          <w:rFonts w:ascii="Arial" w:hAnsi="Arial" w:cs="Arial"/>
        </w:rPr>
        <w:t>expire on December 31, 2019.</w:t>
      </w:r>
    </w:p>
    <w:p w14:paraId="13AF476B" w14:textId="77777777" w:rsidR="00D15CED" w:rsidRDefault="00D15CED" w:rsidP="0026669B">
      <w:pPr>
        <w:jc w:val="both"/>
        <w:rPr>
          <w:rFonts w:ascii="Arial" w:hAnsi="Arial" w:cs="Arial"/>
        </w:rPr>
      </w:pPr>
    </w:p>
    <w:p w14:paraId="46538FE3" w14:textId="77777777" w:rsidR="00CA0AEF" w:rsidRDefault="007E5FF1" w:rsidP="002F0BC5">
      <w:pPr>
        <w:jc w:val="both"/>
        <w:rPr>
          <w:rFonts w:ascii="Arial" w:hAnsi="Arial" w:cs="Arial"/>
        </w:rPr>
      </w:pPr>
      <w:r>
        <w:rPr>
          <w:rFonts w:ascii="Arial" w:hAnsi="Arial" w:cs="Arial"/>
        </w:rPr>
        <w:t xml:space="preserve">Under the proposed agreement, the County would continue to serve as the operator of the </w:t>
      </w:r>
      <w:r w:rsidR="00CE2302">
        <w:rPr>
          <w:rFonts w:ascii="Arial" w:hAnsi="Arial" w:cs="Arial"/>
        </w:rPr>
        <w:t xml:space="preserve">Seattle streetcar system, but also assume some maintenance responsibilities previously held by the City (e.g., </w:t>
      </w:r>
      <w:r w:rsidR="00F77A4F">
        <w:rPr>
          <w:rFonts w:ascii="Arial" w:hAnsi="Arial" w:cs="Arial"/>
        </w:rPr>
        <w:t xml:space="preserve">maintenance of the First Hill Streetcar Operations and Maintenance Facility). </w:t>
      </w:r>
      <w:r w:rsidR="00CA0AEF">
        <w:rPr>
          <w:rFonts w:ascii="Arial" w:hAnsi="Arial" w:cs="Arial"/>
        </w:rPr>
        <w:t xml:space="preserve">The proposed agreement </w:t>
      </w:r>
      <w:r w:rsidR="00625FA6">
        <w:rPr>
          <w:rFonts w:ascii="Arial" w:hAnsi="Arial" w:cs="Arial"/>
        </w:rPr>
        <w:t>would maintain the County’s current annual contribution to the South Lake Union line of $1.55 million</w:t>
      </w:r>
      <w:r w:rsidR="002815C9">
        <w:rPr>
          <w:rFonts w:ascii="Arial" w:hAnsi="Arial" w:cs="Arial"/>
        </w:rPr>
        <w:t xml:space="preserve"> (escalating at</w:t>
      </w:r>
      <w:r w:rsidR="00625FA6">
        <w:rPr>
          <w:rFonts w:ascii="Arial" w:hAnsi="Arial" w:cs="Arial"/>
        </w:rPr>
        <w:t xml:space="preserve"> a rate of three percent annually throughout the initial five-year </w:t>
      </w:r>
      <w:r w:rsidR="00EB2B15">
        <w:rPr>
          <w:rFonts w:ascii="Arial" w:hAnsi="Arial" w:cs="Arial"/>
        </w:rPr>
        <w:t>term</w:t>
      </w:r>
      <w:r w:rsidR="002815C9">
        <w:rPr>
          <w:rFonts w:ascii="Arial" w:hAnsi="Arial" w:cs="Arial"/>
        </w:rPr>
        <w:t>)</w:t>
      </w:r>
      <w:r w:rsidR="00EB2B15">
        <w:rPr>
          <w:rFonts w:ascii="Arial" w:hAnsi="Arial" w:cs="Arial"/>
        </w:rPr>
        <w:t xml:space="preserve"> an</w:t>
      </w:r>
      <w:r w:rsidR="002815C9">
        <w:rPr>
          <w:rFonts w:ascii="Arial" w:hAnsi="Arial" w:cs="Arial"/>
        </w:rPr>
        <w:t>d</w:t>
      </w:r>
      <w:r w:rsidR="00625FA6">
        <w:rPr>
          <w:rFonts w:ascii="Arial" w:hAnsi="Arial" w:cs="Arial"/>
        </w:rPr>
        <w:t xml:space="preserve"> outline a process for</w:t>
      </w:r>
      <w:r w:rsidR="001651EC">
        <w:rPr>
          <w:rFonts w:ascii="Arial" w:hAnsi="Arial" w:cs="Arial"/>
        </w:rPr>
        <w:t xml:space="preserve"> determining a contribution schedule </w:t>
      </w:r>
      <w:r w:rsidR="00511BAB">
        <w:rPr>
          <w:rFonts w:ascii="Arial" w:hAnsi="Arial" w:cs="Arial"/>
        </w:rPr>
        <w:t>under any subsequent renewal terms</w:t>
      </w:r>
      <w:r w:rsidR="001651EC">
        <w:rPr>
          <w:rFonts w:ascii="Arial" w:hAnsi="Arial" w:cs="Arial"/>
        </w:rPr>
        <w:t xml:space="preserve">. </w:t>
      </w:r>
      <w:r w:rsidR="00065B7A">
        <w:rPr>
          <w:rFonts w:ascii="Arial" w:hAnsi="Arial" w:cs="Arial"/>
        </w:rPr>
        <w:t xml:space="preserve">The proposed agreement would be for a base term of five years with the option of two five-year extensions at the discretion of the City. </w:t>
      </w:r>
      <w:r w:rsidR="001651EC">
        <w:rPr>
          <w:rFonts w:ascii="Arial" w:hAnsi="Arial" w:cs="Arial"/>
        </w:rPr>
        <w:t xml:space="preserve">Additional provisions in the proposed agreement relate to allowable </w:t>
      </w:r>
      <w:r w:rsidR="006F1C1E">
        <w:rPr>
          <w:rFonts w:ascii="Arial" w:hAnsi="Arial" w:cs="Arial"/>
        </w:rPr>
        <w:t xml:space="preserve">County </w:t>
      </w:r>
      <w:r w:rsidR="001651EC">
        <w:rPr>
          <w:rFonts w:ascii="Arial" w:hAnsi="Arial" w:cs="Arial"/>
        </w:rPr>
        <w:t>expenses</w:t>
      </w:r>
      <w:r w:rsidR="006F1C1E">
        <w:rPr>
          <w:rFonts w:ascii="Arial" w:hAnsi="Arial" w:cs="Arial"/>
        </w:rPr>
        <w:t xml:space="preserve"> to be</w:t>
      </w:r>
      <w:r w:rsidR="001651EC">
        <w:rPr>
          <w:rFonts w:ascii="Arial" w:hAnsi="Arial" w:cs="Arial"/>
        </w:rPr>
        <w:t xml:space="preserve"> </w:t>
      </w:r>
      <w:r w:rsidR="00D751C5">
        <w:rPr>
          <w:rFonts w:ascii="Arial" w:hAnsi="Arial" w:cs="Arial"/>
        </w:rPr>
        <w:t>reimbursed by</w:t>
      </w:r>
      <w:r w:rsidR="001651EC">
        <w:rPr>
          <w:rFonts w:ascii="Arial" w:hAnsi="Arial" w:cs="Arial"/>
        </w:rPr>
        <w:t xml:space="preserve"> the Cit</w:t>
      </w:r>
      <w:r w:rsidR="004B2CF7">
        <w:rPr>
          <w:rFonts w:ascii="Arial" w:hAnsi="Arial" w:cs="Arial"/>
        </w:rPr>
        <w:t xml:space="preserve">y, reporting </w:t>
      </w:r>
      <w:r w:rsidR="004B2CF7" w:rsidRPr="00CD26DB">
        <w:rPr>
          <w:rFonts w:ascii="Arial" w:hAnsi="Arial" w:cs="Arial"/>
        </w:rPr>
        <w:t xml:space="preserve">requirements, and performance standards, among other items. </w:t>
      </w:r>
      <w:r w:rsidR="00637E38" w:rsidRPr="00CD26DB">
        <w:rPr>
          <w:rFonts w:ascii="Arial" w:hAnsi="Arial" w:cs="Arial"/>
        </w:rPr>
        <w:t xml:space="preserve">According to the fiscal note, the agreement is projected to cost approximately $12.3 million </w:t>
      </w:r>
      <w:r w:rsidR="00CD26DB">
        <w:rPr>
          <w:rFonts w:ascii="Arial" w:hAnsi="Arial" w:cs="Arial"/>
        </w:rPr>
        <w:t>in 2020</w:t>
      </w:r>
      <w:r w:rsidR="003510DB" w:rsidRPr="00CD26DB">
        <w:rPr>
          <w:rFonts w:ascii="Arial" w:hAnsi="Arial" w:cs="Arial"/>
        </w:rPr>
        <w:t xml:space="preserve">, </w:t>
      </w:r>
      <w:r w:rsidR="003603BC" w:rsidRPr="00CD26DB">
        <w:rPr>
          <w:rFonts w:ascii="Arial" w:hAnsi="Arial" w:cs="Arial"/>
        </w:rPr>
        <w:t>which</w:t>
      </w:r>
      <w:r w:rsidR="007C61DA" w:rsidRPr="00CD26DB">
        <w:rPr>
          <w:rFonts w:ascii="Arial" w:hAnsi="Arial" w:cs="Arial"/>
        </w:rPr>
        <w:t xml:space="preserve"> is revenue-backed except for the</w:t>
      </w:r>
      <w:r w:rsidR="007C61DA">
        <w:rPr>
          <w:rFonts w:ascii="Arial" w:hAnsi="Arial" w:cs="Arial"/>
        </w:rPr>
        <w:t xml:space="preserve"> County contribution</w:t>
      </w:r>
      <w:r w:rsidR="008643F2">
        <w:rPr>
          <w:rFonts w:ascii="Arial" w:hAnsi="Arial" w:cs="Arial"/>
        </w:rPr>
        <w:t xml:space="preserve"> portion</w:t>
      </w:r>
      <w:r w:rsidR="007C61DA">
        <w:rPr>
          <w:rFonts w:ascii="Arial" w:hAnsi="Arial" w:cs="Arial"/>
        </w:rPr>
        <w:t>.</w:t>
      </w:r>
      <w:r w:rsidR="00CD26DB">
        <w:rPr>
          <w:rFonts w:ascii="Arial" w:hAnsi="Arial" w:cs="Arial"/>
        </w:rPr>
        <w:t xml:space="preserve"> In the 2021-2022 biennium, the agreement is estimated to cost approximately $26.2 million, which is revenue backed less the scheduled County contribution of approximately $3.24 million.</w:t>
      </w:r>
    </w:p>
    <w:p w14:paraId="0EC3E444" w14:textId="77777777" w:rsidR="004B2CF7" w:rsidRDefault="004B2CF7" w:rsidP="002F0BC5">
      <w:pPr>
        <w:jc w:val="both"/>
        <w:rPr>
          <w:rFonts w:ascii="Arial" w:hAnsi="Arial" w:cs="Arial"/>
        </w:rPr>
      </w:pPr>
    </w:p>
    <w:p w14:paraId="4EE0D9D4" w14:textId="77777777" w:rsidR="00192260" w:rsidRDefault="00EB1C44" w:rsidP="0026669B">
      <w:pPr>
        <w:jc w:val="both"/>
        <w:rPr>
          <w:rFonts w:ascii="Arial" w:hAnsi="Arial" w:cs="Arial"/>
        </w:rPr>
      </w:pPr>
      <w:r>
        <w:rPr>
          <w:rFonts w:ascii="Arial" w:hAnsi="Arial" w:cs="Arial"/>
        </w:rPr>
        <w:lastRenderedPageBreak/>
        <w:t xml:space="preserve">Metro staff indicate that both </w:t>
      </w:r>
      <w:r w:rsidR="00065B7A">
        <w:rPr>
          <w:rFonts w:ascii="Arial" w:hAnsi="Arial" w:cs="Arial"/>
        </w:rPr>
        <w:t>the City and County</w:t>
      </w:r>
      <w:r>
        <w:rPr>
          <w:rFonts w:ascii="Arial" w:hAnsi="Arial" w:cs="Arial"/>
        </w:rPr>
        <w:t xml:space="preserve"> experience has been that the 2014 agreement is cumbersome</w:t>
      </w:r>
      <w:r w:rsidR="000272B4">
        <w:rPr>
          <w:rFonts w:ascii="Arial" w:hAnsi="Arial" w:cs="Arial"/>
        </w:rPr>
        <w:t xml:space="preserve"> and that the proposed agreement represents a better, more efficient document. </w:t>
      </w:r>
    </w:p>
    <w:p w14:paraId="733120B7" w14:textId="77777777" w:rsidR="00192260" w:rsidRDefault="00192260" w:rsidP="0026669B">
      <w:pPr>
        <w:jc w:val="both"/>
        <w:rPr>
          <w:rFonts w:ascii="Arial" w:hAnsi="Arial" w:cs="Arial"/>
        </w:rPr>
      </w:pPr>
    </w:p>
    <w:p w14:paraId="093A856D" w14:textId="23118BE9" w:rsidR="007E6DFC" w:rsidRPr="009561EA" w:rsidRDefault="00F86728" w:rsidP="0026669B">
      <w:pPr>
        <w:jc w:val="both"/>
        <w:rPr>
          <w:rFonts w:ascii="Arial" w:hAnsi="Arial" w:cs="Arial"/>
        </w:rPr>
      </w:pPr>
      <w:r>
        <w:rPr>
          <w:rFonts w:ascii="Arial" w:hAnsi="Arial" w:cs="Arial"/>
        </w:rPr>
        <w:t>In order for</w:t>
      </w:r>
      <w:r w:rsidR="004E396D">
        <w:rPr>
          <w:rFonts w:ascii="Arial" w:hAnsi="Arial" w:cs="Arial"/>
        </w:rPr>
        <w:t xml:space="preserve"> there to be an agreement in place following the expiration of the current agreement, both the Seattle City Council and King County Council would need to </w:t>
      </w:r>
      <w:r w:rsidR="00B92A99">
        <w:rPr>
          <w:rFonts w:ascii="Arial" w:hAnsi="Arial" w:cs="Arial"/>
        </w:rPr>
        <w:t>provide legislative approval</w:t>
      </w:r>
      <w:r w:rsidR="00864835" w:rsidRPr="00864835">
        <w:rPr>
          <w:rFonts w:ascii="Arial" w:hAnsi="Arial" w:cs="Arial"/>
        </w:rPr>
        <w:t xml:space="preserve"> </w:t>
      </w:r>
      <w:r w:rsidR="00864835">
        <w:rPr>
          <w:rFonts w:ascii="Arial" w:hAnsi="Arial" w:cs="Arial"/>
        </w:rPr>
        <w:t>prior to the end of the year</w:t>
      </w:r>
      <w:r w:rsidR="00B92A99">
        <w:rPr>
          <w:rFonts w:ascii="Arial" w:hAnsi="Arial" w:cs="Arial"/>
        </w:rPr>
        <w:t>.</w:t>
      </w:r>
      <w:r w:rsidR="006D3BE3">
        <w:rPr>
          <w:rFonts w:ascii="Arial" w:hAnsi="Arial" w:cs="Arial"/>
        </w:rPr>
        <w:t xml:space="preserve"> </w:t>
      </w:r>
    </w:p>
    <w:p w14:paraId="251D69BC" w14:textId="77777777" w:rsidR="0026669B" w:rsidRDefault="0026669B" w:rsidP="0026669B">
      <w:pPr>
        <w:jc w:val="both"/>
        <w:rPr>
          <w:rFonts w:ascii="Arial" w:hAnsi="Arial" w:cs="Arial"/>
        </w:rPr>
      </w:pPr>
    </w:p>
    <w:p w14:paraId="746E218B" w14:textId="77777777"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4009BFF1" w14:textId="77777777" w:rsidR="0026669B" w:rsidRDefault="0026669B" w:rsidP="0026669B">
      <w:pPr>
        <w:jc w:val="both"/>
        <w:rPr>
          <w:rFonts w:ascii="Arial" w:hAnsi="Arial" w:cs="Arial"/>
        </w:rPr>
      </w:pPr>
    </w:p>
    <w:p w14:paraId="51155080" w14:textId="24EC9B5F" w:rsidR="00B92681" w:rsidRDefault="00E2070B" w:rsidP="0026669B">
      <w:pPr>
        <w:jc w:val="both"/>
        <w:rPr>
          <w:rFonts w:ascii="Arial" w:hAnsi="Arial" w:cs="Arial"/>
        </w:rPr>
      </w:pPr>
      <w:r>
        <w:rPr>
          <w:rFonts w:ascii="Arial" w:hAnsi="Arial" w:cs="Arial"/>
        </w:rPr>
        <w:t xml:space="preserve">The Seattle streetcar system </w:t>
      </w:r>
      <w:r w:rsidR="009C77E6">
        <w:rPr>
          <w:rFonts w:ascii="Arial" w:hAnsi="Arial" w:cs="Arial"/>
        </w:rPr>
        <w:t>is ow</w:t>
      </w:r>
      <w:r w:rsidR="00740D56">
        <w:rPr>
          <w:rFonts w:ascii="Arial" w:hAnsi="Arial" w:cs="Arial"/>
        </w:rPr>
        <w:t>n</w:t>
      </w:r>
      <w:r w:rsidR="009C77E6">
        <w:rPr>
          <w:rFonts w:ascii="Arial" w:hAnsi="Arial" w:cs="Arial"/>
        </w:rPr>
        <w:t xml:space="preserve">ed by the City of Seattle (“City”) and </w:t>
      </w:r>
      <w:r>
        <w:rPr>
          <w:rFonts w:ascii="Arial" w:hAnsi="Arial" w:cs="Arial"/>
        </w:rPr>
        <w:t xml:space="preserve">currently is made up of two streetcar lines operating </w:t>
      </w:r>
      <w:r w:rsidR="00095046">
        <w:rPr>
          <w:rFonts w:ascii="Arial" w:hAnsi="Arial" w:cs="Arial"/>
        </w:rPr>
        <w:t>with</w:t>
      </w:r>
      <w:r>
        <w:rPr>
          <w:rFonts w:ascii="Arial" w:hAnsi="Arial" w:cs="Arial"/>
        </w:rPr>
        <w:t xml:space="preserve">in </w:t>
      </w:r>
      <w:r w:rsidR="00E52341">
        <w:rPr>
          <w:rFonts w:ascii="Arial" w:hAnsi="Arial" w:cs="Arial"/>
        </w:rPr>
        <w:t>the City</w:t>
      </w:r>
      <w:r>
        <w:rPr>
          <w:rFonts w:ascii="Arial" w:hAnsi="Arial" w:cs="Arial"/>
        </w:rPr>
        <w:t>: the South Lake Union line, which opened in 2007</w:t>
      </w:r>
      <w:r w:rsidR="00E52341">
        <w:rPr>
          <w:rFonts w:ascii="Arial" w:hAnsi="Arial" w:cs="Arial"/>
        </w:rPr>
        <w:t>,</w:t>
      </w:r>
      <w:r>
        <w:rPr>
          <w:rFonts w:ascii="Arial" w:hAnsi="Arial" w:cs="Arial"/>
        </w:rPr>
        <w:t xml:space="preserve"> and the First Hill line, which opened in 2016.</w:t>
      </w:r>
      <w:r w:rsidR="00E64973">
        <w:rPr>
          <w:rFonts w:ascii="Arial" w:hAnsi="Arial" w:cs="Arial"/>
        </w:rPr>
        <w:t xml:space="preserve"> </w:t>
      </w:r>
      <w:r w:rsidR="00191D4C">
        <w:rPr>
          <w:rFonts w:ascii="Arial" w:hAnsi="Arial" w:cs="Arial"/>
        </w:rPr>
        <w:t xml:space="preserve">According to the proposed agreement, the South Lake Union line includes approximately 1.3 miles of track, 11 station platforms, a fleet of </w:t>
      </w:r>
      <w:r w:rsidR="00EE1839">
        <w:rPr>
          <w:rFonts w:ascii="Arial" w:hAnsi="Arial" w:cs="Arial"/>
        </w:rPr>
        <w:t xml:space="preserve">four streetcar vehicles, and </w:t>
      </w:r>
      <w:r w:rsidR="00864835">
        <w:rPr>
          <w:rFonts w:ascii="Arial" w:hAnsi="Arial" w:cs="Arial"/>
        </w:rPr>
        <w:t xml:space="preserve">the </w:t>
      </w:r>
      <w:r w:rsidR="00EE1839">
        <w:rPr>
          <w:rFonts w:ascii="Arial" w:hAnsi="Arial" w:cs="Arial"/>
        </w:rPr>
        <w:t xml:space="preserve">Overhead Contact System </w:t>
      </w:r>
      <w:r w:rsidR="008C03C6">
        <w:rPr>
          <w:rFonts w:ascii="Arial" w:hAnsi="Arial" w:cs="Arial"/>
        </w:rPr>
        <w:t xml:space="preserve">providing </w:t>
      </w:r>
      <w:r w:rsidR="00F86728">
        <w:rPr>
          <w:rFonts w:ascii="Arial" w:hAnsi="Arial" w:cs="Arial"/>
        </w:rPr>
        <w:t>power to the streetcar,</w:t>
      </w:r>
      <w:r w:rsidR="00EE1839">
        <w:rPr>
          <w:rFonts w:ascii="Arial" w:hAnsi="Arial" w:cs="Arial"/>
        </w:rPr>
        <w:t xml:space="preserve"> traction </w:t>
      </w:r>
      <w:r w:rsidR="008B0B85">
        <w:rPr>
          <w:rFonts w:ascii="Arial" w:hAnsi="Arial" w:cs="Arial"/>
        </w:rPr>
        <w:t xml:space="preserve">power substations, and an Operations and Maintenance facility located at 318 Fairview Avenue North in Seattle; the </w:t>
      </w:r>
      <w:r w:rsidR="003C2764">
        <w:rPr>
          <w:rFonts w:ascii="Arial" w:hAnsi="Arial" w:cs="Arial"/>
        </w:rPr>
        <w:t>First Hill line includes approximately 2.5 miles of track, 14 station platforms, a fleet of six streetcar vehicles, an Overhead Contact System, traction power substations, and an Operations and Maintenance Facility located at 848 7</w:t>
      </w:r>
      <w:r w:rsidR="003C2764" w:rsidRPr="003C2764">
        <w:rPr>
          <w:rFonts w:ascii="Arial" w:hAnsi="Arial" w:cs="Arial"/>
          <w:vertAlign w:val="superscript"/>
        </w:rPr>
        <w:t>th</w:t>
      </w:r>
      <w:r w:rsidR="003C2764">
        <w:rPr>
          <w:rFonts w:ascii="Arial" w:hAnsi="Arial" w:cs="Arial"/>
        </w:rPr>
        <w:t xml:space="preserve"> Avenue South in Seattle. </w:t>
      </w:r>
    </w:p>
    <w:p w14:paraId="39BE1112" w14:textId="77777777" w:rsidR="00B92681" w:rsidRDefault="00B92681" w:rsidP="0026669B">
      <w:pPr>
        <w:jc w:val="both"/>
        <w:rPr>
          <w:rFonts w:ascii="Arial" w:hAnsi="Arial" w:cs="Arial"/>
        </w:rPr>
      </w:pPr>
    </w:p>
    <w:p w14:paraId="4BA1BFD2" w14:textId="02071897" w:rsidR="00A065D3" w:rsidRDefault="00E64973" w:rsidP="0026669B">
      <w:pPr>
        <w:jc w:val="both"/>
        <w:rPr>
          <w:rFonts w:ascii="Arial" w:hAnsi="Arial" w:cs="Arial"/>
        </w:rPr>
      </w:pPr>
      <w:r>
        <w:rPr>
          <w:rFonts w:ascii="Arial" w:hAnsi="Arial" w:cs="Arial"/>
        </w:rPr>
        <w:t>King County and the City first entered into an</w:t>
      </w:r>
      <w:r w:rsidR="00CD7ABB">
        <w:rPr>
          <w:rFonts w:ascii="Arial" w:hAnsi="Arial" w:cs="Arial"/>
        </w:rPr>
        <w:t xml:space="preserve"> operation and maintenance</w:t>
      </w:r>
      <w:r>
        <w:rPr>
          <w:rFonts w:ascii="Arial" w:hAnsi="Arial" w:cs="Arial"/>
        </w:rPr>
        <w:t xml:space="preserve"> agreement</w:t>
      </w:r>
      <w:r w:rsidR="006B446C">
        <w:rPr>
          <w:rStyle w:val="FootnoteReference"/>
          <w:rFonts w:ascii="Arial" w:hAnsi="Arial" w:cs="Arial"/>
        </w:rPr>
        <w:footnoteReference w:id="3"/>
      </w:r>
      <w:r>
        <w:rPr>
          <w:rFonts w:ascii="Arial" w:hAnsi="Arial" w:cs="Arial"/>
        </w:rPr>
        <w:t xml:space="preserve"> </w:t>
      </w:r>
      <w:r w:rsidR="00CD7ABB">
        <w:rPr>
          <w:rFonts w:ascii="Arial" w:hAnsi="Arial" w:cs="Arial"/>
        </w:rPr>
        <w:t xml:space="preserve">for </w:t>
      </w:r>
      <w:r>
        <w:rPr>
          <w:rFonts w:ascii="Arial" w:hAnsi="Arial" w:cs="Arial"/>
        </w:rPr>
        <w:t xml:space="preserve">the </w:t>
      </w:r>
      <w:r w:rsidR="00B92681">
        <w:rPr>
          <w:rFonts w:ascii="Arial" w:hAnsi="Arial" w:cs="Arial"/>
        </w:rPr>
        <w:t>streetcar system</w:t>
      </w:r>
      <w:r>
        <w:rPr>
          <w:rFonts w:ascii="Arial" w:hAnsi="Arial" w:cs="Arial"/>
        </w:rPr>
        <w:t xml:space="preserve"> in 2007</w:t>
      </w:r>
      <w:r w:rsidR="006100B4">
        <w:rPr>
          <w:rFonts w:ascii="Arial" w:hAnsi="Arial" w:cs="Arial"/>
        </w:rPr>
        <w:t>, when at the time the system included only the South Lake Union line. The Council subsequently approved an u</w:t>
      </w:r>
      <w:r w:rsidR="006B446C">
        <w:rPr>
          <w:rFonts w:ascii="Arial" w:hAnsi="Arial" w:cs="Arial"/>
        </w:rPr>
        <w:t>pdated agreement</w:t>
      </w:r>
      <w:r w:rsidR="006B446C">
        <w:rPr>
          <w:rStyle w:val="FootnoteReference"/>
          <w:rFonts w:ascii="Arial" w:hAnsi="Arial" w:cs="Arial"/>
        </w:rPr>
        <w:footnoteReference w:id="4"/>
      </w:r>
      <w:r w:rsidR="006B446C">
        <w:rPr>
          <w:rFonts w:ascii="Arial" w:hAnsi="Arial" w:cs="Arial"/>
        </w:rPr>
        <w:t xml:space="preserve"> </w:t>
      </w:r>
      <w:r w:rsidR="007B0250">
        <w:rPr>
          <w:rFonts w:ascii="Arial" w:hAnsi="Arial" w:cs="Arial"/>
        </w:rPr>
        <w:t xml:space="preserve">in </w:t>
      </w:r>
      <w:r w:rsidR="006B446C">
        <w:rPr>
          <w:rFonts w:ascii="Arial" w:hAnsi="Arial" w:cs="Arial"/>
        </w:rPr>
        <w:t>2014</w:t>
      </w:r>
      <w:r w:rsidR="00B3686F">
        <w:rPr>
          <w:rFonts w:ascii="Arial" w:hAnsi="Arial" w:cs="Arial"/>
        </w:rPr>
        <w:t xml:space="preserve"> that also covered the First Hill line</w:t>
      </w:r>
      <w:r w:rsidR="00201424">
        <w:rPr>
          <w:rFonts w:ascii="Arial" w:hAnsi="Arial" w:cs="Arial"/>
        </w:rPr>
        <w:t>, which was under construction</w:t>
      </w:r>
      <w:r w:rsidR="00864835" w:rsidRPr="00864835">
        <w:rPr>
          <w:rFonts w:ascii="Arial" w:hAnsi="Arial" w:cs="Arial"/>
        </w:rPr>
        <w:t xml:space="preserve"> </w:t>
      </w:r>
      <w:r w:rsidR="00864835">
        <w:rPr>
          <w:rFonts w:ascii="Arial" w:hAnsi="Arial" w:cs="Arial"/>
        </w:rPr>
        <w:t>at the time</w:t>
      </w:r>
      <w:r w:rsidR="006B446C">
        <w:rPr>
          <w:rFonts w:ascii="Arial" w:hAnsi="Arial" w:cs="Arial"/>
        </w:rPr>
        <w:t>. The current agreement is set to expire on December 31, 2019.</w:t>
      </w:r>
    </w:p>
    <w:p w14:paraId="654718D8" w14:textId="3887C7C2" w:rsidR="008A7CF0" w:rsidRDefault="008A7CF0" w:rsidP="0026669B">
      <w:pPr>
        <w:jc w:val="both"/>
        <w:rPr>
          <w:rFonts w:ascii="Arial" w:hAnsi="Arial" w:cs="Arial"/>
        </w:rPr>
      </w:pPr>
    </w:p>
    <w:p w14:paraId="4C072D80" w14:textId="5655C34F" w:rsidR="008A7CF0" w:rsidRDefault="00192260" w:rsidP="0026669B">
      <w:pPr>
        <w:jc w:val="both"/>
        <w:rPr>
          <w:rFonts w:ascii="Arial" w:hAnsi="Arial" w:cs="Arial"/>
        </w:rPr>
      </w:pPr>
      <w:r>
        <w:rPr>
          <w:rFonts w:ascii="Arial" w:hAnsi="Arial" w:cs="Arial"/>
        </w:rPr>
        <w:t xml:space="preserve">The Committee received an initial briefing on Proposed Ordinance 2019-0409 on November 5, 2019. </w:t>
      </w:r>
    </w:p>
    <w:p w14:paraId="1748C4CA" w14:textId="77777777" w:rsidR="00952AE0" w:rsidRDefault="00952AE0" w:rsidP="0026669B">
      <w:pPr>
        <w:jc w:val="both"/>
        <w:rPr>
          <w:rFonts w:ascii="Arial" w:hAnsi="Arial" w:cs="Arial"/>
        </w:rPr>
      </w:pPr>
    </w:p>
    <w:p w14:paraId="5DB249A1" w14:textId="77777777" w:rsidR="0026669B" w:rsidRDefault="0026669B" w:rsidP="0026669B">
      <w:pPr>
        <w:jc w:val="both"/>
        <w:rPr>
          <w:rFonts w:ascii="Arial" w:hAnsi="Arial" w:cs="Arial"/>
          <w:b/>
          <w:smallCaps/>
          <w:szCs w:val="24"/>
          <w:u w:val="single"/>
        </w:rPr>
      </w:pPr>
      <w:r>
        <w:rPr>
          <w:rFonts w:ascii="Arial" w:hAnsi="Arial" w:cs="Arial"/>
          <w:b/>
          <w:smallCaps/>
          <w:szCs w:val="24"/>
          <w:u w:val="single"/>
        </w:rPr>
        <w:t>ANALYSIS</w:t>
      </w:r>
    </w:p>
    <w:p w14:paraId="1BBF93EF" w14:textId="77777777" w:rsidR="0026669B" w:rsidRPr="009931DF" w:rsidRDefault="0026669B" w:rsidP="0026669B">
      <w:pPr>
        <w:jc w:val="both"/>
        <w:rPr>
          <w:rFonts w:ascii="Arial" w:hAnsi="Arial" w:cs="Arial"/>
          <w:color w:val="FF0000"/>
        </w:rPr>
      </w:pPr>
    </w:p>
    <w:p w14:paraId="1F9B07A0" w14:textId="77777777" w:rsidR="00F26FA5" w:rsidRDefault="00740D56" w:rsidP="00740D56">
      <w:pPr>
        <w:jc w:val="both"/>
        <w:rPr>
          <w:rFonts w:ascii="Arial" w:hAnsi="Arial" w:cs="Arial"/>
        </w:rPr>
      </w:pPr>
      <w:r>
        <w:rPr>
          <w:rFonts w:ascii="Arial" w:hAnsi="Arial" w:cs="Arial"/>
        </w:rPr>
        <w:t>Proposed Ordinance 2019-0409 would provide the legal mechanism allowing the City to contract with the County for the continued operation</w:t>
      </w:r>
      <w:r w:rsidR="0026712C">
        <w:rPr>
          <w:rFonts w:ascii="Arial" w:hAnsi="Arial" w:cs="Arial"/>
        </w:rPr>
        <w:t xml:space="preserve"> and maintenance</w:t>
      </w:r>
      <w:r>
        <w:rPr>
          <w:rFonts w:ascii="Arial" w:hAnsi="Arial" w:cs="Arial"/>
        </w:rPr>
        <w:t xml:space="preserve"> of the streetcar system. The proposed agreement includes provision</w:t>
      </w:r>
      <w:r w:rsidR="00EB6434">
        <w:rPr>
          <w:rFonts w:ascii="Arial" w:hAnsi="Arial" w:cs="Arial"/>
        </w:rPr>
        <w:t>s</w:t>
      </w:r>
      <w:r>
        <w:rPr>
          <w:rFonts w:ascii="Arial" w:hAnsi="Arial" w:cs="Arial"/>
        </w:rPr>
        <w:t xml:space="preserve"> </w:t>
      </w:r>
      <w:r w:rsidR="00F26FA5">
        <w:rPr>
          <w:rFonts w:ascii="Arial" w:hAnsi="Arial" w:cs="Arial"/>
        </w:rPr>
        <w:t xml:space="preserve">related to allowable </w:t>
      </w:r>
      <w:r w:rsidR="006F1C1E">
        <w:rPr>
          <w:rFonts w:ascii="Arial" w:hAnsi="Arial" w:cs="Arial"/>
        </w:rPr>
        <w:t xml:space="preserve">County </w:t>
      </w:r>
      <w:r w:rsidR="00F26FA5">
        <w:rPr>
          <w:rFonts w:ascii="Arial" w:hAnsi="Arial" w:cs="Arial"/>
        </w:rPr>
        <w:t xml:space="preserve">expenses </w:t>
      </w:r>
      <w:r w:rsidR="006F1C1E">
        <w:rPr>
          <w:rFonts w:ascii="Arial" w:hAnsi="Arial" w:cs="Arial"/>
        </w:rPr>
        <w:t xml:space="preserve">to be </w:t>
      </w:r>
      <w:r w:rsidR="00F26FA5">
        <w:rPr>
          <w:rFonts w:ascii="Arial" w:hAnsi="Arial" w:cs="Arial"/>
        </w:rPr>
        <w:t>reimbursed by the City, reporting requirements, and performance standards, among other items.</w:t>
      </w:r>
    </w:p>
    <w:p w14:paraId="198049C3" w14:textId="77777777" w:rsidR="003D0841" w:rsidRDefault="003D0841" w:rsidP="00740D56">
      <w:pPr>
        <w:jc w:val="both"/>
        <w:rPr>
          <w:rFonts w:ascii="Arial" w:hAnsi="Arial" w:cs="Arial"/>
        </w:rPr>
      </w:pPr>
    </w:p>
    <w:p w14:paraId="699A8000" w14:textId="662DD994" w:rsidR="00372104" w:rsidRDefault="00192260" w:rsidP="00372104">
      <w:pPr>
        <w:jc w:val="both"/>
        <w:rPr>
          <w:rFonts w:ascii="Arial" w:hAnsi="Arial" w:cs="Arial"/>
        </w:rPr>
      </w:pPr>
      <w:r>
        <w:rPr>
          <w:rFonts w:ascii="Arial" w:hAnsi="Arial" w:cs="Arial"/>
        </w:rPr>
        <w:t>The analysis</w:t>
      </w:r>
      <w:r w:rsidR="002B08EF">
        <w:rPr>
          <w:rFonts w:ascii="Arial" w:hAnsi="Arial" w:cs="Arial"/>
        </w:rPr>
        <w:t xml:space="preserve"> in the </w:t>
      </w:r>
      <w:r w:rsidR="00D74C34">
        <w:rPr>
          <w:rFonts w:ascii="Arial" w:hAnsi="Arial" w:cs="Arial"/>
        </w:rPr>
        <w:t>staff report is organized as follows:</w:t>
      </w:r>
    </w:p>
    <w:p w14:paraId="672D68BF" w14:textId="77777777" w:rsidR="00D82604" w:rsidRPr="00372104" w:rsidRDefault="00D82604" w:rsidP="009345C0">
      <w:pPr>
        <w:pStyle w:val="ListParagraph0"/>
        <w:numPr>
          <w:ilvl w:val="0"/>
          <w:numId w:val="4"/>
        </w:numPr>
        <w:jc w:val="both"/>
        <w:rPr>
          <w:rFonts w:ascii="Arial" w:hAnsi="Arial" w:cs="Arial"/>
        </w:rPr>
      </w:pPr>
      <w:r w:rsidRPr="00372104">
        <w:rPr>
          <w:rFonts w:ascii="Arial" w:hAnsi="Arial" w:cs="Arial"/>
        </w:rPr>
        <w:t xml:space="preserve">A summary of the key </w:t>
      </w:r>
      <w:r w:rsidR="001E60E9">
        <w:rPr>
          <w:rFonts w:ascii="Arial" w:hAnsi="Arial" w:cs="Arial"/>
        </w:rPr>
        <w:t>terms</w:t>
      </w:r>
      <w:r w:rsidRPr="00372104">
        <w:rPr>
          <w:rFonts w:ascii="Arial" w:hAnsi="Arial" w:cs="Arial"/>
        </w:rPr>
        <w:t xml:space="preserve"> of the proposed agreement;</w:t>
      </w:r>
    </w:p>
    <w:p w14:paraId="5418650A" w14:textId="77777777" w:rsidR="008204B6" w:rsidRDefault="00D769A5" w:rsidP="009345C0">
      <w:pPr>
        <w:pStyle w:val="ListParagraph0"/>
        <w:numPr>
          <w:ilvl w:val="0"/>
          <w:numId w:val="4"/>
        </w:numPr>
        <w:jc w:val="both"/>
        <w:rPr>
          <w:rFonts w:ascii="Arial" w:hAnsi="Arial" w:cs="Arial"/>
        </w:rPr>
      </w:pPr>
      <w:r>
        <w:rPr>
          <w:rFonts w:ascii="Arial" w:hAnsi="Arial" w:cs="Arial"/>
        </w:rPr>
        <w:t>Descriptions of the</w:t>
      </w:r>
      <w:r w:rsidR="00B35415">
        <w:rPr>
          <w:rFonts w:ascii="Arial" w:hAnsi="Arial" w:cs="Arial"/>
        </w:rPr>
        <w:t xml:space="preserve"> policy changes </w:t>
      </w:r>
      <w:r w:rsidR="00556549">
        <w:rPr>
          <w:rFonts w:ascii="Arial" w:hAnsi="Arial" w:cs="Arial"/>
        </w:rPr>
        <w:t>identified by Council staff in the prop</w:t>
      </w:r>
      <w:r w:rsidR="00B35415">
        <w:rPr>
          <w:rFonts w:ascii="Arial" w:hAnsi="Arial" w:cs="Arial"/>
        </w:rPr>
        <w:t>osed agreement relative to the existing agreement;</w:t>
      </w:r>
      <w:r w:rsidR="003D0841">
        <w:rPr>
          <w:rFonts w:ascii="Arial" w:hAnsi="Arial" w:cs="Arial"/>
        </w:rPr>
        <w:t xml:space="preserve"> and</w:t>
      </w:r>
    </w:p>
    <w:p w14:paraId="46E921ED" w14:textId="77777777" w:rsidR="00B35415" w:rsidRDefault="00B35415" w:rsidP="009345C0">
      <w:pPr>
        <w:pStyle w:val="ListParagraph0"/>
        <w:numPr>
          <w:ilvl w:val="0"/>
          <w:numId w:val="4"/>
        </w:numPr>
        <w:jc w:val="both"/>
        <w:rPr>
          <w:rFonts w:ascii="Arial" w:hAnsi="Arial" w:cs="Arial"/>
        </w:rPr>
      </w:pPr>
      <w:r>
        <w:rPr>
          <w:rFonts w:ascii="Arial" w:hAnsi="Arial" w:cs="Arial"/>
        </w:rPr>
        <w:t>A table providing a complete list and description of each sec</w:t>
      </w:r>
      <w:r w:rsidR="003D0841">
        <w:rPr>
          <w:rFonts w:ascii="Arial" w:hAnsi="Arial" w:cs="Arial"/>
        </w:rPr>
        <w:t xml:space="preserve">tion and </w:t>
      </w:r>
      <w:r w:rsidR="00102771">
        <w:rPr>
          <w:rFonts w:ascii="Arial" w:hAnsi="Arial" w:cs="Arial"/>
        </w:rPr>
        <w:t>appendix</w:t>
      </w:r>
      <w:r w:rsidR="003D0841">
        <w:rPr>
          <w:rFonts w:ascii="Arial" w:hAnsi="Arial" w:cs="Arial"/>
        </w:rPr>
        <w:t xml:space="preserve"> of the proposed agreement.</w:t>
      </w:r>
    </w:p>
    <w:p w14:paraId="78C74D26" w14:textId="77777777" w:rsidR="00D82604" w:rsidRDefault="00D82604" w:rsidP="00DE28E4">
      <w:pPr>
        <w:jc w:val="both"/>
        <w:rPr>
          <w:rFonts w:ascii="Arial" w:hAnsi="Arial" w:cs="Arial"/>
        </w:rPr>
      </w:pPr>
    </w:p>
    <w:p w14:paraId="10E792A9" w14:textId="77777777" w:rsidR="00CD26DB" w:rsidRDefault="00CD26DB" w:rsidP="00DE28E4">
      <w:pPr>
        <w:jc w:val="both"/>
        <w:rPr>
          <w:rFonts w:ascii="Arial" w:hAnsi="Arial" w:cs="Arial"/>
        </w:rPr>
      </w:pPr>
    </w:p>
    <w:p w14:paraId="1EF20795" w14:textId="77777777" w:rsidR="00CD26DB" w:rsidRDefault="00CD26DB" w:rsidP="00DE28E4">
      <w:pPr>
        <w:jc w:val="both"/>
        <w:rPr>
          <w:rFonts w:ascii="Arial" w:hAnsi="Arial" w:cs="Arial"/>
        </w:rPr>
      </w:pPr>
    </w:p>
    <w:p w14:paraId="46199CB8" w14:textId="77777777" w:rsidR="00DE28E4" w:rsidRPr="00AB791F" w:rsidRDefault="00AB791F" w:rsidP="00740D56">
      <w:pPr>
        <w:jc w:val="both"/>
        <w:rPr>
          <w:rFonts w:ascii="Arial" w:hAnsi="Arial" w:cs="Arial"/>
          <w:b/>
        </w:rPr>
      </w:pPr>
      <w:r>
        <w:rPr>
          <w:rFonts w:ascii="Arial" w:hAnsi="Arial" w:cs="Arial"/>
          <w:b/>
        </w:rPr>
        <w:t xml:space="preserve">Summary of Key Terms </w:t>
      </w:r>
    </w:p>
    <w:p w14:paraId="5F9E2485" w14:textId="77777777" w:rsidR="004B263A" w:rsidRDefault="004B263A" w:rsidP="009345C0">
      <w:pPr>
        <w:pStyle w:val="ListParagraph0"/>
        <w:numPr>
          <w:ilvl w:val="0"/>
          <w:numId w:val="3"/>
        </w:numPr>
        <w:jc w:val="both"/>
        <w:rPr>
          <w:rFonts w:ascii="Arial" w:hAnsi="Arial" w:cs="Arial"/>
        </w:rPr>
      </w:pPr>
      <w:r>
        <w:rPr>
          <w:rFonts w:ascii="Arial" w:hAnsi="Arial" w:cs="Arial"/>
          <w:b/>
        </w:rPr>
        <w:t>Term</w:t>
      </w:r>
      <w:r w:rsidR="00527D67">
        <w:rPr>
          <w:rStyle w:val="FootnoteReference"/>
          <w:rFonts w:ascii="Arial" w:hAnsi="Arial" w:cs="Arial"/>
          <w:b/>
        </w:rPr>
        <w:footnoteReference w:id="5"/>
      </w:r>
      <w:r>
        <w:rPr>
          <w:rFonts w:ascii="Arial" w:hAnsi="Arial" w:cs="Arial"/>
          <w:b/>
        </w:rPr>
        <w:t xml:space="preserve">: </w:t>
      </w:r>
      <w:r w:rsidR="00A36551">
        <w:rPr>
          <w:rFonts w:ascii="Arial" w:hAnsi="Arial" w:cs="Arial"/>
        </w:rPr>
        <w:t>The proposed</w:t>
      </w:r>
      <w:r>
        <w:rPr>
          <w:rFonts w:ascii="Arial" w:hAnsi="Arial" w:cs="Arial"/>
        </w:rPr>
        <w:t xml:space="preserve"> agreement </w:t>
      </w:r>
      <w:r w:rsidR="005E1245">
        <w:rPr>
          <w:rFonts w:ascii="Arial" w:hAnsi="Arial" w:cs="Arial"/>
        </w:rPr>
        <w:t>would</w:t>
      </w:r>
      <w:r>
        <w:rPr>
          <w:rFonts w:ascii="Arial" w:hAnsi="Arial" w:cs="Arial"/>
        </w:rPr>
        <w:t xml:space="preserve"> take effect upon execution for a term of five years. The term </w:t>
      </w:r>
      <w:r w:rsidR="005E1245">
        <w:rPr>
          <w:rFonts w:ascii="Arial" w:hAnsi="Arial" w:cs="Arial"/>
        </w:rPr>
        <w:t>would</w:t>
      </w:r>
      <w:r>
        <w:rPr>
          <w:rFonts w:ascii="Arial" w:hAnsi="Arial" w:cs="Arial"/>
        </w:rPr>
        <w:t xml:space="preserve"> automatically be extended for up to two additional five-year periods at the discretion of the City.</w:t>
      </w:r>
      <w:r w:rsidR="005E1245">
        <w:rPr>
          <w:rFonts w:ascii="Arial" w:hAnsi="Arial" w:cs="Arial"/>
        </w:rPr>
        <w:t xml:space="preserve"> Note that under the </w:t>
      </w:r>
      <w:r w:rsidR="004D6471">
        <w:rPr>
          <w:rFonts w:ascii="Arial" w:hAnsi="Arial" w:cs="Arial"/>
        </w:rPr>
        <w:t>proposal</w:t>
      </w:r>
      <w:r w:rsidR="005E1245">
        <w:rPr>
          <w:rFonts w:ascii="Arial" w:hAnsi="Arial" w:cs="Arial"/>
        </w:rPr>
        <w:t xml:space="preserve"> </w:t>
      </w:r>
      <w:r w:rsidR="00ED4C7D">
        <w:rPr>
          <w:rFonts w:ascii="Arial" w:hAnsi="Arial" w:cs="Arial"/>
        </w:rPr>
        <w:t>either</w:t>
      </w:r>
      <w:r w:rsidR="005E1245">
        <w:rPr>
          <w:rFonts w:ascii="Arial" w:hAnsi="Arial" w:cs="Arial"/>
        </w:rPr>
        <w:t xml:space="preserve"> part</w:t>
      </w:r>
      <w:r w:rsidR="00ED4C7D">
        <w:rPr>
          <w:rFonts w:ascii="Arial" w:hAnsi="Arial" w:cs="Arial"/>
        </w:rPr>
        <w:t>y</w:t>
      </w:r>
      <w:r w:rsidR="005E1245">
        <w:rPr>
          <w:rFonts w:ascii="Arial" w:hAnsi="Arial" w:cs="Arial"/>
        </w:rPr>
        <w:t xml:space="preserve"> can terminate the </w:t>
      </w:r>
      <w:r w:rsidR="00ED4C7D">
        <w:rPr>
          <w:rFonts w:ascii="Arial" w:hAnsi="Arial" w:cs="Arial"/>
        </w:rPr>
        <w:t>agreement</w:t>
      </w:r>
      <w:r w:rsidR="005E1245">
        <w:rPr>
          <w:rFonts w:ascii="Arial" w:hAnsi="Arial" w:cs="Arial"/>
        </w:rPr>
        <w:t xml:space="preserve"> for convenience with </w:t>
      </w:r>
      <w:r w:rsidR="003B5AC1">
        <w:rPr>
          <w:rFonts w:ascii="Arial" w:hAnsi="Arial" w:cs="Arial"/>
        </w:rPr>
        <w:t xml:space="preserve">written notice </w:t>
      </w:r>
      <w:r w:rsidR="009B430F">
        <w:rPr>
          <w:rFonts w:ascii="Arial" w:hAnsi="Arial" w:cs="Arial"/>
        </w:rPr>
        <w:t>provided</w:t>
      </w:r>
      <w:r w:rsidR="003B5AC1">
        <w:rPr>
          <w:rFonts w:ascii="Arial" w:hAnsi="Arial" w:cs="Arial"/>
        </w:rPr>
        <w:t xml:space="preserve"> no less than </w:t>
      </w:r>
      <w:r w:rsidR="003E6A14">
        <w:rPr>
          <w:rFonts w:ascii="Arial" w:hAnsi="Arial" w:cs="Arial"/>
        </w:rPr>
        <w:t xml:space="preserve">180 days prior to the intended termination date and </w:t>
      </w:r>
      <w:r w:rsidR="00A05868">
        <w:rPr>
          <w:rFonts w:ascii="Arial" w:hAnsi="Arial" w:cs="Arial"/>
        </w:rPr>
        <w:t xml:space="preserve">provided </w:t>
      </w:r>
      <w:r w:rsidR="004011F4">
        <w:rPr>
          <w:rFonts w:ascii="Arial" w:hAnsi="Arial" w:cs="Arial"/>
        </w:rPr>
        <w:t xml:space="preserve">that there is </w:t>
      </w:r>
      <w:r w:rsidR="00A05868">
        <w:rPr>
          <w:rFonts w:ascii="Arial" w:hAnsi="Arial" w:cs="Arial"/>
        </w:rPr>
        <w:t>an opportunity for the parties to consult</w:t>
      </w:r>
      <w:r w:rsidR="003E6A14">
        <w:rPr>
          <w:rFonts w:ascii="Arial" w:hAnsi="Arial" w:cs="Arial"/>
        </w:rPr>
        <w:t>.</w:t>
      </w:r>
      <w:r w:rsidR="00930071">
        <w:rPr>
          <w:rStyle w:val="FootnoteReference"/>
          <w:rFonts w:ascii="Arial" w:hAnsi="Arial" w:cs="Arial"/>
        </w:rPr>
        <w:footnoteReference w:id="6"/>
      </w:r>
    </w:p>
    <w:p w14:paraId="50EBEED0" w14:textId="77777777" w:rsidR="002715C2" w:rsidRPr="002715C2" w:rsidRDefault="002715C2" w:rsidP="009345C0">
      <w:pPr>
        <w:pStyle w:val="ListParagraph0"/>
        <w:numPr>
          <w:ilvl w:val="0"/>
          <w:numId w:val="3"/>
        </w:numPr>
        <w:jc w:val="both"/>
        <w:rPr>
          <w:rFonts w:ascii="Arial" w:hAnsi="Arial" w:cs="Arial"/>
        </w:rPr>
      </w:pPr>
      <w:r>
        <w:rPr>
          <w:rFonts w:ascii="Arial" w:hAnsi="Arial" w:cs="Arial"/>
          <w:b/>
        </w:rPr>
        <w:t>Agreement Amendments</w:t>
      </w:r>
      <w:r w:rsidR="009F7D4E">
        <w:rPr>
          <w:rStyle w:val="FootnoteReference"/>
          <w:rFonts w:ascii="Arial" w:hAnsi="Arial" w:cs="Arial"/>
          <w:b/>
        </w:rPr>
        <w:footnoteReference w:id="7"/>
      </w:r>
      <w:r>
        <w:rPr>
          <w:rFonts w:ascii="Arial" w:hAnsi="Arial" w:cs="Arial"/>
          <w:b/>
        </w:rPr>
        <w:t xml:space="preserve">: </w:t>
      </w:r>
      <w:r>
        <w:rPr>
          <w:rFonts w:ascii="Arial" w:hAnsi="Arial" w:cs="Arial"/>
        </w:rPr>
        <w:t>The proposed agreement would allow</w:t>
      </w:r>
      <w:r w:rsidR="001F3419">
        <w:rPr>
          <w:rFonts w:ascii="Arial" w:hAnsi="Arial" w:cs="Arial"/>
        </w:rPr>
        <w:t xml:space="preserve"> the agreement, exhibits, and attachments to be amended by mutual agreement in the form of an amendment executed by the Director of the Seattle Department of Transportation </w:t>
      </w:r>
      <w:r w:rsidR="0017242A">
        <w:rPr>
          <w:rFonts w:ascii="Arial" w:hAnsi="Arial" w:cs="Arial"/>
        </w:rPr>
        <w:t xml:space="preserve">(“SDOT”) </w:t>
      </w:r>
      <w:r w:rsidR="001F3419">
        <w:rPr>
          <w:rFonts w:ascii="Arial" w:hAnsi="Arial" w:cs="Arial"/>
        </w:rPr>
        <w:t>and the General Manager of the King County Metro Transit Department.</w:t>
      </w:r>
    </w:p>
    <w:p w14:paraId="06357C01" w14:textId="77777777" w:rsidR="00527D67" w:rsidRDefault="002A0DD1" w:rsidP="009345C0">
      <w:pPr>
        <w:pStyle w:val="ListParagraph0"/>
        <w:numPr>
          <w:ilvl w:val="0"/>
          <w:numId w:val="3"/>
        </w:numPr>
        <w:jc w:val="both"/>
        <w:rPr>
          <w:rFonts w:ascii="Arial" w:hAnsi="Arial" w:cs="Arial"/>
        </w:rPr>
      </w:pPr>
      <w:r w:rsidRPr="00527D67">
        <w:rPr>
          <w:rFonts w:ascii="Arial" w:hAnsi="Arial" w:cs="Arial"/>
          <w:b/>
        </w:rPr>
        <w:t>System Expansion</w:t>
      </w:r>
      <w:r w:rsidR="00527D67">
        <w:rPr>
          <w:rStyle w:val="FootnoteReference"/>
          <w:rFonts w:ascii="Arial" w:hAnsi="Arial" w:cs="Arial"/>
          <w:b/>
        </w:rPr>
        <w:footnoteReference w:id="8"/>
      </w:r>
      <w:r w:rsidRPr="00527D67">
        <w:rPr>
          <w:rFonts w:ascii="Arial" w:hAnsi="Arial" w:cs="Arial"/>
          <w:b/>
        </w:rPr>
        <w:t>:</w:t>
      </w:r>
      <w:r w:rsidRPr="00527D67">
        <w:rPr>
          <w:rFonts w:ascii="Arial" w:hAnsi="Arial" w:cs="Arial"/>
        </w:rPr>
        <w:t xml:space="preserve"> </w:t>
      </w:r>
      <w:r w:rsidR="00A36551" w:rsidRPr="00527D67">
        <w:rPr>
          <w:rFonts w:ascii="Arial" w:hAnsi="Arial" w:cs="Arial"/>
        </w:rPr>
        <w:t>Under</w:t>
      </w:r>
      <w:r w:rsidR="00141752" w:rsidRPr="00527D67">
        <w:rPr>
          <w:rFonts w:ascii="Arial" w:hAnsi="Arial" w:cs="Arial"/>
        </w:rPr>
        <w:t xml:space="preserve"> the proposed agreement, </w:t>
      </w:r>
      <w:r w:rsidR="00397BE5" w:rsidRPr="00527D67">
        <w:rPr>
          <w:rFonts w:ascii="Arial" w:hAnsi="Arial" w:cs="Arial"/>
        </w:rPr>
        <w:t>the parties acknowledge that</w:t>
      </w:r>
      <w:r w:rsidR="00511657" w:rsidRPr="00527D67">
        <w:rPr>
          <w:rFonts w:ascii="Arial" w:hAnsi="Arial" w:cs="Arial"/>
        </w:rPr>
        <w:t xml:space="preserve"> the streetcar system may be expanded </w:t>
      </w:r>
      <w:r w:rsidR="00503F9A" w:rsidRPr="00527D67">
        <w:rPr>
          <w:rFonts w:ascii="Arial" w:hAnsi="Arial" w:cs="Arial"/>
        </w:rPr>
        <w:t>in the future</w:t>
      </w:r>
      <w:r w:rsidR="004442EB" w:rsidRPr="00527D67">
        <w:rPr>
          <w:rFonts w:ascii="Arial" w:hAnsi="Arial" w:cs="Arial"/>
        </w:rPr>
        <w:t xml:space="preserve">. It states </w:t>
      </w:r>
      <w:r w:rsidR="00511657" w:rsidRPr="00527D67">
        <w:rPr>
          <w:rFonts w:ascii="Arial" w:hAnsi="Arial" w:cs="Arial"/>
        </w:rPr>
        <w:t>that</w:t>
      </w:r>
      <w:r w:rsidR="004008CF" w:rsidRPr="00527D67">
        <w:rPr>
          <w:rFonts w:ascii="Arial" w:hAnsi="Arial" w:cs="Arial"/>
        </w:rPr>
        <w:t xml:space="preserve"> the expanded facilities shall be included in and subject to all the terms of the agreement without the need for future legislative action</w:t>
      </w:r>
      <w:r w:rsidR="006A4E04" w:rsidRPr="00527D67">
        <w:rPr>
          <w:rFonts w:ascii="Arial" w:hAnsi="Arial" w:cs="Arial"/>
        </w:rPr>
        <w:t xml:space="preserve"> “[p]</w:t>
      </w:r>
      <w:proofErr w:type="spellStart"/>
      <w:r w:rsidR="006A4E04" w:rsidRPr="00527D67">
        <w:rPr>
          <w:rFonts w:ascii="Arial" w:hAnsi="Arial" w:cs="Arial"/>
        </w:rPr>
        <w:t>rovided</w:t>
      </w:r>
      <w:proofErr w:type="spellEnd"/>
      <w:r w:rsidR="006A4E04" w:rsidRPr="00527D67">
        <w:rPr>
          <w:rFonts w:ascii="Arial" w:hAnsi="Arial" w:cs="Arial"/>
        </w:rPr>
        <w:t xml:space="preserve"> that the operation and maintenance of such expanded facilities does not materially alter the operational or financial relationship between the Parties.”</w:t>
      </w:r>
      <w:r w:rsidR="003C2E23">
        <w:rPr>
          <w:rFonts w:ascii="Arial" w:hAnsi="Arial" w:cs="Arial"/>
        </w:rPr>
        <w:t xml:space="preserve"> This change is further discussed in the next subsection of the staff report concerning policy issues for Councilmember consideration.</w:t>
      </w:r>
    </w:p>
    <w:p w14:paraId="4CE2EF0E" w14:textId="77777777" w:rsidR="004B263A" w:rsidRPr="00527D67" w:rsidRDefault="004B263A" w:rsidP="009345C0">
      <w:pPr>
        <w:pStyle w:val="ListParagraph0"/>
        <w:numPr>
          <w:ilvl w:val="0"/>
          <w:numId w:val="3"/>
        </w:numPr>
        <w:jc w:val="both"/>
        <w:rPr>
          <w:rFonts w:ascii="Arial" w:hAnsi="Arial" w:cs="Arial"/>
        </w:rPr>
      </w:pPr>
      <w:r w:rsidRPr="00527D67">
        <w:rPr>
          <w:rFonts w:ascii="Arial" w:hAnsi="Arial" w:cs="Arial"/>
          <w:b/>
        </w:rPr>
        <w:t>General Roles and Responsibilities</w:t>
      </w:r>
      <w:r w:rsidR="003D5894">
        <w:rPr>
          <w:rStyle w:val="FootnoteReference"/>
          <w:rFonts w:ascii="Arial" w:hAnsi="Arial" w:cs="Arial"/>
          <w:b/>
        </w:rPr>
        <w:footnoteReference w:id="9"/>
      </w:r>
      <w:r w:rsidRPr="00527D67">
        <w:rPr>
          <w:rFonts w:ascii="Arial" w:hAnsi="Arial" w:cs="Arial"/>
          <w:b/>
        </w:rPr>
        <w:t xml:space="preserve">: </w:t>
      </w:r>
      <w:r w:rsidRPr="00527D67">
        <w:rPr>
          <w:rFonts w:ascii="Arial" w:hAnsi="Arial" w:cs="Arial"/>
        </w:rPr>
        <w:t>Under the proposed agreement, Metro would continue to serve as the operator of the City-owned streetcar system, as well as assume some maintenance responsibilities previously held by the City (e.g., maintenance of the First Hill Streetcar Operations and Maintenance Facility, streetcar station cleaning, and track drain maintenance). Metro staff indicate that transferring these functions to the County is expected to increase the efficiency and quality of service for these functions.</w:t>
      </w:r>
      <w:r w:rsidR="009D7ECB" w:rsidRPr="00527D67">
        <w:rPr>
          <w:rFonts w:ascii="Arial" w:hAnsi="Arial" w:cs="Arial"/>
        </w:rPr>
        <w:t xml:space="preserve"> </w:t>
      </w:r>
      <w:r w:rsidR="00702059">
        <w:rPr>
          <w:rFonts w:ascii="Arial" w:hAnsi="Arial" w:cs="Arial"/>
        </w:rPr>
        <w:t xml:space="preserve">The proposed agreement requires the County to </w:t>
      </w:r>
      <w:r w:rsidR="00E3572E">
        <w:rPr>
          <w:rFonts w:ascii="Arial" w:hAnsi="Arial" w:cs="Arial"/>
        </w:rPr>
        <w:t>provide to the City an annual Operating Plan,</w:t>
      </w:r>
      <w:r w:rsidR="00DF54A0">
        <w:rPr>
          <w:rStyle w:val="FootnoteReference"/>
          <w:rFonts w:ascii="Arial" w:hAnsi="Arial" w:cs="Arial"/>
        </w:rPr>
        <w:footnoteReference w:id="10"/>
      </w:r>
      <w:r w:rsidR="00E3572E">
        <w:rPr>
          <w:rFonts w:ascii="Arial" w:hAnsi="Arial" w:cs="Arial"/>
        </w:rPr>
        <w:t xml:space="preserve"> which would </w:t>
      </w:r>
      <w:r w:rsidR="002E0794">
        <w:rPr>
          <w:rFonts w:ascii="Arial" w:hAnsi="Arial" w:cs="Arial"/>
        </w:rPr>
        <w:t>describe year-to-year changes in operation and the County’s proposed staffing plan and organizational chart. Additionally, th</w:t>
      </w:r>
      <w:r w:rsidR="001479B5">
        <w:rPr>
          <w:rFonts w:ascii="Arial" w:hAnsi="Arial" w:cs="Arial"/>
        </w:rPr>
        <w:t xml:space="preserve">e proposed agreement contains </w:t>
      </w:r>
      <w:r w:rsidR="00CF76F1">
        <w:rPr>
          <w:rFonts w:ascii="Arial" w:hAnsi="Arial" w:cs="Arial"/>
        </w:rPr>
        <w:t xml:space="preserve">specific </w:t>
      </w:r>
      <w:r w:rsidR="001479B5">
        <w:rPr>
          <w:rFonts w:ascii="Arial" w:hAnsi="Arial" w:cs="Arial"/>
        </w:rPr>
        <w:t xml:space="preserve">provisions </w:t>
      </w:r>
      <w:r w:rsidR="003A01DF">
        <w:rPr>
          <w:rFonts w:ascii="Arial" w:hAnsi="Arial" w:cs="Arial"/>
        </w:rPr>
        <w:t>concerning</w:t>
      </w:r>
      <w:r w:rsidR="001479B5">
        <w:rPr>
          <w:rFonts w:ascii="Arial" w:hAnsi="Arial" w:cs="Arial"/>
        </w:rPr>
        <w:t xml:space="preserve"> the City and County roles </w:t>
      </w:r>
      <w:r w:rsidR="00DA0225">
        <w:rPr>
          <w:rFonts w:ascii="Arial" w:hAnsi="Arial" w:cs="Arial"/>
        </w:rPr>
        <w:t>related to</w:t>
      </w:r>
      <w:r w:rsidR="001479B5">
        <w:rPr>
          <w:rFonts w:ascii="Arial" w:hAnsi="Arial" w:cs="Arial"/>
        </w:rPr>
        <w:t xml:space="preserve"> </w:t>
      </w:r>
      <w:r w:rsidR="00DA0225">
        <w:rPr>
          <w:rFonts w:ascii="Arial" w:hAnsi="Arial" w:cs="Arial"/>
        </w:rPr>
        <w:t>maintenance,</w:t>
      </w:r>
      <w:r w:rsidR="003A52B0">
        <w:rPr>
          <w:rStyle w:val="FootnoteReference"/>
          <w:rFonts w:ascii="Arial" w:hAnsi="Arial" w:cs="Arial"/>
        </w:rPr>
        <w:footnoteReference w:id="11"/>
      </w:r>
      <w:r w:rsidR="00364250">
        <w:rPr>
          <w:rFonts w:ascii="Arial" w:hAnsi="Arial" w:cs="Arial"/>
        </w:rPr>
        <w:t xml:space="preserve"> fare collection</w:t>
      </w:r>
      <w:r w:rsidR="00DA0225">
        <w:rPr>
          <w:rFonts w:ascii="Arial" w:hAnsi="Arial" w:cs="Arial"/>
        </w:rPr>
        <w:t>,</w:t>
      </w:r>
      <w:r w:rsidR="00DA0225">
        <w:rPr>
          <w:rStyle w:val="FootnoteReference"/>
          <w:rFonts w:ascii="Arial" w:hAnsi="Arial" w:cs="Arial"/>
        </w:rPr>
        <w:footnoteReference w:id="12"/>
      </w:r>
      <w:r w:rsidR="00DA0225">
        <w:rPr>
          <w:rFonts w:ascii="Arial" w:hAnsi="Arial" w:cs="Arial"/>
        </w:rPr>
        <w:t xml:space="preserve"> </w:t>
      </w:r>
      <w:r w:rsidR="00364250">
        <w:rPr>
          <w:rFonts w:ascii="Arial" w:hAnsi="Arial" w:cs="Arial"/>
        </w:rPr>
        <w:t>advertising,</w:t>
      </w:r>
      <w:r w:rsidR="00364250">
        <w:rPr>
          <w:rStyle w:val="FootnoteReference"/>
          <w:rFonts w:ascii="Arial" w:hAnsi="Arial" w:cs="Arial"/>
        </w:rPr>
        <w:footnoteReference w:id="13"/>
      </w:r>
      <w:r w:rsidR="003A52B0">
        <w:rPr>
          <w:rFonts w:ascii="Arial" w:hAnsi="Arial" w:cs="Arial"/>
        </w:rPr>
        <w:t xml:space="preserve"> reporting,</w:t>
      </w:r>
      <w:r w:rsidR="003A52B0">
        <w:rPr>
          <w:rStyle w:val="FootnoteReference"/>
          <w:rFonts w:ascii="Arial" w:hAnsi="Arial" w:cs="Arial"/>
        </w:rPr>
        <w:footnoteReference w:id="14"/>
      </w:r>
      <w:r w:rsidR="00CF76F1">
        <w:rPr>
          <w:rFonts w:ascii="Arial" w:hAnsi="Arial" w:cs="Arial"/>
        </w:rPr>
        <w:t xml:space="preserve"> customer information,</w:t>
      </w:r>
      <w:r w:rsidR="00CF76F1">
        <w:rPr>
          <w:rStyle w:val="FootnoteReference"/>
          <w:rFonts w:ascii="Arial" w:hAnsi="Arial" w:cs="Arial"/>
        </w:rPr>
        <w:footnoteReference w:id="15"/>
      </w:r>
      <w:r w:rsidR="00DC1D15">
        <w:rPr>
          <w:rFonts w:ascii="Arial" w:hAnsi="Arial" w:cs="Arial"/>
        </w:rPr>
        <w:t xml:space="preserve"> </w:t>
      </w:r>
      <w:r w:rsidR="00B537FD">
        <w:rPr>
          <w:rFonts w:ascii="Arial" w:hAnsi="Arial" w:cs="Arial"/>
        </w:rPr>
        <w:t xml:space="preserve">as well as </w:t>
      </w:r>
      <w:r w:rsidR="00DC1D15">
        <w:rPr>
          <w:rFonts w:ascii="Arial" w:hAnsi="Arial" w:cs="Arial"/>
        </w:rPr>
        <w:t>security and law enforcement</w:t>
      </w:r>
      <w:r w:rsidR="00B537FD">
        <w:rPr>
          <w:rFonts w:ascii="Arial" w:hAnsi="Arial" w:cs="Arial"/>
        </w:rPr>
        <w:t>.</w:t>
      </w:r>
      <w:r w:rsidR="00DC1D15">
        <w:rPr>
          <w:rStyle w:val="FootnoteReference"/>
          <w:rFonts w:ascii="Arial" w:hAnsi="Arial" w:cs="Arial"/>
        </w:rPr>
        <w:footnoteReference w:id="16"/>
      </w:r>
    </w:p>
    <w:p w14:paraId="38F9CADF" w14:textId="77777777" w:rsidR="004B263A" w:rsidRDefault="004B263A" w:rsidP="009345C0">
      <w:pPr>
        <w:pStyle w:val="ListParagraph0"/>
        <w:numPr>
          <w:ilvl w:val="0"/>
          <w:numId w:val="3"/>
        </w:numPr>
        <w:jc w:val="both"/>
        <w:rPr>
          <w:rFonts w:ascii="Arial" w:hAnsi="Arial" w:cs="Arial"/>
        </w:rPr>
      </w:pPr>
      <w:r>
        <w:rPr>
          <w:rFonts w:ascii="Arial" w:hAnsi="Arial" w:cs="Arial"/>
          <w:b/>
        </w:rPr>
        <w:lastRenderedPageBreak/>
        <w:t>Budget and Invoicing</w:t>
      </w:r>
      <w:r w:rsidR="00CC38BC">
        <w:rPr>
          <w:rStyle w:val="FootnoteReference"/>
          <w:rFonts w:ascii="Arial" w:hAnsi="Arial" w:cs="Arial"/>
          <w:b/>
        </w:rPr>
        <w:footnoteReference w:id="17"/>
      </w:r>
      <w:r>
        <w:rPr>
          <w:rFonts w:ascii="Arial" w:hAnsi="Arial" w:cs="Arial"/>
          <w:b/>
        </w:rPr>
        <w:t>:</w:t>
      </w:r>
      <w:r>
        <w:rPr>
          <w:rFonts w:ascii="Arial" w:hAnsi="Arial" w:cs="Arial"/>
        </w:rPr>
        <w:t xml:space="preserve"> The proposed agreement, per Metro, </w:t>
      </w:r>
      <w:r w:rsidR="003E6A14">
        <w:rPr>
          <w:rFonts w:ascii="Arial" w:hAnsi="Arial" w:cs="Arial"/>
        </w:rPr>
        <w:t>would clarify</w:t>
      </w:r>
      <w:r>
        <w:rPr>
          <w:rFonts w:ascii="Arial" w:hAnsi="Arial" w:cs="Arial"/>
        </w:rPr>
        <w:t xml:space="preserve"> the budget and invoicing process to reduce the magnitude of year-end reconciliations and </w:t>
      </w:r>
      <w:r w:rsidR="009F112D">
        <w:rPr>
          <w:rFonts w:ascii="Arial" w:hAnsi="Arial" w:cs="Arial"/>
        </w:rPr>
        <w:t>would call</w:t>
      </w:r>
      <w:r>
        <w:rPr>
          <w:rFonts w:ascii="Arial" w:hAnsi="Arial" w:cs="Arial"/>
        </w:rPr>
        <w:t xml:space="preserve"> for increased coordination early in the</w:t>
      </w:r>
      <w:r w:rsidR="0017242A">
        <w:rPr>
          <w:rFonts w:ascii="Arial" w:hAnsi="Arial" w:cs="Arial"/>
        </w:rPr>
        <w:t xml:space="preserve"> SDOT and Metro budget cycles</w:t>
      </w:r>
      <w:r>
        <w:rPr>
          <w:rFonts w:ascii="Arial" w:hAnsi="Arial" w:cs="Arial"/>
        </w:rPr>
        <w:t xml:space="preserve">. Under the proposed agreement, the City and County </w:t>
      </w:r>
      <w:r w:rsidR="004C3E78">
        <w:rPr>
          <w:rFonts w:ascii="Arial" w:hAnsi="Arial" w:cs="Arial"/>
        </w:rPr>
        <w:t>would</w:t>
      </w:r>
      <w:r>
        <w:rPr>
          <w:rFonts w:ascii="Arial" w:hAnsi="Arial" w:cs="Arial"/>
        </w:rPr>
        <w:t xml:space="preserve"> agree on annual projections for operating expenses and ORCA revenues based on historical actuals, rather than a schedule of estimated costs and revenues, which is the process in the current agreement expiring this year. </w:t>
      </w:r>
      <w:r w:rsidR="003766C6">
        <w:rPr>
          <w:rFonts w:ascii="Arial" w:hAnsi="Arial" w:cs="Arial"/>
        </w:rPr>
        <w:t>Metro staff</w:t>
      </w:r>
      <w:r w:rsidR="00A367E9">
        <w:rPr>
          <w:rFonts w:ascii="Arial" w:hAnsi="Arial" w:cs="Arial"/>
        </w:rPr>
        <w:t xml:space="preserve"> indicate that all operating and maintenance costs related to the streetcar are reimbursable, </w:t>
      </w:r>
      <w:r w:rsidR="00233032">
        <w:rPr>
          <w:rFonts w:ascii="Arial" w:hAnsi="Arial" w:cs="Arial"/>
        </w:rPr>
        <w:t>except for</w:t>
      </w:r>
      <w:r w:rsidR="00A367E9">
        <w:rPr>
          <w:rFonts w:ascii="Arial" w:hAnsi="Arial" w:cs="Arial"/>
        </w:rPr>
        <w:t xml:space="preserve"> the County contribution further described below. </w:t>
      </w:r>
    </w:p>
    <w:p w14:paraId="61E89E3B" w14:textId="77777777" w:rsidR="004B263A" w:rsidRDefault="004B263A" w:rsidP="009345C0">
      <w:pPr>
        <w:pStyle w:val="ListParagraph0"/>
        <w:numPr>
          <w:ilvl w:val="0"/>
          <w:numId w:val="3"/>
        </w:numPr>
        <w:jc w:val="both"/>
        <w:rPr>
          <w:rFonts w:ascii="Arial" w:hAnsi="Arial" w:cs="Arial"/>
        </w:rPr>
      </w:pPr>
      <w:r>
        <w:rPr>
          <w:rFonts w:ascii="Arial" w:hAnsi="Arial" w:cs="Arial"/>
          <w:b/>
        </w:rPr>
        <w:t>County Contribution and Other Revenues</w:t>
      </w:r>
      <w:r w:rsidR="008B7D14">
        <w:rPr>
          <w:rStyle w:val="FootnoteReference"/>
          <w:rFonts w:ascii="Arial" w:hAnsi="Arial" w:cs="Arial"/>
          <w:b/>
        </w:rPr>
        <w:footnoteReference w:id="18"/>
      </w:r>
      <w:r>
        <w:rPr>
          <w:rFonts w:ascii="Arial" w:hAnsi="Arial" w:cs="Arial"/>
          <w:b/>
        </w:rPr>
        <w:t>:</w:t>
      </w:r>
      <w:r>
        <w:rPr>
          <w:rFonts w:ascii="Arial" w:hAnsi="Arial" w:cs="Arial"/>
        </w:rPr>
        <w:t xml:space="preserve"> The proposed agreement </w:t>
      </w:r>
      <w:r w:rsidR="003501DB">
        <w:rPr>
          <w:rFonts w:ascii="Arial" w:hAnsi="Arial" w:cs="Arial"/>
        </w:rPr>
        <w:t>would maintain</w:t>
      </w:r>
      <w:r>
        <w:rPr>
          <w:rFonts w:ascii="Arial" w:hAnsi="Arial" w:cs="Arial"/>
        </w:rPr>
        <w:t xml:space="preserve"> the County’s current annual contribution to the South Lake Union streetcar line of $1.55 million, which escalates at a rate of three percent annually throughout the initial five-year term. Under </w:t>
      </w:r>
      <w:r w:rsidR="004E2F76">
        <w:rPr>
          <w:rFonts w:ascii="Arial" w:hAnsi="Arial" w:cs="Arial"/>
        </w:rPr>
        <w:t>the proposal</w:t>
      </w:r>
      <w:r>
        <w:rPr>
          <w:rFonts w:ascii="Arial" w:hAnsi="Arial" w:cs="Arial"/>
        </w:rPr>
        <w:t xml:space="preserve">, if the term of the agreement is extended after the initial five-year term, the City and County may negotiate an extension to the County </w:t>
      </w:r>
      <w:r w:rsidR="00F047C5">
        <w:rPr>
          <w:rFonts w:ascii="Arial" w:hAnsi="Arial" w:cs="Arial"/>
        </w:rPr>
        <w:t>c</w:t>
      </w:r>
      <w:r>
        <w:rPr>
          <w:rFonts w:ascii="Arial" w:hAnsi="Arial" w:cs="Arial"/>
        </w:rPr>
        <w:t>ontribution.</w:t>
      </w:r>
      <w:r w:rsidR="00DA0BDB">
        <w:rPr>
          <w:rFonts w:ascii="Arial" w:hAnsi="Arial" w:cs="Arial"/>
        </w:rPr>
        <w:t xml:space="preserve"> If the parties </w:t>
      </w:r>
      <w:r w:rsidR="0045419C">
        <w:rPr>
          <w:rFonts w:ascii="Arial" w:hAnsi="Arial" w:cs="Arial"/>
        </w:rPr>
        <w:t>fail</w:t>
      </w:r>
      <w:r w:rsidR="00012F2F">
        <w:rPr>
          <w:rFonts w:ascii="Arial" w:hAnsi="Arial" w:cs="Arial"/>
        </w:rPr>
        <w:t xml:space="preserve"> </w:t>
      </w:r>
      <w:r w:rsidR="00EE4887">
        <w:rPr>
          <w:rFonts w:ascii="Arial" w:hAnsi="Arial" w:cs="Arial"/>
        </w:rPr>
        <w:t>to reach an a</w:t>
      </w:r>
      <w:r w:rsidR="00F047C5">
        <w:rPr>
          <w:rFonts w:ascii="Arial" w:hAnsi="Arial" w:cs="Arial"/>
        </w:rPr>
        <w:t>greement on the extension of the County contribution</w:t>
      </w:r>
      <w:r w:rsidR="000270B8">
        <w:rPr>
          <w:rFonts w:ascii="Arial" w:hAnsi="Arial" w:cs="Arial"/>
        </w:rPr>
        <w:t xml:space="preserve"> beyond the initial five-year term, and if the broader agreement is extended, then the County contribution </w:t>
      </w:r>
      <w:r w:rsidR="00333D1B">
        <w:rPr>
          <w:rFonts w:ascii="Arial" w:hAnsi="Arial" w:cs="Arial"/>
        </w:rPr>
        <w:t xml:space="preserve">would </w:t>
      </w:r>
      <w:r w:rsidR="0066670B">
        <w:rPr>
          <w:rFonts w:ascii="Arial" w:hAnsi="Arial" w:cs="Arial"/>
        </w:rPr>
        <w:t xml:space="preserve">phase out under the following schedule: </w:t>
      </w:r>
      <w:r w:rsidR="00333D1B">
        <w:rPr>
          <w:rFonts w:ascii="Arial" w:hAnsi="Arial" w:cs="Arial"/>
        </w:rPr>
        <w:t>$872,269.33</w:t>
      </w:r>
      <w:r w:rsidR="002D486C">
        <w:rPr>
          <w:rFonts w:ascii="Arial" w:hAnsi="Arial" w:cs="Arial"/>
        </w:rPr>
        <w:t xml:space="preserve"> annually</w:t>
      </w:r>
      <w:r w:rsidR="0066670B">
        <w:rPr>
          <w:rFonts w:ascii="Arial" w:hAnsi="Arial" w:cs="Arial"/>
        </w:rPr>
        <w:t xml:space="preserve"> for 2025-2027 and $0</w:t>
      </w:r>
      <w:r w:rsidR="007649CA">
        <w:rPr>
          <w:rFonts w:ascii="Arial" w:hAnsi="Arial" w:cs="Arial"/>
        </w:rPr>
        <w:t xml:space="preserve"> for 2028 and beyond. </w:t>
      </w:r>
      <w:r w:rsidR="00554013">
        <w:rPr>
          <w:rFonts w:ascii="Arial" w:hAnsi="Arial" w:cs="Arial"/>
        </w:rPr>
        <w:t>According to Metro staff, the proposed agreement would exempt the City from paying for certain overhead charges</w:t>
      </w:r>
      <w:r w:rsidR="008E7A5D">
        <w:rPr>
          <w:rFonts w:ascii="Arial" w:hAnsi="Arial" w:cs="Arial"/>
        </w:rPr>
        <w:t xml:space="preserve">, as well as provide a cap on overhead, </w:t>
      </w:r>
      <w:r w:rsidR="00554013">
        <w:rPr>
          <w:rFonts w:ascii="Arial" w:hAnsi="Arial" w:cs="Arial"/>
        </w:rPr>
        <w:t>should the County contribution phase out in 2028</w:t>
      </w:r>
      <w:r w:rsidR="008E7A5D">
        <w:rPr>
          <w:rFonts w:ascii="Arial" w:hAnsi="Arial" w:cs="Arial"/>
        </w:rPr>
        <w:t>.</w:t>
      </w:r>
      <w:r w:rsidR="002D486C">
        <w:rPr>
          <w:rFonts w:ascii="Arial" w:hAnsi="Arial" w:cs="Arial"/>
        </w:rPr>
        <w:t xml:space="preserve"> </w:t>
      </w:r>
    </w:p>
    <w:p w14:paraId="340B39BE" w14:textId="77777777" w:rsidR="004B263A" w:rsidRDefault="004B263A" w:rsidP="009345C0">
      <w:pPr>
        <w:pStyle w:val="ListParagraph0"/>
        <w:numPr>
          <w:ilvl w:val="0"/>
          <w:numId w:val="3"/>
        </w:numPr>
        <w:jc w:val="both"/>
        <w:rPr>
          <w:rFonts w:ascii="Arial" w:hAnsi="Arial" w:cs="Arial"/>
        </w:rPr>
      </w:pPr>
      <w:r>
        <w:rPr>
          <w:rFonts w:ascii="Arial" w:hAnsi="Arial" w:cs="Arial"/>
          <w:b/>
        </w:rPr>
        <w:t>Safety and Security</w:t>
      </w:r>
      <w:r w:rsidR="003C2E23">
        <w:rPr>
          <w:rStyle w:val="FootnoteReference"/>
          <w:rFonts w:ascii="Arial" w:hAnsi="Arial" w:cs="Arial"/>
          <w:b/>
        </w:rPr>
        <w:footnoteReference w:id="19"/>
      </w:r>
      <w:r>
        <w:rPr>
          <w:rFonts w:ascii="Arial" w:hAnsi="Arial" w:cs="Arial"/>
          <w:b/>
        </w:rPr>
        <w:t>:</w:t>
      </w:r>
      <w:r>
        <w:rPr>
          <w:rFonts w:ascii="Arial" w:hAnsi="Arial" w:cs="Arial"/>
        </w:rPr>
        <w:t xml:space="preserve"> Under the new agreement, the County would be responsible for developing, maintaining, and implementing the System Safety Program Plan for the streetcar system in a manner compliant with the Washington State Rail Safety Oversight Program (</w:t>
      </w:r>
      <w:r w:rsidR="00B57C88">
        <w:rPr>
          <w:rFonts w:ascii="Arial" w:hAnsi="Arial" w:cs="Arial"/>
        </w:rPr>
        <w:t>“</w:t>
      </w:r>
      <w:r>
        <w:rPr>
          <w:rFonts w:ascii="Arial" w:hAnsi="Arial" w:cs="Arial"/>
        </w:rPr>
        <w:t>WSRSOP</w:t>
      </w:r>
      <w:r w:rsidR="00B57C88">
        <w:rPr>
          <w:rFonts w:ascii="Arial" w:hAnsi="Arial" w:cs="Arial"/>
        </w:rPr>
        <w:t>”</w:t>
      </w:r>
      <w:r>
        <w:rPr>
          <w:rFonts w:ascii="Arial" w:hAnsi="Arial" w:cs="Arial"/>
        </w:rPr>
        <w:t>) standard and federal requirements. The County would also be responsible for conducting accident investigations and providing any notifications and reports required by the WSRSOP standard</w:t>
      </w:r>
      <w:r w:rsidR="00B57C88">
        <w:rPr>
          <w:rFonts w:ascii="Arial" w:hAnsi="Arial" w:cs="Arial"/>
        </w:rPr>
        <w:t>s</w:t>
      </w:r>
      <w:r>
        <w:rPr>
          <w:rFonts w:ascii="Arial" w:hAnsi="Arial" w:cs="Arial"/>
        </w:rPr>
        <w:t>.</w:t>
      </w:r>
    </w:p>
    <w:p w14:paraId="2DB2EE9D" w14:textId="77777777" w:rsidR="00A61133" w:rsidRDefault="00A61133" w:rsidP="009345C0">
      <w:pPr>
        <w:pStyle w:val="ListParagraph0"/>
        <w:numPr>
          <w:ilvl w:val="0"/>
          <w:numId w:val="3"/>
        </w:numPr>
        <w:jc w:val="both"/>
        <w:rPr>
          <w:rFonts w:ascii="Arial" w:hAnsi="Arial" w:cs="Arial"/>
        </w:rPr>
      </w:pPr>
      <w:r>
        <w:rPr>
          <w:rFonts w:ascii="Arial" w:hAnsi="Arial" w:cs="Arial"/>
          <w:b/>
        </w:rPr>
        <w:t>Performance Standards</w:t>
      </w:r>
      <w:r w:rsidR="005F7A25">
        <w:rPr>
          <w:rStyle w:val="FootnoteReference"/>
          <w:rFonts w:ascii="Arial" w:hAnsi="Arial" w:cs="Arial"/>
          <w:b/>
        </w:rPr>
        <w:footnoteReference w:id="20"/>
      </w:r>
      <w:r w:rsidR="00B45F5C">
        <w:rPr>
          <w:rFonts w:ascii="Arial" w:hAnsi="Arial" w:cs="Arial"/>
          <w:b/>
        </w:rPr>
        <w:t xml:space="preserve">: </w:t>
      </w:r>
      <w:r w:rsidR="00B6401B">
        <w:rPr>
          <w:rFonts w:ascii="Arial" w:hAnsi="Arial" w:cs="Arial"/>
        </w:rPr>
        <w:t>At request of the City,</w:t>
      </w:r>
      <w:r w:rsidR="00CB36F1">
        <w:rPr>
          <w:rFonts w:ascii="Arial" w:hAnsi="Arial" w:cs="Arial"/>
        </w:rPr>
        <w:t xml:space="preserve"> a series of performance standards</w:t>
      </w:r>
      <w:r w:rsidR="00E3193A">
        <w:rPr>
          <w:rFonts w:ascii="Arial" w:hAnsi="Arial" w:cs="Arial"/>
        </w:rPr>
        <w:t xml:space="preserve"> </w:t>
      </w:r>
      <w:r w:rsidR="004153FF">
        <w:rPr>
          <w:rFonts w:ascii="Arial" w:hAnsi="Arial" w:cs="Arial"/>
        </w:rPr>
        <w:t>is included in the proposed agreement.</w:t>
      </w:r>
      <w:r w:rsidR="00ED4C7D">
        <w:rPr>
          <w:rFonts w:ascii="Arial" w:hAnsi="Arial" w:cs="Arial"/>
        </w:rPr>
        <w:t xml:space="preserve"> </w:t>
      </w:r>
      <w:r w:rsidR="00596E24">
        <w:rPr>
          <w:rFonts w:ascii="Arial" w:hAnsi="Arial" w:cs="Arial"/>
        </w:rPr>
        <w:t xml:space="preserve">Under the </w:t>
      </w:r>
      <w:r w:rsidR="00E9493E">
        <w:rPr>
          <w:rFonts w:ascii="Arial" w:hAnsi="Arial" w:cs="Arial"/>
        </w:rPr>
        <w:t>proposal</w:t>
      </w:r>
      <w:r w:rsidR="00596E24">
        <w:rPr>
          <w:rFonts w:ascii="Arial" w:hAnsi="Arial" w:cs="Arial"/>
        </w:rPr>
        <w:t>, there are no penalties associated with not meeting the performance standards.</w:t>
      </w:r>
    </w:p>
    <w:p w14:paraId="4478C68A" w14:textId="77777777" w:rsidR="004B263A" w:rsidRDefault="004B263A" w:rsidP="00660BEC">
      <w:pPr>
        <w:jc w:val="both"/>
        <w:rPr>
          <w:rFonts w:ascii="Arial" w:hAnsi="Arial" w:cs="Arial"/>
        </w:rPr>
      </w:pPr>
    </w:p>
    <w:p w14:paraId="68657D3D" w14:textId="77777777" w:rsidR="009F7D4E" w:rsidRDefault="009F7D4E" w:rsidP="00777E35">
      <w:pPr>
        <w:jc w:val="both"/>
        <w:rPr>
          <w:rFonts w:ascii="Arial" w:hAnsi="Arial" w:cs="Arial"/>
        </w:rPr>
      </w:pPr>
      <w:r>
        <w:rPr>
          <w:rFonts w:ascii="Arial" w:hAnsi="Arial" w:cs="Arial"/>
        </w:rPr>
        <w:t xml:space="preserve">The </w:t>
      </w:r>
      <w:r w:rsidR="00A927B9">
        <w:rPr>
          <w:rFonts w:ascii="Arial" w:hAnsi="Arial" w:cs="Arial"/>
        </w:rPr>
        <w:t>proposed agreement also includes provisions related to a dispute resolution process,</w:t>
      </w:r>
      <w:r w:rsidR="00963B83">
        <w:rPr>
          <w:rStyle w:val="FootnoteReference"/>
          <w:rFonts w:ascii="Arial" w:hAnsi="Arial" w:cs="Arial"/>
        </w:rPr>
        <w:footnoteReference w:id="21"/>
      </w:r>
      <w:r w:rsidR="00A927B9">
        <w:rPr>
          <w:rFonts w:ascii="Arial" w:hAnsi="Arial" w:cs="Arial"/>
        </w:rPr>
        <w:t xml:space="preserve"> indemnification</w:t>
      </w:r>
      <w:r w:rsidR="00BF44F5">
        <w:rPr>
          <w:rStyle w:val="FootnoteReference"/>
          <w:rFonts w:ascii="Arial" w:hAnsi="Arial" w:cs="Arial"/>
        </w:rPr>
        <w:footnoteReference w:id="22"/>
      </w:r>
      <w:r w:rsidR="00A927B9">
        <w:rPr>
          <w:rFonts w:ascii="Arial" w:hAnsi="Arial" w:cs="Arial"/>
        </w:rPr>
        <w:t xml:space="preserve"> and insurance</w:t>
      </w:r>
      <w:r w:rsidR="0015467B">
        <w:rPr>
          <w:rStyle w:val="FootnoteReference"/>
          <w:rFonts w:ascii="Arial" w:hAnsi="Arial" w:cs="Arial"/>
        </w:rPr>
        <w:footnoteReference w:id="23"/>
      </w:r>
      <w:r w:rsidR="00A927B9">
        <w:rPr>
          <w:rFonts w:ascii="Arial" w:hAnsi="Arial" w:cs="Arial"/>
        </w:rPr>
        <w:t xml:space="preserve"> requirements, </w:t>
      </w:r>
      <w:r w:rsidR="00054F6D">
        <w:rPr>
          <w:rFonts w:ascii="Arial" w:hAnsi="Arial" w:cs="Arial"/>
        </w:rPr>
        <w:t>hazardous substance</w:t>
      </w:r>
      <w:r w:rsidR="00BF44F5">
        <w:rPr>
          <w:rFonts w:ascii="Arial" w:hAnsi="Arial" w:cs="Arial"/>
        </w:rPr>
        <w:t>s</w:t>
      </w:r>
      <w:r w:rsidR="0034448D">
        <w:rPr>
          <w:rFonts w:ascii="Arial" w:hAnsi="Arial" w:cs="Arial"/>
        </w:rPr>
        <w:t>,</w:t>
      </w:r>
      <w:r w:rsidR="00054F6D">
        <w:rPr>
          <w:rStyle w:val="FootnoteReference"/>
          <w:rFonts w:ascii="Arial" w:hAnsi="Arial" w:cs="Arial"/>
        </w:rPr>
        <w:footnoteReference w:id="24"/>
      </w:r>
      <w:r w:rsidR="0034448D">
        <w:rPr>
          <w:rFonts w:ascii="Arial" w:hAnsi="Arial" w:cs="Arial"/>
        </w:rPr>
        <w:t xml:space="preserve"> among other items.</w:t>
      </w:r>
    </w:p>
    <w:p w14:paraId="18827696" w14:textId="77777777" w:rsidR="009F7D4E" w:rsidRDefault="009F7D4E" w:rsidP="00777E35">
      <w:pPr>
        <w:jc w:val="both"/>
        <w:rPr>
          <w:rFonts w:ascii="Arial" w:hAnsi="Arial" w:cs="Arial"/>
        </w:rPr>
      </w:pPr>
    </w:p>
    <w:p w14:paraId="600C21C5" w14:textId="77777777" w:rsidR="00777E35" w:rsidRDefault="00E64CFD" w:rsidP="00777E35">
      <w:pPr>
        <w:jc w:val="both"/>
        <w:rPr>
          <w:rFonts w:ascii="Arial" w:hAnsi="Arial" w:cs="Arial"/>
        </w:rPr>
      </w:pPr>
      <w:r>
        <w:rPr>
          <w:rFonts w:ascii="Arial" w:hAnsi="Arial" w:cs="Arial"/>
        </w:rPr>
        <w:t xml:space="preserve">Metro staff indicate that both the City and County experience has been that the 2014 agreement is cumbersome and that the proposed agreement represents a better, more </w:t>
      </w:r>
      <w:r>
        <w:rPr>
          <w:rFonts w:ascii="Arial" w:hAnsi="Arial" w:cs="Arial"/>
        </w:rPr>
        <w:lastRenderedPageBreak/>
        <w:t>efficient document.</w:t>
      </w:r>
      <w:r w:rsidR="00D4683C">
        <w:rPr>
          <w:rFonts w:ascii="Arial" w:hAnsi="Arial" w:cs="Arial"/>
        </w:rPr>
        <w:t xml:space="preserve"> </w:t>
      </w:r>
      <w:r w:rsidR="001654B3">
        <w:rPr>
          <w:rFonts w:ascii="Arial" w:hAnsi="Arial" w:cs="Arial"/>
        </w:rPr>
        <w:t>Specifically,</w:t>
      </w:r>
      <w:r w:rsidR="00D4683C">
        <w:rPr>
          <w:rFonts w:ascii="Arial" w:hAnsi="Arial" w:cs="Arial"/>
        </w:rPr>
        <w:t xml:space="preserve"> Metro </w:t>
      </w:r>
      <w:r w:rsidR="002475A0">
        <w:rPr>
          <w:rFonts w:ascii="Arial" w:hAnsi="Arial" w:cs="Arial"/>
        </w:rPr>
        <w:t xml:space="preserve">staff have highlighted </w:t>
      </w:r>
      <w:r w:rsidR="00D4683C">
        <w:rPr>
          <w:rFonts w:ascii="Arial" w:hAnsi="Arial" w:cs="Arial"/>
        </w:rPr>
        <w:t xml:space="preserve">the following </w:t>
      </w:r>
      <w:r w:rsidR="00777E35">
        <w:rPr>
          <w:rFonts w:ascii="Arial" w:hAnsi="Arial" w:cs="Arial"/>
        </w:rPr>
        <w:t>three significant improvements: (1) more proactive prediction and planning for costs; (2) addition of an annual Operation Plan developed by both parties that will allow greater coordination and oversight of operations; and (3) gained efficiencies by having the County take over major maintenance activities.</w:t>
      </w:r>
    </w:p>
    <w:p w14:paraId="4C787522" w14:textId="77777777" w:rsidR="009005FB" w:rsidRDefault="009005FB" w:rsidP="00777E35">
      <w:pPr>
        <w:jc w:val="both"/>
        <w:rPr>
          <w:rFonts w:ascii="Arial" w:hAnsi="Arial" w:cs="Arial"/>
        </w:rPr>
      </w:pPr>
    </w:p>
    <w:p w14:paraId="443268C7" w14:textId="77777777" w:rsidR="009005FB" w:rsidRDefault="009005FB" w:rsidP="00777E35">
      <w:pPr>
        <w:jc w:val="both"/>
        <w:rPr>
          <w:rFonts w:ascii="Arial" w:hAnsi="Arial" w:cs="Arial"/>
        </w:rPr>
      </w:pPr>
      <w:r>
        <w:rPr>
          <w:rFonts w:ascii="Arial" w:hAnsi="Arial" w:cs="Arial"/>
          <w:i/>
        </w:rPr>
        <w:t xml:space="preserve">Fiscal Impact. </w:t>
      </w:r>
      <w:r w:rsidR="00ED0E47">
        <w:rPr>
          <w:rFonts w:ascii="Arial" w:hAnsi="Arial" w:cs="Arial"/>
        </w:rPr>
        <w:t xml:space="preserve">According to the fiscal note, the agreement is projected to cost </w:t>
      </w:r>
      <w:r w:rsidR="000A3100">
        <w:rPr>
          <w:rFonts w:ascii="Arial" w:hAnsi="Arial" w:cs="Arial"/>
        </w:rPr>
        <w:t>approximately $12.3 million</w:t>
      </w:r>
      <w:r w:rsidR="00ED0E47">
        <w:rPr>
          <w:rFonts w:ascii="Arial" w:hAnsi="Arial" w:cs="Arial"/>
        </w:rPr>
        <w:t xml:space="preserve"> </w:t>
      </w:r>
      <w:r w:rsidR="00CD26DB">
        <w:rPr>
          <w:rFonts w:ascii="Arial" w:hAnsi="Arial" w:cs="Arial"/>
        </w:rPr>
        <w:t xml:space="preserve">for year 2020 </w:t>
      </w:r>
      <w:r w:rsidR="00ED0E47">
        <w:rPr>
          <w:rFonts w:ascii="Arial" w:hAnsi="Arial" w:cs="Arial"/>
        </w:rPr>
        <w:t>in the 2019-2020 biennium</w:t>
      </w:r>
      <w:r w:rsidR="003510DB">
        <w:rPr>
          <w:rFonts w:ascii="Arial" w:hAnsi="Arial" w:cs="Arial"/>
        </w:rPr>
        <w:t>,</w:t>
      </w:r>
      <w:r w:rsidR="00C84533">
        <w:rPr>
          <w:rStyle w:val="FootnoteReference"/>
          <w:rFonts w:ascii="Arial" w:hAnsi="Arial" w:cs="Arial"/>
        </w:rPr>
        <w:footnoteReference w:id="25"/>
      </w:r>
      <w:r w:rsidR="003510DB">
        <w:rPr>
          <w:rFonts w:ascii="Arial" w:hAnsi="Arial" w:cs="Arial"/>
        </w:rPr>
        <w:t xml:space="preserve"> </w:t>
      </w:r>
      <w:r w:rsidR="003603BC">
        <w:rPr>
          <w:rFonts w:ascii="Arial" w:hAnsi="Arial" w:cs="Arial"/>
        </w:rPr>
        <w:t xml:space="preserve">which </w:t>
      </w:r>
      <w:r w:rsidR="00B8644F">
        <w:rPr>
          <w:rFonts w:ascii="Arial" w:hAnsi="Arial" w:cs="Arial"/>
        </w:rPr>
        <w:t xml:space="preserve">is revenue-backed except for the </w:t>
      </w:r>
      <w:r w:rsidR="00284055">
        <w:rPr>
          <w:rFonts w:ascii="Arial" w:hAnsi="Arial" w:cs="Arial"/>
        </w:rPr>
        <w:t xml:space="preserve">$1.55 million </w:t>
      </w:r>
      <w:r w:rsidR="00B8644F">
        <w:rPr>
          <w:rFonts w:ascii="Arial" w:hAnsi="Arial" w:cs="Arial"/>
        </w:rPr>
        <w:t>County contribution portion.</w:t>
      </w:r>
      <w:r w:rsidR="003603BC">
        <w:rPr>
          <w:rFonts w:ascii="Arial" w:hAnsi="Arial" w:cs="Arial"/>
        </w:rPr>
        <w:t xml:space="preserve"> I</w:t>
      </w:r>
      <w:r w:rsidR="00E00BED">
        <w:rPr>
          <w:rFonts w:ascii="Arial" w:hAnsi="Arial" w:cs="Arial"/>
        </w:rPr>
        <w:t xml:space="preserve">n the 2021-2022 biennium, the agreement is </w:t>
      </w:r>
      <w:r w:rsidR="0067436B">
        <w:rPr>
          <w:rFonts w:ascii="Arial" w:hAnsi="Arial" w:cs="Arial"/>
        </w:rPr>
        <w:t>estimated to cost approximately $26.2 million</w:t>
      </w:r>
      <w:r w:rsidR="00FD0F7F">
        <w:rPr>
          <w:rFonts w:ascii="Arial" w:hAnsi="Arial" w:cs="Arial"/>
        </w:rPr>
        <w:t>, which is revenue backed less the scheduled County contribution</w:t>
      </w:r>
      <w:r w:rsidR="000931D1">
        <w:rPr>
          <w:rFonts w:ascii="Arial" w:hAnsi="Arial" w:cs="Arial"/>
        </w:rPr>
        <w:t xml:space="preserve"> of </w:t>
      </w:r>
      <w:r w:rsidR="00B941D5">
        <w:rPr>
          <w:rFonts w:ascii="Arial" w:hAnsi="Arial" w:cs="Arial"/>
        </w:rPr>
        <w:t>approximately $3.24 million</w:t>
      </w:r>
      <w:r w:rsidR="00FD0F7F">
        <w:rPr>
          <w:rFonts w:ascii="Arial" w:hAnsi="Arial" w:cs="Arial"/>
        </w:rPr>
        <w:t xml:space="preserve">. </w:t>
      </w:r>
      <w:r w:rsidR="0073201E">
        <w:rPr>
          <w:rFonts w:ascii="Arial" w:hAnsi="Arial" w:cs="Arial"/>
        </w:rPr>
        <w:t xml:space="preserve">The proposed </w:t>
      </w:r>
      <w:r w:rsidR="002270B3">
        <w:rPr>
          <w:rFonts w:ascii="Arial" w:hAnsi="Arial" w:cs="Arial"/>
        </w:rPr>
        <w:t xml:space="preserve">County </w:t>
      </w:r>
      <w:r w:rsidR="0073201E">
        <w:rPr>
          <w:rFonts w:ascii="Arial" w:hAnsi="Arial" w:cs="Arial"/>
        </w:rPr>
        <w:t xml:space="preserve">contribution schedule </w:t>
      </w:r>
      <w:r w:rsidR="001D225C">
        <w:rPr>
          <w:rFonts w:ascii="Arial" w:hAnsi="Arial" w:cs="Arial"/>
        </w:rPr>
        <w:t xml:space="preserve">under the initial term of the agreement </w:t>
      </w:r>
      <w:r w:rsidR="0073201E">
        <w:rPr>
          <w:rFonts w:ascii="Arial" w:hAnsi="Arial" w:cs="Arial"/>
        </w:rPr>
        <w:t xml:space="preserve">is provided in Table </w:t>
      </w:r>
      <w:r w:rsidR="00BF01C4">
        <w:rPr>
          <w:rFonts w:ascii="Arial" w:hAnsi="Arial" w:cs="Arial"/>
        </w:rPr>
        <w:t>1</w:t>
      </w:r>
      <w:r w:rsidR="0073201E">
        <w:rPr>
          <w:rFonts w:ascii="Arial" w:hAnsi="Arial" w:cs="Arial"/>
        </w:rPr>
        <w:t xml:space="preserve"> below. </w:t>
      </w:r>
    </w:p>
    <w:p w14:paraId="5CEA6273" w14:textId="77777777" w:rsidR="002270B3" w:rsidRDefault="002270B3" w:rsidP="00777E35">
      <w:pPr>
        <w:jc w:val="both"/>
        <w:rPr>
          <w:rFonts w:ascii="Arial" w:hAnsi="Arial" w:cs="Arial"/>
        </w:rPr>
      </w:pPr>
    </w:p>
    <w:p w14:paraId="26CFAC8C" w14:textId="77777777" w:rsidR="002270B3" w:rsidRDefault="002270B3" w:rsidP="002270B3">
      <w:pPr>
        <w:jc w:val="center"/>
        <w:rPr>
          <w:rFonts w:ascii="Arial" w:hAnsi="Arial" w:cs="Arial"/>
          <w:b/>
        </w:rPr>
      </w:pPr>
      <w:r>
        <w:rPr>
          <w:rFonts w:ascii="Arial" w:hAnsi="Arial" w:cs="Arial"/>
          <w:b/>
        </w:rPr>
        <w:t xml:space="preserve">Table </w:t>
      </w:r>
      <w:r w:rsidR="00BF01C4">
        <w:rPr>
          <w:rFonts w:ascii="Arial" w:hAnsi="Arial" w:cs="Arial"/>
          <w:b/>
        </w:rPr>
        <w:t>1</w:t>
      </w:r>
      <w:r>
        <w:rPr>
          <w:rFonts w:ascii="Arial" w:hAnsi="Arial" w:cs="Arial"/>
          <w:b/>
        </w:rPr>
        <w:t>. Proposed County Contribution Schedule</w:t>
      </w:r>
      <w:r w:rsidR="00003AB6">
        <w:rPr>
          <w:rFonts w:ascii="Arial" w:hAnsi="Arial" w:cs="Arial"/>
          <w:b/>
        </w:rPr>
        <w:t xml:space="preserve"> Under Initial Contract Term</w:t>
      </w:r>
    </w:p>
    <w:p w14:paraId="081B3760" w14:textId="77777777" w:rsidR="00573238" w:rsidRDefault="00573238" w:rsidP="002270B3">
      <w:pPr>
        <w:jc w:val="center"/>
        <w:rPr>
          <w:rFonts w:ascii="Arial" w:hAnsi="Arial" w:cs="Arial"/>
          <w:b/>
        </w:rPr>
      </w:pPr>
    </w:p>
    <w:tbl>
      <w:tblPr>
        <w:tblW w:w="5207" w:type="dxa"/>
        <w:jc w:val="center"/>
        <w:tblLayout w:type="fixed"/>
        <w:tblLook w:val="04A0" w:firstRow="1" w:lastRow="0" w:firstColumn="1" w:lastColumn="0" w:noHBand="0" w:noVBand="1"/>
      </w:tblPr>
      <w:tblGrid>
        <w:gridCol w:w="2048"/>
        <w:gridCol w:w="3159"/>
      </w:tblGrid>
      <w:tr w:rsidR="00E56EBB" w:rsidRPr="00573238" w14:paraId="6288C28F" w14:textId="77777777" w:rsidTr="00E56EBB">
        <w:trPr>
          <w:trHeight w:val="525"/>
          <w:tblHeader/>
          <w:jc w:val="center"/>
        </w:trPr>
        <w:tc>
          <w:tcPr>
            <w:tcW w:w="2048" w:type="dxa"/>
            <w:tcBorders>
              <w:top w:val="single" w:sz="4" w:space="0" w:color="auto"/>
              <w:left w:val="single" w:sz="4" w:space="0" w:color="auto"/>
              <w:bottom w:val="single" w:sz="4" w:space="0" w:color="auto"/>
              <w:right w:val="single" w:sz="4" w:space="0" w:color="auto"/>
            </w:tcBorders>
            <w:shd w:val="clear" w:color="000000" w:fill="000000"/>
            <w:vAlign w:val="bottom"/>
          </w:tcPr>
          <w:p w14:paraId="1728206A" w14:textId="77777777" w:rsidR="00E56EBB" w:rsidRPr="00573238" w:rsidRDefault="00E56EBB" w:rsidP="00F45580">
            <w:pPr>
              <w:jc w:val="center"/>
              <w:rPr>
                <w:rFonts w:ascii="Arial" w:hAnsi="Arial" w:cs="Arial"/>
                <w:b/>
                <w:bCs/>
                <w:color w:val="FFFFFF"/>
                <w:szCs w:val="24"/>
              </w:rPr>
            </w:pPr>
            <w:r>
              <w:rPr>
                <w:rFonts w:ascii="Arial" w:hAnsi="Arial" w:cs="Arial"/>
                <w:b/>
                <w:bCs/>
                <w:color w:val="FFFFFF"/>
                <w:szCs w:val="24"/>
              </w:rPr>
              <w:t>Year</w:t>
            </w:r>
          </w:p>
        </w:tc>
        <w:tc>
          <w:tcPr>
            <w:tcW w:w="315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970415F" w14:textId="77777777" w:rsidR="00E56EBB" w:rsidRPr="00573238" w:rsidRDefault="00B23B70" w:rsidP="00F45580">
            <w:pPr>
              <w:jc w:val="center"/>
              <w:rPr>
                <w:rFonts w:ascii="Arial" w:hAnsi="Arial" w:cs="Arial"/>
                <w:b/>
                <w:bCs/>
                <w:color w:val="FFFFFF"/>
                <w:szCs w:val="24"/>
              </w:rPr>
            </w:pPr>
            <w:r>
              <w:rPr>
                <w:rFonts w:ascii="Arial" w:hAnsi="Arial" w:cs="Arial"/>
                <w:b/>
                <w:bCs/>
                <w:color w:val="FFFFFF"/>
                <w:szCs w:val="24"/>
              </w:rPr>
              <w:t xml:space="preserve">Proposed </w:t>
            </w:r>
            <w:r w:rsidR="00E56EBB">
              <w:rPr>
                <w:rFonts w:ascii="Arial" w:hAnsi="Arial" w:cs="Arial"/>
                <w:b/>
                <w:bCs/>
                <w:color w:val="FFFFFF"/>
                <w:szCs w:val="24"/>
              </w:rPr>
              <w:t>County Contribution Amount</w:t>
            </w:r>
          </w:p>
        </w:tc>
      </w:tr>
      <w:tr w:rsidR="00E56EBB" w:rsidRPr="00573238" w14:paraId="1435794E" w14:textId="77777777" w:rsidTr="00E56EBB">
        <w:trPr>
          <w:trHeight w:val="300"/>
          <w:jc w:val="center"/>
        </w:trPr>
        <w:tc>
          <w:tcPr>
            <w:tcW w:w="2048" w:type="dxa"/>
            <w:tcBorders>
              <w:top w:val="single" w:sz="4" w:space="0" w:color="auto"/>
              <w:left w:val="single" w:sz="4" w:space="0" w:color="auto"/>
              <w:bottom w:val="single" w:sz="4" w:space="0" w:color="auto"/>
              <w:right w:val="single" w:sz="4" w:space="0" w:color="auto"/>
            </w:tcBorders>
            <w:vAlign w:val="center"/>
          </w:tcPr>
          <w:p w14:paraId="339CDB44" w14:textId="77777777" w:rsidR="00E56EBB" w:rsidRPr="00573238" w:rsidRDefault="00E56EBB" w:rsidP="00E56EBB">
            <w:pPr>
              <w:jc w:val="center"/>
              <w:rPr>
                <w:rFonts w:ascii="Arial" w:hAnsi="Arial" w:cs="Arial"/>
                <w:color w:val="000000"/>
                <w:szCs w:val="24"/>
              </w:rPr>
            </w:pPr>
            <w:r>
              <w:rPr>
                <w:rFonts w:ascii="Arial" w:hAnsi="Arial" w:cs="Arial"/>
                <w:color w:val="000000"/>
                <w:szCs w:val="24"/>
              </w:rPr>
              <w:t>2020</w:t>
            </w:r>
          </w:p>
        </w:tc>
        <w:tc>
          <w:tcPr>
            <w:tcW w:w="3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48816" w14:textId="77777777" w:rsidR="00E56EBB" w:rsidRPr="00573238" w:rsidRDefault="00D37B2F" w:rsidP="00F45580">
            <w:pPr>
              <w:jc w:val="center"/>
              <w:rPr>
                <w:rFonts w:ascii="Arial" w:hAnsi="Arial" w:cs="Arial"/>
                <w:color w:val="000000"/>
                <w:szCs w:val="24"/>
              </w:rPr>
            </w:pPr>
            <w:r>
              <w:rPr>
                <w:rFonts w:ascii="Arial" w:hAnsi="Arial" w:cs="Arial"/>
                <w:color w:val="000000"/>
                <w:szCs w:val="24"/>
              </w:rPr>
              <w:t>$1,550,000</w:t>
            </w:r>
            <w:r w:rsidR="00850B5C">
              <w:rPr>
                <w:rFonts w:ascii="Arial" w:hAnsi="Arial" w:cs="Arial"/>
                <w:color w:val="000000"/>
                <w:szCs w:val="24"/>
              </w:rPr>
              <w:t>.00</w:t>
            </w:r>
          </w:p>
        </w:tc>
      </w:tr>
      <w:tr w:rsidR="00E56EBB" w:rsidRPr="00573238" w14:paraId="6CE89133" w14:textId="77777777" w:rsidTr="00E56EBB">
        <w:trPr>
          <w:trHeight w:val="300"/>
          <w:jc w:val="center"/>
        </w:trPr>
        <w:tc>
          <w:tcPr>
            <w:tcW w:w="2048" w:type="dxa"/>
            <w:tcBorders>
              <w:top w:val="single" w:sz="4" w:space="0" w:color="auto"/>
              <w:left w:val="single" w:sz="4" w:space="0" w:color="auto"/>
              <w:bottom w:val="single" w:sz="4" w:space="0" w:color="auto"/>
              <w:right w:val="single" w:sz="4" w:space="0" w:color="auto"/>
            </w:tcBorders>
            <w:vAlign w:val="center"/>
          </w:tcPr>
          <w:p w14:paraId="627B597C" w14:textId="77777777" w:rsidR="00E56EBB" w:rsidRPr="00573238" w:rsidRDefault="00E56EBB" w:rsidP="00E56EBB">
            <w:pPr>
              <w:jc w:val="center"/>
              <w:rPr>
                <w:rFonts w:ascii="Arial" w:hAnsi="Arial" w:cs="Arial"/>
                <w:color w:val="000000"/>
                <w:szCs w:val="24"/>
              </w:rPr>
            </w:pPr>
            <w:r>
              <w:rPr>
                <w:rFonts w:ascii="Arial" w:hAnsi="Arial" w:cs="Arial"/>
                <w:color w:val="000000"/>
                <w:szCs w:val="24"/>
              </w:rPr>
              <w:t>2021</w:t>
            </w:r>
          </w:p>
        </w:tc>
        <w:tc>
          <w:tcPr>
            <w:tcW w:w="3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4D412" w14:textId="77777777" w:rsidR="00E56EBB" w:rsidRPr="00573238" w:rsidRDefault="00850B5C" w:rsidP="00F45580">
            <w:pPr>
              <w:jc w:val="center"/>
              <w:rPr>
                <w:rFonts w:ascii="Arial" w:hAnsi="Arial" w:cs="Arial"/>
                <w:color w:val="000000"/>
                <w:szCs w:val="24"/>
              </w:rPr>
            </w:pPr>
            <w:r>
              <w:rPr>
                <w:rFonts w:ascii="Arial" w:hAnsi="Arial" w:cs="Arial"/>
                <w:color w:val="000000"/>
                <w:szCs w:val="24"/>
              </w:rPr>
              <w:t>$1,596,500.00</w:t>
            </w:r>
          </w:p>
        </w:tc>
      </w:tr>
      <w:tr w:rsidR="00E56EBB" w:rsidRPr="00573238" w14:paraId="57C12798" w14:textId="77777777" w:rsidTr="00E56EBB">
        <w:trPr>
          <w:trHeight w:val="300"/>
          <w:jc w:val="center"/>
        </w:trPr>
        <w:tc>
          <w:tcPr>
            <w:tcW w:w="2048" w:type="dxa"/>
            <w:tcBorders>
              <w:top w:val="single" w:sz="4" w:space="0" w:color="auto"/>
              <w:left w:val="single" w:sz="4" w:space="0" w:color="auto"/>
              <w:bottom w:val="single" w:sz="4" w:space="0" w:color="auto"/>
              <w:right w:val="single" w:sz="4" w:space="0" w:color="auto"/>
            </w:tcBorders>
            <w:vAlign w:val="center"/>
          </w:tcPr>
          <w:p w14:paraId="3117497D" w14:textId="77777777" w:rsidR="00E56EBB" w:rsidRPr="00573238" w:rsidRDefault="00E56EBB" w:rsidP="00E56EBB">
            <w:pPr>
              <w:jc w:val="center"/>
              <w:rPr>
                <w:rFonts w:ascii="Arial" w:hAnsi="Arial" w:cs="Arial"/>
                <w:color w:val="000000"/>
                <w:szCs w:val="24"/>
              </w:rPr>
            </w:pPr>
            <w:r>
              <w:rPr>
                <w:rFonts w:ascii="Arial" w:hAnsi="Arial" w:cs="Arial"/>
                <w:color w:val="000000"/>
                <w:szCs w:val="24"/>
              </w:rPr>
              <w:t>2022</w:t>
            </w:r>
          </w:p>
        </w:tc>
        <w:tc>
          <w:tcPr>
            <w:tcW w:w="3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B12E7" w14:textId="77777777" w:rsidR="00E56EBB" w:rsidRPr="00573238" w:rsidRDefault="00850B5C" w:rsidP="00F45580">
            <w:pPr>
              <w:jc w:val="center"/>
              <w:rPr>
                <w:rFonts w:ascii="Arial" w:hAnsi="Arial" w:cs="Arial"/>
                <w:color w:val="000000"/>
                <w:szCs w:val="24"/>
              </w:rPr>
            </w:pPr>
            <w:r>
              <w:rPr>
                <w:rFonts w:ascii="Arial" w:hAnsi="Arial" w:cs="Arial"/>
                <w:color w:val="000000"/>
                <w:szCs w:val="24"/>
              </w:rPr>
              <w:t>$1,644,395.00</w:t>
            </w:r>
          </w:p>
        </w:tc>
      </w:tr>
      <w:tr w:rsidR="00E56EBB" w:rsidRPr="00573238" w14:paraId="62C20AC9" w14:textId="77777777" w:rsidTr="00E56EBB">
        <w:trPr>
          <w:trHeight w:val="300"/>
          <w:jc w:val="center"/>
        </w:trPr>
        <w:tc>
          <w:tcPr>
            <w:tcW w:w="2048" w:type="dxa"/>
            <w:tcBorders>
              <w:top w:val="single" w:sz="4" w:space="0" w:color="auto"/>
              <w:left w:val="single" w:sz="4" w:space="0" w:color="auto"/>
              <w:bottom w:val="single" w:sz="4" w:space="0" w:color="auto"/>
              <w:right w:val="single" w:sz="4" w:space="0" w:color="auto"/>
            </w:tcBorders>
            <w:vAlign w:val="center"/>
          </w:tcPr>
          <w:p w14:paraId="2818DFD7" w14:textId="77777777" w:rsidR="00E56EBB" w:rsidRPr="00573238" w:rsidRDefault="00E56EBB" w:rsidP="00E56EBB">
            <w:pPr>
              <w:jc w:val="center"/>
              <w:rPr>
                <w:rFonts w:ascii="Arial" w:hAnsi="Arial" w:cs="Arial"/>
                <w:color w:val="000000"/>
                <w:szCs w:val="24"/>
              </w:rPr>
            </w:pPr>
            <w:r>
              <w:rPr>
                <w:rFonts w:ascii="Arial" w:hAnsi="Arial" w:cs="Arial"/>
                <w:color w:val="000000"/>
                <w:szCs w:val="24"/>
              </w:rPr>
              <w:t>2023</w:t>
            </w:r>
          </w:p>
        </w:tc>
        <w:tc>
          <w:tcPr>
            <w:tcW w:w="3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0AFA" w14:textId="77777777" w:rsidR="00E56EBB" w:rsidRPr="00573238" w:rsidRDefault="00850B5C" w:rsidP="00F45580">
            <w:pPr>
              <w:jc w:val="center"/>
              <w:rPr>
                <w:rFonts w:ascii="Arial" w:hAnsi="Arial" w:cs="Arial"/>
                <w:color w:val="000000"/>
                <w:szCs w:val="24"/>
              </w:rPr>
            </w:pPr>
            <w:r>
              <w:rPr>
                <w:rFonts w:ascii="Arial" w:hAnsi="Arial" w:cs="Arial"/>
                <w:color w:val="000000"/>
                <w:szCs w:val="24"/>
              </w:rPr>
              <w:t>$1,</w:t>
            </w:r>
            <w:r w:rsidR="0017665D">
              <w:rPr>
                <w:rFonts w:ascii="Arial" w:hAnsi="Arial" w:cs="Arial"/>
                <w:color w:val="000000"/>
                <w:szCs w:val="24"/>
              </w:rPr>
              <w:t>693,726.85</w:t>
            </w:r>
          </w:p>
        </w:tc>
      </w:tr>
      <w:tr w:rsidR="00E56EBB" w:rsidRPr="00573238" w14:paraId="5CD2E231" w14:textId="77777777" w:rsidTr="00E56EBB">
        <w:trPr>
          <w:trHeight w:val="300"/>
          <w:jc w:val="center"/>
        </w:trPr>
        <w:tc>
          <w:tcPr>
            <w:tcW w:w="2048" w:type="dxa"/>
            <w:tcBorders>
              <w:top w:val="single" w:sz="4" w:space="0" w:color="auto"/>
              <w:left w:val="single" w:sz="4" w:space="0" w:color="auto"/>
              <w:bottom w:val="single" w:sz="4" w:space="0" w:color="auto"/>
              <w:right w:val="single" w:sz="4" w:space="0" w:color="auto"/>
            </w:tcBorders>
            <w:vAlign w:val="center"/>
          </w:tcPr>
          <w:p w14:paraId="4924A56C" w14:textId="77777777" w:rsidR="00E56EBB" w:rsidRDefault="00E56EBB" w:rsidP="00E56EBB">
            <w:pPr>
              <w:jc w:val="center"/>
              <w:rPr>
                <w:rFonts w:ascii="Arial" w:hAnsi="Arial" w:cs="Arial"/>
                <w:color w:val="000000"/>
                <w:szCs w:val="24"/>
              </w:rPr>
            </w:pPr>
            <w:r>
              <w:rPr>
                <w:rFonts w:ascii="Arial" w:hAnsi="Arial" w:cs="Arial"/>
                <w:color w:val="000000"/>
                <w:szCs w:val="24"/>
              </w:rPr>
              <w:t>2024</w:t>
            </w:r>
          </w:p>
        </w:tc>
        <w:tc>
          <w:tcPr>
            <w:tcW w:w="3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B095C" w14:textId="77777777" w:rsidR="00E56EBB" w:rsidRPr="00573238" w:rsidRDefault="0017665D" w:rsidP="00F45580">
            <w:pPr>
              <w:jc w:val="center"/>
              <w:rPr>
                <w:rFonts w:ascii="Arial" w:hAnsi="Arial" w:cs="Arial"/>
                <w:color w:val="000000"/>
                <w:szCs w:val="24"/>
              </w:rPr>
            </w:pPr>
            <w:r>
              <w:rPr>
                <w:rFonts w:ascii="Arial" w:hAnsi="Arial" w:cs="Arial"/>
                <w:color w:val="000000"/>
                <w:szCs w:val="24"/>
              </w:rPr>
              <w:t>$1,744,538.66</w:t>
            </w:r>
          </w:p>
        </w:tc>
      </w:tr>
    </w:tbl>
    <w:p w14:paraId="213C4E7D" w14:textId="77777777" w:rsidR="00573238" w:rsidRDefault="00573238" w:rsidP="00676040">
      <w:pPr>
        <w:rPr>
          <w:rFonts w:ascii="Arial" w:hAnsi="Arial" w:cs="Arial"/>
          <w:b/>
        </w:rPr>
      </w:pPr>
    </w:p>
    <w:p w14:paraId="219BDF56" w14:textId="77777777" w:rsidR="00676040" w:rsidRDefault="007649CA" w:rsidP="00CD26DB">
      <w:pPr>
        <w:jc w:val="both"/>
        <w:rPr>
          <w:rFonts w:ascii="Arial" w:hAnsi="Arial" w:cs="Arial"/>
        </w:rPr>
      </w:pPr>
      <w:r>
        <w:rPr>
          <w:rFonts w:ascii="Arial" w:hAnsi="Arial" w:cs="Arial"/>
        </w:rPr>
        <w:t xml:space="preserve">As noted </w:t>
      </w:r>
      <w:r w:rsidR="00BF01C4">
        <w:rPr>
          <w:rFonts w:ascii="Arial" w:hAnsi="Arial" w:cs="Arial"/>
        </w:rPr>
        <w:t>in the summary of key terms</w:t>
      </w:r>
      <w:r>
        <w:rPr>
          <w:rFonts w:ascii="Arial" w:hAnsi="Arial" w:cs="Arial"/>
        </w:rPr>
        <w:t xml:space="preserve">, </w:t>
      </w:r>
      <w:r w:rsidR="00983B46">
        <w:rPr>
          <w:rFonts w:ascii="Arial" w:hAnsi="Arial" w:cs="Arial"/>
        </w:rPr>
        <w:t xml:space="preserve">the proposed agreement </w:t>
      </w:r>
      <w:r w:rsidR="007C17C0">
        <w:rPr>
          <w:rFonts w:ascii="Arial" w:hAnsi="Arial" w:cs="Arial"/>
        </w:rPr>
        <w:t>provides</w:t>
      </w:r>
      <w:r w:rsidR="00983B46">
        <w:rPr>
          <w:rFonts w:ascii="Arial" w:hAnsi="Arial" w:cs="Arial"/>
        </w:rPr>
        <w:t xml:space="preserve"> that </w:t>
      </w:r>
      <w:r>
        <w:rPr>
          <w:rFonts w:ascii="Arial" w:hAnsi="Arial" w:cs="Arial"/>
        </w:rPr>
        <w:t xml:space="preserve">if the term of the agreement is extended after the initial five-year term, the City and County may negotiate an extension to the County contribution. If the parties fail to reach an agreement on the extension of the County contribution beyond the initial five-year term, and if the broader agreement is extended, then the County contribution would phase out under the following schedule: $872,269.33 </w:t>
      </w:r>
      <w:r w:rsidR="007C17C0">
        <w:rPr>
          <w:rFonts w:ascii="Arial" w:hAnsi="Arial" w:cs="Arial"/>
        </w:rPr>
        <w:t xml:space="preserve">annually </w:t>
      </w:r>
      <w:r>
        <w:rPr>
          <w:rFonts w:ascii="Arial" w:hAnsi="Arial" w:cs="Arial"/>
        </w:rPr>
        <w:t>for 2025-2027 and $0 for 2028 and beyond.</w:t>
      </w:r>
    </w:p>
    <w:p w14:paraId="73D3BC7B" w14:textId="77777777" w:rsidR="00AC02D0" w:rsidRDefault="00AC02D0" w:rsidP="00DB0DF8">
      <w:pPr>
        <w:jc w:val="both"/>
        <w:rPr>
          <w:rFonts w:ascii="Arial" w:hAnsi="Arial" w:cs="Arial"/>
          <w:i/>
        </w:rPr>
      </w:pPr>
    </w:p>
    <w:p w14:paraId="21C54A89" w14:textId="4E9A0CB4" w:rsidR="00B75CB8" w:rsidRPr="00A54BB8" w:rsidRDefault="009005FB" w:rsidP="00B75CB8">
      <w:pPr>
        <w:jc w:val="both"/>
        <w:rPr>
          <w:rFonts w:ascii="Arial" w:hAnsi="Arial" w:cs="Arial"/>
        </w:rPr>
      </w:pPr>
      <w:r>
        <w:rPr>
          <w:rFonts w:ascii="Arial" w:hAnsi="Arial" w:cs="Arial"/>
          <w:i/>
        </w:rPr>
        <w:t xml:space="preserve">Legal Review. </w:t>
      </w:r>
      <w:r w:rsidR="00B75CB8">
        <w:rPr>
          <w:rFonts w:ascii="Arial" w:hAnsi="Arial" w:cs="Arial"/>
        </w:rPr>
        <w:t>The Council’s Legal Counsel reviewed the proposed agreement and worked with Metro and the City staff to develop Amendment 1.</w:t>
      </w:r>
    </w:p>
    <w:p w14:paraId="275D03C3" w14:textId="77777777" w:rsidR="00777E35" w:rsidRPr="009561EA" w:rsidRDefault="00777E35" w:rsidP="007727A2">
      <w:pPr>
        <w:jc w:val="both"/>
        <w:rPr>
          <w:rFonts w:ascii="Arial" w:hAnsi="Arial" w:cs="Arial"/>
        </w:rPr>
      </w:pPr>
    </w:p>
    <w:p w14:paraId="36661A05" w14:textId="77777777" w:rsidR="00961BD9" w:rsidRPr="00961BD9" w:rsidRDefault="0002460E" w:rsidP="0026669B">
      <w:pPr>
        <w:jc w:val="both"/>
        <w:rPr>
          <w:rFonts w:ascii="Arial" w:hAnsi="Arial" w:cs="Arial"/>
          <w:b/>
        </w:rPr>
      </w:pPr>
      <w:r>
        <w:rPr>
          <w:rFonts w:ascii="Arial" w:hAnsi="Arial" w:cs="Arial"/>
          <w:b/>
        </w:rPr>
        <w:t xml:space="preserve">Potential </w:t>
      </w:r>
      <w:r w:rsidR="00961BD9">
        <w:rPr>
          <w:rFonts w:ascii="Arial" w:hAnsi="Arial" w:cs="Arial"/>
          <w:b/>
        </w:rPr>
        <w:t xml:space="preserve">Policy Issues Identified by Council Staff </w:t>
      </w:r>
    </w:p>
    <w:p w14:paraId="060104EA" w14:textId="77777777" w:rsidR="00CA5AF6" w:rsidRDefault="00170219" w:rsidP="0026669B">
      <w:pPr>
        <w:jc w:val="both"/>
        <w:rPr>
          <w:rFonts w:ascii="Arial" w:hAnsi="Arial" w:cs="Arial"/>
        </w:rPr>
      </w:pPr>
      <w:r>
        <w:rPr>
          <w:rFonts w:ascii="Arial" w:hAnsi="Arial" w:cs="Arial"/>
        </w:rPr>
        <w:t xml:space="preserve">Council staff have identified </w:t>
      </w:r>
      <w:r w:rsidR="00AF0F6D">
        <w:rPr>
          <w:rFonts w:ascii="Arial" w:hAnsi="Arial" w:cs="Arial"/>
        </w:rPr>
        <w:t>three</w:t>
      </w:r>
      <w:r w:rsidR="0002460E">
        <w:rPr>
          <w:rFonts w:ascii="Arial" w:hAnsi="Arial" w:cs="Arial"/>
        </w:rPr>
        <w:t xml:space="preserve"> potential</w:t>
      </w:r>
      <w:r>
        <w:rPr>
          <w:rFonts w:ascii="Arial" w:hAnsi="Arial" w:cs="Arial"/>
        </w:rPr>
        <w:t xml:space="preserve"> policy issues for Councilmember consideration</w:t>
      </w:r>
      <w:r w:rsidR="00A912A6">
        <w:rPr>
          <w:rFonts w:ascii="Arial" w:hAnsi="Arial" w:cs="Arial"/>
        </w:rPr>
        <w:t xml:space="preserve">. </w:t>
      </w:r>
    </w:p>
    <w:p w14:paraId="70264957" w14:textId="77777777" w:rsidR="00CA5AF6" w:rsidRDefault="00CA5AF6" w:rsidP="0026669B">
      <w:pPr>
        <w:jc w:val="both"/>
        <w:rPr>
          <w:rFonts w:ascii="Arial" w:hAnsi="Arial" w:cs="Arial"/>
        </w:rPr>
      </w:pPr>
    </w:p>
    <w:p w14:paraId="07D881A0" w14:textId="77777777" w:rsidR="002751C8" w:rsidRDefault="000022A1" w:rsidP="0026669B">
      <w:pPr>
        <w:jc w:val="both"/>
        <w:rPr>
          <w:rFonts w:ascii="Arial" w:hAnsi="Arial" w:cs="Arial"/>
        </w:rPr>
      </w:pPr>
      <w:r>
        <w:rPr>
          <w:rFonts w:ascii="Arial" w:hAnsi="Arial" w:cs="Arial"/>
          <w:i/>
        </w:rPr>
        <w:t xml:space="preserve">Council </w:t>
      </w:r>
      <w:r w:rsidR="0060654F">
        <w:rPr>
          <w:rFonts w:ascii="Arial" w:hAnsi="Arial" w:cs="Arial"/>
          <w:i/>
        </w:rPr>
        <w:t>Authorization</w:t>
      </w:r>
      <w:r w:rsidR="000E321D">
        <w:rPr>
          <w:rFonts w:ascii="Arial" w:hAnsi="Arial" w:cs="Arial"/>
          <w:i/>
        </w:rPr>
        <w:t xml:space="preserve"> Requirements</w:t>
      </w:r>
      <w:r>
        <w:rPr>
          <w:rFonts w:ascii="Arial" w:hAnsi="Arial" w:cs="Arial"/>
          <w:i/>
        </w:rPr>
        <w:t xml:space="preserve">. </w:t>
      </w:r>
      <w:r w:rsidR="005248E8">
        <w:rPr>
          <w:rFonts w:ascii="Arial" w:hAnsi="Arial" w:cs="Arial"/>
        </w:rPr>
        <w:t xml:space="preserve">The current agreement </w:t>
      </w:r>
      <w:r w:rsidR="008B28F8">
        <w:rPr>
          <w:rFonts w:ascii="Arial" w:hAnsi="Arial" w:cs="Arial"/>
        </w:rPr>
        <w:t>expiring at the end of this year</w:t>
      </w:r>
      <w:r w:rsidR="005248E8">
        <w:rPr>
          <w:rFonts w:ascii="Arial" w:hAnsi="Arial" w:cs="Arial"/>
        </w:rPr>
        <w:t xml:space="preserve"> </w:t>
      </w:r>
      <w:r w:rsidR="00223CF9">
        <w:rPr>
          <w:rFonts w:ascii="Arial" w:hAnsi="Arial" w:cs="Arial"/>
        </w:rPr>
        <w:t xml:space="preserve">includes provisions requiring </w:t>
      </w:r>
      <w:r w:rsidR="00651C3F">
        <w:rPr>
          <w:rFonts w:ascii="Arial" w:hAnsi="Arial" w:cs="Arial"/>
        </w:rPr>
        <w:t>the</w:t>
      </w:r>
      <w:r w:rsidR="00223CF9">
        <w:rPr>
          <w:rFonts w:ascii="Arial" w:hAnsi="Arial" w:cs="Arial"/>
        </w:rPr>
        <w:t xml:space="preserve"> </w:t>
      </w:r>
      <w:r w:rsidR="001E0516">
        <w:rPr>
          <w:rFonts w:ascii="Arial" w:hAnsi="Arial" w:cs="Arial"/>
        </w:rPr>
        <w:t>C</w:t>
      </w:r>
      <w:r w:rsidR="007C1386">
        <w:rPr>
          <w:rFonts w:ascii="Arial" w:hAnsi="Arial" w:cs="Arial"/>
        </w:rPr>
        <w:t>ity and County Councils</w:t>
      </w:r>
      <w:r w:rsidR="00651C3F">
        <w:rPr>
          <w:rFonts w:ascii="Arial" w:hAnsi="Arial" w:cs="Arial"/>
        </w:rPr>
        <w:t xml:space="preserve"> </w:t>
      </w:r>
      <w:r w:rsidR="00223CF9">
        <w:rPr>
          <w:rFonts w:ascii="Arial" w:hAnsi="Arial" w:cs="Arial"/>
        </w:rPr>
        <w:t>to</w:t>
      </w:r>
      <w:r w:rsidR="007C1386">
        <w:rPr>
          <w:rFonts w:ascii="Arial" w:hAnsi="Arial" w:cs="Arial"/>
        </w:rPr>
        <w:t xml:space="preserve"> </w:t>
      </w:r>
      <w:r w:rsidR="00540148">
        <w:rPr>
          <w:rFonts w:ascii="Arial" w:hAnsi="Arial" w:cs="Arial"/>
        </w:rPr>
        <w:t>authorize</w:t>
      </w:r>
      <w:r w:rsidR="00F51DFD">
        <w:rPr>
          <w:rFonts w:ascii="Arial" w:hAnsi="Arial" w:cs="Arial"/>
        </w:rPr>
        <w:t xml:space="preserve"> </w:t>
      </w:r>
      <w:r w:rsidR="00B176B0">
        <w:rPr>
          <w:rFonts w:ascii="Arial" w:hAnsi="Arial" w:cs="Arial"/>
        </w:rPr>
        <w:t>by ordinance</w:t>
      </w:r>
      <w:r w:rsidR="00540148">
        <w:rPr>
          <w:rFonts w:ascii="Arial" w:hAnsi="Arial" w:cs="Arial"/>
        </w:rPr>
        <w:t xml:space="preserve"> </w:t>
      </w:r>
      <w:r w:rsidR="00F51DFD" w:rsidRPr="00603FE8">
        <w:rPr>
          <w:rFonts w:ascii="Arial" w:hAnsi="Arial" w:cs="Arial"/>
        </w:rPr>
        <w:t xml:space="preserve">any renewal or extension of </w:t>
      </w:r>
      <w:r w:rsidR="00C57E88" w:rsidRPr="00603FE8">
        <w:rPr>
          <w:rFonts w:ascii="Arial" w:hAnsi="Arial" w:cs="Arial"/>
        </w:rPr>
        <w:t>the agreement</w:t>
      </w:r>
      <w:r w:rsidR="00540148">
        <w:rPr>
          <w:rFonts w:ascii="Arial" w:hAnsi="Arial" w:cs="Arial"/>
        </w:rPr>
        <w:t xml:space="preserve">, as well as </w:t>
      </w:r>
      <w:r w:rsidR="00F636DF">
        <w:rPr>
          <w:rFonts w:ascii="Arial" w:hAnsi="Arial" w:cs="Arial"/>
        </w:rPr>
        <w:t xml:space="preserve">approve of </w:t>
      </w:r>
      <w:r w:rsidR="00016E5A" w:rsidRPr="00603FE8">
        <w:rPr>
          <w:rFonts w:ascii="Arial" w:hAnsi="Arial" w:cs="Arial"/>
        </w:rPr>
        <w:t>any new or extended streetcar line before it is placed in revenue passenger service</w:t>
      </w:r>
      <w:r w:rsidR="00540148">
        <w:rPr>
          <w:rFonts w:ascii="Arial" w:hAnsi="Arial" w:cs="Arial"/>
        </w:rPr>
        <w:t>.</w:t>
      </w:r>
      <w:r w:rsidR="00016E5A" w:rsidRPr="00603FE8">
        <w:rPr>
          <w:rFonts w:ascii="Arial" w:hAnsi="Arial" w:cs="Arial"/>
        </w:rPr>
        <w:t xml:space="preserve"> </w:t>
      </w:r>
      <w:r w:rsidR="002A2AAC" w:rsidRPr="00603FE8">
        <w:rPr>
          <w:rFonts w:ascii="Arial" w:hAnsi="Arial" w:cs="Arial"/>
        </w:rPr>
        <w:t>T</w:t>
      </w:r>
      <w:r w:rsidR="00016E5A" w:rsidRPr="00603FE8">
        <w:rPr>
          <w:rFonts w:ascii="Arial" w:hAnsi="Arial" w:cs="Arial"/>
        </w:rPr>
        <w:t xml:space="preserve">he proposed </w:t>
      </w:r>
      <w:r w:rsidR="00016E5A" w:rsidRPr="00603FE8">
        <w:rPr>
          <w:rFonts w:ascii="Arial" w:hAnsi="Arial" w:cs="Arial"/>
        </w:rPr>
        <w:lastRenderedPageBreak/>
        <w:t xml:space="preserve">agreement, </w:t>
      </w:r>
      <w:r w:rsidR="00651C3F" w:rsidRPr="00603FE8">
        <w:rPr>
          <w:rFonts w:ascii="Arial" w:hAnsi="Arial" w:cs="Arial"/>
        </w:rPr>
        <w:t>however,</w:t>
      </w:r>
      <w:r w:rsidR="00FB55FB" w:rsidRPr="00603FE8">
        <w:rPr>
          <w:rFonts w:ascii="Arial" w:hAnsi="Arial" w:cs="Arial"/>
        </w:rPr>
        <w:t xml:space="preserve"> </w:t>
      </w:r>
      <w:r w:rsidR="00F67FC3" w:rsidRPr="00603FE8">
        <w:rPr>
          <w:rFonts w:ascii="Arial" w:hAnsi="Arial" w:cs="Arial"/>
        </w:rPr>
        <w:t>does not</w:t>
      </w:r>
      <w:r w:rsidR="00457F24">
        <w:rPr>
          <w:rFonts w:ascii="Arial" w:hAnsi="Arial" w:cs="Arial"/>
        </w:rPr>
        <w:t xml:space="preserve"> require action by either Council</w:t>
      </w:r>
      <w:r w:rsidR="00366583">
        <w:rPr>
          <w:rFonts w:ascii="Arial" w:hAnsi="Arial" w:cs="Arial"/>
        </w:rPr>
        <w:t xml:space="preserve"> for agreement renewal or </w:t>
      </w:r>
      <w:r w:rsidR="004E0CAB">
        <w:rPr>
          <w:rFonts w:ascii="Arial" w:hAnsi="Arial" w:cs="Arial"/>
        </w:rPr>
        <w:t>system extension/expansion</w:t>
      </w:r>
      <w:r w:rsidR="001F1894">
        <w:rPr>
          <w:rFonts w:ascii="Arial" w:hAnsi="Arial" w:cs="Arial"/>
        </w:rPr>
        <w:t>. As previously described, the agreement w</w:t>
      </w:r>
      <w:r w:rsidR="00562BE4" w:rsidRPr="00603FE8">
        <w:rPr>
          <w:rFonts w:ascii="Arial" w:hAnsi="Arial" w:cs="Arial"/>
        </w:rPr>
        <w:t>ould automatically be extended for up to two additional five-year periods at the discretion of the Cit</w:t>
      </w:r>
      <w:r w:rsidR="002F0EB2" w:rsidRPr="00603FE8">
        <w:rPr>
          <w:rFonts w:ascii="Arial" w:hAnsi="Arial" w:cs="Arial"/>
        </w:rPr>
        <w:t>y</w:t>
      </w:r>
      <w:r w:rsidR="00A151D0">
        <w:rPr>
          <w:rFonts w:ascii="Arial" w:hAnsi="Arial" w:cs="Arial"/>
        </w:rPr>
        <w:t xml:space="preserve"> and</w:t>
      </w:r>
      <w:r w:rsidR="00F733C6">
        <w:rPr>
          <w:rFonts w:ascii="Arial" w:hAnsi="Arial" w:cs="Arial"/>
        </w:rPr>
        <w:t xml:space="preserve"> expan</w:t>
      </w:r>
      <w:r w:rsidR="004D3F2B">
        <w:rPr>
          <w:rFonts w:ascii="Arial" w:hAnsi="Arial" w:cs="Arial"/>
        </w:rPr>
        <w:t>sion of the streetcar</w:t>
      </w:r>
      <w:r w:rsidR="00F733C6">
        <w:rPr>
          <w:rFonts w:ascii="Arial" w:hAnsi="Arial" w:cs="Arial"/>
        </w:rPr>
        <w:t xml:space="preserve"> would be included in and subject to </w:t>
      </w:r>
      <w:r w:rsidR="002751C8" w:rsidRPr="00527D67">
        <w:rPr>
          <w:rFonts w:ascii="Arial" w:hAnsi="Arial" w:cs="Arial"/>
        </w:rPr>
        <w:t>all the terms of the agreement without the need for future legislative action “[p]</w:t>
      </w:r>
      <w:proofErr w:type="spellStart"/>
      <w:r w:rsidR="002751C8" w:rsidRPr="00527D67">
        <w:rPr>
          <w:rFonts w:ascii="Arial" w:hAnsi="Arial" w:cs="Arial"/>
        </w:rPr>
        <w:t>rovided</w:t>
      </w:r>
      <w:proofErr w:type="spellEnd"/>
      <w:r w:rsidR="002751C8" w:rsidRPr="00527D67">
        <w:rPr>
          <w:rFonts w:ascii="Arial" w:hAnsi="Arial" w:cs="Arial"/>
        </w:rPr>
        <w:t xml:space="preserve"> that the operation and maintenance of such expanded facilities does not materially alter the operational or financial relationship between the Parties.”</w:t>
      </w:r>
      <w:r w:rsidR="00953914">
        <w:rPr>
          <w:rStyle w:val="FootnoteReference"/>
          <w:rFonts w:ascii="Arial" w:hAnsi="Arial" w:cs="Arial"/>
        </w:rPr>
        <w:footnoteReference w:id="26"/>
      </w:r>
    </w:p>
    <w:p w14:paraId="17F183B6" w14:textId="77777777" w:rsidR="00953914" w:rsidRDefault="00953914" w:rsidP="0026669B">
      <w:pPr>
        <w:jc w:val="both"/>
        <w:rPr>
          <w:rFonts w:ascii="Arial" w:hAnsi="Arial" w:cs="Arial"/>
        </w:rPr>
      </w:pPr>
    </w:p>
    <w:p w14:paraId="27569384" w14:textId="77777777" w:rsidR="00953914" w:rsidRDefault="00D170FD" w:rsidP="0026669B">
      <w:pPr>
        <w:jc w:val="both"/>
        <w:rPr>
          <w:rFonts w:ascii="Arial" w:hAnsi="Arial" w:cs="Arial"/>
        </w:rPr>
      </w:pPr>
      <w:r>
        <w:rPr>
          <w:rFonts w:ascii="Arial" w:hAnsi="Arial" w:cs="Arial"/>
        </w:rPr>
        <w:t xml:space="preserve">When asked about the </w:t>
      </w:r>
      <w:r w:rsidR="00BA4208">
        <w:rPr>
          <w:rFonts w:ascii="Arial" w:hAnsi="Arial" w:cs="Arial"/>
        </w:rPr>
        <w:t>rationale for these changes, Metro staff indicated that the proposed agreement was designed to allow for easy incorporation of new and expanded streetcar service and facilities contingent upon there being no major changes to the duties or responsibilities of either party</w:t>
      </w:r>
      <w:r w:rsidR="0080448D">
        <w:rPr>
          <w:rFonts w:ascii="Arial" w:hAnsi="Arial" w:cs="Arial"/>
        </w:rPr>
        <w:t>.</w:t>
      </w:r>
    </w:p>
    <w:p w14:paraId="3F6603D9" w14:textId="77777777" w:rsidR="00CC3458" w:rsidRDefault="00CC3458" w:rsidP="0026669B">
      <w:pPr>
        <w:jc w:val="both"/>
        <w:rPr>
          <w:rFonts w:ascii="Arial" w:hAnsi="Arial" w:cs="Arial"/>
        </w:rPr>
      </w:pPr>
    </w:p>
    <w:p w14:paraId="47AE6DF4" w14:textId="263047BD" w:rsidR="00711380" w:rsidRDefault="00720050" w:rsidP="00712D7D">
      <w:pPr>
        <w:jc w:val="both"/>
        <w:rPr>
          <w:rFonts w:ascii="Arial" w:hAnsi="Arial" w:cs="Arial"/>
        </w:rPr>
      </w:pPr>
      <w:r>
        <w:rPr>
          <w:rFonts w:ascii="Arial" w:hAnsi="Arial" w:cs="Arial"/>
        </w:rPr>
        <w:t xml:space="preserve">Additionally, as described above, the proposed agreement </w:t>
      </w:r>
      <w:r w:rsidR="00EB0778">
        <w:rPr>
          <w:rFonts w:ascii="Arial" w:hAnsi="Arial" w:cs="Arial"/>
        </w:rPr>
        <w:t>provides</w:t>
      </w:r>
      <w:r w:rsidR="009266B0">
        <w:rPr>
          <w:rFonts w:ascii="Arial" w:hAnsi="Arial" w:cs="Arial"/>
        </w:rPr>
        <w:t xml:space="preserve"> that if the term of the agreement is extended after the initial five-year term, the City and County may </w:t>
      </w:r>
      <w:r w:rsidR="00AA197F">
        <w:rPr>
          <w:rFonts w:ascii="Arial" w:hAnsi="Arial" w:cs="Arial"/>
        </w:rPr>
        <w:t>negotiate an extension to the County contribution</w:t>
      </w:r>
      <w:r w:rsidR="003E4D79">
        <w:rPr>
          <w:rFonts w:ascii="Arial" w:hAnsi="Arial" w:cs="Arial"/>
        </w:rPr>
        <w:t xml:space="preserve"> amount</w:t>
      </w:r>
      <w:r w:rsidR="00AA197F">
        <w:rPr>
          <w:rFonts w:ascii="Arial" w:hAnsi="Arial" w:cs="Arial"/>
        </w:rPr>
        <w:t>.</w:t>
      </w:r>
      <w:r w:rsidR="00486B8F">
        <w:rPr>
          <w:rFonts w:ascii="Arial" w:hAnsi="Arial" w:cs="Arial"/>
        </w:rPr>
        <w:t xml:space="preserve"> The proposed agreement does not specify that a</w:t>
      </w:r>
      <w:r w:rsidR="00473872">
        <w:rPr>
          <w:rFonts w:ascii="Arial" w:hAnsi="Arial" w:cs="Arial"/>
        </w:rPr>
        <w:t xml:space="preserve"> negotiated contribution schedule would come before the Council for approval. </w:t>
      </w:r>
    </w:p>
    <w:p w14:paraId="09BD067B" w14:textId="77777777" w:rsidR="00992285" w:rsidRDefault="00992285" w:rsidP="00712D7D">
      <w:pPr>
        <w:jc w:val="both"/>
        <w:rPr>
          <w:rFonts w:ascii="Arial" w:hAnsi="Arial" w:cs="Arial"/>
        </w:rPr>
      </w:pPr>
    </w:p>
    <w:p w14:paraId="33AE522F" w14:textId="20869D94" w:rsidR="000022A1" w:rsidRDefault="000022A1" w:rsidP="0026669B">
      <w:pPr>
        <w:jc w:val="both"/>
        <w:rPr>
          <w:rFonts w:ascii="Arial" w:hAnsi="Arial" w:cs="Arial"/>
        </w:rPr>
      </w:pPr>
      <w:r>
        <w:rPr>
          <w:rFonts w:ascii="Arial" w:hAnsi="Arial" w:cs="Arial"/>
          <w:i/>
        </w:rPr>
        <w:t xml:space="preserve">Service Reductions. </w:t>
      </w:r>
      <w:r w:rsidR="006F2CF4">
        <w:rPr>
          <w:rFonts w:ascii="Arial" w:hAnsi="Arial" w:cs="Arial"/>
        </w:rPr>
        <w:t xml:space="preserve">The current agreement </w:t>
      </w:r>
      <w:r w:rsidR="001F3113">
        <w:rPr>
          <w:rFonts w:ascii="Arial" w:hAnsi="Arial" w:cs="Arial"/>
        </w:rPr>
        <w:t xml:space="preserve">includes the following </w:t>
      </w:r>
      <w:r w:rsidR="00EE6207">
        <w:rPr>
          <w:rFonts w:ascii="Arial" w:hAnsi="Arial" w:cs="Arial"/>
        </w:rPr>
        <w:t>language</w:t>
      </w:r>
      <w:r w:rsidR="001F3113">
        <w:rPr>
          <w:rFonts w:ascii="Arial" w:hAnsi="Arial" w:cs="Arial"/>
        </w:rPr>
        <w:t xml:space="preserve"> related to periods of major service reduction: “The County may reduce its annual contribution in the event of a major service reduction in order to be consistent with the Strategic Plan for Public Transportation 2011-2021 and the King County Metro Service Guidelines</w:t>
      </w:r>
      <w:r w:rsidR="008D3946">
        <w:rPr>
          <w:rFonts w:ascii="Arial" w:hAnsi="Arial" w:cs="Arial"/>
        </w:rPr>
        <w:t>…”</w:t>
      </w:r>
      <w:r w:rsidR="008D3946">
        <w:rPr>
          <w:rStyle w:val="FootnoteReference"/>
          <w:rFonts w:ascii="Arial" w:hAnsi="Arial" w:cs="Arial"/>
        </w:rPr>
        <w:footnoteReference w:id="27"/>
      </w:r>
      <w:r w:rsidR="001A4444">
        <w:rPr>
          <w:rFonts w:ascii="Arial" w:hAnsi="Arial" w:cs="Arial"/>
        </w:rPr>
        <w:t xml:space="preserve"> This language</w:t>
      </w:r>
      <w:r w:rsidR="00C31614">
        <w:rPr>
          <w:rFonts w:ascii="Arial" w:hAnsi="Arial" w:cs="Arial"/>
        </w:rPr>
        <w:t xml:space="preserve"> allowing reductions in the </w:t>
      </w:r>
      <w:r w:rsidR="003C2500">
        <w:rPr>
          <w:rFonts w:ascii="Arial" w:hAnsi="Arial" w:cs="Arial"/>
        </w:rPr>
        <w:t xml:space="preserve">scheduled </w:t>
      </w:r>
      <w:r w:rsidR="00C31614">
        <w:rPr>
          <w:rFonts w:ascii="Arial" w:hAnsi="Arial" w:cs="Arial"/>
        </w:rPr>
        <w:t>County contribution</w:t>
      </w:r>
      <w:r w:rsidR="001A4444">
        <w:rPr>
          <w:rFonts w:ascii="Arial" w:hAnsi="Arial" w:cs="Arial"/>
        </w:rPr>
        <w:t xml:space="preserve"> is not included in the proposed agreement</w:t>
      </w:r>
      <w:r w:rsidR="00BB6582">
        <w:rPr>
          <w:rStyle w:val="FootnoteReference"/>
          <w:rFonts w:ascii="Arial" w:hAnsi="Arial" w:cs="Arial"/>
        </w:rPr>
        <w:footnoteReference w:id="28"/>
      </w:r>
      <w:r w:rsidR="001A4444">
        <w:rPr>
          <w:rFonts w:ascii="Arial" w:hAnsi="Arial" w:cs="Arial"/>
        </w:rPr>
        <w:t>.</w:t>
      </w:r>
      <w:r w:rsidR="004423CF">
        <w:rPr>
          <w:rFonts w:ascii="Arial" w:hAnsi="Arial" w:cs="Arial"/>
        </w:rPr>
        <w:t xml:space="preserve"> </w:t>
      </w:r>
    </w:p>
    <w:p w14:paraId="4193A313" w14:textId="77777777" w:rsidR="00765BF8" w:rsidRDefault="00765BF8" w:rsidP="0026669B">
      <w:pPr>
        <w:jc w:val="both"/>
        <w:rPr>
          <w:rFonts w:ascii="Arial" w:hAnsi="Arial" w:cs="Arial"/>
        </w:rPr>
      </w:pPr>
    </w:p>
    <w:p w14:paraId="57E3ED1D" w14:textId="12D02EAC" w:rsidR="00765BF8" w:rsidRDefault="00765BF8" w:rsidP="0026669B">
      <w:pPr>
        <w:jc w:val="both"/>
        <w:rPr>
          <w:rFonts w:ascii="Arial" w:hAnsi="Arial" w:cs="Arial"/>
        </w:rPr>
      </w:pPr>
      <w:r>
        <w:rPr>
          <w:rFonts w:ascii="Arial" w:hAnsi="Arial" w:cs="Arial"/>
        </w:rPr>
        <w:t xml:space="preserve">Metro </w:t>
      </w:r>
      <w:r w:rsidR="00536BB7">
        <w:rPr>
          <w:rFonts w:ascii="Arial" w:hAnsi="Arial" w:cs="Arial"/>
        </w:rPr>
        <w:t>staff indicate</w:t>
      </w:r>
      <w:r>
        <w:rPr>
          <w:rFonts w:ascii="Arial" w:hAnsi="Arial" w:cs="Arial"/>
        </w:rPr>
        <w:t xml:space="preserve"> th</w:t>
      </w:r>
      <w:r w:rsidR="00383E4C">
        <w:rPr>
          <w:rFonts w:ascii="Arial" w:hAnsi="Arial" w:cs="Arial"/>
        </w:rPr>
        <w:t xml:space="preserve">at the </w:t>
      </w:r>
      <w:r>
        <w:rPr>
          <w:rFonts w:ascii="Arial" w:hAnsi="Arial" w:cs="Arial"/>
        </w:rPr>
        <w:t>origins of the County contribution date back to the opening of the initial Central Link light rail line</w:t>
      </w:r>
      <w:r w:rsidR="00383E4C">
        <w:rPr>
          <w:rFonts w:ascii="Arial" w:hAnsi="Arial" w:cs="Arial"/>
        </w:rPr>
        <w:t xml:space="preserve"> and a</w:t>
      </w:r>
      <w:r>
        <w:rPr>
          <w:rFonts w:ascii="Arial" w:hAnsi="Arial" w:cs="Arial"/>
        </w:rPr>
        <w:t xml:space="preserve">t that time, the City requested that the value of </w:t>
      </w:r>
      <w:r w:rsidR="002F3C5E">
        <w:rPr>
          <w:rFonts w:ascii="Arial" w:hAnsi="Arial" w:cs="Arial"/>
        </w:rPr>
        <w:t xml:space="preserve">a portion of </w:t>
      </w:r>
      <w:r>
        <w:rPr>
          <w:rFonts w:ascii="Arial" w:hAnsi="Arial" w:cs="Arial"/>
        </w:rPr>
        <w:t xml:space="preserve">Metro’s bus </w:t>
      </w:r>
      <w:r w:rsidR="00BB6582">
        <w:rPr>
          <w:rFonts w:ascii="Arial" w:hAnsi="Arial" w:cs="Arial"/>
        </w:rPr>
        <w:t xml:space="preserve">service </w:t>
      </w:r>
      <w:r>
        <w:rPr>
          <w:rFonts w:ascii="Arial" w:hAnsi="Arial" w:cs="Arial"/>
        </w:rPr>
        <w:t xml:space="preserve">hours </w:t>
      </w:r>
      <w:r w:rsidR="0024137E">
        <w:rPr>
          <w:rFonts w:ascii="Arial" w:hAnsi="Arial" w:cs="Arial"/>
        </w:rPr>
        <w:t xml:space="preserve">redeployed </w:t>
      </w:r>
      <w:r>
        <w:rPr>
          <w:rFonts w:ascii="Arial" w:hAnsi="Arial" w:cs="Arial"/>
        </w:rPr>
        <w:t>as a result of the Central Link opening be shifted to support operations of the South Lake Union streetcar</w:t>
      </w:r>
      <w:r w:rsidR="00555471">
        <w:rPr>
          <w:rFonts w:ascii="Arial" w:hAnsi="Arial" w:cs="Arial"/>
        </w:rPr>
        <w:t xml:space="preserve"> line</w:t>
      </w:r>
      <w:r w:rsidR="000441C0">
        <w:rPr>
          <w:rFonts w:ascii="Arial" w:hAnsi="Arial" w:cs="Arial"/>
        </w:rPr>
        <w:t xml:space="preserve"> (16,800 service hours from the pool of 84,450 hours generated from the proposed service changes for the Seattle, Shoreline and Lake Forest Park, according to Metro staff at the time)</w:t>
      </w:r>
      <w:r>
        <w:rPr>
          <w:rFonts w:ascii="Arial" w:hAnsi="Arial" w:cs="Arial"/>
        </w:rPr>
        <w:t>.</w:t>
      </w:r>
      <w:r w:rsidR="00813DE1">
        <w:rPr>
          <w:rFonts w:ascii="Arial" w:hAnsi="Arial" w:cs="Arial"/>
        </w:rPr>
        <w:t xml:space="preserve"> </w:t>
      </w:r>
      <w:r w:rsidR="00536BB7">
        <w:rPr>
          <w:rFonts w:ascii="Arial" w:hAnsi="Arial" w:cs="Arial"/>
        </w:rPr>
        <w:t>Metro staff further state that</w:t>
      </w:r>
      <w:r w:rsidR="00F60A8B">
        <w:rPr>
          <w:rFonts w:ascii="Arial" w:hAnsi="Arial" w:cs="Arial"/>
        </w:rPr>
        <w:t xml:space="preserve"> the</w:t>
      </w:r>
      <w:r w:rsidR="00536BB7">
        <w:rPr>
          <w:rFonts w:ascii="Arial" w:hAnsi="Arial" w:cs="Arial"/>
        </w:rPr>
        <w:t xml:space="preserve"> </w:t>
      </w:r>
      <w:r w:rsidR="00953AA3">
        <w:rPr>
          <w:rFonts w:ascii="Arial" w:hAnsi="Arial" w:cs="Arial"/>
        </w:rPr>
        <w:t>current agreement approved in 2014</w:t>
      </w:r>
      <w:r w:rsidR="00E7557D">
        <w:rPr>
          <w:rFonts w:ascii="Arial" w:hAnsi="Arial" w:cs="Arial"/>
        </w:rPr>
        <w:t xml:space="preserve"> provided for annual County financial contributions to the South Lake Union Streetcar</w:t>
      </w:r>
      <w:r w:rsidR="000441C0">
        <w:rPr>
          <w:rFonts w:ascii="Arial" w:hAnsi="Arial" w:cs="Arial"/>
        </w:rPr>
        <w:t xml:space="preserve"> not tied to service hours</w:t>
      </w:r>
      <w:r w:rsidR="00E7557D">
        <w:rPr>
          <w:rFonts w:ascii="Arial" w:hAnsi="Arial" w:cs="Arial"/>
        </w:rPr>
        <w:t>.</w:t>
      </w:r>
      <w:r w:rsidR="00953AA3">
        <w:rPr>
          <w:rFonts w:ascii="Arial" w:hAnsi="Arial" w:cs="Arial"/>
        </w:rPr>
        <w:t xml:space="preserve"> </w:t>
      </w:r>
    </w:p>
    <w:p w14:paraId="5E0C49E0" w14:textId="77777777" w:rsidR="00822E71" w:rsidRDefault="00822E71" w:rsidP="0026669B">
      <w:pPr>
        <w:jc w:val="both"/>
        <w:rPr>
          <w:rFonts w:ascii="Arial" w:hAnsi="Arial" w:cs="Arial"/>
        </w:rPr>
      </w:pPr>
    </w:p>
    <w:p w14:paraId="187AF623" w14:textId="3B32AC0E" w:rsidR="008E7A5D" w:rsidRDefault="00F076AF" w:rsidP="00F77DB3">
      <w:pPr>
        <w:jc w:val="both"/>
        <w:rPr>
          <w:rFonts w:ascii="Arial" w:hAnsi="Arial" w:cs="Arial"/>
        </w:rPr>
      </w:pPr>
      <w:r>
        <w:rPr>
          <w:rFonts w:ascii="Arial" w:hAnsi="Arial" w:cs="Arial"/>
          <w:i/>
        </w:rPr>
        <w:t xml:space="preserve">Allowable </w:t>
      </w:r>
      <w:r w:rsidR="00AF0F6D">
        <w:rPr>
          <w:rFonts w:ascii="Arial" w:hAnsi="Arial" w:cs="Arial"/>
          <w:i/>
        </w:rPr>
        <w:t>Overhead</w:t>
      </w:r>
      <w:r w:rsidR="00B3449E">
        <w:rPr>
          <w:rFonts w:ascii="Arial" w:hAnsi="Arial" w:cs="Arial"/>
          <w:i/>
        </w:rPr>
        <w:t>.</w:t>
      </w:r>
      <w:r w:rsidR="003A7DA8">
        <w:rPr>
          <w:rFonts w:ascii="Arial" w:hAnsi="Arial" w:cs="Arial"/>
          <w:i/>
        </w:rPr>
        <w:t xml:space="preserve"> </w:t>
      </w:r>
      <w:r w:rsidR="00171D93">
        <w:rPr>
          <w:rFonts w:ascii="Arial" w:hAnsi="Arial" w:cs="Arial"/>
        </w:rPr>
        <w:t>According to Metro staff, t</w:t>
      </w:r>
      <w:r w:rsidR="00E912C4">
        <w:rPr>
          <w:rFonts w:ascii="Arial" w:hAnsi="Arial" w:cs="Arial"/>
        </w:rPr>
        <w:t xml:space="preserve">he existing agreement allows reimbursement of the following overhead charges: </w:t>
      </w:r>
      <w:r w:rsidR="00014EBB">
        <w:rPr>
          <w:rFonts w:ascii="Arial" w:hAnsi="Arial" w:cs="Arial"/>
        </w:rPr>
        <w:t xml:space="preserve">Metro General Manager’s Office, General Government, King County Information Technology, </w:t>
      </w:r>
      <w:r w:rsidR="00CE5CC5">
        <w:rPr>
          <w:rFonts w:ascii="Arial" w:hAnsi="Arial" w:cs="Arial"/>
        </w:rPr>
        <w:t xml:space="preserve">Finance and Business Operations Division, and Performance, Strategy and Budget. </w:t>
      </w:r>
      <w:r w:rsidR="000A1E45">
        <w:rPr>
          <w:rFonts w:ascii="Arial" w:hAnsi="Arial" w:cs="Arial"/>
        </w:rPr>
        <w:t xml:space="preserve">Under the proposal, the City would continue to </w:t>
      </w:r>
      <w:r w:rsidR="00101259">
        <w:rPr>
          <w:rFonts w:ascii="Arial" w:hAnsi="Arial" w:cs="Arial"/>
        </w:rPr>
        <w:t>reimburse the County for these charges for years in which</w:t>
      </w:r>
      <w:r w:rsidR="0087015C">
        <w:rPr>
          <w:rFonts w:ascii="Arial" w:hAnsi="Arial" w:cs="Arial"/>
        </w:rPr>
        <w:t xml:space="preserve"> there is a County contribution</w:t>
      </w:r>
      <w:r w:rsidR="00524D26">
        <w:rPr>
          <w:rFonts w:ascii="Arial" w:hAnsi="Arial" w:cs="Arial"/>
        </w:rPr>
        <w:t xml:space="preserve"> in place</w:t>
      </w:r>
      <w:r w:rsidR="008343B7">
        <w:rPr>
          <w:rFonts w:ascii="Arial" w:hAnsi="Arial" w:cs="Arial"/>
        </w:rPr>
        <w:t xml:space="preserve">. </w:t>
      </w:r>
      <w:r w:rsidR="00F77DB3">
        <w:rPr>
          <w:rFonts w:ascii="Arial" w:hAnsi="Arial" w:cs="Arial"/>
        </w:rPr>
        <w:t>Metro staff further indicate that</w:t>
      </w:r>
      <w:r w:rsidR="009A6567">
        <w:rPr>
          <w:rFonts w:ascii="Arial" w:hAnsi="Arial" w:cs="Arial"/>
        </w:rPr>
        <w:t xml:space="preserve"> the</w:t>
      </w:r>
      <w:r w:rsidR="008E1A6E">
        <w:rPr>
          <w:rFonts w:ascii="Arial" w:hAnsi="Arial" w:cs="Arial"/>
        </w:rPr>
        <w:t xml:space="preserve"> proposed agreement would exempt the City from</w:t>
      </w:r>
      <w:r w:rsidR="00B8656B">
        <w:rPr>
          <w:rFonts w:ascii="Arial" w:hAnsi="Arial" w:cs="Arial"/>
        </w:rPr>
        <w:t xml:space="preserve"> paying for the </w:t>
      </w:r>
      <w:r w:rsidR="009A6567">
        <w:rPr>
          <w:rFonts w:ascii="Arial" w:hAnsi="Arial" w:cs="Arial"/>
        </w:rPr>
        <w:t xml:space="preserve">General Government and Metro </w:t>
      </w:r>
      <w:r w:rsidR="009A6567">
        <w:rPr>
          <w:rFonts w:ascii="Arial" w:hAnsi="Arial" w:cs="Arial"/>
        </w:rPr>
        <w:lastRenderedPageBreak/>
        <w:t>General Manager’s Office</w:t>
      </w:r>
      <w:r w:rsidR="000A5C21">
        <w:rPr>
          <w:rFonts w:ascii="Arial" w:hAnsi="Arial" w:cs="Arial"/>
        </w:rPr>
        <w:t xml:space="preserve"> </w:t>
      </w:r>
      <w:r w:rsidR="002121D2">
        <w:rPr>
          <w:rFonts w:ascii="Arial" w:hAnsi="Arial" w:cs="Arial"/>
        </w:rPr>
        <w:t>charges should the County contribution phase out in 2028</w:t>
      </w:r>
      <w:r w:rsidR="00F77DB3">
        <w:rPr>
          <w:rFonts w:ascii="Arial" w:hAnsi="Arial" w:cs="Arial"/>
        </w:rPr>
        <w:t>, as well as provide a cap on overhead</w:t>
      </w:r>
      <w:r w:rsidR="00253CBA">
        <w:rPr>
          <w:rFonts w:ascii="Arial" w:hAnsi="Arial" w:cs="Arial"/>
        </w:rPr>
        <w:t xml:space="preserve"> of six percent</w:t>
      </w:r>
      <w:r w:rsidR="002121D2">
        <w:rPr>
          <w:rFonts w:ascii="Arial" w:hAnsi="Arial" w:cs="Arial"/>
        </w:rPr>
        <w:t>.</w:t>
      </w:r>
    </w:p>
    <w:p w14:paraId="40415570" w14:textId="73C0DF60" w:rsidR="008E7A5D" w:rsidRPr="008E3142" w:rsidRDefault="008E7A5D" w:rsidP="0026669B">
      <w:pPr>
        <w:jc w:val="both"/>
        <w:rPr>
          <w:rFonts w:ascii="Arial" w:hAnsi="Arial" w:cs="Arial"/>
          <w:i/>
        </w:rPr>
      </w:pPr>
    </w:p>
    <w:p w14:paraId="2577706C" w14:textId="77777777" w:rsidR="00AD37CE" w:rsidRDefault="00D7418D" w:rsidP="0026669B">
      <w:pPr>
        <w:jc w:val="both"/>
        <w:rPr>
          <w:rFonts w:ascii="Arial" w:hAnsi="Arial" w:cs="Arial"/>
          <w:b/>
        </w:rPr>
      </w:pPr>
      <w:r>
        <w:rPr>
          <w:rFonts w:ascii="Arial" w:hAnsi="Arial" w:cs="Arial"/>
          <w:b/>
        </w:rPr>
        <w:t xml:space="preserve">Complete List and </w:t>
      </w:r>
      <w:r w:rsidR="00BC3078">
        <w:rPr>
          <w:rFonts w:ascii="Arial" w:hAnsi="Arial" w:cs="Arial"/>
          <w:b/>
        </w:rPr>
        <w:t>Description</w:t>
      </w:r>
      <w:r w:rsidR="00941C2A">
        <w:rPr>
          <w:rFonts w:ascii="Arial" w:hAnsi="Arial" w:cs="Arial"/>
          <w:b/>
        </w:rPr>
        <w:t xml:space="preserve"> of Agreement </w:t>
      </w:r>
      <w:r w:rsidR="009F65F8">
        <w:rPr>
          <w:rFonts w:ascii="Arial" w:hAnsi="Arial" w:cs="Arial"/>
          <w:b/>
        </w:rPr>
        <w:t>Section</w:t>
      </w:r>
      <w:r>
        <w:rPr>
          <w:rFonts w:ascii="Arial" w:hAnsi="Arial" w:cs="Arial"/>
          <w:b/>
        </w:rPr>
        <w:t>s</w:t>
      </w:r>
    </w:p>
    <w:p w14:paraId="7220A4B1" w14:textId="77777777" w:rsidR="009F65F8" w:rsidRDefault="00207864" w:rsidP="0026669B">
      <w:pPr>
        <w:jc w:val="both"/>
        <w:rPr>
          <w:rFonts w:ascii="Arial" w:hAnsi="Arial" w:cs="Arial"/>
        </w:rPr>
      </w:pPr>
      <w:r>
        <w:rPr>
          <w:rFonts w:ascii="Arial" w:hAnsi="Arial" w:cs="Arial"/>
        </w:rPr>
        <w:t xml:space="preserve">Table 2 provides a complete list and description of each section and attachment of the proposed agreement. </w:t>
      </w:r>
    </w:p>
    <w:p w14:paraId="695B02C0" w14:textId="77777777" w:rsidR="00492BAB" w:rsidRPr="00207864" w:rsidRDefault="00492BAB" w:rsidP="0026669B">
      <w:pPr>
        <w:jc w:val="both"/>
        <w:rPr>
          <w:rFonts w:ascii="Arial" w:hAnsi="Arial" w:cs="Arial"/>
        </w:rPr>
      </w:pPr>
    </w:p>
    <w:p w14:paraId="638561AE" w14:textId="77777777" w:rsidR="009F65F8" w:rsidRDefault="009F65F8" w:rsidP="00D7418D">
      <w:pPr>
        <w:jc w:val="center"/>
        <w:rPr>
          <w:rFonts w:ascii="Arial" w:hAnsi="Arial" w:cs="Arial"/>
          <w:b/>
        </w:rPr>
      </w:pPr>
      <w:r>
        <w:rPr>
          <w:rFonts w:ascii="Arial" w:hAnsi="Arial" w:cs="Arial"/>
          <w:b/>
        </w:rPr>
        <w:t xml:space="preserve">Table </w:t>
      </w:r>
      <w:r w:rsidR="00F17E78">
        <w:rPr>
          <w:rFonts w:ascii="Arial" w:hAnsi="Arial" w:cs="Arial"/>
          <w:b/>
        </w:rPr>
        <w:t>2</w:t>
      </w:r>
      <w:r>
        <w:rPr>
          <w:rFonts w:ascii="Arial" w:hAnsi="Arial" w:cs="Arial"/>
          <w:b/>
        </w:rPr>
        <w:t>.</w:t>
      </w:r>
      <w:r w:rsidR="00F17E78">
        <w:rPr>
          <w:rFonts w:ascii="Arial" w:hAnsi="Arial" w:cs="Arial"/>
          <w:b/>
        </w:rPr>
        <w:t xml:space="preserve"> List and Description of Sections in the Proposed Agreement</w:t>
      </w:r>
    </w:p>
    <w:p w14:paraId="0F013990" w14:textId="77777777" w:rsidR="00941C2A" w:rsidRDefault="00941C2A" w:rsidP="0026669B">
      <w:pPr>
        <w:jc w:val="both"/>
        <w:rPr>
          <w:rFonts w:ascii="Arial" w:hAnsi="Arial" w:cs="Arial"/>
          <w:b/>
        </w:rPr>
      </w:pPr>
    </w:p>
    <w:tbl>
      <w:tblPr>
        <w:tblStyle w:val="TableGrid"/>
        <w:tblW w:w="0" w:type="auto"/>
        <w:jc w:val="center"/>
        <w:tblLook w:val="04A0" w:firstRow="1" w:lastRow="0" w:firstColumn="1" w:lastColumn="0" w:noHBand="0" w:noVBand="1"/>
      </w:tblPr>
      <w:tblGrid>
        <w:gridCol w:w="1310"/>
        <w:gridCol w:w="3036"/>
        <w:gridCol w:w="1470"/>
        <w:gridCol w:w="3585"/>
      </w:tblGrid>
      <w:tr w:rsidR="00BC3078" w:rsidRPr="001C4B19" w14:paraId="08D788D4" w14:textId="77777777" w:rsidTr="00C45043">
        <w:trPr>
          <w:cantSplit/>
          <w:tblHeader/>
          <w:jc w:val="center"/>
        </w:trPr>
        <w:tc>
          <w:tcPr>
            <w:tcW w:w="1123" w:type="dxa"/>
            <w:shd w:val="clear" w:color="auto" w:fill="000000" w:themeFill="text1"/>
            <w:vAlign w:val="bottom"/>
          </w:tcPr>
          <w:p w14:paraId="3D0A0BA0" w14:textId="77777777" w:rsidR="00BC3078" w:rsidRPr="00BC3078" w:rsidRDefault="00BC3078" w:rsidP="003816B5">
            <w:pPr>
              <w:jc w:val="center"/>
              <w:rPr>
                <w:rFonts w:ascii="Arial" w:hAnsi="Arial" w:cs="Arial"/>
                <w:b/>
                <w:color w:val="FFFFFF" w:themeColor="background1"/>
                <w:szCs w:val="24"/>
              </w:rPr>
            </w:pPr>
            <w:r w:rsidRPr="00BC3078">
              <w:rPr>
                <w:rFonts w:ascii="Arial" w:hAnsi="Arial" w:cs="Arial"/>
                <w:b/>
                <w:color w:val="FFFFFF" w:themeColor="background1"/>
                <w:szCs w:val="24"/>
              </w:rPr>
              <w:t>Section Number</w:t>
            </w:r>
          </w:p>
        </w:tc>
        <w:tc>
          <w:tcPr>
            <w:tcW w:w="3036" w:type="dxa"/>
            <w:shd w:val="clear" w:color="auto" w:fill="000000" w:themeFill="text1"/>
            <w:vAlign w:val="bottom"/>
          </w:tcPr>
          <w:p w14:paraId="456CC973" w14:textId="77777777" w:rsidR="00BC3078" w:rsidRPr="00BC3078" w:rsidRDefault="00BC3078" w:rsidP="003816B5">
            <w:pPr>
              <w:jc w:val="center"/>
              <w:rPr>
                <w:rFonts w:ascii="Arial" w:hAnsi="Arial" w:cs="Arial"/>
                <w:b/>
                <w:color w:val="FFFFFF" w:themeColor="background1"/>
                <w:szCs w:val="24"/>
              </w:rPr>
            </w:pPr>
            <w:r w:rsidRPr="00BC3078">
              <w:rPr>
                <w:rFonts w:ascii="Arial" w:hAnsi="Arial" w:cs="Arial"/>
                <w:b/>
                <w:color w:val="FFFFFF" w:themeColor="background1"/>
                <w:szCs w:val="24"/>
              </w:rPr>
              <w:t>Section Name</w:t>
            </w:r>
          </w:p>
        </w:tc>
        <w:tc>
          <w:tcPr>
            <w:tcW w:w="1470" w:type="dxa"/>
            <w:shd w:val="clear" w:color="auto" w:fill="000000" w:themeFill="text1"/>
            <w:vAlign w:val="bottom"/>
          </w:tcPr>
          <w:p w14:paraId="79790FD3" w14:textId="77777777" w:rsidR="00BC3078" w:rsidRPr="00BC3078" w:rsidRDefault="00DD3AFC" w:rsidP="003816B5">
            <w:pPr>
              <w:jc w:val="center"/>
              <w:rPr>
                <w:rFonts w:ascii="Arial" w:hAnsi="Arial" w:cs="Arial"/>
                <w:b/>
                <w:color w:val="FFFFFF" w:themeColor="background1"/>
                <w:szCs w:val="24"/>
              </w:rPr>
            </w:pPr>
            <w:r>
              <w:rPr>
                <w:rFonts w:ascii="Arial" w:hAnsi="Arial" w:cs="Arial"/>
                <w:b/>
                <w:color w:val="FFFFFF" w:themeColor="background1"/>
                <w:szCs w:val="24"/>
              </w:rPr>
              <w:t xml:space="preserve">Agreement </w:t>
            </w:r>
            <w:r w:rsidR="00BC3078" w:rsidRPr="00BC3078">
              <w:rPr>
                <w:rFonts w:ascii="Arial" w:hAnsi="Arial" w:cs="Arial"/>
                <w:b/>
                <w:color w:val="FFFFFF" w:themeColor="background1"/>
                <w:szCs w:val="24"/>
              </w:rPr>
              <w:t>Page</w:t>
            </w:r>
          </w:p>
        </w:tc>
        <w:tc>
          <w:tcPr>
            <w:tcW w:w="3585" w:type="dxa"/>
            <w:shd w:val="clear" w:color="auto" w:fill="000000" w:themeFill="text1"/>
            <w:vAlign w:val="bottom"/>
          </w:tcPr>
          <w:p w14:paraId="346103B2" w14:textId="77777777" w:rsidR="00BC3078" w:rsidRPr="00BC3078" w:rsidRDefault="00BC3078" w:rsidP="003816B5">
            <w:pPr>
              <w:jc w:val="center"/>
              <w:rPr>
                <w:rFonts w:ascii="Arial" w:hAnsi="Arial" w:cs="Arial"/>
                <w:b/>
                <w:color w:val="FFFFFF" w:themeColor="background1"/>
                <w:szCs w:val="24"/>
              </w:rPr>
            </w:pPr>
            <w:r w:rsidRPr="00BC3078">
              <w:rPr>
                <w:rFonts w:ascii="Arial" w:hAnsi="Arial" w:cs="Arial"/>
                <w:b/>
                <w:color w:val="FFFFFF" w:themeColor="background1"/>
                <w:szCs w:val="24"/>
              </w:rPr>
              <w:t>Description</w:t>
            </w:r>
          </w:p>
        </w:tc>
      </w:tr>
      <w:tr w:rsidR="00BC3078" w:rsidRPr="001C4B19" w14:paraId="25115F41" w14:textId="77777777" w:rsidTr="00CD26DB">
        <w:trPr>
          <w:jc w:val="center"/>
        </w:trPr>
        <w:tc>
          <w:tcPr>
            <w:tcW w:w="1123" w:type="dxa"/>
          </w:tcPr>
          <w:p w14:paraId="4FA8D33A" w14:textId="77777777" w:rsidR="00BC3078" w:rsidRPr="00BC3078" w:rsidRDefault="003876C1" w:rsidP="00DD3AFC">
            <w:pPr>
              <w:jc w:val="center"/>
              <w:rPr>
                <w:rFonts w:ascii="Arial" w:hAnsi="Arial" w:cs="Arial"/>
                <w:b/>
                <w:szCs w:val="24"/>
              </w:rPr>
            </w:pPr>
            <w:r>
              <w:rPr>
                <w:rFonts w:ascii="Arial" w:hAnsi="Arial" w:cs="Arial"/>
                <w:b/>
                <w:szCs w:val="24"/>
              </w:rPr>
              <w:t>1.0</w:t>
            </w:r>
          </w:p>
        </w:tc>
        <w:tc>
          <w:tcPr>
            <w:tcW w:w="3036" w:type="dxa"/>
          </w:tcPr>
          <w:p w14:paraId="1ABC4A57" w14:textId="77777777" w:rsidR="00BC3078" w:rsidRPr="00BC3078" w:rsidRDefault="003876C1" w:rsidP="00294B4D">
            <w:pPr>
              <w:rPr>
                <w:rFonts w:ascii="Arial" w:hAnsi="Arial" w:cs="Arial"/>
                <w:szCs w:val="24"/>
              </w:rPr>
            </w:pPr>
            <w:r>
              <w:rPr>
                <w:rFonts w:ascii="Arial" w:hAnsi="Arial" w:cs="Arial"/>
                <w:szCs w:val="24"/>
              </w:rPr>
              <w:t>Purpose</w:t>
            </w:r>
            <w:r w:rsidR="00294B4D">
              <w:rPr>
                <w:rFonts w:ascii="Arial" w:hAnsi="Arial" w:cs="Arial"/>
                <w:szCs w:val="24"/>
              </w:rPr>
              <w:t>, Scope and Term of Agreement</w:t>
            </w:r>
          </w:p>
        </w:tc>
        <w:tc>
          <w:tcPr>
            <w:tcW w:w="1470" w:type="dxa"/>
          </w:tcPr>
          <w:p w14:paraId="447C9F28" w14:textId="77777777" w:rsidR="00BC3078" w:rsidRPr="00BC3078" w:rsidRDefault="00294B4D" w:rsidP="00DD3AFC">
            <w:pPr>
              <w:jc w:val="center"/>
              <w:rPr>
                <w:rFonts w:ascii="Arial" w:hAnsi="Arial" w:cs="Arial"/>
                <w:szCs w:val="24"/>
              </w:rPr>
            </w:pPr>
            <w:r>
              <w:rPr>
                <w:rFonts w:ascii="Arial" w:hAnsi="Arial" w:cs="Arial"/>
                <w:szCs w:val="24"/>
              </w:rPr>
              <w:t>1</w:t>
            </w:r>
          </w:p>
        </w:tc>
        <w:tc>
          <w:tcPr>
            <w:tcW w:w="3585" w:type="dxa"/>
          </w:tcPr>
          <w:p w14:paraId="7BF29A2B" w14:textId="77777777" w:rsidR="00BC3078" w:rsidRPr="00BC3078" w:rsidRDefault="00CA1311" w:rsidP="00294B4D">
            <w:pPr>
              <w:rPr>
                <w:rFonts w:ascii="Arial" w:hAnsi="Arial" w:cs="Arial"/>
                <w:szCs w:val="24"/>
              </w:rPr>
            </w:pPr>
            <w:r>
              <w:rPr>
                <w:rFonts w:ascii="Arial" w:hAnsi="Arial" w:cs="Arial"/>
                <w:szCs w:val="24"/>
              </w:rPr>
              <w:t>Describes the purpose of the agreement</w:t>
            </w:r>
            <w:r w:rsidR="00672332">
              <w:rPr>
                <w:rFonts w:ascii="Arial" w:hAnsi="Arial" w:cs="Arial"/>
                <w:szCs w:val="24"/>
              </w:rPr>
              <w:t>, base and renewal terms</w:t>
            </w:r>
          </w:p>
        </w:tc>
      </w:tr>
      <w:tr w:rsidR="00BC3078" w:rsidRPr="001C4B19" w14:paraId="2D1210CB" w14:textId="77777777" w:rsidTr="00CD26DB">
        <w:trPr>
          <w:jc w:val="center"/>
        </w:trPr>
        <w:tc>
          <w:tcPr>
            <w:tcW w:w="1123" w:type="dxa"/>
          </w:tcPr>
          <w:p w14:paraId="26800F5D" w14:textId="77777777" w:rsidR="00BC3078" w:rsidRPr="00BC3078" w:rsidRDefault="00672332" w:rsidP="00DD3AFC">
            <w:pPr>
              <w:jc w:val="center"/>
              <w:rPr>
                <w:rFonts w:ascii="Arial" w:hAnsi="Arial" w:cs="Arial"/>
                <w:b/>
                <w:szCs w:val="24"/>
              </w:rPr>
            </w:pPr>
            <w:r>
              <w:rPr>
                <w:rFonts w:ascii="Arial" w:hAnsi="Arial" w:cs="Arial"/>
                <w:b/>
                <w:szCs w:val="24"/>
              </w:rPr>
              <w:t>2.0</w:t>
            </w:r>
          </w:p>
        </w:tc>
        <w:tc>
          <w:tcPr>
            <w:tcW w:w="3036" w:type="dxa"/>
          </w:tcPr>
          <w:p w14:paraId="19DA38F5" w14:textId="77777777" w:rsidR="00BC3078" w:rsidRPr="00BC3078" w:rsidRDefault="00D40989" w:rsidP="00294B4D">
            <w:pPr>
              <w:rPr>
                <w:rFonts w:ascii="Arial" w:hAnsi="Arial" w:cs="Arial"/>
                <w:szCs w:val="24"/>
              </w:rPr>
            </w:pPr>
            <w:r>
              <w:rPr>
                <w:rFonts w:ascii="Arial" w:hAnsi="Arial" w:cs="Arial"/>
                <w:szCs w:val="24"/>
              </w:rPr>
              <w:t xml:space="preserve">Seattle Streetcar System Description </w:t>
            </w:r>
          </w:p>
        </w:tc>
        <w:tc>
          <w:tcPr>
            <w:tcW w:w="1470" w:type="dxa"/>
          </w:tcPr>
          <w:p w14:paraId="63C7BE22" w14:textId="77777777" w:rsidR="00BC3078" w:rsidRPr="00BC3078" w:rsidRDefault="00DD3AFC" w:rsidP="00DD3AFC">
            <w:pPr>
              <w:jc w:val="center"/>
              <w:rPr>
                <w:rFonts w:ascii="Arial" w:hAnsi="Arial" w:cs="Arial"/>
                <w:szCs w:val="24"/>
              </w:rPr>
            </w:pPr>
            <w:r>
              <w:rPr>
                <w:rFonts w:ascii="Arial" w:hAnsi="Arial" w:cs="Arial"/>
                <w:szCs w:val="24"/>
              </w:rPr>
              <w:t>2</w:t>
            </w:r>
          </w:p>
        </w:tc>
        <w:tc>
          <w:tcPr>
            <w:tcW w:w="3585" w:type="dxa"/>
          </w:tcPr>
          <w:p w14:paraId="00D601DC" w14:textId="77777777" w:rsidR="00BC3078" w:rsidRPr="00BC3078" w:rsidRDefault="00DD3AFC" w:rsidP="00294B4D">
            <w:pPr>
              <w:rPr>
                <w:rFonts w:ascii="Arial" w:hAnsi="Arial" w:cs="Arial"/>
                <w:szCs w:val="24"/>
              </w:rPr>
            </w:pPr>
            <w:r>
              <w:rPr>
                <w:rFonts w:ascii="Arial" w:hAnsi="Arial" w:cs="Arial"/>
                <w:szCs w:val="24"/>
              </w:rPr>
              <w:t>Describes streetcar system and provides for the terms under which system expansion would be subject to the agreement</w:t>
            </w:r>
          </w:p>
        </w:tc>
      </w:tr>
      <w:tr w:rsidR="00BC3078" w:rsidRPr="001C4B19" w14:paraId="578C0031" w14:textId="77777777" w:rsidTr="00CD26DB">
        <w:trPr>
          <w:jc w:val="center"/>
        </w:trPr>
        <w:tc>
          <w:tcPr>
            <w:tcW w:w="1123" w:type="dxa"/>
          </w:tcPr>
          <w:p w14:paraId="291AF43F" w14:textId="77777777" w:rsidR="00BC3078" w:rsidRPr="00BC3078" w:rsidRDefault="00DD3AFC" w:rsidP="00DD3AFC">
            <w:pPr>
              <w:jc w:val="center"/>
              <w:rPr>
                <w:rFonts w:ascii="Arial" w:hAnsi="Arial" w:cs="Arial"/>
                <w:b/>
                <w:szCs w:val="24"/>
              </w:rPr>
            </w:pPr>
            <w:r>
              <w:rPr>
                <w:rFonts w:ascii="Arial" w:hAnsi="Arial" w:cs="Arial"/>
                <w:b/>
                <w:szCs w:val="24"/>
              </w:rPr>
              <w:t>3.0</w:t>
            </w:r>
          </w:p>
        </w:tc>
        <w:tc>
          <w:tcPr>
            <w:tcW w:w="3036" w:type="dxa"/>
          </w:tcPr>
          <w:p w14:paraId="0A18D238" w14:textId="77777777" w:rsidR="00BC3078" w:rsidRPr="00BC3078" w:rsidRDefault="0005273A" w:rsidP="00294B4D">
            <w:pPr>
              <w:rPr>
                <w:rFonts w:ascii="Arial" w:hAnsi="Arial" w:cs="Arial"/>
                <w:szCs w:val="24"/>
              </w:rPr>
            </w:pPr>
            <w:r>
              <w:rPr>
                <w:rFonts w:ascii="Arial" w:hAnsi="Arial" w:cs="Arial"/>
                <w:szCs w:val="24"/>
              </w:rPr>
              <w:t>Responsibilities</w:t>
            </w:r>
          </w:p>
        </w:tc>
        <w:tc>
          <w:tcPr>
            <w:tcW w:w="1470" w:type="dxa"/>
          </w:tcPr>
          <w:p w14:paraId="75456873" w14:textId="77777777" w:rsidR="00BC3078" w:rsidRPr="00BC3078" w:rsidRDefault="0005273A" w:rsidP="00DD3AFC">
            <w:pPr>
              <w:jc w:val="center"/>
              <w:rPr>
                <w:rFonts w:ascii="Arial" w:hAnsi="Arial" w:cs="Arial"/>
                <w:szCs w:val="24"/>
              </w:rPr>
            </w:pPr>
            <w:r>
              <w:rPr>
                <w:rFonts w:ascii="Arial" w:hAnsi="Arial" w:cs="Arial"/>
                <w:szCs w:val="24"/>
              </w:rPr>
              <w:t>2</w:t>
            </w:r>
          </w:p>
        </w:tc>
        <w:tc>
          <w:tcPr>
            <w:tcW w:w="3585" w:type="dxa"/>
          </w:tcPr>
          <w:p w14:paraId="02C4EB85" w14:textId="77777777" w:rsidR="00BC3078" w:rsidRPr="00BC3078" w:rsidRDefault="0005273A" w:rsidP="00294B4D">
            <w:pPr>
              <w:rPr>
                <w:rFonts w:ascii="Arial" w:hAnsi="Arial" w:cs="Arial"/>
                <w:szCs w:val="24"/>
              </w:rPr>
            </w:pPr>
            <w:r>
              <w:rPr>
                <w:rFonts w:ascii="Arial" w:hAnsi="Arial" w:cs="Arial"/>
                <w:szCs w:val="24"/>
              </w:rPr>
              <w:t xml:space="preserve">Outlines </w:t>
            </w:r>
            <w:r w:rsidR="005A2023">
              <w:rPr>
                <w:rFonts w:ascii="Arial" w:hAnsi="Arial" w:cs="Arial"/>
                <w:szCs w:val="24"/>
              </w:rPr>
              <w:t xml:space="preserve">the </w:t>
            </w:r>
            <w:r>
              <w:rPr>
                <w:rFonts w:ascii="Arial" w:hAnsi="Arial" w:cs="Arial"/>
                <w:szCs w:val="24"/>
              </w:rPr>
              <w:t xml:space="preserve">County </w:t>
            </w:r>
            <w:r w:rsidR="00EF77EF">
              <w:rPr>
                <w:rFonts w:ascii="Arial" w:hAnsi="Arial" w:cs="Arial"/>
                <w:szCs w:val="24"/>
              </w:rPr>
              <w:t xml:space="preserve">obligation to operate and maintain the streetcar consistent with the agreement and plans required under the </w:t>
            </w:r>
            <w:r w:rsidR="001A1EB0">
              <w:rPr>
                <w:rFonts w:ascii="Arial" w:hAnsi="Arial" w:cs="Arial"/>
                <w:szCs w:val="24"/>
              </w:rPr>
              <w:t xml:space="preserve">agreement, and the City obligation to </w:t>
            </w:r>
            <w:r w:rsidR="00822E71">
              <w:rPr>
                <w:rFonts w:ascii="Arial" w:hAnsi="Arial" w:cs="Arial"/>
                <w:szCs w:val="24"/>
              </w:rPr>
              <w:t xml:space="preserve">reimburse the County for streetcar-related costs, provide County with </w:t>
            </w:r>
            <w:r w:rsidR="009901D1">
              <w:rPr>
                <w:rFonts w:ascii="Arial" w:hAnsi="Arial" w:cs="Arial"/>
                <w:szCs w:val="24"/>
              </w:rPr>
              <w:t>an annual Service Plan</w:t>
            </w:r>
            <w:r w:rsidR="00AB4A4D">
              <w:rPr>
                <w:rFonts w:ascii="Arial" w:hAnsi="Arial" w:cs="Arial"/>
                <w:szCs w:val="24"/>
              </w:rPr>
              <w:t xml:space="preserve"> which covers hours of operation</w:t>
            </w:r>
            <w:r w:rsidR="001A1EB0">
              <w:rPr>
                <w:rFonts w:ascii="Arial" w:hAnsi="Arial" w:cs="Arial"/>
                <w:szCs w:val="24"/>
              </w:rPr>
              <w:t>, etc.</w:t>
            </w:r>
            <w:r w:rsidR="009901D1">
              <w:rPr>
                <w:rFonts w:ascii="Arial" w:hAnsi="Arial" w:cs="Arial"/>
                <w:szCs w:val="24"/>
              </w:rPr>
              <w:t>, and undertake</w:t>
            </w:r>
            <w:r w:rsidR="001A1EB0">
              <w:rPr>
                <w:rFonts w:ascii="Arial" w:hAnsi="Arial" w:cs="Arial"/>
                <w:szCs w:val="24"/>
              </w:rPr>
              <w:t xml:space="preserve"> necessary capital improvements </w:t>
            </w:r>
          </w:p>
        </w:tc>
      </w:tr>
      <w:tr w:rsidR="00BC3078" w:rsidRPr="001C4B19" w14:paraId="00D9DBF1" w14:textId="77777777" w:rsidTr="00CD26DB">
        <w:trPr>
          <w:jc w:val="center"/>
        </w:trPr>
        <w:tc>
          <w:tcPr>
            <w:tcW w:w="1123" w:type="dxa"/>
          </w:tcPr>
          <w:p w14:paraId="30F03E75" w14:textId="77777777" w:rsidR="00BC3078" w:rsidRPr="00BC3078" w:rsidRDefault="00EF53A1" w:rsidP="00DD3AFC">
            <w:pPr>
              <w:jc w:val="center"/>
              <w:rPr>
                <w:rFonts w:ascii="Arial" w:hAnsi="Arial" w:cs="Arial"/>
                <w:b/>
                <w:szCs w:val="24"/>
              </w:rPr>
            </w:pPr>
            <w:r>
              <w:rPr>
                <w:rFonts w:ascii="Arial" w:hAnsi="Arial" w:cs="Arial"/>
                <w:b/>
                <w:szCs w:val="24"/>
              </w:rPr>
              <w:t xml:space="preserve"> </w:t>
            </w:r>
            <w:r w:rsidR="0005273A">
              <w:rPr>
                <w:rFonts w:ascii="Arial" w:hAnsi="Arial" w:cs="Arial"/>
                <w:b/>
                <w:szCs w:val="24"/>
              </w:rPr>
              <w:t xml:space="preserve">4.0 </w:t>
            </w:r>
          </w:p>
        </w:tc>
        <w:tc>
          <w:tcPr>
            <w:tcW w:w="3036" w:type="dxa"/>
          </w:tcPr>
          <w:p w14:paraId="0B98D324" w14:textId="77777777" w:rsidR="00BC3078" w:rsidRPr="00BC3078" w:rsidRDefault="002116C8" w:rsidP="00294B4D">
            <w:pPr>
              <w:rPr>
                <w:rFonts w:ascii="Arial" w:hAnsi="Arial" w:cs="Arial"/>
                <w:szCs w:val="24"/>
              </w:rPr>
            </w:pPr>
            <w:r>
              <w:rPr>
                <w:rFonts w:ascii="Arial" w:hAnsi="Arial" w:cs="Arial"/>
                <w:szCs w:val="24"/>
              </w:rPr>
              <w:t>Compensation, Budget Process, Invoices, Payment and Cost Reconciliation</w:t>
            </w:r>
          </w:p>
        </w:tc>
        <w:tc>
          <w:tcPr>
            <w:tcW w:w="1470" w:type="dxa"/>
          </w:tcPr>
          <w:p w14:paraId="00E8CE3E" w14:textId="77777777" w:rsidR="00BC3078" w:rsidRPr="00BC3078" w:rsidRDefault="002116C8" w:rsidP="00DD3AFC">
            <w:pPr>
              <w:jc w:val="center"/>
              <w:rPr>
                <w:rFonts w:ascii="Arial" w:hAnsi="Arial" w:cs="Arial"/>
                <w:szCs w:val="24"/>
              </w:rPr>
            </w:pPr>
            <w:r>
              <w:rPr>
                <w:rFonts w:ascii="Arial" w:hAnsi="Arial" w:cs="Arial"/>
                <w:szCs w:val="24"/>
              </w:rPr>
              <w:t>4</w:t>
            </w:r>
          </w:p>
        </w:tc>
        <w:tc>
          <w:tcPr>
            <w:tcW w:w="3585" w:type="dxa"/>
          </w:tcPr>
          <w:p w14:paraId="7E3CE2E8" w14:textId="77777777" w:rsidR="00BC3078" w:rsidRPr="00BC3078" w:rsidRDefault="002116C8" w:rsidP="00294B4D">
            <w:pPr>
              <w:rPr>
                <w:rFonts w:ascii="Arial" w:hAnsi="Arial" w:cs="Arial"/>
                <w:szCs w:val="24"/>
              </w:rPr>
            </w:pPr>
            <w:r>
              <w:rPr>
                <w:rFonts w:ascii="Arial" w:hAnsi="Arial" w:cs="Arial"/>
                <w:szCs w:val="24"/>
              </w:rPr>
              <w:t>Describes allowable County costs to be reimbursed by the City, the County contribution</w:t>
            </w:r>
            <w:r w:rsidR="005C4A42">
              <w:rPr>
                <w:rFonts w:ascii="Arial" w:hAnsi="Arial" w:cs="Arial"/>
                <w:szCs w:val="24"/>
              </w:rPr>
              <w:t xml:space="preserve"> schedule and terms, and the process for budgeting, invoicing, and reconciliation</w:t>
            </w:r>
          </w:p>
        </w:tc>
      </w:tr>
      <w:tr w:rsidR="00BC3078" w:rsidRPr="001C4B19" w14:paraId="289CCA73" w14:textId="77777777" w:rsidTr="00CD26DB">
        <w:trPr>
          <w:jc w:val="center"/>
        </w:trPr>
        <w:tc>
          <w:tcPr>
            <w:tcW w:w="1123" w:type="dxa"/>
          </w:tcPr>
          <w:p w14:paraId="40D75CBB" w14:textId="77777777" w:rsidR="00BC3078" w:rsidRPr="00BC3078" w:rsidRDefault="005C4A42" w:rsidP="00DD3AFC">
            <w:pPr>
              <w:jc w:val="center"/>
              <w:rPr>
                <w:rFonts w:ascii="Arial" w:hAnsi="Arial" w:cs="Arial"/>
                <w:b/>
                <w:szCs w:val="24"/>
              </w:rPr>
            </w:pPr>
            <w:r>
              <w:rPr>
                <w:rFonts w:ascii="Arial" w:hAnsi="Arial" w:cs="Arial"/>
                <w:b/>
                <w:szCs w:val="24"/>
              </w:rPr>
              <w:t>5.0</w:t>
            </w:r>
          </w:p>
        </w:tc>
        <w:tc>
          <w:tcPr>
            <w:tcW w:w="3036" w:type="dxa"/>
          </w:tcPr>
          <w:p w14:paraId="210D43E9" w14:textId="77777777" w:rsidR="00BC3078" w:rsidRPr="00BC3078" w:rsidRDefault="005C4A42" w:rsidP="00294B4D">
            <w:pPr>
              <w:rPr>
                <w:rFonts w:ascii="Arial" w:hAnsi="Arial" w:cs="Arial"/>
                <w:szCs w:val="24"/>
              </w:rPr>
            </w:pPr>
            <w:r>
              <w:rPr>
                <w:rFonts w:ascii="Arial" w:hAnsi="Arial" w:cs="Arial"/>
                <w:szCs w:val="24"/>
              </w:rPr>
              <w:t>Ownership and Use of the Seattle Streetcar</w:t>
            </w:r>
          </w:p>
        </w:tc>
        <w:tc>
          <w:tcPr>
            <w:tcW w:w="1470" w:type="dxa"/>
          </w:tcPr>
          <w:p w14:paraId="14F2F5A6" w14:textId="77777777" w:rsidR="00BC3078" w:rsidRPr="00BC3078" w:rsidRDefault="005C4A42" w:rsidP="00DD3AFC">
            <w:pPr>
              <w:jc w:val="center"/>
              <w:rPr>
                <w:rFonts w:ascii="Arial" w:hAnsi="Arial" w:cs="Arial"/>
                <w:szCs w:val="24"/>
              </w:rPr>
            </w:pPr>
            <w:r>
              <w:rPr>
                <w:rFonts w:ascii="Arial" w:hAnsi="Arial" w:cs="Arial"/>
                <w:szCs w:val="24"/>
              </w:rPr>
              <w:t>8</w:t>
            </w:r>
          </w:p>
        </w:tc>
        <w:tc>
          <w:tcPr>
            <w:tcW w:w="3585" w:type="dxa"/>
          </w:tcPr>
          <w:p w14:paraId="47C69707" w14:textId="77777777" w:rsidR="00BC3078" w:rsidRPr="00BC3078" w:rsidRDefault="00A52BD2" w:rsidP="00294B4D">
            <w:pPr>
              <w:rPr>
                <w:rFonts w:ascii="Arial" w:hAnsi="Arial" w:cs="Arial"/>
                <w:szCs w:val="24"/>
              </w:rPr>
            </w:pPr>
            <w:r>
              <w:rPr>
                <w:rFonts w:ascii="Arial" w:hAnsi="Arial" w:cs="Arial"/>
                <w:szCs w:val="24"/>
              </w:rPr>
              <w:t>Provides that the City owns the streetcar facilities and streetcars which the County operates/maintains</w:t>
            </w:r>
            <w:r w:rsidR="005A51C9">
              <w:rPr>
                <w:rFonts w:ascii="Arial" w:hAnsi="Arial" w:cs="Arial"/>
                <w:szCs w:val="24"/>
              </w:rPr>
              <w:t xml:space="preserve">, </w:t>
            </w:r>
            <w:r w:rsidR="0066707B">
              <w:rPr>
                <w:rFonts w:ascii="Arial" w:hAnsi="Arial" w:cs="Arial"/>
                <w:szCs w:val="24"/>
              </w:rPr>
              <w:t xml:space="preserve">as well as </w:t>
            </w:r>
            <w:r>
              <w:rPr>
                <w:rFonts w:ascii="Arial" w:hAnsi="Arial" w:cs="Arial"/>
                <w:szCs w:val="24"/>
              </w:rPr>
              <w:t xml:space="preserve">the </w:t>
            </w:r>
            <w:r w:rsidR="005A51C9">
              <w:rPr>
                <w:rFonts w:ascii="Arial" w:hAnsi="Arial" w:cs="Arial"/>
                <w:szCs w:val="24"/>
              </w:rPr>
              <w:t>terms related to advertising</w:t>
            </w:r>
            <w:r w:rsidR="0066707B">
              <w:rPr>
                <w:rFonts w:ascii="Arial" w:hAnsi="Arial" w:cs="Arial"/>
                <w:szCs w:val="24"/>
              </w:rPr>
              <w:t>, fare collection, and special events</w:t>
            </w:r>
          </w:p>
        </w:tc>
      </w:tr>
      <w:tr w:rsidR="0066707B" w:rsidRPr="001C4B19" w14:paraId="1F70946A" w14:textId="77777777" w:rsidTr="00CD26DB">
        <w:trPr>
          <w:jc w:val="center"/>
        </w:trPr>
        <w:tc>
          <w:tcPr>
            <w:tcW w:w="1123" w:type="dxa"/>
          </w:tcPr>
          <w:p w14:paraId="220F6EA1" w14:textId="77777777" w:rsidR="0066707B" w:rsidRDefault="0066707B" w:rsidP="00DD3AFC">
            <w:pPr>
              <w:jc w:val="center"/>
              <w:rPr>
                <w:rFonts w:ascii="Arial" w:hAnsi="Arial" w:cs="Arial"/>
                <w:b/>
                <w:szCs w:val="24"/>
              </w:rPr>
            </w:pPr>
            <w:r>
              <w:rPr>
                <w:rFonts w:ascii="Arial" w:hAnsi="Arial" w:cs="Arial"/>
                <w:b/>
                <w:szCs w:val="24"/>
              </w:rPr>
              <w:t>6.0</w:t>
            </w:r>
          </w:p>
        </w:tc>
        <w:tc>
          <w:tcPr>
            <w:tcW w:w="3036" w:type="dxa"/>
          </w:tcPr>
          <w:p w14:paraId="4513C997" w14:textId="77777777" w:rsidR="0066707B" w:rsidRDefault="0066707B" w:rsidP="00294B4D">
            <w:pPr>
              <w:rPr>
                <w:rFonts w:ascii="Arial" w:hAnsi="Arial" w:cs="Arial"/>
                <w:szCs w:val="24"/>
              </w:rPr>
            </w:pPr>
            <w:r>
              <w:rPr>
                <w:rFonts w:ascii="Arial" w:hAnsi="Arial" w:cs="Arial"/>
                <w:szCs w:val="24"/>
              </w:rPr>
              <w:t>Operations</w:t>
            </w:r>
          </w:p>
        </w:tc>
        <w:tc>
          <w:tcPr>
            <w:tcW w:w="1470" w:type="dxa"/>
          </w:tcPr>
          <w:p w14:paraId="23297B0D" w14:textId="77777777" w:rsidR="0066707B" w:rsidRDefault="0066707B" w:rsidP="00DD3AFC">
            <w:pPr>
              <w:jc w:val="center"/>
              <w:rPr>
                <w:rFonts w:ascii="Arial" w:hAnsi="Arial" w:cs="Arial"/>
                <w:szCs w:val="24"/>
              </w:rPr>
            </w:pPr>
            <w:r>
              <w:rPr>
                <w:rFonts w:ascii="Arial" w:hAnsi="Arial" w:cs="Arial"/>
                <w:szCs w:val="24"/>
              </w:rPr>
              <w:t>10</w:t>
            </w:r>
          </w:p>
        </w:tc>
        <w:tc>
          <w:tcPr>
            <w:tcW w:w="3585" w:type="dxa"/>
          </w:tcPr>
          <w:p w14:paraId="0962695C" w14:textId="77777777" w:rsidR="0066707B" w:rsidRDefault="006B4661" w:rsidP="00294B4D">
            <w:pPr>
              <w:rPr>
                <w:rFonts w:ascii="Arial" w:hAnsi="Arial" w:cs="Arial"/>
                <w:szCs w:val="24"/>
              </w:rPr>
            </w:pPr>
            <w:r>
              <w:rPr>
                <w:rFonts w:ascii="Arial" w:hAnsi="Arial" w:cs="Arial"/>
                <w:szCs w:val="24"/>
              </w:rPr>
              <w:t xml:space="preserve">Outlines </w:t>
            </w:r>
            <w:r w:rsidR="005520B7">
              <w:rPr>
                <w:rFonts w:ascii="Arial" w:hAnsi="Arial" w:cs="Arial"/>
                <w:szCs w:val="24"/>
              </w:rPr>
              <w:t xml:space="preserve">the County </w:t>
            </w:r>
            <w:r>
              <w:rPr>
                <w:rFonts w:ascii="Arial" w:hAnsi="Arial" w:cs="Arial"/>
                <w:szCs w:val="24"/>
              </w:rPr>
              <w:t>reporting requirements and responsibilities in the event of an accident or extended streetcar service disruption</w:t>
            </w:r>
          </w:p>
        </w:tc>
      </w:tr>
      <w:tr w:rsidR="006B4661" w:rsidRPr="001C4B19" w14:paraId="37F3B3C7" w14:textId="77777777" w:rsidTr="00722B95">
        <w:trPr>
          <w:cantSplit/>
          <w:jc w:val="center"/>
        </w:trPr>
        <w:tc>
          <w:tcPr>
            <w:tcW w:w="1123" w:type="dxa"/>
          </w:tcPr>
          <w:p w14:paraId="3CFA5D81" w14:textId="77777777" w:rsidR="006B4661" w:rsidRDefault="006B4661" w:rsidP="00DD3AFC">
            <w:pPr>
              <w:jc w:val="center"/>
              <w:rPr>
                <w:rFonts w:ascii="Arial" w:hAnsi="Arial" w:cs="Arial"/>
                <w:b/>
                <w:szCs w:val="24"/>
              </w:rPr>
            </w:pPr>
            <w:r>
              <w:rPr>
                <w:rFonts w:ascii="Arial" w:hAnsi="Arial" w:cs="Arial"/>
                <w:b/>
                <w:szCs w:val="24"/>
              </w:rPr>
              <w:lastRenderedPageBreak/>
              <w:t>7.0</w:t>
            </w:r>
          </w:p>
        </w:tc>
        <w:tc>
          <w:tcPr>
            <w:tcW w:w="3036" w:type="dxa"/>
          </w:tcPr>
          <w:p w14:paraId="6BE20423" w14:textId="77777777" w:rsidR="006B4661" w:rsidRDefault="006B4661" w:rsidP="00294B4D">
            <w:pPr>
              <w:rPr>
                <w:rFonts w:ascii="Arial" w:hAnsi="Arial" w:cs="Arial"/>
                <w:szCs w:val="24"/>
              </w:rPr>
            </w:pPr>
            <w:r>
              <w:rPr>
                <w:rFonts w:ascii="Arial" w:hAnsi="Arial" w:cs="Arial"/>
                <w:szCs w:val="24"/>
              </w:rPr>
              <w:t>Maintenance</w:t>
            </w:r>
          </w:p>
        </w:tc>
        <w:tc>
          <w:tcPr>
            <w:tcW w:w="1470" w:type="dxa"/>
          </w:tcPr>
          <w:p w14:paraId="58C5B098" w14:textId="77777777" w:rsidR="006B4661" w:rsidRDefault="006B4661" w:rsidP="00DD3AFC">
            <w:pPr>
              <w:jc w:val="center"/>
              <w:rPr>
                <w:rFonts w:ascii="Arial" w:hAnsi="Arial" w:cs="Arial"/>
                <w:szCs w:val="24"/>
              </w:rPr>
            </w:pPr>
            <w:r>
              <w:rPr>
                <w:rFonts w:ascii="Arial" w:hAnsi="Arial" w:cs="Arial"/>
                <w:szCs w:val="24"/>
              </w:rPr>
              <w:t>11</w:t>
            </w:r>
          </w:p>
        </w:tc>
        <w:tc>
          <w:tcPr>
            <w:tcW w:w="3585" w:type="dxa"/>
          </w:tcPr>
          <w:p w14:paraId="3314970E" w14:textId="77777777" w:rsidR="006B4661" w:rsidRDefault="006B4661" w:rsidP="00294B4D">
            <w:pPr>
              <w:rPr>
                <w:rFonts w:ascii="Arial" w:hAnsi="Arial" w:cs="Arial"/>
                <w:szCs w:val="24"/>
              </w:rPr>
            </w:pPr>
            <w:r>
              <w:rPr>
                <w:rFonts w:ascii="Arial" w:hAnsi="Arial" w:cs="Arial"/>
                <w:szCs w:val="24"/>
              </w:rPr>
              <w:t>Describes</w:t>
            </w:r>
            <w:r w:rsidR="00B74815">
              <w:rPr>
                <w:rFonts w:ascii="Arial" w:hAnsi="Arial" w:cs="Arial"/>
                <w:szCs w:val="24"/>
              </w:rPr>
              <w:t xml:space="preserve"> the</w:t>
            </w:r>
            <w:r w:rsidR="00492EB8">
              <w:rPr>
                <w:rFonts w:ascii="Arial" w:hAnsi="Arial" w:cs="Arial"/>
                <w:szCs w:val="24"/>
              </w:rPr>
              <w:t xml:space="preserve"> </w:t>
            </w:r>
            <w:r w:rsidR="00671001">
              <w:rPr>
                <w:rFonts w:ascii="Arial" w:hAnsi="Arial" w:cs="Arial"/>
                <w:szCs w:val="24"/>
              </w:rPr>
              <w:t xml:space="preserve">City and County maintenance responsibilities </w:t>
            </w:r>
            <w:r w:rsidR="003C36B6">
              <w:rPr>
                <w:rFonts w:ascii="Arial" w:hAnsi="Arial" w:cs="Arial"/>
                <w:szCs w:val="24"/>
              </w:rPr>
              <w:t>and standards</w:t>
            </w:r>
          </w:p>
        </w:tc>
      </w:tr>
      <w:tr w:rsidR="00B74815" w:rsidRPr="001C4B19" w14:paraId="25F86F12" w14:textId="77777777" w:rsidTr="00CD26DB">
        <w:trPr>
          <w:trHeight w:val="1277"/>
          <w:jc w:val="center"/>
        </w:trPr>
        <w:tc>
          <w:tcPr>
            <w:tcW w:w="1123" w:type="dxa"/>
          </w:tcPr>
          <w:p w14:paraId="1B449BE8" w14:textId="77777777" w:rsidR="00B74815" w:rsidRDefault="00B74815" w:rsidP="00DD3AFC">
            <w:pPr>
              <w:jc w:val="center"/>
              <w:rPr>
                <w:rFonts w:ascii="Arial" w:hAnsi="Arial" w:cs="Arial"/>
                <w:b/>
                <w:szCs w:val="24"/>
              </w:rPr>
            </w:pPr>
            <w:r>
              <w:rPr>
                <w:rFonts w:ascii="Arial" w:hAnsi="Arial" w:cs="Arial"/>
                <w:b/>
                <w:szCs w:val="24"/>
              </w:rPr>
              <w:t>8.0</w:t>
            </w:r>
          </w:p>
        </w:tc>
        <w:tc>
          <w:tcPr>
            <w:tcW w:w="3036" w:type="dxa"/>
          </w:tcPr>
          <w:p w14:paraId="321DD91E" w14:textId="77777777" w:rsidR="00B74815" w:rsidRDefault="00B74815" w:rsidP="00294B4D">
            <w:pPr>
              <w:rPr>
                <w:rFonts w:ascii="Arial" w:hAnsi="Arial" w:cs="Arial"/>
                <w:szCs w:val="24"/>
              </w:rPr>
            </w:pPr>
            <w:r>
              <w:rPr>
                <w:rFonts w:ascii="Arial" w:hAnsi="Arial" w:cs="Arial"/>
                <w:szCs w:val="24"/>
              </w:rPr>
              <w:t>Customer Service, Information, and Marketing</w:t>
            </w:r>
          </w:p>
        </w:tc>
        <w:tc>
          <w:tcPr>
            <w:tcW w:w="1470" w:type="dxa"/>
          </w:tcPr>
          <w:p w14:paraId="3E1F1277" w14:textId="77777777" w:rsidR="00B74815" w:rsidRDefault="00B74815" w:rsidP="00DD3AFC">
            <w:pPr>
              <w:jc w:val="center"/>
              <w:rPr>
                <w:rFonts w:ascii="Arial" w:hAnsi="Arial" w:cs="Arial"/>
                <w:szCs w:val="24"/>
              </w:rPr>
            </w:pPr>
            <w:r>
              <w:rPr>
                <w:rFonts w:ascii="Arial" w:hAnsi="Arial" w:cs="Arial"/>
                <w:szCs w:val="24"/>
              </w:rPr>
              <w:t>14</w:t>
            </w:r>
          </w:p>
        </w:tc>
        <w:tc>
          <w:tcPr>
            <w:tcW w:w="3585" w:type="dxa"/>
          </w:tcPr>
          <w:p w14:paraId="49142C68" w14:textId="77777777" w:rsidR="0091423F" w:rsidRDefault="00B74815" w:rsidP="00294B4D">
            <w:pPr>
              <w:rPr>
                <w:rFonts w:ascii="Arial" w:hAnsi="Arial" w:cs="Arial"/>
                <w:szCs w:val="24"/>
              </w:rPr>
            </w:pPr>
            <w:r>
              <w:rPr>
                <w:rFonts w:ascii="Arial" w:hAnsi="Arial" w:cs="Arial"/>
                <w:szCs w:val="24"/>
              </w:rPr>
              <w:t>Outline</w:t>
            </w:r>
            <w:r w:rsidR="00095ABA">
              <w:rPr>
                <w:rFonts w:ascii="Arial" w:hAnsi="Arial" w:cs="Arial"/>
                <w:szCs w:val="24"/>
              </w:rPr>
              <w:t>s roles and responsibilities related to customer information and media relations</w:t>
            </w:r>
          </w:p>
        </w:tc>
      </w:tr>
      <w:tr w:rsidR="00095ABA" w:rsidRPr="001C4B19" w14:paraId="7AD260E6" w14:textId="77777777" w:rsidTr="00CD26DB">
        <w:trPr>
          <w:jc w:val="center"/>
        </w:trPr>
        <w:tc>
          <w:tcPr>
            <w:tcW w:w="1123" w:type="dxa"/>
          </w:tcPr>
          <w:p w14:paraId="46C9BE7C" w14:textId="77777777" w:rsidR="00095ABA" w:rsidRDefault="00095ABA" w:rsidP="00DD3AFC">
            <w:pPr>
              <w:jc w:val="center"/>
              <w:rPr>
                <w:rFonts w:ascii="Arial" w:hAnsi="Arial" w:cs="Arial"/>
                <w:b/>
                <w:szCs w:val="24"/>
              </w:rPr>
            </w:pPr>
            <w:r>
              <w:rPr>
                <w:rFonts w:ascii="Arial" w:hAnsi="Arial" w:cs="Arial"/>
                <w:b/>
                <w:szCs w:val="24"/>
              </w:rPr>
              <w:t>9.0</w:t>
            </w:r>
          </w:p>
        </w:tc>
        <w:tc>
          <w:tcPr>
            <w:tcW w:w="3036" w:type="dxa"/>
          </w:tcPr>
          <w:p w14:paraId="449D76AF" w14:textId="77777777" w:rsidR="00095ABA" w:rsidRDefault="00095ABA" w:rsidP="00294B4D">
            <w:pPr>
              <w:rPr>
                <w:rFonts w:ascii="Arial" w:hAnsi="Arial" w:cs="Arial"/>
                <w:szCs w:val="24"/>
              </w:rPr>
            </w:pPr>
            <w:r>
              <w:rPr>
                <w:rFonts w:ascii="Arial" w:hAnsi="Arial" w:cs="Arial"/>
                <w:szCs w:val="24"/>
              </w:rPr>
              <w:t>Safety</w:t>
            </w:r>
          </w:p>
        </w:tc>
        <w:tc>
          <w:tcPr>
            <w:tcW w:w="1470" w:type="dxa"/>
          </w:tcPr>
          <w:p w14:paraId="67DEF708" w14:textId="77777777" w:rsidR="00095ABA" w:rsidRDefault="00095ABA" w:rsidP="00DD3AFC">
            <w:pPr>
              <w:jc w:val="center"/>
              <w:rPr>
                <w:rFonts w:ascii="Arial" w:hAnsi="Arial" w:cs="Arial"/>
                <w:szCs w:val="24"/>
              </w:rPr>
            </w:pPr>
            <w:r>
              <w:rPr>
                <w:rFonts w:ascii="Arial" w:hAnsi="Arial" w:cs="Arial"/>
                <w:szCs w:val="24"/>
              </w:rPr>
              <w:t>14</w:t>
            </w:r>
          </w:p>
        </w:tc>
        <w:tc>
          <w:tcPr>
            <w:tcW w:w="3585" w:type="dxa"/>
          </w:tcPr>
          <w:p w14:paraId="6FB7D77A" w14:textId="77777777" w:rsidR="00095ABA" w:rsidRDefault="00095ABA" w:rsidP="00294B4D">
            <w:pPr>
              <w:rPr>
                <w:rFonts w:ascii="Arial" w:hAnsi="Arial" w:cs="Arial"/>
                <w:szCs w:val="24"/>
              </w:rPr>
            </w:pPr>
            <w:r>
              <w:rPr>
                <w:rFonts w:ascii="Arial" w:hAnsi="Arial" w:cs="Arial"/>
                <w:szCs w:val="24"/>
              </w:rPr>
              <w:t xml:space="preserve">Describes roles and responsibilities related to safety </w:t>
            </w:r>
            <w:r w:rsidR="006464B8">
              <w:rPr>
                <w:rFonts w:ascii="Arial" w:hAnsi="Arial" w:cs="Arial"/>
                <w:szCs w:val="24"/>
              </w:rPr>
              <w:t>planning and oversight</w:t>
            </w:r>
          </w:p>
        </w:tc>
      </w:tr>
      <w:tr w:rsidR="006464B8" w:rsidRPr="001C4B19" w14:paraId="49E41494" w14:textId="77777777" w:rsidTr="00CD26DB">
        <w:trPr>
          <w:jc w:val="center"/>
        </w:trPr>
        <w:tc>
          <w:tcPr>
            <w:tcW w:w="1123" w:type="dxa"/>
          </w:tcPr>
          <w:p w14:paraId="73DC41E0" w14:textId="77777777" w:rsidR="006464B8" w:rsidRDefault="006464B8" w:rsidP="00DD3AFC">
            <w:pPr>
              <w:jc w:val="center"/>
              <w:rPr>
                <w:rFonts w:ascii="Arial" w:hAnsi="Arial" w:cs="Arial"/>
                <w:b/>
                <w:szCs w:val="24"/>
              </w:rPr>
            </w:pPr>
            <w:r>
              <w:rPr>
                <w:rFonts w:ascii="Arial" w:hAnsi="Arial" w:cs="Arial"/>
                <w:b/>
                <w:szCs w:val="24"/>
              </w:rPr>
              <w:t>10.0</w:t>
            </w:r>
          </w:p>
        </w:tc>
        <w:tc>
          <w:tcPr>
            <w:tcW w:w="3036" w:type="dxa"/>
          </w:tcPr>
          <w:p w14:paraId="63D824FC" w14:textId="77777777" w:rsidR="006464B8" w:rsidRDefault="006464B8" w:rsidP="00294B4D">
            <w:pPr>
              <w:rPr>
                <w:rFonts w:ascii="Arial" w:hAnsi="Arial" w:cs="Arial"/>
                <w:szCs w:val="24"/>
              </w:rPr>
            </w:pPr>
            <w:r>
              <w:rPr>
                <w:rFonts w:ascii="Arial" w:hAnsi="Arial" w:cs="Arial"/>
                <w:szCs w:val="24"/>
              </w:rPr>
              <w:t>Security and Law Enforcement</w:t>
            </w:r>
          </w:p>
        </w:tc>
        <w:tc>
          <w:tcPr>
            <w:tcW w:w="1470" w:type="dxa"/>
          </w:tcPr>
          <w:p w14:paraId="760FC610" w14:textId="77777777" w:rsidR="006464B8" w:rsidRDefault="006464B8" w:rsidP="00DD3AFC">
            <w:pPr>
              <w:jc w:val="center"/>
              <w:rPr>
                <w:rFonts w:ascii="Arial" w:hAnsi="Arial" w:cs="Arial"/>
                <w:szCs w:val="24"/>
              </w:rPr>
            </w:pPr>
            <w:r>
              <w:rPr>
                <w:rFonts w:ascii="Arial" w:hAnsi="Arial" w:cs="Arial"/>
                <w:szCs w:val="24"/>
              </w:rPr>
              <w:t>15</w:t>
            </w:r>
          </w:p>
        </w:tc>
        <w:tc>
          <w:tcPr>
            <w:tcW w:w="3585" w:type="dxa"/>
          </w:tcPr>
          <w:p w14:paraId="562E50F1" w14:textId="77777777" w:rsidR="006464B8" w:rsidRDefault="006464B8" w:rsidP="00294B4D">
            <w:pPr>
              <w:rPr>
                <w:rFonts w:ascii="Arial" w:hAnsi="Arial" w:cs="Arial"/>
                <w:szCs w:val="24"/>
              </w:rPr>
            </w:pPr>
            <w:r>
              <w:rPr>
                <w:rFonts w:ascii="Arial" w:hAnsi="Arial" w:cs="Arial"/>
                <w:szCs w:val="24"/>
              </w:rPr>
              <w:t>Outlines roles and responsibilities with regard to system security</w:t>
            </w:r>
            <w:r w:rsidR="0091509C">
              <w:rPr>
                <w:rFonts w:ascii="Arial" w:hAnsi="Arial" w:cs="Arial"/>
                <w:szCs w:val="24"/>
              </w:rPr>
              <w:t xml:space="preserve"> and security planning</w:t>
            </w:r>
          </w:p>
        </w:tc>
      </w:tr>
      <w:tr w:rsidR="0091509C" w:rsidRPr="001C4B19" w14:paraId="6B2A3C30" w14:textId="77777777" w:rsidTr="00CD26DB">
        <w:trPr>
          <w:jc w:val="center"/>
        </w:trPr>
        <w:tc>
          <w:tcPr>
            <w:tcW w:w="1123" w:type="dxa"/>
          </w:tcPr>
          <w:p w14:paraId="4DF6423D" w14:textId="77777777" w:rsidR="0091509C" w:rsidRDefault="0091509C" w:rsidP="00DD3AFC">
            <w:pPr>
              <w:jc w:val="center"/>
              <w:rPr>
                <w:rFonts w:ascii="Arial" w:hAnsi="Arial" w:cs="Arial"/>
                <w:b/>
                <w:szCs w:val="24"/>
              </w:rPr>
            </w:pPr>
            <w:r>
              <w:rPr>
                <w:rFonts w:ascii="Arial" w:hAnsi="Arial" w:cs="Arial"/>
                <w:b/>
                <w:szCs w:val="24"/>
              </w:rPr>
              <w:t>11.0</w:t>
            </w:r>
          </w:p>
        </w:tc>
        <w:tc>
          <w:tcPr>
            <w:tcW w:w="3036" w:type="dxa"/>
          </w:tcPr>
          <w:p w14:paraId="7B57FB25" w14:textId="77777777" w:rsidR="0091509C" w:rsidRDefault="0091509C" w:rsidP="00294B4D">
            <w:pPr>
              <w:rPr>
                <w:rFonts w:ascii="Arial" w:hAnsi="Arial" w:cs="Arial"/>
                <w:szCs w:val="24"/>
              </w:rPr>
            </w:pPr>
            <w:r>
              <w:rPr>
                <w:rFonts w:ascii="Arial" w:hAnsi="Arial" w:cs="Arial"/>
                <w:szCs w:val="24"/>
              </w:rPr>
              <w:t>Overhead Contact System</w:t>
            </w:r>
          </w:p>
        </w:tc>
        <w:tc>
          <w:tcPr>
            <w:tcW w:w="1470" w:type="dxa"/>
          </w:tcPr>
          <w:p w14:paraId="794AA43D" w14:textId="77777777" w:rsidR="0091509C" w:rsidRDefault="0091509C" w:rsidP="00DD3AFC">
            <w:pPr>
              <w:jc w:val="center"/>
              <w:rPr>
                <w:rFonts w:ascii="Arial" w:hAnsi="Arial" w:cs="Arial"/>
                <w:szCs w:val="24"/>
              </w:rPr>
            </w:pPr>
            <w:r>
              <w:rPr>
                <w:rFonts w:ascii="Arial" w:hAnsi="Arial" w:cs="Arial"/>
                <w:szCs w:val="24"/>
              </w:rPr>
              <w:t>15</w:t>
            </w:r>
          </w:p>
        </w:tc>
        <w:tc>
          <w:tcPr>
            <w:tcW w:w="3585" w:type="dxa"/>
          </w:tcPr>
          <w:p w14:paraId="3F8BA448" w14:textId="77777777" w:rsidR="0091509C" w:rsidRDefault="001B570A" w:rsidP="00294B4D">
            <w:pPr>
              <w:rPr>
                <w:rFonts w:ascii="Arial" w:hAnsi="Arial" w:cs="Arial"/>
                <w:szCs w:val="24"/>
              </w:rPr>
            </w:pPr>
            <w:r>
              <w:rPr>
                <w:rFonts w:ascii="Arial" w:hAnsi="Arial" w:cs="Arial"/>
                <w:szCs w:val="24"/>
              </w:rPr>
              <w:t>Acknowledges close proximity of the streetcar’s Overhead Contact System and the County’s Electric Trolley Bus system</w:t>
            </w:r>
            <w:r w:rsidR="002B0AE3">
              <w:rPr>
                <w:rFonts w:ascii="Arial" w:hAnsi="Arial" w:cs="Arial"/>
                <w:szCs w:val="24"/>
              </w:rPr>
              <w:t xml:space="preserve"> and provides a process for </w:t>
            </w:r>
            <w:r w:rsidR="001A14AD">
              <w:rPr>
                <w:rFonts w:ascii="Arial" w:hAnsi="Arial" w:cs="Arial"/>
                <w:szCs w:val="24"/>
              </w:rPr>
              <w:t xml:space="preserve">cooperation </w:t>
            </w:r>
            <w:r w:rsidR="00245A7B">
              <w:rPr>
                <w:rFonts w:ascii="Arial" w:hAnsi="Arial" w:cs="Arial"/>
                <w:szCs w:val="24"/>
              </w:rPr>
              <w:t xml:space="preserve">in </w:t>
            </w:r>
            <w:r w:rsidR="002B0AE3">
              <w:rPr>
                <w:rFonts w:ascii="Arial" w:hAnsi="Arial" w:cs="Arial"/>
                <w:szCs w:val="24"/>
              </w:rPr>
              <w:t>maintenance work</w:t>
            </w:r>
          </w:p>
        </w:tc>
      </w:tr>
      <w:tr w:rsidR="002B0AE3" w:rsidRPr="001C4B19" w14:paraId="3FDA533F" w14:textId="77777777" w:rsidTr="00CD26DB">
        <w:trPr>
          <w:jc w:val="center"/>
        </w:trPr>
        <w:tc>
          <w:tcPr>
            <w:tcW w:w="1123" w:type="dxa"/>
          </w:tcPr>
          <w:p w14:paraId="4E53FC11" w14:textId="77777777" w:rsidR="002B0AE3" w:rsidRDefault="002B0AE3" w:rsidP="00DD3AFC">
            <w:pPr>
              <w:jc w:val="center"/>
              <w:rPr>
                <w:rFonts w:ascii="Arial" w:hAnsi="Arial" w:cs="Arial"/>
                <w:b/>
                <w:szCs w:val="24"/>
              </w:rPr>
            </w:pPr>
            <w:r>
              <w:rPr>
                <w:rFonts w:ascii="Arial" w:hAnsi="Arial" w:cs="Arial"/>
                <w:b/>
                <w:szCs w:val="24"/>
              </w:rPr>
              <w:t>12.0</w:t>
            </w:r>
          </w:p>
        </w:tc>
        <w:tc>
          <w:tcPr>
            <w:tcW w:w="3036" w:type="dxa"/>
          </w:tcPr>
          <w:p w14:paraId="06F9F11F" w14:textId="77777777" w:rsidR="002B0AE3" w:rsidRDefault="002B0AE3" w:rsidP="00294B4D">
            <w:pPr>
              <w:rPr>
                <w:rFonts w:ascii="Arial" w:hAnsi="Arial" w:cs="Arial"/>
                <w:szCs w:val="24"/>
              </w:rPr>
            </w:pPr>
            <w:r>
              <w:rPr>
                <w:rFonts w:ascii="Arial" w:hAnsi="Arial" w:cs="Arial"/>
                <w:szCs w:val="24"/>
              </w:rPr>
              <w:t>Administration</w:t>
            </w:r>
          </w:p>
        </w:tc>
        <w:tc>
          <w:tcPr>
            <w:tcW w:w="1470" w:type="dxa"/>
          </w:tcPr>
          <w:p w14:paraId="3DA3D6AD" w14:textId="77777777" w:rsidR="002B0AE3" w:rsidRDefault="002B0AE3" w:rsidP="00DD3AFC">
            <w:pPr>
              <w:jc w:val="center"/>
              <w:rPr>
                <w:rFonts w:ascii="Arial" w:hAnsi="Arial" w:cs="Arial"/>
                <w:szCs w:val="24"/>
              </w:rPr>
            </w:pPr>
            <w:r>
              <w:rPr>
                <w:rFonts w:ascii="Arial" w:hAnsi="Arial" w:cs="Arial"/>
                <w:szCs w:val="24"/>
              </w:rPr>
              <w:t>15</w:t>
            </w:r>
          </w:p>
        </w:tc>
        <w:tc>
          <w:tcPr>
            <w:tcW w:w="3585" w:type="dxa"/>
          </w:tcPr>
          <w:p w14:paraId="516F8F53" w14:textId="77777777" w:rsidR="002B0AE3" w:rsidRDefault="004F6FBF" w:rsidP="00294B4D">
            <w:pPr>
              <w:rPr>
                <w:rFonts w:ascii="Arial" w:hAnsi="Arial" w:cs="Arial"/>
                <w:szCs w:val="24"/>
              </w:rPr>
            </w:pPr>
            <w:r>
              <w:rPr>
                <w:rFonts w:ascii="Arial" w:hAnsi="Arial" w:cs="Arial"/>
                <w:szCs w:val="24"/>
              </w:rPr>
              <w:t>Describes roles and responsibilities related to personnel</w:t>
            </w:r>
          </w:p>
        </w:tc>
      </w:tr>
      <w:tr w:rsidR="00076B18" w:rsidRPr="001C4B19" w14:paraId="307B733D" w14:textId="77777777" w:rsidTr="00CD26DB">
        <w:trPr>
          <w:jc w:val="center"/>
        </w:trPr>
        <w:tc>
          <w:tcPr>
            <w:tcW w:w="1123" w:type="dxa"/>
          </w:tcPr>
          <w:p w14:paraId="35B86789" w14:textId="77777777" w:rsidR="00076B18" w:rsidRDefault="00076B18" w:rsidP="00DD3AFC">
            <w:pPr>
              <w:jc w:val="center"/>
              <w:rPr>
                <w:rFonts w:ascii="Arial" w:hAnsi="Arial" w:cs="Arial"/>
                <w:b/>
                <w:szCs w:val="24"/>
              </w:rPr>
            </w:pPr>
            <w:r>
              <w:rPr>
                <w:rFonts w:ascii="Arial" w:hAnsi="Arial" w:cs="Arial"/>
                <w:b/>
                <w:szCs w:val="24"/>
              </w:rPr>
              <w:t>13.0</w:t>
            </w:r>
          </w:p>
        </w:tc>
        <w:tc>
          <w:tcPr>
            <w:tcW w:w="3036" w:type="dxa"/>
          </w:tcPr>
          <w:p w14:paraId="7E68CFD4" w14:textId="77777777" w:rsidR="00076B18" w:rsidRDefault="00076B18" w:rsidP="00294B4D">
            <w:pPr>
              <w:rPr>
                <w:rFonts w:ascii="Arial" w:hAnsi="Arial" w:cs="Arial"/>
                <w:szCs w:val="24"/>
              </w:rPr>
            </w:pPr>
            <w:r>
              <w:rPr>
                <w:rFonts w:ascii="Arial" w:hAnsi="Arial" w:cs="Arial"/>
                <w:szCs w:val="24"/>
              </w:rPr>
              <w:t>Audits, Records, and Reports</w:t>
            </w:r>
          </w:p>
        </w:tc>
        <w:tc>
          <w:tcPr>
            <w:tcW w:w="1470" w:type="dxa"/>
          </w:tcPr>
          <w:p w14:paraId="15F9E8C9" w14:textId="77777777" w:rsidR="00076B18" w:rsidRDefault="00076B18" w:rsidP="00DD3AFC">
            <w:pPr>
              <w:jc w:val="center"/>
              <w:rPr>
                <w:rFonts w:ascii="Arial" w:hAnsi="Arial" w:cs="Arial"/>
                <w:szCs w:val="24"/>
              </w:rPr>
            </w:pPr>
            <w:r>
              <w:rPr>
                <w:rFonts w:ascii="Arial" w:hAnsi="Arial" w:cs="Arial"/>
                <w:szCs w:val="24"/>
              </w:rPr>
              <w:t>16</w:t>
            </w:r>
          </w:p>
        </w:tc>
        <w:tc>
          <w:tcPr>
            <w:tcW w:w="3585" w:type="dxa"/>
          </w:tcPr>
          <w:p w14:paraId="2F6428BC" w14:textId="77777777" w:rsidR="00076B18" w:rsidRDefault="00A03F83" w:rsidP="00294B4D">
            <w:pPr>
              <w:rPr>
                <w:rFonts w:ascii="Arial" w:hAnsi="Arial" w:cs="Arial"/>
                <w:szCs w:val="24"/>
              </w:rPr>
            </w:pPr>
            <w:r>
              <w:rPr>
                <w:rFonts w:ascii="Arial" w:hAnsi="Arial" w:cs="Arial"/>
                <w:szCs w:val="24"/>
              </w:rPr>
              <w:t xml:space="preserve">Provides for audit rights on the part of either party, as </w:t>
            </w:r>
            <w:r w:rsidR="00646108">
              <w:rPr>
                <w:rFonts w:ascii="Arial" w:hAnsi="Arial" w:cs="Arial"/>
                <w:szCs w:val="24"/>
              </w:rPr>
              <w:t>well as agreement to maintain records in the case of outside audit</w:t>
            </w:r>
          </w:p>
        </w:tc>
      </w:tr>
      <w:tr w:rsidR="00646108" w:rsidRPr="001C4B19" w14:paraId="73826BFE" w14:textId="77777777" w:rsidTr="00CD26DB">
        <w:trPr>
          <w:jc w:val="center"/>
        </w:trPr>
        <w:tc>
          <w:tcPr>
            <w:tcW w:w="1123" w:type="dxa"/>
          </w:tcPr>
          <w:p w14:paraId="0B00B4D1" w14:textId="77777777" w:rsidR="00646108" w:rsidRDefault="00646108" w:rsidP="00DD3AFC">
            <w:pPr>
              <w:jc w:val="center"/>
              <w:rPr>
                <w:rFonts w:ascii="Arial" w:hAnsi="Arial" w:cs="Arial"/>
                <w:b/>
                <w:szCs w:val="24"/>
              </w:rPr>
            </w:pPr>
            <w:r>
              <w:rPr>
                <w:rFonts w:ascii="Arial" w:hAnsi="Arial" w:cs="Arial"/>
                <w:b/>
                <w:szCs w:val="24"/>
              </w:rPr>
              <w:t>14.0</w:t>
            </w:r>
          </w:p>
        </w:tc>
        <w:tc>
          <w:tcPr>
            <w:tcW w:w="3036" w:type="dxa"/>
          </w:tcPr>
          <w:p w14:paraId="35257E9B" w14:textId="77777777" w:rsidR="00646108" w:rsidRDefault="00646108" w:rsidP="00294B4D">
            <w:pPr>
              <w:rPr>
                <w:rFonts w:ascii="Arial" w:hAnsi="Arial" w:cs="Arial"/>
                <w:szCs w:val="24"/>
              </w:rPr>
            </w:pPr>
            <w:r>
              <w:rPr>
                <w:rFonts w:ascii="Arial" w:hAnsi="Arial" w:cs="Arial"/>
                <w:szCs w:val="24"/>
              </w:rPr>
              <w:t>Performance Requirements and Reporting</w:t>
            </w:r>
          </w:p>
        </w:tc>
        <w:tc>
          <w:tcPr>
            <w:tcW w:w="1470" w:type="dxa"/>
          </w:tcPr>
          <w:p w14:paraId="7A76E17D" w14:textId="77777777" w:rsidR="00646108" w:rsidRDefault="00646108" w:rsidP="00DD3AFC">
            <w:pPr>
              <w:jc w:val="center"/>
              <w:rPr>
                <w:rFonts w:ascii="Arial" w:hAnsi="Arial" w:cs="Arial"/>
                <w:szCs w:val="24"/>
              </w:rPr>
            </w:pPr>
            <w:r>
              <w:rPr>
                <w:rFonts w:ascii="Arial" w:hAnsi="Arial" w:cs="Arial"/>
                <w:szCs w:val="24"/>
              </w:rPr>
              <w:t>16</w:t>
            </w:r>
          </w:p>
        </w:tc>
        <w:tc>
          <w:tcPr>
            <w:tcW w:w="3585" w:type="dxa"/>
          </w:tcPr>
          <w:p w14:paraId="3DB568CE" w14:textId="77777777" w:rsidR="00646108" w:rsidRDefault="00C45043" w:rsidP="00294B4D">
            <w:pPr>
              <w:rPr>
                <w:rFonts w:ascii="Arial" w:hAnsi="Arial" w:cs="Arial"/>
                <w:szCs w:val="24"/>
              </w:rPr>
            </w:pPr>
            <w:r>
              <w:rPr>
                <w:rFonts w:ascii="Arial" w:hAnsi="Arial" w:cs="Arial"/>
                <w:szCs w:val="24"/>
              </w:rPr>
              <w:t>Describes ridership reporting and performance reporting responsibilities</w:t>
            </w:r>
          </w:p>
        </w:tc>
      </w:tr>
      <w:tr w:rsidR="00C45043" w:rsidRPr="001C4B19" w14:paraId="6CE10948" w14:textId="77777777" w:rsidTr="00CD26DB">
        <w:trPr>
          <w:jc w:val="center"/>
        </w:trPr>
        <w:tc>
          <w:tcPr>
            <w:tcW w:w="1123" w:type="dxa"/>
          </w:tcPr>
          <w:p w14:paraId="6D75E236" w14:textId="77777777" w:rsidR="00C45043" w:rsidRDefault="00C45043" w:rsidP="00DD3AFC">
            <w:pPr>
              <w:jc w:val="center"/>
              <w:rPr>
                <w:rFonts w:ascii="Arial" w:hAnsi="Arial" w:cs="Arial"/>
                <w:b/>
                <w:szCs w:val="24"/>
              </w:rPr>
            </w:pPr>
            <w:r>
              <w:rPr>
                <w:rFonts w:ascii="Arial" w:hAnsi="Arial" w:cs="Arial"/>
                <w:b/>
                <w:szCs w:val="24"/>
              </w:rPr>
              <w:t>15.0</w:t>
            </w:r>
          </w:p>
        </w:tc>
        <w:tc>
          <w:tcPr>
            <w:tcW w:w="3036" w:type="dxa"/>
          </w:tcPr>
          <w:p w14:paraId="5E742408" w14:textId="77777777" w:rsidR="00C45043" w:rsidRDefault="00566424" w:rsidP="00294B4D">
            <w:pPr>
              <w:rPr>
                <w:rFonts w:ascii="Arial" w:hAnsi="Arial" w:cs="Arial"/>
                <w:szCs w:val="24"/>
              </w:rPr>
            </w:pPr>
            <w:r>
              <w:rPr>
                <w:rFonts w:ascii="Arial" w:hAnsi="Arial" w:cs="Arial"/>
                <w:szCs w:val="24"/>
              </w:rPr>
              <w:t>Material and Warranty Management</w:t>
            </w:r>
          </w:p>
        </w:tc>
        <w:tc>
          <w:tcPr>
            <w:tcW w:w="1470" w:type="dxa"/>
          </w:tcPr>
          <w:p w14:paraId="28972ED5" w14:textId="77777777" w:rsidR="00C45043" w:rsidRDefault="00566424" w:rsidP="00DD3AFC">
            <w:pPr>
              <w:jc w:val="center"/>
              <w:rPr>
                <w:rFonts w:ascii="Arial" w:hAnsi="Arial" w:cs="Arial"/>
                <w:szCs w:val="24"/>
              </w:rPr>
            </w:pPr>
            <w:r>
              <w:rPr>
                <w:rFonts w:ascii="Arial" w:hAnsi="Arial" w:cs="Arial"/>
                <w:szCs w:val="24"/>
              </w:rPr>
              <w:t>17</w:t>
            </w:r>
          </w:p>
        </w:tc>
        <w:tc>
          <w:tcPr>
            <w:tcW w:w="3585" w:type="dxa"/>
          </w:tcPr>
          <w:p w14:paraId="4AEC78BF" w14:textId="77777777" w:rsidR="00C45043" w:rsidRDefault="00566424" w:rsidP="00294B4D">
            <w:pPr>
              <w:rPr>
                <w:rFonts w:ascii="Arial" w:hAnsi="Arial" w:cs="Arial"/>
                <w:szCs w:val="24"/>
              </w:rPr>
            </w:pPr>
            <w:r>
              <w:rPr>
                <w:rFonts w:ascii="Arial" w:hAnsi="Arial" w:cs="Arial"/>
                <w:szCs w:val="24"/>
              </w:rPr>
              <w:t>Outlines requirements related to warranty claims and i</w:t>
            </w:r>
            <w:r w:rsidR="00A70CB0">
              <w:rPr>
                <w:rFonts w:ascii="Arial" w:hAnsi="Arial" w:cs="Arial"/>
                <w:szCs w:val="24"/>
              </w:rPr>
              <w:t>nventory management</w:t>
            </w:r>
          </w:p>
        </w:tc>
      </w:tr>
      <w:tr w:rsidR="00A70CB0" w:rsidRPr="001C4B19" w14:paraId="6773CB9D" w14:textId="77777777" w:rsidTr="00CD26DB">
        <w:trPr>
          <w:jc w:val="center"/>
        </w:trPr>
        <w:tc>
          <w:tcPr>
            <w:tcW w:w="1123" w:type="dxa"/>
          </w:tcPr>
          <w:p w14:paraId="102DFD74" w14:textId="77777777" w:rsidR="00A70CB0" w:rsidRDefault="00A70CB0" w:rsidP="00DD3AFC">
            <w:pPr>
              <w:jc w:val="center"/>
              <w:rPr>
                <w:rFonts w:ascii="Arial" w:hAnsi="Arial" w:cs="Arial"/>
                <w:b/>
                <w:szCs w:val="24"/>
              </w:rPr>
            </w:pPr>
            <w:r>
              <w:rPr>
                <w:rFonts w:ascii="Arial" w:hAnsi="Arial" w:cs="Arial"/>
                <w:b/>
                <w:szCs w:val="24"/>
              </w:rPr>
              <w:t>16.0</w:t>
            </w:r>
          </w:p>
        </w:tc>
        <w:tc>
          <w:tcPr>
            <w:tcW w:w="3036" w:type="dxa"/>
          </w:tcPr>
          <w:p w14:paraId="4F610D01" w14:textId="77777777" w:rsidR="00A70CB0" w:rsidRDefault="00A70CB0" w:rsidP="00294B4D">
            <w:pPr>
              <w:rPr>
                <w:rFonts w:ascii="Arial" w:hAnsi="Arial" w:cs="Arial"/>
                <w:szCs w:val="24"/>
              </w:rPr>
            </w:pPr>
            <w:r>
              <w:rPr>
                <w:rFonts w:ascii="Arial" w:hAnsi="Arial" w:cs="Arial"/>
                <w:szCs w:val="24"/>
              </w:rPr>
              <w:t>Federal Funding Requirements</w:t>
            </w:r>
          </w:p>
        </w:tc>
        <w:tc>
          <w:tcPr>
            <w:tcW w:w="1470" w:type="dxa"/>
          </w:tcPr>
          <w:p w14:paraId="593CAC3D" w14:textId="77777777" w:rsidR="00A70CB0" w:rsidRDefault="00A70CB0" w:rsidP="00DD3AFC">
            <w:pPr>
              <w:jc w:val="center"/>
              <w:rPr>
                <w:rFonts w:ascii="Arial" w:hAnsi="Arial" w:cs="Arial"/>
                <w:szCs w:val="24"/>
              </w:rPr>
            </w:pPr>
            <w:r>
              <w:rPr>
                <w:rFonts w:ascii="Arial" w:hAnsi="Arial" w:cs="Arial"/>
                <w:szCs w:val="24"/>
              </w:rPr>
              <w:t>17</w:t>
            </w:r>
          </w:p>
        </w:tc>
        <w:tc>
          <w:tcPr>
            <w:tcW w:w="3585" w:type="dxa"/>
          </w:tcPr>
          <w:p w14:paraId="07A887F1" w14:textId="77777777" w:rsidR="00A70CB0" w:rsidRDefault="009C4B18" w:rsidP="00294B4D">
            <w:pPr>
              <w:rPr>
                <w:rFonts w:ascii="Arial" w:hAnsi="Arial" w:cs="Arial"/>
                <w:szCs w:val="24"/>
              </w:rPr>
            </w:pPr>
            <w:r>
              <w:rPr>
                <w:rFonts w:ascii="Arial" w:hAnsi="Arial" w:cs="Arial"/>
                <w:szCs w:val="24"/>
              </w:rPr>
              <w:t xml:space="preserve">Provides that the County will comply with federal funding requirements and </w:t>
            </w:r>
            <w:r w:rsidR="001A14AD">
              <w:rPr>
                <w:rFonts w:ascii="Arial" w:hAnsi="Arial" w:cs="Arial"/>
                <w:szCs w:val="24"/>
              </w:rPr>
              <w:t>that federal funding shall not relieve the City of its obligation to compensate the</w:t>
            </w:r>
            <w:r>
              <w:rPr>
                <w:rFonts w:ascii="Arial" w:hAnsi="Arial" w:cs="Arial"/>
                <w:szCs w:val="24"/>
              </w:rPr>
              <w:t xml:space="preserve"> County under this agreement</w:t>
            </w:r>
          </w:p>
        </w:tc>
      </w:tr>
      <w:tr w:rsidR="009C4B18" w:rsidRPr="001C4B19" w14:paraId="1D7A8EFA" w14:textId="77777777" w:rsidTr="00CD26DB">
        <w:trPr>
          <w:jc w:val="center"/>
        </w:trPr>
        <w:tc>
          <w:tcPr>
            <w:tcW w:w="1123" w:type="dxa"/>
          </w:tcPr>
          <w:p w14:paraId="60574689" w14:textId="77777777" w:rsidR="009C4B18" w:rsidRDefault="009C4B18" w:rsidP="00DD3AFC">
            <w:pPr>
              <w:jc w:val="center"/>
              <w:rPr>
                <w:rFonts w:ascii="Arial" w:hAnsi="Arial" w:cs="Arial"/>
                <w:b/>
                <w:szCs w:val="24"/>
              </w:rPr>
            </w:pPr>
            <w:r>
              <w:rPr>
                <w:rFonts w:ascii="Arial" w:hAnsi="Arial" w:cs="Arial"/>
                <w:b/>
                <w:szCs w:val="24"/>
              </w:rPr>
              <w:t>17.0</w:t>
            </w:r>
          </w:p>
        </w:tc>
        <w:tc>
          <w:tcPr>
            <w:tcW w:w="3036" w:type="dxa"/>
          </w:tcPr>
          <w:p w14:paraId="0F39E351" w14:textId="77777777" w:rsidR="009C4B18" w:rsidRDefault="009C4B18" w:rsidP="00294B4D">
            <w:pPr>
              <w:rPr>
                <w:rFonts w:ascii="Arial" w:hAnsi="Arial" w:cs="Arial"/>
                <w:szCs w:val="24"/>
              </w:rPr>
            </w:pPr>
            <w:r>
              <w:rPr>
                <w:rFonts w:ascii="Arial" w:hAnsi="Arial" w:cs="Arial"/>
                <w:szCs w:val="24"/>
              </w:rPr>
              <w:t>Designated Representatives</w:t>
            </w:r>
          </w:p>
        </w:tc>
        <w:tc>
          <w:tcPr>
            <w:tcW w:w="1470" w:type="dxa"/>
          </w:tcPr>
          <w:p w14:paraId="3AD26355" w14:textId="77777777" w:rsidR="009C4B18" w:rsidRDefault="009C4B18" w:rsidP="00DD3AFC">
            <w:pPr>
              <w:jc w:val="center"/>
              <w:rPr>
                <w:rFonts w:ascii="Arial" w:hAnsi="Arial" w:cs="Arial"/>
                <w:szCs w:val="24"/>
              </w:rPr>
            </w:pPr>
            <w:r>
              <w:rPr>
                <w:rFonts w:ascii="Arial" w:hAnsi="Arial" w:cs="Arial"/>
                <w:szCs w:val="24"/>
              </w:rPr>
              <w:t>1</w:t>
            </w:r>
            <w:r w:rsidR="00152DAF">
              <w:rPr>
                <w:rFonts w:ascii="Arial" w:hAnsi="Arial" w:cs="Arial"/>
                <w:szCs w:val="24"/>
              </w:rPr>
              <w:t>7</w:t>
            </w:r>
          </w:p>
        </w:tc>
        <w:tc>
          <w:tcPr>
            <w:tcW w:w="3585" w:type="dxa"/>
          </w:tcPr>
          <w:p w14:paraId="3439839B" w14:textId="77777777" w:rsidR="009C4B18" w:rsidRDefault="00152DAF" w:rsidP="00294B4D">
            <w:pPr>
              <w:rPr>
                <w:rFonts w:ascii="Arial" w:hAnsi="Arial" w:cs="Arial"/>
                <w:szCs w:val="24"/>
              </w:rPr>
            </w:pPr>
            <w:r>
              <w:rPr>
                <w:rFonts w:ascii="Arial" w:hAnsi="Arial" w:cs="Arial"/>
                <w:szCs w:val="24"/>
              </w:rPr>
              <w:t>Provides for designated representatives for notice, reporting, and for coordinating staff work</w:t>
            </w:r>
          </w:p>
        </w:tc>
      </w:tr>
      <w:tr w:rsidR="00152DAF" w:rsidRPr="001C4B19" w14:paraId="64B026A5" w14:textId="77777777" w:rsidTr="00722B95">
        <w:trPr>
          <w:cantSplit/>
          <w:jc w:val="center"/>
        </w:trPr>
        <w:tc>
          <w:tcPr>
            <w:tcW w:w="1123" w:type="dxa"/>
          </w:tcPr>
          <w:p w14:paraId="01CBD31B" w14:textId="77777777" w:rsidR="00152DAF" w:rsidRDefault="00152DAF" w:rsidP="00DD3AFC">
            <w:pPr>
              <w:jc w:val="center"/>
              <w:rPr>
                <w:rFonts w:ascii="Arial" w:hAnsi="Arial" w:cs="Arial"/>
                <w:b/>
                <w:szCs w:val="24"/>
              </w:rPr>
            </w:pPr>
            <w:r>
              <w:rPr>
                <w:rFonts w:ascii="Arial" w:hAnsi="Arial" w:cs="Arial"/>
                <w:b/>
                <w:szCs w:val="24"/>
              </w:rPr>
              <w:lastRenderedPageBreak/>
              <w:t>18.0</w:t>
            </w:r>
          </w:p>
        </w:tc>
        <w:tc>
          <w:tcPr>
            <w:tcW w:w="3036" w:type="dxa"/>
          </w:tcPr>
          <w:p w14:paraId="036E74D3" w14:textId="77777777" w:rsidR="00152DAF" w:rsidRDefault="00152DAF" w:rsidP="00294B4D">
            <w:pPr>
              <w:rPr>
                <w:rFonts w:ascii="Arial" w:hAnsi="Arial" w:cs="Arial"/>
                <w:szCs w:val="24"/>
              </w:rPr>
            </w:pPr>
            <w:r>
              <w:rPr>
                <w:rFonts w:ascii="Arial" w:hAnsi="Arial" w:cs="Arial"/>
                <w:szCs w:val="24"/>
              </w:rPr>
              <w:t>Indemnification</w:t>
            </w:r>
          </w:p>
        </w:tc>
        <w:tc>
          <w:tcPr>
            <w:tcW w:w="1470" w:type="dxa"/>
          </w:tcPr>
          <w:p w14:paraId="3F84771B" w14:textId="77777777" w:rsidR="00152DAF" w:rsidRDefault="00152DAF" w:rsidP="00DD3AFC">
            <w:pPr>
              <w:jc w:val="center"/>
              <w:rPr>
                <w:rFonts w:ascii="Arial" w:hAnsi="Arial" w:cs="Arial"/>
                <w:szCs w:val="24"/>
              </w:rPr>
            </w:pPr>
            <w:r>
              <w:rPr>
                <w:rFonts w:ascii="Arial" w:hAnsi="Arial" w:cs="Arial"/>
                <w:szCs w:val="24"/>
              </w:rPr>
              <w:t>17</w:t>
            </w:r>
          </w:p>
        </w:tc>
        <w:tc>
          <w:tcPr>
            <w:tcW w:w="3585" w:type="dxa"/>
          </w:tcPr>
          <w:p w14:paraId="57DA16F9" w14:textId="77777777" w:rsidR="00152DAF" w:rsidRDefault="00FC5BF6" w:rsidP="00294B4D">
            <w:pPr>
              <w:rPr>
                <w:rFonts w:ascii="Arial" w:hAnsi="Arial" w:cs="Arial"/>
                <w:szCs w:val="24"/>
              </w:rPr>
            </w:pPr>
            <w:r>
              <w:rPr>
                <w:rFonts w:ascii="Arial" w:hAnsi="Arial" w:cs="Arial"/>
                <w:szCs w:val="24"/>
              </w:rPr>
              <w:t xml:space="preserve">Outlines the terms under which the City and County will hold </w:t>
            </w:r>
            <w:r w:rsidR="00EC13F3">
              <w:rPr>
                <w:rFonts w:ascii="Arial" w:hAnsi="Arial" w:cs="Arial"/>
                <w:szCs w:val="24"/>
              </w:rPr>
              <w:t>each other harmless</w:t>
            </w:r>
            <w:r>
              <w:rPr>
                <w:rFonts w:ascii="Arial" w:hAnsi="Arial" w:cs="Arial"/>
                <w:szCs w:val="24"/>
              </w:rPr>
              <w:t xml:space="preserve"> </w:t>
            </w:r>
          </w:p>
        </w:tc>
      </w:tr>
      <w:tr w:rsidR="00152DAF" w:rsidRPr="001C4B19" w14:paraId="68E7537F" w14:textId="77777777" w:rsidTr="00CD26DB">
        <w:trPr>
          <w:trHeight w:val="1673"/>
          <w:jc w:val="center"/>
        </w:trPr>
        <w:tc>
          <w:tcPr>
            <w:tcW w:w="1123" w:type="dxa"/>
          </w:tcPr>
          <w:p w14:paraId="54C78020" w14:textId="77777777" w:rsidR="00152DAF" w:rsidRDefault="00152DAF" w:rsidP="00DD3AFC">
            <w:pPr>
              <w:jc w:val="center"/>
              <w:rPr>
                <w:rFonts w:ascii="Arial" w:hAnsi="Arial" w:cs="Arial"/>
                <w:b/>
                <w:szCs w:val="24"/>
              </w:rPr>
            </w:pPr>
            <w:r>
              <w:rPr>
                <w:rFonts w:ascii="Arial" w:hAnsi="Arial" w:cs="Arial"/>
                <w:b/>
                <w:szCs w:val="24"/>
              </w:rPr>
              <w:t>19.0</w:t>
            </w:r>
          </w:p>
        </w:tc>
        <w:tc>
          <w:tcPr>
            <w:tcW w:w="3036" w:type="dxa"/>
          </w:tcPr>
          <w:p w14:paraId="048B32F4" w14:textId="77777777" w:rsidR="00152DAF" w:rsidRDefault="002B76C0" w:rsidP="00294B4D">
            <w:pPr>
              <w:rPr>
                <w:rFonts w:ascii="Arial" w:hAnsi="Arial" w:cs="Arial"/>
                <w:szCs w:val="24"/>
              </w:rPr>
            </w:pPr>
            <w:r>
              <w:rPr>
                <w:rFonts w:ascii="Arial" w:hAnsi="Arial" w:cs="Arial"/>
                <w:szCs w:val="24"/>
              </w:rPr>
              <w:t>Insurance</w:t>
            </w:r>
          </w:p>
        </w:tc>
        <w:tc>
          <w:tcPr>
            <w:tcW w:w="1470" w:type="dxa"/>
          </w:tcPr>
          <w:p w14:paraId="6B2E809F" w14:textId="77777777" w:rsidR="00152DAF" w:rsidRDefault="002B76C0" w:rsidP="00DD3AFC">
            <w:pPr>
              <w:jc w:val="center"/>
              <w:rPr>
                <w:rFonts w:ascii="Arial" w:hAnsi="Arial" w:cs="Arial"/>
                <w:szCs w:val="24"/>
              </w:rPr>
            </w:pPr>
            <w:r>
              <w:rPr>
                <w:rFonts w:ascii="Arial" w:hAnsi="Arial" w:cs="Arial"/>
                <w:szCs w:val="24"/>
              </w:rPr>
              <w:t>20</w:t>
            </w:r>
          </w:p>
        </w:tc>
        <w:tc>
          <w:tcPr>
            <w:tcW w:w="3585" w:type="dxa"/>
          </w:tcPr>
          <w:p w14:paraId="720946A0" w14:textId="77777777" w:rsidR="00152DAF" w:rsidRDefault="00F71FEA" w:rsidP="00294B4D">
            <w:pPr>
              <w:rPr>
                <w:rFonts w:ascii="Arial" w:hAnsi="Arial" w:cs="Arial"/>
                <w:szCs w:val="24"/>
              </w:rPr>
            </w:pPr>
            <w:r>
              <w:rPr>
                <w:rFonts w:ascii="Arial" w:hAnsi="Arial" w:cs="Arial"/>
                <w:szCs w:val="24"/>
              </w:rPr>
              <w:t xml:space="preserve">Describes insurance </w:t>
            </w:r>
            <w:r w:rsidR="00312499">
              <w:rPr>
                <w:rFonts w:ascii="Arial" w:hAnsi="Arial" w:cs="Arial"/>
                <w:szCs w:val="24"/>
              </w:rPr>
              <w:t xml:space="preserve">and workers’ compensation </w:t>
            </w:r>
            <w:r>
              <w:rPr>
                <w:rFonts w:ascii="Arial" w:hAnsi="Arial" w:cs="Arial"/>
                <w:szCs w:val="24"/>
              </w:rPr>
              <w:t>standards and requirements</w:t>
            </w:r>
            <w:r w:rsidR="00823F11">
              <w:rPr>
                <w:rFonts w:ascii="Arial" w:hAnsi="Arial" w:cs="Arial"/>
                <w:szCs w:val="24"/>
              </w:rPr>
              <w:t xml:space="preserve">, as well as a process for claims’ </w:t>
            </w:r>
            <w:r w:rsidR="00BA4A77">
              <w:rPr>
                <w:rFonts w:ascii="Arial" w:hAnsi="Arial" w:cs="Arial"/>
                <w:szCs w:val="24"/>
              </w:rPr>
              <w:t>management</w:t>
            </w:r>
          </w:p>
        </w:tc>
      </w:tr>
      <w:tr w:rsidR="002B76C0" w:rsidRPr="001C4B19" w14:paraId="10E16A4D" w14:textId="77777777" w:rsidTr="00CD26DB">
        <w:trPr>
          <w:jc w:val="center"/>
        </w:trPr>
        <w:tc>
          <w:tcPr>
            <w:tcW w:w="1123" w:type="dxa"/>
          </w:tcPr>
          <w:p w14:paraId="0D7B1438" w14:textId="77777777" w:rsidR="002B76C0" w:rsidRDefault="002B76C0" w:rsidP="00DD3AFC">
            <w:pPr>
              <w:jc w:val="center"/>
              <w:rPr>
                <w:rFonts w:ascii="Arial" w:hAnsi="Arial" w:cs="Arial"/>
                <w:b/>
                <w:szCs w:val="24"/>
              </w:rPr>
            </w:pPr>
            <w:r>
              <w:rPr>
                <w:rFonts w:ascii="Arial" w:hAnsi="Arial" w:cs="Arial"/>
                <w:b/>
                <w:szCs w:val="24"/>
              </w:rPr>
              <w:t>20.0</w:t>
            </w:r>
          </w:p>
        </w:tc>
        <w:tc>
          <w:tcPr>
            <w:tcW w:w="3036" w:type="dxa"/>
          </w:tcPr>
          <w:p w14:paraId="45C35D18" w14:textId="77777777" w:rsidR="002B76C0" w:rsidRDefault="002B76C0" w:rsidP="00294B4D">
            <w:pPr>
              <w:rPr>
                <w:rFonts w:ascii="Arial" w:hAnsi="Arial" w:cs="Arial"/>
                <w:szCs w:val="24"/>
              </w:rPr>
            </w:pPr>
            <w:r>
              <w:rPr>
                <w:rFonts w:ascii="Arial" w:hAnsi="Arial" w:cs="Arial"/>
                <w:szCs w:val="24"/>
              </w:rPr>
              <w:t>Hazardous Substances Indemnification</w:t>
            </w:r>
          </w:p>
        </w:tc>
        <w:tc>
          <w:tcPr>
            <w:tcW w:w="1470" w:type="dxa"/>
          </w:tcPr>
          <w:p w14:paraId="72D736C2" w14:textId="77777777" w:rsidR="002B76C0" w:rsidRDefault="002B76C0" w:rsidP="00DD3AFC">
            <w:pPr>
              <w:jc w:val="center"/>
              <w:rPr>
                <w:rFonts w:ascii="Arial" w:hAnsi="Arial" w:cs="Arial"/>
                <w:szCs w:val="24"/>
              </w:rPr>
            </w:pPr>
            <w:r>
              <w:rPr>
                <w:rFonts w:ascii="Arial" w:hAnsi="Arial" w:cs="Arial"/>
                <w:szCs w:val="24"/>
              </w:rPr>
              <w:t>23</w:t>
            </w:r>
          </w:p>
        </w:tc>
        <w:tc>
          <w:tcPr>
            <w:tcW w:w="3585" w:type="dxa"/>
          </w:tcPr>
          <w:p w14:paraId="455CB6E6" w14:textId="77777777" w:rsidR="002B76C0" w:rsidRDefault="00890A87" w:rsidP="00294B4D">
            <w:pPr>
              <w:rPr>
                <w:rFonts w:ascii="Arial" w:hAnsi="Arial" w:cs="Arial"/>
                <w:szCs w:val="24"/>
              </w:rPr>
            </w:pPr>
            <w:r>
              <w:rPr>
                <w:rFonts w:ascii="Arial" w:hAnsi="Arial" w:cs="Arial"/>
                <w:szCs w:val="24"/>
              </w:rPr>
              <w:t>Provides for City and County indemnification terms related to hazardous substances</w:t>
            </w:r>
          </w:p>
        </w:tc>
      </w:tr>
      <w:tr w:rsidR="00805CD2" w:rsidRPr="001C4B19" w14:paraId="2C5A7BF2" w14:textId="77777777" w:rsidTr="00CD26DB">
        <w:trPr>
          <w:jc w:val="center"/>
        </w:trPr>
        <w:tc>
          <w:tcPr>
            <w:tcW w:w="1123" w:type="dxa"/>
          </w:tcPr>
          <w:p w14:paraId="32B7D029" w14:textId="77777777" w:rsidR="00805CD2" w:rsidRDefault="00805CD2" w:rsidP="00DD3AFC">
            <w:pPr>
              <w:jc w:val="center"/>
              <w:rPr>
                <w:rFonts w:ascii="Arial" w:hAnsi="Arial" w:cs="Arial"/>
                <w:b/>
                <w:szCs w:val="24"/>
              </w:rPr>
            </w:pPr>
            <w:r>
              <w:rPr>
                <w:rFonts w:ascii="Arial" w:hAnsi="Arial" w:cs="Arial"/>
                <w:b/>
                <w:szCs w:val="24"/>
              </w:rPr>
              <w:t>21.0</w:t>
            </w:r>
          </w:p>
        </w:tc>
        <w:tc>
          <w:tcPr>
            <w:tcW w:w="3036" w:type="dxa"/>
          </w:tcPr>
          <w:p w14:paraId="50B9739C" w14:textId="77777777" w:rsidR="00805CD2" w:rsidRDefault="00805CD2" w:rsidP="00294B4D">
            <w:pPr>
              <w:rPr>
                <w:rFonts w:ascii="Arial" w:hAnsi="Arial" w:cs="Arial"/>
                <w:szCs w:val="24"/>
              </w:rPr>
            </w:pPr>
            <w:r>
              <w:rPr>
                <w:rFonts w:ascii="Arial" w:hAnsi="Arial" w:cs="Arial"/>
                <w:szCs w:val="24"/>
              </w:rPr>
              <w:t>Dispute Resolution</w:t>
            </w:r>
          </w:p>
        </w:tc>
        <w:tc>
          <w:tcPr>
            <w:tcW w:w="1470" w:type="dxa"/>
          </w:tcPr>
          <w:p w14:paraId="759502C8" w14:textId="77777777" w:rsidR="00805CD2" w:rsidRDefault="00805CD2" w:rsidP="00DD3AFC">
            <w:pPr>
              <w:jc w:val="center"/>
              <w:rPr>
                <w:rFonts w:ascii="Arial" w:hAnsi="Arial" w:cs="Arial"/>
                <w:szCs w:val="24"/>
              </w:rPr>
            </w:pPr>
            <w:r>
              <w:rPr>
                <w:rFonts w:ascii="Arial" w:hAnsi="Arial" w:cs="Arial"/>
                <w:szCs w:val="24"/>
              </w:rPr>
              <w:t>24</w:t>
            </w:r>
          </w:p>
        </w:tc>
        <w:tc>
          <w:tcPr>
            <w:tcW w:w="3585" w:type="dxa"/>
          </w:tcPr>
          <w:p w14:paraId="7098AE0F" w14:textId="77777777" w:rsidR="00805CD2" w:rsidRDefault="00805CD2" w:rsidP="00294B4D">
            <w:pPr>
              <w:rPr>
                <w:rFonts w:ascii="Arial" w:hAnsi="Arial" w:cs="Arial"/>
                <w:szCs w:val="24"/>
              </w:rPr>
            </w:pPr>
            <w:r>
              <w:rPr>
                <w:rFonts w:ascii="Arial" w:hAnsi="Arial" w:cs="Arial"/>
                <w:szCs w:val="24"/>
              </w:rPr>
              <w:t>Outlines a process and terms for dispute resolution</w:t>
            </w:r>
          </w:p>
        </w:tc>
      </w:tr>
      <w:tr w:rsidR="00805CD2" w:rsidRPr="001C4B19" w14:paraId="02325020" w14:textId="77777777" w:rsidTr="00CD26DB">
        <w:trPr>
          <w:jc w:val="center"/>
        </w:trPr>
        <w:tc>
          <w:tcPr>
            <w:tcW w:w="1123" w:type="dxa"/>
          </w:tcPr>
          <w:p w14:paraId="2651CE8E" w14:textId="77777777" w:rsidR="00805CD2" w:rsidRDefault="00A65EBA" w:rsidP="00DD3AFC">
            <w:pPr>
              <w:jc w:val="center"/>
              <w:rPr>
                <w:rFonts w:ascii="Arial" w:hAnsi="Arial" w:cs="Arial"/>
                <w:b/>
                <w:szCs w:val="24"/>
              </w:rPr>
            </w:pPr>
            <w:r>
              <w:rPr>
                <w:rFonts w:ascii="Arial" w:hAnsi="Arial" w:cs="Arial"/>
                <w:b/>
                <w:szCs w:val="24"/>
              </w:rPr>
              <w:t>22.0</w:t>
            </w:r>
          </w:p>
        </w:tc>
        <w:tc>
          <w:tcPr>
            <w:tcW w:w="3036" w:type="dxa"/>
          </w:tcPr>
          <w:p w14:paraId="2B6DD6AF" w14:textId="77777777" w:rsidR="00805CD2" w:rsidRDefault="00A65EBA" w:rsidP="00294B4D">
            <w:pPr>
              <w:rPr>
                <w:rFonts w:ascii="Arial" w:hAnsi="Arial" w:cs="Arial"/>
                <w:szCs w:val="24"/>
              </w:rPr>
            </w:pPr>
            <w:r>
              <w:rPr>
                <w:rFonts w:ascii="Arial" w:hAnsi="Arial" w:cs="Arial"/>
                <w:szCs w:val="24"/>
              </w:rPr>
              <w:t>Termination</w:t>
            </w:r>
          </w:p>
        </w:tc>
        <w:tc>
          <w:tcPr>
            <w:tcW w:w="1470" w:type="dxa"/>
          </w:tcPr>
          <w:p w14:paraId="2FD1BAC9" w14:textId="77777777" w:rsidR="00805CD2" w:rsidRDefault="00A65EBA" w:rsidP="00DD3AFC">
            <w:pPr>
              <w:jc w:val="center"/>
              <w:rPr>
                <w:rFonts w:ascii="Arial" w:hAnsi="Arial" w:cs="Arial"/>
                <w:szCs w:val="24"/>
              </w:rPr>
            </w:pPr>
            <w:r>
              <w:rPr>
                <w:rFonts w:ascii="Arial" w:hAnsi="Arial" w:cs="Arial"/>
                <w:szCs w:val="24"/>
              </w:rPr>
              <w:t>25</w:t>
            </w:r>
          </w:p>
        </w:tc>
        <w:tc>
          <w:tcPr>
            <w:tcW w:w="3585" w:type="dxa"/>
          </w:tcPr>
          <w:p w14:paraId="1BF7883D" w14:textId="77777777" w:rsidR="00805CD2" w:rsidRDefault="00A65EBA" w:rsidP="00294B4D">
            <w:pPr>
              <w:rPr>
                <w:rFonts w:ascii="Arial" w:hAnsi="Arial" w:cs="Arial"/>
                <w:szCs w:val="24"/>
              </w:rPr>
            </w:pPr>
            <w:r>
              <w:rPr>
                <w:rFonts w:ascii="Arial" w:hAnsi="Arial" w:cs="Arial"/>
                <w:szCs w:val="24"/>
              </w:rPr>
              <w:t>Provides terms for termination in either default or for convenience</w:t>
            </w:r>
          </w:p>
        </w:tc>
      </w:tr>
      <w:tr w:rsidR="00A65EBA" w:rsidRPr="001C4B19" w14:paraId="66B90EC1" w14:textId="77777777" w:rsidTr="00CD26DB">
        <w:trPr>
          <w:jc w:val="center"/>
        </w:trPr>
        <w:tc>
          <w:tcPr>
            <w:tcW w:w="1123" w:type="dxa"/>
          </w:tcPr>
          <w:p w14:paraId="5F38856F" w14:textId="77777777" w:rsidR="00A65EBA" w:rsidRDefault="00A65EBA" w:rsidP="00DD3AFC">
            <w:pPr>
              <w:jc w:val="center"/>
              <w:rPr>
                <w:rFonts w:ascii="Arial" w:hAnsi="Arial" w:cs="Arial"/>
                <w:b/>
                <w:szCs w:val="24"/>
              </w:rPr>
            </w:pPr>
            <w:r>
              <w:rPr>
                <w:rFonts w:ascii="Arial" w:hAnsi="Arial" w:cs="Arial"/>
                <w:b/>
                <w:szCs w:val="24"/>
              </w:rPr>
              <w:t>23.0</w:t>
            </w:r>
          </w:p>
        </w:tc>
        <w:tc>
          <w:tcPr>
            <w:tcW w:w="3036" w:type="dxa"/>
          </w:tcPr>
          <w:p w14:paraId="1663DACE" w14:textId="77777777" w:rsidR="00A65EBA" w:rsidRDefault="00A65EBA" w:rsidP="00294B4D">
            <w:pPr>
              <w:rPr>
                <w:rFonts w:ascii="Arial" w:hAnsi="Arial" w:cs="Arial"/>
                <w:szCs w:val="24"/>
              </w:rPr>
            </w:pPr>
            <w:r>
              <w:rPr>
                <w:rFonts w:ascii="Arial" w:hAnsi="Arial" w:cs="Arial"/>
                <w:szCs w:val="24"/>
              </w:rPr>
              <w:t>General Provisions</w:t>
            </w:r>
          </w:p>
        </w:tc>
        <w:tc>
          <w:tcPr>
            <w:tcW w:w="1470" w:type="dxa"/>
          </w:tcPr>
          <w:p w14:paraId="0FCDD566" w14:textId="77777777" w:rsidR="00A65EBA" w:rsidRDefault="00A65EBA" w:rsidP="00DD3AFC">
            <w:pPr>
              <w:jc w:val="center"/>
              <w:rPr>
                <w:rFonts w:ascii="Arial" w:hAnsi="Arial" w:cs="Arial"/>
                <w:szCs w:val="24"/>
              </w:rPr>
            </w:pPr>
            <w:r>
              <w:rPr>
                <w:rFonts w:ascii="Arial" w:hAnsi="Arial" w:cs="Arial"/>
                <w:szCs w:val="24"/>
              </w:rPr>
              <w:t>27</w:t>
            </w:r>
          </w:p>
        </w:tc>
        <w:tc>
          <w:tcPr>
            <w:tcW w:w="3585" w:type="dxa"/>
            <w:vAlign w:val="bottom"/>
          </w:tcPr>
          <w:p w14:paraId="6680653F" w14:textId="77777777" w:rsidR="00312499" w:rsidRDefault="000D2461" w:rsidP="00294B4D">
            <w:pPr>
              <w:rPr>
                <w:rFonts w:ascii="Arial" w:hAnsi="Arial" w:cs="Arial"/>
                <w:szCs w:val="24"/>
              </w:rPr>
            </w:pPr>
            <w:r>
              <w:rPr>
                <w:rFonts w:ascii="Arial" w:hAnsi="Arial" w:cs="Arial"/>
                <w:szCs w:val="24"/>
              </w:rPr>
              <w:t>Provides miscellaneous provisions including agreement to comply with applicable laws, that the agreement does not create any third-party rights,</w:t>
            </w:r>
            <w:r w:rsidR="004F01E5">
              <w:rPr>
                <w:rFonts w:ascii="Arial" w:hAnsi="Arial" w:cs="Arial"/>
                <w:szCs w:val="24"/>
              </w:rPr>
              <w:t xml:space="preserve"> description of what constitutes proper notice, a force majeure clause, etc.</w:t>
            </w:r>
          </w:p>
        </w:tc>
      </w:tr>
      <w:tr w:rsidR="00312499" w:rsidRPr="001C4B19" w14:paraId="775BFA6F" w14:textId="77777777" w:rsidTr="00CD26DB">
        <w:trPr>
          <w:jc w:val="center"/>
        </w:trPr>
        <w:tc>
          <w:tcPr>
            <w:tcW w:w="1123" w:type="dxa"/>
          </w:tcPr>
          <w:p w14:paraId="6477FF64" w14:textId="77777777" w:rsidR="00312499" w:rsidRDefault="00E641B1" w:rsidP="00DD3AFC">
            <w:pPr>
              <w:jc w:val="center"/>
              <w:rPr>
                <w:rFonts w:ascii="Arial" w:hAnsi="Arial" w:cs="Arial"/>
                <w:b/>
                <w:szCs w:val="24"/>
              </w:rPr>
            </w:pPr>
            <w:r>
              <w:rPr>
                <w:rFonts w:ascii="Arial" w:hAnsi="Arial" w:cs="Arial"/>
                <w:b/>
                <w:szCs w:val="24"/>
              </w:rPr>
              <w:t>Appendix A</w:t>
            </w:r>
          </w:p>
        </w:tc>
        <w:tc>
          <w:tcPr>
            <w:tcW w:w="3036" w:type="dxa"/>
          </w:tcPr>
          <w:p w14:paraId="6A8D9424" w14:textId="77777777" w:rsidR="00312499" w:rsidRDefault="00E641B1" w:rsidP="00294B4D">
            <w:pPr>
              <w:rPr>
                <w:rFonts w:ascii="Arial" w:hAnsi="Arial" w:cs="Arial"/>
                <w:szCs w:val="24"/>
              </w:rPr>
            </w:pPr>
            <w:r>
              <w:rPr>
                <w:rFonts w:ascii="Arial" w:hAnsi="Arial" w:cs="Arial"/>
                <w:szCs w:val="24"/>
              </w:rPr>
              <w:t>Definitions</w:t>
            </w:r>
          </w:p>
        </w:tc>
        <w:tc>
          <w:tcPr>
            <w:tcW w:w="1470" w:type="dxa"/>
          </w:tcPr>
          <w:p w14:paraId="547909BC" w14:textId="77777777" w:rsidR="00312499" w:rsidRDefault="00E641B1" w:rsidP="00DD3AFC">
            <w:pPr>
              <w:jc w:val="center"/>
              <w:rPr>
                <w:rFonts w:ascii="Arial" w:hAnsi="Arial" w:cs="Arial"/>
                <w:szCs w:val="24"/>
              </w:rPr>
            </w:pPr>
            <w:r>
              <w:rPr>
                <w:rFonts w:ascii="Arial" w:hAnsi="Arial" w:cs="Arial"/>
                <w:szCs w:val="24"/>
              </w:rPr>
              <w:t>32</w:t>
            </w:r>
          </w:p>
        </w:tc>
        <w:tc>
          <w:tcPr>
            <w:tcW w:w="3585" w:type="dxa"/>
            <w:vAlign w:val="bottom"/>
          </w:tcPr>
          <w:p w14:paraId="42775746" w14:textId="77777777" w:rsidR="00312499" w:rsidRDefault="003762E0" w:rsidP="00294B4D">
            <w:pPr>
              <w:rPr>
                <w:rFonts w:ascii="Arial" w:hAnsi="Arial" w:cs="Arial"/>
                <w:szCs w:val="24"/>
              </w:rPr>
            </w:pPr>
            <w:r>
              <w:rPr>
                <w:rFonts w:ascii="Arial" w:hAnsi="Arial" w:cs="Arial"/>
                <w:szCs w:val="24"/>
              </w:rPr>
              <w:t>Defines terms in agreement</w:t>
            </w:r>
          </w:p>
        </w:tc>
      </w:tr>
      <w:tr w:rsidR="003762E0" w:rsidRPr="001C4B19" w14:paraId="6A2877A1" w14:textId="77777777" w:rsidTr="00CD26DB">
        <w:trPr>
          <w:jc w:val="center"/>
        </w:trPr>
        <w:tc>
          <w:tcPr>
            <w:tcW w:w="1123" w:type="dxa"/>
          </w:tcPr>
          <w:p w14:paraId="1EA364A5" w14:textId="77777777" w:rsidR="003762E0" w:rsidRDefault="003762E0" w:rsidP="00DD3AFC">
            <w:pPr>
              <w:jc w:val="center"/>
              <w:rPr>
                <w:rFonts w:ascii="Arial" w:hAnsi="Arial" w:cs="Arial"/>
                <w:b/>
                <w:szCs w:val="24"/>
              </w:rPr>
            </w:pPr>
            <w:r>
              <w:rPr>
                <w:rFonts w:ascii="Arial" w:hAnsi="Arial" w:cs="Arial"/>
                <w:b/>
                <w:szCs w:val="24"/>
              </w:rPr>
              <w:t>Appendix B</w:t>
            </w:r>
          </w:p>
        </w:tc>
        <w:tc>
          <w:tcPr>
            <w:tcW w:w="3036" w:type="dxa"/>
          </w:tcPr>
          <w:p w14:paraId="7D58CC34" w14:textId="77777777" w:rsidR="003762E0" w:rsidRDefault="003762E0" w:rsidP="00294B4D">
            <w:pPr>
              <w:rPr>
                <w:rFonts w:ascii="Arial" w:hAnsi="Arial" w:cs="Arial"/>
                <w:szCs w:val="24"/>
              </w:rPr>
            </w:pPr>
            <w:r>
              <w:rPr>
                <w:rFonts w:ascii="Arial" w:hAnsi="Arial" w:cs="Arial"/>
                <w:szCs w:val="24"/>
              </w:rPr>
              <w:t>Operations and Maintenance Responsibilities Matrix</w:t>
            </w:r>
          </w:p>
        </w:tc>
        <w:tc>
          <w:tcPr>
            <w:tcW w:w="1470" w:type="dxa"/>
          </w:tcPr>
          <w:p w14:paraId="529EE4EB" w14:textId="77777777" w:rsidR="003762E0" w:rsidRDefault="00EC5F61" w:rsidP="00DD3AFC">
            <w:pPr>
              <w:jc w:val="center"/>
              <w:rPr>
                <w:rFonts w:ascii="Arial" w:hAnsi="Arial" w:cs="Arial"/>
                <w:szCs w:val="24"/>
              </w:rPr>
            </w:pPr>
            <w:r>
              <w:rPr>
                <w:rFonts w:ascii="Arial" w:hAnsi="Arial" w:cs="Arial"/>
                <w:szCs w:val="24"/>
              </w:rPr>
              <w:t>35</w:t>
            </w:r>
          </w:p>
        </w:tc>
        <w:tc>
          <w:tcPr>
            <w:tcW w:w="3585" w:type="dxa"/>
            <w:vAlign w:val="bottom"/>
          </w:tcPr>
          <w:p w14:paraId="34C0F94B" w14:textId="77777777" w:rsidR="003762E0" w:rsidRDefault="00EC5F61" w:rsidP="00294B4D">
            <w:pPr>
              <w:rPr>
                <w:rFonts w:ascii="Arial" w:hAnsi="Arial" w:cs="Arial"/>
                <w:szCs w:val="24"/>
              </w:rPr>
            </w:pPr>
            <w:r>
              <w:rPr>
                <w:rFonts w:ascii="Arial" w:hAnsi="Arial" w:cs="Arial"/>
                <w:szCs w:val="24"/>
              </w:rPr>
              <w:t>Summarizes agreement roles and responsibilities</w:t>
            </w:r>
          </w:p>
        </w:tc>
      </w:tr>
      <w:tr w:rsidR="00EC5F61" w:rsidRPr="001C4B19" w14:paraId="03AF53CA" w14:textId="77777777" w:rsidTr="00CD26DB">
        <w:trPr>
          <w:jc w:val="center"/>
        </w:trPr>
        <w:tc>
          <w:tcPr>
            <w:tcW w:w="1123" w:type="dxa"/>
          </w:tcPr>
          <w:p w14:paraId="2D823CF9" w14:textId="77777777" w:rsidR="00EC5F61" w:rsidRDefault="00EC5F61" w:rsidP="00DD3AFC">
            <w:pPr>
              <w:jc w:val="center"/>
              <w:rPr>
                <w:rFonts w:ascii="Arial" w:hAnsi="Arial" w:cs="Arial"/>
                <w:b/>
                <w:szCs w:val="24"/>
              </w:rPr>
            </w:pPr>
            <w:r>
              <w:rPr>
                <w:rFonts w:ascii="Arial" w:hAnsi="Arial" w:cs="Arial"/>
                <w:b/>
                <w:szCs w:val="24"/>
              </w:rPr>
              <w:t>Appendix C</w:t>
            </w:r>
          </w:p>
        </w:tc>
        <w:tc>
          <w:tcPr>
            <w:tcW w:w="3036" w:type="dxa"/>
          </w:tcPr>
          <w:p w14:paraId="7869DBFE" w14:textId="77777777" w:rsidR="00EC5F61" w:rsidRDefault="00EC5F61" w:rsidP="00294B4D">
            <w:pPr>
              <w:rPr>
                <w:rFonts w:ascii="Arial" w:hAnsi="Arial" w:cs="Arial"/>
                <w:szCs w:val="24"/>
              </w:rPr>
            </w:pPr>
            <w:r>
              <w:rPr>
                <w:rFonts w:ascii="Arial" w:hAnsi="Arial" w:cs="Arial"/>
                <w:szCs w:val="24"/>
              </w:rPr>
              <w:t>Performance Standards</w:t>
            </w:r>
          </w:p>
        </w:tc>
        <w:tc>
          <w:tcPr>
            <w:tcW w:w="1470" w:type="dxa"/>
          </w:tcPr>
          <w:p w14:paraId="1029A0AE" w14:textId="77777777" w:rsidR="00EC5F61" w:rsidRDefault="00EC5F61" w:rsidP="00DD3AFC">
            <w:pPr>
              <w:jc w:val="center"/>
              <w:rPr>
                <w:rFonts w:ascii="Arial" w:hAnsi="Arial" w:cs="Arial"/>
                <w:szCs w:val="24"/>
              </w:rPr>
            </w:pPr>
            <w:r>
              <w:rPr>
                <w:rFonts w:ascii="Arial" w:hAnsi="Arial" w:cs="Arial"/>
                <w:szCs w:val="24"/>
              </w:rPr>
              <w:t>38</w:t>
            </w:r>
          </w:p>
        </w:tc>
        <w:tc>
          <w:tcPr>
            <w:tcW w:w="3585" w:type="dxa"/>
            <w:vAlign w:val="bottom"/>
          </w:tcPr>
          <w:p w14:paraId="2805DB00" w14:textId="77777777" w:rsidR="00EC5F61" w:rsidRDefault="00EC5F61" w:rsidP="00294B4D">
            <w:pPr>
              <w:rPr>
                <w:rFonts w:ascii="Arial" w:hAnsi="Arial" w:cs="Arial"/>
                <w:szCs w:val="24"/>
              </w:rPr>
            </w:pPr>
            <w:r>
              <w:rPr>
                <w:rFonts w:ascii="Arial" w:hAnsi="Arial" w:cs="Arial"/>
                <w:szCs w:val="24"/>
              </w:rPr>
              <w:t>Describes performance standards (e.g., preventative maintenance completed on time</w:t>
            </w:r>
            <w:r w:rsidR="004D57FF">
              <w:rPr>
                <w:rFonts w:ascii="Arial" w:hAnsi="Arial" w:cs="Arial"/>
                <w:szCs w:val="24"/>
              </w:rPr>
              <w:t>; system on-time performance and reliability)</w:t>
            </w:r>
          </w:p>
        </w:tc>
      </w:tr>
      <w:tr w:rsidR="004D57FF" w:rsidRPr="001C4B19" w14:paraId="78A07756" w14:textId="77777777" w:rsidTr="00CD26DB">
        <w:trPr>
          <w:jc w:val="center"/>
        </w:trPr>
        <w:tc>
          <w:tcPr>
            <w:tcW w:w="1123" w:type="dxa"/>
          </w:tcPr>
          <w:p w14:paraId="782E161D" w14:textId="77777777" w:rsidR="004D57FF" w:rsidRDefault="004D57FF" w:rsidP="00DD3AFC">
            <w:pPr>
              <w:jc w:val="center"/>
              <w:rPr>
                <w:rFonts w:ascii="Arial" w:hAnsi="Arial" w:cs="Arial"/>
                <w:b/>
                <w:szCs w:val="24"/>
              </w:rPr>
            </w:pPr>
            <w:r>
              <w:rPr>
                <w:rFonts w:ascii="Arial" w:hAnsi="Arial" w:cs="Arial"/>
                <w:b/>
                <w:szCs w:val="24"/>
              </w:rPr>
              <w:t>Appendix D</w:t>
            </w:r>
          </w:p>
        </w:tc>
        <w:tc>
          <w:tcPr>
            <w:tcW w:w="3036" w:type="dxa"/>
          </w:tcPr>
          <w:p w14:paraId="1B135D69" w14:textId="77777777" w:rsidR="004D57FF" w:rsidRDefault="004D57FF" w:rsidP="00294B4D">
            <w:pPr>
              <w:rPr>
                <w:rFonts w:ascii="Arial" w:hAnsi="Arial" w:cs="Arial"/>
                <w:szCs w:val="24"/>
              </w:rPr>
            </w:pPr>
            <w:r>
              <w:rPr>
                <w:rFonts w:ascii="Arial" w:hAnsi="Arial" w:cs="Arial"/>
                <w:szCs w:val="24"/>
              </w:rPr>
              <w:t>Seattle Streetcar Report List</w:t>
            </w:r>
          </w:p>
        </w:tc>
        <w:tc>
          <w:tcPr>
            <w:tcW w:w="1470" w:type="dxa"/>
          </w:tcPr>
          <w:p w14:paraId="50F336D2" w14:textId="77777777" w:rsidR="004D57FF" w:rsidRDefault="004D57FF" w:rsidP="00DD3AFC">
            <w:pPr>
              <w:jc w:val="center"/>
              <w:rPr>
                <w:rFonts w:ascii="Arial" w:hAnsi="Arial" w:cs="Arial"/>
                <w:szCs w:val="24"/>
              </w:rPr>
            </w:pPr>
            <w:r>
              <w:rPr>
                <w:rFonts w:ascii="Arial" w:hAnsi="Arial" w:cs="Arial"/>
                <w:szCs w:val="24"/>
              </w:rPr>
              <w:t>39</w:t>
            </w:r>
          </w:p>
        </w:tc>
        <w:tc>
          <w:tcPr>
            <w:tcW w:w="3585" w:type="dxa"/>
            <w:vAlign w:val="bottom"/>
          </w:tcPr>
          <w:p w14:paraId="1D8B008A" w14:textId="77777777" w:rsidR="004D57FF" w:rsidRDefault="004D57FF" w:rsidP="00294B4D">
            <w:pPr>
              <w:rPr>
                <w:rFonts w:ascii="Arial" w:hAnsi="Arial" w:cs="Arial"/>
                <w:szCs w:val="24"/>
              </w:rPr>
            </w:pPr>
            <w:r>
              <w:rPr>
                <w:rFonts w:ascii="Arial" w:hAnsi="Arial" w:cs="Arial"/>
                <w:szCs w:val="24"/>
              </w:rPr>
              <w:t>Provides list and schedule for reporting requirements</w:t>
            </w:r>
          </w:p>
        </w:tc>
      </w:tr>
      <w:tr w:rsidR="00E92630" w:rsidRPr="001C4B19" w14:paraId="4964AD5E" w14:textId="77777777" w:rsidTr="00CD26DB">
        <w:trPr>
          <w:jc w:val="center"/>
        </w:trPr>
        <w:tc>
          <w:tcPr>
            <w:tcW w:w="1123" w:type="dxa"/>
          </w:tcPr>
          <w:p w14:paraId="3F0F09D7" w14:textId="77777777" w:rsidR="00E92630" w:rsidRDefault="00E92630" w:rsidP="00DD3AFC">
            <w:pPr>
              <w:jc w:val="center"/>
              <w:rPr>
                <w:rFonts w:ascii="Arial" w:hAnsi="Arial" w:cs="Arial"/>
                <w:b/>
                <w:szCs w:val="24"/>
              </w:rPr>
            </w:pPr>
            <w:r>
              <w:rPr>
                <w:rFonts w:ascii="Arial" w:hAnsi="Arial" w:cs="Arial"/>
                <w:b/>
                <w:szCs w:val="24"/>
              </w:rPr>
              <w:t>Appendix E</w:t>
            </w:r>
          </w:p>
        </w:tc>
        <w:tc>
          <w:tcPr>
            <w:tcW w:w="3036" w:type="dxa"/>
          </w:tcPr>
          <w:p w14:paraId="3EF950A7" w14:textId="77777777" w:rsidR="00E92630" w:rsidRDefault="00E92630" w:rsidP="00294B4D">
            <w:pPr>
              <w:rPr>
                <w:rFonts w:ascii="Arial" w:hAnsi="Arial" w:cs="Arial"/>
                <w:szCs w:val="24"/>
              </w:rPr>
            </w:pPr>
            <w:r>
              <w:rPr>
                <w:rFonts w:ascii="Arial" w:hAnsi="Arial" w:cs="Arial"/>
                <w:szCs w:val="24"/>
              </w:rPr>
              <w:t>Points of Contact</w:t>
            </w:r>
          </w:p>
        </w:tc>
        <w:tc>
          <w:tcPr>
            <w:tcW w:w="1470" w:type="dxa"/>
          </w:tcPr>
          <w:p w14:paraId="7D97DE72" w14:textId="77777777" w:rsidR="00E92630" w:rsidRDefault="00E92630" w:rsidP="00DD3AFC">
            <w:pPr>
              <w:jc w:val="center"/>
              <w:rPr>
                <w:rFonts w:ascii="Arial" w:hAnsi="Arial" w:cs="Arial"/>
                <w:szCs w:val="24"/>
              </w:rPr>
            </w:pPr>
            <w:r>
              <w:rPr>
                <w:rFonts w:ascii="Arial" w:hAnsi="Arial" w:cs="Arial"/>
                <w:szCs w:val="24"/>
              </w:rPr>
              <w:t>40</w:t>
            </w:r>
          </w:p>
        </w:tc>
        <w:tc>
          <w:tcPr>
            <w:tcW w:w="3585" w:type="dxa"/>
            <w:vAlign w:val="bottom"/>
          </w:tcPr>
          <w:p w14:paraId="463DBC11" w14:textId="77777777" w:rsidR="00E92630" w:rsidRDefault="00E92630" w:rsidP="00294B4D">
            <w:pPr>
              <w:rPr>
                <w:rFonts w:ascii="Arial" w:hAnsi="Arial" w:cs="Arial"/>
                <w:szCs w:val="24"/>
              </w:rPr>
            </w:pPr>
            <w:r>
              <w:rPr>
                <w:rFonts w:ascii="Arial" w:hAnsi="Arial" w:cs="Arial"/>
                <w:szCs w:val="24"/>
              </w:rPr>
              <w:t>Identifies designated representatives and contact information</w:t>
            </w:r>
          </w:p>
        </w:tc>
      </w:tr>
      <w:tr w:rsidR="00E92630" w:rsidRPr="001C4B19" w14:paraId="3C493E40" w14:textId="77777777" w:rsidTr="00CD26DB">
        <w:trPr>
          <w:jc w:val="center"/>
        </w:trPr>
        <w:tc>
          <w:tcPr>
            <w:tcW w:w="1123" w:type="dxa"/>
          </w:tcPr>
          <w:p w14:paraId="365BDD25" w14:textId="77777777" w:rsidR="00E92630" w:rsidRDefault="007C4B96" w:rsidP="00DD3AFC">
            <w:pPr>
              <w:jc w:val="center"/>
              <w:rPr>
                <w:rFonts w:ascii="Arial" w:hAnsi="Arial" w:cs="Arial"/>
                <w:b/>
                <w:szCs w:val="24"/>
              </w:rPr>
            </w:pPr>
            <w:r>
              <w:rPr>
                <w:rFonts w:ascii="Arial" w:hAnsi="Arial" w:cs="Arial"/>
                <w:b/>
                <w:szCs w:val="24"/>
              </w:rPr>
              <w:t>Appendix F</w:t>
            </w:r>
          </w:p>
        </w:tc>
        <w:tc>
          <w:tcPr>
            <w:tcW w:w="3036" w:type="dxa"/>
          </w:tcPr>
          <w:p w14:paraId="7D3FA0CA" w14:textId="77777777" w:rsidR="00E92630" w:rsidRDefault="007C4B96" w:rsidP="00294B4D">
            <w:pPr>
              <w:rPr>
                <w:rFonts w:ascii="Arial" w:hAnsi="Arial" w:cs="Arial"/>
                <w:szCs w:val="24"/>
              </w:rPr>
            </w:pPr>
            <w:r>
              <w:rPr>
                <w:rFonts w:ascii="Arial" w:hAnsi="Arial" w:cs="Arial"/>
                <w:szCs w:val="24"/>
              </w:rPr>
              <w:t>Partnership Decal</w:t>
            </w:r>
          </w:p>
        </w:tc>
        <w:tc>
          <w:tcPr>
            <w:tcW w:w="1470" w:type="dxa"/>
          </w:tcPr>
          <w:p w14:paraId="0D08691C" w14:textId="77777777" w:rsidR="00E92630" w:rsidRDefault="007C4B96" w:rsidP="00DD3AFC">
            <w:pPr>
              <w:jc w:val="center"/>
              <w:rPr>
                <w:rFonts w:ascii="Arial" w:hAnsi="Arial" w:cs="Arial"/>
                <w:szCs w:val="24"/>
              </w:rPr>
            </w:pPr>
            <w:r>
              <w:rPr>
                <w:rFonts w:ascii="Arial" w:hAnsi="Arial" w:cs="Arial"/>
                <w:szCs w:val="24"/>
              </w:rPr>
              <w:t>41</w:t>
            </w:r>
          </w:p>
        </w:tc>
        <w:tc>
          <w:tcPr>
            <w:tcW w:w="3585" w:type="dxa"/>
            <w:vAlign w:val="bottom"/>
          </w:tcPr>
          <w:p w14:paraId="16B5173D" w14:textId="77777777" w:rsidR="00E92630" w:rsidRDefault="007D5713" w:rsidP="00294B4D">
            <w:pPr>
              <w:rPr>
                <w:rFonts w:ascii="Arial" w:hAnsi="Arial" w:cs="Arial"/>
                <w:szCs w:val="24"/>
              </w:rPr>
            </w:pPr>
            <w:r>
              <w:rPr>
                <w:rFonts w:ascii="Arial" w:hAnsi="Arial" w:cs="Arial"/>
                <w:szCs w:val="24"/>
              </w:rPr>
              <w:t xml:space="preserve">Provides </w:t>
            </w:r>
            <w:r w:rsidR="00AC456E">
              <w:rPr>
                <w:rFonts w:ascii="Arial" w:hAnsi="Arial" w:cs="Arial"/>
                <w:szCs w:val="24"/>
              </w:rPr>
              <w:t>partnership decal graphic stating streetcar is “Operated in Partnership with King County Metro”</w:t>
            </w:r>
          </w:p>
        </w:tc>
      </w:tr>
    </w:tbl>
    <w:p w14:paraId="60E5F4D7" w14:textId="77777777" w:rsidR="00F17E78" w:rsidRDefault="00F17E78" w:rsidP="0026669B">
      <w:pPr>
        <w:jc w:val="both"/>
        <w:rPr>
          <w:rFonts w:ascii="Arial" w:hAnsi="Arial" w:cs="Arial"/>
          <w:b/>
        </w:rPr>
      </w:pPr>
    </w:p>
    <w:p w14:paraId="70EEC2E8" w14:textId="77777777" w:rsidR="00813DE1" w:rsidRDefault="00813DE1" w:rsidP="0026669B">
      <w:pPr>
        <w:jc w:val="both"/>
        <w:rPr>
          <w:rFonts w:ascii="Arial" w:hAnsi="Arial" w:cs="Arial"/>
          <w:b/>
        </w:rPr>
      </w:pPr>
    </w:p>
    <w:p w14:paraId="0D7A2D0E" w14:textId="77777777" w:rsidR="00253CBA" w:rsidRDefault="00253CBA" w:rsidP="0026669B">
      <w:pPr>
        <w:jc w:val="both"/>
        <w:rPr>
          <w:rFonts w:ascii="Arial" w:hAnsi="Arial" w:cs="Arial"/>
          <w:b/>
        </w:rPr>
      </w:pPr>
    </w:p>
    <w:p w14:paraId="3CB8A10B" w14:textId="231F1947" w:rsidR="00941C2A" w:rsidRDefault="005E4B4D" w:rsidP="0026669B">
      <w:pPr>
        <w:jc w:val="both"/>
        <w:rPr>
          <w:rFonts w:ascii="Arial" w:hAnsi="Arial" w:cs="Arial"/>
          <w:b/>
        </w:rPr>
      </w:pPr>
      <w:r>
        <w:rPr>
          <w:rFonts w:ascii="Arial" w:hAnsi="Arial" w:cs="Arial"/>
          <w:b/>
        </w:rPr>
        <w:lastRenderedPageBreak/>
        <w:t>Timing</w:t>
      </w:r>
      <w:r w:rsidR="00E86A91">
        <w:rPr>
          <w:rFonts w:ascii="Arial" w:hAnsi="Arial" w:cs="Arial"/>
          <w:b/>
        </w:rPr>
        <w:t xml:space="preserve"> of Council Action</w:t>
      </w:r>
    </w:p>
    <w:p w14:paraId="1206EC47" w14:textId="49F00B25" w:rsidR="00E86A91" w:rsidRDefault="00E86A91" w:rsidP="0026669B">
      <w:pPr>
        <w:jc w:val="both"/>
        <w:rPr>
          <w:rFonts w:ascii="Arial" w:hAnsi="Arial" w:cs="Arial"/>
        </w:rPr>
      </w:pPr>
      <w:r>
        <w:rPr>
          <w:rFonts w:ascii="Arial" w:hAnsi="Arial" w:cs="Arial"/>
        </w:rPr>
        <w:t>The current operation and maintenance agreement is set to expire on December 31, 2019. In order for there to be an agreement in place following the expiration of the current agreement, both the Seattle City Council and King County Council would need to provide legislative approval</w:t>
      </w:r>
      <w:r w:rsidR="00DD236C">
        <w:rPr>
          <w:rFonts w:ascii="Arial" w:hAnsi="Arial" w:cs="Arial"/>
        </w:rPr>
        <w:t xml:space="preserve"> for a new agreement</w:t>
      </w:r>
      <w:r w:rsidR="00CA3D45">
        <w:rPr>
          <w:rFonts w:ascii="Arial" w:hAnsi="Arial" w:cs="Arial"/>
        </w:rPr>
        <w:t xml:space="preserve"> by the end of the year</w:t>
      </w:r>
      <w:r>
        <w:rPr>
          <w:rFonts w:ascii="Arial" w:hAnsi="Arial" w:cs="Arial"/>
        </w:rPr>
        <w:t xml:space="preserve">. </w:t>
      </w:r>
      <w:r w:rsidR="00DD236C">
        <w:rPr>
          <w:rFonts w:ascii="Arial" w:hAnsi="Arial" w:cs="Arial"/>
        </w:rPr>
        <w:t xml:space="preserve">According to Metro staff, the City is </w:t>
      </w:r>
      <w:r w:rsidR="003B7680">
        <w:rPr>
          <w:rFonts w:ascii="Arial" w:hAnsi="Arial" w:cs="Arial"/>
        </w:rPr>
        <w:t xml:space="preserve">tentatively </w:t>
      </w:r>
      <w:r w:rsidR="00DD236C">
        <w:rPr>
          <w:rFonts w:ascii="Arial" w:hAnsi="Arial" w:cs="Arial"/>
        </w:rPr>
        <w:t xml:space="preserve">anticipated to take up the proposed agreement at </w:t>
      </w:r>
      <w:r w:rsidR="00C239F6">
        <w:rPr>
          <w:rFonts w:ascii="Arial" w:hAnsi="Arial" w:cs="Arial"/>
        </w:rPr>
        <w:t xml:space="preserve">a </w:t>
      </w:r>
      <w:r w:rsidR="003B7680">
        <w:rPr>
          <w:rFonts w:ascii="Arial" w:hAnsi="Arial" w:cs="Arial"/>
        </w:rPr>
        <w:t xml:space="preserve">Seattle City Council </w:t>
      </w:r>
      <w:r w:rsidR="00C239F6">
        <w:rPr>
          <w:rFonts w:ascii="Arial" w:hAnsi="Arial" w:cs="Arial"/>
        </w:rPr>
        <w:t>committee meeting on November 20</w:t>
      </w:r>
      <w:r w:rsidR="00C239F6" w:rsidRPr="00C239F6">
        <w:rPr>
          <w:rFonts w:ascii="Arial" w:hAnsi="Arial" w:cs="Arial"/>
          <w:vertAlign w:val="superscript"/>
        </w:rPr>
        <w:t>th</w:t>
      </w:r>
      <w:r w:rsidR="00C239F6">
        <w:rPr>
          <w:rFonts w:ascii="Arial" w:hAnsi="Arial" w:cs="Arial"/>
        </w:rPr>
        <w:t xml:space="preserve">. </w:t>
      </w:r>
    </w:p>
    <w:p w14:paraId="18E87943" w14:textId="2980CB9E" w:rsidR="00D06B74" w:rsidRDefault="00D06B74" w:rsidP="0026669B">
      <w:pPr>
        <w:jc w:val="both"/>
        <w:rPr>
          <w:rFonts w:ascii="Arial" w:hAnsi="Arial" w:cs="Arial"/>
        </w:rPr>
      </w:pPr>
    </w:p>
    <w:p w14:paraId="03DF29C9" w14:textId="77777777" w:rsidR="00D06B74" w:rsidRPr="001C4B19" w:rsidRDefault="00D06B74" w:rsidP="00D06B74">
      <w:pPr>
        <w:jc w:val="both"/>
        <w:rPr>
          <w:rFonts w:ascii="Arial" w:hAnsi="Arial" w:cs="Arial"/>
          <w:b/>
          <w:szCs w:val="24"/>
          <w:u w:val="single"/>
        </w:rPr>
      </w:pPr>
      <w:r>
        <w:rPr>
          <w:rFonts w:ascii="Arial" w:hAnsi="Arial" w:cs="Arial"/>
          <w:b/>
          <w:szCs w:val="24"/>
          <w:u w:val="single"/>
        </w:rPr>
        <w:t>AMENDMENT</w:t>
      </w:r>
    </w:p>
    <w:p w14:paraId="2352B4CD" w14:textId="77777777" w:rsidR="00D06B74" w:rsidRDefault="00D06B74" w:rsidP="00D06B74">
      <w:pPr>
        <w:rPr>
          <w:rFonts w:ascii="Arial" w:hAnsi="Arial" w:cs="Arial"/>
          <w:color w:val="FF0000"/>
        </w:rPr>
      </w:pPr>
    </w:p>
    <w:p w14:paraId="55E154D8" w14:textId="68374A34" w:rsidR="007601E7" w:rsidRDefault="007601E7" w:rsidP="007601E7">
      <w:pPr>
        <w:jc w:val="both"/>
        <w:rPr>
          <w:rFonts w:ascii="Arial" w:hAnsi="Arial" w:cs="Arial"/>
        </w:rPr>
      </w:pPr>
      <w:r>
        <w:rPr>
          <w:rFonts w:ascii="Arial" w:hAnsi="Arial" w:cs="Arial"/>
        </w:rPr>
        <w:t>The Council’s Legal Counsel reviewed the proposed agreement and worked with Metro and the City staff to develop Amendment 1, which would correct internal references and make other non-substantive changes.</w:t>
      </w:r>
    </w:p>
    <w:p w14:paraId="2C269FFB" w14:textId="7CCF92D4" w:rsidR="00B62A67" w:rsidRDefault="00B62A67" w:rsidP="007601E7">
      <w:pPr>
        <w:jc w:val="both"/>
        <w:rPr>
          <w:rFonts w:ascii="Arial" w:hAnsi="Arial" w:cs="Arial"/>
        </w:rPr>
      </w:pPr>
    </w:p>
    <w:p w14:paraId="0570DD2A" w14:textId="4E07CA15" w:rsidR="007601E7" w:rsidRPr="00A54BB8" w:rsidRDefault="00B62A67" w:rsidP="00B91D4E">
      <w:pPr>
        <w:jc w:val="both"/>
        <w:rPr>
          <w:rFonts w:ascii="Arial" w:hAnsi="Arial" w:cs="Arial"/>
        </w:rPr>
      </w:pPr>
      <w:r>
        <w:rPr>
          <w:rFonts w:ascii="Arial" w:hAnsi="Arial" w:cs="Arial"/>
        </w:rPr>
        <w:t>Title Amendment T1 would correct the title to authorize the Executive to execute the agreement rather than adopt the agreement.</w:t>
      </w:r>
    </w:p>
    <w:p w14:paraId="2EA32BFF" w14:textId="77777777" w:rsidR="0026669B" w:rsidRDefault="0026669B" w:rsidP="0026669B">
      <w:pPr>
        <w:pStyle w:val="BodyText"/>
        <w:jc w:val="both"/>
        <w:rPr>
          <w:rFonts w:ascii="Arial" w:hAnsi="Arial" w:cs="Arial"/>
          <w:i w:val="0"/>
          <w:szCs w:val="24"/>
        </w:rPr>
      </w:pPr>
    </w:p>
    <w:p w14:paraId="44DBA510" w14:textId="77777777" w:rsidR="0026669B" w:rsidRPr="001C4B19" w:rsidRDefault="0026669B" w:rsidP="0026669B">
      <w:pPr>
        <w:jc w:val="both"/>
        <w:rPr>
          <w:rFonts w:ascii="Arial" w:hAnsi="Arial" w:cs="Arial"/>
          <w:b/>
          <w:szCs w:val="24"/>
          <w:u w:val="single"/>
        </w:rPr>
      </w:pPr>
      <w:r w:rsidRPr="001C4B19">
        <w:rPr>
          <w:rFonts w:ascii="Arial" w:hAnsi="Arial" w:cs="Arial"/>
          <w:b/>
          <w:szCs w:val="24"/>
          <w:u w:val="single"/>
        </w:rPr>
        <w:t>INVITED</w:t>
      </w:r>
    </w:p>
    <w:p w14:paraId="39581EF8" w14:textId="77777777" w:rsidR="0026669B" w:rsidRPr="001C4B19" w:rsidRDefault="0026669B" w:rsidP="0026669B">
      <w:pPr>
        <w:jc w:val="both"/>
        <w:rPr>
          <w:rFonts w:ascii="Arial" w:hAnsi="Arial" w:cs="Arial"/>
          <w:szCs w:val="24"/>
        </w:rPr>
      </w:pPr>
    </w:p>
    <w:p w14:paraId="04A8E6DD" w14:textId="77777777" w:rsidR="00ED0A4B" w:rsidRDefault="0046232C" w:rsidP="009345C0">
      <w:pPr>
        <w:pStyle w:val="ListParagraph0"/>
        <w:numPr>
          <w:ilvl w:val="0"/>
          <w:numId w:val="2"/>
        </w:numPr>
        <w:ind w:left="720"/>
        <w:jc w:val="both"/>
        <w:rPr>
          <w:rFonts w:ascii="Arial" w:hAnsi="Arial" w:cs="Arial"/>
          <w:b/>
          <w:i/>
          <w:u w:val="single"/>
        </w:rPr>
      </w:pPr>
      <w:r>
        <w:rPr>
          <w:rFonts w:ascii="Arial" w:hAnsi="Arial" w:cs="Arial"/>
        </w:rPr>
        <w:t>Christine Anderson</w:t>
      </w:r>
      <w:r w:rsidR="0026669B" w:rsidRPr="00727A3F">
        <w:rPr>
          <w:rFonts w:ascii="Arial" w:hAnsi="Arial" w:cs="Arial"/>
        </w:rPr>
        <w:t xml:space="preserve">, </w:t>
      </w:r>
      <w:r>
        <w:rPr>
          <w:rFonts w:ascii="Arial" w:hAnsi="Arial" w:cs="Arial"/>
        </w:rPr>
        <w:t>Streetcar Manager, Rail Division, King County Metro</w:t>
      </w:r>
    </w:p>
    <w:p w14:paraId="5EAD6CCC" w14:textId="77777777" w:rsidR="00CD26DB" w:rsidRDefault="00CD26DB" w:rsidP="00ED0A4B">
      <w:pPr>
        <w:pStyle w:val="BodyText"/>
        <w:jc w:val="both"/>
        <w:rPr>
          <w:rFonts w:ascii="Arial" w:hAnsi="Arial" w:cs="Arial"/>
          <w:b/>
          <w:i w:val="0"/>
          <w:szCs w:val="24"/>
          <w:u w:val="single"/>
        </w:rPr>
      </w:pPr>
    </w:p>
    <w:p w14:paraId="3E33B702" w14:textId="77777777"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6100ACF4" w14:textId="77777777" w:rsidR="00ED0A4B" w:rsidRDefault="00ED0A4B" w:rsidP="00ED0A4B">
      <w:pPr>
        <w:pStyle w:val="BodyText"/>
        <w:jc w:val="both"/>
        <w:rPr>
          <w:rFonts w:ascii="Arial" w:hAnsi="Arial" w:cs="Arial"/>
          <w:b/>
          <w:i w:val="0"/>
          <w:szCs w:val="24"/>
          <w:u w:val="single"/>
        </w:rPr>
      </w:pPr>
    </w:p>
    <w:p w14:paraId="71F7F5B0" w14:textId="65084EB0" w:rsidR="00ED0A4B" w:rsidRDefault="00ED0A4B" w:rsidP="009345C0">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Pr="001C4B19">
        <w:rPr>
          <w:rFonts w:ascii="Arial" w:hAnsi="Arial" w:cs="Arial"/>
          <w:i w:val="0"/>
          <w:szCs w:val="24"/>
        </w:rPr>
        <w:t xml:space="preserve"> 201</w:t>
      </w:r>
      <w:r w:rsidR="00C27705">
        <w:rPr>
          <w:rFonts w:ascii="Arial" w:hAnsi="Arial" w:cs="Arial"/>
          <w:i w:val="0"/>
          <w:szCs w:val="24"/>
        </w:rPr>
        <w:t>9</w:t>
      </w:r>
      <w:r w:rsidRPr="001C4B19">
        <w:rPr>
          <w:rFonts w:ascii="Arial" w:hAnsi="Arial" w:cs="Arial"/>
          <w:i w:val="0"/>
          <w:szCs w:val="24"/>
        </w:rPr>
        <w:t>-</w:t>
      </w:r>
      <w:r w:rsidR="00C27705">
        <w:rPr>
          <w:rFonts w:ascii="Arial" w:hAnsi="Arial" w:cs="Arial"/>
          <w:i w:val="0"/>
          <w:szCs w:val="24"/>
        </w:rPr>
        <w:t>0409</w:t>
      </w:r>
      <w:r w:rsidRPr="001C4B19">
        <w:rPr>
          <w:rFonts w:ascii="Arial" w:hAnsi="Arial" w:cs="Arial"/>
          <w:i w:val="0"/>
          <w:szCs w:val="24"/>
        </w:rPr>
        <w:t xml:space="preserve"> (and its attachments)</w:t>
      </w:r>
    </w:p>
    <w:p w14:paraId="2746F12D" w14:textId="0BA451BE" w:rsidR="00B62A67" w:rsidRPr="00B62A67" w:rsidRDefault="00CF164B" w:rsidP="00B62A67">
      <w:pPr>
        <w:pStyle w:val="BodyText"/>
        <w:numPr>
          <w:ilvl w:val="0"/>
          <w:numId w:val="1"/>
        </w:numPr>
        <w:jc w:val="both"/>
        <w:rPr>
          <w:rFonts w:ascii="Arial" w:hAnsi="Arial" w:cs="Arial"/>
          <w:i w:val="0"/>
          <w:szCs w:val="24"/>
        </w:rPr>
      </w:pPr>
      <w:r>
        <w:rPr>
          <w:rFonts w:ascii="Arial" w:hAnsi="Arial" w:cs="Arial"/>
          <w:i w:val="0"/>
          <w:szCs w:val="24"/>
        </w:rPr>
        <w:t>Amendment 1</w:t>
      </w:r>
      <w:r w:rsidR="000C5EFF">
        <w:rPr>
          <w:rFonts w:ascii="Arial" w:hAnsi="Arial" w:cs="Arial"/>
          <w:i w:val="0"/>
          <w:szCs w:val="24"/>
        </w:rPr>
        <w:t xml:space="preserve"> (and its attachment)</w:t>
      </w:r>
    </w:p>
    <w:p w14:paraId="29AE50C1" w14:textId="722BB248" w:rsidR="000C5EFF" w:rsidRPr="001C4B19" w:rsidRDefault="000C5EFF" w:rsidP="009345C0">
      <w:pPr>
        <w:pStyle w:val="BodyText"/>
        <w:numPr>
          <w:ilvl w:val="0"/>
          <w:numId w:val="1"/>
        </w:numPr>
        <w:jc w:val="both"/>
        <w:rPr>
          <w:rFonts w:ascii="Arial" w:hAnsi="Arial" w:cs="Arial"/>
          <w:i w:val="0"/>
          <w:szCs w:val="24"/>
        </w:rPr>
      </w:pPr>
      <w:r>
        <w:rPr>
          <w:rFonts w:ascii="Arial" w:hAnsi="Arial" w:cs="Arial"/>
          <w:i w:val="0"/>
          <w:szCs w:val="24"/>
        </w:rPr>
        <w:t>Amendment T1</w:t>
      </w:r>
    </w:p>
    <w:p w14:paraId="5099541A" w14:textId="77777777" w:rsidR="00ED0A4B" w:rsidRPr="001C4B19" w:rsidRDefault="00ED0A4B" w:rsidP="009345C0">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14:paraId="253C4A54" w14:textId="39E0A62A" w:rsidR="00ED0A4B" w:rsidRDefault="00ED0A4B" w:rsidP="009345C0">
      <w:pPr>
        <w:pStyle w:val="BodyText"/>
        <w:numPr>
          <w:ilvl w:val="0"/>
          <w:numId w:val="1"/>
        </w:numPr>
        <w:jc w:val="both"/>
        <w:rPr>
          <w:rFonts w:ascii="Arial" w:hAnsi="Arial" w:cs="Arial"/>
          <w:i w:val="0"/>
          <w:szCs w:val="24"/>
        </w:rPr>
      </w:pPr>
      <w:r w:rsidRPr="001C4B19">
        <w:rPr>
          <w:rFonts w:ascii="Arial" w:hAnsi="Arial" w:cs="Arial"/>
          <w:i w:val="0"/>
          <w:szCs w:val="24"/>
        </w:rPr>
        <w:t>Fiscal Note</w:t>
      </w:r>
    </w:p>
    <w:p w14:paraId="7A535F50" w14:textId="1EA3EDCD" w:rsidR="00B62A67" w:rsidRDefault="00B62A67" w:rsidP="009345C0">
      <w:pPr>
        <w:pStyle w:val="BodyText"/>
        <w:numPr>
          <w:ilvl w:val="0"/>
          <w:numId w:val="1"/>
        </w:numPr>
        <w:jc w:val="both"/>
        <w:rPr>
          <w:rFonts w:ascii="Arial" w:hAnsi="Arial" w:cs="Arial"/>
          <w:i w:val="0"/>
          <w:szCs w:val="24"/>
        </w:rPr>
      </w:pPr>
      <w:r>
        <w:rPr>
          <w:rFonts w:ascii="Arial" w:hAnsi="Arial" w:cs="Arial"/>
          <w:i w:val="0"/>
          <w:szCs w:val="24"/>
        </w:rPr>
        <w:t xml:space="preserve">Redline Version </w:t>
      </w:r>
      <w:r w:rsidR="00661B15">
        <w:rPr>
          <w:rFonts w:ascii="Arial" w:hAnsi="Arial" w:cs="Arial"/>
          <w:i w:val="0"/>
          <w:szCs w:val="24"/>
        </w:rPr>
        <w:t xml:space="preserve">Comparing Transmitted ILA with </w:t>
      </w:r>
      <w:bookmarkStart w:id="0" w:name="_GoBack"/>
      <w:bookmarkEnd w:id="0"/>
      <w:r w:rsidR="00661B15">
        <w:rPr>
          <w:rFonts w:ascii="Arial" w:hAnsi="Arial" w:cs="Arial"/>
          <w:i w:val="0"/>
          <w:szCs w:val="24"/>
        </w:rPr>
        <w:t>ILA from Amendment 1</w:t>
      </w:r>
    </w:p>
    <w:p w14:paraId="65D5B48E" w14:textId="4C93A946" w:rsidR="00B62A67" w:rsidRPr="001C4B19" w:rsidRDefault="00B62A67" w:rsidP="00B62A67">
      <w:pPr>
        <w:pStyle w:val="BodyText"/>
        <w:jc w:val="both"/>
        <w:rPr>
          <w:rFonts w:ascii="Arial" w:hAnsi="Arial" w:cs="Arial"/>
          <w:i w:val="0"/>
          <w:szCs w:val="24"/>
        </w:rPr>
      </w:pPr>
    </w:p>
    <w:p w14:paraId="14FC4D0A" w14:textId="77777777" w:rsidR="004A6FFC" w:rsidRPr="004A6FFC" w:rsidRDefault="004A6FFC" w:rsidP="0026669B">
      <w:pPr>
        <w:jc w:val="both"/>
        <w:rPr>
          <w:rFonts w:ascii="Arial" w:hAnsi="Arial" w:cs="Arial"/>
          <w:snapToGrid w:val="0"/>
        </w:rPr>
      </w:pPr>
    </w:p>
    <w:sectPr w:rsidR="004A6FFC" w:rsidRPr="004A6FFC"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9273A" w14:textId="77777777" w:rsidR="00EC52FC" w:rsidRDefault="00EC52FC">
      <w:r>
        <w:separator/>
      </w:r>
    </w:p>
  </w:endnote>
  <w:endnote w:type="continuationSeparator" w:id="0">
    <w:p w14:paraId="4A457D81" w14:textId="77777777" w:rsidR="00EC52FC" w:rsidRDefault="00EC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D0F03" w14:textId="77777777" w:rsidR="00EC52FC" w:rsidRDefault="00EC52FC">
      <w:r>
        <w:separator/>
      </w:r>
    </w:p>
  </w:footnote>
  <w:footnote w:type="continuationSeparator" w:id="0">
    <w:p w14:paraId="12ED8D4A" w14:textId="77777777" w:rsidR="00EC52FC" w:rsidRDefault="00EC52FC">
      <w:r>
        <w:continuationSeparator/>
      </w:r>
    </w:p>
  </w:footnote>
  <w:footnote w:id="1">
    <w:p w14:paraId="7BF5B139" w14:textId="77777777" w:rsidR="00A11D27" w:rsidRDefault="00A11D27" w:rsidP="00A11D27">
      <w:pPr>
        <w:pStyle w:val="FootnoteText"/>
      </w:pPr>
      <w:r>
        <w:rPr>
          <w:rStyle w:val="FootnoteReference"/>
        </w:rPr>
        <w:footnoteRef/>
      </w:r>
      <w:r>
        <w:t xml:space="preserve"> Ordinance 15860</w:t>
      </w:r>
    </w:p>
  </w:footnote>
  <w:footnote w:id="2">
    <w:p w14:paraId="1B9CD6CA" w14:textId="77777777" w:rsidR="005B427D" w:rsidRDefault="005B427D">
      <w:pPr>
        <w:pStyle w:val="FootnoteText"/>
      </w:pPr>
      <w:r>
        <w:rPr>
          <w:rStyle w:val="FootnoteReference"/>
        </w:rPr>
        <w:footnoteRef/>
      </w:r>
      <w:r>
        <w:t xml:space="preserve"> Ordinance 17876</w:t>
      </w:r>
    </w:p>
  </w:footnote>
  <w:footnote w:id="3">
    <w:p w14:paraId="6AE8B941" w14:textId="77777777" w:rsidR="006B446C" w:rsidRDefault="006B446C">
      <w:pPr>
        <w:pStyle w:val="FootnoteText"/>
      </w:pPr>
      <w:r>
        <w:rPr>
          <w:rStyle w:val="FootnoteReference"/>
        </w:rPr>
        <w:footnoteRef/>
      </w:r>
      <w:r>
        <w:t xml:space="preserve"> Ordinance 15860</w:t>
      </w:r>
    </w:p>
  </w:footnote>
  <w:footnote w:id="4">
    <w:p w14:paraId="7D17E374" w14:textId="77777777" w:rsidR="006B446C" w:rsidRDefault="006B446C">
      <w:pPr>
        <w:pStyle w:val="FootnoteText"/>
      </w:pPr>
      <w:r>
        <w:rPr>
          <w:rStyle w:val="FootnoteReference"/>
        </w:rPr>
        <w:footnoteRef/>
      </w:r>
      <w:r>
        <w:t xml:space="preserve"> Ordinance 17876</w:t>
      </w:r>
    </w:p>
  </w:footnote>
  <w:footnote w:id="5">
    <w:p w14:paraId="187DC843" w14:textId="77777777" w:rsidR="00527D67" w:rsidRDefault="00527D67">
      <w:pPr>
        <w:pStyle w:val="FootnoteText"/>
      </w:pPr>
      <w:r>
        <w:rPr>
          <w:rStyle w:val="FootnoteReference"/>
        </w:rPr>
        <w:footnoteRef/>
      </w:r>
      <w:r>
        <w:t xml:space="preserve"> Section 1.3</w:t>
      </w:r>
    </w:p>
  </w:footnote>
  <w:footnote w:id="6">
    <w:p w14:paraId="2C787434" w14:textId="77777777" w:rsidR="00930071" w:rsidRDefault="00930071">
      <w:pPr>
        <w:pStyle w:val="FootnoteText"/>
      </w:pPr>
      <w:r>
        <w:rPr>
          <w:rStyle w:val="FootnoteReference"/>
        </w:rPr>
        <w:footnoteRef/>
      </w:r>
      <w:r>
        <w:t xml:space="preserve"> </w:t>
      </w:r>
      <w:r w:rsidR="002715C2">
        <w:t>Section 22.2</w:t>
      </w:r>
    </w:p>
  </w:footnote>
  <w:footnote w:id="7">
    <w:p w14:paraId="240EBBC5" w14:textId="77777777" w:rsidR="009F7D4E" w:rsidRDefault="009F7D4E">
      <w:pPr>
        <w:pStyle w:val="FootnoteText"/>
      </w:pPr>
      <w:r>
        <w:rPr>
          <w:rStyle w:val="FootnoteReference"/>
        </w:rPr>
        <w:footnoteRef/>
      </w:r>
      <w:r>
        <w:t xml:space="preserve"> Section 23.15</w:t>
      </w:r>
    </w:p>
  </w:footnote>
  <w:footnote w:id="8">
    <w:p w14:paraId="644635FA" w14:textId="77777777" w:rsidR="00527D67" w:rsidRDefault="00527D67">
      <w:pPr>
        <w:pStyle w:val="FootnoteText"/>
      </w:pPr>
      <w:r>
        <w:rPr>
          <w:rStyle w:val="FootnoteReference"/>
        </w:rPr>
        <w:footnoteRef/>
      </w:r>
      <w:r>
        <w:t xml:space="preserve"> Section 2.0</w:t>
      </w:r>
    </w:p>
  </w:footnote>
  <w:footnote w:id="9">
    <w:p w14:paraId="7491A79C" w14:textId="77777777" w:rsidR="003D5894" w:rsidRDefault="003D5894">
      <w:pPr>
        <w:pStyle w:val="FootnoteText"/>
      </w:pPr>
      <w:r>
        <w:rPr>
          <w:rStyle w:val="FootnoteReference"/>
        </w:rPr>
        <w:footnoteRef/>
      </w:r>
      <w:r>
        <w:t xml:space="preserve"> Appendix </w:t>
      </w:r>
      <w:r w:rsidR="00CC38BC">
        <w:t>B (Operations and Maintenance Responsibilities)</w:t>
      </w:r>
      <w:r w:rsidR="00A2789C">
        <w:t>, as well as</w:t>
      </w:r>
      <w:r w:rsidR="005F7A25">
        <w:t xml:space="preserve"> the responsibilities outlined</w:t>
      </w:r>
      <w:r w:rsidR="00CC38BC">
        <w:t xml:space="preserve"> throughout proposed agre</w:t>
      </w:r>
      <w:r w:rsidR="003C2E23">
        <w:t>e</w:t>
      </w:r>
      <w:r w:rsidR="00CC38BC">
        <w:t>ment</w:t>
      </w:r>
    </w:p>
  </w:footnote>
  <w:footnote w:id="10">
    <w:p w14:paraId="12D80C2D" w14:textId="77777777" w:rsidR="00DF54A0" w:rsidRDefault="00DF54A0" w:rsidP="00DF54A0">
      <w:pPr>
        <w:pStyle w:val="FootnoteText"/>
      </w:pPr>
      <w:r>
        <w:rPr>
          <w:rStyle w:val="FootnoteReference"/>
        </w:rPr>
        <w:footnoteRef/>
      </w:r>
      <w:r>
        <w:t xml:space="preserve"> Section 3.3</w:t>
      </w:r>
    </w:p>
  </w:footnote>
  <w:footnote w:id="11">
    <w:p w14:paraId="0557E19C" w14:textId="77777777" w:rsidR="003A52B0" w:rsidRDefault="003A52B0">
      <w:pPr>
        <w:pStyle w:val="FootnoteText"/>
      </w:pPr>
      <w:r>
        <w:rPr>
          <w:rStyle w:val="FootnoteReference"/>
        </w:rPr>
        <w:footnoteRef/>
      </w:r>
      <w:r>
        <w:t xml:space="preserve"> Section 7.0</w:t>
      </w:r>
    </w:p>
  </w:footnote>
  <w:footnote w:id="12">
    <w:p w14:paraId="1776C72F" w14:textId="77777777" w:rsidR="00DA0225" w:rsidRDefault="00DA0225">
      <w:pPr>
        <w:pStyle w:val="FootnoteText"/>
      </w:pPr>
      <w:r>
        <w:rPr>
          <w:rStyle w:val="FootnoteReference"/>
        </w:rPr>
        <w:footnoteRef/>
      </w:r>
      <w:r>
        <w:t xml:space="preserve"> Section 5.3</w:t>
      </w:r>
    </w:p>
  </w:footnote>
  <w:footnote w:id="13">
    <w:p w14:paraId="42C421AD" w14:textId="77777777" w:rsidR="00364250" w:rsidRDefault="00364250">
      <w:pPr>
        <w:pStyle w:val="FootnoteText"/>
      </w:pPr>
      <w:r>
        <w:rPr>
          <w:rStyle w:val="FootnoteReference"/>
        </w:rPr>
        <w:footnoteRef/>
      </w:r>
      <w:r>
        <w:t xml:space="preserve"> Section 5.2</w:t>
      </w:r>
    </w:p>
  </w:footnote>
  <w:footnote w:id="14">
    <w:p w14:paraId="794CCE40" w14:textId="77777777" w:rsidR="003A52B0" w:rsidRDefault="003A52B0">
      <w:pPr>
        <w:pStyle w:val="FootnoteText"/>
      </w:pPr>
      <w:r>
        <w:rPr>
          <w:rStyle w:val="FootnoteReference"/>
        </w:rPr>
        <w:footnoteRef/>
      </w:r>
      <w:r>
        <w:t xml:space="preserve"> Section</w:t>
      </w:r>
      <w:r w:rsidR="001F5448">
        <w:t xml:space="preserve">s </w:t>
      </w:r>
      <w:r>
        <w:t>6.1</w:t>
      </w:r>
      <w:r w:rsidR="001F5448">
        <w:t>, 14.0</w:t>
      </w:r>
    </w:p>
  </w:footnote>
  <w:footnote w:id="15">
    <w:p w14:paraId="12915661" w14:textId="77777777" w:rsidR="00CF76F1" w:rsidRDefault="00CF76F1">
      <w:pPr>
        <w:pStyle w:val="FootnoteText"/>
      </w:pPr>
      <w:r>
        <w:rPr>
          <w:rStyle w:val="FootnoteReference"/>
        </w:rPr>
        <w:footnoteRef/>
      </w:r>
      <w:r>
        <w:t xml:space="preserve"> Section 8.0</w:t>
      </w:r>
    </w:p>
  </w:footnote>
  <w:footnote w:id="16">
    <w:p w14:paraId="6CAB74B8" w14:textId="77777777" w:rsidR="00DC1D15" w:rsidRDefault="00DC1D15">
      <w:pPr>
        <w:pStyle w:val="FootnoteText"/>
      </w:pPr>
      <w:r>
        <w:rPr>
          <w:rStyle w:val="FootnoteReference"/>
        </w:rPr>
        <w:footnoteRef/>
      </w:r>
      <w:r>
        <w:t xml:space="preserve"> Section 10.0</w:t>
      </w:r>
    </w:p>
  </w:footnote>
  <w:footnote w:id="17">
    <w:p w14:paraId="08A99A81" w14:textId="77777777" w:rsidR="00CC38BC" w:rsidRDefault="00CC38BC">
      <w:pPr>
        <w:pStyle w:val="FootnoteText"/>
      </w:pPr>
      <w:r>
        <w:rPr>
          <w:rStyle w:val="FootnoteReference"/>
        </w:rPr>
        <w:footnoteRef/>
      </w:r>
      <w:r>
        <w:t xml:space="preserve"> </w:t>
      </w:r>
      <w:r w:rsidR="008B7D14">
        <w:t>Section 4.0</w:t>
      </w:r>
    </w:p>
  </w:footnote>
  <w:footnote w:id="18">
    <w:p w14:paraId="6D98EA74" w14:textId="77777777" w:rsidR="008B7D14" w:rsidRDefault="008B7D14">
      <w:pPr>
        <w:pStyle w:val="FootnoteText"/>
      </w:pPr>
      <w:r>
        <w:rPr>
          <w:rStyle w:val="FootnoteReference"/>
        </w:rPr>
        <w:footnoteRef/>
      </w:r>
      <w:r>
        <w:t xml:space="preserve"> </w:t>
      </w:r>
      <w:r w:rsidR="005E5398">
        <w:t>Section 4.1</w:t>
      </w:r>
    </w:p>
  </w:footnote>
  <w:footnote w:id="19">
    <w:p w14:paraId="1E6748B2" w14:textId="77777777" w:rsidR="003C2E23" w:rsidRDefault="003C2E23">
      <w:pPr>
        <w:pStyle w:val="FootnoteText"/>
      </w:pPr>
      <w:r>
        <w:rPr>
          <w:rStyle w:val="FootnoteReference"/>
        </w:rPr>
        <w:footnoteRef/>
      </w:r>
      <w:r>
        <w:t xml:space="preserve"> </w:t>
      </w:r>
      <w:r w:rsidR="005F7A25">
        <w:t>Section 9.0</w:t>
      </w:r>
    </w:p>
  </w:footnote>
  <w:footnote w:id="20">
    <w:p w14:paraId="7B5CA582" w14:textId="77777777" w:rsidR="005F7A25" w:rsidRDefault="005F7A25">
      <w:pPr>
        <w:pStyle w:val="FootnoteText"/>
      </w:pPr>
      <w:r>
        <w:rPr>
          <w:rStyle w:val="FootnoteReference"/>
        </w:rPr>
        <w:footnoteRef/>
      </w:r>
      <w:r>
        <w:t xml:space="preserve"> </w:t>
      </w:r>
      <w:r w:rsidR="00277B61">
        <w:t>Appendix C (Performance Standards)</w:t>
      </w:r>
      <w:r w:rsidR="00CC09FE">
        <w:t>; Section 6.0</w:t>
      </w:r>
    </w:p>
  </w:footnote>
  <w:footnote w:id="21">
    <w:p w14:paraId="2C466C0E" w14:textId="77777777" w:rsidR="00963B83" w:rsidRDefault="00963B83">
      <w:pPr>
        <w:pStyle w:val="FootnoteText"/>
      </w:pPr>
      <w:r>
        <w:rPr>
          <w:rStyle w:val="FootnoteReference"/>
        </w:rPr>
        <w:footnoteRef/>
      </w:r>
      <w:r>
        <w:t xml:space="preserve"> Section 21.0</w:t>
      </w:r>
    </w:p>
  </w:footnote>
  <w:footnote w:id="22">
    <w:p w14:paraId="24AC2A6E" w14:textId="77777777" w:rsidR="00BF44F5" w:rsidRDefault="00BF44F5">
      <w:pPr>
        <w:pStyle w:val="FootnoteText"/>
      </w:pPr>
      <w:r>
        <w:rPr>
          <w:rStyle w:val="FootnoteReference"/>
        </w:rPr>
        <w:footnoteRef/>
      </w:r>
      <w:r>
        <w:t xml:space="preserve"> Section 18.0</w:t>
      </w:r>
    </w:p>
  </w:footnote>
  <w:footnote w:id="23">
    <w:p w14:paraId="7BE49387" w14:textId="77777777" w:rsidR="0015467B" w:rsidRDefault="0015467B">
      <w:pPr>
        <w:pStyle w:val="FootnoteText"/>
      </w:pPr>
      <w:r>
        <w:rPr>
          <w:rStyle w:val="FootnoteReference"/>
        </w:rPr>
        <w:footnoteRef/>
      </w:r>
      <w:r>
        <w:t xml:space="preserve"> Section 19.0</w:t>
      </w:r>
    </w:p>
  </w:footnote>
  <w:footnote w:id="24">
    <w:p w14:paraId="0AFC8C85" w14:textId="77777777" w:rsidR="00054F6D" w:rsidRDefault="00054F6D">
      <w:pPr>
        <w:pStyle w:val="FootnoteText"/>
      </w:pPr>
      <w:r>
        <w:rPr>
          <w:rStyle w:val="FootnoteReference"/>
        </w:rPr>
        <w:footnoteRef/>
      </w:r>
      <w:r>
        <w:t xml:space="preserve"> Section 20.0</w:t>
      </w:r>
    </w:p>
  </w:footnote>
  <w:footnote w:id="25">
    <w:p w14:paraId="15A78224" w14:textId="77777777" w:rsidR="00C84533" w:rsidRDefault="00C84533">
      <w:pPr>
        <w:pStyle w:val="FootnoteText"/>
      </w:pPr>
      <w:r>
        <w:rPr>
          <w:rStyle w:val="FootnoteReference"/>
        </w:rPr>
        <w:footnoteRef/>
      </w:r>
      <w:r>
        <w:t xml:space="preserve"> The supplemental omnibus (PO 2019-0400) currently being considered by the Council would </w:t>
      </w:r>
      <w:r w:rsidR="002454B0">
        <w:t>appropriate</w:t>
      </w:r>
      <w:r>
        <w:t xml:space="preserve"> </w:t>
      </w:r>
      <w:r w:rsidR="00970E75">
        <w:t>approximately $364,000</w:t>
      </w:r>
      <w:r w:rsidR="002454B0">
        <w:t xml:space="preserve"> (revenue-backed) and authorize 3.0 FTEs </w:t>
      </w:r>
      <w:r w:rsidR="001B255B">
        <w:t>to support cleaning and maintenance work for the First Hill streetcar line.</w:t>
      </w:r>
      <w:r w:rsidR="00861D0B">
        <w:t xml:space="preserve"> Executive staff indicate that Metro and the City of Seattle have signed a Letter of Agreement to start the cleaning of passenger facilities under the current operating agreement due to the City’s contract with the current vendor expiring before a new operating agreement can be approved</w:t>
      </w:r>
      <w:r w:rsidR="003510DB">
        <w:t>.</w:t>
      </w:r>
    </w:p>
  </w:footnote>
  <w:footnote w:id="26">
    <w:p w14:paraId="56385EEA" w14:textId="77777777" w:rsidR="00953914" w:rsidRPr="00882464" w:rsidRDefault="00953914">
      <w:pPr>
        <w:pStyle w:val="FootnoteText"/>
        <w:rPr>
          <w:rFonts w:ascii="Arial" w:hAnsi="Arial" w:cs="Arial"/>
        </w:rPr>
      </w:pPr>
      <w:r w:rsidRPr="00882464">
        <w:rPr>
          <w:rStyle w:val="FootnoteReference"/>
          <w:rFonts w:ascii="Arial" w:hAnsi="Arial" w:cs="Arial"/>
        </w:rPr>
        <w:footnoteRef/>
      </w:r>
      <w:r w:rsidRPr="00882464">
        <w:rPr>
          <w:rFonts w:ascii="Arial" w:hAnsi="Arial" w:cs="Arial"/>
        </w:rPr>
        <w:t xml:space="preserve"> Section 2.0</w:t>
      </w:r>
    </w:p>
  </w:footnote>
  <w:footnote w:id="27">
    <w:p w14:paraId="4B9E2DEB" w14:textId="77777777" w:rsidR="008D3946" w:rsidRPr="00882464" w:rsidRDefault="008D3946">
      <w:pPr>
        <w:pStyle w:val="FootnoteText"/>
        <w:rPr>
          <w:rFonts w:ascii="Arial" w:hAnsi="Arial" w:cs="Arial"/>
        </w:rPr>
      </w:pPr>
      <w:r w:rsidRPr="00882464">
        <w:rPr>
          <w:rStyle w:val="FootnoteReference"/>
          <w:rFonts w:ascii="Arial" w:hAnsi="Arial" w:cs="Arial"/>
        </w:rPr>
        <w:footnoteRef/>
      </w:r>
      <w:r w:rsidRPr="00882464">
        <w:rPr>
          <w:rFonts w:ascii="Arial" w:hAnsi="Arial" w:cs="Arial"/>
        </w:rPr>
        <w:t xml:space="preserve"> Ordinance </w:t>
      </w:r>
      <w:r w:rsidR="004423CF" w:rsidRPr="00882464">
        <w:rPr>
          <w:rFonts w:ascii="Arial" w:hAnsi="Arial" w:cs="Arial"/>
        </w:rPr>
        <w:t>17876</w:t>
      </w:r>
      <w:r w:rsidRPr="00882464">
        <w:rPr>
          <w:rFonts w:ascii="Arial" w:hAnsi="Arial" w:cs="Arial"/>
        </w:rPr>
        <w:t>, Attachment A, Section 15.1</w:t>
      </w:r>
    </w:p>
  </w:footnote>
  <w:footnote w:id="28">
    <w:p w14:paraId="39DDDEB5" w14:textId="7EDC77AA" w:rsidR="00BB6582" w:rsidRDefault="00BB6582">
      <w:pPr>
        <w:pStyle w:val="FootnoteText"/>
      </w:pPr>
      <w:r>
        <w:rPr>
          <w:rStyle w:val="FootnoteReference"/>
        </w:rPr>
        <w:footnoteRef/>
      </w:r>
      <w:r>
        <w:t xml:space="preserve"> </w:t>
      </w:r>
      <w:r w:rsidRPr="00882464">
        <w:rPr>
          <w:rFonts w:ascii="Arial" w:hAnsi="Arial" w:cs="Arial"/>
        </w:rPr>
        <w:t>Note that under the proposed agreement, the County contribution would be phased out in 2028 if the City and County fail to agree on a contribution schedule in subsequent renewal periods, so there may be a limited timeframe upon which this would be a relevant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4EB9" w14:textId="77777777" w:rsidR="00C75025" w:rsidRDefault="00C75025" w:rsidP="00C75025">
    <w:pPr>
      <w:jc w:val="center"/>
    </w:pPr>
    <w:r>
      <w:rPr>
        <w:noProof/>
      </w:rPr>
      <w:drawing>
        <wp:inline distT="0" distB="0" distL="0" distR="0" wp14:anchorId="10C28334" wp14:editId="1130108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B86CCF2" w14:textId="77777777" w:rsidR="00C75025" w:rsidRPr="003B03EF" w:rsidRDefault="00C75025" w:rsidP="00C75025">
    <w:pPr>
      <w:jc w:val="center"/>
      <w:rPr>
        <w:rFonts w:ascii="Arial" w:hAnsi="Arial"/>
        <w:szCs w:val="22"/>
      </w:rPr>
    </w:pPr>
  </w:p>
  <w:p w14:paraId="5D715387"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5F9E464C"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0276F5"/>
    <w:multiLevelType w:val="hybridMultilevel"/>
    <w:tmpl w:val="F3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54E8B"/>
    <w:multiLevelType w:val="hybridMultilevel"/>
    <w:tmpl w:val="87A8B1B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977"/>
    <w:rsid w:val="00000F0A"/>
    <w:rsid w:val="00001E14"/>
    <w:rsid w:val="000022A1"/>
    <w:rsid w:val="00002565"/>
    <w:rsid w:val="00002EFF"/>
    <w:rsid w:val="000038DD"/>
    <w:rsid w:val="00003AB6"/>
    <w:rsid w:val="000048A8"/>
    <w:rsid w:val="00006AAA"/>
    <w:rsid w:val="00007170"/>
    <w:rsid w:val="000079A1"/>
    <w:rsid w:val="00011320"/>
    <w:rsid w:val="00011563"/>
    <w:rsid w:val="00012770"/>
    <w:rsid w:val="00012F2F"/>
    <w:rsid w:val="00014584"/>
    <w:rsid w:val="00014EBB"/>
    <w:rsid w:val="000159FC"/>
    <w:rsid w:val="0001614F"/>
    <w:rsid w:val="0001644D"/>
    <w:rsid w:val="00016751"/>
    <w:rsid w:val="00016E5A"/>
    <w:rsid w:val="000172AB"/>
    <w:rsid w:val="0001760A"/>
    <w:rsid w:val="000179BF"/>
    <w:rsid w:val="00020A63"/>
    <w:rsid w:val="00020C96"/>
    <w:rsid w:val="00020FEE"/>
    <w:rsid w:val="00022EE3"/>
    <w:rsid w:val="0002302F"/>
    <w:rsid w:val="000231B1"/>
    <w:rsid w:val="00024138"/>
    <w:rsid w:val="0002460E"/>
    <w:rsid w:val="0002551E"/>
    <w:rsid w:val="0002555E"/>
    <w:rsid w:val="000270B8"/>
    <w:rsid w:val="000272B4"/>
    <w:rsid w:val="000311D8"/>
    <w:rsid w:val="000315B2"/>
    <w:rsid w:val="00031E7D"/>
    <w:rsid w:val="0003207F"/>
    <w:rsid w:val="000321D8"/>
    <w:rsid w:val="00032A93"/>
    <w:rsid w:val="000333D7"/>
    <w:rsid w:val="000333DA"/>
    <w:rsid w:val="000351B5"/>
    <w:rsid w:val="00037B5D"/>
    <w:rsid w:val="00042247"/>
    <w:rsid w:val="000441C0"/>
    <w:rsid w:val="00044D16"/>
    <w:rsid w:val="00044F5B"/>
    <w:rsid w:val="0004549A"/>
    <w:rsid w:val="000456C4"/>
    <w:rsid w:val="0004670E"/>
    <w:rsid w:val="00046824"/>
    <w:rsid w:val="000470FF"/>
    <w:rsid w:val="0005201B"/>
    <w:rsid w:val="0005273A"/>
    <w:rsid w:val="000533AF"/>
    <w:rsid w:val="0005418D"/>
    <w:rsid w:val="00054F6D"/>
    <w:rsid w:val="000553F5"/>
    <w:rsid w:val="00055B9A"/>
    <w:rsid w:val="00056C81"/>
    <w:rsid w:val="000577A3"/>
    <w:rsid w:val="00060235"/>
    <w:rsid w:val="00060D99"/>
    <w:rsid w:val="0006124B"/>
    <w:rsid w:val="00061676"/>
    <w:rsid w:val="00062056"/>
    <w:rsid w:val="00063E46"/>
    <w:rsid w:val="00065B7A"/>
    <w:rsid w:val="00066CEA"/>
    <w:rsid w:val="00070455"/>
    <w:rsid w:val="000722EA"/>
    <w:rsid w:val="000736F6"/>
    <w:rsid w:val="00074A56"/>
    <w:rsid w:val="000766A2"/>
    <w:rsid w:val="00076B18"/>
    <w:rsid w:val="00076F58"/>
    <w:rsid w:val="00080295"/>
    <w:rsid w:val="00081382"/>
    <w:rsid w:val="0008164D"/>
    <w:rsid w:val="00082009"/>
    <w:rsid w:val="0008325A"/>
    <w:rsid w:val="00084C4C"/>
    <w:rsid w:val="00086A9B"/>
    <w:rsid w:val="0008758D"/>
    <w:rsid w:val="00087BF6"/>
    <w:rsid w:val="000913B6"/>
    <w:rsid w:val="000927C3"/>
    <w:rsid w:val="000931D1"/>
    <w:rsid w:val="00093E1B"/>
    <w:rsid w:val="00093E2E"/>
    <w:rsid w:val="000940FB"/>
    <w:rsid w:val="00095046"/>
    <w:rsid w:val="000956D8"/>
    <w:rsid w:val="00095A14"/>
    <w:rsid w:val="00095ABA"/>
    <w:rsid w:val="000967D1"/>
    <w:rsid w:val="000969FB"/>
    <w:rsid w:val="000976A4"/>
    <w:rsid w:val="00097FCF"/>
    <w:rsid w:val="000A0800"/>
    <w:rsid w:val="000A0835"/>
    <w:rsid w:val="000A0A31"/>
    <w:rsid w:val="000A1E45"/>
    <w:rsid w:val="000A26BF"/>
    <w:rsid w:val="000A3100"/>
    <w:rsid w:val="000A4077"/>
    <w:rsid w:val="000A4959"/>
    <w:rsid w:val="000A4A4E"/>
    <w:rsid w:val="000A4CB2"/>
    <w:rsid w:val="000A5B81"/>
    <w:rsid w:val="000A5C21"/>
    <w:rsid w:val="000A5F9C"/>
    <w:rsid w:val="000A5FD0"/>
    <w:rsid w:val="000A6475"/>
    <w:rsid w:val="000A714D"/>
    <w:rsid w:val="000A73BE"/>
    <w:rsid w:val="000A78D8"/>
    <w:rsid w:val="000A7CCC"/>
    <w:rsid w:val="000A7E01"/>
    <w:rsid w:val="000B0291"/>
    <w:rsid w:val="000B0576"/>
    <w:rsid w:val="000B3172"/>
    <w:rsid w:val="000B3D40"/>
    <w:rsid w:val="000B650C"/>
    <w:rsid w:val="000B70C3"/>
    <w:rsid w:val="000C1108"/>
    <w:rsid w:val="000C20E2"/>
    <w:rsid w:val="000C299B"/>
    <w:rsid w:val="000C311D"/>
    <w:rsid w:val="000C44B1"/>
    <w:rsid w:val="000C4B53"/>
    <w:rsid w:val="000C4BA4"/>
    <w:rsid w:val="000C4E99"/>
    <w:rsid w:val="000C4E9C"/>
    <w:rsid w:val="000C5EFF"/>
    <w:rsid w:val="000C6362"/>
    <w:rsid w:val="000C6442"/>
    <w:rsid w:val="000C6F99"/>
    <w:rsid w:val="000D0541"/>
    <w:rsid w:val="000D077F"/>
    <w:rsid w:val="000D097E"/>
    <w:rsid w:val="000D0D53"/>
    <w:rsid w:val="000D0F7A"/>
    <w:rsid w:val="000D2461"/>
    <w:rsid w:val="000D4A15"/>
    <w:rsid w:val="000D5202"/>
    <w:rsid w:val="000D6835"/>
    <w:rsid w:val="000D6C72"/>
    <w:rsid w:val="000D7886"/>
    <w:rsid w:val="000E0684"/>
    <w:rsid w:val="000E1BAB"/>
    <w:rsid w:val="000E1CD3"/>
    <w:rsid w:val="000E2D5F"/>
    <w:rsid w:val="000E321D"/>
    <w:rsid w:val="000E4781"/>
    <w:rsid w:val="000E4DBF"/>
    <w:rsid w:val="000E6C44"/>
    <w:rsid w:val="000E7EFC"/>
    <w:rsid w:val="000F17A7"/>
    <w:rsid w:val="000F29F5"/>
    <w:rsid w:val="000F4DCA"/>
    <w:rsid w:val="000F5E4A"/>
    <w:rsid w:val="000F6775"/>
    <w:rsid w:val="00101259"/>
    <w:rsid w:val="00102771"/>
    <w:rsid w:val="00103094"/>
    <w:rsid w:val="00105382"/>
    <w:rsid w:val="0010576B"/>
    <w:rsid w:val="00106179"/>
    <w:rsid w:val="001062E7"/>
    <w:rsid w:val="0010705A"/>
    <w:rsid w:val="001074C3"/>
    <w:rsid w:val="00110AC4"/>
    <w:rsid w:val="00111799"/>
    <w:rsid w:val="00112E92"/>
    <w:rsid w:val="00112F4B"/>
    <w:rsid w:val="00113B09"/>
    <w:rsid w:val="00117D3D"/>
    <w:rsid w:val="00121215"/>
    <w:rsid w:val="00121D0A"/>
    <w:rsid w:val="0012573D"/>
    <w:rsid w:val="00126322"/>
    <w:rsid w:val="001319EF"/>
    <w:rsid w:val="00131D0E"/>
    <w:rsid w:val="001320CB"/>
    <w:rsid w:val="0013286C"/>
    <w:rsid w:val="00132C16"/>
    <w:rsid w:val="00132DFC"/>
    <w:rsid w:val="00132FA5"/>
    <w:rsid w:val="00133981"/>
    <w:rsid w:val="00133FE3"/>
    <w:rsid w:val="0013486D"/>
    <w:rsid w:val="0013537B"/>
    <w:rsid w:val="00136122"/>
    <w:rsid w:val="00137469"/>
    <w:rsid w:val="00137B21"/>
    <w:rsid w:val="001404CF"/>
    <w:rsid w:val="00140D86"/>
    <w:rsid w:val="00141752"/>
    <w:rsid w:val="00141B7A"/>
    <w:rsid w:val="001426ED"/>
    <w:rsid w:val="00142F7E"/>
    <w:rsid w:val="0014402C"/>
    <w:rsid w:val="001440C8"/>
    <w:rsid w:val="001440E6"/>
    <w:rsid w:val="001463CF"/>
    <w:rsid w:val="0014767B"/>
    <w:rsid w:val="001479B5"/>
    <w:rsid w:val="001509B2"/>
    <w:rsid w:val="00150B47"/>
    <w:rsid w:val="00151BE6"/>
    <w:rsid w:val="0015229A"/>
    <w:rsid w:val="00152D09"/>
    <w:rsid w:val="00152DAF"/>
    <w:rsid w:val="0015380C"/>
    <w:rsid w:val="0015467B"/>
    <w:rsid w:val="00154E2E"/>
    <w:rsid w:val="001560EF"/>
    <w:rsid w:val="00157113"/>
    <w:rsid w:val="00157334"/>
    <w:rsid w:val="001579F4"/>
    <w:rsid w:val="00163DEF"/>
    <w:rsid w:val="001651EC"/>
    <w:rsid w:val="001654B3"/>
    <w:rsid w:val="0016552E"/>
    <w:rsid w:val="00166774"/>
    <w:rsid w:val="00170219"/>
    <w:rsid w:val="001702C8"/>
    <w:rsid w:val="001718C9"/>
    <w:rsid w:val="00171D93"/>
    <w:rsid w:val="00171FE0"/>
    <w:rsid w:val="0017242A"/>
    <w:rsid w:val="001738AC"/>
    <w:rsid w:val="00173D99"/>
    <w:rsid w:val="00174080"/>
    <w:rsid w:val="00174938"/>
    <w:rsid w:val="00174BB6"/>
    <w:rsid w:val="00174FEE"/>
    <w:rsid w:val="0017665D"/>
    <w:rsid w:val="00177734"/>
    <w:rsid w:val="001816D4"/>
    <w:rsid w:val="001835BD"/>
    <w:rsid w:val="00183EAB"/>
    <w:rsid w:val="0018563A"/>
    <w:rsid w:val="00185D38"/>
    <w:rsid w:val="00185D47"/>
    <w:rsid w:val="00185F51"/>
    <w:rsid w:val="001860B7"/>
    <w:rsid w:val="001875E6"/>
    <w:rsid w:val="00187B62"/>
    <w:rsid w:val="00187ECE"/>
    <w:rsid w:val="0019001E"/>
    <w:rsid w:val="00190D5A"/>
    <w:rsid w:val="00191047"/>
    <w:rsid w:val="001913AD"/>
    <w:rsid w:val="00191D4C"/>
    <w:rsid w:val="00192260"/>
    <w:rsid w:val="00193561"/>
    <w:rsid w:val="00194359"/>
    <w:rsid w:val="00195414"/>
    <w:rsid w:val="00195535"/>
    <w:rsid w:val="0019583B"/>
    <w:rsid w:val="001969F5"/>
    <w:rsid w:val="00196D35"/>
    <w:rsid w:val="00197513"/>
    <w:rsid w:val="001A14AD"/>
    <w:rsid w:val="001A1721"/>
    <w:rsid w:val="001A1D18"/>
    <w:rsid w:val="001A1EB0"/>
    <w:rsid w:val="001A1F93"/>
    <w:rsid w:val="001A2421"/>
    <w:rsid w:val="001A3BDD"/>
    <w:rsid w:val="001A4444"/>
    <w:rsid w:val="001A4AD0"/>
    <w:rsid w:val="001A4D65"/>
    <w:rsid w:val="001A5603"/>
    <w:rsid w:val="001A5669"/>
    <w:rsid w:val="001A69FC"/>
    <w:rsid w:val="001A79D0"/>
    <w:rsid w:val="001B2504"/>
    <w:rsid w:val="001B255B"/>
    <w:rsid w:val="001B338F"/>
    <w:rsid w:val="001B3494"/>
    <w:rsid w:val="001B4E6F"/>
    <w:rsid w:val="001B570A"/>
    <w:rsid w:val="001B5EAA"/>
    <w:rsid w:val="001B65A3"/>
    <w:rsid w:val="001B6C67"/>
    <w:rsid w:val="001B7023"/>
    <w:rsid w:val="001C0CD3"/>
    <w:rsid w:val="001C156D"/>
    <w:rsid w:val="001C254D"/>
    <w:rsid w:val="001C4B19"/>
    <w:rsid w:val="001C4EAE"/>
    <w:rsid w:val="001D0111"/>
    <w:rsid w:val="001D15FF"/>
    <w:rsid w:val="001D225C"/>
    <w:rsid w:val="001D2DDB"/>
    <w:rsid w:val="001D396A"/>
    <w:rsid w:val="001D3E8B"/>
    <w:rsid w:val="001D5046"/>
    <w:rsid w:val="001D525A"/>
    <w:rsid w:val="001D6FB9"/>
    <w:rsid w:val="001D7004"/>
    <w:rsid w:val="001D718E"/>
    <w:rsid w:val="001E0516"/>
    <w:rsid w:val="001E0DD3"/>
    <w:rsid w:val="001E0E59"/>
    <w:rsid w:val="001E1042"/>
    <w:rsid w:val="001E2BAC"/>
    <w:rsid w:val="001E45BF"/>
    <w:rsid w:val="001E5D41"/>
    <w:rsid w:val="001E60E9"/>
    <w:rsid w:val="001E6331"/>
    <w:rsid w:val="001E6DFB"/>
    <w:rsid w:val="001E7A70"/>
    <w:rsid w:val="001F018C"/>
    <w:rsid w:val="001F1066"/>
    <w:rsid w:val="001F1894"/>
    <w:rsid w:val="001F1B21"/>
    <w:rsid w:val="001F3113"/>
    <w:rsid w:val="001F3419"/>
    <w:rsid w:val="001F3766"/>
    <w:rsid w:val="001F3996"/>
    <w:rsid w:val="001F447F"/>
    <w:rsid w:val="001F4FC3"/>
    <w:rsid w:val="001F5169"/>
    <w:rsid w:val="001F5448"/>
    <w:rsid w:val="001F6119"/>
    <w:rsid w:val="001F624F"/>
    <w:rsid w:val="002005DF"/>
    <w:rsid w:val="00200E94"/>
    <w:rsid w:val="0020116A"/>
    <w:rsid w:val="00201424"/>
    <w:rsid w:val="00201498"/>
    <w:rsid w:val="002037E9"/>
    <w:rsid w:val="002054F9"/>
    <w:rsid w:val="002072C9"/>
    <w:rsid w:val="0020735A"/>
    <w:rsid w:val="00207864"/>
    <w:rsid w:val="00210E29"/>
    <w:rsid w:val="002116C8"/>
    <w:rsid w:val="002121D2"/>
    <w:rsid w:val="00212945"/>
    <w:rsid w:val="00212C08"/>
    <w:rsid w:val="00215732"/>
    <w:rsid w:val="0021778E"/>
    <w:rsid w:val="00220282"/>
    <w:rsid w:val="00220398"/>
    <w:rsid w:val="00223040"/>
    <w:rsid w:val="00223CF9"/>
    <w:rsid w:val="00224F9B"/>
    <w:rsid w:val="0022613D"/>
    <w:rsid w:val="00226B31"/>
    <w:rsid w:val="002270B3"/>
    <w:rsid w:val="00227106"/>
    <w:rsid w:val="00227E8A"/>
    <w:rsid w:val="0023095A"/>
    <w:rsid w:val="00230A23"/>
    <w:rsid w:val="00230AA7"/>
    <w:rsid w:val="00230B3D"/>
    <w:rsid w:val="002327A2"/>
    <w:rsid w:val="00232B86"/>
    <w:rsid w:val="00233032"/>
    <w:rsid w:val="002333E7"/>
    <w:rsid w:val="00234580"/>
    <w:rsid w:val="002345A1"/>
    <w:rsid w:val="00236BA3"/>
    <w:rsid w:val="0024137E"/>
    <w:rsid w:val="002413EE"/>
    <w:rsid w:val="00243C8C"/>
    <w:rsid w:val="00243CB5"/>
    <w:rsid w:val="002443A8"/>
    <w:rsid w:val="002454B0"/>
    <w:rsid w:val="00245A7B"/>
    <w:rsid w:val="00246276"/>
    <w:rsid w:val="002475A0"/>
    <w:rsid w:val="0024797C"/>
    <w:rsid w:val="00250071"/>
    <w:rsid w:val="00250B96"/>
    <w:rsid w:val="00251853"/>
    <w:rsid w:val="00251FAC"/>
    <w:rsid w:val="00253303"/>
    <w:rsid w:val="00253433"/>
    <w:rsid w:val="00253903"/>
    <w:rsid w:val="00253CBA"/>
    <w:rsid w:val="00254100"/>
    <w:rsid w:val="0025456D"/>
    <w:rsid w:val="00256832"/>
    <w:rsid w:val="00257DA8"/>
    <w:rsid w:val="00261493"/>
    <w:rsid w:val="00261750"/>
    <w:rsid w:val="00261E2C"/>
    <w:rsid w:val="00262956"/>
    <w:rsid w:val="0026334C"/>
    <w:rsid w:val="00264BE1"/>
    <w:rsid w:val="00265D03"/>
    <w:rsid w:val="00265EB7"/>
    <w:rsid w:val="0026669B"/>
    <w:rsid w:val="0026712C"/>
    <w:rsid w:val="00270412"/>
    <w:rsid w:val="00270739"/>
    <w:rsid w:val="002715C2"/>
    <w:rsid w:val="00271D7B"/>
    <w:rsid w:val="002720F5"/>
    <w:rsid w:val="00272475"/>
    <w:rsid w:val="0027282D"/>
    <w:rsid w:val="002751C8"/>
    <w:rsid w:val="00275B58"/>
    <w:rsid w:val="00276EE4"/>
    <w:rsid w:val="00276FDA"/>
    <w:rsid w:val="00277B61"/>
    <w:rsid w:val="00277DF6"/>
    <w:rsid w:val="002815C9"/>
    <w:rsid w:val="0028252E"/>
    <w:rsid w:val="0028333F"/>
    <w:rsid w:val="00283483"/>
    <w:rsid w:val="00283B58"/>
    <w:rsid w:val="00284055"/>
    <w:rsid w:val="002859EF"/>
    <w:rsid w:val="00285AF1"/>
    <w:rsid w:val="0029050E"/>
    <w:rsid w:val="00292DEC"/>
    <w:rsid w:val="00293B99"/>
    <w:rsid w:val="00293D02"/>
    <w:rsid w:val="00294222"/>
    <w:rsid w:val="00294B4D"/>
    <w:rsid w:val="00296690"/>
    <w:rsid w:val="002A0DD1"/>
    <w:rsid w:val="002A1127"/>
    <w:rsid w:val="002A1228"/>
    <w:rsid w:val="002A2420"/>
    <w:rsid w:val="002A2AAC"/>
    <w:rsid w:val="002A366E"/>
    <w:rsid w:val="002A6326"/>
    <w:rsid w:val="002A6DFA"/>
    <w:rsid w:val="002B08EF"/>
    <w:rsid w:val="002B0AE3"/>
    <w:rsid w:val="002B0E1F"/>
    <w:rsid w:val="002B376D"/>
    <w:rsid w:val="002B377C"/>
    <w:rsid w:val="002B76A4"/>
    <w:rsid w:val="002B76C0"/>
    <w:rsid w:val="002B7D72"/>
    <w:rsid w:val="002C13D3"/>
    <w:rsid w:val="002C1543"/>
    <w:rsid w:val="002C393D"/>
    <w:rsid w:val="002C42B2"/>
    <w:rsid w:val="002C4D38"/>
    <w:rsid w:val="002C51B8"/>
    <w:rsid w:val="002D1993"/>
    <w:rsid w:val="002D287C"/>
    <w:rsid w:val="002D486C"/>
    <w:rsid w:val="002D6D64"/>
    <w:rsid w:val="002D71EB"/>
    <w:rsid w:val="002E0632"/>
    <w:rsid w:val="002E0794"/>
    <w:rsid w:val="002E0EBA"/>
    <w:rsid w:val="002E215F"/>
    <w:rsid w:val="002E23AC"/>
    <w:rsid w:val="002E4150"/>
    <w:rsid w:val="002E43C8"/>
    <w:rsid w:val="002E6164"/>
    <w:rsid w:val="002E61CB"/>
    <w:rsid w:val="002E6554"/>
    <w:rsid w:val="002E6838"/>
    <w:rsid w:val="002E6F65"/>
    <w:rsid w:val="002E71BD"/>
    <w:rsid w:val="002F0BC5"/>
    <w:rsid w:val="002F0EB2"/>
    <w:rsid w:val="002F3C5E"/>
    <w:rsid w:val="002F3DFD"/>
    <w:rsid w:val="002F6129"/>
    <w:rsid w:val="002F7006"/>
    <w:rsid w:val="003001E1"/>
    <w:rsid w:val="003002EE"/>
    <w:rsid w:val="00301EF5"/>
    <w:rsid w:val="00302F3E"/>
    <w:rsid w:val="0030379F"/>
    <w:rsid w:val="00303D74"/>
    <w:rsid w:val="0030553B"/>
    <w:rsid w:val="00306680"/>
    <w:rsid w:val="00307D40"/>
    <w:rsid w:val="003110A1"/>
    <w:rsid w:val="00311CD5"/>
    <w:rsid w:val="00312499"/>
    <w:rsid w:val="003149CE"/>
    <w:rsid w:val="0031514F"/>
    <w:rsid w:val="0031593D"/>
    <w:rsid w:val="00321185"/>
    <w:rsid w:val="00321882"/>
    <w:rsid w:val="003218B9"/>
    <w:rsid w:val="00321CDB"/>
    <w:rsid w:val="00322AA8"/>
    <w:rsid w:val="003260D6"/>
    <w:rsid w:val="00327189"/>
    <w:rsid w:val="0032788E"/>
    <w:rsid w:val="00330976"/>
    <w:rsid w:val="003312E7"/>
    <w:rsid w:val="00331B72"/>
    <w:rsid w:val="00332D92"/>
    <w:rsid w:val="00333D1B"/>
    <w:rsid w:val="00336287"/>
    <w:rsid w:val="00336FF7"/>
    <w:rsid w:val="003377D3"/>
    <w:rsid w:val="003406EB"/>
    <w:rsid w:val="0034168A"/>
    <w:rsid w:val="003416A6"/>
    <w:rsid w:val="00342043"/>
    <w:rsid w:val="00343549"/>
    <w:rsid w:val="00343A9E"/>
    <w:rsid w:val="0034448D"/>
    <w:rsid w:val="00344898"/>
    <w:rsid w:val="00345580"/>
    <w:rsid w:val="0034627D"/>
    <w:rsid w:val="00347DD1"/>
    <w:rsid w:val="00347F7B"/>
    <w:rsid w:val="003501DB"/>
    <w:rsid w:val="003510DB"/>
    <w:rsid w:val="00352E55"/>
    <w:rsid w:val="003531FC"/>
    <w:rsid w:val="003536EA"/>
    <w:rsid w:val="00353F01"/>
    <w:rsid w:val="00354874"/>
    <w:rsid w:val="00355729"/>
    <w:rsid w:val="00355CD1"/>
    <w:rsid w:val="00356FD8"/>
    <w:rsid w:val="003603BC"/>
    <w:rsid w:val="00361436"/>
    <w:rsid w:val="003616DB"/>
    <w:rsid w:val="003622AD"/>
    <w:rsid w:val="00362EF8"/>
    <w:rsid w:val="00363CBA"/>
    <w:rsid w:val="00364250"/>
    <w:rsid w:val="003648B8"/>
    <w:rsid w:val="00365DAD"/>
    <w:rsid w:val="00366583"/>
    <w:rsid w:val="00366F46"/>
    <w:rsid w:val="00367E02"/>
    <w:rsid w:val="00370B09"/>
    <w:rsid w:val="00372104"/>
    <w:rsid w:val="00372554"/>
    <w:rsid w:val="00373A3A"/>
    <w:rsid w:val="00374AA5"/>
    <w:rsid w:val="00375D47"/>
    <w:rsid w:val="00375F76"/>
    <w:rsid w:val="003762E0"/>
    <w:rsid w:val="003766C6"/>
    <w:rsid w:val="00377026"/>
    <w:rsid w:val="003776FF"/>
    <w:rsid w:val="003810EA"/>
    <w:rsid w:val="00381E3C"/>
    <w:rsid w:val="00382A09"/>
    <w:rsid w:val="00382AC7"/>
    <w:rsid w:val="00383E4C"/>
    <w:rsid w:val="00383EAC"/>
    <w:rsid w:val="00384051"/>
    <w:rsid w:val="00384C61"/>
    <w:rsid w:val="00386DA4"/>
    <w:rsid w:val="003876C1"/>
    <w:rsid w:val="003910D8"/>
    <w:rsid w:val="003912A1"/>
    <w:rsid w:val="0039137E"/>
    <w:rsid w:val="0039192E"/>
    <w:rsid w:val="00391AD6"/>
    <w:rsid w:val="00391DBB"/>
    <w:rsid w:val="003922CD"/>
    <w:rsid w:val="003927EB"/>
    <w:rsid w:val="00392EE9"/>
    <w:rsid w:val="00393627"/>
    <w:rsid w:val="003967B7"/>
    <w:rsid w:val="00397BE5"/>
    <w:rsid w:val="003A01DF"/>
    <w:rsid w:val="003A0E1D"/>
    <w:rsid w:val="003A12AE"/>
    <w:rsid w:val="003A213C"/>
    <w:rsid w:val="003A2203"/>
    <w:rsid w:val="003A2293"/>
    <w:rsid w:val="003A24D6"/>
    <w:rsid w:val="003A2766"/>
    <w:rsid w:val="003A374B"/>
    <w:rsid w:val="003A52B0"/>
    <w:rsid w:val="003A6045"/>
    <w:rsid w:val="003A6408"/>
    <w:rsid w:val="003A7DA8"/>
    <w:rsid w:val="003B0446"/>
    <w:rsid w:val="003B09C1"/>
    <w:rsid w:val="003B184F"/>
    <w:rsid w:val="003B1B3D"/>
    <w:rsid w:val="003B2D4C"/>
    <w:rsid w:val="003B3318"/>
    <w:rsid w:val="003B3572"/>
    <w:rsid w:val="003B4653"/>
    <w:rsid w:val="003B52A7"/>
    <w:rsid w:val="003B5AC1"/>
    <w:rsid w:val="003B7680"/>
    <w:rsid w:val="003C027F"/>
    <w:rsid w:val="003C2500"/>
    <w:rsid w:val="003C2764"/>
    <w:rsid w:val="003C2E23"/>
    <w:rsid w:val="003C3117"/>
    <w:rsid w:val="003C31C2"/>
    <w:rsid w:val="003C36B6"/>
    <w:rsid w:val="003C3AE8"/>
    <w:rsid w:val="003C6B62"/>
    <w:rsid w:val="003C7596"/>
    <w:rsid w:val="003C76A6"/>
    <w:rsid w:val="003C78B5"/>
    <w:rsid w:val="003D06D2"/>
    <w:rsid w:val="003D0841"/>
    <w:rsid w:val="003D24A2"/>
    <w:rsid w:val="003D3E56"/>
    <w:rsid w:val="003D5894"/>
    <w:rsid w:val="003D7347"/>
    <w:rsid w:val="003E06F9"/>
    <w:rsid w:val="003E0A75"/>
    <w:rsid w:val="003E1596"/>
    <w:rsid w:val="003E2957"/>
    <w:rsid w:val="003E32E3"/>
    <w:rsid w:val="003E4D79"/>
    <w:rsid w:val="003E52FC"/>
    <w:rsid w:val="003E54B1"/>
    <w:rsid w:val="003E6A14"/>
    <w:rsid w:val="003F1E09"/>
    <w:rsid w:val="003F252B"/>
    <w:rsid w:val="003F3805"/>
    <w:rsid w:val="003F578D"/>
    <w:rsid w:val="003F635B"/>
    <w:rsid w:val="003F7F18"/>
    <w:rsid w:val="004004FE"/>
    <w:rsid w:val="004008CF"/>
    <w:rsid w:val="00400A17"/>
    <w:rsid w:val="00400C1C"/>
    <w:rsid w:val="004011F4"/>
    <w:rsid w:val="00401E29"/>
    <w:rsid w:val="00402D08"/>
    <w:rsid w:val="00403695"/>
    <w:rsid w:val="00403A1F"/>
    <w:rsid w:val="00404F31"/>
    <w:rsid w:val="00405402"/>
    <w:rsid w:val="004079CC"/>
    <w:rsid w:val="00413BB8"/>
    <w:rsid w:val="0041435C"/>
    <w:rsid w:val="00415029"/>
    <w:rsid w:val="004153FF"/>
    <w:rsid w:val="00415C99"/>
    <w:rsid w:val="004164CB"/>
    <w:rsid w:val="00416EC1"/>
    <w:rsid w:val="00421A90"/>
    <w:rsid w:val="00421B59"/>
    <w:rsid w:val="00421D84"/>
    <w:rsid w:val="00422570"/>
    <w:rsid w:val="00422ED9"/>
    <w:rsid w:val="00423F01"/>
    <w:rsid w:val="00423F29"/>
    <w:rsid w:val="00424662"/>
    <w:rsid w:val="00426722"/>
    <w:rsid w:val="0043117D"/>
    <w:rsid w:val="00431EEF"/>
    <w:rsid w:val="00433CD8"/>
    <w:rsid w:val="00433E5C"/>
    <w:rsid w:val="004349B7"/>
    <w:rsid w:val="00436DD2"/>
    <w:rsid w:val="0043717B"/>
    <w:rsid w:val="00437287"/>
    <w:rsid w:val="004412EB"/>
    <w:rsid w:val="004423CF"/>
    <w:rsid w:val="004442EB"/>
    <w:rsid w:val="00444CDD"/>
    <w:rsid w:val="00446BF5"/>
    <w:rsid w:val="00447B01"/>
    <w:rsid w:val="00450155"/>
    <w:rsid w:val="0045274D"/>
    <w:rsid w:val="00452DA1"/>
    <w:rsid w:val="0045419C"/>
    <w:rsid w:val="00454FE1"/>
    <w:rsid w:val="00455FE6"/>
    <w:rsid w:val="00456257"/>
    <w:rsid w:val="00457F24"/>
    <w:rsid w:val="004611A4"/>
    <w:rsid w:val="0046186D"/>
    <w:rsid w:val="00461BF0"/>
    <w:rsid w:val="0046232C"/>
    <w:rsid w:val="0046321B"/>
    <w:rsid w:val="00463248"/>
    <w:rsid w:val="004633C9"/>
    <w:rsid w:val="00465E3F"/>
    <w:rsid w:val="0046635A"/>
    <w:rsid w:val="00466924"/>
    <w:rsid w:val="00467D43"/>
    <w:rsid w:val="00467FD4"/>
    <w:rsid w:val="0047090B"/>
    <w:rsid w:val="0047220A"/>
    <w:rsid w:val="0047262B"/>
    <w:rsid w:val="00472A96"/>
    <w:rsid w:val="00472E21"/>
    <w:rsid w:val="0047355F"/>
    <w:rsid w:val="00473872"/>
    <w:rsid w:val="00473BE5"/>
    <w:rsid w:val="00473BEB"/>
    <w:rsid w:val="00474258"/>
    <w:rsid w:val="00474B64"/>
    <w:rsid w:val="00474DBF"/>
    <w:rsid w:val="0048143B"/>
    <w:rsid w:val="00482087"/>
    <w:rsid w:val="004821C0"/>
    <w:rsid w:val="00483F1A"/>
    <w:rsid w:val="004849C9"/>
    <w:rsid w:val="0048608E"/>
    <w:rsid w:val="0048657D"/>
    <w:rsid w:val="00486B52"/>
    <w:rsid w:val="00486B8F"/>
    <w:rsid w:val="0048715C"/>
    <w:rsid w:val="00487295"/>
    <w:rsid w:val="00490068"/>
    <w:rsid w:val="004900A4"/>
    <w:rsid w:val="00490B18"/>
    <w:rsid w:val="00490F2F"/>
    <w:rsid w:val="004919C6"/>
    <w:rsid w:val="004927DD"/>
    <w:rsid w:val="00492BAB"/>
    <w:rsid w:val="00492EB8"/>
    <w:rsid w:val="00494B53"/>
    <w:rsid w:val="00495152"/>
    <w:rsid w:val="004973DF"/>
    <w:rsid w:val="004A139B"/>
    <w:rsid w:val="004A1529"/>
    <w:rsid w:val="004A16D6"/>
    <w:rsid w:val="004A3EEA"/>
    <w:rsid w:val="004A3EEF"/>
    <w:rsid w:val="004A4987"/>
    <w:rsid w:val="004A56A4"/>
    <w:rsid w:val="004A59B3"/>
    <w:rsid w:val="004A6FFC"/>
    <w:rsid w:val="004A764A"/>
    <w:rsid w:val="004B0159"/>
    <w:rsid w:val="004B0325"/>
    <w:rsid w:val="004B03F1"/>
    <w:rsid w:val="004B0743"/>
    <w:rsid w:val="004B0F80"/>
    <w:rsid w:val="004B21CD"/>
    <w:rsid w:val="004B263A"/>
    <w:rsid w:val="004B2CF7"/>
    <w:rsid w:val="004B31E2"/>
    <w:rsid w:val="004B5813"/>
    <w:rsid w:val="004B5D19"/>
    <w:rsid w:val="004B628A"/>
    <w:rsid w:val="004B74B3"/>
    <w:rsid w:val="004C083D"/>
    <w:rsid w:val="004C1819"/>
    <w:rsid w:val="004C20B1"/>
    <w:rsid w:val="004C241A"/>
    <w:rsid w:val="004C2642"/>
    <w:rsid w:val="004C2A6B"/>
    <w:rsid w:val="004C30E8"/>
    <w:rsid w:val="004C3D3A"/>
    <w:rsid w:val="004C3E78"/>
    <w:rsid w:val="004C4AA8"/>
    <w:rsid w:val="004C4F9F"/>
    <w:rsid w:val="004C570A"/>
    <w:rsid w:val="004C76FB"/>
    <w:rsid w:val="004D160D"/>
    <w:rsid w:val="004D2FE8"/>
    <w:rsid w:val="004D30D7"/>
    <w:rsid w:val="004D31B6"/>
    <w:rsid w:val="004D3E48"/>
    <w:rsid w:val="004D3F2B"/>
    <w:rsid w:val="004D4AF9"/>
    <w:rsid w:val="004D5297"/>
    <w:rsid w:val="004D57FF"/>
    <w:rsid w:val="004D6102"/>
    <w:rsid w:val="004D6471"/>
    <w:rsid w:val="004E03AF"/>
    <w:rsid w:val="004E0CAB"/>
    <w:rsid w:val="004E0E02"/>
    <w:rsid w:val="004E25F6"/>
    <w:rsid w:val="004E2F76"/>
    <w:rsid w:val="004E396D"/>
    <w:rsid w:val="004E48AE"/>
    <w:rsid w:val="004E646C"/>
    <w:rsid w:val="004E6536"/>
    <w:rsid w:val="004E6D1D"/>
    <w:rsid w:val="004F01E5"/>
    <w:rsid w:val="004F0FCB"/>
    <w:rsid w:val="004F400E"/>
    <w:rsid w:val="004F504F"/>
    <w:rsid w:val="004F57F7"/>
    <w:rsid w:val="004F6FBF"/>
    <w:rsid w:val="004F70E1"/>
    <w:rsid w:val="004F750E"/>
    <w:rsid w:val="00500D13"/>
    <w:rsid w:val="00501362"/>
    <w:rsid w:val="00502028"/>
    <w:rsid w:val="00503F9A"/>
    <w:rsid w:val="0050458D"/>
    <w:rsid w:val="0050612C"/>
    <w:rsid w:val="0050732B"/>
    <w:rsid w:val="00507D97"/>
    <w:rsid w:val="00510434"/>
    <w:rsid w:val="00510CF2"/>
    <w:rsid w:val="005110FE"/>
    <w:rsid w:val="00511657"/>
    <w:rsid w:val="00511BAB"/>
    <w:rsid w:val="00511CC0"/>
    <w:rsid w:val="00512D34"/>
    <w:rsid w:val="00512F16"/>
    <w:rsid w:val="00515150"/>
    <w:rsid w:val="00515368"/>
    <w:rsid w:val="005161FC"/>
    <w:rsid w:val="00516686"/>
    <w:rsid w:val="005218F6"/>
    <w:rsid w:val="00522D68"/>
    <w:rsid w:val="005248E8"/>
    <w:rsid w:val="00524D26"/>
    <w:rsid w:val="00527709"/>
    <w:rsid w:val="00527D67"/>
    <w:rsid w:val="00530896"/>
    <w:rsid w:val="00530EF6"/>
    <w:rsid w:val="0053306D"/>
    <w:rsid w:val="00536BB7"/>
    <w:rsid w:val="00537A1F"/>
    <w:rsid w:val="00537B98"/>
    <w:rsid w:val="00540148"/>
    <w:rsid w:val="00540843"/>
    <w:rsid w:val="005413A1"/>
    <w:rsid w:val="00541E71"/>
    <w:rsid w:val="0054369D"/>
    <w:rsid w:val="005461D9"/>
    <w:rsid w:val="0054685E"/>
    <w:rsid w:val="00547D83"/>
    <w:rsid w:val="00547FA2"/>
    <w:rsid w:val="005503F4"/>
    <w:rsid w:val="00550611"/>
    <w:rsid w:val="00551D64"/>
    <w:rsid w:val="005520B7"/>
    <w:rsid w:val="00552731"/>
    <w:rsid w:val="00552B50"/>
    <w:rsid w:val="00554013"/>
    <w:rsid w:val="00554CE6"/>
    <w:rsid w:val="00554DD2"/>
    <w:rsid w:val="00554E38"/>
    <w:rsid w:val="00555471"/>
    <w:rsid w:val="00556549"/>
    <w:rsid w:val="005572A4"/>
    <w:rsid w:val="00557EA9"/>
    <w:rsid w:val="0056091F"/>
    <w:rsid w:val="00560D50"/>
    <w:rsid w:val="00561804"/>
    <w:rsid w:val="00561E7C"/>
    <w:rsid w:val="005621CF"/>
    <w:rsid w:val="00562BE4"/>
    <w:rsid w:val="00562F86"/>
    <w:rsid w:val="0056311F"/>
    <w:rsid w:val="00564B10"/>
    <w:rsid w:val="00564DEE"/>
    <w:rsid w:val="00565716"/>
    <w:rsid w:val="00565B42"/>
    <w:rsid w:val="00566424"/>
    <w:rsid w:val="005670E3"/>
    <w:rsid w:val="005675FE"/>
    <w:rsid w:val="005676A9"/>
    <w:rsid w:val="00567752"/>
    <w:rsid w:val="0057198B"/>
    <w:rsid w:val="00571FF0"/>
    <w:rsid w:val="00573141"/>
    <w:rsid w:val="00573238"/>
    <w:rsid w:val="00575B03"/>
    <w:rsid w:val="00576BCE"/>
    <w:rsid w:val="00576C4A"/>
    <w:rsid w:val="00581625"/>
    <w:rsid w:val="00581978"/>
    <w:rsid w:val="00581B47"/>
    <w:rsid w:val="00581C94"/>
    <w:rsid w:val="0058291D"/>
    <w:rsid w:val="00583A0C"/>
    <w:rsid w:val="005878CE"/>
    <w:rsid w:val="00590A54"/>
    <w:rsid w:val="00590C7D"/>
    <w:rsid w:val="00591697"/>
    <w:rsid w:val="00592A33"/>
    <w:rsid w:val="00594230"/>
    <w:rsid w:val="00596ACA"/>
    <w:rsid w:val="00596E24"/>
    <w:rsid w:val="00597152"/>
    <w:rsid w:val="005A1377"/>
    <w:rsid w:val="005A2023"/>
    <w:rsid w:val="005A2AE5"/>
    <w:rsid w:val="005A2BC9"/>
    <w:rsid w:val="005A3FD9"/>
    <w:rsid w:val="005A4155"/>
    <w:rsid w:val="005A50F2"/>
    <w:rsid w:val="005A51C9"/>
    <w:rsid w:val="005A5CC1"/>
    <w:rsid w:val="005A7B2A"/>
    <w:rsid w:val="005A7DE9"/>
    <w:rsid w:val="005A7E12"/>
    <w:rsid w:val="005B03F9"/>
    <w:rsid w:val="005B0498"/>
    <w:rsid w:val="005B0541"/>
    <w:rsid w:val="005B0FD8"/>
    <w:rsid w:val="005B427D"/>
    <w:rsid w:val="005B478C"/>
    <w:rsid w:val="005B7D1A"/>
    <w:rsid w:val="005C44C6"/>
    <w:rsid w:val="005C4A42"/>
    <w:rsid w:val="005C4BCC"/>
    <w:rsid w:val="005C624B"/>
    <w:rsid w:val="005D056C"/>
    <w:rsid w:val="005D204F"/>
    <w:rsid w:val="005D68D4"/>
    <w:rsid w:val="005E1245"/>
    <w:rsid w:val="005E2903"/>
    <w:rsid w:val="005E440F"/>
    <w:rsid w:val="005E4B4D"/>
    <w:rsid w:val="005E5398"/>
    <w:rsid w:val="005E59DE"/>
    <w:rsid w:val="005E5C67"/>
    <w:rsid w:val="005E611A"/>
    <w:rsid w:val="005E7CF0"/>
    <w:rsid w:val="005F27C6"/>
    <w:rsid w:val="005F2888"/>
    <w:rsid w:val="005F2E48"/>
    <w:rsid w:val="005F3150"/>
    <w:rsid w:val="005F3567"/>
    <w:rsid w:val="005F3942"/>
    <w:rsid w:val="005F4BDA"/>
    <w:rsid w:val="005F4EAE"/>
    <w:rsid w:val="005F5668"/>
    <w:rsid w:val="005F6EE2"/>
    <w:rsid w:val="005F6FD5"/>
    <w:rsid w:val="005F720B"/>
    <w:rsid w:val="005F7A25"/>
    <w:rsid w:val="005F7A5A"/>
    <w:rsid w:val="00600CE0"/>
    <w:rsid w:val="006019D3"/>
    <w:rsid w:val="006020BC"/>
    <w:rsid w:val="006024DB"/>
    <w:rsid w:val="00603FE8"/>
    <w:rsid w:val="00604FAF"/>
    <w:rsid w:val="00604FCB"/>
    <w:rsid w:val="0060582F"/>
    <w:rsid w:val="006059FB"/>
    <w:rsid w:val="0060654F"/>
    <w:rsid w:val="00606970"/>
    <w:rsid w:val="00607026"/>
    <w:rsid w:val="006100B4"/>
    <w:rsid w:val="00610EE1"/>
    <w:rsid w:val="006131AB"/>
    <w:rsid w:val="006131EF"/>
    <w:rsid w:val="00615547"/>
    <w:rsid w:val="006156B9"/>
    <w:rsid w:val="00616C01"/>
    <w:rsid w:val="006201B7"/>
    <w:rsid w:val="0062055D"/>
    <w:rsid w:val="00623245"/>
    <w:rsid w:val="006233C8"/>
    <w:rsid w:val="00623E0D"/>
    <w:rsid w:val="00624691"/>
    <w:rsid w:val="00625FA6"/>
    <w:rsid w:val="00626066"/>
    <w:rsid w:val="00626E78"/>
    <w:rsid w:val="006270DE"/>
    <w:rsid w:val="00630814"/>
    <w:rsid w:val="006315D7"/>
    <w:rsid w:val="006317CD"/>
    <w:rsid w:val="0063186B"/>
    <w:rsid w:val="00632319"/>
    <w:rsid w:val="006325C4"/>
    <w:rsid w:val="00632ED8"/>
    <w:rsid w:val="00632FE2"/>
    <w:rsid w:val="006342F0"/>
    <w:rsid w:val="00637E38"/>
    <w:rsid w:val="00641390"/>
    <w:rsid w:val="006425FE"/>
    <w:rsid w:val="0064391E"/>
    <w:rsid w:val="00643BA7"/>
    <w:rsid w:val="00643DFB"/>
    <w:rsid w:val="00643E28"/>
    <w:rsid w:val="00645C5A"/>
    <w:rsid w:val="00646108"/>
    <w:rsid w:val="006464B8"/>
    <w:rsid w:val="00650F7C"/>
    <w:rsid w:val="00651C3F"/>
    <w:rsid w:val="0065437B"/>
    <w:rsid w:val="0065437F"/>
    <w:rsid w:val="006553C3"/>
    <w:rsid w:val="00656699"/>
    <w:rsid w:val="006577DB"/>
    <w:rsid w:val="00657A7A"/>
    <w:rsid w:val="0066056A"/>
    <w:rsid w:val="0066097C"/>
    <w:rsid w:val="00660BEC"/>
    <w:rsid w:val="0066130C"/>
    <w:rsid w:val="00661B15"/>
    <w:rsid w:val="006620F2"/>
    <w:rsid w:val="0066224F"/>
    <w:rsid w:val="0066257C"/>
    <w:rsid w:val="00662E15"/>
    <w:rsid w:val="00663CCF"/>
    <w:rsid w:val="00664288"/>
    <w:rsid w:val="00664648"/>
    <w:rsid w:val="00665939"/>
    <w:rsid w:val="006664C0"/>
    <w:rsid w:val="0066670B"/>
    <w:rsid w:val="0066707B"/>
    <w:rsid w:val="0066783A"/>
    <w:rsid w:val="00671001"/>
    <w:rsid w:val="006715A0"/>
    <w:rsid w:val="00671BEF"/>
    <w:rsid w:val="00672332"/>
    <w:rsid w:val="00672659"/>
    <w:rsid w:val="0067436B"/>
    <w:rsid w:val="00675900"/>
    <w:rsid w:val="00676040"/>
    <w:rsid w:val="006767E7"/>
    <w:rsid w:val="006826CF"/>
    <w:rsid w:val="0068349F"/>
    <w:rsid w:val="006838C2"/>
    <w:rsid w:val="006838CE"/>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4E04"/>
    <w:rsid w:val="006A58EF"/>
    <w:rsid w:val="006A5FDA"/>
    <w:rsid w:val="006A60EE"/>
    <w:rsid w:val="006A76F1"/>
    <w:rsid w:val="006A77A8"/>
    <w:rsid w:val="006B134E"/>
    <w:rsid w:val="006B14FB"/>
    <w:rsid w:val="006B3473"/>
    <w:rsid w:val="006B42A5"/>
    <w:rsid w:val="006B446C"/>
    <w:rsid w:val="006B4591"/>
    <w:rsid w:val="006B4615"/>
    <w:rsid w:val="006B4661"/>
    <w:rsid w:val="006B4D79"/>
    <w:rsid w:val="006B4E42"/>
    <w:rsid w:val="006B577E"/>
    <w:rsid w:val="006B5845"/>
    <w:rsid w:val="006B6B31"/>
    <w:rsid w:val="006B7D68"/>
    <w:rsid w:val="006B7DA0"/>
    <w:rsid w:val="006C0C61"/>
    <w:rsid w:val="006C1861"/>
    <w:rsid w:val="006C5309"/>
    <w:rsid w:val="006C7139"/>
    <w:rsid w:val="006C71C9"/>
    <w:rsid w:val="006D1FAB"/>
    <w:rsid w:val="006D3174"/>
    <w:rsid w:val="006D3BE3"/>
    <w:rsid w:val="006D4A90"/>
    <w:rsid w:val="006D5B17"/>
    <w:rsid w:val="006D6BEA"/>
    <w:rsid w:val="006D6C04"/>
    <w:rsid w:val="006D7272"/>
    <w:rsid w:val="006E1DED"/>
    <w:rsid w:val="006E3EC7"/>
    <w:rsid w:val="006E669A"/>
    <w:rsid w:val="006E7771"/>
    <w:rsid w:val="006F0684"/>
    <w:rsid w:val="006F129F"/>
    <w:rsid w:val="006F1C1E"/>
    <w:rsid w:val="006F20A5"/>
    <w:rsid w:val="006F2CF4"/>
    <w:rsid w:val="006F4AD3"/>
    <w:rsid w:val="006F58C2"/>
    <w:rsid w:val="006F5D65"/>
    <w:rsid w:val="006F5E92"/>
    <w:rsid w:val="006F62F4"/>
    <w:rsid w:val="006F7148"/>
    <w:rsid w:val="006F715B"/>
    <w:rsid w:val="006F74E7"/>
    <w:rsid w:val="006F7550"/>
    <w:rsid w:val="007014C3"/>
    <w:rsid w:val="00701F7B"/>
    <w:rsid w:val="00702059"/>
    <w:rsid w:val="0070235C"/>
    <w:rsid w:val="00703B2A"/>
    <w:rsid w:val="0070539F"/>
    <w:rsid w:val="00705D32"/>
    <w:rsid w:val="00706E67"/>
    <w:rsid w:val="007100C0"/>
    <w:rsid w:val="00711380"/>
    <w:rsid w:val="00711A85"/>
    <w:rsid w:val="00711DBF"/>
    <w:rsid w:val="0071238B"/>
    <w:rsid w:val="00712D7D"/>
    <w:rsid w:val="007150F8"/>
    <w:rsid w:val="00715AF5"/>
    <w:rsid w:val="00716FDD"/>
    <w:rsid w:val="00720050"/>
    <w:rsid w:val="00720CE4"/>
    <w:rsid w:val="007216BF"/>
    <w:rsid w:val="007219D8"/>
    <w:rsid w:val="00722569"/>
    <w:rsid w:val="00722B95"/>
    <w:rsid w:val="007244A4"/>
    <w:rsid w:val="00724D34"/>
    <w:rsid w:val="007260A1"/>
    <w:rsid w:val="007268FD"/>
    <w:rsid w:val="0073043C"/>
    <w:rsid w:val="00730621"/>
    <w:rsid w:val="00731CC6"/>
    <w:rsid w:val="0073201E"/>
    <w:rsid w:val="007335BD"/>
    <w:rsid w:val="00734103"/>
    <w:rsid w:val="0073475E"/>
    <w:rsid w:val="00734CFE"/>
    <w:rsid w:val="00734F1B"/>
    <w:rsid w:val="00734F2E"/>
    <w:rsid w:val="007362F4"/>
    <w:rsid w:val="007404DF"/>
    <w:rsid w:val="00740D4D"/>
    <w:rsid w:val="00740D56"/>
    <w:rsid w:val="00741B49"/>
    <w:rsid w:val="007470ED"/>
    <w:rsid w:val="007500BE"/>
    <w:rsid w:val="00750388"/>
    <w:rsid w:val="007506B8"/>
    <w:rsid w:val="007532A9"/>
    <w:rsid w:val="00753E84"/>
    <w:rsid w:val="007557A8"/>
    <w:rsid w:val="00755A77"/>
    <w:rsid w:val="00755B13"/>
    <w:rsid w:val="00755C37"/>
    <w:rsid w:val="00756DB3"/>
    <w:rsid w:val="007574DF"/>
    <w:rsid w:val="007601E7"/>
    <w:rsid w:val="007607D5"/>
    <w:rsid w:val="007635B2"/>
    <w:rsid w:val="007637A7"/>
    <w:rsid w:val="0076386D"/>
    <w:rsid w:val="007649CA"/>
    <w:rsid w:val="00765BF8"/>
    <w:rsid w:val="00765EB5"/>
    <w:rsid w:val="00767B3E"/>
    <w:rsid w:val="00767FF7"/>
    <w:rsid w:val="00771486"/>
    <w:rsid w:val="00772135"/>
    <w:rsid w:val="00772261"/>
    <w:rsid w:val="007727A2"/>
    <w:rsid w:val="00773139"/>
    <w:rsid w:val="00773149"/>
    <w:rsid w:val="00774989"/>
    <w:rsid w:val="00774CF8"/>
    <w:rsid w:val="00777E35"/>
    <w:rsid w:val="007814FF"/>
    <w:rsid w:val="00781FCC"/>
    <w:rsid w:val="0078206A"/>
    <w:rsid w:val="00782F7C"/>
    <w:rsid w:val="007836C0"/>
    <w:rsid w:val="007837BD"/>
    <w:rsid w:val="00784160"/>
    <w:rsid w:val="00790106"/>
    <w:rsid w:val="00790D5F"/>
    <w:rsid w:val="00791045"/>
    <w:rsid w:val="00793C1F"/>
    <w:rsid w:val="00795056"/>
    <w:rsid w:val="00797DDB"/>
    <w:rsid w:val="007A0645"/>
    <w:rsid w:val="007A0F27"/>
    <w:rsid w:val="007B0250"/>
    <w:rsid w:val="007B05D7"/>
    <w:rsid w:val="007B1136"/>
    <w:rsid w:val="007B3A44"/>
    <w:rsid w:val="007B4108"/>
    <w:rsid w:val="007B5E76"/>
    <w:rsid w:val="007B5ED6"/>
    <w:rsid w:val="007B63B1"/>
    <w:rsid w:val="007B688B"/>
    <w:rsid w:val="007B76B3"/>
    <w:rsid w:val="007C1386"/>
    <w:rsid w:val="007C17C0"/>
    <w:rsid w:val="007C1F54"/>
    <w:rsid w:val="007C20EE"/>
    <w:rsid w:val="007C4B96"/>
    <w:rsid w:val="007C57E3"/>
    <w:rsid w:val="007C61DA"/>
    <w:rsid w:val="007C6843"/>
    <w:rsid w:val="007C7BDF"/>
    <w:rsid w:val="007D178B"/>
    <w:rsid w:val="007D17ED"/>
    <w:rsid w:val="007D2C57"/>
    <w:rsid w:val="007D3FB1"/>
    <w:rsid w:val="007D5713"/>
    <w:rsid w:val="007D72EC"/>
    <w:rsid w:val="007D78E8"/>
    <w:rsid w:val="007D7D5A"/>
    <w:rsid w:val="007E3231"/>
    <w:rsid w:val="007E3C5E"/>
    <w:rsid w:val="007E4D47"/>
    <w:rsid w:val="007E5FF1"/>
    <w:rsid w:val="007E62A9"/>
    <w:rsid w:val="007E6DFC"/>
    <w:rsid w:val="007F0F9A"/>
    <w:rsid w:val="007F2EFD"/>
    <w:rsid w:val="007F566F"/>
    <w:rsid w:val="0080188E"/>
    <w:rsid w:val="0080247D"/>
    <w:rsid w:val="008028FF"/>
    <w:rsid w:val="008029E9"/>
    <w:rsid w:val="0080344A"/>
    <w:rsid w:val="00803ADB"/>
    <w:rsid w:val="0080448D"/>
    <w:rsid w:val="0080466D"/>
    <w:rsid w:val="008054C0"/>
    <w:rsid w:val="00805CD2"/>
    <w:rsid w:val="00806E8B"/>
    <w:rsid w:val="008120CD"/>
    <w:rsid w:val="00813DE1"/>
    <w:rsid w:val="0081445B"/>
    <w:rsid w:val="00815152"/>
    <w:rsid w:val="00816B36"/>
    <w:rsid w:val="00816B49"/>
    <w:rsid w:val="00820136"/>
    <w:rsid w:val="008203C8"/>
    <w:rsid w:val="008204B6"/>
    <w:rsid w:val="008212BA"/>
    <w:rsid w:val="00821B8A"/>
    <w:rsid w:val="0082285D"/>
    <w:rsid w:val="00822B84"/>
    <w:rsid w:val="00822CC3"/>
    <w:rsid w:val="00822E71"/>
    <w:rsid w:val="00823F11"/>
    <w:rsid w:val="008240CE"/>
    <w:rsid w:val="0082419F"/>
    <w:rsid w:val="00824FBF"/>
    <w:rsid w:val="00826536"/>
    <w:rsid w:val="00826643"/>
    <w:rsid w:val="00826B2A"/>
    <w:rsid w:val="008276D2"/>
    <w:rsid w:val="00827831"/>
    <w:rsid w:val="00830BB1"/>
    <w:rsid w:val="008327CE"/>
    <w:rsid w:val="00833D81"/>
    <w:rsid w:val="008343B7"/>
    <w:rsid w:val="0083560B"/>
    <w:rsid w:val="00835931"/>
    <w:rsid w:val="00836694"/>
    <w:rsid w:val="008376FD"/>
    <w:rsid w:val="00837F97"/>
    <w:rsid w:val="00837FF9"/>
    <w:rsid w:val="0084191C"/>
    <w:rsid w:val="0084223C"/>
    <w:rsid w:val="008444FD"/>
    <w:rsid w:val="008455FA"/>
    <w:rsid w:val="0084565D"/>
    <w:rsid w:val="00845DA1"/>
    <w:rsid w:val="008462F0"/>
    <w:rsid w:val="00846649"/>
    <w:rsid w:val="00850B5C"/>
    <w:rsid w:val="00853521"/>
    <w:rsid w:val="00854E66"/>
    <w:rsid w:val="00855067"/>
    <w:rsid w:val="00855EED"/>
    <w:rsid w:val="00860271"/>
    <w:rsid w:val="00861D0B"/>
    <w:rsid w:val="008620C2"/>
    <w:rsid w:val="008643F2"/>
    <w:rsid w:val="00864835"/>
    <w:rsid w:val="00864C8A"/>
    <w:rsid w:val="00867662"/>
    <w:rsid w:val="00867DEB"/>
    <w:rsid w:val="0087015C"/>
    <w:rsid w:val="00870615"/>
    <w:rsid w:val="008707CB"/>
    <w:rsid w:val="00870E5A"/>
    <w:rsid w:val="00871392"/>
    <w:rsid w:val="00871C55"/>
    <w:rsid w:val="00871EF8"/>
    <w:rsid w:val="00871F91"/>
    <w:rsid w:val="0087285C"/>
    <w:rsid w:val="00872B93"/>
    <w:rsid w:val="00874EAD"/>
    <w:rsid w:val="00874FC0"/>
    <w:rsid w:val="008752E8"/>
    <w:rsid w:val="00875841"/>
    <w:rsid w:val="00876674"/>
    <w:rsid w:val="00881630"/>
    <w:rsid w:val="00881F37"/>
    <w:rsid w:val="00882407"/>
    <w:rsid w:val="00882464"/>
    <w:rsid w:val="00882B4B"/>
    <w:rsid w:val="00882B75"/>
    <w:rsid w:val="00882C72"/>
    <w:rsid w:val="008831B2"/>
    <w:rsid w:val="00883A48"/>
    <w:rsid w:val="008848DC"/>
    <w:rsid w:val="00885C43"/>
    <w:rsid w:val="00886402"/>
    <w:rsid w:val="00887163"/>
    <w:rsid w:val="00887986"/>
    <w:rsid w:val="00890A87"/>
    <w:rsid w:val="00892075"/>
    <w:rsid w:val="00892A2F"/>
    <w:rsid w:val="0089377A"/>
    <w:rsid w:val="00894CDD"/>
    <w:rsid w:val="00897140"/>
    <w:rsid w:val="008A0105"/>
    <w:rsid w:val="008A1766"/>
    <w:rsid w:val="008A2B57"/>
    <w:rsid w:val="008A5B27"/>
    <w:rsid w:val="008A6A5C"/>
    <w:rsid w:val="008A706A"/>
    <w:rsid w:val="008A7CF0"/>
    <w:rsid w:val="008B0B85"/>
    <w:rsid w:val="008B28F8"/>
    <w:rsid w:val="008B2AC8"/>
    <w:rsid w:val="008B35EE"/>
    <w:rsid w:val="008B3E7C"/>
    <w:rsid w:val="008B4033"/>
    <w:rsid w:val="008B405B"/>
    <w:rsid w:val="008B44E8"/>
    <w:rsid w:val="008B49E0"/>
    <w:rsid w:val="008B556D"/>
    <w:rsid w:val="008B5AE6"/>
    <w:rsid w:val="008B7A46"/>
    <w:rsid w:val="008B7D14"/>
    <w:rsid w:val="008C01D4"/>
    <w:rsid w:val="008C03C6"/>
    <w:rsid w:val="008C0B85"/>
    <w:rsid w:val="008C18F6"/>
    <w:rsid w:val="008C197F"/>
    <w:rsid w:val="008C1B5B"/>
    <w:rsid w:val="008C33F8"/>
    <w:rsid w:val="008C468E"/>
    <w:rsid w:val="008C6271"/>
    <w:rsid w:val="008C6FBE"/>
    <w:rsid w:val="008C7211"/>
    <w:rsid w:val="008D07F4"/>
    <w:rsid w:val="008D125C"/>
    <w:rsid w:val="008D2884"/>
    <w:rsid w:val="008D2E17"/>
    <w:rsid w:val="008D3687"/>
    <w:rsid w:val="008D3946"/>
    <w:rsid w:val="008D460A"/>
    <w:rsid w:val="008D79B2"/>
    <w:rsid w:val="008D7ED0"/>
    <w:rsid w:val="008E1A6E"/>
    <w:rsid w:val="008E2972"/>
    <w:rsid w:val="008E30E9"/>
    <w:rsid w:val="008E3142"/>
    <w:rsid w:val="008E4AD2"/>
    <w:rsid w:val="008E5F44"/>
    <w:rsid w:val="008E7A5D"/>
    <w:rsid w:val="008F09CE"/>
    <w:rsid w:val="008F18D1"/>
    <w:rsid w:val="008F3077"/>
    <w:rsid w:val="008F3308"/>
    <w:rsid w:val="008F4FEE"/>
    <w:rsid w:val="008F5106"/>
    <w:rsid w:val="008F5B95"/>
    <w:rsid w:val="009005FB"/>
    <w:rsid w:val="0090121B"/>
    <w:rsid w:val="00901387"/>
    <w:rsid w:val="009022D8"/>
    <w:rsid w:val="0090274A"/>
    <w:rsid w:val="00903C11"/>
    <w:rsid w:val="00904115"/>
    <w:rsid w:val="00905154"/>
    <w:rsid w:val="00905286"/>
    <w:rsid w:val="00910252"/>
    <w:rsid w:val="009114C1"/>
    <w:rsid w:val="00913FE4"/>
    <w:rsid w:val="0091423F"/>
    <w:rsid w:val="009149B1"/>
    <w:rsid w:val="0091509C"/>
    <w:rsid w:val="0091571C"/>
    <w:rsid w:val="0092081A"/>
    <w:rsid w:val="00920D44"/>
    <w:rsid w:val="0092110D"/>
    <w:rsid w:val="009211DA"/>
    <w:rsid w:val="0092182B"/>
    <w:rsid w:val="00921D88"/>
    <w:rsid w:val="00923832"/>
    <w:rsid w:val="00923F1E"/>
    <w:rsid w:val="00924047"/>
    <w:rsid w:val="00924A5F"/>
    <w:rsid w:val="00924F91"/>
    <w:rsid w:val="00925702"/>
    <w:rsid w:val="00925828"/>
    <w:rsid w:val="0092633C"/>
    <w:rsid w:val="009266B0"/>
    <w:rsid w:val="00926D1F"/>
    <w:rsid w:val="00930071"/>
    <w:rsid w:val="00930C01"/>
    <w:rsid w:val="00930CE2"/>
    <w:rsid w:val="009324CC"/>
    <w:rsid w:val="009326B3"/>
    <w:rsid w:val="00932CEB"/>
    <w:rsid w:val="00932EF0"/>
    <w:rsid w:val="0093386B"/>
    <w:rsid w:val="009345C0"/>
    <w:rsid w:val="00935AB2"/>
    <w:rsid w:val="00935F95"/>
    <w:rsid w:val="00936A4F"/>
    <w:rsid w:val="00937B30"/>
    <w:rsid w:val="00941C2A"/>
    <w:rsid w:val="00941D80"/>
    <w:rsid w:val="00943355"/>
    <w:rsid w:val="00943E7A"/>
    <w:rsid w:val="0094499D"/>
    <w:rsid w:val="009456E6"/>
    <w:rsid w:val="00945FF7"/>
    <w:rsid w:val="0094628E"/>
    <w:rsid w:val="00946942"/>
    <w:rsid w:val="0095041F"/>
    <w:rsid w:val="00951A06"/>
    <w:rsid w:val="009526CD"/>
    <w:rsid w:val="00952AE0"/>
    <w:rsid w:val="009532E2"/>
    <w:rsid w:val="009535B1"/>
    <w:rsid w:val="00953914"/>
    <w:rsid w:val="00953AA3"/>
    <w:rsid w:val="00954918"/>
    <w:rsid w:val="009549C5"/>
    <w:rsid w:val="00954BC9"/>
    <w:rsid w:val="00955248"/>
    <w:rsid w:val="009561EA"/>
    <w:rsid w:val="00961BD9"/>
    <w:rsid w:val="0096284C"/>
    <w:rsid w:val="00963B83"/>
    <w:rsid w:val="0096513A"/>
    <w:rsid w:val="00965ECE"/>
    <w:rsid w:val="009667CE"/>
    <w:rsid w:val="0096684D"/>
    <w:rsid w:val="00966881"/>
    <w:rsid w:val="00967CB3"/>
    <w:rsid w:val="00967FE7"/>
    <w:rsid w:val="00970704"/>
    <w:rsid w:val="00970AEA"/>
    <w:rsid w:val="00970E75"/>
    <w:rsid w:val="009716A9"/>
    <w:rsid w:val="009718BD"/>
    <w:rsid w:val="00971D46"/>
    <w:rsid w:val="00972AB5"/>
    <w:rsid w:val="00972E6E"/>
    <w:rsid w:val="00973523"/>
    <w:rsid w:val="00976143"/>
    <w:rsid w:val="009761C8"/>
    <w:rsid w:val="0097695C"/>
    <w:rsid w:val="00976A46"/>
    <w:rsid w:val="00977C67"/>
    <w:rsid w:val="009805F0"/>
    <w:rsid w:val="00981128"/>
    <w:rsid w:val="009822E3"/>
    <w:rsid w:val="00983B46"/>
    <w:rsid w:val="00984196"/>
    <w:rsid w:val="009859C1"/>
    <w:rsid w:val="009864F8"/>
    <w:rsid w:val="00986BAF"/>
    <w:rsid w:val="009876B0"/>
    <w:rsid w:val="009879E6"/>
    <w:rsid w:val="009901D1"/>
    <w:rsid w:val="009904BB"/>
    <w:rsid w:val="0099121E"/>
    <w:rsid w:val="00991B8E"/>
    <w:rsid w:val="00992285"/>
    <w:rsid w:val="00993759"/>
    <w:rsid w:val="00994872"/>
    <w:rsid w:val="00995A87"/>
    <w:rsid w:val="009A11A6"/>
    <w:rsid w:val="009A2222"/>
    <w:rsid w:val="009A504B"/>
    <w:rsid w:val="009A52E8"/>
    <w:rsid w:val="009A5B2B"/>
    <w:rsid w:val="009A6389"/>
    <w:rsid w:val="009A6567"/>
    <w:rsid w:val="009A672D"/>
    <w:rsid w:val="009A71F3"/>
    <w:rsid w:val="009A7B22"/>
    <w:rsid w:val="009B0304"/>
    <w:rsid w:val="009B0F66"/>
    <w:rsid w:val="009B17E9"/>
    <w:rsid w:val="009B29D4"/>
    <w:rsid w:val="009B2F8B"/>
    <w:rsid w:val="009B3570"/>
    <w:rsid w:val="009B3672"/>
    <w:rsid w:val="009B430F"/>
    <w:rsid w:val="009B4DBC"/>
    <w:rsid w:val="009B50B9"/>
    <w:rsid w:val="009B56EA"/>
    <w:rsid w:val="009B6861"/>
    <w:rsid w:val="009C0CBB"/>
    <w:rsid w:val="009C245A"/>
    <w:rsid w:val="009C3B05"/>
    <w:rsid w:val="009C4B18"/>
    <w:rsid w:val="009C516E"/>
    <w:rsid w:val="009C597F"/>
    <w:rsid w:val="009C69CB"/>
    <w:rsid w:val="009C77E6"/>
    <w:rsid w:val="009C7DC6"/>
    <w:rsid w:val="009D1240"/>
    <w:rsid w:val="009D19AD"/>
    <w:rsid w:val="009D2DE6"/>
    <w:rsid w:val="009D3593"/>
    <w:rsid w:val="009D48A1"/>
    <w:rsid w:val="009D48CE"/>
    <w:rsid w:val="009D4FCF"/>
    <w:rsid w:val="009D55BB"/>
    <w:rsid w:val="009D7999"/>
    <w:rsid w:val="009D7ECB"/>
    <w:rsid w:val="009E39DF"/>
    <w:rsid w:val="009E3F80"/>
    <w:rsid w:val="009E3FF6"/>
    <w:rsid w:val="009E652E"/>
    <w:rsid w:val="009F112D"/>
    <w:rsid w:val="009F2D86"/>
    <w:rsid w:val="009F3435"/>
    <w:rsid w:val="009F356D"/>
    <w:rsid w:val="009F5577"/>
    <w:rsid w:val="009F65F8"/>
    <w:rsid w:val="009F7D4E"/>
    <w:rsid w:val="00A02216"/>
    <w:rsid w:val="00A0380E"/>
    <w:rsid w:val="00A03F83"/>
    <w:rsid w:val="00A05868"/>
    <w:rsid w:val="00A06458"/>
    <w:rsid w:val="00A065D3"/>
    <w:rsid w:val="00A06776"/>
    <w:rsid w:val="00A07959"/>
    <w:rsid w:val="00A10A71"/>
    <w:rsid w:val="00A11D27"/>
    <w:rsid w:val="00A124BC"/>
    <w:rsid w:val="00A137BC"/>
    <w:rsid w:val="00A13877"/>
    <w:rsid w:val="00A15161"/>
    <w:rsid w:val="00A151D0"/>
    <w:rsid w:val="00A159C7"/>
    <w:rsid w:val="00A1689C"/>
    <w:rsid w:val="00A20459"/>
    <w:rsid w:val="00A21507"/>
    <w:rsid w:val="00A22F0C"/>
    <w:rsid w:val="00A23355"/>
    <w:rsid w:val="00A24662"/>
    <w:rsid w:val="00A25BEF"/>
    <w:rsid w:val="00A25BF3"/>
    <w:rsid w:val="00A25DEB"/>
    <w:rsid w:val="00A26B99"/>
    <w:rsid w:val="00A2789C"/>
    <w:rsid w:val="00A30A51"/>
    <w:rsid w:val="00A3188A"/>
    <w:rsid w:val="00A31CF0"/>
    <w:rsid w:val="00A320D2"/>
    <w:rsid w:val="00A32314"/>
    <w:rsid w:val="00A32FF8"/>
    <w:rsid w:val="00A33B1E"/>
    <w:rsid w:val="00A34277"/>
    <w:rsid w:val="00A347A7"/>
    <w:rsid w:val="00A3535D"/>
    <w:rsid w:val="00A35E0F"/>
    <w:rsid w:val="00A3643F"/>
    <w:rsid w:val="00A36551"/>
    <w:rsid w:val="00A367E9"/>
    <w:rsid w:val="00A40E07"/>
    <w:rsid w:val="00A40E9F"/>
    <w:rsid w:val="00A415A9"/>
    <w:rsid w:val="00A41D03"/>
    <w:rsid w:val="00A42457"/>
    <w:rsid w:val="00A42F0C"/>
    <w:rsid w:val="00A43665"/>
    <w:rsid w:val="00A4406D"/>
    <w:rsid w:val="00A456F8"/>
    <w:rsid w:val="00A46752"/>
    <w:rsid w:val="00A5174B"/>
    <w:rsid w:val="00A52BD2"/>
    <w:rsid w:val="00A52E6C"/>
    <w:rsid w:val="00A55AAD"/>
    <w:rsid w:val="00A567DC"/>
    <w:rsid w:val="00A57E80"/>
    <w:rsid w:val="00A602E9"/>
    <w:rsid w:val="00A61133"/>
    <w:rsid w:val="00A623C2"/>
    <w:rsid w:val="00A62920"/>
    <w:rsid w:val="00A6349A"/>
    <w:rsid w:val="00A64D19"/>
    <w:rsid w:val="00A64FDA"/>
    <w:rsid w:val="00A65EBA"/>
    <w:rsid w:val="00A66C92"/>
    <w:rsid w:val="00A67B23"/>
    <w:rsid w:val="00A700A5"/>
    <w:rsid w:val="00A70CB0"/>
    <w:rsid w:val="00A70F08"/>
    <w:rsid w:val="00A70F2D"/>
    <w:rsid w:val="00A7101C"/>
    <w:rsid w:val="00A7120C"/>
    <w:rsid w:val="00A730FE"/>
    <w:rsid w:val="00A7326B"/>
    <w:rsid w:val="00A7463A"/>
    <w:rsid w:val="00A75483"/>
    <w:rsid w:val="00A75EC6"/>
    <w:rsid w:val="00A7605C"/>
    <w:rsid w:val="00A77CB9"/>
    <w:rsid w:val="00A77D1D"/>
    <w:rsid w:val="00A80344"/>
    <w:rsid w:val="00A810B0"/>
    <w:rsid w:val="00A81830"/>
    <w:rsid w:val="00A8219B"/>
    <w:rsid w:val="00A8300F"/>
    <w:rsid w:val="00A8690E"/>
    <w:rsid w:val="00A871D1"/>
    <w:rsid w:val="00A90FF6"/>
    <w:rsid w:val="00A912A6"/>
    <w:rsid w:val="00A914CD"/>
    <w:rsid w:val="00A927B9"/>
    <w:rsid w:val="00A93095"/>
    <w:rsid w:val="00A94108"/>
    <w:rsid w:val="00A95CCF"/>
    <w:rsid w:val="00AA01C6"/>
    <w:rsid w:val="00AA197F"/>
    <w:rsid w:val="00AA29A0"/>
    <w:rsid w:val="00AA3737"/>
    <w:rsid w:val="00AA38AF"/>
    <w:rsid w:val="00AA74D0"/>
    <w:rsid w:val="00AA78B7"/>
    <w:rsid w:val="00AA78FE"/>
    <w:rsid w:val="00AA7972"/>
    <w:rsid w:val="00AA7ACA"/>
    <w:rsid w:val="00AB0779"/>
    <w:rsid w:val="00AB2549"/>
    <w:rsid w:val="00AB4A4D"/>
    <w:rsid w:val="00AB546C"/>
    <w:rsid w:val="00AB5D11"/>
    <w:rsid w:val="00AB62CD"/>
    <w:rsid w:val="00AB745F"/>
    <w:rsid w:val="00AB791F"/>
    <w:rsid w:val="00AB7EDB"/>
    <w:rsid w:val="00AC02D0"/>
    <w:rsid w:val="00AC18D0"/>
    <w:rsid w:val="00AC1CD2"/>
    <w:rsid w:val="00AC456E"/>
    <w:rsid w:val="00AC4645"/>
    <w:rsid w:val="00AC515D"/>
    <w:rsid w:val="00AC79F6"/>
    <w:rsid w:val="00AC7D17"/>
    <w:rsid w:val="00AD04A9"/>
    <w:rsid w:val="00AD04B2"/>
    <w:rsid w:val="00AD2073"/>
    <w:rsid w:val="00AD234A"/>
    <w:rsid w:val="00AD25D1"/>
    <w:rsid w:val="00AD2CDA"/>
    <w:rsid w:val="00AD37CE"/>
    <w:rsid w:val="00AD3A0E"/>
    <w:rsid w:val="00AD3B91"/>
    <w:rsid w:val="00AD41FD"/>
    <w:rsid w:val="00AD4C01"/>
    <w:rsid w:val="00AD704E"/>
    <w:rsid w:val="00AE080A"/>
    <w:rsid w:val="00AE1BE8"/>
    <w:rsid w:val="00AE1F16"/>
    <w:rsid w:val="00AE24B0"/>
    <w:rsid w:val="00AE34D3"/>
    <w:rsid w:val="00AE4AD5"/>
    <w:rsid w:val="00AE4D49"/>
    <w:rsid w:val="00AE6101"/>
    <w:rsid w:val="00AE69C3"/>
    <w:rsid w:val="00AE6B05"/>
    <w:rsid w:val="00AE7C51"/>
    <w:rsid w:val="00AE7DFD"/>
    <w:rsid w:val="00AF0F6D"/>
    <w:rsid w:val="00AF2FD1"/>
    <w:rsid w:val="00AF361D"/>
    <w:rsid w:val="00AF3FD8"/>
    <w:rsid w:val="00AF55DC"/>
    <w:rsid w:val="00AF61B5"/>
    <w:rsid w:val="00AF705B"/>
    <w:rsid w:val="00AF71B9"/>
    <w:rsid w:val="00AF7D3F"/>
    <w:rsid w:val="00B00C8F"/>
    <w:rsid w:val="00B0130F"/>
    <w:rsid w:val="00B0176F"/>
    <w:rsid w:val="00B039FE"/>
    <w:rsid w:val="00B03C3D"/>
    <w:rsid w:val="00B03F24"/>
    <w:rsid w:val="00B03F64"/>
    <w:rsid w:val="00B051C0"/>
    <w:rsid w:val="00B06444"/>
    <w:rsid w:val="00B069C6"/>
    <w:rsid w:val="00B06D74"/>
    <w:rsid w:val="00B07BB9"/>
    <w:rsid w:val="00B10483"/>
    <w:rsid w:val="00B1061E"/>
    <w:rsid w:val="00B12B60"/>
    <w:rsid w:val="00B12F4B"/>
    <w:rsid w:val="00B13D04"/>
    <w:rsid w:val="00B15DFA"/>
    <w:rsid w:val="00B160CE"/>
    <w:rsid w:val="00B16296"/>
    <w:rsid w:val="00B1689F"/>
    <w:rsid w:val="00B17239"/>
    <w:rsid w:val="00B176B0"/>
    <w:rsid w:val="00B17CEA"/>
    <w:rsid w:val="00B2043E"/>
    <w:rsid w:val="00B21EA6"/>
    <w:rsid w:val="00B23613"/>
    <w:rsid w:val="00B23B35"/>
    <w:rsid w:val="00B23B70"/>
    <w:rsid w:val="00B23E7A"/>
    <w:rsid w:val="00B2456C"/>
    <w:rsid w:val="00B24961"/>
    <w:rsid w:val="00B276F7"/>
    <w:rsid w:val="00B32CF9"/>
    <w:rsid w:val="00B33ED2"/>
    <w:rsid w:val="00B34180"/>
    <w:rsid w:val="00B3449E"/>
    <w:rsid w:val="00B35415"/>
    <w:rsid w:val="00B36265"/>
    <w:rsid w:val="00B3686F"/>
    <w:rsid w:val="00B37B8A"/>
    <w:rsid w:val="00B410AF"/>
    <w:rsid w:val="00B418C2"/>
    <w:rsid w:val="00B424FA"/>
    <w:rsid w:val="00B430EB"/>
    <w:rsid w:val="00B445B5"/>
    <w:rsid w:val="00B45F5C"/>
    <w:rsid w:val="00B46027"/>
    <w:rsid w:val="00B47954"/>
    <w:rsid w:val="00B5059B"/>
    <w:rsid w:val="00B51CA8"/>
    <w:rsid w:val="00B51EFC"/>
    <w:rsid w:val="00B5298C"/>
    <w:rsid w:val="00B537FD"/>
    <w:rsid w:val="00B57C88"/>
    <w:rsid w:val="00B60AD3"/>
    <w:rsid w:val="00B62A67"/>
    <w:rsid w:val="00B6401B"/>
    <w:rsid w:val="00B64AE3"/>
    <w:rsid w:val="00B65C9E"/>
    <w:rsid w:val="00B65EB6"/>
    <w:rsid w:val="00B66304"/>
    <w:rsid w:val="00B67961"/>
    <w:rsid w:val="00B701FA"/>
    <w:rsid w:val="00B709CE"/>
    <w:rsid w:val="00B71C54"/>
    <w:rsid w:val="00B71C6D"/>
    <w:rsid w:val="00B72103"/>
    <w:rsid w:val="00B7271E"/>
    <w:rsid w:val="00B72A04"/>
    <w:rsid w:val="00B7359D"/>
    <w:rsid w:val="00B737A8"/>
    <w:rsid w:val="00B73AB3"/>
    <w:rsid w:val="00B7435C"/>
    <w:rsid w:val="00B743A1"/>
    <w:rsid w:val="00B74815"/>
    <w:rsid w:val="00B75CB8"/>
    <w:rsid w:val="00B75D9D"/>
    <w:rsid w:val="00B75F53"/>
    <w:rsid w:val="00B76422"/>
    <w:rsid w:val="00B766D7"/>
    <w:rsid w:val="00B77981"/>
    <w:rsid w:val="00B8185B"/>
    <w:rsid w:val="00B823E4"/>
    <w:rsid w:val="00B82F0D"/>
    <w:rsid w:val="00B83DD6"/>
    <w:rsid w:val="00B84F08"/>
    <w:rsid w:val="00B850AC"/>
    <w:rsid w:val="00B85BB0"/>
    <w:rsid w:val="00B8644F"/>
    <w:rsid w:val="00B8656B"/>
    <w:rsid w:val="00B90238"/>
    <w:rsid w:val="00B91D4E"/>
    <w:rsid w:val="00B92681"/>
    <w:rsid w:val="00B92A99"/>
    <w:rsid w:val="00B941D5"/>
    <w:rsid w:val="00B943D8"/>
    <w:rsid w:val="00B9459E"/>
    <w:rsid w:val="00B94EC0"/>
    <w:rsid w:val="00B954C0"/>
    <w:rsid w:val="00B97541"/>
    <w:rsid w:val="00BA280C"/>
    <w:rsid w:val="00BA295B"/>
    <w:rsid w:val="00BA4208"/>
    <w:rsid w:val="00BA42B1"/>
    <w:rsid w:val="00BA4A77"/>
    <w:rsid w:val="00BA4BF0"/>
    <w:rsid w:val="00BA7B02"/>
    <w:rsid w:val="00BB0722"/>
    <w:rsid w:val="00BB0831"/>
    <w:rsid w:val="00BB0D89"/>
    <w:rsid w:val="00BB2F7B"/>
    <w:rsid w:val="00BB4A3F"/>
    <w:rsid w:val="00BB4CB6"/>
    <w:rsid w:val="00BB6582"/>
    <w:rsid w:val="00BC0755"/>
    <w:rsid w:val="00BC08D6"/>
    <w:rsid w:val="00BC3078"/>
    <w:rsid w:val="00BC369B"/>
    <w:rsid w:val="00BC4875"/>
    <w:rsid w:val="00BC5120"/>
    <w:rsid w:val="00BD004A"/>
    <w:rsid w:val="00BD1F11"/>
    <w:rsid w:val="00BD2360"/>
    <w:rsid w:val="00BD24E9"/>
    <w:rsid w:val="00BD2A49"/>
    <w:rsid w:val="00BD4AC9"/>
    <w:rsid w:val="00BD560A"/>
    <w:rsid w:val="00BD63E2"/>
    <w:rsid w:val="00BE251E"/>
    <w:rsid w:val="00BE26EF"/>
    <w:rsid w:val="00BE3367"/>
    <w:rsid w:val="00BE4252"/>
    <w:rsid w:val="00BE46A7"/>
    <w:rsid w:val="00BE5F00"/>
    <w:rsid w:val="00BE5F70"/>
    <w:rsid w:val="00BF01C4"/>
    <w:rsid w:val="00BF0A06"/>
    <w:rsid w:val="00BF14DE"/>
    <w:rsid w:val="00BF201B"/>
    <w:rsid w:val="00BF2B53"/>
    <w:rsid w:val="00BF2F40"/>
    <w:rsid w:val="00BF3E6A"/>
    <w:rsid w:val="00BF44F5"/>
    <w:rsid w:val="00BF55DC"/>
    <w:rsid w:val="00BF6682"/>
    <w:rsid w:val="00BF69A0"/>
    <w:rsid w:val="00C00353"/>
    <w:rsid w:val="00C00EFB"/>
    <w:rsid w:val="00C01B37"/>
    <w:rsid w:val="00C02B0D"/>
    <w:rsid w:val="00C039FB"/>
    <w:rsid w:val="00C043AA"/>
    <w:rsid w:val="00C06E23"/>
    <w:rsid w:val="00C11DF4"/>
    <w:rsid w:val="00C12B5B"/>
    <w:rsid w:val="00C133A1"/>
    <w:rsid w:val="00C1438C"/>
    <w:rsid w:val="00C147F0"/>
    <w:rsid w:val="00C14F77"/>
    <w:rsid w:val="00C160A3"/>
    <w:rsid w:val="00C166C4"/>
    <w:rsid w:val="00C1790C"/>
    <w:rsid w:val="00C2027E"/>
    <w:rsid w:val="00C21D20"/>
    <w:rsid w:val="00C21EF1"/>
    <w:rsid w:val="00C239F6"/>
    <w:rsid w:val="00C24296"/>
    <w:rsid w:val="00C2460A"/>
    <w:rsid w:val="00C2551D"/>
    <w:rsid w:val="00C26326"/>
    <w:rsid w:val="00C26BF0"/>
    <w:rsid w:val="00C26D26"/>
    <w:rsid w:val="00C27705"/>
    <w:rsid w:val="00C27F02"/>
    <w:rsid w:val="00C30C8A"/>
    <w:rsid w:val="00C315A7"/>
    <w:rsid w:val="00C31614"/>
    <w:rsid w:val="00C3183B"/>
    <w:rsid w:val="00C3244B"/>
    <w:rsid w:val="00C35A36"/>
    <w:rsid w:val="00C36D52"/>
    <w:rsid w:val="00C37A37"/>
    <w:rsid w:val="00C40BAD"/>
    <w:rsid w:val="00C42A4E"/>
    <w:rsid w:val="00C42DD3"/>
    <w:rsid w:val="00C44166"/>
    <w:rsid w:val="00C44FB5"/>
    <w:rsid w:val="00C45043"/>
    <w:rsid w:val="00C45222"/>
    <w:rsid w:val="00C4548C"/>
    <w:rsid w:val="00C45801"/>
    <w:rsid w:val="00C46A40"/>
    <w:rsid w:val="00C46FBA"/>
    <w:rsid w:val="00C475FD"/>
    <w:rsid w:val="00C479C7"/>
    <w:rsid w:val="00C47D08"/>
    <w:rsid w:val="00C50DBA"/>
    <w:rsid w:val="00C5212E"/>
    <w:rsid w:val="00C521D8"/>
    <w:rsid w:val="00C52230"/>
    <w:rsid w:val="00C538F7"/>
    <w:rsid w:val="00C54D05"/>
    <w:rsid w:val="00C55E72"/>
    <w:rsid w:val="00C57065"/>
    <w:rsid w:val="00C574BA"/>
    <w:rsid w:val="00C57C4A"/>
    <w:rsid w:val="00C57E88"/>
    <w:rsid w:val="00C62C87"/>
    <w:rsid w:val="00C635C0"/>
    <w:rsid w:val="00C63F5A"/>
    <w:rsid w:val="00C64A17"/>
    <w:rsid w:val="00C70D06"/>
    <w:rsid w:val="00C71C5B"/>
    <w:rsid w:val="00C71D66"/>
    <w:rsid w:val="00C72AEF"/>
    <w:rsid w:val="00C731F0"/>
    <w:rsid w:val="00C74E8D"/>
    <w:rsid w:val="00C74F26"/>
    <w:rsid w:val="00C75025"/>
    <w:rsid w:val="00C7503E"/>
    <w:rsid w:val="00C75E36"/>
    <w:rsid w:val="00C771DE"/>
    <w:rsid w:val="00C814A3"/>
    <w:rsid w:val="00C81634"/>
    <w:rsid w:val="00C81879"/>
    <w:rsid w:val="00C822A0"/>
    <w:rsid w:val="00C838F4"/>
    <w:rsid w:val="00C84533"/>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827"/>
    <w:rsid w:val="00CA0929"/>
    <w:rsid w:val="00CA0AEF"/>
    <w:rsid w:val="00CA0C81"/>
    <w:rsid w:val="00CA1311"/>
    <w:rsid w:val="00CA1FE3"/>
    <w:rsid w:val="00CA31AA"/>
    <w:rsid w:val="00CA3D45"/>
    <w:rsid w:val="00CA4211"/>
    <w:rsid w:val="00CA4C49"/>
    <w:rsid w:val="00CA585D"/>
    <w:rsid w:val="00CA5AF6"/>
    <w:rsid w:val="00CA74BD"/>
    <w:rsid w:val="00CA7D55"/>
    <w:rsid w:val="00CB0923"/>
    <w:rsid w:val="00CB1443"/>
    <w:rsid w:val="00CB175C"/>
    <w:rsid w:val="00CB2BF5"/>
    <w:rsid w:val="00CB36F1"/>
    <w:rsid w:val="00CB4508"/>
    <w:rsid w:val="00CB4ECF"/>
    <w:rsid w:val="00CB5C22"/>
    <w:rsid w:val="00CB708F"/>
    <w:rsid w:val="00CC09FE"/>
    <w:rsid w:val="00CC0F0F"/>
    <w:rsid w:val="00CC2596"/>
    <w:rsid w:val="00CC319A"/>
    <w:rsid w:val="00CC3458"/>
    <w:rsid w:val="00CC35C9"/>
    <w:rsid w:val="00CC36CE"/>
    <w:rsid w:val="00CC383B"/>
    <w:rsid w:val="00CC38BC"/>
    <w:rsid w:val="00CC3C11"/>
    <w:rsid w:val="00CC3CB7"/>
    <w:rsid w:val="00CC46C9"/>
    <w:rsid w:val="00CC4C3C"/>
    <w:rsid w:val="00CC53FD"/>
    <w:rsid w:val="00CC5878"/>
    <w:rsid w:val="00CD26DB"/>
    <w:rsid w:val="00CD299A"/>
    <w:rsid w:val="00CD2CEA"/>
    <w:rsid w:val="00CD404E"/>
    <w:rsid w:val="00CD4803"/>
    <w:rsid w:val="00CD7ABB"/>
    <w:rsid w:val="00CE0613"/>
    <w:rsid w:val="00CE0C37"/>
    <w:rsid w:val="00CE1231"/>
    <w:rsid w:val="00CE1F3A"/>
    <w:rsid w:val="00CE2302"/>
    <w:rsid w:val="00CE3A29"/>
    <w:rsid w:val="00CE5CC5"/>
    <w:rsid w:val="00CE6BD8"/>
    <w:rsid w:val="00CE74FD"/>
    <w:rsid w:val="00CE792B"/>
    <w:rsid w:val="00CE7E1D"/>
    <w:rsid w:val="00CF079B"/>
    <w:rsid w:val="00CF164B"/>
    <w:rsid w:val="00CF1D35"/>
    <w:rsid w:val="00CF6A55"/>
    <w:rsid w:val="00CF6E04"/>
    <w:rsid w:val="00CF76F1"/>
    <w:rsid w:val="00CF7E2E"/>
    <w:rsid w:val="00D00BB2"/>
    <w:rsid w:val="00D0107F"/>
    <w:rsid w:val="00D016C8"/>
    <w:rsid w:val="00D01BC2"/>
    <w:rsid w:val="00D01C73"/>
    <w:rsid w:val="00D020C1"/>
    <w:rsid w:val="00D04B87"/>
    <w:rsid w:val="00D05AC6"/>
    <w:rsid w:val="00D06B74"/>
    <w:rsid w:val="00D12FCB"/>
    <w:rsid w:val="00D13B13"/>
    <w:rsid w:val="00D13DD3"/>
    <w:rsid w:val="00D143D7"/>
    <w:rsid w:val="00D15CED"/>
    <w:rsid w:val="00D16257"/>
    <w:rsid w:val="00D167BB"/>
    <w:rsid w:val="00D16B63"/>
    <w:rsid w:val="00D170FD"/>
    <w:rsid w:val="00D17A09"/>
    <w:rsid w:val="00D20DDB"/>
    <w:rsid w:val="00D2488B"/>
    <w:rsid w:val="00D24E56"/>
    <w:rsid w:val="00D26358"/>
    <w:rsid w:val="00D278B5"/>
    <w:rsid w:val="00D31BCF"/>
    <w:rsid w:val="00D3323E"/>
    <w:rsid w:val="00D341C4"/>
    <w:rsid w:val="00D361E1"/>
    <w:rsid w:val="00D37B2F"/>
    <w:rsid w:val="00D37B5C"/>
    <w:rsid w:val="00D37BBD"/>
    <w:rsid w:val="00D40474"/>
    <w:rsid w:val="00D40989"/>
    <w:rsid w:val="00D41340"/>
    <w:rsid w:val="00D413F7"/>
    <w:rsid w:val="00D4155B"/>
    <w:rsid w:val="00D45063"/>
    <w:rsid w:val="00D4683C"/>
    <w:rsid w:val="00D475C8"/>
    <w:rsid w:val="00D52C9A"/>
    <w:rsid w:val="00D53A77"/>
    <w:rsid w:val="00D6024D"/>
    <w:rsid w:val="00D61327"/>
    <w:rsid w:val="00D6181B"/>
    <w:rsid w:val="00D61D10"/>
    <w:rsid w:val="00D63329"/>
    <w:rsid w:val="00D63A1D"/>
    <w:rsid w:val="00D64838"/>
    <w:rsid w:val="00D652F6"/>
    <w:rsid w:val="00D65414"/>
    <w:rsid w:val="00D706C7"/>
    <w:rsid w:val="00D70AEC"/>
    <w:rsid w:val="00D72AE4"/>
    <w:rsid w:val="00D72BE0"/>
    <w:rsid w:val="00D73825"/>
    <w:rsid w:val="00D7418D"/>
    <w:rsid w:val="00D742A4"/>
    <w:rsid w:val="00D744E8"/>
    <w:rsid w:val="00D74C34"/>
    <w:rsid w:val="00D751C5"/>
    <w:rsid w:val="00D75405"/>
    <w:rsid w:val="00D769A5"/>
    <w:rsid w:val="00D76D98"/>
    <w:rsid w:val="00D80A14"/>
    <w:rsid w:val="00D80AAF"/>
    <w:rsid w:val="00D81229"/>
    <w:rsid w:val="00D82604"/>
    <w:rsid w:val="00D828EF"/>
    <w:rsid w:val="00D83FC8"/>
    <w:rsid w:val="00D84386"/>
    <w:rsid w:val="00D848AB"/>
    <w:rsid w:val="00D916BE"/>
    <w:rsid w:val="00D91860"/>
    <w:rsid w:val="00D93020"/>
    <w:rsid w:val="00D9310D"/>
    <w:rsid w:val="00D934F8"/>
    <w:rsid w:val="00D9416F"/>
    <w:rsid w:val="00D946F8"/>
    <w:rsid w:val="00D94FB0"/>
    <w:rsid w:val="00D95887"/>
    <w:rsid w:val="00D9590C"/>
    <w:rsid w:val="00D95D50"/>
    <w:rsid w:val="00D96D1C"/>
    <w:rsid w:val="00D97225"/>
    <w:rsid w:val="00D97318"/>
    <w:rsid w:val="00DA0225"/>
    <w:rsid w:val="00DA06CC"/>
    <w:rsid w:val="00DA0BDB"/>
    <w:rsid w:val="00DA241E"/>
    <w:rsid w:val="00DA243B"/>
    <w:rsid w:val="00DA2597"/>
    <w:rsid w:val="00DA298D"/>
    <w:rsid w:val="00DA3F9E"/>
    <w:rsid w:val="00DA60CC"/>
    <w:rsid w:val="00DA6BFB"/>
    <w:rsid w:val="00DA7766"/>
    <w:rsid w:val="00DB02ED"/>
    <w:rsid w:val="00DB0574"/>
    <w:rsid w:val="00DB0DF8"/>
    <w:rsid w:val="00DB254D"/>
    <w:rsid w:val="00DB268C"/>
    <w:rsid w:val="00DB3B68"/>
    <w:rsid w:val="00DB4590"/>
    <w:rsid w:val="00DB4BBB"/>
    <w:rsid w:val="00DB4DFD"/>
    <w:rsid w:val="00DB50C7"/>
    <w:rsid w:val="00DB6A20"/>
    <w:rsid w:val="00DB6B3E"/>
    <w:rsid w:val="00DB7A12"/>
    <w:rsid w:val="00DC0EB7"/>
    <w:rsid w:val="00DC15FF"/>
    <w:rsid w:val="00DC1D15"/>
    <w:rsid w:val="00DC1F18"/>
    <w:rsid w:val="00DC1F8D"/>
    <w:rsid w:val="00DC2FC7"/>
    <w:rsid w:val="00DC4642"/>
    <w:rsid w:val="00DC4F01"/>
    <w:rsid w:val="00DC600C"/>
    <w:rsid w:val="00DC6041"/>
    <w:rsid w:val="00DC6642"/>
    <w:rsid w:val="00DC6AED"/>
    <w:rsid w:val="00DD0717"/>
    <w:rsid w:val="00DD19E1"/>
    <w:rsid w:val="00DD1D0C"/>
    <w:rsid w:val="00DD1D99"/>
    <w:rsid w:val="00DD1E33"/>
    <w:rsid w:val="00DD236C"/>
    <w:rsid w:val="00DD2EBA"/>
    <w:rsid w:val="00DD3AFC"/>
    <w:rsid w:val="00DD3BC4"/>
    <w:rsid w:val="00DE28E4"/>
    <w:rsid w:val="00DE33C8"/>
    <w:rsid w:val="00DE38CC"/>
    <w:rsid w:val="00DE47C5"/>
    <w:rsid w:val="00DE486B"/>
    <w:rsid w:val="00DE4D3C"/>
    <w:rsid w:val="00DE63A4"/>
    <w:rsid w:val="00DE71C2"/>
    <w:rsid w:val="00DE7334"/>
    <w:rsid w:val="00DE7EB8"/>
    <w:rsid w:val="00DF020E"/>
    <w:rsid w:val="00DF132C"/>
    <w:rsid w:val="00DF4519"/>
    <w:rsid w:val="00DF54A0"/>
    <w:rsid w:val="00DF5528"/>
    <w:rsid w:val="00DF58D2"/>
    <w:rsid w:val="00DF747E"/>
    <w:rsid w:val="00DF7FDC"/>
    <w:rsid w:val="00E003CD"/>
    <w:rsid w:val="00E00BED"/>
    <w:rsid w:val="00E0192E"/>
    <w:rsid w:val="00E03679"/>
    <w:rsid w:val="00E03BED"/>
    <w:rsid w:val="00E04DC5"/>
    <w:rsid w:val="00E05578"/>
    <w:rsid w:val="00E07502"/>
    <w:rsid w:val="00E106B2"/>
    <w:rsid w:val="00E1337E"/>
    <w:rsid w:val="00E13A0B"/>
    <w:rsid w:val="00E14508"/>
    <w:rsid w:val="00E147A2"/>
    <w:rsid w:val="00E15C29"/>
    <w:rsid w:val="00E15DB3"/>
    <w:rsid w:val="00E16747"/>
    <w:rsid w:val="00E17D34"/>
    <w:rsid w:val="00E17FF3"/>
    <w:rsid w:val="00E2070B"/>
    <w:rsid w:val="00E21079"/>
    <w:rsid w:val="00E23E0E"/>
    <w:rsid w:val="00E244B3"/>
    <w:rsid w:val="00E245DC"/>
    <w:rsid w:val="00E272C6"/>
    <w:rsid w:val="00E274FC"/>
    <w:rsid w:val="00E27805"/>
    <w:rsid w:val="00E30001"/>
    <w:rsid w:val="00E302A8"/>
    <w:rsid w:val="00E3193A"/>
    <w:rsid w:val="00E32B17"/>
    <w:rsid w:val="00E3323F"/>
    <w:rsid w:val="00E33C11"/>
    <w:rsid w:val="00E35009"/>
    <w:rsid w:val="00E350AA"/>
    <w:rsid w:val="00E35343"/>
    <w:rsid w:val="00E3572E"/>
    <w:rsid w:val="00E36CCF"/>
    <w:rsid w:val="00E36E68"/>
    <w:rsid w:val="00E40838"/>
    <w:rsid w:val="00E4092E"/>
    <w:rsid w:val="00E41F8A"/>
    <w:rsid w:val="00E429B5"/>
    <w:rsid w:val="00E42F19"/>
    <w:rsid w:val="00E45516"/>
    <w:rsid w:val="00E45A95"/>
    <w:rsid w:val="00E46037"/>
    <w:rsid w:val="00E46CE2"/>
    <w:rsid w:val="00E470A6"/>
    <w:rsid w:val="00E50403"/>
    <w:rsid w:val="00E50F48"/>
    <w:rsid w:val="00E515A2"/>
    <w:rsid w:val="00E52341"/>
    <w:rsid w:val="00E524AA"/>
    <w:rsid w:val="00E53A87"/>
    <w:rsid w:val="00E5424C"/>
    <w:rsid w:val="00E56250"/>
    <w:rsid w:val="00E56EBB"/>
    <w:rsid w:val="00E60649"/>
    <w:rsid w:val="00E60EB8"/>
    <w:rsid w:val="00E61433"/>
    <w:rsid w:val="00E614B0"/>
    <w:rsid w:val="00E61726"/>
    <w:rsid w:val="00E623AE"/>
    <w:rsid w:val="00E6300F"/>
    <w:rsid w:val="00E63B4A"/>
    <w:rsid w:val="00E641B1"/>
    <w:rsid w:val="00E64973"/>
    <w:rsid w:val="00E64C83"/>
    <w:rsid w:val="00E64CFD"/>
    <w:rsid w:val="00E66D4B"/>
    <w:rsid w:val="00E7163A"/>
    <w:rsid w:val="00E723C8"/>
    <w:rsid w:val="00E7495B"/>
    <w:rsid w:val="00E74B4D"/>
    <w:rsid w:val="00E75041"/>
    <w:rsid w:val="00E7557D"/>
    <w:rsid w:val="00E75710"/>
    <w:rsid w:val="00E75A6E"/>
    <w:rsid w:val="00E773DF"/>
    <w:rsid w:val="00E7753F"/>
    <w:rsid w:val="00E77788"/>
    <w:rsid w:val="00E85DF1"/>
    <w:rsid w:val="00E86124"/>
    <w:rsid w:val="00E866FF"/>
    <w:rsid w:val="00E867BD"/>
    <w:rsid w:val="00E86A91"/>
    <w:rsid w:val="00E9054A"/>
    <w:rsid w:val="00E909EF"/>
    <w:rsid w:val="00E91025"/>
    <w:rsid w:val="00E912C4"/>
    <w:rsid w:val="00E91CF3"/>
    <w:rsid w:val="00E92630"/>
    <w:rsid w:val="00E9450C"/>
    <w:rsid w:val="00E9493E"/>
    <w:rsid w:val="00E9591E"/>
    <w:rsid w:val="00E96DDA"/>
    <w:rsid w:val="00E97087"/>
    <w:rsid w:val="00EA1900"/>
    <w:rsid w:val="00EA2581"/>
    <w:rsid w:val="00EA4A24"/>
    <w:rsid w:val="00EA564A"/>
    <w:rsid w:val="00EB0778"/>
    <w:rsid w:val="00EB1647"/>
    <w:rsid w:val="00EB1C44"/>
    <w:rsid w:val="00EB1EDE"/>
    <w:rsid w:val="00EB2161"/>
    <w:rsid w:val="00EB2B15"/>
    <w:rsid w:val="00EB2C3E"/>
    <w:rsid w:val="00EB474B"/>
    <w:rsid w:val="00EB498A"/>
    <w:rsid w:val="00EB50F5"/>
    <w:rsid w:val="00EB535A"/>
    <w:rsid w:val="00EB5A13"/>
    <w:rsid w:val="00EB6434"/>
    <w:rsid w:val="00EB724A"/>
    <w:rsid w:val="00EC0CF9"/>
    <w:rsid w:val="00EC11DC"/>
    <w:rsid w:val="00EC1332"/>
    <w:rsid w:val="00EC13F3"/>
    <w:rsid w:val="00EC2659"/>
    <w:rsid w:val="00EC29CC"/>
    <w:rsid w:val="00EC3054"/>
    <w:rsid w:val="00EC52FC"/>
    <w:rsid w:val="00EC5F61"/>
    <w:rsid w:val="00ED0178"/>
    <w:rsid w:val="00ED0A4B"/>
    <w:rsid w:val="00ED0E47"/>
    <w:rsid w:val="00ED1C6C"/>
    <w:rsid w:val="00ED4114"/>
    <w:rsid w:val="00ED4C66"/>
    <w:rsid w:val="00ED4C7D"/>
    <w:rsid w:val="00ED520F"/>
    <w:rsid w:val="00ED7379"/>
    <w:rsid w:val="00EE00F3"/>
    <w:rsid w:val="00EE1077"/>
    <w:rsid w:val="00EE164A"/>
    <w:rsid w:val="00EE1839"/>
    <w:rsid w:val="00EE25E8"/>
    <w:rsid w:val="00EE4887"/>
    <w:rsid w:val="00EE4EFC"/>
    <w:rsid w:val="00EE5F51"/>
    <w:rsid w:val="00EE6207"/>
    <w:rsid w:val="00EF0F70"/>
    <w:rsid w:val="00EF2157"/>
    <w:rsid w:val="00EF2C25"/>
    <w:rsid w:val="00EF340E"/>
    <w:rsid w:val="00EF47FF"/>
    <w:rsid w:val="00EF53A1"/>
    <w:rsid w:val="00EF724F"/>
    <w:rsid w:val="00EF73AB"/>
    <w:rsid w:val="00EF74E2"/>
    <w:rsid w:val="00EF77EF"/>
    <w:rsid w:val="00F01092"/>
    <w:rsid w:val="00F0119D"/>
    <w:rsid w:val="00F0232A"/>
    <w:rsid w:val="00F028A0"/>
    <w:rsid w:val="00F02BC8"/>
    <w:rsid w:val="00F047C5"/>
    <w:rsid w:val="00F051CE"/>
    <w:rsid w:val="00F06C8C"/>
    <w:rsid w:val="00F076AF"/>
    <w:rsid w:val="00F14ED2"/>
    <w:rsid w:val="00F15B9E"/>
    <w:rsid w:val="00F17E78"/>
    <w:rsid w:val="00F20B79"/>
    <w:rsid w:val="00F20BE0"/>
    <w:rsid w:val="00F230D6"/>
    <w:rsid w:val="00F23BEA"/>
    <w:rsid w:val="00F26FA5"/>
    <w:rsid w:val="00F275EE"/>
    <w:rsid w:val="00F27CFB"/>
    <w:rsid w:val="00F301F8"/>
    <w:rsid w:val="00F31CDD"/>
    <w:rsid w:val="00F32E77"/>
    <w:rsid w:val="00F36A77"/>
    <w:rsid w:val="00F3709D"/>
    <w:rsid w:val="00F3763B"/>
    <w:rsid w:val="00F40080"/>
    <w:rsid w:val="00F420E4"/>
    <w:rsid w:val="00F44ED5"/>
    <w:rsid w:val="00F45EB3"/>
    <w:rsid w:val="00F466F4"/>
    <w:rsid w:val="00F50181"/>
    <w:rsid w:val="00F51C8A"/>
    <w:rsid w:val="00F51DFD"/>
    <w:rsid w:val="00F53584"/>
    <w:rsid w:val="00F540CB"/>
    <w:rsid w:val="00F54215"/>
    <w:rsid w:val="00F54770"/>
    <w:rsid w:val="00F55BD7"/>
    <w:rsid w:val="00F56EBC"/>
    <w:rsid w:val="00F57996"/>
    <w:rsid w:val="00F57E55"/>
    <w:rsid w:val="00F60A8B"/>
    <w:rsid w:val="00F60C80"/>
    <w:rsid w:val="00F628E5"/>
    <w:rsid w:val="00F62D63"/>
    <w:rsid w:val="00F62EF4"/>
    <w:rsid w:val="00F636DF"/>
    <w:rsid w:val="00F63EB4"/>
    <w:rsid w:val="00F65642"/>
    <w:rsid w:val="00F6619B"/>
    <w:rsid w:val="00F66401"/>
    <w:rsid w:val="00F66ED7"/>
    <w:rsid w:val="00F67FC3"/>
    <w:rsid w:val="00F71FEA"/>
    <w:rsid w:val="00F733C6"/>
    <w:rsid w:val="00F74F3F"/>
    <w:rsid w:val="00F75E55"/>
    <w:rsid w:val="00F766D8"/>
    <w:rsid w:val="00F768EB"/>
    <w:rsid w:val="00F77845"/>
    <w:rsid w:val="00F77A4F"/>
    <w:rsid w:val="00F77DB3"/>
    <w:rsid w:val="00F8004A"/>
    <w:rsid w:val="00F80769"/>
    <w:rsid w:val="00F80B33"/>
    <w:rsid w:val="00F8340D"/>
    <w:rsid w:val="00F835BA"/>
    <w:rsid w:val="00F85181"/>
    <w:rsid w:val="00F85B55"/>
    <w:rsid w:val="00F864A5"/>
    <w:rsid w:val="00F86728"/>
    <w:rsid w:val="00F8749A"/>
    <w:rsid w:val="00F90048"/>
    <w:rsid w:val="00F90F69"/>
    <w:rsid w:val="00F92AB0"/>
    <w:rsid w:val="00F92FA0"/>
    <w:rsid w:val="00F94922"/>
    <w:rsid w:val="00F953B5"/>
    <w:rsid w:val="00F964B6"/>
    <w:rsid w:val="00F968C9"/>
    <w:rsid w:val="00F97CCD"/>
    <w:rsid w:val="00FA09E1"/>
    <w:rsid w:val="00FA2FE8"/>
    <w:rsid w:val="00FA594E"/>
    <w:rsid w:val="00FA7679"/>
    <w:rsid w:val="00FA7B65"/>
    <w:rsid w:val="00FB2A39"/>
    <w:rsid w:val="00FB316F"/>
    <w:rsid w:val="00FB4D01"/>
    <w:rsid w:val="00FB500C"/>
    <w:rsid w:val="00FB55FB"/>
    <w:rsid w:val="00FB574A"/>
    <w:rsid w:val="00FB66FD"/>
    <w:rsid w:val="00FB684A"/>
    <w:rsid w:val="00FC09F4"/>
    <w:rsid w:val="00FC3DA6"/>
    <w:rsid w:val="00FC5BF6"/>
    <w:rsid w:val="00FC69EC"/>
    <w:rsid w:val="00FC71FB"/>
    <w:rsid w:val="00FC7E55"/>
    <w:rsid w:val="00FC7EFC"/>
    <w:rsid w:val="00FD0F7F"/>
    <w:rsid w:val="00FD11CE"/>
    <w:rsid w:val="00FD18E1"/>
    <w:rsid w:val="00FD2280"/>
    <w:rsid w:val="00FD22E8"/>
    <w:rsid w:val="00FD24F5"/>
    <w:rsid w:val="00FD6012"/>
    <w:rsid w:val="00FD69DC"/>
    <w:rsid w:val="00FD7938"/>
    <w:rsid w:val="00FE1CCE"/>
    <w:rsid w:val="00FE2ACA"/>
    <w:rsid w:val="00FE3738"/>
    <w:rsid w:val="00FE54C5"/>
    <w:rsid w:val="00FE58BC"/>
    <w:rsid w:val="00FE5DCF"/>
    <w:rsid w:val="00FE6191"/>
    <w:rsid w:val="00FE6821"/>
    <w:rsid w:val="00FE71D3"/>
    <w:rsid w:val="00FE7D0F"/>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101E6"/>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D583D237F3E46A070991F685A5A75" ma:contentTypeVersion="7" ma:contentTypeDescription="Create a new document." ma:contentTypeScope="" ma:versionID="496241cc0ab178c75d0fe8d1327ebe0f">
  <xsd:schema xmlns:xsd="http://www.w3.org/2001/XMLSchema" xmlns:xs="http://www.w3.org/2001/XMLSchema" xmlns:p="http://schemas.microsoft.com/office/2006/metadata/properties" xmlns:ns3="94e5b90b-18aa-415b-8139-cce567c7100a" xmlns:ns4="144dfb27-5cf0-482d-8832-85d384baf8ee" targetNamespace="http://schemas.microsoft.com/office/2006/metadata/properties" ma:root="true" ma:fieldsID="f8012b9fd9f90f5247d63e79c5b31286" ns3:_="" ns4:_="">
    <xsd:import namespace="94e5b90b-18aa-415b-8139-cce567c7100a"/>
    <xsd:import namespace="144dfb27-5cf0-482d-8832-85d384baf8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5b90b-18aa-415b-8139-cce567c71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dfb27-5cf0-482d-8832-85d384baf8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713D-144A-4727-9DF3-C9DDFCED9019}">
  <ds:schemaRefs>
    <ds:schemaRef ds:uri="http://schemas.microsoft.com/office/infopath/2007/PartnerControls"/>
    <ds:schemaRef ds:uri="94e5b90b-18aa-415b-8139-cce567c7100a"/>
    <ds:schemaRef ds:uri="http://purl.org/dc/elements/1.1/"/>
    <ds:schemaRef ds:uri="http://schemas.microsoft.com/office/2006/metadata/properties"/>
    <ds:schemaRef ds:uri="http://purl.org/dc/terms/"/>
    <ds:schemaRef ds:uri="144dfb27-5cf0-482d-8832-85d384baf8e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8D5D1F-D604-43B8-A40B-6AF8F3146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5b90b-18aa-415b-8139-cce567c7100a"/>
    <ds:schemaRef ds:uri="144dfb27-5cf0-482d-8832-85d384baf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4C938-CC08-4BC9-90CA-D90A22D5E95F}">
  <ds:schemaRefs>
    <ds:schemaRef ds:uri="http://schemas.microsoft.com/sharepoint/v3/contenttype/forms"/>
  </ds:schemaRefs>
</ds:datastoreItem>
</file>

<file path=customXml/itemProps4.xml><?xml version="1.0" encoding="utf-8"?>
<ds:datastoreItem xmlns:ds="http://schemas.openxmlformats.org/officeDocument/2006/customXml" ds:itemID="{68EB918A-CB9A-4DE4-A2EF-E834488C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Rose, Terra</cp:lastModifiedBy>
  <cp:revision>34</cp:revision>
  <cp:lastPrinted>2015-03-13T15:09:00Z</cp:lastPrinted>
  <dcterms:created xsi:type="dcterms:W3CDTF">2019-11-08T17:54:00Z</dcterms:created>
  <dcterms:modified xsi:type="dcterms:W3CDTF">2019-11-15T19:46:00Z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0x010100539D583D237F3E46A070991F685A5A75</vt:lpwstr>
  </property>
</Properties>
</file>