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A9FEE" w14:textId="77777777" w:rsidR="00EB5A13" w:rsidRPr="00A46A5D" w:rsidRDefault="00EB5A13" w:rsidP="00EB5A13">
      <w:pPr>
        <w:pStyle w:val="Heading2"/>
        <w:rPr>
          <w:b w:val="0"/>
          <w:sz w:val="24"/>
          <w:u w:val="none"/>
        </w:rPr>
      </w:pPr>
    </w:p>
    <w:p w14:paraId="71D6511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5F2B5B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D70898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31911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797B28A" w14:textId="66951111" w:rsidR="00EB5A13" w:rsidRPr="009349D6" w:rsidRDefault="00AA78F0" w:rsidP="00074A56">
            <w:pPr>
              <w:spacing w:before="40" w:after="40"/>
              <w:rPr>
                <w:rFonts w:ascii="Arial" w:hAnsi="Arial" w:cs="Arial"/>
              </w:rPr>
            </w:pPr>
            <w:r>
              <w:rPr>
                <w:rFonts w:ascii="Arial" w:hAnsi="Arial" w:cs="Arial"/>
              </w:rPr>
              <w:t>10 and 11</w:t>
            </w:r>
          </w:p>
        </w:tc>
        <w:tc>
          <w:tcPr>
            <w:tcW w:w="1170" w:type="dxa"/>
            <w:tcBorders>
              <w:top w:val="single" w:sz="4" w:space="0" w:color="auto"/>
              <w:left w:val="single" w:sz="4" w:space="0" w:color="auto"/>
              <w:bottom w:val="single" w:sz="4" w:space="0" w:color="auto"/>
              <w:right w:val="single" w:sz="4" w:space="0" w:color="auto"/>
            </w:tcBorders>
            <w:vAlign w:val="center"/>
          </w:tcPr>
          <w:p w14:paraId="61A91EC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00F103D" w14:textId="77777777" w:rsidR="00EB5A13" w:rsidRDefault="002210F1" w:rsidP="00074A56">
            <w:pPr>
              <w:spacing w:before="40" w:after="40"/>
              <w:rPr>
                <w:rFonts w:ascii="Arial" w:hAnsi="Arial" w:cs="Arial"/>
              </w:rPr>
            </w:pPr>
            <w:r>
              <w:rPr>
                <w:rFonts w:ascii="Arial" w:hAnsi="Arial" w:cs="Arial"/>
              </w:rPr>
              <w:t>Sam Porter</w:t>
            </w:r>
          </w:p>
          <w:p w14:paraId="4CEEBA5E" w14:textId="77777777" w:rsidR="00DF673E" w:rsidRPr="009349D6" w:rsidRDefault="00DF673E" w:rsidP="00074A56">
            <w:pPr>
              <w:spacing w:before="40" w:after="40"/>
              <w:rPr>
                <w:rFonts w:ascii="Arial" w:hAnsi="Arial" w:cs="Arial"/>
              </w:rPr>
            </w:pPr>
            <w:r>
              <w:rPr>
                <w:rFonts w:ascii="Arial" w:hAnsi="Arial" w:cs="Arial"/>
              </w:rPr>
              <w:t>Miranda Leskinen</w:t>
            </w:r>
          </w:p>
        </w:tc>
      </w:tr>
      <w:tr w:rsidR="00EB5A13" w:rsidRPr="009349D6" w14:paraId="0FB1D0C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59EB85"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51AD2C8D" w14:textId="77777777" w:rsidR="00EB5A13" w:rsidRDefault="002210F1" w:rsidP="0033234C">
            <w:pPr>
              <w:spacing w:before="40" w:after="40"/>
              <w:rPr>
                <w:rFonts w:ascii="Arial" w:hAnsi="Arial" w:cs="Arial"/>
              </w:rPr>
            </w:pPr>
            <w:r>
              <w:rPr>
                <w:rFonts w:ascii="Arial" w:hAnsi="Arial" w:cs="Arial"/>
              </w:rPr>
              <w:t>2019-</w:t>
            </w:r>
            <w:r w:rsidR="0033234C">
              <w:rPr>
                <w:rFonts w:ascii="Arial" w:hAnsi="Arial" w:cs="Arial"/>
              </w:rPr>
              <w:t>0471</w:t>
            </w:r>
          </w:p>
          <w:p w14:paraId="7B92F1E3" w14:textId="77777777" w:rsidR="00BF25E7" w:rsidRPr="009349D6" w:rsidRDefault="00BF25E7" w:rsidP="0033234C">
            <w:pPr>
              <w:spacing w:before="40" w:after="40"/>
              <w:rPr>
                <w:rFonts w:ascii="Arial" w:hAnsi="Arial" w:cs="Arial"/>
              </w:rPr>
            </w:pPr>
            <w:r>
              <w:rPr>
                <w:rFonts w:ascii="Arial" w:hAnsi="Arial" w:cs="Arial"/>
              </w:rPr>
              <w:t>2019-0472</w:t>
            </w:r>
          </w:p>
        </w:tc>
        <w:tc>
          <w:tcPr>
            <w:tcW w:w="1170" w:type="dxa"/>
            <w:tcBorders>
              <w:top w:val="single" w:sz="4" w:space="0" w:color="auto"/>
              <w:left w:val="single" w:sz="4" w:space="0" w:color="auto"/>
              <w:bottom w:val="single" w:sz="4" w:space="0" w:color="auto"/>
              <w:right w:val="single" w:sz="4" w:space="0" w:color="auto"/>
            </w:tcBorders>
            <w:vAlign w:val="center"/>
          </w:tcPr>
          <w:p w14:paraId="4F569B6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94CE0E" w14:textId="77777777" w:rsidR="00EB5A13" w:rsidRPr="009349D6" w:rsidRDefault="002210F1" w:rsidP="00BF25E7">
            <w:pPr>
              <w:spacing w:before="40" w:after="40"/>
              <w:rPr>
                <w:rFonts w:ascii="Arial" w:hAnsi="Arial" w:cs="Arial"/>
              </w:rPr>
            </w:pPr>
            <w:r>
              <w:rPr>
                <w:rFonts w:ascii="Arial" w:hAnsi="Arial" w:cs="Arial"/>
              </w:rPr>
              <w:t>November 1</w:t>
            </w:r>
            <w:r w:rsidR="00BF25E7">
              <w:rPr>
                <w:rFonts w:ascii="Arial" w:hAnsi="Arial" w:cs="Arial"/>
              </w:rPr>
              <w:t>8</w:t>
            </w:r>
            <w:r>
              <w:rPr>
                <w:rFonts w:ascii="Arial" w:hAnsi="Arial" w:cs="Arial"/>
              </w:rPr>
              <w:t>, 2019</w:t>
            </w:r>
          </w:p>
        </w:tc>
      </w:tr>
    </w:tbl>
    <w:p w14:paraId="33A3D031" w14:textId="77777777" w:rsidR="00C37A37" w:rsidRPr="009864F8" w:rsidRDefault="00C37A37" w:rsidP="00C37A37">
      <w:pPr>
        <w:rPr>
          <w:rFonts w:ascii="Arial" w:hAnsi="Arial" w:cs="Arial"/>
          <w:b/>
          <w:smallCaps/>
          <w:szCs w:val="24"/>
          <w:u w:val="single"/>
        </w:rPr>
      </w:pPr>
    </w:p>
    <w:p w14:paraId="2E76B67A"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1B433586" w14:textId="77777777" w:rsidR="00785660" w:rsidRDefault="00785660" w:rsidP="00785660">
      <w:pPr>
        <w:rPr>
          <w:rFonts w:ascii="Arial" w:hAnsi="Arial" w:cs="Arial"/>
        </w:rPr>
      </w:pPr>
    </w:p>
    <w:p w14:paraId="7C6908ED" w14:textId="77777777" w:rsidR="00785660" w:rsidRDefault="00CD3DAB" w:rsidP="0057365F">
      <w:pPr>
        <w:spacing w:line="259" w:lineRule="auto"/>
        <w:jc w:val="both"/>
        <w:rPr>
          <w:rFonts w:ascii="Arial" w:hAnsi="Arial" w:cs="Arial"/>
        </w:rPr>
      </w:pPr>
      <w:r>
        <w:rPr>
          <w:rFonts w:ascii="Arial" w:hAnsi="Arial" w:cs="Arial"/>
        </w:rPr>
        <w:t>Proposed Ordinance 2019-</w:t>
      </w:r>
      <w:r w:rsidR="0033234C">
        <w:rPr>
          <w:rFonts w:ascii="Arial" w:hAnsi="Arial" w:cs="Arial"/>
        </w:rPr>
        <w:t>0471</w:t>
      </w:r>
      <w:r>
        <w:rPr>
          <w:rFonts w:ascii="Arial" w:hAnsi="Arial" w:cs="Arial"/>
        </w:rPr>
        <w:t xml:space="preserve"> would make a supplemental appropriation to the Emergency Medical Services </w:t>
      </w:r>
      <w:r w:rsidR="006A43F7">
        <w:rPr>
          <w:rFonts w:ascii="Arial" w:hAnsi="Arial" w:cs="Arial"/>
        </w:rPr>
        <w:t xml:space="preserve">(EMS) </w:t>
      </w:r>
      <w:r>
        <w:rPr>
          <w:rFonts w:ascii="Arial" w:hAnsi="Arial" w:cs="Arial"/>
        </w:rPr>
        <w:t>fund of $96.</w:t>
      </w:r>
      <w:r w:rsidR="00A4345A">
        <w:rPr>
          <w:rFonts w:ascii="Arial" w:hAnsi="Arial" w:cs="Arial"/>
        </w:rPr>
        <w:t>4</w:t>
      </w:r>
      <w:r w:rsidR="006A43F7">
        <w:rPr>
          <w:rFonts w:ascii="Arial" w:hAnsi="Arial" w:cs="Arial"/>
        </w:rPr>
        <w:t xml:space="preserve"> million.</w:t>
      </w:r>
    </w:p>
    <w:p w14:paraId="64887597" w14:textId="77777777" w:rsidR="00BF25E7" w:rsidRDefault="00BF25E7" w:rsidP="0057365F">
      <w:pPr>
        <w:spacing w:line="259" w:lineRule="auto"/>
        <w:jc w:val="both"/>
        <w:rPr>
          <w:rFonts w:ascii="Arial" w:hAnsi="Arial" w:cs="Arial"/>
          <w:b/>
          <w:u w:val="single"/>
        </w:rPr>
      </w:pPr>
    </w:p>
    <w:p w14:paraId="621407AE" w14:textId="2EAA182C" w:rsidR="00BF25E7" w:rsidRPr="00BF25E7" w:rsidRDefault="00BF25E7" w:rsidP="0057365F">
      <w:pPr>
        <w:spacing w:line="259" w:lineRule="auto"/>
        <w:jc w:val="both"/>
        <w:rPr>
          <w:rFonts w:ascii="Arial" w:hAnsi="Arial" w:cs="Arial"/>
        </w:rPr>
      </w:pPr>
      <w:r w:rsidRPr="00BF25E7">
        <w:rPr>
          <w:rFonts w:ascii="Arial" w:hAnsi="Arial" w:cs="Arial"/>
        </w:rPr>
        <w:t>Proposed Ordinance 2019-0472</w:t>
      </w:r>
      <w:r>
        <w:rPr>
          <w:rFonts w:ascii="Arial" w:hAnsi="Arial" w:cs="Arial"/>
        </w:rPr>
        <w:t xml:space="preserve"> would </w:t>
      </w:r>
      <w:r w:rsidRPr="00BF25E7">
        <w:rPr>
          <w:rFonts w:ascii="Arial" w:hAnsi="Arial" w:cs="Arial"/>
        </w:rPr>
        <w:t>authoriz</w:t>
      </w:r>
      <w:r>
        <w:rPr>
          <w:rFonts w:ascii="Arial" w:hAnsi="Arial" w:cs="Arial"/>
        </w:rPr>
        <w:t>e</w:t>
      </w:r>
      <w:r w:rsidRPr="00BF25E7">
        <w:rPr>
          <w:rFonts w:ascii="Arial" w:hAnsi="Arial" w:cs="Arial"/>
        </w:rPr>
        <w:t xml:space="preserve"> an </w:t>
      </w:r>
      <w:r w:rsidR="001D74B8" w:rsidRPr="00BF25E7">
        <w:rPr>
          <w:rFonts w:ascii="Arial" w:hAnsi="Arial" w:cs="Arial"/>
        </w:rPr>
        <w:t>Interlocal</w:t>
      </w:r>
      <w:r w:rsidRPr="00BF25E7">
        <w:rPr>
          <w:rFonts w:ascii="Arial" w:hAnsi="Arial" w:cs="Arial"/>
        </w:rPr>
        <w:t xml:space="preserve"> cooperation agreement between the </w:t>
      </w:r>
      <w:r w:rsidR="004D26D9">
        <w:rPr>
          <w:rFonts w:ascii="Arial" w:hAnsi="Arial" w:cs="Arial"/>
        </w:rPr>
        <w:t>city of Seattle and King County</w:t>
      </w:r>
      <w:r w:rsidR="0057365F" w:rsidRPr="0057365F">
        <w:rPr>
          <w:rFonts w:ascii="Arial" w:hAnsi="Arial" w:cs="Arial"/>
          <w:szCs w:val="24"/>
        </w:rPr>
        <w:t xml:space="preserve"> </w:t>
      </w:r>
      <w:r w:rsidR="0057365F" w:rsidRPr="00AD6817">
        <w:rPr>
          <w:rFonts w:ascii="Arial" w:hAnsi="Arial" w:cs="Arial"/>
          <w:szCs w:val="24"/>
        </w:rPr>
        <w:t>regarding the allocation of EMS levy revenues</w:t>
      </w:r>
      <w:r>
        <w:rPr>
          <w:rFonts w:ascii="Arial" w:hAnsi="Arial" w:cs="Arial"/>
        </w:rPr>
        <w:t xml:space="preserve">. </w:t>
      </w:r>
    </w:p>
    <w:p w14:paraId="357798A5" w14:textId="77777777" w:rsidR="00785660" w:rsidRDefault="00785660" w:rsidP="00785660">
      <w:pPr>
        <w:rPr>
          <w:rFonts w:ascii="Arial" w:hAnsi="Arial" w:cs="Arial"/>
          <w:b/>
          <w:smallCaps/>
          <w:szCs w:val="24"/>
          <w:u w:val="single"/>
        </w:rPr>
      </w:pPr>
    </w:p>
    <w:p w14:paraId="4827C423"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389C5685" w14:textId="77777777" w:rsidR="00785660" w:rsidRDefault="00785660" w:rsidP="00785660">
      <w:pPr>
        <w:rPr>
          <w:rFonts w:ascii="Arial" w:hAnsi="Arial" w:cs="Arial"/>
        </w:rPr>
      </w:pPr>
    </w:p>
    <w:p w14:paraId="60B0040E" w14:textId="197900FD" w:rsidR="00785660" w:rsidRPr="00AD6817" w:rsidRDefault="00CD3DAB" w:rsidP="0057365F">
      <w:pPr>
        <w:spacing w:line="259" w:lineRule="auto"/>
        <w:jc w:val="both"/>
        <w:rPr>
          <w:rFonts w:ascii="Arial" w:hAnsi="Arial" w:cs="Arial"/>
          <w:szCs w:val="24"/>
        </w:rPr>
      </w:pPr>
      <w:r>
        <w:rPr>
          <w:rFonts w:ascii="Arial" w:hAnsi="Arial" w:cs="Arial"/>
        </w:rPr>
        <w:t xml:space="preserve">Proposed Ordinance </w:t>
      </w:r>
      <w:r w:rsidR="00DB4FD7">
        <w:rPr>
          <w:rFonts w:ascii="Arial" w:hAnsi="Arial" w:cs="Arial"/>
        </w:rPr>
        <w:t xml:space="preserve">2019-0471 </w:t>
      </w:r>
      <w:r>
        <w:rPr>
          <w:rFonts w:ascii="Arial" w:hAnsi="Arial" w:cs="Arial"/>
        </w:rPr>
        <w:t xml:space="preserve">would make a supplemental appropriation to the </w:t>
      </w:r>
      <w:r w:rsidR="00D62430">
        <w:rPr>
          <w:rFonts w:ascii="Arial" w:hAnsi="Arial" w:cs="Arial"/>
        </w:rPr>
        <w:t>EMS</w:t>
      </w:r>
      <w:r>
        <w:rPr>
          <w:rFonts w:ascii="Arial" w:hAnsi="Arial" w:cs="Arial"/>
        </w:rPr>
        <w:t xml:space="preserve"> fund of $96.3 million to cover the cost of services through 2020. The 2019-2020 biennial budget </w:t>
      </w:r>
      <w:r w:rsidR="00F6232B">
        <w:rPr>
          <w:rFonts w:ascii="Arial" w:hAnsi="Arial" w:cs="Arial"/>
        </w:rPr>
        <w:t xml:space="preserve">(Ordinance 18835) </w:t>
      </w:r>
      <w:r w:rsidR="00DF673E">
        <w:rPr>
          <w:rFonts w:ascii="Arial" w:hAnsi="Arial" w:cs="Arial"/>
        </w:rPr>
        <w:t>appropriated</w:t>
      </w:r>
      <w:r w:rsidR="00D62430">
        <w:rPr>
          <w:rFonts w:ascii="Arial" w:hAnsi="Arial" w:cs="Arial"/>
        </w:rPr>
        <w:t xml:space="preserve"> </w:t>
      </w:r>
      <w:r w:rsidR="00D62430" w:rsidRPr="00D62430">
        <w:rPr>
          <w:rFonts w:ascii="Arial" w:hAnsi="Arial" w:cs="Arial"/>
        </w:rPr>
        <w:t>$94,714,000</w:t>
      </w:r>
      <w:r w:rsidR="00DF673E">
        <w:rPr>
          <w:rFonts w:ascii="Arial" w:hAnsi="Arial" w:cs="Arial"/>
        </w:rPr>
        <w:t xml:space="preserve"> to the EMS system under the current 2014-2019 levy period</w:t>
      </w:r>
      <w:r w:rsidR="00F6232B">
        <w:rPr>
          <w:rFonts w:ascii="Arial" w:hAnsi="Arial" w:cs="Arial"/>
        </w:rPr>
        <w:t>, providing expenditure authority through 2019.</w:t>
      </w:r>
      <w:r w:rsidR="00D62430">
        <w:rPr>
          <w:rFonts w:ascii="Arial" w:hAnsi="Arial" w:cs="Arial"/>
        </w:rPr>
        <w:t xml:space="preserve"> </w:t>
      </w:r>
      <w:r w:rsidR="0057365F">
        <w:rPr>
          <w:rFonts w:ascii="Arial" w:hAnsi="Arial" w:cs="Arial"/>
        </w:rPr>
        <w:t>T</w:t>
      </w:r>
      <w:r w:rsidR="00D62430">
        <w:rPr>
          <w:rFonts w:ascii="Arial" w:hAnsi="Arial" w:cs="Arial"/>
        </w:rPr>
        <w:t xml:space="preserve">he EMS </w:t>
      </w:r>
      <w:proofErr w:type="gramStart"/>
      <w:r w:rsidR="00D62430">
        <w:rPr>
          <w:rFonts w:ascii="Arial" w:hAnsi="Arial" w:cs="Arial"/>
        </w:rPr>
        <w:t>levy</w:t>
      </w:r>
      <w:proofErr w:type="gramEnd"/>
      <w:r w:rsidR="00D62430">
        <w:rPr>
          <w:rFonts w:ascii="Arial" w:hAnsi="Arial" w:cs="Arial"/>
        </w:rPr>
        <w:t xml:space="preserve"> in place during the 2019-2020 biennial budget process was set to expire at the end of 2019. The </w:t>
      </w:r>
      <w:r w:rsidR="00D62430">
        <w:rPr>
          <w:rFonts w:ascii="Arial" w:hAnsi="Arial" w:cs="Arial"/>
          <w:szCs w:val="24"/>
        </w:rPr>
        <w:t xml:space="preserve">King County </w:t>
      </w:r>
      <w:r w:rsidR="00D62430" w:rsidRPr="00355E8C">
        <w:rPr>
          <w:rFonts w:ascii="Arial" w:hAnsi="Arial" w:cs="Arial"/>
          <w:szCs w:val="24"/>
        </w:rPr>
        <w:t>Medic One/EMS</w:t>
      </w:r>
      <w:r w:rsidR="00D62430">
        <w:rPr>
          <w:rFonts w:ascii="Arial" w:hAnsi="Arial" w:cs="Arial"/>
          <w:szCs w:val="24"/>
        </w:rPr>
        <w:t xml:space="preserve"> 2020-2025 levy renewal was authorized by King County Council to be placed on the November </w:t>
      </w:r>
      <w:r w:rsidR="00F6232B">
        <w:rPr>
          <w:rFonts w:ascii="Arial" w:hAnsi="Arial" w:cs="Arial"/>
          <w:szCs w:val="24"/>
        </w:rPr>
        <w:t xml:space="preserve">5, 2019 </w:t>
      </w:r>
      <w:r w:rsidR="00D62430">
        <w:rPr>
          <w:rFonts w:ascii="Arial" w:hAnsi="Arial" w:cs="Arial"/>
          <w:szCs w:val="24"/>
        </w:rPr>
        <w:t xml:space="preserve">ballot through Ordinance </w:t>
      </w:r>
      <w:r w:rsidR="00D62430" w:rsidRPr="002210F1">
        <w:rPr>
          <w:rFonts w:ascii="Arial" w:hAnsi="Arial" w:cs="Arial"/>
          <w:szCs w:val="24"/>
        </w:rPr>
        <w:t>18931</w:t>
      </w:r>
      <w:r w:rsidR="00D62430">
        <w:rPr>
          <w:rFonts w:ascii="Arial" w:hAnsi="Arial" w:cs="Arial"/>
          <w:szCs w:val="24"/>
        </w:rPr>
        <w:t>. With more than 80% of the vote, the 2020-2025 EMS levy was approved</w:t>
      </w:r>
      <w:r w:rsidR="004D26D9">
        <w:rPr>
          <w:rFonts w:ascii="Arial" w:hAnsi="Arial" w:cs="Arial"/>
          <w:szCs w:val="24"/>
        </w:rPr>
        <w:t xml:space="preserve"> by voters in the November 5</w:t>
      </w:r>
      <w:r w:rsidR="00DB4FD7">
        <w:rPr>
          <w:rFonts w:ascii="Arial" w:hAnsi="Arial" w:cs="Arial"/>
          <w:szCs w:val="24"/>
        </w:rPr>
        <w:t>, 2019</w:t>
      </w:r>
      <w:r w:rsidR="004D26D9">
        <w:rPr>
          <w:rFonts w:ascii="Arial" w:hAnsi="Arial" w:cs="Arial"/>
          <w:szCs w:val="24"/>
        </w:rPr>
        <w:t xml:space="preserve"> election</w:t>
      </w:r>
      <w:r w:rsidR="00D62430">
        <w:rPr>
          <w:rFonts w:ascii="Arial" w:hAnsi="Arial" w:cs="Arial"/>
          <w:szCs w:val="24"/>
        </w:rPr>
        <w:t>. This vote will be cert</w:t>
      </w:r>
      <w:r w:rsidR="00FA5AD0">
        <w:rPr>
          <w:rFonts w:ascii="Arial" w:hAnsi="Arial" w:cs="Arial"/>
          <w:szCs w:val="24"/>
        </w:rPr>
        <w:t xml:space="preserve">ified by King County </w:t>
      </w:r>
      <w:r w:rsidR="00FA5AD0" w:rsidRPr="00AD6817">
        <w:rPr>
          <w:rFonts w:ascii="Arial" w:hAnsi="Arial" w:cs="Arial"/>
          <w:szCs w:val="24"/>
        </w:rPr>
        <w:t>Elections on November 26, 2019.</w:t>
      </w:r>
      <w:r w:rsidR="00D62430" w:rsidRPr="00AD6817">
        <w:rPr>
          <w:rFonts w:ascii="Arial" w:hAnsi="Arial" w:cs="Arial"/>
          <w:szCs w:val="24"/>
        </w:rPr>
        <w:t xml:space="preserve"> </w:t>
      </w:r>
      <w:r w:rsidR="0005690E" w:rsidRPr="00AD6817">
        <w:rPr>
          <w:rFonts w:ascii="Arial" w:hAnsi="Arial" w:cs="Arial"/>
          <w:szCs w:val="24"/>
        </w:rPr>
        <w:t xml:space="preserve"> </w:t>
      </w:r>
    </w:p>
    <w:p w14:paraId="5B9881D3" w14:textId="77777777" w:rsidR="004D26D9" w:rsidRPr="00AD6817" w:rsidRDefault="004D26D9" w:rsidP="0057365F">
      <w:pPr>
        <w:spacing w:line="259" w:lineRule="auto"/>
        <w:jc w:val="both"/>
        <w:rPr>
          <w:rFonts w:ascii="Arial" w:hAnsi="Arial" w:cs="Arial"/>
          <w:szCs w:val="24"/>
        </w:rPr>
      </w:pPr>
    </w:p>
    <w:p w14:paraId="04B95558" w14:textId="77777777" w:rsidR="004D26D9" w:rsidRDefault="004D26D9" w:rsidP="0057365F">
      <w:pPr>
        <w:spacing w:line="259" w:lineRule="auto"/>
        <w:jc w:val="both"/>
        <w:rPr>
          <w:rFonts w:ascii="Arial" w:hAnsi="Arial" w:cs="Arial"/>
          <w:szCs w:val="24"/>
        </w:rPr>
      </w:pPr>
      <w:r w:rsidRPr="00AD6817">
        <w:rPr>
          <w:rFonts w:ascii="Arial" w:hAnsi="Arial" w:cs="Arial"/>
          <w:szCs w:val="24"/>
        </w:rPr>
        <w:t>P</w:t>
      </w:r>
      <w:r w:rsidR="00DB4FD7" w:rsidRPr="00AD6817">
        <w:rPr>
          <w:rFonts w:ascii="Arial" w:hAnsi="Arial" w:cs="Arial"/>
          <w:szCs w:val="24"/>
        </w:rPr>
        <w:t xml:space="preserve">roposed </w:t>
      </w:r>
      <w:r w:rsidRPr="00AD6817">
        <w:rPr>
          <w:rFonts w:ascii="Arial" w:hAnsi="Arial" w:cs="Arial"/>
          <w:szCs w:val="24"/>
        </w:rPr>
        <w:t>O</w:t>
      </w:r>
      <w:r w:rsidR="00DB4FD7" w:rsidRPr="00AD6817">
        <w:rPr>
          <w:rFonts w:ascii="Arial" w:hAnsi="Arial" w:cs="Arial"/>
          <w:szCs w:val="24"/>
        </w:rPr>
        <w:t>rdinance</w:t>
      </w:r>
      <w:r w:rsidRPr="00AD6817">
        <w:rPr>
          <w:rFonts w:ascii="Arial" w:hAnsi="Arial" w:cs="Arial"/>
          <w:szCs w:val="24"/>
        </w:rPr>
        <w:t xml:space="preserve"> 2019-0472 </w:t>
      </w:r>
      <w:r w:rsidR="00DB4FD7" w:rsidRPr="00AD6817">
        <w:rPr>
          <w:rFonts w:ascii="Arial" w:hAnsi="Arial" w:cs="Arial"/>
          <w:szCs w:val="24"/>
        </w:rPr>
        <w:t>would authorize the Executive to execute an Interlocal cooperation agreement (ILA) with the City of Seattle regarding the allocation of EMS levy revenues</w:t>
      </w:r>
      <w:r w:rsidRPr="00AD6817">
        <w:rPr>
          <w:rFonts w:ascii="Arial" w:hAnsi="Arial" w:cs="Arial"/>
          <w:szCs w:val="24"/>
        </w:rPr>
        <w:t>.</w:t>
      </w:r>
      <w:r w:rsidR="00DB4FD7" w:rsidRPr="00AD6817">
        <w:rPr>
          <w:rFonts w:ascii="Arial" w:hAnsi="Arial" w:cs="Arial"/>
          <w:szCs w:val="24"/>
        </w:rPr>
        <w:t xml:space="preserve"> The existing 2014-2019 EMS ILA between the County and the City of Seattle expires at the end of 2019.</w:t>
      </w:r>
      <w:r w:rsidR="00F6232B">
        <w:rPr>
          <w:rFonts w:ascii="Arial" w:hAnsi="Arial" w:cs="Arial"/>
          <w:szCs w:val="24"/>
        </w:rPr>
        <w:t xml:space="preserve"> The Seattle City Council approved the transmitted ILA (Attachment A to Proposed Ordinance 2019-0472) on June 24, 2019</w:t>
      </w:r>
      <w:r w:rsidR="00144C3D">
        <w:rPr>
          <w:rFonts w:ascii="Arial" w:hAnsi="Arial" w:cs="Arial"/>
          <w:szCs w:val="24"/>
        </w:rPr>
        <w:t>, which also endorsed placement of the 2020-2025 levy renewal proposal on the November 5, 2019 ballot</w:t>
      </w:r>
      <w:r w:rsidR="00F6232B">
        <w:rPr>
          <w:rFonts w:ascii="Arial" w:hAnsi="Arial" w:cs="Arial"/>
          <w:szCs w:val="24"/>
        </w:rPr>
        <w:t>.</w:t>
      </w:r>
    </w:p>
    <w:p w14:paraId="550BD4B4" w14:textId="07F31E8A" w:rsidR="00C75025" w:rsidRDefault="00C75025" w:rsidP="005B478C">
      <w:pPr>
        <w:jc w:val="both"/>
        <w:rPr>
          <w:rFonts w:ascii="Arial" w:hAnsi="Arial" w:cs="Arial"/>
          <w:szCs w:val="24"/>
        </w:rPr>
      </w:pPr>
    </w:p>
    <w:p w14:paraId="14E756E6" w14:textId="09FD62F7" w:rsidR="0057365F" w:rsidRDefault="0057365F" w:rsidP="005B478C">
      <w:pPr>
        <w:jc w:val="both"/>
        <w:rPr>
          <w:rFonts w:ascii="Arial" w:hAnsi="Arial" w:cs="Arial"/>
          <w:szCs w:val="24"/>
        </w:rPr>
      </w:pPr>
    </w:p>
    <w:p w14:paraId="58CA540D" w14:textId="77777777" w:rsidR="0057365F" w:rsidRDefault="0057365F" w:rsidP="005B478C">
      <w:pPr>
        <w:jc w:val="both"/>
        <w:rPr>
          <w:rFonts w:ascii="Arial" w:hAnsi="Arial" w:cs="Arial"/>
          <w:szCs w:val="24"/>
        </w:rPr>
      </w:pPr>
    </w:p>
    <w:p w14:paraId="41EBDF0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10D7B6A9" w14:textId="77777777" w:rsidR="00074A56" w:rsidRDefault="00074A56" w:rsidP="005B478C">
      <w:pPr>
        <w:jc w:val="both"/>
        <w:rPr>
          <w:rFonts w:ascii="Arial" w:hAnsi="Arial" w:cs="Arial"/>
        </w:rPr>
      </w:pPr>
    </w:p>
    <w:p w14:paraId="3E871DD4" w14:textId="521A984C" w:rsidR="00DF673E" w:rsidRPr="00D258AE" w:rsidRDefault="00C45C4D" w:rsidP="0057365F">
      <w:pPr>
        <w:spacing w:line="259" w:lineRule="auto"/>
        <w:jc w:val="both"/>
        <w:rPr>
          <w:rFonts w:ascii="Arial" w:hAnsi="Arial" w:cs="Arial"/>
          <w:szCs w:val="24"/>
        </w:rPr>
      </w:pPr>
      <w:r w:rsidRPr="00E5774C">
        <w:rPr>
          <w:rFonts w:ascii="Arial" w:hAnsi="Arial" w:cs="Arial"/>
          <w:szCs w:val="24"/>
        </w:rPr>
        <w:t>King County’s Medic One/</w:t>
      </w:r>
      <w:r>
        <w:rPr>
          <w:rFonts w:ascii="Arial" w:hAnsi="Arial" w:cs="Arial"/>
          <w:szCs w:val="24"/>
        </w:rPr>
        <w:t>Emergency Medical Services (</w:t>
      </w:r>
      <w:r w:rsidRPr="00E5774C">
        <w:rPr>
          <w:rFonts w:ascii="Arial" w:hAnsi="Arial" w:cs="Arial"/>
          <w:szCs w:val="24"/>
        </w:rPr>
        <w:t>EMS</w:t>
      </w:r>
      <w:r>
        <w:rPr>
          <w:rFonts w:ascii="Arial" w:hAnsi="Arial" w:cs="Arial"/>
          <w:szCs w:val="24"/>
        </w:rPr>
        <w:t>)</w:t>
      </w:r>
      <w:r w:rsidRPr="00E5774C">
        <w:rPr>
          <w:rFonts w:ascii="Arial" w:hAnsi="Arial" w:cs="Arial"/>
          <w:szCs w:val="24"/>
        </w:rPr>
        <w:t xml:space="preserve"> system provides residents of Seattle and King County with life-saving prehospital medical care through an internationally recognized tiered regional response system. </w:t>
      </w:r>
      <w:r w:rsidRPr="00D258AE">
        <w:rPr>
          <w:rFonts w:ascii="Arial" w:hAnsi="Arial" w:cs="Arial"/>
          <w:szCs w:val="24"/>
        </w:rPr>
        <w:t xml:space="preserve">This system relies upon coordinated partnerships with fire departments, paramedic agencies, dispatch centers and hospitals. Of note, the City of Seattle operates and funds a Medic One emergency services program that is separate from the county program but is part of the regional EMS delivery system. </w:t>
      </w:r>
    </w:p>
    <w:p w14:paraId="60901CD7" w14:textId="77777777" w:rsidR="009822B2" w:rsidRPr="00D258AE" w:rsidRDefault="009822B2" w:rsidP="0057365F">
      <w:pPr>
        <w:spacing w:line="259" w:lineRule="auto"/>
        <w:jc w:val="both"/>
        <w:rPr>
          <w:rFonts w:ascii="Arial" w:hAnsi="Arial" w:cs="Arial"/>
          <w:szCs w:val="24"/>
        </w:rPr>
      </w:pPr>
    </w:p>
    <w:p w14:paraId="13AF413F" w14:textId="77777777" w:rsidR="009822B2" w:rsidRPr="00D258AE" w:rsidRDefault="009822B2" w:rsidP="0057365F">
      <w:pPr>
        <w:spacing w:line="259" w:lineRule="auto"/>
        <w:jc w:val="both"/>
        <w:rPr>
          <w:rFonts w:ascii="Arial" w:hAnsi="Arial" w:cs="Arial"/>
          <w:szCs w:val="24"/>
        </w:rPr>
      </w:pPr>
      <w:r w:rsidRPr="002B2A18">
        <w:rPr>
          <w:rFonts w:ascii="Arial" w:hAnsi="Arial" w:cs="Arial"/>
          <w:b/>
          <w:szCs w:val="24"/>
        </w:rPr>
        <w:t>The</w:t>
      </w:r>
      <w:r w:rsidRPr="00D258AE">
        <w:rPr>
          <w:rFonts w:ascii="Arial" w:hAnsi="Arial" w:cs="Arial"/>
          <w:szCs w:val="24"/>
        </w:rPr>
        <w:t xml:space="preserve"> </w:t>
      </w:r>
      <w:r w:rsidRPr="00D258AE">
        <w:rPr>
          <w:rFonts w:ascii="Arial" w:hAnsi="Arial" w:cs="Arial"/>
          <w:b/>
          <w:szCs w:val="24"/>
        </w:rPr>
        <w:t xml:space="preserve">regional Medic One/EMS system is a tiered system </w:t>
      </w:r>
      <w:r w:rsidR="00D258AE" w:rsidRPr="00D258AE">
        <w:rPr>
          <w:rFonts w:ascii="Arial" w:hAnsi="Arial" w:cs="Arial"/>
          <w:b/>
          <w:szCs w:val="24"/>
        </w:rPr>
        <w:t>consisting</w:t>
      </w:r>
      <w:r w:rsidRPr="00D258AE">
        <w:rPr>
          <w:rFonts w:ascii="Arial" w:hAnsi="Arial" w:cs="Arial"/>
          <w:b/>
          <w:szCs w:val="24"/>
        </w:rPr>
        <w:t xml:space="preserve"> of five major components</w:t>
      </w:r>
      <w:r w:rsidR="00D258AE" w:rsidRPr="00D258AE">
        <w:rPr>
          <w:rStyle w:val="FootnoteReference"/>
          <w:rFonts w:ascii="Arial" w:hAnsi="Arial" w:cs="Arial"/>
          <w:b/>
          <w:szCs w:val="24"/>
        </w:rPr>
        <w:footnoteReference w:id="1"/>
      </w:r>
      <w:r w:rsidRPr="00D258AE">
        <w:rPr>
          <w:rFonts w:ascii="Arial" w:hAnsi="Arial" w:cs="Arial"/>
          <w:b/>
          <w:szCs w:val="24"/>
        </w:rPr>
        <w:t>:</w:t>
      </w:r>
    </w:p>
    <w:p w14:paraId="4566B8E5" w14:textId="77777777" w:rsidR="009822B2" w:rsidRPr="00D258AE" w:rsidRDefault="009822B2" w:rsidP="0057365F">
      <w:pPr>
        <w:spacing w:line="259" w:lineRule="auto"/>
        <w:jc w:val="both"/>
        <w:rPr>
          <w:rFonts w:ascii="Arial" w:hAnsi="Arial" w:cs="Arial"/>
          <w:szCs w:val="24"/>
        </w:rPr>
      </w:pPr>
    </w:p>
    <w:p w14:paraId="10D00D13" w14:textId="77777777" w:rsidR="009822B2" w:rsidRPr="00D258AE" w:rsidRDefault="009822B2" w:rsidP="0057365F">
      <w:pPr>
        <w:numPr>
          <w:ilvl w:val="0"/>
          <w:numId w:val="46"/>
        </w:numPr>
        <w:spacing w:line="259" w:lineRule="auto"/>
        <w:jc w:val="both"/>
        <w:rPr>
          <w:rFonts w:ascii="Arial" w:hAnsi="Arial" w:cs="Arial"/>
          <w:szCs w:val="24"/>
        </w:rPr>
      </w:pPr>
      <w:r w:rsidRPr="00D258AE">
        <w:rPr>
          <w:rFonts w:ascii="Arial" w:hAnsi="Arial" w:cs="Arial"/>
          <w:szCs w:val="24"/>
          <w:u w:val="single"/>
        </w:rPr>
        <w:t>EMS System Access</w:t>
      </w:r>
      <w:r w:rsidR="00D258AE" w:rsidRPr="00D258AE">
        <w:rPr>
          <w:rFonts w:ascii="Arial" w:hAnsi="Arial" w:cs="Arial"/>
          <w:szCs w:val="24"/>
        </w:rPr>
        <w:t xml:space="preserve">: Individuals accessing </w:t>
      </w:r>
      <w:r w:rsidRPr="00D258AE">
        <w:rPr>
          <w:rFonts w:ascii="Arial" w:hAnsi="Arial" w:cs="Arial"/>
          <w:szCs w:val="24"/>
        </w:rPr>
        <w:t xml:space="preserve">the Medic One/ EMS system by calling 9-1-1 for medical assistance. </w:t>
      </w:r>
    </w:p>
    <w:p w14:paraId="18924A40" w14:textId="77777777" w:rsidR="009822B2" w:rsidRPr="00D258AE" w:rsidRDefault="009822B2" w:rsidP="0057365F">
      <w:pPr>
        <w:numPr>
          <w:ilvl w:val="0"/>
          <w:numId w:val="46"/>
        </w:numPr>
        <w:spacing w:before="120" w:line="259" w:lineRule="auto"/>
        <w:jc w:val="both"/>
        <w:rPr>
          <w:rFonts w:ascii="Arial" w:hAnsi="Arial" w:cs="Arial"/>
          <w:szCs w:val="24"/>
        </w:rPr>
      </w:pPr>
      <w:r w:rsidRPr="00D258AE">
        <w:rPr>
          <w:rStyle w:val="A10"/>
          <w:rFonts w:ascii="Arial" w:hAnsi="Arial" w:cs="Arial"/>
          <w:sz w:val="24"/>
          <w:szCs w:val="24"/>
        </w:rPr>
        <w:t>Dispatcher Triage</w:t>
      </w:r>
      <w:r w:rsidRPr="00D258AE">
        <w:rPr>
          <w:rFonts w:ascii="Arial" w:hAnsi="Arial" w:cs="Arial"/>
          <w:color w:val="000000"/>
          <w:szCs w:val="24"/>
        </w:rPr>
        <w:t xml:space="preserve">:  Calls to 9-1-1 are received and triaged by professional dispatchers who determine the most appropriate level of care needed. </w:t>
      </w:r>
    </w:p>
    <w:p w14:paraId="3F374381" w14:textId="77777777" w:rsidR="009822B2" w:rsidRPr="00D258AE" w:rsidRDefault="009822B2" w:rsidP="0057365F">
      <w:pPr>
        <w:numPr>
          <w:ilvl w:val="0"/>
          <w:numId w:val="46"/>
        </w:numPr>
        <w:spacing w:before="120" w:line="259" w:lineRule="auto"/>
        <w:jc w:val="both"/>
        <w:rPr>
          <w:rFonts w:ascii="Arial" w:hAnsi="Arial" w:cs="Arial"/>
          <w:szCs w:val="24"/>
        </w:rPr>
      </w:pPr>
      <w:r w:rsidRPr="00D258AE">
        <w:rPr>
          <w:rFonts w:ascii="Arial" w:hAnsi="Arial" w:cs="Arial"/>
          <w:szCs w:val="24"/>
          <w:u w:val="single"/>
        </w:rPr>
        <w:t>First Tier Response - Basic Life Support (BLS)</w:t>
      </w:r>
      <w:r w:rsidRPr="00D258AE">
        <w:rPr>
          <w:rFonts w:ascii="Arial" w:hAnsi="Arial" w:cs="Arial"/>
          <w:szCs w:val="24"/>
        </w:rPr>
        <w:t xml:space="preserve">:  </w:t>
      </w:r>
      <w:r w:rsidRPr="00D258AE">
        <w:rPr>
          <w:rFonts w:ascii="Arial" w:hAnsi="Arial" w:cs="Arial"/>
          <w:color w:val="000000"/>
          <w:szCs w:val="24"/>
        </w:rPr>
        <w:t>BLS personnel, usually first to arrive on scene, provide immediate basic life support medical care that includes advanced first aid and CPR/AED to stabilize the patient.</w:t>
      </w:r>
    </w:p>
    <w:p w14:paraId="462585ED" w14:textId="77777777" w:rsidR="009822B2" w:rsidRPr="00D258AE" w:rsidRDefault="009822B2" w:rsidP="0057365F">
      <w:pPr>
        <w:numPr>
          <w:ilvl w:val="0"/>
          <w:numId w:val="46"/>
        </w:numPr>
        <w:spacing w:before="120" w:line="259" w:lineRule="auto"/>
        <w:jc w:val="both"/>
        <w:rPr>
          <w:rFonts w:ascii="Arial" w:hAnsi="Arial" w:cs="Arial"/>
          <w:szCs w:val="24"/>
        </w:rPr>
      </w:pPr>
      <w:r w:rsidRPr="00D258AE">
        <w:rPr>
          <w:rFonts w:ascii="Arial" w:hAnsi="Arial" w:cs="Arial"/>
          <w:szCs w:val="24"/>
          <w:u w:val="single"/>
        </w:rPr>
        <w:t>Second Tier Response - Advanced Life Support (ALS):</w:t>
      </w:r>
      <w:r w:rsidRPr="00D258AE">
        <w:rPr>
          <w:rFonts w:ascii="Arial" w:hAnsi="Arial" w:cs="Arial"/>
          <w:szCs w:val="24"/>
        </w:rPr>
        <w:t xml:space="preserve">  Paramedics respond to about 25 percent of all calls and usually arrive second on scene to provide emergency care for critical or life threatening injuries and illness. </w:t>
      </w:r>
    </w:p>
    <w:p w14:paraId="288FBBAD" w14:textId="77777777" w:rsidR="009822B2" w:rsidRPr="00D258AE" w:rsidRDefault="009822B2" w:rsidP="0057365F">
      <w:pPr>
        <w:numPr>
          <w:ilvl w:val="0"/>
          <w:numId w:val="46"/>
        </w:numPr>
        <w:spacing w:before="120" w:line="259" w:lineRule="auto"/>
        <w:jc w:val="both"/>
        <w:rPr>
          <w:rFonts w:ascii="Arial" w:hAnsi="Arial" w:cs="Arial"/>
          <w:szCs w:val="24"/>
        </w:rPr>
      </w:pPr>
      <w:r w:rsidRPr="00D258AE">
        <w:rPr>
          <w:rFonts w:ascii="Arial" w:hAnsi="Arial" w:cs="Arial"/>
          <w:szCs w:val="24"/>
          <w:u w:val="single"/>
        </w:rPr>
        <w:t>Transport to Hospitals:</w:t>
      </w:r>
      <w:r w:rsidRPr="00D258AE">
        <w:rPr>
          <w:rFonts w:ascii="Arial" w:hAnsi="Arial" w:cs="Arial"/>
          <w:szCs w:val="24"/>
        </w:rPr>
        <w:t xml:space="preserve">  Once a patient is stabilized, it is determined whether transport to a hospital or clinic for further medical attention is needed.  </w:t>
      </w:r>
    </w:p>
    <w:p w14:paraId="2D1FA8E0" w14:textId="77777777" w:rsidR="00D258AE" w:rsidRPr="00D258AE" w:rsidRDefault="00D258AE" w:rsidP="0057365F">
      <w:pPr>
        <w:spacing w:before="120" w:line="259" w:lineRule="auto"/>
        <w:ind w:left="720"/>
        <w:jc w:val="both"/>
        <w:rPr>
          <w:rFonts w:ascii="Arial" w:hAnsi="Arial" w:cs="Arial"/>
          <w:szCs w:val="24"/>
        </w:rPr>
      </w:pPr>
    </w:p>
    <w:p w14:paraId="329E68BA" w14:textId="77777777" w:rsidR="00D258AE" w:rsidRPr="00D258AE" w:rsidRDefault="009822B2" w:rsidP="0057365F">
      <w:pPr>
        <w:spacing w:line="259" w:lineRule="auto"/>
        <w:jc w:val="both"/>
        <w:rPr>
          <w:rFonts w:ascii="Arial" w:hAnsi="Arial" w:cs="Arial"/>
          <w:szCs w:val="24"/>
        </w:rPr>
      </w:pPr>
      <w:r w:rsidRPr="00D258AE">
        <w:rPr>
          <w:rFonts w:ascii="Arial" w:hAnsi="Arial" w:cs="Arial"/>
          <w:szCs w:val="24"/>
        </w:rPr>
        <w:t xml:space="preserve">In addition to these components of the system, King County EMS oversees strategic initiatives and regional services. These core programs and services, managed by the EMS Division of Public Health – Seattle and King County, further provide for regional coordination and consistent quality across all jurisdictions in King County. </w:t>
      </w:r>
    </w:p>
    <w:p w14:paraId="022468C3" w14:textId="77777777" w:rsidR="00D258AE" w:rsidRPr="00D258AE" w:rsidRDefault="00D258AE" w:rsidP="0057365F">
      <w:pPr>
        <w:spacing w:line="259" w:lineRule="auto"/>
        <w:jc w:val="both"/>
        <w:rPr>
          <w:rFonts w:ascii="Arial" w:hAnsi="Arial" w:cs="Arial"/>
          <w:szCs w:val="24"/>
        </w:rPr>
      </w:pPr>
    </w:p>
    <w:p w14:paraId="49D3B55D" w14:textId="77777777" w:rsidR="00D258AE" w:rsidRPr="00D258AE" w:rsidRDefault="00D258AE" w:rsidP="0057365F">
      <w:pPr>
        <w:spacing w:line="259" w:lineRule="auto"/>
        <w:jc w:val="both"/>
        <w:rPr>
          <w:rFonts w:ascii="Arial" w:hAnsi="Arial" w:cs="Arial"/>
          <w:szCs w:val="24"/>
        </w:rPr>
      </w:pPr>
      <w:r w:rsidRPr="00D258AE">
        <w:rPr>
          <w:rFonts w:ascii="Arial" w:hAnsi="Arial" w:cs="Arial"/>
          <w:szCs w:val="24"/>
        </w:rPr>
        <w:t>The 2020-2025 Strategic Plan allocates spending County EMS levy funds in 2020-2025 in the following main areas: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30"/>
        <w:gridCol w:w="990"/>
      </w:tblGrid>
      <w:tr w:rsidR="00D258AE" w:rsidRPr="00D258AE" w14:paraId="4890E451" w14:textId="77777777" w:rsidTr="008D1574">
        <w:tc>
          <w:tcPr>
            <w:tcW w:w="7830" w:type="dxa"/>
          </w:tcPr>
          <w:p w14:paraId="59E1974A" w14:textId="77777777" w:rsidR="00D258AE" w:rsidRPr="00D258AE" w:rsidRDefault="00D258AE" w:rsidP="0057365F">
            <w:pPr>
              <w:spacing w:line="259" w:lineRule="auto"/>
              <w:jc w:val="both"/>
              <w:rPr>
                <w:rFonts w:ascii="Arial" w:hAnsi="Arial" w:cs="Arial"/>
                <w:szCs w:val="24"/>
              </w:rPr>
            </w:pPr>
          </w:p>
        </w:tc>
        <w:tc>
          <w:tcPr>
            <w:tcW w:w="1620" w:type="dxa"/>
            <w:gridSpan w:val="2"/>
            <w:vAlign w:val="center"/>
          </w:tcPr>
          <w:p w14:paraId="3E75CEF2" w14:textId="77777777" w:rsidR="00D258AE" w:rsidRPr="00D258AE" w:rsidRDefault="00D258AE" w:rsidP="0057365F">
            <w:pPr>
              <w:spacing w:line="259" w:lineRule="auto"/>
              <w:jc w:val="right"/>
              <w:rPr>
                <w:rFonts w:ascii="Arial" w:hAnsi="Arial" w:cs="Arial"/>
                <w:b/>
                <w:sz w:val="20"/>
              </w:rPr>
            </w:pPr>
            <w:r w:rsidRPr="00D258AE">
              <w:rPr>
                <w:rFonts w:ascii="Arial" w:hAnsi="Arial" w:cs="Arial"/>
                <w:b/>
                <w:sz w:val="20"/>
              </w:rPr>
              <w:t xml:space="preserve">% of KC EMS Expenditures </w:t>
            </w:r>
          </w:p>
        </w:tc>
      </w:tr>
      <w:tr w:rsidR="00D258AE" w:rsidRPr="00D258AE" w14:paraId="4C1B3CAD" w14:textId="77777777" w:rsidTr="008D1574">
        <w:tc>
          <w:tcPr>
            <w:tcW w:w="8460" w:type="dxa"/>
            <w:gridSpan w:val="2"/>
          </w:tcPr>
          <w:p w14:paraId="7993DF6C" w14:textId="77777777" w:rsidR="00D258AE" w:rsidRPr="008D1574" w:rsidRDefault="00D258AE" w:rsidP="0057365F">
            <w:pPr>
              <w:spacing w:line="259" w:lineRule="auto"/>
              <w:jc w:val="both"/>
              <w:rPr>
                <w:rFonts w:ascii="Arial" w:hAnsi="Arial" w:cs="Arial"/>
                <w:sz w:val="22"/>
                <w:szCs w:val="22"/>
              </w:rPr>
            </w:pPr>
            <w:r w:rsidRPr="008D1574">
              <w:rPr>
                <w:rFonts w:ascii="Arial" w:hAnsi="Arial" w:cs="Arial"/>
                <w:sz w:val="22"/>
                <w:szCs w:val="22"/>
              </w:rPr>
              <w:t>Advanced Life Support Services (ALS)</w:t>
            </w:r>
          </w:p>
        </w:tc>
        <w:tc>
          <w:tcPr>
            <w:tcW w:w="990" w:type="dxa"/>
            <w:vAlign w:val="center"/>
          </w:tcPr>
          <w:p w14:paraId="38EF36EF" w14:textId="77777777" w:rsidR="00D258AE" w:rsidRPr="008D1574" w:rsidRDefault="00D258AE" w:rsidP="0057365F">
            <w:pPr>
              <w:spacing w:line="259" w:lineRule="auto"/>
              <w:jc w:val="right"/>
              <w:rPr>
                <w:rFonts w:ascii="Arial" w:hAnsi="Arial" w:cs="Arial"/>
                <w:sz w:val="22"/>
                <w:szCs w:val="22"/>
              </w:rPr>
            </w:pPr>
            <w:r w:rsidRPr="008D1574">
              <w:rPr>
                <w:rFonts w:ascii="Arial" w:hAnsi="Arial" w:cs="Arial"/>
                <w:sz w:val="22"/>
                <w:szCs w:val="22"/>
              </w:rPr>
              <w:t>55.7%</w:t>
            </w:r>
          </w:p>
        </w:tc>
      </w:tr>
      <w:tr w:rsidR="00D258AE" w:rsidRPr="00D258AE" w14:paraId="6FE6567A" w14:textId="77777777" w:rsidTr="008D1574">
        <w:tc>
          <w:tcPr>
            <w:tcW w:w="8460" w:type="dxa"/>
            <w:gridSpan w:val="2"/>
          </w:tcPr>
          <w:p w14:paraId="4BF3881F" w14:textId="77777777" w:rsidR="00D258AE" w:rsidRPr="008D1574" w:rsidRDefault="00D258AE" w:rsidP="0057365F">
            <w:pPr>
              <w:spacing w:line="259" w:lineRule="auto"/>
              <w:jc w:val="both"/>
              <w:rPr>
                <w:rFonts w:ascii="Arial" w:hAnsi="Arial" w:cs="Arial"/>
                <w:sz w:val="22"/>
                <w:szCs w:val="22"/>
              </w:rPr>
            </w:pPr>
            <w:r w:rsidRPr="008D1574">
              <w:rPr>
                <w:rFonts w:ascii="Arial" w:hAnsi="Arial" w:cs="Arial"/>
                <w:sz w:val="22"/>
                <w:szCs w:val="22"/>
              </w:rPr>
              <w:t>Basic Life Support Services (BLS), including Mobile Integrated Healthcare (MIH)</w:t>
            </w:r>
          </w:p>
        </w:tc>
        <w:tc>
          <w:tcPr>
            <w:tcW w:w="990" w:type="dxa"/>
            <w:vAlign w:val="center"/>
          </w:tcPr>
          <w:p w14:paraId="58B9EDD8" w14:textId="77777777" w:rsidR="00D258AE" w:rsidRPr="008D1574" w:rsidRDefault="00D258AE" w:rsidP="0057365F">
            <w:pPr>
              <w:spacing w:line="259" w:lineRule="auto"/>
              <w:jc w:val="right"/>
              <w:rPr>
                <w:rFonts w:ascii="Arial" w:hAnsi="Arial" w:cs="Arial"/>
                <w:sz w:val="22"/>
                <w:szCs w:val="22"/>
              </w:rPr>
            </w:pPr>
            <w:r w:rsidRPr="008D1574">
              <w:rPr>
                <w:rFonts w:ascii="Arial" w:hAnsi="Arial" w:cs="Arial"/>
                <w:sz w:val="22"/>
                <w:szCs w:val="22"/>
              </w:rPr>
              <w:t>25.1%</w:t>
            </w:r>
          </w:p>
        </w:tc>
      </w:tr>
      <w:tr w:rsidR="00D258AE" w:rsidRPr="00D258AE" w14:paraId="10E40815" w14:textId="77777777" w:rsidTr="008D1574">
        <w:tc>
          <w:tcPr>
            <w:tcW w:w="8460" w:type="dxa"/>
            <w:gridSpan w:val="2"/>
          </w:tcPr>
          <w:p w14:paraId="72906C72" w14:textId="77777777" w:rsidR="00D258AE" w:rsidRPr="008D1574" w:rsidRDefault="00D258AE" w:rsidP="0057365F">
            <w:pPr>
              <w:pStyle w:val="ListParagraph0"/>
              <w:spacing w:line="259" w:lineRule="auto"/>
              <w:ind w:hanging="720"/>
              <w:jc w:val="both"/>
              <w:rPr>
                <w:rFonts w:ascii="Arial" w:hAnsi="Arial" w:cs="Arial"/>
                <w:sz w:val="22"/>
                <w:szCs w:val="22"/>
              </w:rPr>
            </w:pPr>
            <w:r w:rsidRPr="008D1574">
              <w:rPr>
                <w:rFonts w:ascii="Arial" w:hAnsi="Arial" w:cs="Arial"/>
                <w:sz w:val="22"/>
                <w:szCs w:val="22"/>
              </w:rPr>
              <w:t>Regional Support Services (RS)</w:t>
            </w:r>
          </w:p>
        </w:tc>
        <w:tc>
          <w:tcPr>
            <w:tcW w:w="990" w:type="dxa"/>
            <w:vAlign w:val="center"/>
          </w:tcPr>
          <w:p w14:paraId="299D416F" w14:textId="77777777" w:rsidR="00D258AE" w:rsidRPr="008D1574" w:rsidRDefault="00D258AE" w:rsidP="0057365F">
            <w:pPr>
              <w:spacing w:line="259" w:lineRule="auto"/>
              <w:jc w:val="right"/>
              <w:rPr>
                <w:rFonts w:ascii="Arial" w:hAnsi="Arial" w:cs="Arial"/>
                <w:sz w:val="22"/>
                <w:szCs w:val="22"/>
              </w:rPr>
            </w:pPr>
            <w:r w:rsidRPr="008D1574">
              <w:rPr>
                <w:rFonts w:ascii="Arial" w:hAnsi="Arial" w:cs="Arial"/>
                <w:sz w:val="22"/>
                <w:szCs w:val="22"/>
              </w:rPr>
              <w:t>11.9%</w:t>
            </w:r>
          </w:p>
        </w:tc>
      </w:tr>
      <w:tr w:rsidR="00D258AE" w:rsidRPr="00D258AE" w14:paraId="23F11B31" w14:textId="77777777" w:rsidTr="008D1574">
        <w:tc>
          <w:tcPr>
            <w:tcW w:w="8460" w:type="dxa"/>
            <w:gridSpan w:val="2"/>
          </w:tcPr>
          <w:p w14:paraId="1716CF6B" w14:textId="77777777" w:rsidR="00D258AE" w:rsidRPr="008D1574" w:rsidRDefault="00D258AE" w:rsidP="0057365F">
            <w:pPr>
              <w:pStyle w:val="ListParagraph0"/>
              <w:spacing w:line="259" w:lineRule="auto"/>
              <w:ind w:hanging="720"/>
              <w:jc w:val="both"/>
              <w:rPr>
                <w:rFonts w:ascii="Arial" w:hAnsi="Arial" w:cs="Arial"/>
                <w:sz w:val="22"/>
                <w:szCs w:val="22"/>
              </w:rPr>
            </w:pPr>
            <w:r w:rsidRPr="008D1574">
              <w:rPr>
                <w:rFonts w:ascii="Arial" w:hAnsi="Arial" w:cs="Arial"/>
                <w:sz w:val="22"/>
                <w:szCs w:val="22"/>
              </w:rPr>
              <w:t xml:space="preserve">Strategic Initiatives (SI) </w:t>
            </w:r>
          </w:p>
        </w:tc>
        <w:tc>
          <w:tcPr>
            <w:tcW w:w="990" w:type="dxa"/>
            <w:vAlign w:val="center"/>
          </w:tcPr>
          <w:p w14:paraId="612001C7" w14:textId="77777777" w:rsidR="00D258AE" w:rsidRPr="008D1574" w:rsidRDefault="00D258AE" w:rsidP="0057365F">
            <w:pPr>
              <w:spacing w:line="259" w:lineRule="auto"/>
              <w:jc w:val="right"/>
              <w:rPr>
                <w:rFonts w:ascii="Arial" w:hAnsi="Arial" w:cs="Arial"/>
                <w:sz w:val="22"/>
                <w:szCs w:val="22"/>
              </w:rPr>
            </w:pPr>
            <w:r w:rsidRPr="008D1574">
              <w:rPr>
                <w:rFonts w:ascii="Arial" w:hAnsi="Arial" w:cs="Arial"/>
                <w:sz w:val="22"/>
                <w:szCs w:val="22"/>
              </w:rPr>
              <w:t>1.0%</w:t>
            </w:r>
          </w:p>
        </w:tc>
      </w:tr>
      <w:tr w:rsidR="00D258AE" w:rsidRPr="00D258AE" w14:paraId="12E27A49" w14:textId="77777777" w:rsidTr="008D1574">
        <w:tc>
          <w:tcPr>
            <w:tcW w:w="8460" w:type="dxa"/>
            <w:gridSpan w:val="2"/>
          </w:tcPr>
          <w:p w14:paraId="73ACEFDA" w14:textId="77777777" w:rsidR="00D258AE" w:rsidRPr="008D1574" w:rsidRDefault="00D258AE" w:rsidP="0057365F">
            <w:pPr>
              <w:spacing w:line="259" w:lineRule="auto"/>
              <w:jc w:val="both"/>
              <w:rPr>
                <w:rFonts w:ascii="Arial" w:hAnsi="Arial" w:cs="Arial"/>
                <w:sz w:val="22"/>
                <w:szCs w:val="22"/>
              </w:rPr>
            </w:pPr>
            <w:r w:rsidRPr="008D1574">
              <w:rPr>
                <w:rFonts w:ascii="Arial" w:hAnsi="Arial" w:cs="Arial"/>
                <w:sz w:val="22"/>
                <w:szCs w:val="22"/>
              </w:rPr>
              <w:t>Reserves</w:t>
            </w:r>
          </w:p>
        </w:tc>
        <w:tc>
          <w:tcPr>
            <w:tcW w:w="990" w:type="dxa"/>
            <w:tcBorders>
              <w:bottom w:val="single" w:sz="4" w:space="0" w:color="auto"/>
            </w:tcBorders>
            <w:vAlign w:val="center"/>
          </w:tcPr>
          <w:p w14:paraId="4C7A8238" w14:textId="77777777" w:rsidR="00D258AE" w:rsidRPr="008D1574" w:rsidRDefault="00D258AE" w:rsidP="0057365F">
            <w:pPr>
              <w:spacing w:line="259" w:lineRule="auto"/>
              <w:jc w:val="right"/>
              <w:rPr>
                <w:rFonts w:ascii="Arial" w:hAnsi="Arial" w:cs="Arial"/>
                <w:sz w:val="22"/>
                <w:szCs w:val="22"/>
              </w:rPr>
            </w:pPr>
            <w:r w:rsidRPr="008D1574">
              <w:rPr>
                <w:rFonts w:ascii="Arial" w:hAnsi="Arial" w:cs="Arial"/>
                <w:sz w:val="22"/>
                <w:szCs w:val="22"/>
              </w:rPr>
              <w:t>6.3%</w:t>
            </w:r>
          </w:p>
        </w:tc>
      </w:tr>
      <w:tr w:rsidR="0095392C" w:rsidRPr="00D258AE" w14:paraId="0D799ED8" w14:textId="77777777" w:rsidTr="008D1574">
        <w:tc>
          <w:tcPr>
            <w:tcW w:w="8460" w:type="dxa"/>
            <w:gridSpan w:val="2"/>
          </w:tcPr>
          <w:p w14:paraId="16D5DA22" w14:textId="7839AB4B" w:rsidR="0095392C" w:rsidRPr="008D1574" w:rsidRDefault="0095392C" w:rsidP="008D1574">
            <w:pPr>
              <w:spacing w:line="259" w:lineRule="auto"/>
              <w:jc w:val="right"/>
              <w:rPr>
                <w:rFonts w:ascii="Arial" w:hAnsi="Arial" w:cs="Arial"/>
                <w:b/>
                <w:sz w:val="22"/>
                <w:szCs w:val="22"/>
              </w:rPr>
            </w:pPr>
          </w:p>
        </w:tc>
        <w:tc>
          <w:tcPr>
            <w:tcW w:w="990" w:type="dxa"/>
            <w:tcBorders>
              <w:top w:val="single" w:sz="4" w:space="0" w:color="auto"/>
            </w:tcBorders>
            <w:vAlign w:val="center"/>
          </w:tcPr>
          <w:p w14:paraId="251E10DC" w14:textId="7E47FE56" w:rsidR="0095392C" w:rsidRPr="008D1574" w:rsidRDefault="0095392C" w:rsidP="0057365F">
            <w:pPr>
              <w:spacing w:line="259" w:lineRule="auto"/>
              <w:jc w:val="right"/>
              <w:rPr>
                <w:rFonts w:ascii="Arial" w:hAnsi="Arial" w:cs="Arial"/>
                <w:b/>
                <w:sz w:val="22"/>
                <w:szCs w:val="22"/>
              </w:rPr>
            </w:pPr>
            <w:r w:rsidRPr="008D1574">
              <w:rPr>
                <w:rFonts w:ascii="Arial" w:hAnsi="Arial" w:cs="Arial"/>
                <w:b/>
                <w:sz w:val="22"/>
                <w:szCs w:val="22"/>
              </w:rPr>
              <w:t>100.0%</w:t>
            </w:r>
          </w:p>
        </w:tc>
      </w:tr>
    </w:tbl>
    <w:p w14:paraId="1579F121" w14:textId="77777777" w:rsidR="00D258AE" w:rsidRPr="00D258AE" w:rsidRDefault="00D258AE" w:rsidP="0057365F">
      <w:pPr>
        <w:spacing w:line="259" w:lineRule="auto"/>
        <w:jc w:val="both"/>
        <w:rPr>
          <w:rFonts w:ascii="Arial" w:hAnsi="Arial" w:cs="Arial"/>
          <w:szCs w:val="24"/>
        </w:rPr>
      </w:pPr>
    </w:p>
    <w:p w14:paraId="41941232" w14:textId="77777777" w:rsidR="00DF673E" w:rsidRDefault="00DF673E" w:rsidP="008D1574">
      <w:pPr>
        <w:spacing w:line="259" w:lineRule="auto"/>
        <w:jc w:val="both"/>
        <w:rPr>
          <w:rFonts w:ascii="Arial" w:hAnsi="Arial" w:cs="Arial"/>
          <w:szCs w:val="24"/>
        </w:rPr>
      </w:pPr>
    </w:p>
    <w:p w14:paraId="688AE467" w14:textId="77777777" w:rsidR="00DF673E" w:rsidRPr="00AD6817" w:rsidRDefault="00DF673E" w:rsidP="008D1574">
      <w:pPr>
        <w:spacing w:line="259" w:lineRule="auto"/>
        <w:jc w:val="both"/>
        <w:rPr>
          <w:rFonts w:ascii="Arial" w:hAnsi="Arial" w:cs="Arial"/>
          <w:szCs w:val="24"/>
        </w:rPr>
      </w:pPr>
      <w:r w:rsidRPr="00355E8C">
        <w:rPr>
          <w:rFonts w:ascii="Arial" w:hAnsi="Arial" w:cs="Arial"/>
          <w:szCs w:val="24"/>
        </w:rPr>
        <w:lastRenderedPageBreak/>
        <w:t xml:space="preserve">The </w:t>
      </w:r>
      <w:r>
        <w:rPr>
          <w:rFonts w:ascii="Arial" w:hAnsi="Arial" w:cs="Arial"/>
          <w:szCs w:val="24"/>
        </w:rPr>
        <w:t xml:space="preserve">King County </w:t>
      </w:r>
      <w:r w:rsidRPr="00355E8C">
        <w:rPr>
          <w:rFonts w:ascii="Arial" w:hAnsi="Arial" w:cs="Arial"/>
          <w:szCs w:val="24"/>
        </w:rPr>
        <w:t xml:space="preserve">Medic One/EMS system is primarily funded with a countywide, voter-approved EMS levy. The </w:t>
      </w:r>
      <w:r w:rsidR="00F6232B">
        <w:rPr>
          <w:rFonts w:ascii="Arial" w:hAnsi="Arial" w:cs="Arial"/>
          <w:szCs w:val="24"/>
        </w:rPr>
        <w:t>2014-2019</w:t>
      </w:r>
      <w:r w:rsidR="00F6232B" w:rsidRPr="00355E8C">
        <w:rPr>
          <w:rFonts w:ascii="Arial" w:hAnsi="Arial" w:cs="Arial"/>
          <w:szCs w:val="24"/>
        </w:rPr>
        <w:t xml:space="preserve"> </w:t>
      </w:r>
      <w:r w:rsidRPr="00355E8C">
        <w:rPr>
          <w:rFonts w:ascii="Arial" w:hAnsi="Arial" w:cs="Arial"/>
          <w:szCs w:val="24"/>
        </w:rPr>
        <w:t>EMS levy expires at the end of 2019</w:t>
      </w:r>
      <w:r>
        <w:rPr>
          <w:rFonts w:ascii="Arial" w:hAnsi="Arial" w:cs="Arial"/>
          <w:szCs w:val="24"/>
        </w:rPr>
        <w:t xml:space="preserve">. In June 2019, King County Council approved Ordinance </w:t>
      </w:r>
      <w:r w:rsidRPr="002210F1">
        <w:rPr>
          <w:rFonts w:ascii="Arial" w:hAnsi="Arial" w:cs="Arial"/>
          <w:szCs w:val="24"/>
        </w:rPr>
        <w:t>18931</w:t>
      </w:r>
      <w:r>
        <w:rPr>
          <w:rFonts w:ascii="Arial" w:hAnsi="Arial" w:cs="Arial"/>
          <w:szCs w:val="24"/>
        </w:rPr>
        <w:t xml:space="preserve"> which </w:t>
      </w:r>
      <w:r w:rsidRPr="00246A8B">
        <w:rPr>
          <w:rFonts w:ascii="Arial" w:hAnsi="Arial" w:cs="Arial"/>
        </w:rPr>
        <w:t>place</w:t>
      </w:r>
      <w:r>
        <w:rPr>
          <w:rFonts w:ascii="Arial" w:hAnsi="Arial" w:cs="Arial"/>
        </w:rPr>
        <w:t>d</w:t>
      </w:r>
      <w:r w:rsidRPr="00246A8B">
        <w:rPr>
          <w:rFonts w:ascii="Arial" w:hAnsi="Arial" w:cs="Arial"/>
        </w:rPr>
        <w:t xml:space="preserve"> on the November 5, 2019 ballot a proposition authorizing a six-year property tax levy that would generate approximately $1.1 billion in levy proceeds during the levy period to support the King County </w:t>
      </w:r>
      <w:r w:rsidRPr="00246A8B">
        <w:rPr>
          <w:rFonts w:ascii="Arial" w:hAnsi="Arial" w:cs="Arial"/>
          <w:szCs w:val="24"/>
        </w:rPr>
        <w:t>Medic One/EMS system</w:t>
      </w:r>
      <w:r>
        <w:rPr>
          <w:rStyle w:val="FootnoteReference"/>
          <w:rFonts w:ascii="Arial" w:hAnsi="Arial" w:cs="Arial"/>
          <w:szCs w:val="24"/>
        </w:rPr>
        <w:footnoteReference w:id="2"/>
      </w:r>
      <w:r w:rsidRPr="00246A8B">
        <w:rPr>
          <w:rFonts w:ascii="Arial" w:hAnsi="Arial" w:cs="Arial"/>
        </w:rPr>
        <w:t>.</w:t>
      </w:r>
      <w:r>
        <w:rPr>
          <w:rFonts w:ascii="Arial" w:hAnsi="Arial" w:cs="Arial"/>
        </w:rPr>
        <w:t xml:space="preserve"> </w:t>
      </w:r>
      <w:r>
        <w:rPr>
          <w:rFonts w:ascii="Arial" w:hAnsi="Arial" w:cs="Arial"/>
          <w:szCs w:val="24"/>
        </w:rPr>
        <w:t xml:space="preserve">With more than 80% of the vote, the 2020-2025 </w:t>
      </w:r>
      <w:r w:rsidRPr="00246A8B">
        <w:rPr>
          <w:rFonts w:ascii="Arial" w:hAnsi="Arial" w:cs="Arial"/>
          <w:szCs w:val="24"/>
        </w:rPr>
        <w:t xml:space="preserve">Medic One/EMS </w:t>
      </w:r>
      <w:r>
        <w:rPr>
          <w:rFonts w:ascii="Arial" w:hAnsi="Arial" w:cs="Arial"/>
          <w:szCs w:val="24"/>
        </w:rPr>
        <w:t>levy was approved by voters in the November 5</w:t>
      </w:r>
      <w:r w:rsidR="00F6232B">
        <w:rPr>
          <w:rFonts w:ascii="Arial" w:hAnsi="Arial" w:cs="Arial"/>
          <w:szCs w:val="24"/>
        </w:rPr>
        <w:t>, 2019</w:t>
      </w:r>
      <w:r>
        <w:rPr>
          <w:rFonts w:ascii="Arial" w:hAnsi="Arial" w:cs="Arial"/>
          <w:szCs w:val="24"/>
        </w:rPr>
        <w:t xml:space="preserve"> election.</w:t>
      </w:r>
      <w:r>
        <w:rPr>
          <w:rStyle w:val="FootnoteReference"/>
          <w:rFonts w:ascii="Arial" w:hAnsi="Arial" w:cs="Arial"/>
        </w:rPr>
        <w:footnoteReference w:id="3"/>
      </w:r>
      <w:r>
        <w:rPr>
          <w:rFonts w:ascii="Arial" w:hAnsi="Arial" w:cs="Arial"/>
          <w:szCs w:val="24"/>
        </w:rPr>
        <w:t xml:space="preserve"> This vote will be certified by King County Elections on November 26, </w:t>
      </w:r>
      <w:r w:rsidRPr="00AD6817">
        <w:rPr>
          <w:rFonts w:ascii="Arial" w:hAnsi="Arial" w:cs="Arial"/>
          <w:szCs w:val="24"/>
        </w:rPr>
        <w:t>2019</w:t>
      </w:r>
      <w:r w:rsidRPr="00AD6817">
        <w:rPr>
          <w:rFonts w:ascii="Arial" w:hAnsi="Arial" w:cs="Arial"/>
        </w:rPr>
        <w:t xml:space="preserve">. </w:t>
      </w:r>
    </w:p>
    <w:p w14:paraId="336924E7" w14:textId="77777777" w:rsidR="00DF673E" w:rsidRPr="00AD6817" w:rsidRDefault="00DF673E" w:rsidP="008D1574">
      <w:pPr>
        <w:spacing w:line="259" w:lineRule="auto"/>
        <w:jc w:val="both"/>
        <w:rPr>
          <w:rFonts w:ascii="Arial" w:hAnsi="Arial" w:cs="Arial"/>
        </w:rPr>
      </w:pPr>
    </w:p>
    <w:p w14:paraId="63B97175" w14:textId="77777777" w:rsidR="00DF673E" w:rsidRPr="00AD6817" w:rsidRDefault="00DF673E" w:rsidP="008D1574">
      <w:pPr>
        <w:autoSpaceDE w:val="0"/>
        <w:autoSpaceDN w:val="0"/>
        <w:adjustRightInd w:val="0"/>
        <w:spacing w:line="259" w:lineRule="auto"/>
        <w:jc w:val="both"/>
        <w:rPr>
          <w:rFonts w:ascii="Arial" w:hAnsi="Arial" w:cs="Arial"/>
          <w:szCs w:val="24"/>
        </w:rPr>
      </w:pPr>
      <w:r w:rsidRPr="00AD6817">
        <w:rPr>
          <w:rFonts w:ascii="Arial" w:hAnsi="Arial" w:cs="Arial"/>
          <w:szCs w:val="24"/>
        </w:rPr>
        <w:t xml:space="preserve">The initial levy rate for the 2020-2025 levy is $0.265 per $1,000 assessed valuation. For the owner of a home with a $500,000 AV, the annual levy cost in 2020 would be $133. </w:t>
      </w:r>
    </w:p>
    <w:p w14:paraId="5C42708A" w14:textId="77777777" w:rsidR="00DF673E" w:rsidRPr="00AD6817" w:rsidRDefault="00DF673E" w:rsidP="008D1574">
      <w:pPr>
        <w:autoSpaceDE w:val="0"/>
        <w:autoSpaceDN w:val="0"/>
        <w:adjustRightInd w:val="0"/>
        <w:spacing w:line="259" w:lineRule="auto"/>
        <w:jc w:val="both"/>
        <w:rPr>
          <w:rFonts w:ascii="Arial" w:hAnsi="Arial" w:cs="Arial"/>
          <w:szCs w:val="24"/>
        </w:rPr>
      </w:pPr>
    </w:p>
    <w:p w14:paraId="7BE45291" w14:textId="77777777" w:rsidR="00DF673E" w:rsidRDefault="00D258AE" w:rsidP="008D1574">
      <w:pPr>
        <w:spacing w:line="259" w:lineRule="auto"/>
        <w:jc w:val="both"/>
        <w:rPr>
          <w:rFonts w:ascii="Arial" w:hAnsi="Arial" w:cs="Arial"/>
          <w:szCs w:val="24"/>
        </w:rPr>
      </w:pPr>
      <w:r w:rsidRPr="00AD6817">
        <w:rPr>
          <w:rFonts w:ascii="Arial" w:hAnsi="Arial" w:cs="Arial"/>
          <w:szCs w:val="24"/>
        </w:rPr>
        <w:t xml:space="preserve">In accordance with an </w:t>
      </w:r>
      <w:r w:rsidR="001D74B8" w:rsidRPr="00AD6817">
        <w:rPr>
          <w:rFonts w:ascii="Arial" w:hAnsi="Arial" w:cs="Arial"/>
          <w:szCs w:val="24"/>
        </w:rPr>
        <w:t>Interlocal</w:t>
      </w:r>
      <w:r w:rsidRPr="00AD6817">
        <w:rPr>
          <w:rFonts w:ascii="Arial" w:hAnsi="Arial" w:cs="Arial"/>
          <w:szCs w:val="24"/>
        </w:rPr>
        <w:t xml:space="preserve"> agreement between the County and City, a</w:t>
      </w:r>
      <w:r w:rsidR="00C45C4D" w:rsidRPr="00AD6817">
        <w:rPr>
          <w:rFonts w:ascii="Arial" w:hAnsi="Arial" w:cs="Arial"/>
          <w:szCs w:val="24"/>
        </w:rPr>
        <w:t>ll EMS levy proceeds collected from taxable property within the City of Seattle are reimbursed and transferred to the City</w:t>
      </w:r>
      <w:r w:rsidRPr="00AD6817">
        <w:rPr>
          <w:rFonts w:ascii="Arial" w:hAnsi="Arial" w:cs="Arial"/>
          <w:szCs w:val="24"/>
        </w:rPr>
        <w:t xml:space="preserve"> </w:t>
      </w:r>
      <w:r w:rsidR="00C45C4D" w:rsidRPr="00AD6817">
        <w:rPr>
          <w:rFonts w:ascii="Arial" w:hAnsi="Arial" w:cs="Arial"/>
          <w:szCs w:val="24"/>
        </w:rPr>
        <w:t xml:space="preserve">solely for </w:t>
      </w:r>
      <w:r w:rsidRPr="00AD6817">
        <w:rPr>
          <w:rFonts w:ascii="Arial" w:hAnsi="Arial" w:cs="Arial"/>
          <w:szCs w:val="24"/>
        </w:rPr>
        <w:t xml:space="preserve">supporting </w:t>
      </w:r>
      <w:r w:rsidR="00C45C4D" w:rsidRPr="00AD6817">
        <w:rPr>
          <w:rFonts w:ascii="Arial" w:hAnsi="Arial" w:cs="Arial"/>
          <w:szCs w:val="24"/>
        </w:rPr>
        <w:t xml:space="preserve">the Seattle Medic One EMS program, which is </w:t>
      </w:r>
      <w:r w:rsidR="00C45C4D" w:rsidRPr="00AD6817">
        <w:rPr>
          <w:rFonts w:ascii="Arial" w:hAnsi="Arial" w:cs="Arial"/>
          <w:lang w:val="en"/>
        </w:rPr>
        <w:t>coordinated through the Seattle Fire Department</w:t>
      </w:r>
      <w:r w:rsidR="00C45C4D" w:rsidRPr="00AD6817">
        <w:rPr>
          <w:rFonts w:ascii="Arial" w:hAnsi="Arial" w:cs="Arial"/>
          <w:szCs w:val="24"/>
        </w:rPr>
        <w:t>.</w:t>
      </w:r>
      <w:r w:rsidR="00DF673E" w:rsidRPr="00AD6817">
        <w:rPr>
          <w:rFonts w:ascii="Arial" w:hAnsi="Arial" w:cs="Arial"/>
          <w:szCs w:val="24"/>
        </w:rPr>
        <w:t xml:space="preserve"> </w:t>
      </w:r>
      <w:r w:rsidR="00F6232B" w:rsidRPr="00AD6817">
        <w:rPr>
          <w:rFonts w:ascii="Arial" w:hAnsi="Arial" w:cs="Arial"/>
          <w:szCs w:val="24"/>
        </w:rPr>
        <w:t>The existing ILA for 2014-2019 between the County and the City of Seattle expires at the end of 2019.</w:t>
      </w:r>
    </w:p>
    <w:p w14:paraId="01408F39" w14:textId="77777777" w:rsidR="00A4345A" w:rsidRDefault="00C45C4D" w:rsidP="008D1574">
      <w:pPr>
        <w:spacing w:line="259" w:lineRule="auto"/>
        <w:jc w:val="both"/>
        <w:rPr>
          <w:rFonts w:ascii="Arial" w:hAnsi="Arial" w:cs="Arial"/>
        </w:rPr>
      </w:pPr>
      <w:r>
        <w:rPr>
          <w:rFonts w:ascii="Arial" w:hAnsi="Arial" w:cs="Arial"/>
          <w:szCs w:val="24"/>
        </w:rPr>
        <w:t xml:space="preserve"> </w:t>
      </w:r>
    </w:p>
    <w:p w14:paraId="24C32BA4"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E6DF351" w14:textId="77777777" w:rsidR="00B626EC" w:rsidRDefault="00B626EC" w:rsidP="005B478C">
      <w:pPr>
        <w:jc w:val="both"/>
        <w:rPr>
          <w:rFonts w:ascii="Arial" w:hAnsi="Arial" w:cs="Arial"/>
          <w:b/>
          <w:smallCaps/>
          <w:szCs w:val="24"/>
          <w:u w:val="single"/>
        </w:rPr>
      </w:pPr>
    </w:p>
    <w:p w14:paraId="0B1C4D5F" w14:textId="77777777" w:rsidR="00B626EC" w:rsidRPr="00B626EC" w:rsidRDefault="00B626EC" w:rsidP="005B478C">
      <w:pPr>
        <w:jc w:val="both"/>
        <w:rPr>
          <w:rFonts w:ascii="Arial" w:hAnsi="Arial" w:cs="Arial"/>
          <w:b/>
          <w:smallCaps/>
          <w:szCs w:val="24"/>
          <w:u w:val="single"/>
        </w:rPr>
      </w:pPr>
      <w:r w:rsidRPr="002B2A18">
        <w:rPr>
          <w:rFonts w:ascii="Arial" w:hAnsi="Arial" w:cs="Arial"/>
          <w:b/>
        </w:rPr>
        <w:t>Proposed Ordinance 2019-0471</w:t>
      </w:r>
    </w:p>
    <w:p w14:paraId="57D0F6C6" w14:textId="77777777" w:rsidR="00CF61B9" w:rsidRDefault="00CF61B9" w:rsidP="005B478C">
      <w:pPr>
        <w:jc w:val="both"/>
        <w:rPr>
          <w:rFonts w:ascii="Arial" w:hAnsi="Arial" w:cs="Arial"/>
          <w:b/>
          <w:smallCaps/>
          <w:szCs w:val="24"/>
          <w:u w:val="single"/>
        </w:rPr>
      </w:pPr>
    </w:p>
    <w:tbl>
      <w:tblPr>
        <w:tblStyle w:val="TableGrid"/>
        <w:tblW w:w="0" w:type="auto"/>
        <w:tblLook w:val="04A0" w:firstRow="1" w:lastRow="0" w:firstColumn="1" w:lastColumn="0" w:noHBand="0" w:noVBand="1"/>
      </w:tblPr>
      <w:tblGrid>
        <w:gridCol w:w="7848"/>
        <w:gridCol w:w="1728"/>
      </w:tblGrid>
      <w:tr w:rsidR="00CF61B9" w14:paraId="06A815DB" w14:textId="77777777" w:rsidTr="00EC33C4">
        <w:tc>
          <w:tcPr>
            <w:tcW w:w="7848" w:type="dxa"/>
            <w:tcBorders>
              <w:top w:val="nil"/>
              <w:left w:val="nil"/>
              <w:bottom w:val="single" w:sz="12" w:space="0" w:color="auto"/>
              <w:right w:val="nil"/>
            </w:tcBorders>
          </w:tcPr>
          <w:p w14:paraId="0697EBCA" w14:textId="77777777" w:rsidR="00CF61B9" w:rsidRPr="00C56497" w:rsidRDefault="00CF61B9" w:rsidP="00EC33C4">
            <w:pPr>
              <w:pStyle w:val="BodyText"/>
              <w:rPr>
                <w:rFonts w:ascii="Arial" w:hAnsi="Arial" w:cs="Arial"/>
                <w:b/>
                <w:i w:val="0"/>
                <w:smallCaps/>
                <w:szCs w:val="24"/>
              </w:rPr>
            </w:pPr>
            <w:r>
              <w:rPr>
                <w:rFonts w:ascii="Arial" w:hAnsi="Arial" w:cs="Arial"/>
                <w:b/>
                <w:i w:val="0"/>
              </w:rPr>
              <w:t>Emergency Medical Services</w:t>
            </w:r>
          </w:p>
        </w:tc>
        <w:tc>
          <w:tcPr>
            <w:tcW w:w="1728" w:type="dxa"/>
            <w:tcBorders>
              <w:top w:val="nil"/>
              <w:left w:val="nil"/>
              <w:bottom w:val="single" w:sz="12" w:space="0" w:color="auto"/>
              <w:right w:val="nil"/>
            </w:tcBorders>
          </w:tcPr>
          <w:p w14:paraId="0D3D6067" w14:textId="77777777" w:rsidR="00CF61B9" w:rsidRDefault="00CF61B9" w:rsidP="00EC33C4">
            <w:pPr>
              <w:pStyle w:val="BodyText"/>
              <w:jc w:val="right"/>
              <w:rPr>
                <w:rFonts w:ascii="Arial" w:hAnsi="Arial" w:cs="Arial"/>
                <w:b/>
                <w:i w:val="0"/>
                <w:smallCaps/>
                <w:szCs w:val="24"/>
              </w:rPr>
            </w:pPr>
            <w:r>
              <w:rPr>
                <w:rFonts w:ascii="Arial" w:hAnsi="Arial" w:cs="Arial"/>
                <w:b/>
                <w:i w:val="0"/>
                <w:smallCaps/>
                <w:szCs w:val="24"/>
              </w:rPr>
              <w:t>$</w:t>
            </w:r>
            <w:r w:rsidRPr="00373A00">
              <w:rPr>
                <w:rFonts w:ascii="Arial" w:hAnsi="Arial" w:cs="Arial"/>
                <w:b/>
                <w:i w:val="0"/>
                <w:smallCaps/>
                <w:szCs w:val="24"/>
              </w:rPr>
              <w:t>96,</w:t>
            </w:r>
            <w:r>
              <w:rPr>
                <w:rFonts w:ascii="Arial" w:hAnsi="Arial" w:cs="Arial"/>
                <w:b/>
                <w:i w:val="0"/>
                <w:smallCaps/>
                <w:szCs w:val="24"/>
              </w:rPr>
              <w:t>364,000</w:t>
            </w:r>
          </w:p>
        </w:tc>
      </w:tr>
      <w:tr w:rsidR="00CF61B9" w14:paraId="6F49C21E" w14:textId="77777777" w:rsidTr="00EC33C4">
        <w:tc>
          <w:tcPr>
            <w:tcW w:w="7848" w:type="dxa"/>
            <w:tcBorders>
              <w:top w:val="single" w:sz="12" w:space="0" w:color="auto"/>
              <w:left w:val="nil"/>
              <w:bottom w:val="nil"/>
              <w:right w:val="nil"/>
            </w:tcBorders>
          </w:tcPr>
          <w:p w14:paraId="795B1C24" w14:textId="77777777" w:rsidR="00CF61B9" w:rsidRDefault="00CF61B9" w:rsidP="00EC33C4">
            <w:pPr>
              <w:pStyle w:val="BodyText"/>
              <w:jc w:val="right"/>
              <w:rPr>
                <w:rFonts w:ascii="Arial" w:hAnsi="Arial" w:cs="Arial"/>
                <w:b/>
              </w:rPr>
            </w:pPr>
          </w:p>
          <w:p w14:paraId="37538A03" w14:textId="77777777" w:rsidR="00CF61B9" w:rsidRPr="00C56497" w:rsidRDefault="00CF61B9" w:rsidP="00EC33C4">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1AE27586" w14:textId="77777777" w:rsidR="00CF61B9" w:rsidRDefault="00CF61B9" w:rsidP="00EC33C4">
            <w:pPr>
              <w:pStyle w:val="BodyText"/>
              <w:jc w:val="right"/>
              <w:rPr>
                <w:rFonts w:ascii="Arial" w:hAnsi="Arial" w:cs="Arial"/>
                <w:b/>
                <w:i w:val="0"/>
                <w:smallCaps/>
                <w:szCs w:val="24"/>
              </w:rPr>
            </w:pPr>
          </w:p>
          <w:p w14:paraId="7CC366C0" w14:textId="77777777" w:rsidR="00CF61B9" w:rsidRDefault="00CF61B9" w:rsidP="00EC33C4">
            <w:pPr>
              <w:pStyle w:val="BodyText"/>
              <w:jc w:val="right"/>
              <w:rPr>
                <w:rFonts w:ascii="Arial" w:hAnsi="Arial" w:cs="Arial"/>
                <w:b/>
                <w:i w:val="0"/>
                <w:smallCaps/>
                <w:szCs w:val="24"/>
              </w:rPr>
            </w:pPr>
            <w:r>
              <w:rPr>
                <w:rFonts w:ascii="Arial" w:hAnsi="Arial" w:cs="Arial"/>
                <w:b/>
                <w:i w:val="0"/>
                <w:smallCaps/>
                <w:szCs w:val="24"/>
              </w:rPr>
              <w:t>$94,714,000</w:t>
            </w:r>
          </w:p>
        </w:tc>
      </w:tr>
      <w:tr w:rsidR="00CF61B9" w14:paraId="2FA7B8F2" w14:textId="77777777" w:rsidTr="00EC33C4">
        <w:tc>
          <w:tcPr>
            <w:tcW w:w="7848" w:type="dxa"/>
            <w:tcBorders>
              <w:top w:val="nil"/>
              <w:left w:val="nil"/>
              <w:bottom w:val="nil"/>
              <w:right w:val="nil"/>
            </w:tcBorders>
          </w:tcPr>
          <w:p w14:paraId="7BA8E82A" w14:textId="77777777" w:rsidR="00CF61B9" w:rsidRPr="00C56497" w:rsidRDefault="00CF61B9" w:rsidP="00EC33C4">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19DF896C" w14:textId="77777777" w:rsidR="00CF61B9" w:rsidRDefault="00CF61B9" w:rsidP="00EC33C4">
            <w:pPr>
              <w:pStyle w:val="BodyText"/>
              <w:jc w:val="right"/>
              <w:rPr>
                <w:rFonts w:ascii="Arial" w:hAnsi="Arial" w:cs="Arial"/>
                <w:b/>
                <w:i w:val="0"/>
                <w:smallCaps/>
                <w:szCs w:val="24"/>
              </w:rPr>
            </w:pPr>
            <w:r>
              <w:rPr>
                <w:rFonts w:ascii="Arial" w:hAnsi="Arial" w:cs="Arial"/>
                <w:b/>
                <w:i w:val="0"/>
                <w:smallCaps/>
                <w:szCs w:val="24"/>
              </w:rPr>
              <w:t>$0</w:t>
            </w:r>
          </w:p>
        </w:tc>
      </w:tr>
      <w:tr w:rsidR="00CF61B9" w14:paraId="790BC0CA" w14:textId="77777777" w:rsidTr="00EC33C4">
        <w:tc>
          <w:tcPr>
            <w:tcW w:w="7848" w:type="dxa"/>
            <w:tcBorders>
              <w:top w:val="nil"/>
              <w:left w:val="nil"/>
              <w:bottom w:val="nil"/>
              <w:right w:val="nil"/>
            </w:tcBorders>
          </w:tcPr>
          <w:p w14:paraId="506EE50B" w14:textId="77777777" w:rsidR="00CF61B9" w:rsidRPr="00C56497" w:rsidRDefault="00CF61B9" w:rsidP="00EC33C4">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4955BBA0" w14:textId="77777777" w:rsidR="00CF61B9" w:rsidRDefault="00CF61B9" w:rsidP="00EC33C4">
            <w:pPr>
              <w:pStyle w:val="BodyText"/>
              <w:jc w:val="right"/>
              <w:rPr>
                <w:rFonts w:ascii="Arial" w:hAnsi="Arial" w:cs="Arial"/>
                <w:b/>
                <w:i w:val="0"/>
                <w:smallCaps/>
                <w:szCs w:val="24"/>
              </w:rPr>
            </w:pPr>
            <w:r>
              <w:rPr>
                <w:rFonts w:ascii="Arial" w:hAnsi="Arial" w:cs="Arial"/>
                <w:b/>
                <w:i w:val="0"/>
                <w:smallCaps/>
                <w:szCs w:val="24"/>
              </w:rPr>
              <w:t>$94,714,000</w:t>
            </w:r>
          </w:p>
        </w:tc>
      </w:tr>
    </w:tbl>
    <w:p w14:paraId="52EFF327" w14:textId="77777777" w:rsidR="00CF61B9" w:rsidRPr="001C4B19" w:rsidRDefault="00CF61B9" w:rsidP="00CF61B9">
      <w:pPr>
        <w:pStyle w:val="BodyText"/>
        <w:jc w:val="both"/>
        <w:rPr>
          <w:rFonts w:ascii="Arial" w:hAnsi="Arial" w:cs="Arial"/>
          <w:b/>
          <w:i w:val="0"/>
          <w:smallCaps/>
          <w:szCs w:val="24"/>
        </w:rPr>
      </w:pPr>
    </w:p>
    <w:p w14:paraId="5A4FFD0D" w14:textId="5164AE92" w:rsidR="002935B7" w:rsidRDefault="00A4345A" w:rsidP="0057365F">
      <w:pPr>
        <w:spacing w:line="259" w:lineRule="auto"/>
        <w:jc w:val="both"/>
        <w:rPr>
          <w:rFonts w:ascii="Arial" w:hAnsi="Arial" w:cs="Arial"/>
          <w:szCs w:val="24"/>
        </w:rPr>
      </w:pPr>
      <w:r>
        <w:rPr>
          <w:rFonts w:ascii="Arial" w:hAnsi="Arial" w:cs="Arial"/>
        </w:rPr>
        <w:t>King County budgets on a biennial basis and because the current EMS levy ends halfway through the biennium the current budget only allocated funding through the end of 2019. Given that the voters have approved the next six</w:t>
      </w:r>
      <w:r w:rsidR="004C437A">
        <w:rPr>
          <w:rFonts w:ascii="Arial" w:hAnsi="Arial" w:cs="Arial"/>
        </w:rPr>
        <w:t>-</w:t>
      </w:r>
      <w:r>
        <w:rPr>
          <w:rFonts w:ascii="Arial" w:hAnsi="Arial" w:cs="Arial"/>
        </w:rPr>
        <w:t>year EMS levy from 2020-2025</w:t>
      </w:r>
      <w:r w:rsidR="00DF673E">
        <w:rPr>
          <w:rFonts w:ascii="Arial" w:hAnsi="Arial" w:cs="Arial"/>
        </w:rPr>
        <w:t>,</w:t>
      </w:r>
      <w:r>
        <w:rPr>
          <w:rFonts w:ascii="Arial" w:hAnsi="Arial" w:cs="Arial"/>
        </w:rPr>
        <w:t xml:space="preserve"> Proposed Ordinance 2019-</w:t>
      </w:r>
      <w:r w:rsidR="00223D3F">
        <w:rPr>
          <w:rFonts w:ascii="Arial" w:hAnsi="Arial" w:cs="Arial"/>
        </w:rPr>
        <w:t>0471</w:t>
      </w:r>
      <w:r>
        <w:rPr>
          <w:rFonts w:ascii="Arial" w:hAnsi="Arial" w:cs="Arial"/>
        </w:rPr>
        <w:t xml:space="preserve"> would make a supplemental appropriation to the Emergency Medical Services fund of $96.4 million to fund the EMS system through the end of the 2019-2020 biennium. </w:t>
      </w:r>
      <w:r w:rsidR="00DF673E">
        <w:rPr>
          <w:rFonts w:ascii="Arial" w:hAnsi="Arial" w:cs="Arial"/>
        </w:rPr>
        <w:t>According to the crosswalk transmitted with Proposed Ordinance 2019-0471, t</w:t>
      </w:r>
      <w:r w:rsidR="002935B7">
        <w:rPr>
          <w:rFonts w:ascii="Arial" w:hAnsi="Arial" w:cs="Arial"/>
        </w:rPr>
        <w:t xml:space="preserve">he current appropriation authority for 2020 </w:t>
      </w:r>
      <w:r w:rsidR="00DF673E">
        <w:rPr>
          <w:rFonts w:ascii="Arial" w:hAnsi="Arial" w:cs="Arial"/>
        </w:rPr>
        <w:t xml:space="preserve">amounts to $6.9 million and </w:t>
      </w:r>
      <w:r w:rsidR="002935B7">
        <w:rPr>
          <w:rFonts w:ascii="Arial" w:hAnsi="Arial" w:cs="Arial"/>
        </w:rPr>
        <w:t>consists of the progra</w:t>
      </w:r>
      <w:r w:rsidR="002935B7" w:rsidRPr="002A26AB">
        <w:rPr>
          <w:rFonts w:ascii="Arial" w:hAnsi="Arial" w:cs="Arial"/>
        </w:rPr>
        <w:t>m balances, grants, donations and entrepreneurial</w:t>
      </w:r>
      <w:r w:rsidR="0005690E" w:rsidRPr="002A26AB">
        <w:rPr>
          <w:rFonts w:ascii="Arial" w:hAnsi="Arial" w:cs="Arial"/>
        </w:rPr>
        <w:t xml:space="preserve"> monies generated outside of the EMS levy</w:t>
      </w:r>
      <w:r w:rsidR="0005690E" w:rsidRPr="002A26AB">
        <w:rPr>
          <w:rStyle w:val="FootnoteReference"/>
          <w:rFonts w:ascii="Arial" w:hAnsi="Arial" w:cs="Arial"/>
        </w:rPr>
        <w:footnoteReference w:id="4"/>
      </w:r>
      <w:r w:rsidR="0005690E" w:rsidRPr="002A26AB">
        <w:rPr>
          <w:rFonts w:ascii="Arial" w:hAnsi="Arial" w:cs="Arial"/>
        </w:rPr>
        <w:t>. As such</w:t>
      </w:r>
      <w:r w:rsidR="00A00CD2" w:rsidRPr="002A26AB">
        <w:rPr>
          <w:rFonts w:ascii="Arial" w:hAnsi="Arial" w:cs="Arial"/>
        </w:rPr>
        <w:t xml:space="preserve">, </w:t>
      </w:r>
      <w:r w:rsidR="0005690E" w:rsidRPr="002A26AB">
        <w:rPr>
          <w:rFonts w:ascii="Arial" w:hAnsi="Arial" w:cs="Arial"/>
        </w:rPr>
        <w:t xml:space="preserve">the EMS system would run out expenditure authority in early 2020 if </w:t>
      </w:r>
      <w:proofErr w:type="gramStart"/>
      <w:r w:rsidR="002A26AB">
        <w:rPr>
          <w:rFonts w:ascii="Arial" w:hAnsi="Arial" w:cs="Arial"/>
        </w:rPr>
        <w:t>P</w:t>
      </w:r>
      <w:r w:rsidR="002A26AB" w:rsidRPr="002A26AB">
        <w:rPr>
          <w:rFonts w:ascii="Arial" w:hAnsi="Arial" w:cs="Arial"/>
        </w:rPr>
        <w:t>roposed</w:t>
      </w:r>
      <w:proofErr w:type="gramEnd"/>
      <w:r w:rsidR="00A00CD2" w:rsidRPr="002A26AB">
        <w:rPr>
          <w:rFonts w:ascii="Arial" w:hAnsi="Arial" w:cs="Arial"/>
        </w:rPr>
        <w:t xml:space="preserve"> Ordinance 2019-0471 </w:t>
      </w:r>
      <w:r w:rsidR="0005690E" w:rsidRPr="002A26AB">
        <w:rPr>
          <w:rFonts w:ascii="Arial" w:hAnsi="Arial" w:cs="Arial"/>
        </w:rPr>
        <w:t>were not</w:t>
      </w:r>
      <w:r w:rsidR="00A00CD2" w:rsidRPr="002A26AB">
        <w:rPr>
          <w:rFonts w:ascii="Arial" w:hAnsi="Arial" w:cs="Arial"/>
        </w:rPr>
        <w:t xml:space="preserve"> adopted</w:t>
      </w:r>
      <w:r w:rsidR="00DF673E" w:rsidRPr="002A26AB">
        <w:rPr>
          <w:rFonts w:ascii="Arial" w:hAnsi="Arial" w:cs="Arial"/>
        </w:rPr>
        <w:t xml:space="preserve"> before the end of 2019</w:t>
      </w:r>
      <w:r w:rsidR="002935B7" w:rsidRPr="002A26AB">
        <w:rPr>
          <w:rFonts w:ascii="Arial" w:hAnsi="Arial" w:cs="Arial"/>
        </w:rPr>
        <w:t xml:space="preserve">. </w:t>
      </w:r>
      <w:r w:rsidR="0005690E" w:rsidRPr="002A26AB">
        <w:rPr>
          <w:rFonts w:ascii="Arial" w:hAnsi="Arial" w:cs="Arial"/>
        </w:rPr>
        <w:t>Executive</w:t>
      </w:r>
      <w:r w:rsidR="0005690E">
        <w:rPr>
          <w:rFonts w:ascii="Arial" w:hAnsi="Arial" w:cs="Arial"/>
        </w:rPr>
        <w:t xml:space="preserve"> staff indicated that </w:t>
      </w:r>
      <w:r w:rsidR="002A26AB">
        <w:rPr>
          <w:rFonts w:ascii="Arial" w:hAnsi="Arial" w:cs="Arial"/>
        </w:rPr>
        <w:t>the</w:t>
      </w:r>
      <w:r w:rsidR="002B2A18">
        <w:rPr>
          <w:rFonts w:ascii="Arial" w:hAnsi="Arial" w:cs="Arial"/>
        </w:rPr>
        <w:t xml:space="preserve"> supplemental appropriation in </w:t>
      </w:r>
      <w:r w:rsidR="002B2A18">
        <w:rPr>
          <w:rFonts w:ascii="Arial" w:hAnsi="Arial" w:cs="Arial"/>
        </w:rPr>
        <w:lastRenderedPageBreak/>
        <w:t>the Proposed Ordinance also includes $2.3 million in re-appropriation of program balance.</w:t>
      </w:r>
      <w:r w:rsidR="002B2A18">
        <w:rPr>
          <w:rStyle w:val="FootnoteReference"/>
          <w:rFonts w:ascii="Arial" w:hAnsi="Arial" w:cs="Arial"/>
        </w:rPr>
        <w:footnoteReference w:id="5"/>
      </w:r>
      <w:r w:rsidR="002B2A18">
        <w:rPr>
          <w:rFonts w:ascii="Arial" w:hAnsi="Arial" w:cs="Arial"/>
        </w:rPr>
        <w:t xml:space="preserve"> </w:t>
      </w:r>
    </w:p>
    <w:p w14:paraId="49ABCC6A" w14:textId="77777777" w:rsidR="00223D3F" w:rsidRDefault="00223D3F" w:rsidP="0057365F">
      <w:pPr>
        <w:spacing w:line="259" w:lineRule="auto"/>
        <w:jc w:val="both"/>
        <w:rPr>
          <w:rFonts w:ascii="Arial" w:hAnsi="Arial" w:cs="Arial"/>
          <w:szCs w:val="24"/>
        </w:rPr>
      </w:pPr>
    </w:p>
    <w:p w14:paraId="5ECDDF8A" w14:textId="58D8376E" w:rsidR="004F76E9" w:rsidRDefault="00B275B6" w:rsidP="0057365F">
      <w:pPr>
        <w:spacing w:line="259" w:lineRule="auto"/>
        <w:jc w:val="both"/>
        <w:rPr>
          <w:rFonts w:ascii="Arial" w:hAnsi="Arial" w:cs="Arial"/>
          <w:szCs w:val="24"/>
        </w:rPr>
      </w:pPr>
      <w:r>
        <w:rPr>
          <w:rFonts w:ascii="Arial" w:hAnsi="Arial" w:cs="Arial"/>
          <w:szCs w:val="24"/>
        </w:rPr>
        <w:t>T</w:t>
      </w:r>
      <w:r w:rsidR="00223D3F" w:rsidRPr="00246A8B">
        <w:rPr>
          <w:rFonts w:ascii="Arial" w:hAnsi="Arial" w:cs="Arial"/>
          <w:szCs w:val="24"/>
        </w:rPr>
        <w:t>he initial levy rate</w:t>
      </w:r>
      <w:r w:rsidR="00223D3F">
        <w:rPr>
          <w:rFonts w:ascii="Arial" w:hAnsi="Arial" w:cs="Arial"/>
          <w:szCs w:val="24"/>
        </w:rPr>
        <w:t xml:space="preserve"> for the 2020-2025 levy</w:t>
      </w:r>
      <w:r w:rsidR="00223D3F" w:rsidRPr="00246A8B">
        <w:rPr>
          <w:rFonts w:ascii="Arial" w:hAnsi="Arial" w:cs="Arial"/>
          <w:szCs w:val="24"/>
        </w:rPr>
        <w:t xml:space="preserve"> </w:t>
      </w:r>
      <w:r w:rsidR="00223D3F">
        <w:rPr>
          <w:rFonts w:ascii="Arial" w:hAnsi="Arial" w:cs="Arial"/>
          <w:szCs w:val="24"/>
        </w:rPr>
        <w:t>of</w:t>
      </w:r>
      <w:r w:rsidR="00223D3F" w:rsidRPr="00246A8B">
        <w:rPr>
          <w:rFonts w:ascii="Arial" w:hAnsi="Arial" w:cs="Arial"/>
          <w:szCs w:val="24"/>
        </w:rPr>
        <w:t xml:space="preserve"> $0.26</w:t>
      </w:r>
      <w:r w:rsidR="00223D3F">
        <w:rPr>
          <w:rFonts w:ascii="Arial" w:hAnsi="Arial" w:cs="Arial"/>
          <w:szCs w:val="24"/>
        </w:rPr>
        <w:t xml:space="preserve">5 per $1,000 assessed valuation projected </w:t>
      </w:r>
      <w:r w:rsidR="00223D3F" w:rsidRPr="00246A8B">
        <w:rPr>
          <w:rFonts w:ascii="Arial" w:hAnsi="Arial" w:cs="Arial"/>
        </w:rPr>
        <w:t>approximately $1.1 billion in levy proceeds during the levy period</w:t>
      </w:r>
      <w:r w:rsidR="00223D3F">
        <w:rPr>
          <w:rFonts w:ascii="Arial" w:hAnsi="Arial" w:cs="Arial"/>
          <w:szCs w:val="24"/>
        </w:rPr>
        <w:t xml:space="preserve"> based on the March 2019 OEFA forecast. The August 2019 OEFA forecast projects approximately $</w:t>
      </w:r>
      <w:r w:rsidR="002A26AB">
        <w:rPr>
          <w:rFonts w:ascii="Arial" w:hAnsi="Arial" w:cs="Arial"/>
          <w:szCs w:val="24"/>
        </w:rPr>
        <w:t>30.97</w:t>
      </w:r>
      <w:r w:rsidR="00223D3F">
        <w:rPr>
          <w:rFonts w:ascii="Arial" w:hAnsi="Arial" w:cs="Arial"/>
          <w:szCs w:val="24"/>
        </w:rPr>
        <w:t xml:space="preserve"> million less over the levy period with a projected forecast of $</w:t>
      </w:r>
      <w:r w:rsidR="002A26AB">
        <w:rPr>
          <w:rFonts w:ascii="Arial" w:hAnsi="Arial" w:cs="Arial"/>
          <w:szCs w:val="24"/>
        </w:rPr>
        <w:t>5.</w:t>
      </w:r>
      <w:r w:rsidR="002A26AB" w:rsidRPr="002A26AB">
        <w:rPr>
          <w:rFonts w:ascii="Arial" w:hAnsi="Arial" w:cs="Arial"/>
          <w:szCs w:val="24"/>
        </w:rPr>
        <w:t>63</w:t>
      </w:r>
      <w:r w:rsidR="00223D3F" w:rsidRPr="002A26AB">
        <w:rPr>
          <w:rFonts w:ascii="Arial" w:hAnsi="Arial" w:cs="Arial"/>
          <w:szCs w:val="24"/>
        </w:rPr>
        <w:t xml:space="preserve"> million less </w:t>
      </w:r>
      <w:r>
        <w:rPr>
          <w:rFonts w:ascii="Arial" w:hAnsi="Arial" w:cs="Arial"/>
          <w:szCs w:val="24"/>
        </w:rPr>
        <w:t xml:space="preserve">than expected </w:t>
      </w:r>
      <w:r w:rsidR="00223D3F" w:rsidRPr="002A26AB">
        <w:rPr>
          <w:rFonts w:ascii="Arial" w:hAnsi="Arial" w:cs="Arial"/>
          <w:szCs w:val="24"/>
        </w:rPr>
        <w:t>for 2020. This comparison can be seen in Table 1 below.</w:t>
      </w:r>
      <w:r w:rsidR="00DE5D31" w:rsidRPr="002A26AB">
        <w:rPr>
          <w:rFonts w:ascii="Arial" w:hAnsi="Arial" w:cs="Arial"/>
          <w:szCs w:val="24"/>
        </w:rPr>
        <w:t xml:space="preserve"> Executive staff state </w:t>
      </w:r>
      <w:r w:rsidR="002A26AB" w:rsidRPr="002A26AB">
        <w:rPr>
          <w:rFonts w:ascii="Arial" w:hAnsi="Arial" w:cs="Arial"/>
          <w:szCs w:val="24"/>
        </w:rPr>
        <w:t xml:space="preserve">that this </w:t>
      </w:r>
      <w:r w:rsidR="002A26AB" w:rsidRPr="002A26AB">
        <w:rPr>
          <w:rFonts w:ascii="Arial" w:hAnsi="Arial" w:cs="Arial"/>
        </w:rPr>
        <w:t>"revenue</w:t>
      </w:r>
      <w:r w:rsidR="002A26AB" w:rsidRPr="007E7EE8">
        <w:rPr>
          <w:rFonts w:ascii="Arial" w:hAnsi="Arial" w:cs="Arial"/>
        </w:rPr>
        <w:t xml:space="preserve"> reduction is partially offset by a reduction of an estimated $8.3 million in expenditures and programmatic reserves (lower CPI-W), plus an increase in $5 million of carryforward reserves.  The net result is a reduction of ~$5 million in KC EMS supplemental reserves that were designed to accommodate a potential reduction in property tax revenues. For the </w:t>
      </w:r>
      <w:r>
        <w:rPr>
          <w:rFonts w:ascii="Arial" w:hAnsi="Arial" w:cs="Arial"/>
        </w:rPr>
        <w:t>City of Seattle, there is also [an approximately]</w:t>
      </w:r>
      <w:r w:rsidR="002A26AB" w:rsidRPr="007E7EE8">
        <w:rPr>
          <w:rFonts w:ascii="Arial" w:hAnsi="Arial" w:cs="Arial"/>
        </w:rPr>
        <w:t xml:space="preserve"> $13.4 million reduction offset by lower CPI to </w:t>
      </w:r>
      <w:r>
        <w:rPr>
          <w:rFonts w:ascii="Arial" w:hAnsi="Arial" w:cs="Arial"/>
        </w:rPr>
        <w:t>[approximately]</w:t>
      </w:r>
      <w:r w:rsidRPr="007E7EE8">
        <w:rPr>
          <w:rFonts w:ascii="Arial" w:hAnsi="Arial" w:cs="Arial"/>
        </w:rPr>
        <w:t xml:space="preserve"> </w:t>
      </w:r>
      <w:r w:rsidR="002A26AB" w:rsidRPr="007E7EE8">
        <w:rPr>
          <w:rFonts w:ascii="Arial" w:hAnsi="Arial" w:cs="Arial"/>
        </w:rPr>
        <w:t>$10.3 million.  In its City ILA Ordinance, the City of Seattle used the March forecast; however the exact amount sent to Seattle will be based on actual collections.</w:t>
      </w:r>
      <w:r w:rsidR="002A26AB">
        <w:rPr>
          <w:rFonts w:ascii="Arial" w:hAnsi="Arial" w:cs="Arial"/>
        </w:rPr>
        <w:t>"</w:t>
      </w:r>
    </w:p>
    <w:p w14:paraId="1B059397" w14:textId="77777777" w:rsidR="00AE46C7" w:rsidRDefault="00AE46C7" w:rsidP="00223D3F">
      <w:pPr>
        <w:jc w:val="both"/>
        <w:rPr>
          <w:rFonts w:ascii="Arial" w:hAnsi="Arial" w:cs="Arial"/>
          <w:b/>
          <w:szCs w:val="24"/>
        </w:rPr>
      </w:pPr>
    </w:p>
    <w:p w14:paraId="3FFBD542" w14:textId="03986A49" w:rsidR="004F76E9" w:rsidRPr="00223D3F" w:rsidRDefault="004F76E9" w:rsidP="004F76E9">
      <w:pPr>
        <w:pStyle w:val="Header"/>
        <w:keepNext/>
        <w:ind w:right="-90" w:hanging="360"/>
        <w:jc w:val="center"/>
        <w:rPr>
          <w:rFonts w:ascii="Arial" w:hAnsi="Arial" w:cs="Arial"/>
          <w:b/>
          <w:szCs w:val="24"/>
        </w:rPr>
      </w:pPr>
      <w:r w:rsidRPr="00223D3F">
        <w:rPr>
          <w:rFonts w:ascii="Arial" w:hAnsi="Arial" w:cs="Arial"/>
          <w:b/>
          <w:szCs w:val="24"/>
        </w:rPr>
        <w:t xml:space="preserve">Table 1. </w:t>
      </w:r>
      <w:r w:rsidR="00223D3F" w:rsidRPr="00223D3F">
        <w:rPr>
          <w:rFonts w:ascii="Arial" w:hAnsi="Arial" w:cs="Arial"/>
          <w:b/>
          <w:szCs w:val="24"/>
        </w:rPr>
        <w:t xml:space="preserve">Comparison </w:t>
      </w:r>
      <w:r w:rsidR="00223D3F">
        <w:rPr>
          <w:rFonts w:ascii="Arial" w:hAnsi="Arial" w:cs="Arial"/>
          <w:b/>
          <w:szCs w:val="24"/>
        </w:rPr>
        <w:t>of</w:t>
      </w:r>
      <w:r w:rsidR="00223D3F" w:rsidRPr="00223D3F">
        <w:rPr>
          <w:rFonts w:ascii="Arial" w:hAnsi="Arial" w:cs="Arial"/>
          <w:b/>
          <w:szCs w:val="24"/>
        </w:rPr>
        <w:t xml:space="preserve"> </w:t>
      </w:r>
      <w:r w:rsidRPr="00223D3F">
        <w:rPr>
          <w:rFonts w:ascii="Arial" w:hAnsi="Arial" w:cs="Arial"/>
          <w:b/>
          <w:szCs w:val="24"/>
        </w:rPr>
        <w:t>Estimated Net Tax Collections for 2020-2025 EMS Levy</w:t>
      </w:r>
      <w:r w:rsidR="00223D3F">
        <w:rPr>
          <w:rFonts w:ascii="Arial" w:hAnsi="Arial" w:cs="Arial"/>
          <w:b/>
          <w:szCs w:val="24"/>
        </w:rPr>
        <w:t xml:space="preserve">  </w:t>
      </w:r>
      <w:r w:rsidRPr="00223D3F">
        <w:rPr>
          <w:rFonts w:ascii="Arial" w:hAnsi="Arial" w:cs="Arial"/>
          <w:b/>
          <w:szCs w:val="24"/>
        </w:rPr>
        <w:t xml:space="preserve"> March 2019 and August 2019 </w:t>
      </w:r>
      <w:r w:rsidR="00223D3F">
        <w:rPr>
          <w:rFonts w:ascii="Arial" w:hAnsi="Arial" w:cs="Arial"/>
          <w:b/>
          <w:szCs w:val="24"/>
        </w:rPr>
        <w:t>OEFA</w:t>
      </w:r>
      <w:r w:rsidRPr="00223D3F">
        <w:rPr>
          <w:rFonts w:ascii="Arial" w:hAnsi="Arial" w:cs="Arial"/>
          <w:b/>
          <w:szCs w:val="24"/>
        </w:rPr>
        <w:t xml:space="preserve"> Forecast</w:t>
      </w:r>
      <w:r w:rsidR="00223D3F">
        <w:rPr>
          <w:rFonts w:ascii="Arial" w:hAnsi="Arial" w:cs="Arial"/>
          <w:b/>
          <w:szCs w:val="24"/>
        </w:rPr>
        <w:t>s</w:t>
      </w:r>
      <w:r w:rsidR="00B275B6">
        <w:rPr>
          <w:rFonts w:ascii="Arial" w:hAnsi="Arial" w:cs="Arial"/>
          <w:b/>
          <w:szCs w:val="24"/>
        </w:rPr>
        <w:t xml:space="preserve"> with 1</w:t>
      </w:r>
      <w:r w:rsidR="00B275B6" w:rsidRPr="00B275B6">
        <w:rPr>
          <w:rFonts w:ascii="Arial" w:hAnsi="Arial" w:cs="Arial"/>
          <w:b/>
          <w:szCs w:val="24"/>
        </w:rPr>
        <w:t xml:space="preserve">% delinquency adjustment </w:t>
      </w:r>
      <w:r w:rsidR="002228B7">
        <w:rPr>
          <w:rStyle w:val="FootnoteReference"/>
          <w:rFonts w:ascii="Arial" w:hAnsi="Arial" w:cs="Arial"/>
          <w:b/>
          <w:szCs w:val="24"/>
        </w:rPr>
        <w:footnoteReference w:id="6"/>
      </w:r>
      <w:r w:rsidRPr="00223D3F">
        <w:rPr>
          <w:rFonts w:ascii="Arial" w:hAnsi="Arial" w:cs="Arial"/>
          <w:b/>
          <w:szCs w:val="24"/>
        </w:rPr>
        <w:t xml:space="preserve"> </w:t>
      </w:r>
    </w:p>
    <w:p w14:paraId="3B3110CE" w14:textId="77777777" w:rsidR="004F76E9" w:rsidRPr="00E028EF" w:rsidRDefault="004F76E9" w:rsidP="004F76E9">
      <w:pPr>
        <w:pStyle w:val="Header"/>
        <w:keepNext/>
        <w:ind w:right="-90" w:hanging="360"/>
        <w:jc w:val="center"/>
        <w:rPr>
          <w:rFonts w:ascii="Arial" w:hAnsi="Arial" w:cs="Arial"/>
          <w:b/>
          <w:szCs w:val="24"/>
        </w:rPr>
      </w:pPr>
      <w:r>
        <w:rPr>
          <w:rFonts w:ascii="Arial" w:hAnsi="Arial" w:cs="Arial"/>
          <w:b/>
          <w:szCs w:val="24"/>
        </w:rPr>
        <w:t xml:space="preserve"> </w:t>
      </w:r>
    </w:p>
    <w:tbl>
      <w:tblPr>
        <w:tblStyle w:val="TableGrid"/>
        <w:tblW w:w="9270" w:type="dxa"/>
        <w:tblInd w:w="198" w:type="dxa"/>
        <w:tblLook w:val="04A0" w:firstRow="1" w:lastRow="0" w:firstColumn="1" w:lastColumn="0" w:noHBand="0" w:noVBand="1"/>
      </w:tblPr>
      <w:tblGrid>
        <w:gridCol w:w="1196"/>
        <w:gridCol w:w="1034"/>
        <w:gridCol w:w="1163"/>
        <w:gridCol w:w="1163"/>
        <w:gridCol w:w="1163"/>
        <w:gridCol w:w="1163"/>
        <w:gridCol w:w="1038"/>
        <w:gridCol w:w="1350"/>
      </w:tblGrid>
      <w:tr w:rsidR="009B65FF" w14:paraId="069332D5" w14:textId="77777777" w:rsidTr="004C437A">
        <w:tc>
          <w:tcPr>
            <w:tcW w:w="1196" w:type="dxa"/>
            <w:tcBorders>
              <w:bottom w:val="nil"/>
              <w:right w:val="nil"/>
            </w:tcBorders>
            <w:vAlign w:val="center"/>
          </w:tcPr>
          <w:p w14:paraId="645E81C8" w14:textId="1805B393" w:rsidR="009B65FF" w:rsidRPr="004C437A" w:rsidRDefault="009B65FF" w:rsidP="004C437A">
            <w:pPr>
              <w:keepNext/>
              <w:rPr>
                <w:rFonts w:ascii="Arial" w:hAnsi="Arial" w:cs="Arial"/>
                <w:sz w:val="16"/>
                <w:szCs w:val="16"/>
              </w:rPr>
            </w:pPr>
          </w:p>
        </w:tc>
        <w:tc>
          <w:tcPr>
            <w:tcW w:w="1034" w:type="dxa"/>
            <w:tcBorders>
              <w:left w:val="nil"/>
              <w:bottom w:val="nil"/>
              <w:right w:val="nil"/>
            </w:tcBorders>
            <w:vAlign w:val="center"/>
          </w:tcPr>
          <w:p w14:paraId="18A5B26C"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2020</w:t>
            </w:r>
          </w:p>
        </w:tc>
        <w:tc>
          <w:tcPr>
            <w:tcW w:w="1163" w:type="dxa"/>
            <w:tcBorders>
              <w:left w:val="nil"/>
              <w:bottom w:val="nil"/>
              <w:right w:val="nil"/>
            </w:tcBorders>
            <w:vAlign w:val="center"/>
          </w:tcPr>
          <w:p w14:paraId="27BA87C4"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2021</w:t>
            </w:r>
          </w:p>
        </w:tc>
        <w:tc>
          <w:tcPr>
            <w:tcW w:w="1163" w:type="dxa"/>
            <w:tcBorders>
              <w:left w:val="nil"/>
              <w:bottom w:val="nil"/>
              <w:right w:val="nil"/>
            </w:tcBorders>
            <w:vAlign w:val="center"/>
          </w:tcPr>
          <w:p w14:paraId="39F73C53"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2022</w:t>
            </w:r>
          </w:p>
        </w:tc>
        <w:tc>
          <w:tcPr>
            <w:tcW w:w="1163" w:type="dxa"/>
            <w:tcBorders>
              <w:left w:val="nil"/>
              <w:bottom w:val="nil"/>
              <w:right w:val="nil"/>
            </w:tcBorders>
            <w:vAlign w:val="center"/>
          </w:tcPr>
          <w:p w14:paraId="5CD218FD"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2023</w:t>
            </w:r>
          </w:p>
        </w:tc>
        <w:tc>
          <w:tcPr>
            <w:tcW w:w="1163" w:type="dxa"/>
            <w:tcBorders>
              <w:left w:val="nil"/>
              <w:bottom w:val="nil"/>
              <w:right w:val="nil"/>
            </w:tcBorders>
            <w:vAlign w:val="center"/>
          </w:tcPr>
          <w:p w14:paraId="03157DC7"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2024</w:t>
            </w:r>
          </w:p>
        </w:tc>
        <w:tc>
          <w:tcPr>
            <w:tcW w:w="1038" w:type="dxa"/>
            <w:tcBorders>
              <w:left w:val="nil"/>
              <w:bottom w:val="nil"/>
            </w:tcBorders>
            <w:vAlign w:val="center"/>
          </w:tcPr>
          <w:p w14:paraId="6A86E2EE" w14:textId="77777777" w:rsidR="009B65FF" w:rsidRPr="007F3FDF" w:rsidRDefault="009B65FF" w:rsidP="004F76E9">
            <w:pPr>
              <w:keepNext/>
              <w:jc w:val="center"/>
              <w:rPr>
                <w:rFonts w:ascii="Arial" w:hAnsi="Arial" w:cs="Arial"/>
                <w:szCs w:val="24"/>
                <w:u w:val="single"/>
              </w:rPr>
            </w:pPr>
            <w:r w:rsidRPr="007F3FDF">
              <w:rPr>
                <w:rFonts w:ascii="Arial" w:hAnsi="Arial" w:cs="Arial"/>
                <w:b/>
                <w:sz w:val="20"/>
                <w:u w:val="single"/>
              </w:rPr>
              <w:t>2025</w:t>
            </w:r>
          </w:p>
        </w:tc>
        <w:tc>
          <w:tcPr>
            <w:tcW w:w="1350" w:type="dxa"/>
            <w:tcBorders>
              <w:left w:val="nil"/>
              <w:bottom w:val="nil"/>
            </w:tcBorders>
            <w:shd w:val="clear" w:color="auto" w:fill="000000" w:themeFill="text1"/>
          </w:tcPr>
          <w:p w14:paraId="53BCA1AC" w14:textId="77777777" w:rsidR="009B65FF" w:rsidRPr="007F3FDF" w:rsidRDefault="009B65FF" w:rsidP="004F76E9">
            <w:pPr>
              <w:keepNext/>
              <w:jc w:val="center"/>
              <w:rPr>
                <w:rFonts w:ascii="Arial" w:hAnsi="Arial" w:cs="Arial"/>
                <w:b/>
                <w:sz w:val="20"/>
                <w:u w:val="single"/>
              </w:rPr>
            </w:pPr>
            <w:r>
              <w:rPr>
                <w:rFonts w:ascii="Arial" w:hAnsi="Arial" w:cs="Arial"/>
                <w:b/>
                <w:sz w:val="20"/>
                <w:u w:val="single"/>
              </w:rPr>
              <w:t>Total</w:t>
            </w:r>
          </w:p>
        </w:tc>
      </w:tr>
      <w:tr w:rsidR="009B65FF" w14:paraId="2C982AA6" w14:textId="77777777" w:rsidTr="004C437A">
        <w:trPr>
          <w:trHeight w:val="423"/>
        </w:trPr>
        <w:tc>
          <w:tcPr>
            <w:tcW w:w="1196" w:type="dxa"/>
            <w:tcBorders>
              <w:top w:val="nil"/>
              <w:bottom w:val="nil"/>
              <w:right w:val="nil"/>
            </w:tcBorders>
            <w:vAlign w:val="center"/>
          </w:tcPr>
          <w:p w14:paraId="5811C5B5" w14:textId="77777777" w:rsidR="009B65FF" w:rsidRDefault="007968AC" w:rsidP="007968AC">
            <w:pPr>
              <w:keepNext/>
              <w:jc w:val="center"/>
              <w:rPr>
                <w:rFonts w:ascii="Arial" w:hAnsi="Arial" w:cs="Arial"/>
                <w:szCs w:val="24"/>
              </w:rPr>
            </w:pPr>
            <w:r>
              <w:rPr>
                <w:rFonts w:ascii="Arial" w:hAnsi="Arial" w:cs="Arial"/>
                <w:b/>
                <w:sz w:val="20"/>
              </w:rPr>
              <w:t>March</w:t>
            </w:r>
          </w:p>
        </w:tc>
        <w:tc>
          <w:tcPr>
            <w:tcW w:w="1034" w:type="dxa"/>
            <w:tcBorders>
              <w:top w:val="nil"/>
              <w:left w:val="nil"/>
              <w:bottom w:val="nil"/>
              <w:right w:val="nil"/>
            </w:tcBorders>
            <w:vAlign w:val="center"/>
          </w:tcPr>
          <w:p w14:paraId="3CDA90AA" w14:textId="7A4C64DC" w:rsidR="009B65FF" w:rsidRDefault="009B65FF" w:rsidP="004F76E9">
            <w:pPr>
              <w:keepNext/>
              <w:jc w:val="center"/>
              <w:rPr>
                <w:rFonts w:ascii="Arial" w:hAnsi="Arial" w:cs="Arial"/>
                <w:szCs w:val="24"/>
              </w:rPr>
            </w:pPr>
            <w:r w:rsidRPr="002470EC">
              <w:rPr>
                <w:rFonts w:ascii="Arial" w:hAnsi="Arial" w:cs="Arial"/>
                <w:sz w:val="20"/>
              </w:rPr>
              <w:t>$</w:t>
            </w:r>
            <w:r w:rsidR="002228B7">
              <w:rPr>
                <w:rFonts w:ascii="Arial" w:hAnsi="Arial" w:cs="Arial"/>
                <w:sz w:val="20"/>
              </w:rPr>
              <w:t>172.19</w:t>
            </w:r>
          </w:p>
        </w:tc>
        <w:tc>
          <w:tcPr>
            <w:tcW w:w="1163" w:type="dxa"/>
            <w:tcBorders>
              <w:top w:val="nil"/>
              <w:left w:val="nil"/>
              <w:bottom w:val="nil"/>
              <w:right w:val="nil"/>
            </w:tcBorders>
            <w:vAlign w:val="center"/>
          </w:tcPr>
          <w:p w14:paraId="27EC906B" w14:textId="678EEB8C" w:rsidR="009B65FF" w:rsidRDefault="009B65FF" w:rsidP="002228B7">
            <w:pPr>
              <w:keepNext/>
              <w:jc w:val="center"/>
              <w:rPr>
                <w:rFonts w:ascii="Arial" w:hAnsi="Arial" w:cs="Arial"/>
                <w:szCs w:val="24"/>
              </w:rPr>
            </w:pPr>
            <w:r w:rsidRPr="002470EC">
              <w:rPr>
                <w:rFonts w:ascii="Arial" w:hAnsi="Arial" w:cs="Arial"/>
                <w:sz w:val="20"/>
              </w:rPr>
              <w:t>$</w:t>
            </w:r>
            <w:r>
              <w:rPr>
                <w:rFonts w:ascii="Arial" w:hAnsi="Arial" w:cs="Arial"/>
                <w:sz w:val="20"/>
              </w:rPr>
              <w:t>176.</w:t>
            </w:r>
            <w:r w:rsidR="002228B7">
              <w:rPr>
                <w:rFonts w:ascii="Arial" w:hAnsi="Arial" w:cs="Arial"/>
                <w:sz w:val="20"/>
              </w:rPr>
              <w:t>73</w:t>
            </w:r>
          </w:p>
        </w:tc>
        <w:tc>
          <w:tcPr>
            <w:tcW w:w="1163" w:type="dxa"/>
            <w:tcBorders>
              <w:top w:val="nil"/>
              <w:left w:val="nil"/>
              <w:bottom w:val="nil"/>
              <w:right w:val="nil"/>
            </w:tcBorders>
            <w:vAlign w:val="center"/>
          </w:tcPr>
          <w:p w14:paraId="396D175D" w14:textId="115D8494" w:rsidR="009B65FF" w:rsidRDefault="009B65FF" w:rsidP="004F76E9">
            <w:pPr>
              <w:keepNext/>
              <w:jc w:val="center"/>
              <w:rPr>
                <w:rFonts w:ascii="Arial" w:hAnsi="Arial" w:cs="Arial"/>
                <w:szCs w:val="24"/>
              </w:rPr>
            </w:pPr>
            <w:r w:rsidRPr="002470EC">
              <w:rPr>
                <w:rFonts w:ascii="Arial" w:hAnsi="Arial" w:cs="Arial"/>
                <w:sz w:val="20"/>
              </w:rPr>
              <w:t>$</w:t>
            </w:r>
            <w:r w:rsidR="002228B7">
              <w:rPr>
                <w:rFonts w:ascii="Arial" w:hAnsi="Arial" w:cs="Arial"/>
                <w:sz w:val="20"/>
              </w:rPr>
              <w:t>180.85</w:t>
            </w:r>
          </w:p>
        </w:tc>
        <w:tc>
          <w:tcPr>
            <w:tcW w:w="1163" w:type="dxa"/>
            <w:tcBorders>
              <w:top w:val="nil"/>
              <w:left w:val="nil"/>
              <w:bottom w:val="nil"/>
              <w:right w:val="nil"/>
            </w:tcBorders>
            <w:vAlign w:val="center"/>
          </w:tcPr>
          <w:p w14:paraId="292610FF" w14:textId="4C7303EB" w:rsidR="009B65FF" w:rsidRDefault="009B65FF" w:rsidP="004F76E9">
            <w:pPr>
              <w:keepNext/>
              <w:jc w:val="center"/>
              <w:rPr>
                <w:rFonts w:ascii="Arial" w:hAnsi="Arial" w:cs="Arial"/>
                <w:szCs w:val="24"/>
              </w:rPr>
            </w:pPr>
            <w:r w:rsidRPr="002470EC">
              <w:rPr>
                <w:rFonts w:ascii="Arial" w:hAnsi="Arial" w:cs="Arial"/>
                <w:sz w:val="20"/>
              </w:rPr>
              <w:t>$</w:t>
            </w:r>
            <w:r>
              <w:rPr>
                <w:rFonts w:ascii="Arial" w:hAnsi="Arial" w:cs="Arial"/>
                <w:sz w:val="20"/>
              </w:rPr>
              <w:t>184.91</w:t>
            </w:r>
          </w:p>
        </w:tc>
        <w:tc>
          <w:tcPr>
            <w:tcW w:w="1163" w:type="dxa"/>
            <w:tcBorders>
              <w:top w:val="nil"/>
              <w:left w:val="nil"/>
              <w:bottom w:val="nil"/>
              <w:right w:val="nil"/>
            </w:tcBorders>
            <w:vAlign w:val="center"/>
          </w:tcPr>
          <w:p w14:paraId="3466C1AE" w14:textId="7CD05044" w:rsidR="009B65FF" w:rsidRDefault="009B65FF" w:rsidP="004F76E9">
            <w:pPr>
              <w:keepNext/>
              <w:jc w:val="center"/>
              <w:rPr>
                <w:rFonts w:ascii="Arial" w:hAnsi="Arial" w:cs="Arial"/>
                <w:szCs w:val="24"/>
              </w:rPr>
            </w:pPr>
            <w:r w:rsidRPr="002470EC">
              <w:rPr>
                <w:rFonts w:ascii="Arial" w:hAnsi="Arial" w:cs="Arial"/>
                <w:sz w:val="20"/>
              </w:rPr>
              <w:t>$</w:t>
            </w:r>
            <w:r>
              <w:rPr>
                <w:rFonts w:ascii="Arial" w:hAnsi="Arial" w:cs="Arial"/>
                <w:sz w:val="20"/>
              </w:rPr>
              <w:t>188.98</w:t>
            </w:r>
          </w:p>
        </w:tc>
        <w:tc>
          <w:tcPr>
            <w:tcW w:w="1038" w:type="dxa"/>
            <w:tcBorders>
              <w:top w:val="nil"/>
              <w:left w:val="nil"/>
              <w:bottom w:val="nil"/>
            </w:tcBorders>
            <w:vAlign w:val="center"/>
          </w:tcPr>
          <w:p w14:paraId="65210F25" w14:textId="35B4CB9F" w:rsidR="009B65FF" w:rsidRDefault="009B65FF" w:rsidP="004F76E9">
            <w:pPr>
              <w:keepNext/>
              <w:jc w:val="center"/>
              <w:rPr>
                <w:rFonts w:ascii="Arial" w:hAnsi="Arial" w:cs="Arial"/>
                <w:szCs w:val="24"/>
              </w:rPr>
            </w:pPr>
            <w:r w:rsidRPr="002470EC">
              <w:rPr>
                <w:rFonts w:ascii="Arial" w:hAnsi="Arial" w:cs="Arial"/>
                <w:sz w:val="20"/>
              </w:rPr>
              <w:t>$</w:t>
            </w:r>
            <w:r w:rsidR="002228B7">
              <w:rPr>
                <w:rFonts w:ascii="Arial" w:hAnsi="Arial" w:cs="Arial"/>
                <w:sz w:val="20"/>
              </w:rPr>
              <w:t>193.08</w:t>
            </w:r>
          </w:p>
        </w:tc>
        <w:tc>
          <w:tcPr>
            <w:tcW w:w="1350" w:type="dxa"/>
            <w:tcBorders>
              <w:top w:val="nil"/>
              <w:left w:val="nil"/>
              <w:bottom w:val="nil"/>
            </w:tcBorders>
            <w:shd w:val="clear" w:color="auto" w:fill="000000" w:themeFill="text1"/>
            <w:vAlign w:val="center"/>
          </w:tcPr>
          <w:p w14:paraId="404EDD9A" w14:textId="34CC2514" w:rsidR="009B65FF" w:rsidRPr="002470EC" w:rsidRDefault="009B65FF" w:rsidP="009B65FF">
            <w:pPr>
              <w:keepNext/>
              <w:jc w:val="center"/>
              <w:rPr>
                <w:rFonts w:ascii="Arial" w:hAnsi="Arial" w:cs="Arial"/>
                <w:sz w:val="20"/>
              </w:rPr>
            </w:pPr>
            <w:r>
              <w:rPr>
                <w:rFonts w:ascii="Arial" w:hAnsi="Arial" w:cs="Arial"/>
                <w:b/>
                <w:sz w:val="20"/>
              </w:rPr>
              <w:t>$1.096.7</w:t>
            </w:r>
            <w:r w:rsidR="004C437A">
              <w:rPr>
                <w:rFonts w:ascii="Arial" w:hAnsi="Arial" w:cs="Arial"/>
                <w:b/>
                <w:sz w:val="20"/>
              </w:rPr>
              <w:t>0</w:t>
            </w:r>
            <w:r>
              <w:rPr>
                <w:rFonts w:ascii="Arial" w:hAnsi="Arial" w:cs="Arial"/>
                <w:b/>
                <w:sz w:val="20"/>
              </w:rPr>
              <w:t xml:space="preserve"> B</w:t>
            </w:r>
          </w:p>
        </w:tc>
      </w:tr>
      <w:tr w:rsidR="001D6979" w14:paraId="2A43C469" w14:textId="77777777" w:rsidTr="004C437A">
        <w:trPr>
          <w:trHeight w:val="548"/>
        </w:trPr>
        <w:tc>
          <w:tcPr>
            <w:tcW w:w="1196" w:type="dxa"/>
            <w:tcBorders>
              <w:top w:val="single" w:sz="4" w:space="0" w:color="auto"/>
              <w:bottom w:val="single" w:sz="4" w:space="0" w:color="auto"/>
              <w:right w:val="nil"/>
            </w:tcBorders>
            <w:vAlign w:val="center"/>
          </w:tcPr>
          <w:p w14:paraId="64A8E3A4" w14:textId="77777777" w:rsidR="001D6979" w:rsidRPr="002470EC" w:rsidRDefault="001D6979" w:rsidP="001D6979">
            <w:pPr>
              <w:keepNext/>
              <w:jc w:val="center"/>
              <w:rPr>
                <w:rFonts w:ascii="Arial" w:hAnsi="Arial" w:cs="Arial"/>
                <w:b/>
                <w:sz w:val="20"/>
              </w:rPr>
            </w:pPr>
            <w:r>
              <w:rPr>
                <w:rFonts w:ascii="Arial" w:hAnsi="Arial" w:cs="Arial"/>
                <w:b/>
                <w:sz w:val="20"/>
              </w:rPr>
              <w:t>August</w:t>
            </w:r>
          </w:p>
        </w:tc>
        <w:tc>
          <w:tcPr>
            <w:tcW w:w="1034" w:type="dxa"/>
            <w:tcBorders>
              <w:top w:val="single" w:sz="4" w:space="0" w:color="auto"/>
              <w:left w:val="nil"/>
              <w:bottom w:val="single" w:sz="4" w:space="0" w:color="auto"/>
              <w:right w:val="nil"/>
            </w:tcBorders>
            <w:vAlign w:val="center"/>
          </w:tcPr>
          <w:p w14:paraId="3E31F367" w14:textId="7C81ACBB" w:rsidR="001D6979" w:rsidRPr="002470EC" w:rsidRDefault="001D6979" w:rsidP="001D6979">
            <w:pPr>
              <w:keepNext/>
              <w:jc w:val="center"/>
              <w:rPr>
                <w:rFonts w:ascii="Arial" w:hAnsi="Arial" w:cs="Arial"/>
                <w:sz w:val="20"/>
              </w:rPr>
            </w:pPr>
            <w:r>
              <w:rPr>
                <w:rFonts w:ascii="Arial" w:hAnsi="Arial" w:cs="Arial"/>
                <w:color w:val="000000"/>
                <w:sz w:val="20"/>
              </w:rPr>
              <w:t xml:space="preserve">$166.55 </w:t>
            </w:r>
          </w:p>
        </w:tc>
        <w:tc>
          <w:tcPr>
            <w:tcW w:w="1163" w:type="dxa"/>
            <w:tcBorders>
              <w:top w:val="single" w:sz="4" w:space="0" w:color="auto"/>
              <w:left w:val="nil"/>
              <w:bottom w:val="single" w:sz="4" w:space="0" w:color="auto"/>
              <w:right w:val="nil"/>
            </w:tcBorders>
            <w:vAlign w:val="center"/>
          </w:tcPr>
          <w:p w14:paraId="1D5394AE" w14:textId="62A09644" w:rsidR="001D6979" w:rsidRPr="002470EC" w:rsidRDefault="001D6979" w:rsidP="001D6979">
            <w:pPr>
              <w:keepNext/>
              <w:jc w:val="center"/>
              <w:rPr>
                <w:rFonts w:ascii="Arial" w:hAnsi="Arial" w:cs="Arial"/>
                <w:sz w:val="20"/>
              </w:rPr>
            </w:pPr>
            <w:r>
              <w:rPr>
                <w:rFonts w:ascii="Arial" w:hAnsi="Arial" w:cs="Arial"/>
                <w:color w:val="000000"/>
                <w:sz w:val="20"/>
              </w:rPr>
              <w:t xml:space="preserve">$171.25 </w:t>
            </w:r>
          </w:p>
        </w:tc>
        <w:tc>
          <w:tcPr>
            <w:tcW w:w="1163" w:type="dxa"/>
            <w:tcBorders>
              <w:top w:val="single" w:sz="4" w:space="0" w:color="auto"/>
              <w:left w:val="nil"/>
              <w:bottom w:val="single" w:sz="4" w:space="0" w:color="auto"/>
              <w:right w:val="nil"/>
            </w:tcBorders>
            <w:vAlign w:val="center"/>
          </w:tcPr>
          <w:p w14:paraId="2A7B9E05" w14:textId="49C40C28" w:rsidR="001D6979" w:rsidRPr="002470EC" w:rsidRDefault="001D6979" w:rsidP="001D6979">
            <w:pPr>
              <w:keepNext/>
              <w:jc w:val="center"/>
              <w:rPr>
                <w:rFonts w:ascii="Arial" w:hAnsi="Arial" w:cs="Arial"/>
                <w:sz w:val="20"/>
              </w:rPr>
            </w:pPr>
            <w:r>
              <w:rPr>
                <w:rFonts w:ascii="Arial" w:hAnsi="Arial" w:cs="Arial"/>
                <w:color w:val="000000"/>
                <w:sz w:val="20"/>
              </w:rPr>
              <w:t xml:space="preserve">$175.71 </w:t>
            </w:r>
          </w:p>
        </w:tc>
        <w:tc>
          <w:tcPr>
            <w:tcW w:w="1163" w:type="dxa"/>
            <w:tcBorders>
              <w:top w:val="single" w:sz="4" w:space="0" w:color="auto"/>
              <w:left w:val="nil"/>
              <w:bottom w:val="single" w:sz="4" w:space="0" w:color="auto"/>
              <w:right w:val="nil"/>
            </w:tcBorders>
            <w:vAlign w:val="center"/>
          </w:tcPr>
          <w:p w14:paraId="6369F23E" w14:textId="5748E3A4" w:rsidR="001D6979" w:rsidRPr="002470EC" w:rsidRDefault="001D6979" w:rsidP="001D6979">
            <w:pPr>
              <w:keepNext/>
              <w:jc w:val="center"/>
              <w:rPr>
                <w:rFonts w:ascii="Arial" w:hAnsi="Arial" w:cs="Arial"/>
                <w:sz w:val="20"/>
              </w:rPr>
            </w:pPr>
            <w:r>
              <w:rPr>
                <w:rFonts w:ascii="Arial" w:hAnsi="Arial" w:cs="Arial"/>
                <w:color w:val="000000"/>
                <w:sz w:val="20"/>
              </w:rPr>
              <w:t xml:space="preserve">$179.95 </w:t>
            </w:r>
          </w:p>
        </w:tc>
        <w:tc>
          <w:tcPr>
            <w:tcW w:w="1163" w:type="dxa"/>
            <w:tcBorders>
              <w:top w:val="single" w:sz="4" w:space="0" w:color="auto"/>
              <w:left w:val="nil"/>
              <w:bottom w:val="single" w:sz="4" w:space="0" w:color="auto"/>
              <w:right w:val="nil"/>
            </w:tcBorders>
            <w:vAlign w:val="center"/>
          </w:tcPr>
          <w:p w14:paraId="727F18DA" w14:textId="3D86398C" w:rsidR="001D6979" w:rsidRDefault="001D6979" w:rsidP="001D6979">
            <w:pPr>
              <w:keepNext/>
              <w:jc w:val="center"/>
              <w:rPr>
                <w:rFonts w:ascii="Arial" w:hAnsi="Arial" w:cs="Arial"/>
                <w:sz w:val="20"/>
              </w:rPr>
            </w:pPr>
            <w:r>
              <w:rPr>
                <w:rFonts w:ascii="Arial" w:hAnsi="Arial" w:cs="Arial"/>
                <w:color w:val="000000"/>
                <w:sz w:val="20"/>
              </w:rPr>
              <w:t xml:space="preserve">$184.10 </w:t>
            </w:r>
          </w:p>
        </w:tc>
        <w:tc>
          <w:tcPr>
            <w:tcW w:w="1038" w:type="dxa"/>
            <w:tcBorders>
              <w:top w:val="single" w:sz="4" w:space="0" w:color="auto"/>
              <w:left w:val="nil"/>
              <w:bottom w:val="single" w:sz="4" w:space="0" w:color="auto"/>
            </w:tcBorders>
            <w:vAlign w:val="center"/>
          </w:tcPr>
          <w:p w14:paraId="10E9455B" w14:textId="685335DB" w:rsidR="001D6979" w:rsidRDefault="001D6979" w:rsidP="001D6979">
            <w:pPr>
              <w:keepNext/>
              <w:jc w:val="center"/>
              <w:rPr>
                <w:rFonts w:ascii="Arial" w:hAnsi="Arial" w:cs="Arial"/>
                <w:sz w:val="20"/>
              </w:rPr>
            </w:pPr>
            <w:r>
              <w:rPr>
                <w:rFonts w:ascii="Arial" w:hAnsi="Arial" w:cs="Arial"/>
                <w:color w:val="000000"/>
                <w:sz w:val="20"/>
              </w:rPr>
              <w:t xml:space="preserve">$188.20 </w:t>
            </w:r>
          </w:p>
        </w:tc>
        <w:tc>
          <w:tcPr>
            <w:tcW w:w="1350" w:type="dxa"/>
            <w:tcBorders>
              <w:top w:val="single" w:sz="4" w:space="0" w:color="auto"/>
              <w:left w:val="nil"/>
              <w:bottom w:val="single" w:sz="4" w:space="0" w:color="auto"/>
            </w:tcBorders>
            <w:shd w:val="clear" w:color="auto" w:fill="000000" w:themeFill="text1"/>
            <w:vAlign w:val="center"/>
          </w:tcPr>
          <w:p w14:paraId="67790F10" w14:textId="5B45EFB1" w:rsidR="001D6979" w:rsidRDefault="001D6979" w:rsidP="001D6979">
            <w:pPr>
              <w:keepNext/>
              <w:jc w:val="center"/>
              <w:rPr>
                <w:rFonts w:ascii="Arial" w:hAnsi="Arial" w:cs="Arial"/>
                <w:sz w:val="20"/>
              </w:rPr>
            </w:pPr>
            <w:r>
              <w:rPr>
                <w:rFonts w:ascii="Arial" w:hAnsi="Arial" w:cs="Arial"/>
                <w:b/>
                <w:bCs/>
                <w:color w:val="FFFFFF"/>
                <w:sz w:val="20"/>
              </w:rPr>
              <w:t>$1.065.76 B</w:t>
            </w:r>
          </w:p>
        </w:tc>
      </w:tr>
      <w:tr w:rsidR="001D6979" w14:paraId="0F2904E5" w14:textId="77777777" w:rsidTr="004C437A">
        <w:trPr>
          <w:trHeight w:val="548"/>
        </w:trPr>
        <w:tc>
          <w:tcPr>
            <w:tcW w:w="1196" w:type="dxa"/>
            <w:tcBorders>
              <w:top w:val="single" w:sz="4" w:space="0" w:color="auto"/>
              <w:bottom w:val="single" w:sz="4" w:space="0" w:color="auto"/>
              <w:right w:val="nil"/>
            </w:tcBorders>
            <w:vAlign w:val="center"/>
          </w:tcPr>
          <w:p w14:paraId="04D2C3B2" w14:textId="77777777" w:rsidR="001D6979" w:rsidRPr="002470EC" w:rsidRDefault="001D6979" w:rsidP="001D6979">
            <w:pPr>
              <w:keepNext/>
              <w:jc w:val="center"/>
              <w:rPr>
                <w:rFonts w:ascii="Arial" w:hAnsi="Arial" w:cs="Arial"/>
                <w:b/>
                <w:sz w:val="20"/>
              </w:rPr>
            </w:pPr>
            <w:r>
              <w:rPr>
                <w:rFonts w:ascii="Arial" w:hAnsi="Arial" w:cs="Arial"/>
                <w:b/>
                <w:sz w:val="20"/>
              </w:rPr>
              <w:t>Difference</w:t>
            </w:r>
          </w:p>
        </w:tc>
        <w:tc>
          <w:tcPr>
            <w:tcW w:w="1034" w:type="dxa"/>
            <w:tcBorders>
              <w:top w:val="single" w:sz="4" w:space="0" w:color="auto"/>
              <w:left w:val="nil"/>
              <w:bottom w:val="single" w:sz="4" w:space="0" w:color="auto"/>
              <w:right w:val="nil"/>
            </w:tcBorders>
            <w:vAlign w:val="center"/>
          </w:tcPr>
          <w:p w14:paraId="24AA2516" w14:textId="56D4E56F" w:rsidR="001D6979" w:rsidRDefault="001D6979" w:rsidP="001D6979">
            <w:pPr>
              <w:keepNext/>
              <w:jc w:val="center"/>
              <w:rPr>
                <w:rFonts w:ascii="Arial" w:hAnsi="Arial" w:cs="Arial"/>
                <w:sz w:val="20"/>
              </w:rPr>
            </w:pPr>
            <w:r>
              <w:rPr>
                <w:rFonts w:ascii="Arial" w:hAnsi="Arial" w:cs="Arial"/>
                <w:color w:val="000000"/>
                <w:sz w:val="20"/>
              </w:rPr>
              <w:t>-$5.63</w:t>
            </w:r>
          </w:p>
        </w:tc>
        <w:tc>
          <w:tcPr>
            <w:tcW w:w="1163" w:type="dxa"/>
            <w:tcBorders>
              <w:top w:val="single" w:sz="4" w:space="0" w:color="auto"/>
              <w:left w:val="nil"/>
              <w:bottom w:val="single" w:sz="4" w:space="0" w:color="auto"/>
              <w:right w:val="nil"/>
            </w:tcBorders>
            <w:vAlign w:val="center"/>
          </w:tcPr>
          <w:p w14:paraId="2E5D70EB" w14:textId="1ECDCA08" w:rsidR="001D6979" w:rsidRDefault="001D6979" w:rsidP="001D6979">
            <w:pPr>
              <w:keepNext/>
              <w:jc w:val="center"/>
              <w:rPr>
                <w:rFonts w:ascii="Arial" w:hAnsi="Arial" w:cs="Arial"/>
                <w:sz w:val="20"/>
              </w:rPr>
            </w:pPr>
            <w:r>
              <w:rPr>
                <w:rFonts w:ascii="Arial" w:hAnsi="Arial" w:cs="Arial"/>
                <w:color w:val="000000"/>
                <w:sz w:val="20"/>
              </w:rPr>
              <w:t>-$5.48</w:t>
            </w:r>
          </w:p>
        </w:tc>
        <w:tc>
          <w:tcPr>
            <w:tcW w:w="1163" w:type="dxa"/>
            <w:tcBorders>
              <w:top w:val="single" w:sz="4" w:space="0" w:color="auto"/>
              <w:left w:val="nil"/>
              <w:bottom w:val="single" w:sz="4" w:space="0" w:color="auto"/>
              <w:right w:val="nil"/>
            </w:tcBorders>
            <w:vAlign w:val="center"/>
          </w:tcPr>
          <w:p w14:paraId="51C1BC7D" w14:textId="57CC4516" w:rsidR="001D6979" w:rsidRDefault="001D6979" w:rsidP="001D6979">
            <w:pPr>
              <w:keepNext/>
              <w:jc w:val="center"/>
              <w:rPr>
                <w:rFonts w:ascii="Arial" w:hAnsi="Arial" w:cs="Arial"/>
                <w:sz w:val="20"/>
              </w:rPr>
            </w:pPr>
            <w:r>
              <w:rPr>
                <w:rFonts w:ascii="Arial" w:hAnsi="Arial" w:cs="Arial"/>
                <w:color w:val="000000"/>
                <w:sz w:val="20"/>
              </w:rPr>
              <w:t>-$5.13</w:t>
            </w:r>
          </w:p>
        </w:tc>
        <w:tc>
          <w:tcPr>
            <w:tcW w:w="1163" w:type="dxa"/>
            <w:tcBorders>
              <w:top w:val="single" w:sz="4" w:space="0" w:color="auto"/>
              <w:left w:val="nil"/>
              <w:bottom w:val="single" w:sz="4" w:space="0" w:color="auto"/>
              <w:right w:val="nil"/>
            </w:tcBorders>
            <w:vAlign w:val="center"/>
          </w:tcPr>
          <w:p w14:paraId="1068EE71" w14:textId="52832EF7" w:rsidR="001D6979" w:rsidRDefault="001D6979" w:rsidP="001D6979">
            <w:pPr>
              <w:keepNext/>
              <w:jc w:val="center"/>
              <w:rPr>
                <w:rFonts w:ascii="Arial" w:hAnsi="Arial" w:cs="Arial"/>
                <w:sz w:val="20"/>
              </w:rPr>
            </w:pPr>
            <w:r>
              <w:rPr>
                <w:rFonts w:ascii="Arial" w:hAnsi="Arial" w:cs="Arial"/>
                <w:color w:val="000000"/>
                <w:sz w:val="20"/>
              </w:rPr>
              <w:t>-$4.96</w:t>
            </w:r>
          </w:p>
        </w:tc>
        <w:tc>
          <w:tcPr>
            <w:tcW w:w="1163" w:type="dxa"/>
            <w:tcBorders>
              <w:top w:val="single" w:sz="4" w:space="0" w:color="auto"/>
              <w:left w:val="nil"/>
              <w:bottom w:val="single" w:sz="4" w:space="0" w:color="auto"/>
              <w:right w:val="nil"/>
            </w:tcBorders>
            <w:vAlign w:val="center"/>
          </w:tcPr>
          <w:p w14:paraId="24900F2A" w14:textId="0DAD88A2" w:rsidR="001D6979" w:rsidRDefault="001D6979" w:rsidP="001D6979">
            <w:pPr>
              <w:keepNext/>
              <w:jc w:val="center"/>
              <w:rPr>
                <w:rFonts w:ascii="Arial" w:hAnsi="Arial" w:cs="Arial"/>
                <w:sz w:val="20"/>
              </w:rPr>
            </w:pPr>
            <w:r>
              <w:rPr>
                <w:rFonts w:ascii="Arial" w:hAnsi="Arial" w:cs="Arial"/>
                <w:color w:val="000000"/>
                <w:sz w:val="20"/>
              </w:rPr>
              <w:t>-$4.88</w:t>
            </w:r>
          </w:p>
        </w:tc>
        <w:tc>
          <w:tcPr>
            <w:tcW w:w="1038" w:type="dxa"/>
            <w:tcBorders>
              <w:top w:val="single" w:sz="4" w:space="0" w:color="auto"/>
              <w:left w:val="nil"/>
              <w:bottom w:val="single" w:sz="4" w:space="0" w:color="auto"/>
            </w:tcBorders>
            <w:vAlign w:val="center"/>
          </w:tcPr>
          <w:p w14:paraId="45A274E1" w14:textId="555F6C97" w:rsidR="001D6979" w:rsidRDefault="001D6979" w:rsidP="001D6979">
            <w:pPr>
              <w:keepNext/>
              <w:jc w:val="center"/>
              <w:rPr>
                <w:rFonts w:ascii="Arial" w:hAnsi="Arial" w:cs="Arial"/>
                <w:sz w:val="20"/>
              </w:rPr>
            </w:pPr>
            <w:r>
              <w:rPr>
                <w:rFonts w:ascii="Arial" w:hAnsi="Arial" w:cs="Arial"/>
                <w:color w:val="000000"/>
                <w:sz w:val="20"/>
              </w:rPr>
              <w:t>-$4.88</w:t>
            </w:r>
          </w:p>
        </w:tc>
        <w:tc>
          <w:tcPr>
            <w:tcW w:w="1350" w:type="dxa"/>
            <w:tcBorders>
              <w:top w:val="single" w:sz="4" w:space="0" w:color="auto"/>
              <w:left w:val="nil"/>
              <w:bottom w:val="single" w:sz="4" w:space="0" w:color="auto"/>
            </w:tcBorders>
            <w:shd w:val="clear" w:color="auto" w:fill="000000" w:themeFill="text1"/>
            <w:vAlign w:val="center"/>
          </w:tcPr>
          <w:p w14:paraId="046AC58A" w14:textId="06C2F251" w:rsidR="001D6979" w:rsidRDefault="001D6979" w:rsidP="001D6979">
            <w:pPr>
              <w:spacing w:line="220" w:lineRule="atLeast"/>
              <w:jc w:val="center"/>
              <w:rPr>
                <w:rFonts w:ascii="Arial" w:hAnsi="Arial" w:cs="Arial"/>
                <w:b/>
                <w:sz w:val="20"/>
              </w:rPr>
            </w:pPr>
            <w:r>
              <w:rPr>
                <w:rFonts w:ascii="Arial" w:hAnsi="Arial" w:cs="Arial"/>
                <w:b/>
                <w:bCs/>
                <w:color w:val="FFFFFF"/>
                <w:sz w:val="20"/>
              </w:rPr>
              <w:t>-$30.97 M</w:t>
            </w:r>
          </w:p>
        </w:tc>
      </w:tr>
    </w:tbl>
    <w:p w14:paraId="04CB1C6A" w14:textId="5E16BDD8" w:rsidR="007E7EE8" w:rsidRDefault="007E7EE8" w:rsidP="007E7EE8">
      <w:pPr>
        <w:jc w:val="both"/>
        <w:rPr>
          <w:rFonts w:ascii="Arial" w:hAnsi="Arial" w:cs="Arial"/>
          <w:b/>
        </w:rPr>
      </w:pPr>
    </w:p>
    <w:p w14:paraId="15E1B2C6" w14:textId="77777777" w:rsidR="0095392C" w:rsidRDefault="0095392C" w:rsidP="0095392C">
      <w:pPr>
        <w:spacing w:line="259" w:lineRule="auto"/>
        <w:jc w:val="both"/>
        <w:rPr>
          <w:rFonts w:ascii="Arial" w:hAnsi="Arial" w:cs="Arial"/>
          <w:szCs w:val="24"/>
        </w:rPr>
      </w:pPr>
      <w:bookmarkStart w:id="0" w:name="_GoBack"/>
      <w:r w:rsidRPr="00D258AE">
        <w:rPr>
          <w:rFonts w:ascii="Arial" w:hAnsi="Arial" w:cs="Arial"/>
          <w:szCs w:val="24"/>
        </w:rPr>
        <w:t>According to Executive staff, expenditures related to Proposed Ordinance 2019-0471 are consistent with the assumptions in the adopted Medic One/EMS 2020-2025 Strategic Plan.</w:t>
      </w:r>
    </w:p>
    <w:bookmarkEnd w:id="0"/>
    <w:p w14:paraId="7A4B29DE" w14:textId="77777777" w:rsidR="0095392C" w:rsidRDefault="0095392C" w:rsidP="00B626EC">
      <w:pPr>
        <w:jc w:val="both"/>
        <w:rPr>
          <w:rFonts w:ascii="Arial" w:hAnsi="Arial" w:cs="Arial"/>
          <w:b/>
        </w:rPr>
      </w:pPr>
    </w:p>
    <w:p w14:paraId="719901A9" w14:textId="77777777" w:rsidR="0095392C" w:rsidRDefault="0095392C" w:rsidP="00B626EC">
      <w:pPr>
        <w:jc w:val="both"/>
        <w:rPr>
          <w:rFonts w:ascii="Arial" w:hAnsi="Arial" w:cs="Arial"/>
          <w:b/>
        </w:rPr>
      </w:pPr>
    </w:p>
    <w:p w14:paraId="219922AF" w14:textId="309224C2" w:rsidR="00B626EC" w:rsidRPr="00B626EC" w:rsidRDefault="00B626EC" w:rsidP="00B626EC">
      <w:pPr>
        <w:jc w:val="both"/>
        <w:rPr>
          <w:rFonts w:ascii="Arial" w:hAnsi="Arial" w:cs="Arial"/>
          <w:b/>
          <w:smallCaps/>
          <w:szCs w:val="24"/>
          <w:u w:val="single"/>
        </w:rPr>
      </w:pPr>
      <w:r>
        <w:rPr>
          <w:rFonts w:ascii="Arial" w:hAnsi="Arial" w:cs="Arial"/>
          <w:b/>
        </w:rPr>
        <w:t>Proposed Ordinance 2019-0472</w:t>
      </w:r>
    </w:p>
    <w:p w14:paraId="0AD44A20" w14:textId="77777777" w:rsidR="00B626EC" w:rsidRDefault="00B626EC" w:rsidP="00B626EC">
      <w:pPr>
        <w:jc w:val="both"/>
        <w:rPr>
          <w:rFonts w:ascii="Arial" w:hAnsi="Arial" w:cs="Arial"/>
          <w:szCs w:val="24"/>
          <w:highlight w:val="yellow"/>
        </w:rPr>
      </w:pPr>
    </w:p>
    <w:p w14:paraId="0D2C6A18" w14:textId="77777777" w:rsidR="00144C3D" w:rsidRDefault="00B626EC" w:rsidP="0057365F">
      <w:pPr>
        <w:spacing w:line="259" w:lineRule="auto"/>
        <w:jc w:val="both"/>
        <w:rPr>
          <w:rFonts w:ascii="Arial" w:hAnsi="Arial" w:cs="Arial"/>
          <w:szCs w:val="24"/>
        </w:rPr>
      </w:pPr>
      <w:r w:rsidRPr="007E7EE8">
        <w:rPr>
          <w:rFonts w:ascii="Arial" w:hAnsi="Arial" w:cs="Arial"/>
          <w:szCs w:val="24"/>
        </w:rPr>
        <w:t>Proposed Ordinance 2019-0472 would authorize the Executive to execute a Interlocal cooperation agreement (ILA) with the City of Seattle for 2020-2025 regarding the allocation of EMS levy revenues</w:t>
      </w:r>
      <w:r w:rsidR="00144C3D" w:rsidRPr="007E7EE8">
        <w:rPr>
          <w:rFonts w:ascii="Arial" w:hAnsi="Arial" w:cs="Arial"/>
          <w:szCs w:val="24"/>
        </w:rPr>
        <w:t>, transferring to the City of Seattle all levy revenues collected from taxable property located within the legal boundaries of the City</w:t>
      </w:r>
      <w:r w:rsidRPr="007E7EE8">
        <w:rPr>
          <w:rFonts w:ascii="Arial" w:hAnsi="Arial" w:cs="Arial"/>
          <w:szCs w:val="24"/>
        </w:rPr>
        <w:t>. The Seattle City Council approved the transmitted ILA (Attachment A to Proposed</w:t>
      </w:r>
      <w:r>
        <w:rPr>
          <w:rFonts w:ascii="Arial" w:hAnsi="Arial" w:cs="Arial"/>
          <w:szCs w:val="24"/>
        </w:rPr>
        <w:t xml:space="preserve"> Ordinance 2019-0472) </w:t>
      </w:r>
      <w:r w:rsidR="00144C3D">
        <w:rPr>
          <w:rFonts w:ascii="Arial" w:hAnsi="Arial" w:cs="Arial"/>
          <w:szCs w:val="24"/>
        </w:rPr>
        <w:t>on June 24, 2019, which also endorsed placement of the 2020-2025 levy renewal proposal on the November 5, 2019 ballot.</w:t>
      </w:r>
      <w:r>
        <w:rPr>
          <w:rFonts w:ascii="Arial" w:hAnsi="Arial" w:cs="Arial"/>
          <w:szCs w:val="24"/>
        </w:rPr>
        <w:t xml:space="preserve"> </w:t>
      </w:r>
      <w:r w:rsidR="00144C3D">
        <w:rPr>
          <w:rFonts w:ascii="Arial" w:hAnsi="Arial" w:cs="Arial"/>
          <w:szCs w:val="24"/>
        </w:rPr>
        <w:t>The existing 2014-2019 ILA between the County and the City of Seattle expires at the end of 2019.</w:t>
      </w:r>
    </w:p>
    <w:p w14:paraId="7BEEE498" w14:textId="77777777" w:rsidR="00144C3D" w:rsidRDefault="00144C3D" w:rsidP="0057365F">
      <w:pPr>
        <w:spacing w:line="259" w:lineRule="auto"/>
        <w:jc w:val="both"/>
        <w:rPr>
          <w:rFonts w:ascii="Arial" w:hAnsi="Arial" w:cs="Arial"/>
          <w:szCs w:val="24"/>
        </w:rPr>
      </w:pPr>
    </w:p>
    <w:p w14:paraId="16C49F2C" w14:textId="77777777" w:rsidR="00B626EC" w:rsidRDefault="00B626EC" w:rsidP="0057365F">
      <w:pPr>
        <w:spacing w:line="259" w:lineRule="auto"/>
        <w:jc w:val="both"/>
        <w:rPr>
          <w:rFonts w:ascii="Arial" w:hAnsi="Arial" w:cs="Arial"/>
          <w:szCs w:val="24"/>
        </w:rPr>
      </w:pPr>
      <w:r>
        <w:rPr>
          <w:rFonts w:ascii="Arial" w:hAnsi="Arial" w:cs="Arial"/>
          <w:szCs w:val="24"/>
        </w:rPr>
        <w:lastRenderedPageBreak/>
        <w:t>Per the transmitted ILA</w:t>
      </w:r>
      <w:r w:rsidR="00144C3D">
        <w:rPr>
          <w:rFonts w:ascii="Arial" w:hAnsi="Arial" w:cs="Arial"/>
          <w:szCs w:val="24"/>
        </w:rPr>
        <w:t xml:space="preserve"> for 2020-2025</w:t>
      </w:r>
      <w:r>
        <w:rPr>
          <w:rFonts w:ascii="Arial" w:hAnsi="Arial" w:cs="Arial"/>
          <w:szCs w:val="24"/>
        </w:rPr>
        <w:t xml:space="preserve">, and </w:t>
      </w:r>
      <w:r w:rsidR="00054384">
        <w:rPr>
          <w:rFonts w:ascii="Arial" w:hAnsi="Arial" w:cs="Arial"/>
          <w:szCs w:val="24"/>
        </w:rPr>
        <w:t>similar to</w:t>
      </w:r>
      <w:r>
        <w:rPr>
          <w:rFonts w:ascii="Arial" w:hAnsi="Arial" w:cs="Arial"/>
          <w:szCs w:val="24"/>
        </w:rPr>
        <w:t xml:space="preserve"> provisions in the current ILA for 2014</w:t>
      </w:r>
      <w:r w:rsidR="00144C3D">
        <w:rPr>
          <w:rFonts w:ascii="Arial" w:hAnsi="Arial" w:cs="Arial"/>
          <w:szCs w:val="24"/>
        </w:rPr>
        <w:t>-2019</w:t>
      </w:r>
      <w:r>
        <w:rPr>
          <w:rFonts w:ascii="Arial" w:hAnsi="Arial" w:cs="Arial"/>
          <w:szCs w:val="24"/>
        </w:rPr>
        <w:t>, the total amount transferred to the City of Seattle shall not be less than the smaller of the following:</w:t>
      </w:r>
    </w:p>
    <w:p w14:paraId="101B0985" w14:textId="77777777" w:rsidR="00B626EC" w:rsidRDefault="006C3416" w:rsidP="0057365F">
      <w:pPr>
        <w:pStyle w:val="ListParagraph0"/>
        <w:numPr>
          <w:ilvl w:val="0"/>
          <w:numId w:val="47"/>
        </w:numPr>
        <w:spacing w:line="259" w:lineRule="auto"/>
        <w:jc w:val="both"/>
        <w:rPr>
          <w:rFonts w:ascii="Arial" w:hAnsi="Arial" w:cs="Arial"/>
        </w:rPr>
      </w:pPr>
      <w:r>
        <w:rPr>
          <w:rFonts w:ascii="Arial" w:hAnsi="Arial" w:cs="Arial"/>
        </w:rPr>
        <w:t>All revenues that could be collected under the county-wide EMS levy from taxable property located within the legal boundaries of the City of Seattle at a levy rate of $0.265 per $1,000 assessed valuation, accounting for historical rates of under collection; or</w:t>
      </w:r>
    </w:p>
    <w:p w14:paraId="7848DF12" w14:textId="77777777" w:rsidR="006C3416" w:rsidRDefault="006C3416" w:rsidP="0057365F">
      <w:pPr>
        <w:pStyle w:val="ListParagraph0"/>
        <w:numPr>
          <w:ilvl w:val="0"/>
          <w:numId w:val="47"/>
        </w:numPr>
        <w:spacing w:line="259" w:lineRule="auto"/>
        <w:jc w:val="both"/>
        <w:rPr>
          <w:rFonts w:ascii="Arial" w:hAnsi="Arial" w:cs="Arial"/>
        </w:rPr>
      </w:pPr>
      <w:r>
        <w:rPr>
          <w:rFonts w:ascii="Arial" w:hAnsi="Arial" w:cs="Arial"/>
        </w:rPr>
        <w:t>The amount identified for the corresponding tax year as ‘Projected Net Seattle Property Taxes’ per the March 2019 forecast, dated May 17, 2019; or</w:t>
      </w:r>
    </w:p>
    <w:p w14:paraId="1EA2B8BE" w14:textId="77777777" w:rsidR="006C3416" w:rsidRPr="002B2A18" w:rsidRDefault="006C3416" w:rsidP="0057365F">
      <w:pPr>
        <w:pStyle w:val="ListParagraph0"/>
        <w:numPr>
          <w:ilvl w:val="0"/>
          <w:numId w:val="47"/>
        </w:numPr>
        <w:spacing w:line="259" w:lineRule="auto"/>
        <w:jc w:val="both"/>
        <w:rPr>
          <w:rFonts w:ascii="Arial" w:hAnsi="Arial" w:cs="Arial"/>
        </w:rPr>
      </w:pPr>
      <w:r>
        <w:rPr>
          <w:rFonts w:ascii="Arial" w:hAnsi="Arial" w:cs="Arial"/>
        </w:rPr>
        <w:t>All revenues that could be collected under the county-wide EMS levy from taxable property within the legal boundaries of the City at the highest levy rate that the County is allowed to impose under state law, accounting for historical rates of under collection.</w:t>
      </w:r>
    </w:p>
    <w:p w14:paraId="63960698" w14:textId="77777777" w:rsidR="006C3416" w:rsidRDefault="006C3416" w:rsidP="0057365F">
      <w:pPr>
        <w:pStyle w:val="BodyText"/>
        <w:spacing w:line="259" w:lineRule="auto"/>
        <w:jc w:val="both"/>
        <w:rPr>
          <w:rFonts w:ascii="Arial" w:hAnsi="Arial" w:cs="Arial"/>
          <w:i w:val="0"/>
        </w:rPr>
      </w:pPr>
    </w:p>
    <w:p w14:paraId="0D87F08E" w14:textId="77777777" w:rsidR="00202D9F" w:rsidRPr="00054384" w:rsidRDefault="006C3416" w:rsidP="0057365F">
      <w:pPr>
        <w:pStyle w:val="BodyText"/>
        <w:spacing w:line="259" w:lineRule="auto"/>
        <w:jc w:val="both"/>
        <w:rPr>
          <w:rFonts w:ascii="Arial" w:hAnsi="Arial" w:cs="Arial"/>
          <w:b/>
          <w:i w:val="0"/>
          <w:smallCaps/>
          <w:szCs w:val="24"/>
        </w:rPr>
      </w:pPr>
      <w:r>
        <w:rPr>
          <w:rFonts w:ascii="Arial" w:hAnsi="Arial" w:cs="Arial"/>
          <w:i w:val="0"/>
        </w:rPr>
        <w:t>Revenue transfers would be administered by the County’s Finance and Business Operations Division of the Department of Executive Services. All revenues received by the City of Seattle would be deposited into a special revenue account and used only for emergency medical care/emergency medical services. The City would be required to provide the County with a report describing the City’s use of the levy proceeds annually.</w:t>
      </w:r>
    </w:p>
    <w:p w14:paraId="33242A50" w14:textId="77777777" w:rsidR="006C3416" w:rsidRDefault="006C3416" w:rsidP="0057365F">
      <w:pPr>
        <w:pStyle w:val="BodyText"/>
        <w:spacing w:line="259" w:lineRule="auto"/>
        <w:jc w:val="both"/>
        <w:rPr>
          <w:rFonts w:ascii="Arial" w:hAnsi="Arial" w:cs="Arial"/>
          <w:b/>
          <w:i w:val="0"/>
          <w:smallCaps/>
          <w:color w:val="FF0000"/>
          <w:szCs w:val="24"/>
        </w:rPr>
      </w:pPr>
    </w:p>
    <w:p w14:paraId="0D7817C8" w14:textId="36A108C8" w:rsidR="001D74B8" w:rsidRDefault="00AD6817" w:rsidP="0057365F">
      <w:pPr>
        <w:pStyle w:val="BodyText"/>
        <w:spacing w:line="259" w:lineRule="auto"/>
        <w:jc w:val="both"/>
        <w:rPr>
          <w:rFonts w:ascii="Arial" w:hAnsi="Arial" w:cs="Arial"/>
          <w:i w:val="0"/>
          <w:szCs w:val="24"/>
        </w:rPr>
      </w:pPr>
      <w:r>
        <w:rPr>
          <w:rFonts w:ascii="Arial" w:hAnsi="Arial" w:cs="Arial"/>
          <w:i w:val="0"/>
          <w:szCs w:val="24"/>
        </w:rPr>
        <w:t>Legal review is ongoing.</w:t>
      </w:r>
    </w:p>
    <w:p w14:paraId="53350987" w14:textId="77777777" w:rsidR="001D74B8" w:rsidRDefault="001D74B8" w:rsidP="0057365F">
      <w:pPr>
        <w:pStyle w:val="BodyText"/>
        <w:spacing w:line="259" w:lineRule="auto"/>
        <w:jc w:val="both"/>
        <w:rPr>
          <w:rFonts w:ascii="Arial" w:hAnsi="Arial" w:cs="Arial"/>
          <w:b/>
          <w:i w:val="0"/>
          <w:smallCaps/>
          <w:color w:val="FF0000"/>
          <w:szCs w:val="24"/>
        </w:rPr>
      </w:pPr>
    </w:p>
    <w:p w14:paraId="34BB70E3" w14:textId="77777777" w:rsidR="00785660" w:rsidRPr="001C4B19" w:rsidRDefault="00785660" w:rsidP="0057365F">
      <w:pPr>
        <w:spacing w:line="259" w:lineRule="auto"/>
        <w:jc w:val="both"/>
        <w:rPr>
          <w:rFonts w:ascii="Arial" w:hAnsi="Arial" w:cs="Arial"/>
          <w:b/>
          <w:szCs w:val="24"/>
          <w:u w:val="single"/>
        </w:rPr>
      </w:pPr>
      <w:r w:rsidRPr="001C4B19">
        <w:rPr>
          <w:rFonts w:ascii="Arial" w:hAnsi="Arial" w:cs="Arial"/>
          <w:b/>
          <w:szCs w:val="24"/>
          <w:u w:val="single"/>
        </w:rPr>
        <w:t>INVITED</w:t>
      </w:r>
    </w:p>
    <w:p w14:paraId="15E67D13" w14:textId="77777777" w:rsidR="00785660" w:rsidRPr="001C4B19" w:rsidRDefault="00785660" w:rsidP="0057365F">
      <w:pPr>
        <w:spacing w:line="259" w:lineRule="auto"/>
        <w:jc w:val="both"/>
        <w:rPr>
          <w:rFonts w:ascii="Arial" w:hAnsi="Arial" w:cs="Arial"/>
          <w:szCs w:val="24"/>
        </w:rPr>
      </w:pPr>
    </w:p>
    <w:p w14:paraId="4658F5C1" w14:textId="77777777" w:rsidR="00373A00" w:rsidRDefault="00373A00" w:rsidP="0057365F">
      <w:pPr>
        <w:pStyle w:val="ListParagraph0"/>
        <w:numPr>
          <w:ilvl w:val="0"/>
          <w:numId w:val="44"/>
        </w:numPr>
        <w:spacing w:line="259" w:lineRule="auto"/>
        <w:jc w:val="both"/>
        <w:rPr>
          <w:rFonts w:ascii="Arial" w:hAnsi="Arial" w:cs="Arial"/>
        </w:rPr>
      </w:pPr>
      <w:r w:rsidRPr="00B72BC7">
        <w:rPr>
          <w:rFonts w:ascii="Arial" w:hAnsi="Arial" w:cs="Arial"/>
        </w:rPr>
        <w:t>Dwight Dively, Director, Office of Perform</w:t>
      </w:r>
      <w:r>
        <w:rPr>
          <w:rFonts w:ascii="Arial" w:hAnsi="Arial" w:cs="Arial"/>
        </w:rPr>
        <w:t>ance, Strategy, and Budget</w:t>
      </w:r>
    </w:p>
    <w:p w14:paraId="5DD8BB43" w14:textId="77777777" w:rsidR="00373A00" w:rsidRPr="00373A00" w:rsidRDefault="00373A00" w:rsidP="0057365F">
      <w:pPr>
        <w:pStyle w:val="ListParagraph0"/>
        <w:numPr>
          <w:ilvl w:val="0"/>
          <w:numId w:val="44"/>
        </w:numPr>
        <w:spacing w:line="259" w:lineRule="auto"/>
        <w:jc w:val="both"/>
        <w:rPr>
          <w:rFonts w:ascii="Arial" w:hAnsi="Arial" w:cs="Arial"/>
        </w:rPr>
      </w:pPr>
      <w:r w:rsidRPr="00373A00">
        <w:rPr>
          <w:rFonts w:ascii="Arial" w:hAnsi="Arial" w:cs="Arial"/>
        </w:rPr>
        <w:t>Michele Plorde, Director, Emergency Medical Services Division, Public Health – Seattle &amp; King County (PHSKC)</w:t>
      </w:r>
    </w:p>
    <w:p w14:paraId="5E94E47C" w14:textId="77777777" w:rsidR="00373A00" w:rsidRPr="00AC7D3E" w:rsidRDefault="00373A00" w:rsidP="0057365F">
      <w:pPr>
        <w:pStyle w:val="ListParagraph0"/>
        <w:numPr>
          <w:ilvl w:val="0"/>
          <w:numId w:val="44"/>
        </w:numPr>
        <w:spacing w:line="259" w:lineRule="auto"/>
        <w:jc w:val="both"/>
        <w:rPr>
          <w:rFonts w:ascii="Arial" w:hAnsi="Arial" w:cs="Arial"/>
        </w:rPr>
      </w:pPr>
      <w:r w:rsidRPr="00AC7D3E">
        <w:rPr>
          <w:rFonts w:ascii="Arial" w:hAnsi="Arial" w:cs="Arial"/>
        </w:rPr>
        <w:t>Helen Chatalas, Assistant Division Director, Emergency Medical Services Division, PHSKC</w:t>
      </w:r>
    </w:p>
    <w:p w14:paraId="110E5F83" w14:textId="77777777" w:rsidR="00785660" w:rsidRPr="001C4B19" w:rsidRDefault="00785660" w:rsidP="0057365F">
      <w:pPr>
        <w:pStyle w:val="BodyText"/>
        <w:spacing w:line="259" w:lineRule="auto"/>
        <w:jc w:val="both"/>
        <w:rPr>
          <w:rFonts w:ascii="Arial" w:hAnsi="Arial" w:cs="Arial"/>
          <w:i w:val="0"/>
          <w:szCs w:val="24"/>
        </w:rPr>
      </w:pPr>
    </w:p>
    <w:p w14:paraId="6F72DEBB" w14:textId="77777777" w:rsidR="00EE00F3" w:rsidRPr="001C4B19" w:rsidRDefault="00293D02" w:rsidP="0057365F">
      <w:pPr>
        <w:pStyle w:val="BodyText"/>
        <w:spacing w:line="259" w:lineRule="auto"/>
        <w:jc w:val="both"/>
        <w:rPr>
          <w:rFonts w:ascii="Arial" w:hAnsi="Arial" w:cs="Arial"/>
          <w:i w:val="0"/>
          <w:szCs w:val="24"/>
        </w:rPr>
      </w:pPr>
      <w:r w:rsidRPr="001C4B19">
        <w:rPr>
          <w:rFonts w:ascii="Arial" w:hAnsi="Arial" w:cs="Arial"/>
          <w:b/>
          <w:i w:val="0"/>
          <w:szCs w:val="24"/>
          <w:u w:val="single"/>
        </w:rPr>
        <w:t>ATTACHMENTS</w:t>
      </w:r>
    </w:p>
    <w:p w14:paraId="24D7AA57" w14:textId="77777777" w:rsidR="00B24961" w:rsidRPr="001C4B19" w:rsidRDefault="00B24961" w:rsidP="0057365F">
      <w:pPr>
        <w:pStyle w:val="BodyText"/>
        <w:spacing w:line="259" w:lineRule="auto"/>
        <w:jc w:val="both"/>
        <w:rPr>
          <w:rFonts w:ascii="Arial" w:hAnsi="Arial" w:cs="Arial"/>
          <w:i w:val="0"/>
          <w:szCs w:val="24"/>
        </w:rPr>
      </w:pPr>
    </w:p>
    <w:p w14:paraId="00AE8F92" w14:textId="2DBF6FD7" w:rsidR="00664648" w:rsidRPr="00623E39" w:rsidRDefault="00C521D8" w:rsidP="0057365F">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 xml:space="preserve">Proposed </w:t>
      </w:r>
      <w:r w:rsidR="00623E39">
        <w:rPr>
          <w:rFonts w:ascii="Arial" w:hAnsi="Arial" w:cs="Arial"/>
          <w:i w:val="0"/>
          <w:szCs w:val="24"/>
        </w:rPr>
        <w:t>Ordinance</w:t>
      </w:r>
      <w:r w:rsidR="00785660">
        <w:rPr>
          <w:rFonts w:ascii="Arial" w:hAnsi="Arial" w:cs="Arial"/>
          <w:i w:val="0"/>
          <w:szCs w:val="24"/>
        </w:rPr>
        <w:t xml:space="preserve"> 2019-</w:t>
      </w:r>
      <w:r w:rsidR="00D13D46">
        <w:rPr>
          <w:rFonts w:ascii="Arial" w:hAnsi="Arial" w:cs="Arial"/>
          <w:i w:val="0"/>
          <w:szCs w:val="24"/>
        </w:rPr>
        <w:t>0471</w:t>
      </w:r>
    </w:p>
    <w:p w14:paraId="43C67DD9" w14:textId="77777777" w:rsidR="00C521D8" w:rsidRPr="001C4B19" w:rsidRDefault="00C521D8" w:rsidP="0057365F">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Transmittal Letter</w:t>
      </w:r>
    </w:p>
    <w:p w14:paraId="30D6D54F" w14:textId="7A5C652D" w:rsidR="00C521D8" w:rsidRDefault="00C521D8" w:rsidP="0057365F">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Fiscal Note</w:t>
      </w:r>
    </w:p>
    <w:p w14:paraId="45A2618A" w14:textId="4B445B9B" w:rsidR="00AA78F0" w:rsidRDefault="00AA78F0" w:rsidP="0057365F">
      <w:pPr>
        <w:pStyle w:val="BodyText"/>
        <w:numPr>
          <w:ilvl w:val="0"/>
          <w:numId w:val="35"/>
        </w:numPr>
        <w:spacing w:line="259" w:lineRule="auto"/>
        <w:jc w:val="both"/>
        <w:rPr>
          <w:rFonts w:ascii="Arial" w:hAnsi="Arial" w:cs="Arial"/>
          <w:i w:val="0"/>
          <w:szCs w:val="24"/>
        </w:rPr>
      </w:pPr>
      <w:r>
        <w:rPr>
          <w:rFonts w:ascii="Arial" w:hAnsi="Arial" w:cs="Arial"/>
          <w:i w:val="0"/>
          <w:szCs w:val="24"/>
        </w:rPr>
        <w:t>EMS Fund c</w:t>
      </w:r>
      <w:r w:rsidRPr="00AA78F0">
        <w:rPr>
          <w:rFonts w:ascii="Arial" w:hAnsi="Arial" w:cs="Arial"/>
          <w:i w:val="0"/>
          <w:szCs w:val="24"/>
        </w:rPr>
        <w:t>rosswalk from existing budget to proposed budget</w:t>
      </w:r>
    </w:p>
    <w:p w14:paraId="6DC23C81" w14:textId="50DD9E2A" w:rsidR="00AA78F0" w:rsidRPr="00AA78F0" w:rsidRDefault="00AA78F0" w:rsidP="0057365F">
      <w:pPr>
        <w:pStyle w:val="BodyText"/>
        <w:numPr>
          <w:ilvl w:val="0"/>
          <w:numId w:val="35"/>
        </w:numPr>
        <w:spacing w:line="259" w:lineRule="auto"/>
        <w:jc w:val="both"/>
        <w:rPr>
          <w:rFonts w:ascii="Arial" w:hAnsi="Arial" w:cs="Arial"/>
          <w:i w:val="0"/>
          <w:szCs w:val="24"/>
        </w:rPr>
      </w:pPr>
      <w:r>
        <w:rPr>
          <w:rFonts w:ascii="Arial" w:hAnsi="Arial" w:cs="Arial"/>
          <w:i w:val="0"/>
          <w:szCs w:val="24"/>
        </w:rPr>
        <w:t>EMS Fund Financial Plan</w:t>
      </w:r>
    </w:p>
    <w:p w14:paraId="3CC21715" w14:textId="77777777" w:rsidR="00A00CD2" w:rsidRPr="00623E39" w:rsidRDefault="00A00CD2" w:rsidP="0057365F">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2019-0472</w:t>
      </w:r>
      <w:r w:rsidRPr="001C4B19">
        <w:rPr>
          <w:rFonts w:ascii="Arial" w:hAnsi="Arial" w:cs="Arial"/>
          <w:i w:val="0"/>
          <w:szCs w:val="24"/>
        </w:rPr>
        <w:t xml:space="preserve"> (and its attachments)</w:t>
      </w:r>
    </w:p>
    <w:p w14:paraId="7CFC633B" w14:textId="77777777" w:rsidR="00A00CD2" w:rsidRPr="00AA78F0" w:rsidRDefault="00A00CD2" w:rsidP="0057365F">
      <w:pPr>
        <w:pStyle w:val="BodyText"/>
        <w:numPr>
          <w:ilvl w:val="0"/>
          <w:numId w:val="35"/>
        </w:numPr>
        <w:spacing w:line="259" w:lineRule="auto"/>
        <w:jc w:val="both"/>
        <w:rPr>
          <w:rFonts w:ascii="Arial" w:hAnsi="Arial" w:cs="Arial"/>
          <w:i w:val="0"/>
          <w:szCs w:val="24"/>
        </w:rPr>
      </w:pPr>
      <w:r w:rsidRPr="00AA78F0">
        <w:rPr>
          <w:rFonts w:ascii="Arial" w:hAnsi="Arial" w:cs="Arial"/>
          <w:i w:val="0"/>
          <w:szCs w:val="24"/>
        </w:rPr>
        <w:t>Transmittal Letter</w:t>
      </w:r>
    </w:p>
    <w:p w14:paraId="7977D022" w14:textId="77777777" w:rsidR="00A00CD2" w:rsidRPr="0057365F" w:rsidRDefault="00A00CD2" w:rsidP="0057365F">
      <w:pPr>
        <w:pStyle w:val="BodyText"/>
        <w:numPr>
          <w:ilvl w:val="0"/>
          <w:numId w:val="35"/>
        </w:numPr>
        <w:spacing w:line="259" w:lineRule="auto"/>
        <w:jc w:val="both"/>
        <w:rPr>
          <w:rFonts w:ascii="Arial" w:hAnsi="Arial" w:cs="Arial"/>
          <w:i w:val="0"/>
          <w:szCs w:val="24"/>
        </w:rPr>
      </w:pPr>
      <w:r w:rsidRPr="0057365F">
        <w:rPr>
          <w:rFonts w:ascii="Arial" w:hAnsi="Arial" w:cs="Arial"/>
          <w:i w:val="0"/>
          <w:szCs w:val="24"/>
        </w:rPr>
        <w:t>Fiscal Note</w:t>
      </w:r>
    </w:p>
    <w:p w14:paraId="2094479E" w14:textId="5CFC444D" w:rsidR="001C4B19" w:rsidRPr="004B5630" w:rsidRDefault="000E411A" w:rsidP="0057365F">
      <w:pPr>
        <w:pStyle w:val="BodyText"/>
        <w:numPr>
          <w:ilvl w:val="0"/>
          <w:numId w:val="35"/>
        </w:numPr>
        <w:spacing w:line="259" w:lineRule="auto"/>
        <w:jc w:val="both"/>
        <w:rPr>
          <w:rFonts w:ascii="Arial" w:hAnsi="Arial" w:cs="Arial"/>
          <w:szCs w:val="24"/>
        </w:rPr>
      </w:pPr>
      <w:r w:rsidRPr="0057365F">
        <w:rPr>
          <w:rFonts w:ascii="Arial" w:hAnsi="Arial" w:cs="Arial"/>
          <w:i w:val="0"/>
          <w:szCs w:val="24"/>
        </w:rPr>
        <w:t>Staff Report for Ordinances 18931 and 18932 the Medic One/Emergency Medical</w:t>
      </w:r>
      <w:r w:rsidRPr="004B5630">
        <w:rPr>
          <w:rFonts w:ascii="Arial" w:hAnsi="Arial" w:cs="Arial"/>
          <w:i w:val="0"/>
          <w:szCs w:val="24"/>
        </w:rPr>
        <w:t xml:space="preserve"> Services 2020-2025 Levy and Strategic Plan </w:t>
      </w:r>
    </w:p>
    <w:sectPr w:rsidR="001C4B19" w:rsidRPr="004B5630"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2B45" w14:textId="77777777" w:rsidR="004360E0" w:rsidRDefault="004360E0">
      <w:r>
        <w:separator/>
      </w:r>
    </w:p>
  </w:endnote>
  <w:endnote w:type="continuationSeparator" w:id="0">
    <w:p w14:paraId="3FBB20F4" w14:textId="77777777" w:rsidR="004360E0" w:rsidRDefault="0043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379B"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F4F"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257"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ADBD" w14:textId="77777777" w:rsidR="004360E0" w:rsidRDefault="004360E0">
      <w:r>
        <w:separator/>
      </w:r>
    </w:p>
  </w:footnote>
  <w:footnote w:type="continuationSeparator" w:id="0">
    <w:p w14:paraId="74AA6A67" w14:textId="77777777" w:rsidR="004360E0" w:rsidRDefault="004360E0">
      <w:r>
        <w:continuationSeparator/>
      </w:r>
    </w:p>
  </w:footnote>
  <w:footnote w:id="1">
    <w:p w14:paraId="5A5FCF5E" w14:textId="77777777" w:rsidR="00D258AE" w:rsidRPr="004B5630" w:rsidRDefault="00D258AE">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Additional detail can be found in Attachment 7 to this staff report.</w:t>
      </w:r>
    </w:p>
  </w:footnote>
  <w:footnote w:id="2">
    <w:p w14:paraId="28A32C0E" w14:textId="77777777" w:rsidR="00DF673E" w:rsidRPr="004B5630" w:rsidRDefault="00DF673E" w:rsidP="00DF673E">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Based on the March 2019 Office of Economic Forecasting and Analysis Forecast. </w:t>
      </w:r>
    </w:p>
  </w:footnote>
  <w:footnote w:id="3">
    <w:p w14:paraId="16DDE5F0" w14:textId="77777777" w:rsidR="00DF673E" w:rsidRPr="004B5630" w:rsidRDefault="00DF673E" w:rsidP="00DF673E">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November 5, 2019 General Election, </w:t>
      </w:r>
      <w:hyperlink r:id="rId1" w:history="1">
        <w:r w:rsidRPr="004B5630">
          <w:rPr>
            <w:rStyle w:val="Hyperlink"/>
            <w:rFonts w:ascii="Arial" w:hAnsi="Arial" w:cs="Arial"/>
          </w:rPr>
          <w:t>https://results.vote.wa.gov/results/current/king/</w:t>
        </w:r>
      </w:hyperlink>
      <w:r w:rsidRPr="004B5630">
        <w:rPr>
          <w:rFonts w:ascii="Arial" w:hAnsi="Arial" w:cs="Arial"/>
        </w:rPr>
        <w:t xml:space="preserve"> </w:t>
      </w:r>
    </w:p>
  </w:footnote>
  <w:footnote w:id="4">
    <w:p w14:paraId="3F7B0F0E" w14:textId="17AA9D53" w:rsidR="0005690E" w:rsidRPr="004B5630" w:rsidRDefault="0005690E">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In response to Central Staff questions, Executive staff stated that "The EMS Entrepreneurial program provided EMS Online training content (continuing medical education) to EMS providers outside of King County. It is in the process of being discontinued consistent with the budget proposal included in 2019-2020 budget." </w:t>
      </w:r>
    </w:p>
  </w:footnote>
  <w:footnote w:id="5">
    <w:p w14:paraId="59CADB4A" w14:textId="77777777" w:rsidR="002B2A18" w:rsidRPr="004B5630" w:rsidRDefault="002B2A18">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w:t>
      </w:r>
      <w:r w:rsidR="00226DE5" w:rsidRPr="004B5630">
        <w:rPr>
          <w:rFonts w:ascii="Arial" w:hAnsi="Arial" w:cs="Arial"/>
        </w:rPr>
        <w:t xml:space="preserve">Re-appropriated program balances: </w:t>
      </w:r>
      <w:r w:rsidRPr="004B5630">
        <w:rPr>
          <w:rFonts w:ascii="Arial" w:hAnsi="Arial" w:cs="Arial"/>
        </w:rPr>
        <w:t xml:space="preserve">Advanced Life Support </w:t>
      </w:r>
      <w:r w:rsidR="00226DE5" w:rsidRPr="004B5630">
        <w:rPr>
          <w:rFonts w:ascii="Arial" w:hAnsi="Arial" w:cs="Arial"/>
        </w:rPr>
        <w:t>$1,012,413; Regional Support Services $1,330,603.</w:t>
      </w:r>
    </w:p>
  </w:footnote>
  <w:footnote w:id="6">
    <w:p w14:paraId="3EE7B980" w14:textId="46007DC9" w:rsidR="002228B7" w:rsidRPr="004B5630" w:rsidRDefault="002228B7">
      <w:pPr>
        <w:pStyle w:val="FootnoteText"/>
        <w:rPr>
          <w:rFonts w:ascii="Arial" w:hAnsi="Arial" w:cs="Arial"/>
        </w:rPr>
      </w:pPr>
      <w:r w:rsidRPr="004B5630">
        <w:rPr>
          <w:rStyle w:val="FootnoteReference"/>
          <w:rFonts w:ascii="Arial" w:hAnsi="Arial" w:cs="Arial"/>
        </w:rPr>
        <w:footnoteRef/>
      </w:r>
      <w:r w:rsidRPr="004B5630">
        <w:rPr>
          <w:rFonts w:ascii="Arial" w:hAnsi="Arial" w:cs="Arial"/>
        </w:rPr>
        <w:t xml:space="preserve"> </w:t>
      </w:r>
      <w:r w:rsidR="00B275B6">
        <w:rPr>
          <w:rFonts w:ascii="Arial" w:hAnsi="Arial" w:cs="Arial"/>
        </w:rPr>
        <w:t>Amounts are in millions unless indicated otherwise.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E355"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A44D"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1069" w14:textId="77777777" w:rsidR="00C75025" w:rsidRDefault="00C75025" w:rsidP="00C75025">
    <w:pPr>
      <w:jc w:val="center"/>
    </w:pPr>
    <w:r>
      <w:rPr>
        <w:noProof/>
        <w:lang w:eastAsia="ko-KR"/>
      </w:rPr>
      <w:drawing>
        <wp:inline distT="0" distB="0" distL="0" distR="0" wp14:anchorId="053F1908" wp14:editId="60AFFBE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85D6FE0" w14:textId="77777777" w:rsidR="00C75025" w:rsidRPr="003B03EF" w:rsidRDefault="00C75025" w:rsidP="00C75025">
    <w:pPr>
      <w:jc w:val="center"/>
      <w:rPr>
        <w:rFonts w:ascii="Arial" w:hAnsi="Arial"/>
        <w:szCs w:val="22"/>
      </w:rPr>
    </w:pPr>
  </w:p>
  <w:p w14:paraId="2399B53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ACA252C"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922346"/>
    <w:multiLevelType w:val="hybridMultilevel"/>
    <w:tmpl w:val="74AE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37B04"/>
    <w:multiLevelType w:val="hybridMultilevel"/>
    <w:tmpl w:val="39CCA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0051AE"/>
    <w:multiLevelType w:val="hybridMultilevel"/>
    <w:tmpl w:val="2B68A39E"/>
    <w:lvl w:ilvl="0" w:tplc="667C2D94">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31D49"/>
    <w:multiLevelType w:val="hybridMultilevel"/>
    <w:tmpl w:val="601E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2"/>
  </w:num>
  <w:num w:numId="4">
    <w:abstractNumId w:val="46"/>
  </w:num>
  <w:num w:numId="5">
    <w:abstractNumId w:val="43"/>
  </w:num>
  <w:num w:numId="6">
    <w:abstractNumId w:val="13"/>
  </w:num>
  <w:num w:numId="7">
    <w:abstractNumId w:val="44"/>
  </w:num>
  <w:num w:numId="8">
    <w:abstractNumId w:val="15"/>
  </w:num>
  <w:num w:numId="9">
    <w:abstractNumId w:val="3"/>
  </w:num>
  <w:num w:numId="10">
    <w:abstractNumId w:val="45"/>
  </w:num>
  <w:num w:numId="11">
    <w:abstractNumId w:val="2"/>
  </w:num>
  <w:num w:numId="12">
    <w:abstractNumId w:val="20"/>
  </w:num>
  <w:num w:numId="13">
    <w:abstractNumId w:val="25"/>
  </w:num>
  <w:num w:numId="14">
    <w:abstractNumId w:val="19"/>
  </w:num>
  <w:num w:numId="15">
    <w:abstractNumId w:val="27"/>
  </w:num>
  <w:num w:numId="16">
    <w:abstractNumId w:val="16"/>
  </w:num>
  <w:num w:numId="17">
    <w:abstractNumId w:val="38"/>
  </w:num>
  <w:num w:numId="18">
    <w:abstractNumId w:val="26"/>
  </w:num>
  <w:num w:numId="19">
    <w:abstractNumId w:val="35"/>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0"/>
  </w:num>
  <w:num w:numId="29">
    <w:abstractNumId w:val="31"/>
  </w:num>
  <w:num w:numId="30">
    <w:abstractNumId w:val="1"/>
  </w:num>
  <w:num w:numId="31">
    <w:abstractNumId w:val="37"/>
  </w:num>
  <w:num w:numId="32">
    <w:abstractNumId w:val="39"/>
  </w:num>
  <w:num w:numId="33">
    <w:abstractNumId w:val="14"/>
  </w:num>
  <w:num w:numId="34">
    <w:abstractNumId w:val="11"/>
  </w:num>
  <w:num w:numId="35">
    <w:abstractNumId w:val="7"/>
  </w:num>
  <w:num w:numId="36">
    <w:abstractNumId w:val="30"/>
  </w:num>
  <w:num w:numId="37">
    <w:abstractNumId w:val="40"/>
  </w:num>
  <w:num w:numId="38">
    <w:abstractNumId w:val="23"/>
  </w:num>
  <w:num w:numId="39">
    <w:abstractNumId w:val="36"/>
  </w:num>
  <w:num w:numId="40">
    <w:abstractNumId w:val="32"/>
  </w:num>
  <w:num w:numId="41">
    <w:abstractNumId w:val="41"/>
  </w:num>
  <w:num w:numId="42">
    <w:abstractNumId w:val="29"/>
  </w:num>
  <w:num w:numId="43">
    <w:abstractNumId w:val="22"/>
  </w:num>
  <w:num w:numId="44">
    <w:abstractNumId w:val="18"/>
  </w:num>
  <w:num w:numId="45">
    <w:abstractNumId w:val="34"/>
  </w:num>
  <w:num w:numId="46">
    <w:abstractNumId w:val="17"/>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B96"/>
    <w:rsid w:val="0004549A"/>
    <w:rsid w:val="00046824"/>
    <w:rsid w:val="000470FF"/>
    <w:rsid w:val="0005201B"/>
    <w:rsid w:val="000533AF"/>
    <w:rsid w:val="00054384"/>
    <w:rsid w:val="000553F5"/>
    <w:rsid w:val="00055B9A"/>
    <w:rsid w:val="0005690E"/>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11A"/>
    <w:rsid w:val="000E4781"/>
    <w:rsid w:val="000E5D7E"/>
    <w:rsid w:val="000E7EFC"/>
    <w:rsid w:val="000F29F5"/>
    <w:rsid w:val="000F4DCA"/>
    <w:rsid w:val="000F5E4A"/>
    <w:rsid w:val="00103094"/>
    <w:rsid w:val="001051FA"/>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4C3D"/>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979"/>
    <w:rsid w:val="001D6FB9"/>
    <w:rsid w:val="001D7004"/>
    <w:rsid w:val="001D718E"/>
    <w:rsid w:val="001D74B8"/>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10F1"/>
    <w:rsid w:val="002228B7"/>
    <w:rsid w:val="00223040"/>
    <w:rsid w:val="00223D3F"/>
    <w:rsid w:val="00224F9B"/>
    <w:rsid w:val="00226DE5"/>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5B7"/>
    <w:rsid w:val="00293B99"/>
    <w:rsid w:val="00293D02"/>
    <w:rsid w:val="00294222"/>
    <w:rsid w:val="00296690"/>
    <w:rsid w:val="002A1127"/>
    <w:rsid w:val="002A1228"/>
    <w:rsid w:val="002A2420"/>
    <w:rsid w:val="002A26AB"/>
    <w:rsid w:val="002A6326"/>
    <w:rsid w:val="002B0E1F"/>
    <w:rsid w:val="002B2A18"/>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34C"/>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00"/>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B62"/>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0E0"/>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630"/>
    <w:rsid w:val="004B5D19"/>
    <w:rsid w:val="004B74B3"/>
    <w:rsid w:val="004C04FA"/>
    <w:rsid w:val="004C083D"/>
    <w:rsid w:val="004C20B1"/>
    <w:rsid w:val="004C241A"/>
    <w:rsid w:val="004C2642"/>
    <w:rsid w:val="004C2A6B"/>
    <w:rsid w:val="004C3D3A"/>
    <w:rsid w:val="004C437A"/>
    <w:rsid w:val="004C4AA8"/>
    <w:rsid w:val="004C4F9F"/>
    <w:rsid w:val="004C570A"/>
    <w:rsid w:val="004C76FB"/>
    <w:rsid w:val="004D160D"/>
    <w:rsid w:val="004D26D9"/>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47A"/>
    <w:rsid w:val="004F400E"/>
    <w:rsid w:val="004F504F"/>
    <w:rsid w:val="004F57F7"/>
    <w:rsid w:val="004F70E1"/>
    <w:rsid w:val="004F76E9"/>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365F"/>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6B6"/>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3E39"/>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43F7"/>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416"/>
    <w:rsid w:val="006C7139"/>
    <w:rsid w:val="006C71C9"/>
    <w:rsid w:val="006D1FAB"/>
    <w:rsid w:val="006D3174"/>
    <w:rsid w:val="006D4A90"/>
    <w:rsid w:val="006D51B3"/>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68AC"/>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7EE8"/>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574"/>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392C"/>
    <w:rsid w:val="00954BC9"/>
    <w:rsid w:val="00955248"/>
    <w:rsid w:val="0096284C"/>
    <w:rsid w:val="0096513A"/>
    <w:rsid w:val="009667CE"/>
    <w:rsid w:val="00966881"/>
    <w:rsid w:val="00967CB3"/>
    <w:rsid w:val="00970704"/>
    <w:rsid w:val="00970AEA"/>
    <w:rsid w:val="00970E73"/>
    <w:rsid w:val="009716A9"/>
    <w:rsid w:val="009718BD"/>
    <w:rsid w:val="00971D46"/>
    <w:rsid w:val="00972E6E"/>
    <w:rsid w:val="00973523"/>
    <w:rsid w:val="00976143"/>
    <w:rsid w:val="0097695C"/>
    <w:rsid w:val="00976A46"/>
    <w:rsid w:val="00977C67"/>
    <w:rsid w:val="009805F0"/>
    <w:rsid w:val="00981128"/>
    <w:rsid w:val="009822B2"/>
    <w:rsid w:val="009822E3"/>
    <w:rsid w:val="00986369"/>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5FF"/>
    <w:rsid w:val="009B6861"/>
    <w:rsid w:val="009C0CBB"/>
    <w:rsid w:val="009C245A"/>
    <w:rsid w:val="009C3B05"/>
    <w:rsid w:val="009C516E"/>
    <w:rsid w:val="009C597F"/>
    <w:rsid w:val="009C69CB"/>
    <w:rsid w:val="009C7DC6"/>
    <w:rsid w:val="009D2DE6"/>
    <w:rsid w:val="009D48A1"/>
    <w:rsid w:val="009D48CE"/>
    <w:rsid w:val="009D4FCF"/>
    <w:rsid w:val="009D55BB"/>
    <w:rsid w:val="009E2CE5"/>
    <w:rsid w:val="009E3F80"/>
    <w:rsid w:val="009E3FF6"/>
    <w:rsid w:val="009E652E"/>
    <w:rsid w:val="009F356D"/>
    <w:rsid w:val="009F5577"/>
    <w:rsid w:val="00A00CD2"/>
    <w:rsid w:val="00A02216"/>
    <w:rsid w:val="00A0226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345A"/>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0"/>
    <w:rsid w:val="00AA78FE"/>
    <w:rsid w:val="00AA7ACA"/>
    <w:rsid w:val="00AB0779"/>
    <w:rsid w:val="00AB2549"/>
    <w:rsid w:val="00AB546C"/>
    <w:rsid w:val="00AB5D11"/>
    <w:rsid w:val="00AB62CD"/>
    <w:rsid w:val="00AB745F"/>
    <w:rsid w:val="00AB7EDB"/>
    <w:rsid w:val="00AC1CD2"/>
    <w:rsid w:val="00AC515D"/>
    <w:rsid w:val="00AC5D44"/>
    <w:rsid w:val="00AC79F6"/>
    <w:rsid w:val="00AC7D17"/>
    <w:rsid w:val="00AD04A9"/>
    <w:rsid w:val="00AD04B2"/>
    <w:rsid w:val="00AD234A"/>
    <w:rsid w:val="00AD2CDA"/>
    <w:rsid w:val="00AD3A0E"/>
    <w:rsid w:val="00AD3B91"/>
    <w:rsid w:val="00AD41FD"/>
    <w:rsid w:val="00AD4C01"/>
    <w:rsid w:val="00AD6817"/>
    <w:rsid w:val="00AD704E"/>
    <w:rsid w:val="00AE080A"/>
    <w:rsid w:val="00AE1BE8"/>
    <w:rsid w:val="00AE1F16"/>
    <w:rsid w:val="00AE24B0"/>
    <w:rsid w:val="00AE34D3"/>
    <w:rsid w:val="00AE46C7"/>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5B6"/>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26E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5E7"/>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5C4D"/>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3DAB"/>
    <w:rsid w:val="00CE0613"/>
    <w:rsid w:val="00CE1231"/>
    <w:rsid w:val="00CE1F3A"/>
    <w:rsid w:val="00CE3A29"/>
    <w:rsid w:val="00CE74FD"/>
    <w:rsid w:val="00CE792B"/>
    <w:rsid w:val="00CE7E1D"/>
    <w:rsid w:val="00CF079B"/>
    <w:rsid w:val="00CF1D35"/>
    <w:rsid w:val="00CF61B9"/>
    <w:rsid w:val="00CF6A55"/>
    <w:rsid w:val="00CF7E2E"/>
    <w:rsid w:val="00D00BB2"/>
    <w:rsid w:val="00D0107F"/>
    <w:rsid w:val="00D016C8"/>
    <w:rsid w:val="00D01C73"/>
    <w:rsid w:val="00D020C1"/>
    <w:rsid w:val="00D04B87"/>
    <w:rsid w:val="00D12FCB"/>
    <w:rsid w:val="00D13B13"/>
    <w:rsid w:val="00D13D46"/>
    <w:rsid w:val="00D13DD3"/>
    <w:rsid w:val="00D143D7"/>
    <w:rsid w:val="00D16257"/>
    <w:rsid w:val="00D167BB"/>
    <w:rsid w:val="00D16B63"/>
    <w:rsid w:val="00D17A09"/>
    <w:rsid w:val="00D20DDB"/>
    <w:rsid w:val="00D2488B"/>
    <w:rsid w:val="00D24E56"/>
    <w:rsid w:val="00D258AE"/>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2430"/>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4FD7"/>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D31"/>
    <w:rsid w:val="00DE63A4"/>
    <w:rsid w:val="00DE71C2"/>
    <w:rsid w:val="00DE7334"/>
    <w:rsid w:val="00DE7EB8"/>
    <w:rsid w:val="00DF020E"/>
    <w:rsid w:val="00DF132C"/>
    <w:rsid w:val="00DF4519"/>
    <w:rsid w:val="00DF5528"/>
    <w:rsid w:val="00DF58D2"/>
    <w:rsid w:val="00DF673E"/>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3C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32B"/>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5AD0"/>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0C4E9"/>
  <w15:docId w15:val="{8BF3FCB9-E9E8-4C21-8824-9F343393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HeaderChar">
    <w:name w:val="Header Char"/>
    <w:basedOn w:val="DefaultParagraphFont"/>
    <w:link w:val="Header"/>
    <w:uiPriority w:val="99"/>
    <w:rsid w:val="004F76E9"/>
    <w:rPr>
      <w:sz w:val="24"/>
    </w:rPr>
  </w:style>
  <w:style w:type="character" w:customStyle="1" w:styleId="A10">
    <w:name w:val="A10"/>
    <w:uiPriority w:val="99"/>
    <w:rsid w:val="009822B2"/>
    <w:rPr>
      <w:rFonts w:cs="Franklin Gothic Heavy"/>
      <w:color w:val="000000"/>
      <w:sz w:val="20"/>
      <w:szCs w:val="20"/>
      <w:u w:val="single"/>
    </w:rPr>
  </w:style>
  <w:style w:type="character" w:customStyle="1" w:styleId="FootnoteTextChar">
    <w:name w:val="Footnote Text Char"/>
    <w:basedOn w:val="DefaultParagraphFont"/>
    <w:link w:val="FootnoteText"/>
    <w:uiPriority w:val="99"/>
    <w:rsid w:val="0098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304129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570996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909141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sults.vote.wa.gov/results/current/k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7" ma:contentTypeDescription="Create a new document." ma:contentTypeScope="" ma:versionID="3ba6ab45b3b9e969123d525e182e7bdb">
  <xsd:schema xmlns:xsd="http://www.w3.org/2001/XMLSchema" xmlns:xs="http://www.w3.org/2001/XMLSchema" xmlns:p="http://schemas.microsoft.com/office/2006/metadata/properties" xmlns:ns3="f03c4a70-37e1-4650-beaa-d8b4d2189bd6" targetNamespace="http://schemas.microsoft.com/office/2006/metadata/properties" ma:root="true" ma:fieldsID="10bed33a7a392ad2bc52792c636bec04"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6BBD-777D-47DB-B124-49A681A30DC4}">
  <ds:schemaRefs>
    <ds:schemaRef ds:uri="f03c4a70-37e1-4650-beaa-d8b4d2189b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90BB18-005B-43A6-BE00-786DFFAE2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53F2-1BE9-4AB5-9575-80BE4AFC5E7E}">
  <ds:schemaRefs>
    <ds:schemaRef ds:uri="http://schemas.microsoft.com/sharepoint/v3/contenttype/forms"/>
  </ds:schemaRefs>
</ds:datastoreItem>
</file>

<file path=customXml/itemProps4.xml><?xml version="1.0" encoding="utf-8"?>
<ds:datastoreItem xmlns:ds="http://schemas.openxmlformats.org/officeDocument/2006/customXml" ds:itemID="{C5648875-758C-455C-BA75-863A9E2C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Kim, Andrew</cp:lastModifiedBy>
  <cp:revision>14</cp:revision>
  <cp:lastPrinted>2015-03-13T15:09:00Z</cp:lastPrinted>
  <dcterms:created xsi:type="dcterms:W3CDTF">2019-11-13T19:32:00Z</dcterms:created>
  <dcterms:modified xsi:type="dcterms:W3CDTF">2019-11-15T06:29:00Z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