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54B4D" w14:textId="77777777" w:rsidR="00EB5A13" w:rsidRPr="00A46A5D" w:rsidRDefault="00EB5A13" w:rsidP="00EB5A13">
      <w:pPr>
        <w:pStyle w:val="Heading2"/>
        <w:rPr>
          <w:b w:val="0"/>
          <w:sz w:val="24"/>
          <w:u w:val="none"/>
        </w:rPr>
      </w:pPr>
    </w:p>
    <w:p w14:paraId="65969C24"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5DF102BE"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0B1D991D"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20321EC"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4D39079E" w14:textId="2FF9558B" w:rsidR="00EB5A13" w:rsidRPr="009349D6" w:rsidRDefault="00B620B9" w:rsidP="00074A56">
            <w:pPr>
              <w:spacing w:before="40" w:after="40"/>
              <w:rPr>
                <w:rFonts w:ascii="Arial" w:hAnsi="Arial" w:cs="Arial"/>
              </w:rPr>
            </w:pPr>
            <w:r>
              <w:rPr>
                <w:rFonts w:ascii="Arial" w:hAnsi="Arial" w:cs="Arial"/>
              </w:rPr>
              <w:t>5</w:t>
            </w:r>
          </w:p>
        </w:tc>
        <w:tc>
          <w:tcPr>
            <w:tcW w:w="1170" w:type="dxa"/>
            <w:tcBorders>
              <w:top w:val="single" w:sz="4" w:space="0" w:color="auto"/>
              <w:left w:val="single" w:sz="4" w:space="0" w:color="auto"/>
              <w:bottom w:val="single" w:sz="4" w:space="0" w:color="auto"/>
              <w:right w:val="single" w:sz="4" w:space="0" w:color="auto"/>
            </w:tcBorders>
            <w:vAlign w:val="center"/>
          </w:tcPr>
          <w:p w14:paraId="1FE60AAD"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573443E5" w14:textId="60395CB5" w:rsidR="00EB5A13" w:rsidRPr="009349D6" w:rsidRDefault="00FA03EF" w:rsidP="00074A56">
            <w:pPr>
              <w:spacing w:before="40" w:after="40"/>
              <w:rPr>
                <w:rFonts w:ascii="Arial" w:hAnsi="Arial" w:cs="Arial"/>
              </w:rPr>
            </w:pPr>
            <w:r>
              <w:rPr>
                <w:rFonts w:ascii="Arial" w:hAnsi="Arial" w:cs="Arial"/>
              </w:rPr>
              <w:t>Terra Rose</w:t>
            </w:r>
          </w:p>
        </w:tc>
      </w:tr>
      <w:tr w:rsidR="00EB5A13" w:rsidRPr="009349D6" w14:paraId="57A3B598"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98796C0"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31AEF37B" w14:textId="300A82B5" w:rsidR="00EB5A13" w:rsidRPr="009349D6" w:rsidRDefault="00FA03EF" w:rsidP="00074A56">
            <w:pPr>
              <w:spacing w:before="40" w:after="40"/>
              <w:rPr>
                <w:rFonts w:ascii="Arial" w:hAnsi="Arial" w:cs="Arial"/>
              </w:rPr>
            </w:pPr>
            <w:r>
              <w:rPr>
                <w:rFonts w:ascii="Arial" w:hAnsi="Arial" w:cs="Arial"/>
              </w:rPr>
              <w:t>2019-0429</w:t>
            </w:r>
          </w:p>
        </w:tc>
        <w:tc>
          <w:tcPr>
            <w:tcW w:w="1170" w:type="dxa"/>
            <w:tcBorders>
              <w:top w:val="single" w:sz="4" w:space="0" w:color="auto"/>
              <w:left w:val="single" w:sz="4" w:space="0" w:color="auto"/>
              <w:bottom w:val="single" w:sz="4" w:space="0" w:color="auto"/>
              <w:right w:val="single" w:sz="4" w:space="0" w:color="auto"/>
            </w:tcBorders>
            <w:vAlign w:val="center"/>
          </w:tcPr>
          <w:p w14:paraId="1FBF8436"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113FCCE2" w14:textId="11B18E6D" w:rsidR="00EB5A13" w:rsidRPr="009349D6" w:rsidRDefault="00FA03EF" w:rsidP="00074A56">
            <w:pPr>
              <w:spacing w:before="40" w:after="40"/>
              <w:rPr>
                <w:rFonts w:ascii="Arial" w:hAnsi="Arial" w:cs="Arial"/>
              </w:rPr>
            </w:pPr>
            <w:r>
              <w:rPr>
                <w:rFonts w:ascii="Arial" w:hAnsi="Arial" w:cs="Arial"/>
              </w:rPr>
              <w:t>November 4, 2019</w:t>
            </w:r>
          </w:p>
        </w:tc>
      </w:tr>
    </w:tbl>
    <w:p w14:paraId="79585C60" w14:textId="77777777" w:rsidR="004349B7" w:rsidRDefault="004349B7" w:rsidP="00F31CDD">
      <w:pPr>
        <w:rPr>
          <w:rFonts w:ascii="Arial" w:hAnsi="Arial" w:cs="Arial"/>
          <w:b/>
          <w:smallCaps/>
          <w:szCs w:val="24"/>
          <w:u w:val="single"/>
        </w:rPr>
      </w:pPr>
    </w:p>
    <w:p w14:paraId="4DDCC530" w14:textId="77777777" w:rsidR="00C75025" w:rsidRPr="009349D6" w:rsidRDefault="00C75025" w:rsidP="005B478C">
      <w:pPr>
        <w:jc w:val="both"/>
        <w:rPr>
          <w:rFonts w:ascii="Arial" w:hAnsi="Arial" w:cs="Arial"/>
          <w:b/>
          <w:u w:val="single"/>
        </w:rPr>
      </w:pPr>
      <w:r w:rsidRPr="009349D6">
        <w:rPr>
          <w:rFonts w:ascii="Arial" w:hAnsi="Arial" w:cs="Arial"/>
          <w:b/>
          <w:u w:val="single"/>
        </w:rPr>
        <w:t>SUBJECT</w:t>
      </w:r>
    </w:p>
    <w:p w14:paraId="29859516" w14:textId="77777777" w:rsidR="00074A56" w:rsidRDefault="00074A56" w:rsidP="005B478C">
      <w:pPr>
        <w:jc w:val="both"/>
        <w:rPr>
          <w:rFonts w:ascii="Arial" w:hAnsi="Arial" w:cs="Arial"/>
        </w:rPr>
      </w:pPr>
    </w:p>
    <w:p w14:paraId="04B52DE2" w14:textId="685608F0" w:rsidR="00C75025" w:rsidRDefault="00E95C7E" w:rsidP="005B478C">
      <w:pPr>
        <w:jc w:val="both"/>
        <w:rPr>
          <w:rFonts w:ascii="Arial" w:hAnsi="Arial" w:cs="Arial"/>
        </w:rPr>
      </w:pPr>
      <w:r>
        <w:rPr>
          <w:rFonts w:ascii="Arial" w:hAnsi="Arial" w:cs="Arial"/>
        </w:rPr>
        <w:t>Proposed Motion 2019-0429 would acknowledge rec</w:t>
      </w:r>
      <w:r w:rsidR="00256291">
        <w:rPr>
          <w:rFonts w:ascii="Arial" w:hAnsi="Arial" w:cs="Arial"/>
        </w:rPr>
        <w:t xml:space="preserve">eipt of a feasibility study </w:t>
      </w:r>
      <w:r w:rsidR="00B176EA">
        <w:rPr>
          <w:rFonts w:ascii="Arial" w:hAnsi="Arial" w:cs="Arial"/>
        </w:rPr>
        <w:t xml:space="preserve">related to long-term disposal of the region’s waste, comparing a waste to energy facility to waste export by rail, in response to a budget proviso. </w:t>
      </w:r>
    </w:p>
    <w:p w14:paraId="35ADF61E" w14:textId="77777777" w:rsidR="00C75025" w:rsidRDefault="00C75025" w:rsidP="005B478C">
      <w:pPr>
        <w:jc w:val="both"/>
        <w:rPr>
          <w:rFonts w:ascii="Arial" w:hAnsi="Arial" w:cs="Arial"/>
          <w:b/>
          <w:smallCaps/>
          <w:szCs w:val="24"/>
          <w:u w:val="single"/>
        </w:rPr>
      </w:pPr>
    </w:p>
    <w:p w14:paraId="6DC7AD85" w14:textId="77777777"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14:paraId="2058B23E" w14:textId="77777777" w:rsidR="00074A56" w:rsidRDefault="00074A56" w:rsidP="005B478C">
      <w:pPr>
        <w:jc w:val="both"/>
        <w:rPr>
          <w:rFonts w:ascii="Arial" w:hAnsi="Arial" w:cs="Arial"/>
        </w:rPr>
      </w:pPr>
    </w:p>
    <w:p w14:paraId="3E27C113" w14:textId="21C62316" w:rsidR="003B3C4A" w:rsidRDefault="008A4A7B" w:rsidP="005B478C">
      <w:pPr>
        <w:jc w:val="both"/>
        <w:rPr>
          <w:rFonts w:ascii="Arial" w:hAnsi="Arial" w:cs="Arial"/>
        </w:rPr>
      </w:pPr>
      <w:r>
        <w:rPr>
          <w:rFonts w:ascii="Arial" w:hAnsi="Arial" w:cs="Arial"/>
        </w:rPr>
        <w:t>King County’s Solid Waste Division (</w:t>
      </w:r>
      <w:r w:rsidR="000874BF">
        <w:rPr>
          <w:rFonts w:ascii="Arial" w:hAnsi="Arial" w:cs="Arial"/>
        </w:rPr>
        <w:t>“</w:t>
      </w:r>
      <w:r>
        <w:rPr>
          <w:rFonts w:ascii="Arial" w:hAnsi="Arial" w:cs="Arial"/>
        </w:rPr>
        <w:t>SWD</w:t>
      </w:r>
      <w:r w:rsidR="000874BF">
        <w:rPr>
          <w:rFonts w:ascii="Arial" w:hAnsi="Arial" w:cs="Arial"/>
        </w:rPr>
        <w:t>”</w:t>
      </w:r>
      <w:r>
        <w:rPr>
          <w:rFonts w:ascii="Arial" w:hAnsi="Arial" w:cs="Arial"/>
        </w:rPr>
        <w:t>) operates a regional solid waste system for the unincorporated area and 37 partner cities. This system includes one remaining local landfill, the Cedar Hills Regional Landfill, a 920-acre site located in Maple Valley</w:t>
      </w:r>
      <w:r w:rsidR="00F61D10">
        <w:rPr>
          <w:rFonts w:ascii="Arial" w:hAnsi="Arial" w:cs="Arial"/>
        </w:rPr>
        <w:t xml:space="preserve"> owned and operated by the County</w:t>
      </w:r>
      <w:r>
        <w:rPr>
          <w:rFonts w:ascii="Arial" w:hAnsi="Arial" w:cs="Arial"/>
        </w:rPr>
        <w:t>.</w:t>
      </w:r>
      <w:r w:rsidR="001C211F">
        <w:rPr>
          <w:rFonts w:ascii="Arial" w:hAnsi="Arial" w:cs="Arial"/>
        </w:rPr>
        <w:t xml:space="preserve"> </w:t>
      </w:r>
      <w:r w:rsidR="00625140">
        <w:rPr>
          <w:rFonts w:ascii="Arial" w:hAnsi="Arial" w:cs="Arial"/>
        </w:rPr>
        <w:t>This past spring, the Council approved the 2019 Comprehensive Solid Waste Management Plan,</w:t>
      </w:r>
      <w:r w:rsidR="004635C7">
        <w:rPr>
          <w:rStyle w:val="FootnoteReference"/>
          <w:rFonts w:ascii="Arial" w:hAnsi="Arial" w:cs="Arial"/>
        </w:rPr>
        <w:footnoteReference w:id="1"/>
      </w:r>
      <w:r w:rsidR="00625140">
        <w:rPr>
          <w:rFonts w:ascii="Arial" w:hAnsi="Arial" w:cs="Arial"/>
        </w:rPr>
        <w:t xml:space="preserve"> which directed further development of the Cedar Hills landfill to maximize disposal </w:t>
      </w:r>
      <w:r w:rsidR="00D6051F">
        <w:rPr>
          <w:rFonts w:ascii="Arial" w:hAnsi="Arial" w:cs="Arial"/>
        </w:rPr>
        <w:t xml:space="preserve">capacity </w:t>
      </w:r>
      <w:r w:rsidR="00553BF1">
        <w:rPr>
          <w:rFonts w:ascii="Arial" w:hAnsi="Arial" w:cs="Arial"/>
        </w:rPr>
        <w:t>instead of</w:t>
      </w:r>
      <w:r w:rsidR="004C1CD9">
        <w:rPr>
          <w:rFonts w:ascii="Arial" w:hAnsi="Arial" w:cs="Arial"/>
        </w:rPr>
        <w:t xml:space="preserve"> the other cons</w:t>
      </w:r>
      <w:r w:rsidR="002E5250">
        <w:rPr>
          <w:rFonts w:ascii="Arial" w:hAnsi="Arial" w:cs="Arial"/>
        </w:rPr>
        <w:t xml:space="preserve">idered options of a Waste-to-Energy facility and waste export by rail. However, the Plan </w:t>
      </w:r>
      <w:r w:rsidR="00625140">
        <w:rPr>
          <w:rFonts w:ascii="Arial" w:hAnsi="Arial" w:cs="Arial"/>
        </w:rPr>
        <w:t>did not specify</w:t>
      </w:r>
      <w:r w:rsidR="00FC1181">
        <w:rPr>
          <w:rFonts w:ascii="Arial" w:hAnsi="Arial" w:cs="Arial"/>
        </w:rPr>
        <w:t xml:space="preserve"> the next disposal method after ultimate Cedar Hills closure.</w:t>
      </w:r>
      <w:r w:rsidR="00625140">
        <w:rPr>
          <w:rFonts w:ascii="Arial" w:hAnsi="Arial" w:cs="Arial"/>
        </w:rPr>
        <w:t xml:space="preserve"> SWD is currently conducting a State Environmental Policy Act process to evaluate three engineering options to develop Cedar Hills </w:t>
      </w:r>
      <w:r w:rsidR="00647C74">
        <w:rPr>
          <w:rFonts w:ascii="Arial" w:hAnsi="Arial" w:cs="Arial"/>
        </w:rPr>
        <w:t xml:space="preserve">for additional capacity </w:t>
      </w:r>
      <w:r w:rsidR="00526AEF">
        <w:rPr>
          <w:rFonts w:ascii="Arial" w:hAnsi="Arial" w:cs="Arial"/>
        </w:rPr>
        <w:t>that</w:t>
      </w:r>
      <w:r w:rsidR="000B7200">
        <w:rPr>
          <w:rFonts w:ascii="Arial" w:hAnsi="Arial" w:cs="Arial"/>
        </w:rPr>
        <w:t xml:space="preserve"> Executive staff </w:t>
      </w:r>
      <w:r w:rsidR="00B15345">
        <w:rPr>
          <w:rFonts w:ascii="Arial" w:hAnsi="Arial" w:cs="Arial"/>
        </w:rPr>
        <w:t xml:space="preserve">estimate will </w:t>
      </w:r>
      <w:r w:rsidR="00631813">
        <w:rPr>
          <w:rFonts w:ascii="Arial" w:hAnsi="Arial" w:cs="Arial"/>
        </w:rPr>
        <w:t>extend the l</w:t>
      </w:r>
      <w:r w:rsidR="000874BF">
        <w:rPr>
          <w:rFonts w:ascii="Arial" w:hAnsi="Arial" w:cs="Arial"/>
        </w:rPr>
        <w:t>andfill’s life to between 2035 and 2041.</w:t>
      </w:r>
      <w:r w:rsidR="003B3C4A">
        <w:rPr>
          <w:rFonts w:ascii="Arial" w:hAnsi="Arial" w:cs="Arial"/>
        </w:rPr>
        <w:t xml:space="preserve"> </w:t>
      </w:r>
      <w:r w:rsidR="00937C89">
        <w:rPr>
          <w:rFonts w:ascii="Arial" w:hAnsi="Arial" w:cs="Arial"/>
        </w:rPr>
        <w:t>Because the current interlocal agreements with the partner cities obligate the County to dispose of the region’s waste through 2040 and it is not known the exact year when Cedar Hills will reach capacity, an alternative waste disposal strategy will need to be identified</w:t>
      </w:r>
      <w:r w:rsidR="0080103E">
        <w:rPr>
          <w:rFonts w:ascii="Arial" w:hAnsi="Arial" w:cs="Arial"/>
        </w:rPr>
        <w:t xml:space="preserve"> given the lead time </w:t>
      </w:r>
      <w:r w:rsidR="001D1154">
        <w:rPr>
          <w:rFonts w:ascii="Arial" w:hAnsi="Arial" w:cs="Arial"/>
        </w:rPr>
        <w:t xml:space="preserve">associated with </w:t>
      </w:r>
      <w:r w:rsidR="0080103E">
        <w:rPr>
          <w:rFonts w:ascii="Arial" w:hAnsi="Arial" w:cs="Arial"/>
        </w:rPr>
        <w:t>implement</w:t>
      </w:r>
      <w:r w:rsidR="001D1154">
        <w:rPr>
          <w:rFonts w:ascii="Arial" w:hAnsi="Arial" w:cs="Arial"/>
        </w:rPr>
        <w:t>ing</w:t>
      </w:r>
      <w:r w:rsidR="0080103E">
        <w:rPr>
          <w:rFonts w:ascii="Arial" w:hAnsi="Arial" w:cs="Arial"/>
        </w:rPr>
        <w:t xml:space="preserve"> the next disposal method</w:t>
      </w:r>
      <w:r w:rsidR="00F14FB5">
        <w:rPr>
          <w:rFonts w:ascii="Arial" w:hAnsi="Arial" w:cs="Arial"/>
        </w:rPr>
        <w:t>.</w:t>
      </w:r>
      <w:r w:rsidR="001C211F">
        <w:rPr>
          <w:rFonts w:ascii="Arial" w:hAnsi="Arial" w:cs="Arial"/>
        </w:rPr>
        <w:t xml:space="preserve"> </w:t>
      </w:r>
    </w:p>
    <w:p w14:paraId="6795595E" w14:textId="77777777" w:rsidR="003B3C4A" w:rsidRDefault="003B3C4A" w:rsidP="005B478C">
      <w:pPr>
        <w:jc w:val="both"/>
        <w:rPr>
          <w:rFonts w:ascii="Arial" w:hAnsi="Arial" w:cs="Arial"/>
        </w:rPr>
      </w:pPr>
    </w:p>
    <w:p w14:paraId="0706B03B" w14:textId="32D50CC5" w:rsidR="00A07CCE" w:rsidRDefault="00F14FB5" w:rsidP="005B478C">
      <w:pPr>
        <w:jc w:val="both"/>
        <w:rPr>
          <w:rFonts w:ascii="Arial" w:hAnsi="Arial" w:cs="Arial"/>
        </w:rPr>
      </w:pPr>
      <w:r>
        <w:rPr>
          <w:rFonts w:ascii="Arial" w:hAnsi="Arial" w:cs="Arial"/>
        </w:rPr>
        <w:t>In the 2019-2020 biennial budget,</w:t>
      </w:r>
      <w:r w:rsidR="00273BF4">
        <w:rPr>
          <w:rStyle w:val="FootnoteReference"/>
          <w:rFonts w:ascii="Arial" w:hAnsi="Arial" w:cs="Arial"/>
        </w:rPr>
        <w:footnoteReference w:id="2"/>
      </w:r>
      <w:r>
        <w:rPr>
          <w:rFonts w:ascii="Arial" w:hAnsi="Arial" w:cs="Arial"/>
        </w:rPr>
        <w:t xml:space="preserve"> the Council </w:t>
      </w:r>
      <w:r w:rsidR="003B3C4A">
        <w:rPr>
          <w:rFonts w:ascii="Arial" w:hAnsi="Arial" w:cs="Arial"/>
        </w:rPr>
        <w:t xml:space="preserve">directed </w:t>
      </w:r>
      <w:r w:rsidR="000863F9">
        <w:rPr>
          <w:rFonts w:ascii="Arial" w:hAnsi="Arial" w:cs="Arial"/>
        </w:rPr>
        <w:t xml:space="preserve">the Office of Performance, Strategy and Budget to </w:t>
      </w:r>
      <w:r w:rsidR="004B2112">
        <w:rPr>
          <w:rFonts w:ascii="Arial" w:hAnsi="Arial" w:cs="Arial"/>
        </w:rPr>
        <w:t>issue a Request for Proposal and manage a contractor to conduct</w:t>
      </w:r>
      <w:r w:rsidR="000863F9">
        <w:rPr>
          <w:rFonts w:ascii="Arial" w:hAnsi="Arial" w:cs="Arial"/>
        </w:rPr>
        <w:t xml:space="preserve"> a study </w:t>
      </w:r>
      <w:r w:rsidR="00E70C15">
        <w:rPr>
          <w:rFonts w:ascii="Arial" w:hAnsi="Arial" w:cs="Arial"/>
        </w:rPr>
        <w:t>evaluating</w:t>
      </w:r>
      <w:r w:rsidR="000863F9">
        <w:rPr>
          <w:rFonts w:ascii="Arial" w:hAnsi="Arial" w:cs="Arial"/>
        </w:rPr>
        <w:t xml:space="preserve"> the feasibility of either </w:t>
      </w:r>
      <w:r w:rsidR="00652AC3">
        <w:rPr>
          <w:rFonts w:ascii="Arial" w:hAnsi="Arial" w:cs="Arial"/>
        </w:rPr>
        <w:t xml:space="preserve">a </w:t>
      </w:r>
      <w:r w:rsidR="007F08A7">
        <w:rPr>
          <w:rFonts w:ascii="Arial" w:hAnsi="Arial" w:cs="Arial"/>
        </w:rPr>
        <w:t xml:space="preserve">Waste-to-Energy </w:t>
      </w:r>
      <w:r w:rsidR="00F04EF4">
        <w:rPr>
          <w:rFonts w:ascii="Arial" w:hAnsi="Arial" w:cs="Arial"/>
        </w:rPr>
        <w:t xml:space="preserve">(“WTE”) </w:t>
      </w:r>
      <w:r w:rsidR="007F08A7">
        <w:rPr>
          <w:rFonts w:ascii="Arial" w:hAnsi="Arial" w:cs="Arial"/>
        </w:rPr>
        <w:t>facility</w:t>
      </w:r>
      <w:r w:rsidR="000863F9">
        <w:rPr>
          <w:rFonts w:ascii="Arial" w:hAnsi="Arial" w:cs="Arial"/>
        </w:rPr>
        <w:t xml:space="preserve"> or waste export by rail as the County’s next disposal method.</w:t>
      </w:r>
      <w:r w:rsidR="004B2112">
        <w:rPr>
          <w:rFonts w:ascii="Arial" w:hAnsi="Arial" w:cs="Arial"/>
        </w:rPr>
        <w:t xml:space="preserve"> </w:t>
      </w:r>
      <w:r w:rsidR="00E254A4">
        <w:rPr>
          <w:rFonts w:ascii="Arial" w:hAnsi="Arial" w:cs="Arial"/>
        </w:rPr>
        <w:t>Included in the budget is a</w:t>
      </w:r>
      <w:r w:rsidR="003B3C4A">
        <w:rPr>
          <w:rFonts w:ascii="Arial" w:hAnsi="Arial" w:cs="Arial"/>
        </w:rPr>
        <w:t xml:space="preserve"> </w:t>
      </w:r>
      <w:r w:rsidR="004B2112">
        <w:rPr>
          <w:rFonts w:ascii="Arial" w:hAnsi="Arial" w:cs="Arial"/>
        </w:rPr>
        <w:t>proviso</w:t>
      </w:r>
      <w:r w:rsidR="007C4AEE">
        <w:rPr>
          <w:rFonts w:ascii="Arial" w:hAnsi="Arial" w:cs="Arial"/>
        </w:rPr>
        <w:t xml:space="preserve"> </w:t>
      </w:r>
      <w:r w:rsidR="001579C1">
        <w:rPr>
          <w:rFonts w:ascii="Arial" w:hAnsi="Arial" w:cs="Arial"/>
        </w:rPr>
        <w:t xml:space="preserve">that </w:t>
      </w:r>
      <w:r w:rsidR="007C4AEE">
        <w:rPr>
          <w:rFonts w:ascii="Arial" w:hAnsi="Arial" w:cs="Arial"/>
        </w:rPr>
        <w:t xml:space="preserve">requires the feasibility study to </w:t>
      </w:r>
      <w:r w:rsidR="00BF3C4B">
        <w:rPr>
          <w:rFonts w:ascii="Arial" w:hAnsi="Arial" w:cs="Arial"/>
        </w:rPr>
        <w:t xml:space="preserve">review the County’s projected waste forecast, as well as </w:t>
      </w:r>
      <w:r w:rsidR="00F722C0">
        <w:rPr>
          <w:rFonts w:ascii="Arial" w:hAnsi="Arial" w:cs="Arial"/>
        </w:rPr>
        <w:t xml:space="preserve">provide estimates for </w:t>
      </w:r>
      <w:r w:rsidR="00136904">
        <w:rPr>
          <w:rFonts w:ascii="Arial" w:hAnsi="Arial" w:cs="Arial"/>
        </w:rPr>
        <w:t xml:space="preserve">the </w:t>
      </w:r>
      <w:r w:rsidR="00F722C0">
        <w:rPr>
          <w:rFonts w:ascii="Arial" w:hAnsi="Arial" w:cs="Arial"/>
        </w:rPr>
        <w:t xml:space="preserve">costs and environmental impacts of both </w:t>
      </w:r>
      <w:r w:rsidR="004256D6">
        <w:rPr>
          <w:rFonts w:ascii="Arial" w:hAnsi="Arial" w:cs="Arial"/>
        </w:rPr>
        <w:t>options, among</w:t>
      </w:r>
      <w:r w:rsidR="00B17E32">
        <w:rPr>
          <w:rFonts w:ascii="Arial" w:hAnsi="Arial" w:cs="Arial"/>
        </w:rPr>
        <w:t xml:space="preserve"> other items.</w:t>
      </w:r>
    </w:p>
    <w:p w14:paraId="2195DA3D" w14:textId="77777777" w:rsidR="000216F6" w:rsidRDefault="000216F6" w:rsidP="005B478C">
      <w:pPr>
        <w:jc w:val="both"/>
        <w:rPr>
          <w:rFonts w:ascii="Arial" w:hAnsi="Arial" w:cs="Arial"/>
        </w:rPr>
      </w:pPr>
    </w:p>
    <w:p w14:paraId="650D565B" w14:textId="77777777" w:rsidR="007D74D4" w:rsidRDefault="004B2112" w:rsidP="005B478C">
      <w:pPr>
        <w:jc w:val="both"/>
        <w:rPr>
          <w:rFonts w:ascii="Arial" w:hAnsi="Arial" w:cs="Arial"/>
        </w:rPr>
      </w:pPr>
      <w:r>
        <w:rPr>
          <w:rFonts w:ascii="Arial" w:hAnsi="Arial" w:cs="Arial"/>
        </w:rPr>
        <w:lastRenderedPageBreak/>
        <w:t>P</w:t>
      </w:r>
      <w:r w:rsidR="00E11363">
        <w:rPr>
          <w:rFonts w:ascii="Arial" w:hAnsi="Arial" w:cs="Arial"/>
        </w:rPr>
        <w:t>roposed Motion 2019-0429</w:t>
      </w:r>
      <w:r w:rsidR="00C45122">
        <w:rPr>
          <w:rFonts w:ascii="Arial" w:hAnsi="Arial" w:cs="Arial"/>
        </w:rPr>
        <w:t xml:space="preserve"> </w:t>
      </w:r>
      <w:r w:rsidR="00717413">
        <w:rPr>
          <w:rFonts w:ascii="Arial" w:hAnsi="Arial" w:cs="Arial"/>
        </w:rPr>
        <w:t xml:space="preserve">would acknowledge receipt of </w:t>
      </w:r>
      <w:r w:rsidR="00C15CF8">
        <w:rPr>
          <w:rFonts w:ascii="Arial" w:hAnsi="Arial" w:cs="Arial"/>
        </w:rPr>
        <w:t xml:space="preserve">the </w:t>
      </w:r>
      <w:r w:rsidR="00C15CF8">
        <w:rPr>
          <w:rFonts w:ascii="Arial" w:hAnsi="Arial" w:cs="Arial"/>
          <w:i/>
        </w:rPr>
        <w:t>King County Waste-to-Energy and Waste Export by Rail Feasibility Study</w:t>
      </w:r>
      <w:r w:rsidR="00C15CF8">
        <w:rPr>
          <w:rFonts w:ascii="Arial" w:hAnsi="Arial" w:cs="Arial"/>
        </w:rPr>
        <w:t xml:space="preserve"> </w:t>
      </w:r>
      <w:r w:rsidR="001579C1">
        <w:rPr>
          <w:rFonts w:ascii="Arial" w:hAnsi="Arial" w:cs="Arial"/>
        </w:rPr>
        <w:t>developed</w:t>
      </w:r>
      <w:r w:rsidR="00C15CF8">
        <w:rPr>
          <w:rFonts w:ascii="Arial" w:hAnsi="Arial" w:cs="Arial"/>
        </w:rPr>
        <w:t xml:space="preserve"> by the consultant Arcadis. </w:t>
      </w:r>
      <w:r w:rsidR="003F4153">
        <w:rPr>
          <w:rFonts w:ascii="Arial" w:hAnsi="Arial" w:cs="Arial"/>
        </w:rPr>
        <w:t xml:space="preserve">The consultant </w:t>
      </w:r>
      <w:r w:rsidR="00977049">
        <w:rPr>
          <w:rFonts w:ascii="Arial" w:hAnsi="Arial" w:cs="Arial"/>
        </w:rPr>
        <w:t>concludes based on its financial modeling that the total costs</w:t>
      </w:r>
      <w:r w:rsidR="005C45EB">
        <w:rPr>
          <w:rFonts w:ascii="Arial" w:hAnsi="Arial" w:cs="Arial"/>
        </w:rPr>
        <w:t xml:space="preserve"> (offset by revenues)</w:t>
      </w:r>
      <w:r w:rsidR="004256D6">
        <w:rPr>
          <w:rStyle w:val="FootnoteReference"/>
          <w:rFonts w:ascii="Arial" w:hAnsi="Arial" w:cs="Arial"/>
        </w:rPr>
        <w:footnoteReference w:id="3"/>
      </w:r>
      <w:r w:rsidR="00977049">
        <w:rPr>
          <w:rFonts w:ascii="Arial" w:hAnsi="Arial" w:cs="Arial"/>
        </w:rPr>
        <w:t xml:space="preserve"> for both long-term disposal options are similar in the ten-year near-term</w:t>
      </w:r>
      <w:r w:rsidR="007F53F1">
        <w:rPr>
          <w:rFonts w:ascii="Arial" w:hAnsi="Arial" w:cs="Arial"/>
        </w:rPr>
        <w:t xml:space="preserve"> at over </w:t>
      </w:r>
      <w:r w:rsidR="00DC6DA0">
        <w:rPr>
          <w:rFonts w:ascii="Arial" w:hAnsi="Arial" w:cs="Arial"/>
        </w:rPr>
        <w:t>one billion dollars</w:t>
      </w:r>
      <w:r w:rsidR="00977049">
        <w:rPr>
          <w:rFonts w:ascii="Arial" w:hAnsi="Arial" w:cs="Arial"/>
        </w:rPr>
        <w:t xml:space="preserve">, but that a WTE facility could cost less in the </w:t>
      </w:r>
      <w:r w:rsidR="00DC6DA0">
        <w:rPr>
          <w:rFonts w:ascii="Arial" w:hAnsi="Arial" w:cs="Arial"/>
        </w:rPr>
        <w:t xml:space="preserve">fifty-year </w:t>
      </w:r>
      <w:r w:rsidR="00977049">
        <w:rPr>
          <w:rFonts w:ascii="Arial" w:hAnsi="Arial" w:cs="Arial"/>
        </w:rPr>
        <w:t>long-term</w:t>
      </w:r>
      <w:r w:rsidR="00536FC1">
        <w:rPr>
          <w:rFonts w:ascii="Arial" w:hAnsi="Arial" w:cs="Arial"/>
        </w:rPr>
        <w:t xml:space="preserve"> ($</w:t>
      </w:r>
      <w:r w:rsidR="00690A76">
        <w:rPr>
          <w:rFonts w:ascii="Arial" w:hAnsi="Arial" w:cs="Arial"/>
        </w:rPr>
        <w:t xml:space="preserve">6.96 to </w:t>
      </w:r>
      <w:r w:rsidR="00AE63F2">
        <w:rPr>
          <w:rFonts w:ascii="Arial" w:hAnsi="Arial" w:cs="Arial"/>
        </w:rPr>
        <w:t>$8.90 billion for WTE and $11.25 to $16.14 billion for waste export).</w:t>
      </w:r>
      <w:r w:rsidR="00F84E15">
        <w:rPr>
          <w:rFonts w:ascii="Arial" w:hAnsi="Arial" w:cs="Arial"/>
        </w:rPr>
        <w:t xml:space="preserve"> </w:t>
      </w:r>
    </w:p>
    <w:p w14:paraId="40DB854C" w14:textId="77777777" w:rsidR="007D74D4" w:rsidRDefault="007D74D4" w:rsidP="005B478C">
      <w:pPr>
        <w:jc w:val="both"/>
        <w:rPr>
          <w:rFonts w:ascii="Arial" w:hAnsi="Arial" w:cs="Arial"/>
        </w:rPr>
      </w:pPr>
    </w:p>
    <w:p w14:paraId="52E52902" w14:textId="4BB6DA24" w:rsidR="00F654D8" w:rsidRDefault="002F6B0A" w:rsidP="005B478C">
      <w:pPr>
        <w:jc w:val="both"/>
        <w:rPr>
          <w:rFonts w:ascii="Arial" w:hAnsi="Arial" w:cs="Arial"/>
        </w:rPr>
      </w:pPr>
      <w:r>
        <w:rPr>
          <w:rFonts w:ascii="Arial" w:hAnsi="Arial" w:cs="Arial"/>
        </w:rPr>
        <w:t xml:space="preserve">Additionally, the consultant estimates that a WTE facility would have comparatively less greenhouse gas emissions than waste export by rail given the opportunity for emissions offsets through recycling the resulting ash byproduct and recovered metals. </w:t>
      </w:r>
      <w:r w:rsidR="00EB2065">
        <w:rPr>
          <w:rFonts w:ascii="Arial" w:hAnsi="Arial" w:cs="Arial"/>
        </w:rPr>
        <w:t>The study notes</w:t>
      </w:r>
      <w:r w:rsidR="0021798C">
        <w:rPr>
          <w:rFonts w:ascii="Arial" w:hAnsi="Arial" w:cs="Arial"/>
        </w:rPr>
        <w:t>, however,</w:t>
      </w:r>
      <w:r w:rsidR="00EB2065">
        <w:rPr>
          <w:rFonts w:ascii="Arial" w:hAnsi="Arial" w:cs="Arial"/>
        </w:rPr>
        <w:t xml:space="preserve"> </w:t>
      </w:r>
      <w:r w:rsidR="00977049">
        <w:rPr>
          <w:rFonts w:ascii="Arial" w:hAnsi="Arial" w:cs="Arial"/>
        </w:rPr>
        <w:t>that</w:t>
      </w:r>
      <w:r w:rsidR="00686FEC">
        <w:rPr>
          <w:rFonts w:ascii="Arial" w:hAnsi="Arial" w:cs="Arial"/>
        </w:rPr>
        <w:t xml:space="preserve"> the estimates are dependent on the</w:t>
      </w:r>
      <w:r w:rsidR="00C63632">
        <w:rPr>
          <w:rFonts w:ascii="Arial" w:hAnsi="Arial" w:cs="Arial"/>
        </w:rPr>
        <w:t xml:space="preserve"> different variables and assumptions made in the financial </w:t>
      </w:r>
      <w:r>
        <w:rPr>
          <w:rFonts w:ascii="Arial" w:hAnsi="Arial" w:cs="Arial"/>
        </w:rPr>
        <w:t xml:space="preserve">and greenhouse gas </w:t>
      </w:r>
      <w:r w:rsidR="00C63632">
        <w:rPr>
          <w:rFonts w:ascii="Arial" w:hAnsi="Arial" w:cs="Arial"/>
        </w:rPr>
        <w:t>model</w:t>
      </w:r>
      <w:r>
        <w:rPr>
          <w:rFonts w:ascii="Arial" w:hAnsi="Arial" w:cs="Arial"/>
        </w:rPr>
        <w:t>s</w:t>
      </w:r>
      <w:r w:rsidR="00686FEC">
        <w:rPr>
          <w:rFonts w:ascii="Arial" w:hAnsi="Arial" w:cs="Arial"/>
        </w:rPr>
        <w:t>.</w:t>
      </w:r>
      <w:r w:rsidR="005C4B26">
        <w:rPr>
          <w:rFonts w:ascii="Arial" w:hAnsi="Arial" w:cs="Arial"/>
        </w:rPr>
        <w:t xml:space="preserve"> </w:t>
      </w:r>
      <w:r w:rsidR="008751ED">
        <w:rPr>
          <w:rFonts w:ascii="Arial" w:hAnsi="Arial" w:cs="Arial"/>
        </w:rPr>
        <w:t>Further</w:t>
      </w:r>
      <w:r w:rsidR="005C4B26">
        <w:rPr>
          <w:rFonts w:ascii="Arial" w:hAnsi="Arial" w:cs="Arial"/>
        </w:rPr>
        <w:t xml:space="preserve"> detail concerning how these figures were derived and the </w:t>
      </w:r>
      <w:r w:rsidR="00EE5B6C">
        <w:rPr>
          <w:rFonts w:ascii="Arial" w:hAnsi="Arial" w:cs="Arial"/>
        </w:rPr>
        <w:t>c</w:t>
      </w:r>
      <w:r w:rsidR="005C4B26">
        <w:rPr>
          <w:rFonts w:ascii="Arial" w:hAnsi="Arial" w:cs="Arial"/>
        </w:rPr>
        <w:t xml:space="preserve">onsultant’s assumptions can be found both in the remainder of this staff report, as well as the in the </w:t>
      </w:r>
      <w:r w:rsidR="00EE5B6C">
        <w:rPr>
          <w:rFonts w:ascii="Arial" w:hAnsi="Arial" w:cs="Arial"/>
        </w:rPr>
        <w:t>study</w:t>
      </w:r>
      <w:r w:rsidR="005C4B26">
        <w:rPr>
          <w:rFonts w:ascii="Arial" w:hAnsi="Arial" w:cs="Arial"/>
        </w:rPr>
        <w:t xml:space="preserve"> and associated appendices</w:t>
      </w:r>
      <w:r>
        <w:rPr>
          <w:rFonts w:ascii="Arial" w:hAnsi="Arial" w:cs="Arial"/>
        </w:rPr>
        <w:t>.</w:t>
      </w:r>
    </w:p>
    <w:p w14:paraId="235F833E" w14:textId="223A9886" w:rsidR="00690A76" w:rsidRDefault="00690A76" w:rsidP="005B478C">
      <w:pPr>
        <w:jc w:val="both"/>
        <w:rPr>
          <w:rFonts w:ascii="Arial" w:hAnsi="Arial" w:cs="Arial"/>
        </w:rPr>
      </w:pPr>
    </w:p>
    <w:p w14:paraId="6D1178C7" w14:textId="387A9FF5" w:rsidR="00B23A00" w:rsidRPr="00C15CF8" w:rsidRDefault="00850B78" w:rsidP="005B478C">
      <w:pPr>
        <w:jc w:val="both"/>
        <w:rPr>
          <w:rFonts w:ascii="Arial" w:hAnsi="Arial" w:cs="Arial"/>
          <w:szCs w:val="24"/>
        </w:rPr>
      </w:pPr>
      <w:r>
        <w:rPr>
          <w:rFonts w:ascii="Arial" w:hAnsi="Arial" w:cs="Arial"/>
        </w:rPr>
        <w:t xml:space="preserve">Approval of </w:t>
      </w:r>
      <w:r w:rsidR="004C1FC2">
        <w:rPr>
          <w:rFonts w:ascii="Arial" w:hAnsi="Arial" w:cs="Arial"/>
        </w:rPr>
        <w:t xml:space="preserve">Proposed Motion 2019-0429 </w:t>
      </w:r>
      <w:r>
        <w:rPr>
          <w:rFonts w:ascii="Arial" w:hAnsi="Arial" w:cs="Arial"/>
        </w:rPr>
        <w:t xml:space="preserve">release the funds encumbered by the proviso, however would not provide Council approval for the next disposal method. </w:t>
      </w:r>
      <w:r w:rsidR="00726FEC">
        <w:rPr>
          <w:rFonts w:ascii="Arial" w:hAnsi="Arial" w:cs="Arial"/>
        </w:rPr>
        <w:t xml:space="preserve">The main legislative vehicle for solid waste system planning decisions, including long-term disposal, is through updates to the Comprehensive Solid Waste Management Plan. </w:t>
      </w:r>
    </w:p>
    <w:p w14:paraId="18A6F513" w14:textId="77777777" w:rsidR="00C75025" w:rsidRDefault="00C75025" w:rsidP="005B478C">
      <w:pPr>
        <w:jc w:val="both"/>
        <w:rPr>
          <w:rFonts w:ascii="Arial" w:hAnsi="Arial" w:cs="Arial"/>
          <w:szCs w:val="24"/>
        </w:rPr>
      </w:pPr>
    </w:p>
    <w:p w14:paraId="5814AB46"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2BFB8050" w14:textId="77777777" w:rsidR="00074A56" w:rsidRDefault="00074A56" w:rsidP="005B478C">
      <w:pPr>
        <w:jc w:val="both"/>
        <w:rPr>
          <w:rFonts w:ascii="Arial" w:hAnsi="Arial" w:cs="Arial"/>
        </w:rPr>
      </w:pPr>
    </w:p>
    <w:p w14:paraId="255B00B1" w14:textId="7F3E0430" w:rsidR="002739AA" w:rsidRDefault="00C45122" w:rsidP="005B478C">
      <w:pPr>
        <w:jc w:val="both"/>
        <w:rPr>
          <w:rFonts w:ascii="Arial" w:hAnsi="Arial" w:cs="Arial"/>
        </w:rPr>
      </w:pPr>
      <w:r>
        <w:rPr>
          <w:rFonts w:ascii="Arial" w:hAnsi="Arial" w:cs="Arial"/>
        </w:rPr>
        <w:t>The King County Solid Waste Division (</w:t>
      </w:r>
      <w:r w:rsidR="00716A7F">
        <w:rPr>
          <w:rFonts w:ascii="Arial" w:hAnsi="Arial" w:cs="Arial"/>
        </w:rPr>
        <w:t>“</w:t>
      </w:r>
      <w:r>
        <w:rPr>
          <w:rFonts w:ascii="Arial" w:hAnsi="Arial" w:cs="Arial"/>
        </w:rPr>
        <w:t>SWD</w:t>
      </w:r>
      <w:r w:rsidR="00F72D28">
        <w:rPr>
          <w:rFonts w:ascii="Arial" w:hAnsi="Arial" w:cs="Arial"/>
        </w:rPr>
        <w:t>”</w:t>
      </w:r>
      <w:r>
        <w:rPr>
          <w:rFonts w:ascii="Arial" w:hAnsi="Arial" w:cs="Arial"/>
        </w:rPr>
        <w:t xml:space="preserve">) operates eight transfer stations, two drop boxes, the Cedar Hills Regional Landfill, </w:t>
      </w:r>
      <w:r w:rsidR="00F72D28">
        <w:rPr>
          <w:rFonts w:ascii="Arial" w:hAnsi="Arial" w:cs="Arial"/>
        </w:rPr>
        <w:t>as well as</w:t>
      </w:r>
      <w:r>
        <w:rPr>
          <w:rFonts w:ascii="Arial" w:hAnsi="Arial" w:cs="Arial"/>
        </w:rPr>
        <w:t xml:space="preserve"> waste prevention and recycling programs for the unincorporated area and 37 partner cities.</w:t>
      </w:r>
      <w:r w:rsidR="00332D5F">
        <w:rPr>
          <w:rFonts w:ascii="Arial" w:hAnsi="Arial" w:cs="Arial"/>
        </w:rPr>
        <w:t xml:space="preserve"> </w:t>
      </w:r>
      <w:r w:rsidR="001D1F5F">
        <w:rPr>
          <w:rFonts w:ascii="Arial" w:hAnsi="Arial" w:cs="Arial"/>
        </w:rPr>
        <w:t xml:space="preserve">The County’s solid waste system is supported by </w:t>
      </w:r>
      <w:r w:rsidR="001B0652">
        <w:rPr>
          <w:rFonts w:ascii="Arial" w:hAnsi="Arial" w:cs="Arial"/>
        </w:rPr>
        <w:t>a variety of disposal fees that are approved by the Council</w:t>
      </w:r>
      <w:r w:rsidR="00F508E6">
        <w:rPr>
          <w:rFonts w:ascii="Arial" w:hAnsi="Arial" w:cs="Arial"/>
        </w:rPr>
        <w:t>.</w:t>
      </w:r>
      <w:r w:rsidR="000D1D7E">
        <w:rPr>
          <w:rFonts w:ascii="Arial" w:hAnsi="Arial" w:cs="Arial"/>
        </w:rPr>
        <w:t xml:space="preserve"> The</w:t>
      </w:r>
      <w:r w:rsidR="0085404A">
        <w:rPr>
          <w:rFonts w:ascii="Arial" w:hAnsi="Arial" w:cs="Arial"/>
        </w:rPr>
        <w:t xml:space="preserve"> per ton disposal fee for garbage at most recycling and transfer stations is </w:t>
      </w:r>
      <w:r w:rsidR="00F72D28">
        <w:rPr>
          <w:rFonts w:ascii="Arial" w:hAnsi="Arial" w:cs="Arial"/>
        </w:rPr>
        <w:t xml:space="preserve">currently </w:t>
      </w:r>
      <w:r w:rsidR="005E461F">
        <w:rPr>
          <w:rFonts w:ascii="Arial" w:hAnsi="Arial" w:cs="Arial"/>
        </w:rPr>
        <w:t>$140.82.</w:t>
      </w:r>
      <w:r w:rsidR="005E461F">
        <w:rPr>
          <w:rStyle w:val="FootnoteReference"/>
          <w:rFonts w:ascii="Arial" w:hAnsi="Arial" w:cs="Arial"/>
        </w:rPr>
        <w:footnoteReference w:id="4"/>
      </w:r>
      <w:r w:rsidR="007D74D4">
        <w:rPr>
          <w:rFonts w:ascii="Arial" w:hAnsi="Arial" w:cs="Arial"/>
        </w:rPr>
        <w:t xml:space="preserve"> For the 2019-2020 budget, SWD has been appropriated </w:t>
      </w:r>
      <w:r w:rsidR="00573290">
        <w:rPr>
          <w:rFonts w:ascii="Arial" w:hAnsi="Arial" w:cs="Arial"/>
        </w:rPr>
        <w:t>$3</w:t>
      </w:r>
      <w:r w:rsidR="0000056A">
        <w:rPr>
          <w:rFonts w:ascii="Arial" w:hAnsi="Arial" w:cs="Arial"/>
        </w:rPr>
        <w:t>23.2 million</w:t>
      </w:r>
      <w:r w:rsidR="0000056A">
        <w:rPr>
          <w:rStyle w:val="FootnoteReference"/>
          <w:rFonts w:ascii="Arial" w:hAnsi="Arial" w:cs="Arial"/>
        </w:rPr>
        <w:footnoteReference w:id="5"/>
      </w:r>
      <w:r w:rsidR="007D74D4">
        <w:rPr>
          <w:rFonts w:ascii="Arial" w:hAnsi="Arial" w:cs="Arial"/>
        </w:rPr>
        <w:t xml:space="preserve"> and </w:t>
      </w:r>
      <w:r w:rsidR="00606404">
        <w:rPr>
          <w:rFonts w:ascii="Arial" w:hAnsi="Arial" w:cs="Arial"/>
        </w:rPr>
        <w:t>$178.8 million</w:t>
      </w:r>
      <w:r w:rsidR="007D74D4">
        <w:rPr>
          <w:rFonts w:ascii="Arial" w:hAnsi="Arial" w:cs="Arial"/>
        </w:rPr>
        <w:t xml:space="preserve"> in capital</w:t>
      </w:r>
      <w:r w:rsidR="00606404">
        <w:rPr>
          <w:rStyle w:val="FootnoteReference"/>
          <w:rFonts w:ascii="Arial" w:hAnsi="Arial" w:cs="Arial"/>
        </w:rPr>
        <w:footnoteReference w:id="6"/>
      </w:r>
      <w:r w:rsidR="007D74D4">
        <w:rPr>
          <w:rFonts w:ascii="Arial" w:hAnsi="Arial" w:cs="Arial"/>
        </w:rPr>
        <w:t xml:space="preserve"> fund</w:t>
      </w:r>
      <w:r w:rsidR="00606404">
        <w:rPr>
          <w:rFonts w:ascii="Arial" w:hAnsi="Arial" w:cs="Arial"/>
        </w:rPr>
        <w:t>s.</w:t>
      </w:r>
    </w:p>
    <w:p w14:paraId="60ED2CF2" w14:textId="5488BE16" w:rsidR="00573290" w:rsidRDefault="00573290" w:rsidP="005B478C">
      <w:pPr>
        <w:jc w:val="both"/>
        <w:rPr>
          <w:rFonts w:ascii="Arial" w:hAnsi="Arial" w:cs="Arial"/>
        </w:rPr>
      </w:pPr>
    </w:p>
    <w:p w14:paraId="3B56BA2A" w14:textId="4D42D0E8" w:rsidR="001674E8" w:rsidRDefault="00582C24" w:rsidP="005B478C">
      <w:pPr>
        <w:jc w:val="both"/>
        <w:rPr>
          <w:rFonts w:ascii="Arial" w:hAnsi="Arial" w:cs="Arial"/>
        </w:rPr>
      </w:pPr>
      <w:r>
        <w:rPr>
          <w:rFonts w:ascii="Arial" w:hAnsi="Arial" w:cs="Arial"/>
          <w:b/>
        </w:rPr>
        <w:t>Cedar Hills Regional Landfill</w:t>
      </w:r>
      <w:r w:rsidR="00962C38">
        <w:rPr>
          <w:rFonts w:ascii="Arial" w:hAnsi="Arial" w:cs="Arial"/>
          <w:b/>
        </w:rPr>
        <w:t xml:space="preserve"> and Long-Term Disposal Planning</w:t>
      </w:r>
      <w:r>
        <w:rPr>
          <w:rFonts w:ascii="Arial" w:hAnsi="Arial" w:cs="Arial"/>
          <w:b/>
        </w:rPr>
        <w:t xml:space="preserve">. </w:t>
      </w:r>
      <w:r w:rsidR="00F72D28">
        <w:rPr>
          <w:rFonts w:ascii="Arial" w:hAnsi="Arial" w:cs="Arial"/>
        </w:rPr>
        <w:t>The</w:t>
      </w:r>
      <w:r>
        <w:rPr>
          <w:rFonts w:ascii="Arial" w:hAnsi="Arial" w:cs="Arial"/>
        </w:rPr>
        <w:t xml:space="preserve"> Cedar Hills Regional Landfill</w:t>
      </w:r>
      <w:r w:rsidR="00F61D10">
        <w:rPr>
          <w:rFonts w:ascii="Arial" w:hAnsi="Arial" w:cs="Arial"/>
        </w:rPr>
        <w:t>, owned and operated by the County,</w:t>
      </w:r>
      <w:r>
        <w:rPr>
          <w:rFonts w:ascii="Arial" w:hAnsi="Arial" w:cs="Arial"/>
        </w:rPr>
        <w:t xml:space="preserve"> has served as the final disposal location for the region’s mixed municipal solid waste since its opening in 1965. </w:t>
      </w:r>
      <w:r w:rsidR="00CD78E1">
        <w:rPr>
          <w:rFonts w:ascii="Arial" w:hAnsi="Arial" w:cs="Arial"/>
        </w:rPr>
        <w:t>In 2017, approximately 931,000 tons of waste were disposed at the landfill.</w:t>
      </w:r>
      <w:r w:rsidR="00CD78E1">
        <w:rPr>
          <w:rStyle w:val="FootnoteReference"/>
          <w:rFonts w:ascii="Arial" w:hAnsi="Arial" w:cs="Arial"/>
        </w:rPr>
        <w:footnoteReference w:id="7"/>
      </w:r>
    </w:p>
    <w:p w14:paraId="3177FE41" w14:textId="6361C759" w:rsidR="00616E03" w:rsidRDefault="00616E03" w:rsidP="005B478C">
      <w:pPr>
        <w:jc w:val="both"/>
        <w:rPr>
          <w:rFonts w:ascii="Arial" w:hAnsi="Arial" w:cs="Arial"/>
        </w:rPr>
      </w:pPr>
    </w:p>
    <w:p w14:paraId="392982F7" w14:textId="713FF3AD" w:rsidR="00616E03" w:rsidRDefault="00616E03" w:rsidP="005B478C">
      <w:pPr>
        <w:jc w:val="both"/>
        <w:rPr>
          <w:rFonts w:ascii="Arial" w:hAnsi="Arial" w:cs="Arial"/>
        </w:rPr>
      </w:pPr>
      <w:r>
        <w:rPr>
          <w:rFonts w:ascii="Arial" w:hAnsi="Arial" w:cs="Arial"/>
        </w:rPr>
        <w:t>This past spring, the Council approved the 2019 Comprehensive Solid Waste Management Plan,</w:t>
      </w:r>
      <w:r w:rsidR="00F72D28">
        <w:rPr>
          <w:rStyle w:val="FootnoteReference"/>
          <w:rFonts w:ascii="Arial" w:hAnsi="Arial" w:cs="Arial"/>
        </w:rPr>
        <w:footnoteReference w:id="8"/>
      </w:r>
      <w:r>
        <w:rPr>
          <w:rFonts w:ascii="Arial" w:hAnsi="Arial" w:cs="Arial"/>
        </w:rPr>
        <w:t xml:space="preserve"> which directed further development</w:t>
      </w:r>
      <w:r w:rsidR="00710FDF">
        <w:rPr>
          <w:rFonts w:ascii="Arial" w:hAnsi="Arial" w:cs="Arial"/>
        </w:rPr>
        <w:t xml:space="preserve"> of the Cedar Hills landfill to maximize disposal </w:t>
      </w:r>
      <w:r w:rsidR="00EB2A3A">
        <w:rPr>
          <w:rFonts w:ascii="Arial" w:hAnsi="Arial" w:cs="Arial"/>
        </w:rPr>
        <w:t>capacity</w:t>
      </w:r>
      <w:r w:rsidR="005E1BDB">
        <w:rPr>
          <w:rFonts w:ascii="Arial" w:hAnsi="Arial" w:cs="Arial"/>
        </w:rPr>
        <w:t xml:space="preserve"> </w:t>
      </w:r>
      <w:r w:rsidR="00DF0E42">
        <w:rPr>
          <w:rFonts w:ascii="Arial" w:hAnsi="Arial" w:cs="Arial"/>
        </w:rPr>
        <w:t xml:space="preserve">instead of the other considered options of a Waste-to-Energy facility and waste export by rail. </w:t>
      </w:r>
      <w:r w:rsidR="00710FDF">
        <w:rPr>
          <w:rFonts w:ascii="Arial" w:hAnsi="Arial" w:cs="Arial"/>
        </w:rPr>
        <w:t xml:space="preserve">Funding for </w:t>
      </w:r>
      <w:r w:rsidR="000228C9">
        <w:rPr>
          <w:rFonts w:ascii="Arial" w:hAnsi="Arial" w:cs="Arial"/>
        </w:rPr>
        <w:t xml:space="preserve">landfill </w:t>
      </w:r>
      <w:r w:rsidR="00710FDF">
        <w:rPr>
          <w:rFonts w:ascii="Arial" w:hAnsi="Arial" w:cs="Arial"/>
        </w:rPr>
        <w:t xml:space="preserve">development capital projects </w:t>
      </w:r>
      <w:r w:rsidR="00710FDF">
        <w:rPr>
          <w:rFonts w:ascii="Arial" w:hAnsi="Arial" w:cs="Arial"/>
        </w:rPr>
        <w:lastRenderedPageBreak/>
        <w:t>was included</w:t>
      </w:r>
      <w:r w:rsidR="000228C9">
        <w:rPr>
          <w:rFonts w:ascii="Arial" w:hAnsi="Arial" w:cs="Arial"/>
        </w:rPr>
        <w:t xml:space="preserve"> in the 2019-2020 biennial budget</w:t>
      </w:r>
      <w:r w:rsidR="00FE0085">
        <w:rPr>
          <w:rFonts w:ascii="Arial" w:hAnsi="Arial" w:cs="Arial"/>
        </w:rPr>
        <w:t>.</w:t>
      </w:r>
      <w:r w:rsidR="000A23A4">
        <w:rPr>
          <w:rStyle w:val="FootnoteReference"/>
          <w:rFonts w:ascii="Arial" w:hAnsi="Arial" w:cs="Arial"/>
        </w:rPr>
        <w:footnoteReference w:id="9"/>
      </w:r>
      <w:r w:rsidR="000A23A4">
        <w:rPr>
          <w:rFonts w:ascii="Arial" w:hAnsi="Arial" w:cs="Arial"/>
        </w:rPr>
        <w:t xml:space="preserve"> SWD is currently conducting a State Environmental </w:t>
      </w:r>
      <w:r w:rsidR="002D6EDE">
        <w:rPr>
          <w:rFonts w:ascii="Arial" w:hAnsi="Arial" w:cs="Arial"/>
        </w:rPr>
        <w:t xml:space="preserve">Policy Act process to evaluate three engineering options to develop Cedar Hills for additional </w:t>
      </w:r>
      <w:r w:rsidR="00FE0085">
        <w:rPr>
          <w:rFonts w:ascii="Arial" w:hAnsi="Arial" w:cs="Arial"/>
        </w:rPr>
        <w:t xml:space="preserve">landfill capacity, </w:t>
      </w:r>
      <w:r w:rsidR="000452BB">
        <w:rPr>
          <w:rFonts w:ascii="Arial" w:hAnsi="Arial" w:cs="Arial"/>
        </w:rPr>
        <w:t>which is based on acreage within the permitted boundaries of the facility, as well as associated airspace</w:t>
      </w:r>
      <w:r w:rsidR="002D6EDE">
        <w:rPr>
          <w:rFonts w:ascii="Arial" w:hAnsi="Arial" w:cs="Arial"/>
        </w:rPr>
        <w:t>. Executive staff indicate that</w:t>
      </w:r>
      <w:r w:rsidR="00EB2A3A">
        <w:rPr>
          <w:rFonts w:ascii="Arial" w:hAnsi="Arial" w:cs="Arial"/>
        </w:rPr>
        <w:t xml:space="preserve">, </w:t>
      </w:r>
      <w:r w:rsidR="002A2232">
        <w:rPr>
          <w:rFonts w:ascii="Arial" w:hAnsi="Arial" w:cs="Arial"/>
        </w:rPr>
        <w:t xml:space="preserve">based on the three development </w:t>
      </w:r>
      <w:r w:rsidR="004F3D0A">
        <w:rPr>
          <w:rFonts w:ascii="Arial" w:hAnsi="Arial" w:cs="Arial"/>
        </w:rPr>
        <w:t xml:space="preserve">alternatives </w:t>
      </w:r>
      <w:r w:rsidR="00C67755">
        <w:rPr>
          <w:rFonts w:ascii="Arial" w:hAnsi="Arial" w:cs="Arial"/>
        </w:rPr>
        <w:t xml:space="preserve">being considered </w:t>
      </w:r>
      <w:r w:rsidR="004F3D0A">
        <w:rPr>
          <w:rFonts w:ascii="Arial" w:hAnsi="Arial" w:cs="Arial"/>
        </w:rPr>
        <w:t>and the current tonnage forecast, Cedar Hills is expected to reach capacity</w:t>
      </w:r>
      <w:r w:rsidR="002B065B">
        <w:rPr>
          <w:rFonts w:ascii="Arial" w:hAnsi="Arial" w:cs="Arial"/>
        </w:rPr>
        <w:t xml:space="preserve"> </w:t>
      </w:r>
      <w:r w:rsidR="00C67755">
        <w:rPr>
          <w:rFonts w:ascii="Arial" w:hAnsi="Arial" w:cs="Arial"/>
        </w:rPr>
        <w:t xml:space="preserve">sometime </w:t>
      </w:r>
      <w:r w:rsidR="002B065B">
        <w:rPr>
          <w:rFonts w:ascii="Arial" w:hAnsi="Arial" w:cs="Arial"/>
        </w:rPr>
        <w:t>between 2035 and 2041.</w:t>
      </w:r>
    </w:p>
    <w:p w14:paraId="65B721AC" w14:textId="77777777" w:rsidR="00625BA6" w:rsidRDefault="00625BA6" w:rsidP="005B478C">
      <w:pPr>
        <w:jc w:val="both"/>
        <w:rPr>
          <w:rFonts w:ascii="Arial" w:hAnsi="Arial" w:cs="Arial"/>
        </w:rPr>
      </w:pPr>
    </w:p>
    <w:p w14:paraId="059D38C2" w14:textId="426E42FE" w:rsidR="002B065B" w:rsidRDefault="00C30326" w:rsidP="005B478C">
      <w:pPr>
        <w:jc w:val="both"/>
        <w:rPr>
          <w:rFonts w:ascii="Arial" w:hAnsi="Arial" w:cs="Arial"/>
        </w:rPr>
      </w:pPr>
      <w:r>
        <w:rPr>
          <w:rFonts w:ascii="Arial" w:hAnsi="Arial" w:cs="Arial"/>
        </w:rPr>
        <w:t>Because the current interlocal agreements (</w:t>
      </w:r>
      <w:r w:rsidR="00CD1423">
        <w:rPr>
          <w:rFonts w:ascii="Arial" w:hAnsi="Arial" w:cs="Arial"/>
        </w:rPr>
        <w:t>“</w:t>
      </w:r>
      <w:r>
        <w:rPr>
          <w:rFonts w:ascii="Arial" w:hAnsi="Arial" w:cs="Arial"/>
        </w:rPr>
        <w:t>ILA</w:t>
      </w:r>
      <w:r w:rsidR="00CD1423">
        <w:rPr>
          <w:rFonts w:ascii="Arial" w:hAnsi="Arial" w:cs="Arial"/>
        </w:rPr>
        <w:t xml:space="preserve">s”) </w:t>
      </w:r>
      <w:r>
        <w:rPr>
          <w:rFonts w:ascii="Arial" w:hAnsi="Arial" w:cs="Arial"/>
        </w:rPr>
        <w:t xml:space="preserve">with the partner cities obligate the County to dispose of the region’s waste through 2040 and it is not known the exact year when Cedar Hills will reach capacity, an alternative waste disposal strategy will need to be identified given the lead time associated with implementing the next disposal method. </w:t>
      </w:r>
      <w:r w:rsidR="00335510">
        <w:rPr>
          <w:rFonts w:ascii="Arial" w:hAnsi="Arial" w:cs="Arial"/>
        </w:rPr>
        <w:t xml:space="preserve">The 2019 Comprehensive Solid Waste </w:t>
      </w:r>
      <w:r w:rsidR="00467258">
        <w:rPr>
          <w:rFonts w:ascii="Arial" w:hAnsi="Arial" w:cs="Arial"/>
        </w:rPr>
        <w:t>Management</w:t>
      </w:r>
      <w:r w:rsidR="00335510">
        <w:rPr>
          <w:rFonts w:ascii="Arial" w:hAnsi="Arial" w:cs="Arial"/>
        </w:rPr>
        <w:t xml:space="preserve"> Plan</w:t>
      </w:r>
      <w:r w:rsidR="00467258">
        <w:rPr>
          <w:rFonts w:ascii="Arial" w:hAnsi="Arial" w:cs="Arial"/>
        </w:rPr>
        <w:t xml:space="preserve"> did not specify</w:t>
      </w:r>
      <w:r w:rsidR="00BE21CA">
        <w:rPr>
          <w:rFonts w:ascii="Arial" w:hAnsi="Arial" w:cs="Arial"/>
        </w:rPr>
        <w:t xml:space="preserve"> the next disposal method after ultimate Cedar Hills closure, but </w:t>
      </w:r>
      <w:r w:rsidR="001E481E">
        <w:rPr>
          <w:rFonts w:ascii="Arial" w:hAnsi="Arial" w:cs="Arial"/>
        </w:rPr>
        <w:t xml:space="preserve">the Council added a requirement that the Office of Performance, Strategy and Budget engage with </w:t>
      </w:r>
      <w:r w:rsidR="00CF1430">
        <w:rPr>
          <w:rFonts w:ascii="Arial" w:hAnsi="Arial" w:cs="Arial"/>
        </w:rPr>
        <w:t>SWD and regional partners to develop a plan for long-term disposal</w:t>
      </w:r>
      <w:r w:rsidR="005D45D9">
        <w:rPr>
          <w:rFonts w:ascii="Arial" w:hAnsi="Arial" w:cs="Arial"/>
        </w:rPr>
        <w:t xml:space="preserve">. Under this requirement, </w:t>
      </w:r>
      <w:r w:rsidR="00CF1430">
        <w:rPr>
          <w:rFonts w:ascii="Arial" w:hAnsi="Arial" w:cs="Arial"/>
        </w:rPr>
        <w:t xml:space="preserve">a progress report </w:t>
      </w:r>
      <w:r w:rsidR="005D45D9">
        <w:rPr>
          <w:rFonts w:ascii="Arial" w:hAnsi="Arial" w:cs="Arial"/>
        </w:rPr>
        <w:t xml:space="preserve">is </w:t>
      </w:r>
      <w:r w:rsidR="00CF1430">
        <w:rPr>
          <w:rFonts w:ascii="Arial" w:hAnsi="Arial" w:cs="Arial"/>
        </w:rPr>
        <w:t>due to the Council by December 31, 2021 that outlines how the plan will be developed and</w:t>
      </w:r>
      <w:r w:rsidR="00F91A18">
        <w:rPr>
          <w:rFonts w:ascii="Arial" w:hAnsi="Arial" w:cs="Arial"/>
        </w:rPr>
        <w:t xml:space="preserve"> that</w:t>
      </w:r>
      <w:r w:rsidR="00CF1430">
        <w:rPr>
          <w:rFonts w:ascii="Arial" w:hAnsi="Arial" w:cs="Arial"/>
        </w:rPr>
        <w:t xml:space="preserve"> includes the timing for the transmittal of the plan</w:t>
      </w:r>
      <w:r w:rsidR="00625BA6">
        <w:rPr>
          <w:rFonts w:ascii="Arial" w:hAnsi="Arial" w:cs="Arial"/>
        </w:rPr>
        <w:t>, as well as the</w:t>
      </w:r>
      <w:r w:rsidR="00073AA0">
        <w:rPr>
          <w:rFonts w:ascii="Arial" w:hAnsi="Arial" w:cs="Arial"/>
        </w:rPr>
        <w:t xml:space="preserve"> </w:t>
      </w:r>
      <w:r w:rsidR="00CF1430">
        <w:rPr>
          <w:rFonts w:ascii="Arial" w:hAnsi="Arial" w:cs="Arial"/>
        </w:rPr>
        <w:t>implementing legislation.</w:t>
      </w:r>
      <w:r w:rsidR="005D45D9">
        <w:rPr>
          <w:rFonts w:ascii="Arial" w:hAnsi="Arial" w:cs="Arial"/>
        </w:rPr>
        <w:t xml:space="preserve"> </w:t>
      </w:r>
    </w:p>
    <w:p w14:paraId="137D5CD5" w14:textId="4B5F1DE3" w:rsidR="0012621C" w:rsidRDefault="0012621C" w:rsidP="005B478C">
      <w:pPr>
        <w:jc w:val="both"/>
        <w:rPr>
          <w:rFonts w:ascii="Arial" w:hAnsi="Arial" w:cs="Arial"/>
        </w:rPr>
      </w:pPr>
    </w:p>
    <w:p w14:paraId="49E19B0C" w14:textId="43A4BB7B" w:rsidR="005F07A4" w:rsidRDefault="00653F8E" w:rsidP="0097761F">
      <w:pPr>
        <w:jc w:val="both"/>
        <w:rPr>
          <w:rFonts w:ascii="Arial" w:hAnsi="Arial" w:cs="Arial"/>
        </w:rPr>
      </w:pPr>
      <w:r>
        <w:rPr>
          <w:rFonts w:ascii="Arial" w:hAnsi="Arial" w:cs="Arial"/>
          <w:b/>
        </w:rPr>
        <w:t>Waste-to-Energy and Waste Export by Rail Feasibility Study Proviso</w:t>
      </w:r>
      <w:r w:rsidR="005F07A4">
        <w:rPr>
          <w:rFonts w:ascii="Arial" w:hAnsi="Arial" w:cs="Arial"/>
          <w:b/>
        </w:rPr>
        <w:t xml:space="preserve">. </w:t>
      </w:r>
      <w:r w:rsidR="008503F0">
        <w:rPr>
          <w:rFonts w:ascii="Arial" w:hAnsi="Arial" w:cs="Arial"/>
        </w:rPr>
        <w:t>In the 2019-2020 biennial budget</w:t>
      </w:r>
      <w:r w:rsidR="00750F5A">
        <w:rPr>
          <w:rFonts w:ascii="Arial" w:hAnsi="Arial" w:cs="Arial"/>
        </w:rPr>
        <w:t xml:space="preserve">, the Council </w:t>
      </w:r>
      <w:r w:rsidR="00831178">
        <w:rPr>
          <w:rFonts w:ascii="Arial" w:hAnsi="Arial" w:cs="Arial"/>
        </w:rPr>
        <w:t xml:space="preserve">directed the Executive to </w:t>
      </w:r>
      <w:r w:rsidR="0045517D">
        <w:rPr>
          <w:rFonts w:ascii="Arial" w:hAnsi="Arial" w:cs="Arial"/>
        </w:rPr>
        <w:t xml:space="preserve">lead a study that evaluates the feasibility of </w:t>
      </w:r>
      <w:r w:rsidR="004F5727">
        <w:rPr>
          <w:rFonts w:ascii="Arial" w:hAnsi="Arial" w:cs="Arial"/>
        </w:rPr>
        <w:t>a Waste-to-Energy facility</w:t>
      </w:r>
      <w:r w:rsidR="00A31124">
        <w:rPr>
          <w:rFonts w:ascii="Arial" w:hAnsi="Arial" w:cs="Arial"/>
        </w:rPr>
        <w:t xml:space="preserve"> </w:t>
      </w:r>
      <w:r w:rsidR="004F0D44">
        <w:rPr>
          <w:rFonts w:ascii="Arial" w:hAnsi="Arial" w:cs="Arial"/>
        </w:rPr>
        <w:t>and</w:t>
      </w:r>
      <w:r w:rsidR="00A31124">
        <w:rPr>
          <w:rFonts w:ascii="Arial" w:hAnsi="Arial" w:cs="Arial"/>
        </w:rPr>
        <w:t xml:space="preserve"> waste export by rail as the County’s next disposal method. Specifically, an expenditure restriction restrict</w:t>
      </w:r>
      <w:r w:rsidR="004F0D44">
        <w:rPr>
          <w:rFonts w:ascii="Arial" w:hAnsi="Arial" w:cs="Arial"/>
        </w:rPr>
        <w:t>s</w:t>
      </w:r>
      <w:r w:rsidR="00A31124">
        <w:rPr>
          <w:rFonts w:ascii="Arial" w:hAnsi="Arial" w:cs="Arial"/>
        </w:rPr>
        <w:t xml:space="preserve"> </w:t>
      </w:r>
      <w:r w:rsidR="00750F5A">
        <w:rPr>
          <w:rFonts w:ascii="Arial" w:hAnsi="Arial" w:cs="Arial"/>
        </w:rPr>
        <w:t>$</w:t>
      </w:r>
      <w:r w:rsidR="00BE5E60">
        <w:rPr>
          <w:rFonts w:ascii="Arial" w:hAnsi="Arial" w:cs="Arial"/>
        </w:rPr>
        <w:t>500,000</w:t>
      </w:r>
      <w:r w:rsidR="00E97D40">
        <w:rPr>
          <w:rFonts w:ascii="Arial" w:hAnsi="Arial" w:cs="Arial"/>
        </w:rPr>
        <w:t xml:space="preserve"> to be expended only for </w:t>
      </w:r>
      <w:r w:rsidR="00FF4140">
        <w:rPr>
          <w:rFonts w:ascii="Arial" w:hAnsi="Arial" w:cs="Arial"/>
        </w:rPr>
        <w:t>the</w:t>
      </w:r>
      <w:r w:rsidR="00E97D40">
        <w:rPr>
          <w:rFonts w:ascii="Arial" w:hAnsi="Arial" w:cs="Arial"/>
        </w:rPr>
        <w:t xml:space="preserve"> Office of</w:t>
      </w:r>
      <w:r w:rsidR="00FF4140">
        <w:rPr>
          <w:rFonts w:ascii="Arial" w:hAnsi="Arial" w:cs="Arial"/>
        </w:rPr>
        <w:t xml:space="preserve"> Performance, Strategy and Budget </w:t>
      </w:r>
      <w:r w:rsidR="009B163E">
        <w:rPr>
          <w:rFonts w:ascii="Arial" w:hAnsi="Arial" w:cs="Arial"/>
        </w:rPr>
        <w:t>to</w:t>
      </w:r>
      <w:r w:rsidR="00E97D40">
        <w:rPr>
          <w:rFonts w:ascii="Arial" w:hAnsi="Arial" w:cs="Arial"/>
        </w:rPr>
        <w:t xml:space="preserve"> issue a Request for Proposal and to manage a contractor to conduct </w:t>
      </w:r>
      <w:r w:rsidR="009B2A9D">
        <w:rPr>
          <w:rFonts w:ascii="Arial" w:hAnsi="Arial" w:cs="Arial"/>
        </w:rPr>
        <w:t>the feasibility study</w:t>
      </w:r>
      <w:r w:rsidR="00E97D40">
        <w:rPr>
          <w:rFonts w:ascii="Arial" w:hAnsi="Arial" w:cs="Arial"/>
        </w:rPr>
        <w:t xml:space="preserve">. </w:t>
      </w:r>
      <w:r w:rsidR="009B163E">
        <w:rPr>
          <w:rFonts w:ascii="Arial" w:hAnsi="Arial" w:cs="Arial"/>
        </w:rPr>
        <w:t xml:space="preserve">A </w:t>
      </w:r>
      <w:r w:rsidR="0041244A">
        <w:rPr>
          <w:rFonts w:ascii="Arial" w:hAnsi="Arial" w:cs="Arial"/>
        </w:rPr>
        <w:t>linked</w:t>
      </w:r>
      <w:r w:rsidR="009B163E">
        <w:rPr>
          <w:rFonts w:ascii="Arial" w:hAnsi="Arial" w:cs="Arial"/>
        </w:rPr>
        <w:t xml:space="preserve"> proviso</w:t>
      </w:r>
      <w:r w:rsidR="00707150">
        <w:rPr>
          <w:rFonts w:ascii="Arial" w:hAnsi="Arial" w:cs="Arial"/>
        </w:rPr>
        <w:t xml:space="preserve"> </w:t>
      </w:r>
      <w:r w:rsidR="00B41475">
        <w:rPr>
          <w:rFonts w:ascii="Arial" w:hAnsi="Arial" w:cs="Arial"/>
        </w:rPr>
        <w:t>describes</w:t>
      </w:r>
      <w:r w:rsidR="00B5228E">
        <w:rPr>
          <w:rFonts w:ascii="Arial" w:hAnsi="Arial" w:cs="Arial"/>
        </w:rPr>
        <w:t xml:space="preserve"> the requirements of the study</w:t>
      </w:r>
      <w:r w:rsidR="00B65B92">
        <w:rPr>
          <w:rFonts w:ascii="Arial" w:hAnsi="Arial" w:cs="Arial"/>
        </w:rPr>
        <w:t xml:space="preserve"> and</w:t>
      </w:r>
      <w:r w:rsidR="00875ED9">
        <w:rPr>
          <w:rFonts w:ascii="Arial" w:hAnsi="Arial" w:cs="Arial"/>
        </w:rPr>
        <w:t xml:space="preserve"> </w:t>
      </w:r>
      <w:r w:rsidR="00B41475">
        <w:rPr>
          <w:rFonts w:ascii="Arial" w:hAnsi="Arial" w:cs="Arial"/>
        </w:rPr>
        <w:t>specifies</w:t>
      </w:r>
      <w:r w:rsidR="00707150">
        <w:rPr>
          <w:rFonts w:ascii="Arial" w:hAnsi="Arial" w:cs="Arial"/>
        </w:rPr>
        <w:t xml:space="preserve"> that </w:t>
      </w:r>
      <w:r w:rsidR="00A66650">
        <w:rPr>
          <w:rFonts w:ascii="Arial" w:hAnsi="Arial" w:cs="Arial"/>
        </w:rPr>
        <w:t>$100,000</w:t>
      </w:r>
      <w:r w:rsidR="00707150">
        <w:rPr>
          <w:rFonts w:ascii="Arial" w:hAnsi="Arial" w:cs="Arial"/>
        </w:rPr>
        <w:t xml:space="preserve"> </w:t>
      </w:r>
      <w:r w:rsidR="0014432F">
        <w:rPr>
          <w:rFonts w:ascii="Arial" w:hAnsi="Arial" w:cs="Arial"/>
        </w:rPr>
        <w:t>shall</w:t>
      </w:r>
      <w:r w:rsidR="00A83476">
        <w:rPr>
          <w:rFonts w:ascii="Arial" w:hAnsi="Arial" w:cs="Arial"/>
        </w:rPr>
        <w:t xml:space="preserve"> not</w:t>
      </w:r>
      <w:r w:rsidR="00707150">
        <w:rPr>
          <w:rFonts w:ascii="Arial" w:hAnsi="Arial" w:cs="Arial"/>
        </w:rPr>
        <w:t xml:space="preserve"> be expended</w:t>
      </w:r>
      <w:r w:rsidR="00347C47">
        <w:rPr>
          <w:rFonts w:ascii="Arial" w:hAnsi="Arial" w:cs="Arial"/>
        </w:rPr>
        <w:t xml:space="preserve"> until the feasibility</w:t>
      </w:r>
      <w:r w:rsidR="002C4802">
        <w:rPr>
          <w:rFonts w:ascii="Arial" w:hAnsi="Arial" w:cs="Arial"/>
        </w:rPr>
        <w:t xml:space="preserve"> study is transmitted to the Council</w:t>
      </w:r>
      <w:r w:rsidR="004E29FA">
        <w:rPr>
          <w:rFonts w:ascii="Arial" w:hAnsi="Arial" w:cs="Arial"/>
        </w:rPr>
        <w:t xml:space="preserve">, which should </w:t>
      </w:r>
      <w:r w:rsidR="00032538">
        <w:rPr>
          <w:rFonts w:ascii="Arial" w:hAnsi="Arial" w:cs="Arial"/>
        </w:rPr>
        <w:t>occur</w:t>
      </w:r>
      <w:r w:rsidR="00315C60">
        <w:rPr>
          <w:rFonts w:ascii="Arial" w:hAnsi="Arial" w:cs="Arial"/>
        </w:rPr>
        <w:t xml:space="preserve"> by October 4, 2019. </w:t>
      </w:r>
      <w:r w:rsidR="008D334B">
        <w:rPr>
          <w:rFonts w:ascii="Arial" w:hAnsi="Arial" w:cs="Arial"/>
        </w:rPr>
        <w:t xml:space="preserve">The </w:t>
      </w:r>
      <w:r w:rsidR="00771C02">
        <w:rPr>
          <w:rFonts w:ascii="Arial" w:hAnsi="Arial" w:cs="Arial"/>
        </w:rPr>
        <w:t xml:space="preserve">expenditure restriction and </w:t>
      </w:r>
      <w:r w:rsidR="008D334B">
        <w:rPr>
          <w:rFonts w:ascii="Arial" w:hAnsi="Arial" w:cs="Arial"/>
        </w:rPr>
        <w:t>proviso state:</w:t>
      </w:r>
      <w:r w:rsidR="003F275F">
        <w:rPr>
          <w:rStyle w:val="FootnoteReference"/>
          <w:rFonts w:ascii="Arial" w:hAnsi="Arial" w:cs="Arial"/>
        </w:rPr>
        <w:footnoteReference w:id="10"/>
      </w:r>
    </w:p>
    <w:p w14:paraId="2082941E" w14:textId="4C790D87" w:rsidR="008D334B" w:rsidRDefault="008D334B" w:rsidP="0097761F">
      <w:pPr>
        <w:jc w:val="both"/>
        <w:rPr>
          <w:rFonts w:ascii="Arial" w:hAnsi="Arial" w:cs="Arial"/>
        </w:rPr>
      </w:pPr>
    </w:p>
    <w:p w14:paraId="54AA579E" w14:textId="77777777" w:rsidR="00FF7719" w:rsidRDefault="00FF7719" w:rsidP="0046024B">
      <w:pPr>
        <w:widowControl w:val="0"/>
        <w:autoSpaceDE w:val="0"/>
        <w:autoSpaceDN w:val="0"/>
        <w:adjustRightInd w:val="0"/>
        <w:ind w:left="720"/>
        <w:rPr>
          <w:u w:val="single"/>
        </w:rPr>
      </w:pPr>
      <w:r>
        <w:t>ER3 EXPENDITURE RESTRICTION ER:</w:t>
      </w:r>
    </w:p>
    <w:p w14:paraId="25F0240A" w14:textId="77777777" w:rsidR="00FF7719" w:rsidRDefault="00FF7719" w:rsidP="0046024B">
      <w:pPr>
        <w:widowControl w:val="0"/>
        <w:tabs>
          <w:tab w:val="left" w:pos="720"/>
        </w:tabs>
        <w:autoSpaceDE w:val="0"/>
        <w:autoSpaceDN w:val="0"/>
        <w:adjustRightInd w:val="0"/>
        <w:ind w:left="720"/>
      </w:pPr>
      <w:r>
        <w:rPr>
          <w:rFonts w:ascii="CG Times" w:hAnsi="CG Times" w:cs="CG Times"/>
        </w:rPr>
        <w:tab/>
      </w:r>
      <w:r>
        <w:t>Of this appropriation, $500,000</w:t>
      </w:r>
      <w:r>
        <w:rPr>
          <w:color w:val="FF0000"/>
        </w:rPr>
        <w:t xml:space="preserve"> </w:t>
      </w:r>
      <w:r>
        <w:t>shall be expended or encumbered solely for the office of performance, strategy and budget to issue a request for proposals, and to manage and pay a contractor to conduct the feasibility study for a waste to energy facility to manage the region's solid waste that provides a comparison to waste export by rail as described in Proviso P3 of this section.</w:t>
      </w:r>
    </w:p>
    <w:p w14:paraId="60AE2CFA" w14:textId="77777777" w:rsidR="0046024B" w:rsidRDefault="0046024B" w:rsidP="0046024B">
      <w:pPr>
        <w:widowControl w:val="0"/>
        <w:autoSpaceDE w:val="0"/>
        <w:autoSpaceDN w:val="0"/>
        <w:adjustRightInd w:val="0"/>
        <w:ind w:left="720"/>
      </w:pPr>
    </w:p>
    <w:p w14:paraId="47B58258" w14:textId="28585B2A" w:rsidR="003E42E3" w:rsidRDefault="003E42E3" w:rsidP="0046024B">
      <w:pPr>
        <w:widowControl w:val="0"/>
        <w:autoSpaceDE w:val="0"/>
        <w:autoSpaceDN w:val="0"/>
        <w:adjustRightInd w:val="0"/>
        <w:ind w:left="720"/>
      </w:pPr>
      <w:r>
        <w:t>P3 PROVIDED FURTHER THAT:</w:t>
      </w:r>
    </w:p>
    <w:p w14:paraId="195656EB" w14:textId="789CE292" w:rsidR="003E42E3" w:rsidRDefault="003E42E3" w:rsidP="0046024B">
      <w:pPr>
        <w:widowControl w:val="0"/>
        <w:tabs>
          <w:tab w:val="left" w:pos="720"/>
        </w:tabs>
        <w:autoSpaceDE w:val="0"/>
        <w:autoSpaceDN w:val="0"/>
        <w:adjustRightInd w:val="0"/>
        <w:ind w:left="720"/>
      </w:pPr>
      <w:r>
        <w:tab/>
        <w:t>Of this appropriation, $100,000 shal</w:t>
      </w:r>
      <w:r w:rsidR="001D0DD2">
        <w:t>l</w:t>
      </w:r>
      <w:r>
        <w:t xml:space="preserve"> not be expended or encumbered until the executive transmits the feasibility study for a waste to energy facility to manage the region's solid waste</w:t>
      </w:r>
      <w:r>
        <w:rPr>
          <w:color w:val="FF0000"/>
        </w:rPr>
        <w:t xml:space="preserve"> </w:t>
      </w:r>
      <w:r>
        <w:t>that provides a comparison to waste export by rail and a motion that should acknowledge receipt of</w:t>
      </w:r>
      <w:r>
        <w:rPr>
          <w:color w:val="FF0000"/>
        </w:rPr>
        <w:t xml:space="preserve"> </w:t>
      </w:r>
      <w:r>
        <w:t xml:space="preserve">the feasibility study and reference the subject matter, the proviso's ordinance, ordinance section and proviso number in both the title and body of the motion and a motion acknowledging receipt of the feasibility study is passed by the council.  The study should be performed by a contractor with significant experience in the field of waste management and recycling, demonstrated expertise with waste to </w:t>
      </w:r>
      <w:r>
        <w:lastRenderedPageBreak/>
        <w:t>energy technology and familiarity with the capital and operating needs of waste to energy facilities located around the world, and shall primarily consider a waste to energy facility that uses mass burn technology.  The contractor may also identify other technologies that may be feasible to accommodate the current and future projections for the amount and composition of the county's waste stream.  The solid waste division must provide the county's waste tonnage forecast model to the contractor upon request and explain any assumptions.</w:t>
      </w:r>
    </w:p>
    <w:p w14:paraId="20512CE5" w14:textId="77777777" w:rsidR="003E42E3" w:rsidRDefault="003E42E3" w:rsidP="0046024B">
      <w:pPr>
        <w:widowControl w:val="0"/>
        <w:tabs>
          <w:tab w:val="left" w:pos="720"/>
        </w:tabs>
        <w:autoSpaceDE w:val="0"/>
        <w:autoSpaceDN w:val="0"/>
        <w:adjustRightInd w:val="0"/>
        <w:ind w:left="720"/>
      </w:pPr>
      <w:r>
        <w:tab/>
        <w:t>The feasibility study shall include, but not be limited to:</w:t>
      </w:r>
    </w:p>
    <w:p w14:paraId="65341785" w14:textId="77777777" w:rsidR="003E42E3" w:rsidRDefault="003E42E3" w:rsidP="0046024B">
      <w:pPr>
        <w:widowControl w:val="0"/>
        <w:tabs>
          <w:tab w:val="left" w:pos="720"/>
        </w:tabs>
        <w:autoSpaceDE w:val="0"/>
        <w:autoSpaceDN w:val="0"/>
        <w:adjustRightInd w:val="0"/>
        <w:ind w:left="720"/>
      </w:pPr>
      <w:r>
        <w:tab/>
        <w:t>A.  A review of factors that may affect the county's future waste tonnage forecast completed in 2018, and an analysis, with a range of estimates, of how different assumptions could affect the forecast;</w:t>
      </w:r>
    </w:p>
    <w:p w14:paraId="1A772A5A" w14:textId="77777777" w:rsidR="003E42E3" w:rsidRDefault="003E42E3" w:rsidP="0046024B">
      <w:pPr>
        <w:widowControl w:val="0"/>
        <w:tabs>
          <w:tab w:val="left" w:pos="720"/>
        </w:tabs>
        <w:autoSpaceDE w:val="0"/>
        <w:autoSpaceDN w:val="0"/>
        <w:adjustRightInd w:val="0"/>
        <w:ind w:left="720"/>
      </w:pPr>
      <w:r>
        <w:tab/>
        <w:t>B.  A discussion of the potential for exporting the county's waste by rail that includes an analysis of the future rail capacity forecast, the estimated capital and operating costs and the environmental impacts;</w:t>
      </w:r>
    </w:p>
    <w:p w14:paraId="68A07AC9" w14:textId="77777777" w:rsidR="003E42E3" w:rsidRDefault="003E42E3" w:rsidP="0046024B">
      <w:pPr>
        <w:widowControl w:val="0"/>
        <w:tabs>
          <w:tab w:val="left" w:pos="720"/>
        </w:tabs>
        <w:autoSpaceDE w:val="0"/>
        <w:autoSpaceDN w:val="0"/>
        <w:adjustRightInd w:val="0"/>
        <w:ind w:left="720"/>
      </w:pPr>
      <w:r>
        <w:tab/>
        <w:t>C.  An evaluation of the size of a waste to energy facility that would be needed to accommodate the county's solid waste over a twenty to fifty year time horizon, beginning in 2025, with any assumptions clearly articulated, and a description of any siting needs including the necessary parcel size;</w:t>
      </w:r>
    </w:p>
    <w:p w14:paraId="6F9364C8" w14:textId="77777777" w:rsidR="003E42E3" w:rsidRDefault="003E42E3" w:rsidP="0046024B">
      <w:pPr>
        <w:widowControl w:val="0"/>
        <w:tabs>
          <w:tab w:val="left" w:pos="720"/>
        </w:tabs>
        <w:autoSpaceDE w:val="0"/>
        <w:autoSpaceDN w:val="0"/>
        <w:adjustRightInd w:val="0"/>
        <w:ind w:left="720"/>
      </w:pPr>
      <w:r>
        <w:tab/>
        <w:t>D.  A discussion of the costs of a waste to energy facility and potential financing options that includes estimates for the capital costs, the annual operating and maintenance costs and the estimated impact on the county's tipping fee, with any assumptions clearly articulated;</w:t>
      </w:r>
    </w:p>
    <w:p w14:paraId="048E3EDA" w14:textId="77777777" w:rsidR="003E42E3" w:rsidRDefault="003E42E3" w:rsidP="0046024B">
      <w:pPr>
        <w:widowControl w:val="0"/>
        <w:tabs>
          <w:tab w:val="left" w:pos="720"/>
        </w:tabs>
        <w:autoSpaceDE w:val="0"/>
        <w:autoSpaceDN w:val="0"/>
        <w:adjustRightInd w:val="0"/>
        <w:ind w:left="720"/>
      </w:pPr>
      <w:r>
        <w:tab/>
        <w:t>E.  A discussion of any environmental impacts of a waste to energy facility;</w:t>
      </w:r>
    </w:p>
    <w:p w14:paraId="600DDDC7" w14:textId="77777777" w:rsidR="003E42E3" w:rsidRDefault="003E42E3" w:rsidP="0046024B">
      <w:pPr>
        <w:widowControl w:val="0"/>
        <w:tabs>
          <w:tab w:val="left" w:pos="720"/>
        </w:tabs>
        <w:autoSpaceDE w:val="0"/>
        <w:autoSpaceDN w:val="0"/>
        <w:adjustRightInd w:val="0"/>
        <w:ind w:left="720"/>
      </w:pPr>
      <w:r>
        <w:tab/>
        <w:t>F.  An assessment of regional electricity markets and the regulatory structure to produce an estimate of potential revenues from the sale of electricity by a waste to energy facility;</w:t>
      </w:r>
    </w:p>
    <w:p w14:paraId="0F01F80F" w14:textId="77777777" w:rsidR="003E42E3" w:rsidRDefault="003E42E3" w:rsidP="0046024B">
      <w:pPr>
        <w:widowControl w:val="0"/>
        <w:tabs>
          <w:tab w:val="left" w:pos="720"/>
        </w:tabs>
        <w:autoSpaceDE w:val="0"/>
        <w:autoSpaceDN w:val="0"/>
        <w:adjustRightInd w:val="0"/>
        <w:ind w:left="720"/>
      </w:pPr>
      <w:r>
        <w:tab/>
        <w:t>G.  An analysis of other potential revenue sources from the potential byproducts of a waste to energy facility that includes, but is not limited to, the sale of recovered metals and possible uses of bottom ash;</w:t>
      </w:r>
    </w:p>
    <w:p w14:paraId="599605FA" w14:textId="77777777" w:rsidR="003E42E3" w:rsidRDefault="003E42E3" w:rsidP="0046024B">
      <w:pPr>
        <w:widowControl w:val="0"/>
        <w:tabs>
          <w:tab w:val="left" w:pos="720"/>
        </w:tabs>
        <w:autoSpaceDE w:val="0"/>
        <w:autoSpaceDN w:val="0"/>
        <w:adjustRightInd w:val="0"/>
        <w:ind w:left="720"/>
      </w:pPr>
      <w:r>
        <w:tab/>
        <w:t>H.  A discussion of the state and federal regulatory environment related to waste to energy facilities; and</w:t>
      </w:r>
    </w:p>
    <w:p w14:paraId="6B70404D" w14:textId="77777777" w:rsidR="003E42E3" w:rsidRDefault="003E42E3" w:rsidP="0046024B">
      <w:pPr>
        <w:widowControl w:val="0"/>
        <w:tabs>
          <w:tab w:val="left" w:pos="720"/>
        </w:tabs>
        <w:autoSpaceDE w:val="0"/>
        <w:autoSpaceDN w:val="0"/>
        <w:adjustRightInd w:val="0"/>
        <w:ind w:left="720"/>
      </w:pPr>
      <w:r>
        <w:tab/>
        <w:t>I.  A reasonable timeline for implementation of a waste to energy facility, and an analysis of the potential impact on the lifespan and capacity of the Cedar Hills regional landfill if a waste to energy facility was developed according to the timeline.</w:t>
      </w:r>
    </w:p>
    <w:p w14:paraId="4C5FCD2C" w14:textId="77777777" w:rsidR="003E42E3" w:rsidRDefault="003E42E3" w:rsidP="0046024B">
      <w:pPr>
        <w:widowControl w:val="0"/>
        <w:autoSpaceDE w:val="0"/>
        <w:autoSpaceDN w:val="0"/>
        <w:adjustRightInd w:val="0"/>
        <w:ind w:left="720"/>
      </w:pPr>
      <w:r>
        <w:tab/>
        <w:t>The executive should file the feasibility study</w:t>
      </w:r>
      <w:r>
        <w:rPr>
          <w:color w:val="FF0000"/>
        </w:rPr>
        <w:t xml:space="preserve"> </w:t>
      </w:r>
      <w:r>
        <w:t>and a motion required by this proviso by</w:t>
      </w:r>
      <w:r>
        <w:rPr>
          <w:color w:val="FF0000"/>
        </w:rPr>
        <w:t xml:space="preserve"> </w:t>
      </w:r>
      <w:r>
        <w:t>October 4, 2019,</w:t>
      </w:r>
      <w:r>
        <w:rPr>
          <w:color w:val="FF0000"/>
        </w:rPr>
        <w:t xml:space="preserve"> </w:t>
      </w:r>
      <w:r>
        <w:t>in the form of a paper original and an electronic copy with the clerk of the council, who shall retain the original and provide an electronic copy to all councilmembers, the council chief of staff and the lead staff for the committee of the whole,</w:t>
      </w:r>
      <w:r>
        <w:rPr>
          <w:color w:val="FF0000"/>
        </w:rPr>
        <w:t xml:space="preserve"> </w:t>
      </w:r>
      <w:r>
        <w:t>or its successor.</w:t>
      </w:r>
    </w:p>
    <w:p w14:paraId="53EBC766" w14:textId="77777777" w:rsidR="00575B03" w:rsidRDefault="00575B03" w:rsidP="005B478C">
      <w:pPr>
        <w:jc w:val="both"/>
        <w:rPr>
          <w:rFonts w:ascii="Arial" w:hAnsi="Arial" w:cs="Arial"/>
        </w:rPr>
      </w:pPr>
    </w:p>
    <w:p w14:paraId="407EFA32" w14:textId="35984DA7" w:rsidR="00CC612E" w:rsidRDefault="00264BE1" w:rsidP="005B478C">
      <w:pPr>
        <w:jc w:val="both"/>
        <w:rPr>
          <w:rFonts w:ascii="Arial" w:hAnsi="Arial" w:cs="Arial"/>
          <w:b/>
          <w:smallCaps/>
          <w:szCs w:val="24"/>
          <w:u w:val="single"/>
        </w:rPr>
      </w:pPr>
      <w:r>
        <w:rPr>
          <w:rFonts w:ascii="Arial" w:hAnsi="Arial" w:cs="Arial"/>
          <w:b/>
          <w:smallCaps/>
          <w:szCs w:val="24"/>
          <w:u w:val="single"/>
        </w:rPr>
        <w:t>ANALYS</w:t>
      </w:r>
      <w:r w:rsidR="00961208">
        <w:rPr>
          <w:rFonts w:ascii="Arial" w:hAnsi="Arial" w:cs="Arial"/>
          <w:b/>
          <w:smallCaps/>
          <w:szCs w:val="24"/>
          <w:u w:val="single"/>
        </w:rPr>
        <w:t>IS</w:t>
      </w:r>
    </w:p>
    <w:p w14:paraId="3A7848CE" w14:textId="77777777" w:rsidR="008D5C45" w:rsidRDefault="008D5C45" w:rsidP="005B478C">
      <w:pPr>
        <w:jc w:val="both"/>
        <w:rPr>
          <w:rFonts w:ascii="Arial" w:hAnsi="Arial" w:cs="Arial"/>
        </w:rPr>
      </w:pPr>
    </w:p>
    <w:p w14:paraId="4E0328D8" w14:textId="1701C892" w:rsidR="002F6603" w:rsidRDefault="00415BB0" w:rsidP="005B478C">
      <w:pPr>
        <w:jc w:val="both"/>
        <w:rPr>
          <w:rFonts w:ascii="Arial" w:hAnsi="Arial" w:cs="Arial"/>
        </w:rPr>
      </w:pPr>
      <w:r>
        <w:rPr>
          <w:rFonts w:ascii="Arial" w:hAnsi="Arial" w:cs="Arial"/>
        </w:rPr>
        <w:t xml:space="preserve">The Office of Performance, Strategy and Budget issued </w:t>
      </w:r>
      <w:r w:rsidR="000F1527">
        <w:rPr>
          <w:rFonts w:ascii="Arial" w:hAnsi="Arial" w:cs="Arial"/>
        </w:rPr>
        <w:t>a</w:t>
      </w:r>
      <w:r>
        <w:rPr>
          <w:rFonts w:ascii="Arial" w:hAnsi="Arial" w:cs="Arial"/>
        </w:rPr>
        <w:t xml:space="preserve"> </w:t>
      </w:r>
      <w:r w:rsidR="000032FE">
        <w:rPr>
          <w:rFonts w:ascii="Arial" w:hAnsi="Arial" w:cs="Arial"/>
        </w:rPr>
        <w:t>Request for Proposal</w:t>
      </w:r>
      <w:r w:rsidR="004633A1">
        <w:rPr>
          <w:rFonts w:ascii="Arial" w:hAnsi="Arial" w:cs="Arial"/>
        </w:rPr>
        <w:t xml:space="preserve"> </w:t>
      </w:r>
      <w:r w:rsidR="00125DCB">
        <w:rPr>
          <w:rFonts w:ascii="Arial" w:hAnsi="Arial" w:cs="Arial"/>
        </w:rPr>
        <w:t>earlier this year</w:t>
      </w:r>
      <w:r w:rsidR="004633A1">
        <w:rPr>
          <w:rFonts w:ascii="Arial" w:hAnsi="Arial" w:cs="Arial"/>
        </w:rPr>
        <w:t xml:space="preserve"> for the feasibility study required by the proviso and expenditure restriction described above</w:t>
      </w:r>
      <w:r w:rsidR="009022BB">
        <w:rPr>
          <w:rFonts w:ascii="Arial" w:hAnsi="Arial" w:cs="Arial"/>
        </w:rPr>
        <w:t xml:space="preserve">, </w:t>
      </w:r>
      <w:r w:rsidR="00262399">
        <w:rPr>
          <w:rFonts w:ascii="Arial" w:hAnsi="Arial" w:cs="Arial"/>
        </w:rPr>
        <w:t xml:space="preserve">selecting </w:t>
      </w:r>
      <w:r w:rsidR="00DC0A08">
        <w:rPr>
          <w:rFonts w:ascii="Arial" w:hAnsi="Arial" w:cs="Arial"/>
        </w:rPr>
        <w:t>Arcadis</w:t>
      </w:r>
      <w:r w:rsidR="00F43385">
        <w:rPr>
          <w:rFonts w:ascii="Arial" w:hAnsi="Arial" w:cs="Arial"/>
        </w:rPr>
        <w:t xml:space="preserve"> (“Consultant”) </w:t>
      </w:r>
      <w:r w:rsidR="000032FE">
        <w:rPr>
          <w:rFonts w:ascii="Arial" w:hAnsi="Arial" w:cs="Arial"/>
        </w:rPr>
        <w:t xml:space="preserve">as the consultant </w:t>
      </w:r>
      <w:r w:rsidR="00F43385">
        <w:rPr>
          <w:rFonts w:ascii="Arial" w:hAnsi="Arial" w:cs="Arial"/>
        </w:rPr>
        <w:t>to perform the work</w:t>
      </w:r>
      <w:r w:rsidR="006B6D6F">
        <w:rPr>
          <w:rFonts w:ascii="Arial" w:hAnsi="Arial" w:cs="Arial"/>
        </w:rPr>
        <w:t>.</w:t>
      </w:r>
      <w:r w:rsidR="00F641A2">
        <w:rPr>
          <w:rFonts w:ascii="Arial" w:hAnsi="Arial" w:cs="Arial"/>
        </w:rPr>
        <w:t xml:space="preserve"> The </w:t>
      </w:r>
      <w:r w:rsidR="00F641A2">
        <w:rPr>
          <w:rFonts w:ascii="Arial" w:hAnsi="Arial" w:cs="Arial"/>
          <w:i/>
        </w:rPr>
        <w:t xml:space="preserve">King County Waste-to-Energy </w:t>
      </w:r>
      <w:r w:rsidR="001A01D2">
        <w:rPr>
          <w:rFonts w:ascii="Arial" w:hAnsi="Arial" w:cs="Arial"/>
          <w:i/>
        </w:rPr>
        <w:t>and Waste Export by Rail Feasibility Study</w:t>
      </w:r>
      <w:r w:rsidR="002652D9">
        <w:rPr>
          <w:rFonts w:ascii="Arial" w:hAnsi="Arial" w:cs="Arial"/>
          <w:i/>
        </w:rPr>
        <w:t xml:space="preserve"> </w:t>
      </w:r>
      <w:r w:rsidR="002652D9">
        <w:rPr>
          <w:rFonts w:ascii="Arial" w:hAnsi="Arial" w:cs="Arial"/>
        </w:rPr>
        <w:t>(“Feasibility Study”</w:t>
      </w:r>
      <w:r w:rsidR="00D11227">
        <w:rPr>
          <w:rFonts w:ascii="Arial" w:hAnsi="Arial" w:cs="Arial"/>
        </w:rPr>
        <w:t>, “Study”</w:t>
      </w:r>
      <w:r w:rsidR="002652D9">
        <w:rPr>
          <w:rFonts w:ascii="Arial" w:hAnsi="Arial" w:cs="Arial"/>
        </w:rPr>
        <w:t>)</w:t>
      </w:r>
      <w:r w:rsidR="001A01D2">
        <w:rPr>
          <w:rFonts w:ascii="Arial" w:hAnsi="Arial" w:cs="Arial"/>
        </w:rPr>
        <w:t xml:space="preserve">, </w:t>
      </w:r>
      <w:r w:rsidR="00926D33">
        <w:rPr>
          <w:rFonts w:ascii="Arial" w:hAnsi="Arial" w:cs="Arial"/>
        </w:rPr>
        <w:t xml:space="preserve">with </w:t>
      </w:r>
      <w:r w:rsidR="007F5A95">
        <w:rPr>
          <w:rFonts w:ascii="Arial" w:hAnsi="Arial" w:cs="Arial"/>
        </w:rPr>
        <w:t>Proposed Motion 2019-0429</w:t>
      </w:r>
      <w:r w:rsidR="000032FE">
        <w:rPr>
          <w:rFonts w:ascii="Arial" w:hAnsi="Arial" w:cs="Arial"/>
        </w:rPr>
        <w:t xml:space="preserve"> that would acknowledge </w:t>
      </w:r>
      <w:r w:rsidR="008934C4">
        <w:rPr>
          <w:rFonts w:ascii="Arial" w:hAnsi="Arial" w:cs="Arial"/>
        </w:rPr>
        <w:t xml:space="preserve">its </w:t>
      </w:r>
      <w:r w:rsidR="000032FE">
        <w:rPr>
          <w:rFonts w:ascii="Arial" w:hAnsi="Arial" w:cs="Arial"/>
        </w:rPr>
        <w:t>receipt</w:t>
      </w:r>
      <w:r w:rsidR="007F5A95">
        <w:rPr>
          <w:rFonts w:ascii="Arial" w:hAnsi="Arial" w:cs="Arial"/>
        </w:rPr>
        <w:t xml:space="preserve">, </w:t>
      </w:r>
      <w:r w:rsidR="00D11227">
        <w:rPr>
          <w:rFonts w:ascii="Arial" w:hAnsi="Arial" w:cs="Arial"/>
        </w:rPr>
        <w:t>was</w:t>
      </w:r>
      <w:r w:rsidR="007F5A95">
        <w:rPr>
          <w:rFonts w:ascii="Arial" w:hAnsi="Arial" w:cs="Arial"/>
        </w:rPr>
        <w:t xml:space="preserve"> transmitted to the Council on </w:t>
      </w:r>
      <w:r w:rsidR="002B2FB7">
        <w:rPr>
          <w:rFonts w:ascii="Arial" w:hAnsi="Arial" w:cs="Arial"/>
        </w:rPr>
        <w:t xml:space="preserve">October 4, 2019. </w:t>
      </w:r>
    </w:p>
    <w:p w14:paraId="1D542E53" w14:textId="18935F51" w:rsidR="002F6603" w:rsidRDefault="002F6603" w:rsidP="005B478C">
      <w:pPr>
        <w:jc w:val="both"/>
        <w:rPr>
          <w:rFonts w:ascii="Arial" w:hAnsi="Arial" w:cs="Arial"/>
        </w:rPr>
      </w:pPr>
    </w:p>
    <w:p w14:paraId="5C3B9743" w14:textId="61F74E8C" w:rsidR="00CC612E" w:rsidRDefault="000C13C2" w:rsidP="005B478C">
      <w:pPr>
        <w:jc w:val="both"/>
        <w:rPr>
          <w:rFonts w:ascii="Arial" w:hAnsi="Arial" w:cs="Arial"/>
        </w:rPr>
      </w:pPr>
      <w:r>
        <w:rPr>
          <w:rFonts w:ascii="Arial" w:hAnsi="Arial" w:cs="Arial"/>
        </w:rPr>
        <w:lastRenderedPageBreak/>
        <w:t xml:space="preserve">A summary of the </w:t>
      </w:r>
      <w:r w:rsidR="00990C7C">
        <w:rPr>
          <w:rFonts w:ascii="Arial" w:hAnsi="Arial" w:cs="Arial"/>
        </w:rPr>
        <w:t>C</w:t>
      </w:r>
      <w:r>
        <w:rPr>
          <w:rFonts w:ascii="Arial" w:hAnsi="Arial" w:cs="Arial"/>
        </w:rPr>
        <w:t xml:space="preserve">onsultant’s findings </w:t>
      </w:r>
      <w:r w:rsidR="00E70763">
        <w:rPr>
          <w:rFonts w:ascii="Arial" w:hAnsi="Arial" w:cs="Arial"/>
        </w:rPr>
        <w:t>in each of the areas requested by</w:t>
      </w:r>
      <w:r w:rsidR="002B2FB7">
        <w:rPr>
          <w:rFonts w:ascii="Arial" w:hAnsi="Arial" w:cs="Arial"/>
        </w:rPr>
        <w:t xml:space="preserve"> the</w:t>
      </w:r>
      <w:r w:rsidR="00E70763">
        <w:rPr>
          <w:rFonts w:ascii="Arial" w:hAnsi="Arial" w:cs="Arial"/>
        </w:rPr>
        <w:t xml:space="preserve"> proviso </w:t>
      </w:r>
      <w:r w:rsidR="00356B47">
        <w:rPr>
          <w:rFonts w:ascii="Arial" w:hAnsi="Arial" w:cs="Arial"/>
        </w:rPr>
        <w:t xml:space="preserve">is provided </w:t>
      </w:r>
      <w:r w:rsidR="007E3FF4">
        <w:rPr>
          <w:rFonts w:ascii="Arial" w:hAnsi="Arial" w:cs="Arial"/>
        </w:rPr>
        <w:t>in the following subsections</w:t>
      </w:r>
      <w:r w:rsidR="002B2FB7">
        <w:rPr>
          <w:rFonts w:ascii="Arial" w:hAnsi="Arial" w:cs="Arial"/>
        </w:rPr>
        <w:t xml:space="preserve"> of the staff report</w:t>
      </w:r>
      <w:r w:rsidR="007E3FF4">
        <w:rPr>
          <w:rFonts w:ascii="Arial" w:hAnsi="Arial" w:cs="Arial"/>
        </w:rPr>
        <w:t xml:space="preserve">. </w:t>
      </w:r>
    </w:p>
    <w:p w14:paraId="45AA758C" w14:textId="376C600A" w:rsidR="00CD4322" w:rsidRDefault="00CD4322" w:rsidP="005B478C">
      <w:pPr>
        <w:jc w:val="both"/>
        <w:rPr>
          <w:rFonts w:ascii="Arial" w:hAnsi="Arial" w:cs="Arial"/>
        </w:rPr>
      </w:pPr>
    </w:p>
    <w:p w14:paraId="4EEB586C" w14:textId="54162037" w:rsidR="003A7D2E" w:rsidRDefault="009A64FC" w:rsidP="003A7D2E">
      <w:pPr>
        <w:jc w:val="both"/>
        <w:rPr>
          <w:rFonts w:ascii="Arial" w:hAnsi="Arial" w:cs="Arial"/>
        </w:rPr>
      </w:pPr>
      <w:r>
        <w:rPr>
          <w:rFonts w:ascii="Arial" w:hAnsi="Arial" w:cs="Arial"/>
          <w:b/>
        </w:rPr>
        <w:t xml:space="preserve">County’s </w:t>
      </w:r>
      <w:r w:rsidR="00903126" w:rsidRPr="009A64FC">
        <w:rPr>
          <w:rFonts w:ascii="Arial" w:hAnsi="Arial" w:cs="Arial"/>
          <w:b/>
        </w:rPr>
        <w:t>Future Waste Tonnage Forecast</w:t>
      </w:r>
      <w:r w:rsidR="00CB0FCD">
        <w:rPr>
          <w:rFonts w:ascii="Arial" w:hAnsi="Arial" w:cs="Arial"/>
          <w:b/>
        </w:rPr>
        <w:t xml:space="preserve">. </w:t>
      </w:r>
      <w:r w:rsidR="00CB0FCD">
        <w:rPr>
          <w:rFonts w:ascii="Arial" w:hAnsi="Arial" w:cs="Arial"/>
        </w:rPr>
        <w:t>The proviso re</w:t>
      </w:r>
      <w:r w:rsidR="00FC49DD">
        <w:rPr>
          <w:rFonts w:ascii="Arial" w:hAnsi="Arial" w:cs="Arial"/>
        </w:rPr>
        <w:t>quired</w:t>
      </w:r>
      <w:r w:rsidR="00CB0FCD">
        <w:rPr>
          <w:rFonts w:ascii="Arial" w:hAnsi="Arial" w:cs="Arial"/>
        </w:rPr>
        <w:t xml:space="preserve"> </w:t>
      </w:r>
      <w:r w:rsidR="00CC612E">
        <w:rPr>
          <w:rFonts w:ascii="Arial" w:hAnsi="Arial" w:cs="Arial"/>
        </w:rPr>
        <w:t>the consultant to review the factors that may affect the County’s future waste tonnage forecast</w:t>
      </w:r>
      <w:r w:rsidR="00FC49DD">
        <w:rPr>
          <w:rFonts w:ascii="Arial" w:hAnsi="Arial" w:cs="Arial"/>
        </w:rPr>
        <w:t xml:space="preserve"> and </w:t>
      </w:r>
      <w:r w:rsidR="00A95515">
        <w:rPr>
          <w:rFonts w:ascii="Arial" w:hAnsi="Arial" w:cs="Arial"/>
        </w:rPr>
        <w:t>analyze how different assumptions could affect the forecast</w:t>
      </w:r>
      <w:r w:rsidR="00575B52">
        <w:rPr>
          <w:rFonts w:ascii="Arial" w:hAnsi="Arial" w:cs="Arial"/>
        </w:rPr>
        <w:t>, as well as</w:t>
      </w:r>
      <w:r w:rsidR="002652D9">
        <w:rPr>
          <w:rFonts w:ascii="Arial" w:hAnsi="Arial" w:cs="Arial"/>
        </w:rPr>
        <w:t xml:space="preserve"> include a range of estimates. The Consultant reviewed the waste forecast developed </w:t>
      </w:r>
      <w:r w:rsidR="008160E4">
        <w:rPr>
          <w:rFonts w:ascii="Arial" w:hAnsi="Arial" w:cs="Arial"/>
        </w:rPr>
        <w:t xml:space="preserve">in February 2019 </w:t>
      </w:r>
      <w:r w:rsidR="002652D9">
        <w:rPr>
          <w:rFonts w:ascii="Arial" w:hAnsi="Arial" w:cs="Arial"/>
        </w:rPr>
        <w:t>by the Solid Waste Division</w:t>
      </w:r>
      <w:r w:rsidR="00067C4D">
        <w:rPr>
          <w:rFonts w:ascii="Arial" w:hAnsi="Arial" w:cs="Arial"/>
        </w:rPr>
        <w:t xml:space="preserve"> (“SWD”)</w:t>
      </w:r>
      <w:r w:rsidR="00C169DD">
        <w:rPr>
          <w:rFonts w:ascii="Arial" w:hAnsi="Arial" w:cs="Arial"/>
        </w:rPr>
        <w:t>, along with population growth projections</w:t>
      </w:r>
      <w:r w:rsidR="00E86F88">
        <w:rPr>
          <w:rFonts w:ascii="Arial" w:hAnsi="Arial" w:cs="Arial"/>
        </w:rPr>
        <w:t>, per capita waste generation, and recycling rate</w:t>
      </w:r>
      <w:r w:rsidR="00834477">
        <w:rPr>
          <w:rFonts w:ascii="Arial" w:hAnsi="Arial" w:cs="Arial"/>
        </w:rPr>
        <w:t xml:space="preserve"> data</w:t>
      </w:r>
      <w:r w:rsidR="00E86F88">
        <w:rPr>
          <w:rFonts w:ascii="Arial" w:hAnsi="Arial" w:cs="Arial"/>
        </w:rPr>
        <w:t xml:space="preserve"> to determine</w:t>
      </w:r>
      <w:r w:rsidR="003A7D2E">
        <w:rPr>
          <w:rFonts w:ascii="Arial" w:hAnsi="Arial" w:cs="Arial"/>
        </w:rPr>
        <w:t xml:space="preserve"> whether the same methodology should be used through the 2075 planning horizon specified by the proviso. </w:t>
      </w:r>
      <w:r w:rsidR="000A0981">
        <w:rPr>
          <w:rFonts w:ascii="Arial" w:hAnsi="Arial" w:cs="Arial"/>
        </w:rPr>
        <w:t>The Feasibility Study notes that waste per capita depends on several factors incl</w:t>
      </w:r>
      <w:r w:rsidR="005D10E5">
        <w:rPr>
          <w:rFonts w:ascii="Arial" w:hAnsi="Arial" w:cs="Arial"/>
        </w:rPr>
        <w:t>uding:</w:t>
      </w:r>
    </w:p>
    <w:p w14:paraId="09985506" w14:textId="34027A95" w:rsidR="005D10E5" w:rsidRDefault="005D10E5" w:rsidP="003A7D2E">
      <w:pPr>
        <w:jc w:val="both"/>
        <w:rPr>
          <w:rFonts w:ascii="Arial" w:hAnsi="Arial" w:cs="Arial"/>
        </w:rPr>
      </w:pPr>
    </w:p>
    <w:p w14:paraId="5E2570D5" w14:textId="61981DBB" w:rsidR="005D10E5" w:rsidRDefault="005D10E5" w:rsidP="004A4A09">
      <w:pPr>
        <w:pStyle w:val="ListParagraph0"/>
        <w:numPr>
          <w:ilvl w:val="0"/>
          <w:numId w:val="3"/>
        </w:numPr>
        <w:jc w:val="both"/>
        <w:rPr>
          <w:rFonts w:ascii="Arial" w:hAnsi="Arial" w:cs="Arial"/>
        </w:rPr>
      </w:pPr>
      <w:r>
        <w:rPr>
          <w:rFonts w:ascii="Arial" w:hAnsi="Arial" w:cs="Arial"/>
        </w:rPr>
        <w:t>Economic activity (e.g., the amount of waste generated per capita tends to decrease during recessions);</w:t>
      </w:r>
    </w:p>
    <w:p w14:paraId="23B98A7E" w14:textId="37BD087F" w:rsidR="005D10E5" w:rsidRDefault="005D10E5" w:rsidP="004A4A09">
      <w:pPr>
        <w:pStyle w:val="ListParagraph0"/>
        <w:numPr>
          <w:ilvl w:val="0"/>
          <w:numId w:val="3"/>
        </w:numPr>
        <w:jc w:val="both"/>
        <w:rPr>
          <w:rFonts w:ascii="Arial" w:hAnsi="Arial" w:cs="Arial"/>
        </w:rPr>
      </w:pPr>
      <w:r>
        <w:rPr>
          <w:rFonts w:ascii="Arial" w:hAnsi="Arial" w:cs="Arial"/>
        </w:rPr>
        <w:t>Technological factors (e.g., packaging, recycling infrastructure);</w:t>
      </w:r>
    </w:p>
    <w:p w14:paraId="69FBCDA5" w14:textId="787DE855" w:rsidR="005D10E5" w:rsidRDefault="005D10E5" w:rsidP="004A4A09">
      <w:pPr>
        <w:pStyle w:val="ListParagraph0"/>
        <w:numPr>
          <w:ilvl w:val="0"/>
          <w:numId w:val="3"/>
        </w:numPr>
        <w:jc w:val="both"/>
        <w:rPr>
          <w:rFonts w:ascii="Arial" w:hAnsi="Arial" w:cs="Arial"/>
        </w:rPr>
      </w:pPr>
      <w:r>
        <w:rPr>
          <w:rFonts w:ascii="Arial" w:hAnsi="Arial" w:cs="Arial"/>
        </w:rPr>
        <w:t>Social factors (</w:t>
      </w:r>
      <w:r w:rsidR="001710A0">
        <w:rPr>
          <w:rFonts w:ascii="Arial" w:hAnsi="Arial" w:cs="Arial"/>
        </w:rPr>
        <w:t>e.g., a person’s attitude toward recycling); and</w:t>
      </w:r>
    </w:p>
    <w:p w14:paraId="1146EC22" w14:textId="06FF0855" w:rsidR="001710A0" w:rsidRDefault="001710A0" w:rsidP="004A4A09">
      <w:pPr>
        <w:pStyle w:val="ListParagraph0"/>
        <w:numPr>
          <w:ilvl w:val="0"/>
          <w:numId w:val="3"/>
        </w:numPr>
        <w:jc w:val="both"/>
        <w:rPr>
          <w:rFonts w:ascii="Arial" w:hAnsi="Arial" w:cs="Arial"/>
        </w:rPr>
      </w:pPr>
      <w:r>
        <w:rPr>
          <w:rFonts w:ascii="Arial" w:hAnsi="Arial" w:cs="Arial"/>
        </w:rPr>
        <w:t>Administrative/Governmental factors (e.g., government policies on recycling and how easy or difficult it is to recycle)</w:t>
      </w:r>
      <w:r w:rsidR="00742FFF">
        <w:rPr>
          <w:rFonts w:ascii="Arial" w:hAnsi="Arial" w:cs="Arial"/>
        </w:rPr>
        <w:t>.</w:t>
      </w:r>
    </w:p>
    <w:p w14:paraId="00EF56A3" w14:textId="134E94CF" w:rsidR="00742FFF" w:rsidRDefault="00742FFF" w:rsidP="00742FFF">
      <w:pPr>
        <w:jc w:val="both"/>
        <w:rPr>
          <w:rFonts w:ascii="Arial" w:hAnsi="Arial" w:cs="Arial"/>
        </w:rPr>
      </w:pPr>
    </w:p>
    <w:p w14:paraId="5759CB84" w14:textId="57E8D4C1" w:rsidR="000D55A6" w:rsidRDefault="002A5CCC" w:rsidP="000D55A6">
      <w:pPr>
        <w:jc w:val="both"/>
        <w:rPr>
          <w:rFonts w:ascii="Arial" w:hAnsi="Arial" w:cs="Arial"/>
        </w:rPr>
      </w:pPr>
      <w:r>
        <w:rPr>
          <w:rFonts w:ascii="Arial" w:hAnsi="Arial" w:cs="Arial"/>
        </w:rPr>
        <w:t>Executive s</w:t>
      </w:r>
      <w:r w:rsidR="0039525B">
        <w:rPr>
          <w:rFonts w:ascii="Arial" w:hAnsi="Arial" w:cs="Arial"/>
        </w:rPr>
        <w:t>taff note that the SWD</w:t>
      </w:r>
      <w:r w:rsidR="004C641C">
        <w:rPr>
          <w:rFonts w:ascii="Arial" w:hAnsi="Arial" w:cs="Arial"/>
        </w:rPr>
        <w:t xml:space="preserve"> forecast</w:t>
      </w:r>
      <w:r w:rsidR="0039525B">
        <w:rPr>
          <w:rFonts w:ascii="Arial" w:hAnsi="Arial" w:cs="Arial"/>
        </w:rPr>
        <w:t xml:space="preserve"> model is based on multiple variables (e.g., retail sales data,</w:t>
      </w:r>
      <w:r w:rsidR="00175AF3">
        <w:rPr>
          <w:rFonts w:ascii="Arial" w:hAnsi="Arial" w:cs="Arial"/>
        </w:rPr>
        <w:t xml:space="preserve"> per capita waste disposed) which are challenging to predict and become more uncertain the farther out you look in time.</w:t>
      </w:r>
      <w:r w:rsidR="004C641C">
        <w:rPr>
          <w:rFonts w:ascii="Arial" w:hAnsi="Arial" w:cs="Arial"/>
        </w:rPr>
        <w:t xml:space="preserve"> </w:t>
      </w:r>
      <w:r w:rsidR="006942FA">
        <w:rPr>
          <w:rFonts w:ascii="Arial" w:hAnsi="Arial" w:cs="Arial"/>
        </w:rPr>
        <w:t xml:space="preserve">Because the SWD forecast model was not designed to develop 50-year estimates, the Consultant felt it was not </w:t>
      </w:r>
      <w:r w:rsidR="004F4569">
        <w:rPr>
          <w:rFonts w:ascii="Arial" w:hAnsi="Arial" w:cs="Arial"/>
        </w:rPr>
        <w:t>appropriate to use that projection methodology and instead recommends a simpler approach with population as the major variable, as it reduces the potential number of assumption</w:t>
      </w:r>
      <w:r w:rsidR="00D06A71">
        <w:rPr>
          <w:rFonts w:ascii="Arial" w:hAnsi="Arial" w:cs="Arial"/>
        </w:rPr>
        <w:t>s</w:t>
      </w:r>
      <w:r w:rsidR="004F4569">
        <w:rPr>
          <w:rFonts w:ascii="Arial" w:hAnsi="Arial" w:cs="Arial"/>
        </w:rPr>
        <w:t xml:space="preserve"> to project</w:t>
      </w:r>
      <w:r w:rsidR="00D06A71">
        <w:rPr>
          <w:rFonts w:ascii="Arial" w:hAnsi="Arial" w:cs="Arial"/>
        </w:rPr>
        <w:t xml:space="preserve"> out </w:t>
      </w:r>
      <w:r w:rsidR="00E1360A">
        <w:rPr>
          <w:rFonts w:ascii="Arial" w:hAnsi="Arial" w:cs="Arial"/>
        </w:rPr>
        <w:t>fifty years</w:t>
      </w:r>
      <w:r w:rsidR="00D06A71">
        <w:rPr>
          <w:rFonts w:ascii="Arial" w:hAnsi="Arial" w:cs="Arial"/>
        </w:rPr>
        <w:t xml:space="preserve">. </w:t>
      </w:r>
      <w:r w:rsidR="00742FFF">
        <w:rPr>
          <w:rFonts w:ascii="Arial" w:hAnsi="Arial" w:cs="Arial"/>
        </w:rPr>
        <w:t>Arcadis developed two waste tonnage forecasts rep</w:t>
      </w:r>
      <w:r w:rsidR="009F2555">
        <w:rPr>
          <w:rFonts w:ascii="Arial" w:hAnsi="Arial" w:cs="Arial"/>
        </w:rPr>
        <w:t>resenting a high</w:t>
      </w:r>
      <w:r w:rsidR="00B62DD8">
        <w:rPr>
          <w:rStyle w:val="FootnoteReference"/>
          <w:rFonts w:ascii="Arial" w:hAnsi="Arial" w:cs="Arial"/>
        </w:rPr>
        <w:footnoteReference w:id="11"/>
      </w:r>
      <w:r w:rsidR="009F2555">
        <w:rPr>
          <w:rFonts w:ascii="Arial" w:hAnsi="Arial" w:cs="Arial"/>
        </w:rPr>
        <w:t xml:space="preserve"> and low</w:t>
      </w:r>
      <w:r w:rsidR="00B62DD8">
        <w:rPr>
          <w:rStyle w:val="FootnoteReference"/>
          <w:rFonts w:ascii="Arial" w:hAnsi="Arial" w:cs="Arial"/>
        </w:rPr>
        <w:footnoteReference w:id="12"/>
      </w:r>
      <w:r w:rsidR="009F2555">
        <w:rPr>
          <w:rFonts w:ascii="Arial" w:hAnsi="Arial" w:cs="Arial"/>
        </w:rPr>
        <w:t xml:space="preserve"> bound</w:t>
      </w:r>
      <w:r w:rsidR="00196852">
        <w:rPr>
          <w:rFonts w:ascii="Arial" w:hAnsi="Arial" w:cs="Arial"/>
        </w:rPr>
        <w:t>.</w:t>
      </w:r>
      <w:r w:rsidR="00F505E5">
        <w:rPr>
          <w:rFonts w:ascii="Arial" w:hAnsi="Arial" w:cs="Arial"/>
        </w:rPr>
        <w:t xml:space="preserve"> Both forecasts assume a 52 percent recycling rate throughout the entire study period</w:t>
      </w:r>
      <w:r w:rsidR="00F86FFC">
        <w:rPr>
          <w:rFonts w:ascii="Arial" w:hAnsi="Arial" w:cs="Arial"/>
        </w:rPr>
        <w:t xml:space="preserve"> and the Feasibility Study explains that this is based on the </w:t>
      </w:r>
      <w:r w:rsidR="00F37A54">
        <w:rPr>
          <w:rFonts w:ascii="Arial" w:hAnsi="Arial" w:cs="Arial"/>
        </w:rPr>
        <w:t xml:space="preserve">leveling off in the </w:t>
      </w:r>
      <w:r w:rsidR="003F73F6">
        <w:rPr>
          <w:rFonts w:ascii="Arial" w:hAnsi="Arial" w:cs="Arial"/>
        </w:rPr>
        <w:t xml:space="preserve">County’s </w:t>
      </w:r>
      <w:r w:rsidR="00F37A54">
        <w:rPr>
          <w:rFonts w:ascii="Arial" w:hAnsi="Arial" w:cs="Arial"/>
        </w:rPr>
        <w:t xml:space="preserve">recycling rate in recent years and the limited role of the County in enforcing recycling rate improvements in the partner cities. </w:t>
      </w:r>
      <w:r w:rsidR="00196852">
        <w:rPr>
          <w:rFonts w:ascii="Arial" w:hAnsi="Arial" w:cs="Arial"/>
        </w:rPr>
        <w:t xml:space="preserve">Table </w:t>
      </w:r>
      <w:r w:rsidR="000216F6">
        <w:rPr>
          <w:rFonts w:ascii="Arial" w:hAnsi="Arial" w:cs="Arial"/>
        </w:rPr>
        <w:t>1</w:t>
      </w:r>
      <w:r w:rsidR="00196852">
        <w:rPr>
          <w:rFonts w:ascii="Arial" w:hAnsi="Arial" w:cs="Arial"/>
        </w:rPr>
        <w:t xml:space="preserve"> below provides the estimated waste generated in a few key years</w:t>
      </w:r>
      <w:r w:rsidR="00B62DD8">
        <w:rPr>
          <w:rFonts w:ascii="Arial" w:hAnsi="Arial" w:cs="Arial"/>
        </w:rPr>
        <w:t xml:space="preserve"> under each </w:t>
      </w:r>
      <w:r w:rsidR="003F73F6">
        <w:rPr>
          <w:rFonts w:ascii="Arial" w:hAnsi="Arial" w:cs="Arial"/>
        </w:rPr>
        <w:t xml:space="preserve">developed </w:t>
      </w:r>
      <w:r w:rsidR="00B62DD8">
        <w:rPr>
          <w:rFonts w:ascii="Arial" w:hAnsi="Arial" w:cs="Arial"/>
        </w:rPr>
        <w:t>forecast</w:t>
      </w:r>
      <w:r w:rsidR="00531797">
        <w:rPr>
          <w:rFonts w:ascii="Arial" w:hAnsi="Arial" w:cs="Arial"/>
        </w:rPr>
        <w:t xml:space="preserve">. </w:t>
      </w:r>
      <w:r w:rsidR="000D55A6">
        <w:rPr>
          <w:rFonts w:ascii="Arial" w:hAnsi="Arial" w:cs="Arial"/>
        </w:rPr>
        <w:t>For context, approximately 931,000 tons of waste were disposed at the Cedar Hills landfill in 2017.</w:t>
      </w:r>
      <w:r w:rsidR="00F508E6">
        <w:rPr>
          <w:rStyle w:val="FootnoteReference"/>
          <w:rFonts w:ascii="Arial" w:hAnsi="Arial" w:cs="Arial"/>
        </w:rPr>
        <w:footnoteReference w:id="13"/>
      </w:r>
      <w:r w:rsidR="000D55A6">
        <w:rPr>
          <w:rFonts w:ascii="Arial" w:hAnsi="Arial" w:cs="Arial"/>
        </w:rPr>
        <w:t xml:space="preserve"> </w:t>
      </w:r>
    </w:p>
    <w:p w14:paraId="68D8AAE0" w14:textId="338DD06B" w:rsidR="00E02AD5" w:rsidRDefault="00E02AD5" w:rsidP="00742FFF">
      <w:pPr>
        <w:jc w:val="both"/>
        <w:rPr>
          <w:rFonts w:ascii="Arial" w:hAnsi="Arial" w:cs="Arial"/>
        </w:rPr>
      </w:pPr>
    </w:p>
    <w:p w14:paraId="62815A95" w14:textId="177CEB6F" w:rsidR="008D5C45" w:rsidRDefault="008D5C45" w:rsidP="00742FFF">
      <w:pPr>
        <w:jc w:val="both"/>
        <w:rPr>
          <w:rFonts w:ascii="Arial" w:hAnsi="Arial" w:cs="Arial"/>
        </w:rPr>
      </w:pPr>
    </w:p>
    <w:p w14:paraId="2E60CAFB" w14:textId="5257C7DD" w:rsidR="008D5C45" w:rsidRDefault="008D5C45" w:rsidP="00742FFF">
      <w:pPr>
        <w:jc w:val="both"/>
        <w:rPr>
          <w:rFonts w:ascii="Arial" w:hAnsi="Arial" w:cs="Arial"/>
        </w:rPr>
      </w:pPr>
    </w:p>
    <w:p w14:paraId="0C9B4A78" w14:textId="3C84A7A0" w:rsidR="008D5C45" w:rsidRDefault="008D5C45" w:rsidP="00742FFF">
      <w:pPr>
        <w:jc w:val="both"/>
        <w:rPr>
          <w:rFonts w:ascii="Arial" w:hAnsi="Arial" w:cs="Arial"/>
        </w:rPr>
      </w:pPr>
    </w:p>
    <w:p w14:paraId="481F6A49" w14:textId="783D3F18" w:rsidR="008D5C45" w:rsidRDefault="008D5C45" w:rsidP="00742FFF">
      <w:pPr>
        <w:jc w:val="both"/>
        <w:rPr>
          <w:rFonts w:ascii="Arial" w:hAnsi="Arial" w:cs="Arial"/>
        </w:rPr>
      </w:pPr>
    </w:p>
    <w:p w14:paraId="60AA6DFC" w14:textId="054A368A" w:rsidR="008D5C45" w:rsidRDefault="008D5C45" w:rsidP="00742FFF">
      <w:pPr>
        <w:jc w:val="both"/>
        <w:rPr>
          <w:rFonts w:ascii="Arial" w:hAnsi="Arial" w:cs="Arial"/>
        </w:rPr>
      </w:pPr>
    </w:p>
    <w:p w14:paraId="0B1B0562" w14:textId="77777777" w:rsidR="008D5C45" w:rsidRDefault="008D5C45" w:rsidP="00742FFF">
      <w:pPr>
        <w:jc w:val="both"/>
        <w:rPr>
          <w:rFonts w:ascii="Arial" w:hAnsi="Arial" w:cs="Arial"/>
        </w:rPr>
      </w:pPr>
    </w:p>
    <w:p w14:paraId="054F7393" w14:textId="45586B82" w:rsidR="0028535C" w:rsidRPr="0028535C" w:rsidRDefault="0028535C" w:rsidP="0028535C">
      <w:pPr>
        <w:jc w:val="center"/>
        <w:rPr>
          <w:rFonts w:ascii="Arial" w:hAnsi="Arial" w:cs="Arial"/>
          <w:b/>
        </w:rPr>
      </w:pPr>
      <w:r>
        <w:rPr>
          <w:rFonts w:ascii="Arial" w:hAnsi="Arial" w:cs="Arial"/>
          <w:b/>
        </w:rPr>
        <w:lastRenderedPageBreak/>
        <w:t xml:space="preserve">Table </w:t>
      </w:r>
      <w:r w:rsidR="000216F6">
        <w:rPr>
          <w:rFonts w:ascii="Arial" w:hAnsi="Arial" w:cs="Arial"/>
          <w:b/>
        </w:rPr>
        <w:t>1</w:t>
      </w:r>
      <w:r>
        <w:rPr>
          <w:rFonts w:ascii="Arial" w:hAnsi="Arial" w:cs="Arial"/>
          <w:b/>
        </w:rPr>
        <w:t xml:space="preserve">. </w:t>
      </w:r>
      <w:r w:rsidR="00A44902">
        <w:rPr>
          <w:rFonts w:ascii="Arial" w:hAnsi="Arial" w:cs="Arial"/>
          <w:b/>
        </w:rPr>
        <w:t>Projected Total Tons Disposed Annually</w:t>
      </w:r>
      <w:r w:rsidR="00267560">
        <w:rPr>
          <w:rFonts w:ascii="Arial" w:hAnsi="Arial" w:cs="Arial"/>
          <w:b/>
        </w:rPr>
        <w:t xml:space="preserve"> Under Low and High Bound Forecasts</w:t>
      </w:r>
    </w:p>
    <w:p w14:paraId="588E7127" w14:textId="6B97B8F0" w:rsidR="00531797" w:rsidRDefault="00531797" w:rsidP="00742FFF">
      <w:pPr>
        <w:jc w:val="both"/>
        <w:rPr>
          <w:rFonts w:ascii="Arial" w:hAnsi="Arial" w:cs="Arial"/>
        </w:rPr>
      </w:pPr>
    </w:p>
    <w:tbl>
      <w:tblPr>
        <w:tblW w:w="9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5"/>
        <w:gridCol w:w="1656"/>
        <w:gridCol w:w="1656"/>
        <w:gridCol w:w="1656"/>
        <w:gridCol w:w="1656"/>
      </w:tblGrid>
      <w:tr w:rsidR="00E02AD5" w:rsidRPr="004B445C" w14:paraId="2D32DDA0" w14:textId="7B29B0EB" w:rsidTr="000216F6">
        <w:trPr>
          <w:trHeight w:val="525"/>
          <w:tblHeader/>
          <w:jc w:val="center"/>
        </w:trPr>
        <w:tc>
          <w:tcPr>
            <w:tcW w:w="2625" w:type="dxa"/>
            <w:shd w:val="clear" w:color="000000" w:fill="000000"/>
            <w:noWrap/>
            <w:vAlign w:val="bottom"/>
            <w:hideMark/>
          </w:tcPr>
          <w:p w14:paraId="1CD5FBC6" w14:textId="3F43EDEA" w:rsidR="00E02AD5" w:rsidRPr="004B445C" w:rsidRDefault="00E02AD5" w:rsidP="007D74D4">
            <w:pPr>
              <w:rPr>
                <w:rFonts w:ascii="Arial" w:hAnsi="Arial" w:cs="Arial"/>
                <w:b/>
                <w:bCs/>
                <w:color w:val="FFFFFF"/>
                <w:sz w:val="22"/>
                <w:szCs w:val="22"/>
              </w:rPr>
            </w:pPr>
            <w:r w:rsidRPr="004B445C">
              <w:rPr>
                <w:rFonts w:ascii="Arial" w:hAnsi="Arial" w:cs="Arial"/>
                <w:b/>
                <w:bCs/>
                <w:color w:val="FFFFFF"/>
                <w:sz w:val="22"/>
                <w:szCs w:val="22"/>
              </w:rPr>
              <w:t xml:space="preserve">Model </w:t>
            </w:r>
          </w:p>
        </w:tc>
        <w:tc>
          <w:tcPr>
            <w:tcW w:w="1656" w:type="dxa"/>
            <w:shd w:val="clear" w:color="000000" w:fill="000000"/>
            <w:vAlign w:val="bottom"/>
            <w:hideMark/>
          </w:tcPr>
          <w:p w14:paraId="5828A3D5" w14:textId="14A812E0" w:rsidR="00E02AD5" w:rsidRPr="004B445C" w:rsidRDefault="00E02AD5" w:rsidP="007D74D4">
            <w:pPr>
              <w:jc w:val="center"/>
              <w:rPr>
                <w:rFonts w:ascii="Arial" w:hAnsi="Arial" w:cs="Arial"/>
                <w:bCs/>
                <w:color w:val="FFFFFF"/>
                <w:sz w:val="22"/>
                <w:szCs w:val="22"/>
              </w:rPr>
            </w:pPr>
            <w:r w:rsidRPr="004B445C">
              <w:rPr>
                <w:rFonts w:ascii="Arial" w:hAnsi="Arial" w:cs="Arial"/>
                <w:b/>
                <w:bCs/>
                <w:color w:val="FFFFFF"/>
                <w:sz w:val="22"/>
                <w:szCs w:val="22"/>
              </w:rPr>
              <w:t>2025</w:t>
            </w:r>
          </w:p>
        </w:tc>
        <w:tc>
          <w:tcPr>
            <w:tcW w:w="1656" w:type="dxa"/>
            <w:shd w:val="clear" w:color="000000" w:fill="000000"/>
            <w:vAlign w:val="bottom"/>
            <w:hideMark/>
          </w:tcPr>
          <w:p w14:paraId="2A221878" w14:textId="7D0C22E1" w:rsidR="00E02AD5" w:rsidRPr="004B445C" w:rsidRDefault="00E02AD5" w:rsidP="007D74D4">
            <w:pPr>
              <w:jc w:val="center"/>
              <w:rPr>
                <w:rFonts w:ascii="Arial" w:hAnsi="Arial" w:cs="Arial"/>
                <w:b/>
                <w:bCs/>
                <w:color w:val="FFFFFF"/>
                <w:sz w:val="22"/>
                <w:szCs w:val="22"/>
              </w:rPr>
            </w:pPr>
            <w:r w:rsidRPr="004B445C">
              <w:rPr>
                <w:rFonts w:ascii="Arial" w:hAnsi="Arial" w:cs="Arial"/>
                <w:b/>
                <w:bCs/>
                <w:color w:val="FFFFFF"/>
                <w:sz w:val="22"/>
                <w:szCs w:val="22"/>
              </w:rPr>
              <w:t>2040</w:t>
            </w:r>
          </w:p>
        </w:tc>
        <w:tc>
          <w:tcPr>
            <w:tcW w:w="1656" w:type="dxa"/>
            <w:shd w:val="clear" w:color="000000" w:fill="000000"/>
            <w:vAlign w:val="bottom"/>
            <w:hideMark/>
          </w:tcPr>
          <w:p w14:paraId="79117142" w14:textId="58FF297B" w:rsidR="00E02AD5" w:rsidRPr="004B445C" w:rsidRDefault="00E02AD5" w:rsidP="007D74D4">
            <w:pPr>
              <w:jc w:val="center"/>
              <w:rPr>
                <w:rFonts w:ascii="Arial" w:hAnsi="Arial" w:cs="Arial"/>
                <w:b/>
                <w:bCs/>
                <w:color w:val="FFFFFF"/>
                <w:sz w:val="22"/>
                <w:szCs w:val="22"/>
              </w:rPr>
            </w:pPr>
            <w:r w:rsidRPr="004B445C">
              <w:rPr>
                <w:rFonts w:ascii="Arial" w:hAnsi="Arial" w:cs="Arial"/>
                <w:b/>
                <w:bCs/>
                <w:color w:val="FFFFFF"/>
                <w:sz w:val="22"/>
                <w:szCs w:val="22"/>
              </w:rPr>
              <w:t>2045</w:t>
            </w:r>
          </w:p>
        </w:tc>
        <w:tc>
          <w:tcPr>
            <w:tcW w:w="1656" w:type="dxa"/>
            <w:shd w:val="clear" w:color="000000" w:fill="000000"/>
            <w:vAlign w:val="bottom"/>
          </w:tcPr>
          <w:p w14:paraId="0975301E" w14:textId="093497D3" w:rsidR="00E02AD5" w:rsidRPr="004B445C" w:rsidRDefault="00E02AD5" w:rsidP="00E02AD5">
            <w:pPr>
              <w:jc w:val="center"/>
              <w:rPr>
                <w:rFonts w:ascii="Arial" w:hAnsi="Arial" w:cs="Arial"/>
                <w:b/>
                <w:bCs/>
                <w:color w:val="FFFFFF"/>
                <w:sz w:val="22"/>
                <w:szCs w:val="22"/>
              </w:rPr>
            </w:pPr>
            <w:r w:rsidRPr="004B445C">
              <w:rPr>
                <w:rFonts w:ascii="Arial" w:hAnsi="Arial" w:cs="Arial"/>
                <w:b/>
                <w:bCs/>
                <w:color w:val="FFFFFF"/>
                <w:sz w:val="22"/>
                <w:szCs w:val="22"/>
              </w:rPr>
              <w:t>2075</w:t>
            </w:r>
          </w:p>
        </w:tc>
      </w:tr>
      <w:tr w:rsidR="00E02AD5" w:rsidRPr="004B445C" w14:paraId="76E67CBF" w14:textId="74CCFA79" w:rsidTr="000216F6">
        <w:trPr>
          <w:trHeight w:val="300"/>
          <w:jc w:val="center"/>
        </w:trPr>
        <w:tc>
          <w:tcPr>
            <w:tcW w:w="2625" w:type="dxa"/>
            <w:shd w:val="clear" w:color="auto" w:fill="auto"/>
            <w:noWrap/>
            <w:vAlign w:val="center"/>
            <w:hideMark/>
          </w:tcPr>
          <w:p w14:paraId="136D054A" w14:textId="7F7824FB" w:rsidR="00E02AD5" w:rsidRPr="00CC4036" w:rsidRDefault="00E02AD5" w:rsidP="007D74D4">
            <w:pPr>
              <w:rPr>
                <w:rFonts w:ascii="Arial" w:hAnsi="Arial" w:cs="Arial"/>
                <w:b/>
                <w:color w:val="000000"/>
                <w:sz w:val="22"/>
                <w:szCs w:val="22"/>
              </w:rPr>
            </w:pPr>
            <w:r w:rsidRPr="00CC4036">
              <w:rPr>
                <w:rFonts w:ascii="Arial" w:hAnsi="Arial" w:cs="Arial"/>
                <w:b/>
                <w:color w:val="000000"/>
                <w:sz w:val="22"/>
                <w:szCs w:val="22"/>
              </w:rPr>
              <w:t xml:space="preserve">Consultant High Bound Forecast </w:t>
            </w:r>
            <w:r w:rsidR="004B445C" w:rsidRPr="00CC4036">
              <w:rPr>
                <w:rFonts w:ascii="Arial" w:hAnsi="Arial" w:cs="Arial"/>
                <w:b/>
                <w:color w:val="000000"/>
                <w:sz w:val="22"/>
                <w:szCs w:val="22"/>
              </w:rPr>
              <w:t>(tons)</w:t>
            </w:r>
          </w:p>
        </w:tc>
        <w:tc>
          <w:tcPr>
            <w:tcW w:w="1656" w:type="dxa"/>
            <w:shd w:val="clear" w:color="auto" w:fill="auto"/>
            <w:noWrap/>
            <w:vAlign w:val="center"/>
          </w:tcPr>
          <w:p w14:paraId="5870AA45" w14:textId="166831F6" w:rsidR="00E02AD5" w:rsidRPr="004B445C" w:rsidRDefault="00E02AD5" w:rsidP="00B62DD8">
            <w:pPr>
              <w:jc w:val="center"/>
              <w:rPr>
                <w:rFonts w:ascii="Arial" w:hAnsi="Arial" w:cs="Arial"/>
                <w:bCs/>
                <w:color w:val="000000"/>
                <w:sz w:val="22"/>
                <w:szCs w:val="22"/>
              </w:rPr>
            </w:pPr>
            <w:r w:rsidRPr="004B445C">
              <w:rPr>
                <w:rFonts w:ascii="Arial" w:hAnsi="Arial" w:cs="Arial"/>
                <w:bCs/>
                <w:color w:val="000000"/>
                <w:sz w:val="22"/>
                <w:szCs w:val="22"/>
              </w:rPr>
              <w:t>1,079,268</w:t>
            </w:r>
          </w:p>
        </w:tc>
        <w:tc>
          <w:tcPr>
            <w:tcW w:w="1656" w:type="dxa"/>
            <w:shd w:val="clear" w:color="auto" w:fill="auto"/>
            <w:vAlign w:val="center"/>
          </w:tcPr>
          <w:p w14:paraId="7540F05B" w14:textId="2815380C" w:rsidR="00E02AD5" w:rsidRPr="004B445C" w:rsidRDefault="004B445C" w:rsidP="00B62DD8">
            <w:pPr>
              <w:jc w:val="center"/>
              <w:rPr>
                <w:rFonts w:ascii="Arial" w:hAnsi="Arial" w:cs="Arial"/>
                <w:color w:val="000000"/>
                <w:sz w:val="22"/>
                <w:szCs w:val="22"/>
              </w:rPr>
            </w:pPr>
            <w:r w:rsidRPr="004B445C">
              <w:rPr>
                <w:rFonts w:ascii="Arial" w:hAnsi="Arial" w:cs="Arial"/>
                <w:color w:val="000000"/>
                <w:sz w:val="22"/>
                <w:szCs w:val="22"/>
              </w:rPr>
              <w:t>1,454,250</w:t>
            </w:r>
          </w:p>
        </w:tc>
        <w:tc>
          <w:tcPr>
            <w:tcW w:w="1656" w:type="dxa"/>
            <w:shd w:val="clear" w:color="auto" w:fill="auto"/>
            <w:vAlign w:val="center"/>
          </w:tcPr>
          <w:p w14:paraId="5751C459" w14:textId="793A704D" w:rsidR="00E02AD5" w:rsidRPr="004B445C" w:rsidRDefault="004B445C" w:rsidP="00B62DD8">
            <w:pPr>
              <w:jc w:val="center"/>
              <w:rPr>
                <w:rFonts w:ascii="Arial" w:hAnsi="Arial" w:cs="Arial"/>
                <w:color w:val="000000"/>
                <w:sz w:val="22"/>
                <w:szCs w:val="22"/>
              </w:rPr>
            </w:pPr>
            <w:r w:rsidRPr="004B445C">
              <w:rPr>
                <w:rFonts w:ascii="Arial" w:hAnsi="Arial" w:cs="Arial"/>
                <w:color w:val="000000"/>
                <w:sz w:val="22"/>
                <w:szCs w:val="22"/>
              </w:rPr>
              <w:t>1,</w:t>
            </w:r>
            <w:r w:rsidR="00B62DD8">
              <w:rPr>
                <w:rFonts w:ascii="Arial" w:hAnsi="Arial" w:cs="Arial"/>
                <w:color w:val="000000"/>
                <w:sz w:val="22"/>
                <w:szCs w:val="22"/>
              </w:rPr>
              <w:t>496,171</w:t>
            </w:r>
          </w:p>
        </w:tc>
        <w:tc>
          <w:tcPr>
            <w:tcW w:w="1656" w:type="dxa"/>
            <w:vAlign w:val="center"/>
          </w:tcPr>
          <w:p w14:paraId="76B1FAFA" w14:textId="0EDC4427" w:rsidR="00E02AD5" w:rsidRPr="004B445C" w:rsidRDefault="004B445C" w:rsidP="00B62DD8">
            <w:pPr>
              <w:jc w:val="center"/>
              <w:rPr>
                <w:rFonts w:ascii="Arial" w:hAnsi="Arial" w:cs="Arial"/>
                <w:color w:val="000000"/>
                <w:sz w:val="22"/>
                <w:szCs w:val="22"/>
              </w:rPr>
            </w:pPr>
            <w:r>
              <w:rPr>
                <w:rFonts w:ascii="Arial" w:hAnsi="Arial" w:cs="Arial"/>
                <w:color w:val="000000"/>
                <w:sz w:val="22"/>
                <w:szCs w:val="22"/>
              </w:rPr>
              <w:t>1,774,331</w:t>
            </w:r>
          </w:p>
        </w:tc>
      </w:tr>
      <w:tr w:rsidR="00E02AD5" w:rsidRPr="004B445C" w14:paraId="312FD3C2" w14:textId="60E23E81" w:rsidTr="000216F6">
        <w:trPr>
          <w:trHeight w:val="300"/>
          <w:jc w:val="center"/>
        </w:trPr>
        <w:tc>
          <w:tcPr>
            <w:tcW w:w="2625" w:type="dxa"/>
            <w:shd w:val="clear" w:color="auto" w:fill="auto"/>
            <w:noWrap/>
            <w:vAlign w:val="center"/>
            <w:hideMark/>
          </w:tcPr>
          <w:p w14:paraId="034C933E" w14:textId="1B114062" w:rsidR="00E02AD5" w:rsidRPr="00CC4036" w:rsidRDefault="00E02AD5" w:rsidP="007D74D4">
            <w:pPr>
              <w:rPr>
                <w:rFonts w:ascii="Arial" w:hAnsi="Arial" w:cs="Arial"/>
                <w:b/>
                <w:color w:val="000000"/>
                <w:sz w:val="22"/>
                <w:szCs w:val="22"/>
              </w:rPr>
            </w:pPr>
            <w:r w:rsidRPr="00CC4036">
              <w:rPr>
                <w:rFonts w:ascii="Arial" w:hAnsi="Arial" w:cs="Arial"/>
                <w:b/>
                <w:color w:val="000000"/>
                <w:sz w:val="22"/>
                <w:szCs w:val="22"/>
              </w:rPr>
              <w:t>Consultant Low Bound Forecast</w:t>
            </w:r>
            <w:r w:rsidR="004B445C" w:rsidRPr="00CC4036">
              <w:rPr>
                <w:rFonts w:ascii="Arial" w:hAnsi="Arial" w:cs="Arial"/>
                <w:b/>
                <w:color w:val="000000"/>
                <w:sz w:val="22"/>
                <w:szCs w:val="22"/>
              </w:rPr>
              <w:t xml:space="preserve"> (tons)</w:t>
            </w:r>
          </w:p>
        </w:tc>
        <w:tc>
          <w:tcPr>
            <w:tcW w:w="1656" w:type="dxa"/>
            <w:shd w:val="clear" w:color="auto" w:fill="auto"/>
            <w:noWrap/>
            <w:vAlign w:val="center"/>
          </w:tcPr>
          <w:p w14:paraId="2BB95BB6" w14:textId="61FCF61D" w:rsidR="00E02AD5" w:rsidRPr="004B445C" w:rsidRDefault="004B445C" w:rsidP="00B62DD8">
            <w:pPr>
              <w:jc w:val="center"/>
              <w:rPr>
                <w:rFonts w:ascii="Arial" w:hAnsi="Arial" w:cs="Arial"/>
                <w:bCs/>
                <w:color w:val="000000"/>
                <w:sz w:val="22"/>
                <w:szCs w:val="22"/>
              </w:rPr>
            </w:pPr>
            <w:r>
              <w:rPr>
                <w:rFonts w:ascii="Arial" w:hAnsi="Arial" w:cs="Arial"/>
                <w:bCs/>
                <w:color w:val="000000"/>
                <w:sz w:val="22"/>
                <w:szCs w:val="22"/>
              </w:rPr>
              <w:t>928,046</w:t>
            </w:r>
          </w:p>
        </w:tc>
        <w:tc>
          <w:tcPr>
            <w:tcW w:w="1656" w:type="dxa"/>
            <w:shd w:val="clear" w:color="auto" w:fill="auto"/>
            <w:vAlign w:val="center"/>
          </w:tcPr>
          <w:p w14:paraId="010012B7" w14:textId="15FB9EDA" w:rsidR="00E02AD5" w:rsidRPr="004B445C" w:rsidRDefault="004B445C" w:rsidP="00B62DD8">
            <w:pPr>
              <w:jc w:val="center"/>
              <w:rPr>
                <w:rFonts w:ascii="Arial" w:hAnsi="Arial" w:cs="Arial"/>
                <w:color w:val="000000"/>
                <w:sz w:val="22"/>
                <w:szCs w:val="22"/>
              </w:rPr>
            </w:pPr>
            <w:r>
              <w:rPr>
                <w:rFonts w:ascii="Arial" w:hAnsi="Arial" w:cs="Arial"/>
                <w:color w:val="000000"/>
                <w:sz w:val="22"/>
                <w:szCs w:val="22"/>
              </w:rPr>
              <w:t>1,006,379</w:t>
            </w:r>
          </w:p>
        </w:tc>
        <w:tc>
          <w:tcPr>
            <w:tcW w:w="1656" w:type="dxa"/>
            <w:shd w:val="clear" w:color="auto" w:fill="auto"/>
            <w:vAlign w:val="center"/>
          </w:tcPr>
          <w:p w14:paraId="7ADAA66E" w14:textId="4F2AB3F4" w:rsidR="00E02AD5" w:rsidRPr="004B445C" w:rsidRDefault="004B445C" w:rsidP="00B62DD8">
            <w:pPr>
              <w:jc w:val="center"/>
              <w:rPr>
                <w:rFonts w:ascii="Arial" w:hAnsi="Arial" w:cs="Arial"/>
                <w:color w:val="000000"/>
                <w:sz w:val="22"/>
                <w:szCs w:val="22"/>
              </w:rPr>
            </w:pPr>
            <w:r>
              <w:rPr>
                <w:rFonts w:ascii="Arial" w:hAnsi="Arial" w:cs="Arial"/>
                <w:color w:val="000000"/>
                <w:sz w:val="22"/>
                <w:szCs w:val="22"/>
              </w:rPr>
              <w:t>1,035,239</w:t>
            </w:r>
          </w:p>
        </w:tc>
        <w:tc>
          <w:tcPr>
            <w:tcW w:w="1656" w:type="dxa"/>
            <w:vAlign w:val="center"/>
          </w:tcPr>
          <w:p w14:paraId="6284BC0B" w14:textId="0BDE484C" w:rsidR="00E02AD5" w:rsidRPr="004B445C" w:rsidRDefault="004B445C" w:rsidP="00B62DD8">
            <w:pPr>
              <w:jc w:val="center"/>
              <w:rPr>
                <w:rFonts w:ascii="Arial" w:hAnsi="Arial" w:cs="Arial"/>
                <w:color w:val="000000"/>
                <w:sz w:val="22"/>
                <w:szCs w:val="22"/>
              </w:rPr>
            </w:pPr>
            <w:r>
              <w:rPr>
                <w:rFonts w:ascii="Arial" w:hAnsi="Arial" w:cs="Arial"/>
                <w:color w:val="000000"/>
                <w:sz w:val="22"/>
                <w:szCs w:val="22"/>
              </w:rPr>
              <w:t>1,226,639</w:t>
            </w:r>
          </w:p>
        </w:tc>
      </w:tr>
    </w:tbl>
    <w:p w14:paraId="21A0E4D5" w14:textId="77777777" w:rsidR="00275BFC" w:rsidRDefault="00275BFC" w:rsidP="00785712">
      <w:pPr>
        <w:jc w:val="both"/>
        <w:rPr>
          <w:rFonts w:ascii="Arial" w:hAnsi="Arial" w:cs="Arial"/>
          <w:b/>
        </w:rPr>
      </w:pPr>
    </w:p>
    <w:p w14:paraId="3A8021DB" w14:textId="2F2B75F0" w:rsidR="00D47BB3" w:rsidRDefault="00785712" w:rsidP="00785712">
      <w:pPr>
        <w:jc w:val="both"/>
        <w:rPr>
          <w:rFonts w:ascii="Arial" w:hAnsi="Arial" w:cs="Arial"/>
        </w:rPr>
      </w:pPr>
      <w:r>
        <w:rPr>
          <w:rFonts w:ascii="Arial" w:hAnsi="Arial" w:cs="Arial"/>
          <w:b/>
        </w:rPr>
        <w:t xml:space="preserve">Comparison of </w:t>
      </w:r>
      <w:r w:rsidR="00180DA3">
        <w:rPr>
          <w:rFonts w:ascii="Arial" w:hAnsi="Arial" w:cs="Arial"/>
          <w:b/>
        </w:rPr>
        <w:t>Waste-to-Energy Facility</w:t>
      </w:r>
      <w:r>
        <w:rPr>
          <w:rFonts w:ascii="Arial" w:hAnsi="Arial" w:cs="Arial"/>
          <w:b/>
        </w:rPr>
        <w:t xml:space="preserve"> and W</w:t>
      </w:r>
      <w:r w:rsidR="00180DA3">
        <w:rPr>
          <w:rFonts w:ascii="Arial" w:hAnsi="Arial" w:cs="Arial"/>
          <w:b/>
        </w:rPr>
        <w:t xml:space="preserve">aste </w:t>
      </w:r>
      <w:r>
        <w:rPr>
          <w:rFonts w:ascii="Arial" w:hAnsi="Arial" w:cs="Arial"/>
          <w:b/>
        </w:rPr>
        <w:t>E</w:t>
      </w:r>
      <w:r w:rsidR="00180DA3">
        <w:rPr>
          <w:rFonts w:ascii="Arial" w:hAnsi="Arial" w:cs="Arial"/>
          <w:b/>
        </w:rPr>
        <w:t>xport by Rail</w:t>
      </w:r>
      <w:r w:rsidR="00275BFC">
        <w:rPr>
          <w:rFonts w:ascii="Arial" w:hAnsi="Arial" w:cs="Arial"/>
          <w:b/>
        </w:rPr>
        <w:t xml:space="preserve"> Findings</w:t>
      </w:r>
      <w:r w:rsidR="007D69D9">
        <w:rPr>
          <w:rFonts w:ascii="Arial" w:hAnsi="Arial" w:cs="Arial"/>
          <w:b/>
        </w:rPr>
        <w:t xml:space="preserve">. </w:t>
      </w:r>
      <w:r w:rsidR="00D47BB3">
        <w:rPr>
          <w:rFonts w:ascii="Arial" w:hAnsi="Arial" w:cs="Arial"/>
        </w:rPr>
        <w:t xml:space="preserve">The </w:t>
      </w:r>
      <w:r w:rsidR="00914BEF">
        <w:rPr>
          <w:rFonts w:ascii="Arial" w:hAnsi="Arial" w:cs="Arial"/>
        </w:rPr>
        <w:t>C</w:t>
      </w:r>
      <w:r w:rsidR="00D47BB3">
        <w:rPr>
          <w:rFonts w:ascii="Arial" w:hAnsi="Arial" w:cs="Arial"/>
        </w:rPr>
        <w:t>onsultant concludes based on its financial modeling that the total costs</w:t>
      </w:r>
      <w:r w:rsidR="004E705B">
        <w:rPr>
          <w:rFonts w:ascii="Arial" w:hAnsi="Arial" w:cs="Arial"/>
        </w:rPr>
        <w:t xml:space="preserve"> (offset by revenues)</w:t>
      </w:r>
      <w:r w:rsidR="00D47BB3">
        <w:rPr>
          <w:rStyle w:val="FootnoteReference"/>
          <w:rFonts w:ascii="Arial" w:hAnsi="Arial" w:cs="Arial"/>
        </w:rPr>
        <w:footnoteReference w:id="14"/>
      </w:r>
      <w:r w:rsidR="00D47BB3">
        <w:rPr>
          <w:rFonts w:ascii="Arial" w:hAnsi="Arial" w:cs="Arial"/>
        </w:rPr>
        <w:t xml:space="preserve"> for both long-term disposal options are similar in the ten-year near-term at over one billion dollars, but that a WTE facility could cost less in the fifty-year long-term ($6.96 to $8.90 billion for WTE and $11.25 to $16.14 billion for waste export). Additionally, the consultant estimates that a WTE facility would have comparatively less greenhouse gas emissions than waste export by rail given the opportunity for emissions offsets </w:t>
      </w:r>
      <w:r w:rsidR="00E304F9">
        <w:rPr>
          <w:rFonts w:ascii="Arial" w:hAnsi="Arial" w:cs="Arial"/>
        </w:rPr>
        <w:t>from</w:t>
      </w:r>
      <w:r w:rsidR="00D47BB3">
        <w:rPr>
          <w:rFonts w:ascii="Arial" w:hAnsi="Arial" w:cs="Arial"/>
        </w:rPr>
        <w:t xml:space="preserve"> recycling the resulting ash byproduct and recovered metals. The </w:t>
      </w:r>
      <w:r w:rsidR="004B1B84">
        <w:rPr>
          <w:rFonts w:ascii="Arial" w:hAnsi="Arial" w:cs="Arial"/>
        </w:rPr>
        <w:t>S</w:t>
      </w:r>
      <w:r w:rsidR="00D47BB3">
        <w:rPr>
          <w:rFonts w:ascii="Arial" w:hAnsi="Arial" w:cs="Arial"/>
        </w:rPr>
        <w:t>tudy notes, however, that the estimates are dependent on the different variables and assumptions made in the financial and greenhouse gas models.</w:t>
      </w:r>
      <w:r w:rsidR="005A462B" w:rsidRPr="005A462B">
        <w:rPr>
          <w:rFonts w:ascii="Arial" w:hAnsi="Arial" w:cs="Arial"/>
        </w:rPr>
        <w:t xml:space="preserve"> </w:t>
      </w:r>
      <w:r w:rsidR="005A462B">
        <w:rPr>
          <w:rFonts w:ascii="Arial" w:hAnsi="Arial" w:cs="Arial"/>
        </w:rPr>
        <w:t>Additional detail concerning how these figures were derived and the Consultant’s assumptions can be found both in the remainder of this staff report, as well as the in the Feasibility Study and associated appendices.</w:t>
      </w:r>
      <w:r w:rsidR="00490D17">
        <w:rPr>
          <w:rFonts w:ascii="Arial" w:hAnsi="Arial" w:cs="Arial"/>
        </w:rPr>
        <w:t xml:space="preserve"> </w:t>
      </w:r>
    </w:p>
    <w:p w14:paraId="173E47DB" w14:textId="77777777" w:rsidR="005A462B" w:rsidRDefault="005A462B" w:rsidP="00785712">
      <w:pPr>
        <w:jc w:val="both"/>
        <w:rPr>
          <w:rFonts w:ascii="Arial" w:hAnsi="Arial" w:cs="Arial"/>
        </w:rPr>
      </w:pPr>
    </w:p>
    <w:p w14:paraId="73BA7C7D" w14:textId="34F10932" w:rsidR="00C76A2B" w:rsidRDefault="00E647BF" w:rsidP="00785712">
      <w:pPr>
        <w:jc w:val="both"/>
        <w:rPr>
          <w:rFonts w:ascii="Arial" w:hAnsi="Arial" w:cs="Arial"/>
        </w:rPr>
      </w:pPr>
      <w:r>
        <w:rPr>
          <w:rFonts w:ascii="Arial" w:hAnsi="Arial" w:cs="Arial"/>
        </w:rPr>
        <w:t xml:space="preserve">Table </w:t>
      </w:r>
      <w:r w:rsidR="00796D1E">
        <w:rPr>
          <w:rFonts w:ascii="Arial" w:hAnsi="Arial" w:cs="Arial"/>
        </w:rPr>
        <w:t>2</w:t>
      </w:r>
      <w:r>
        <w:rPr>
          <w:rFonts w:ascii="Arial" w:hAnsi="Arial" w:cs="Arial"/>
        </w:rPr>
        <w:t xml:space="preserve"> below provides a</w:t>
      </w:r>
      <w:r w:rsidR="00267560">
        <w:rPr>
          <w:rFonts w:ascii="Arial" w:hAnsi="Arial" w:cs="Arial"/>
        </w:rPr>
        <w:t xml:space="preserve"> summary</w:t>
      </w:r>
      <w:r>
        <w:rPr>
          <w:rFonts w:ascii="Arial" w:hAnsi="Arial" w:cs="Arial"/>
        </w:rPr>
        <w:t xml:space="preserve"> comparison of</w:t>
      </w:r>
      <w:r w:rsidR="00C76A2B">
        <w:rPr>
          <w:rFonts w:ascii="Arial" w:hAnsi="Arial" w:cs="Arial"/>
        </w:rPr>
        <w:t xml:space="preserve"> </w:t>
      </w:r>
      <w:r w:rsidR="002921EF">
        <w:rPr>
          <w:rFonts w:ascii="Arial" w:hAnsi="Arial" w:cs="Arial"/>
        </w:rPr>
        <w:t xml:space="preserve">some of the key </w:t>
      </w:r>
      <w:r w:rsidR="00C76A2B">
        <w:rPr>
          <w:rFonts w:ascii="Arial" w:hAnsi="Arial" w:cs="Arial"/>
        </w:rPr>
        <w:t xml:space="preserve">Study findings </w:t>
      </w:r>
      <w:r w:rsidR="005E6456">
        <w:rPr>
          <w:rFonts w:ascii="Arial" w:hAnsi="Arial" w:cs="Arial"/>
        </w:rPr>
        <w:t>for</w:t>
      </w:r>
      <w:r w:rsidR="00C664CA">
        <w:rPr>
          <w:rFonts w:ascii="Arial" w:hAnsi="Arial" w:cs="Arial"/>
        </w:rPr>
        <w:t xml:space="preserve"> a WTE facility compared to waste export </w:t>
      </w:r>
      <w:r w:rsidR="004D17ED">
        <w:rPr>
          <w:rFonts w:ascii="Arial" w:hAnsi="Arial" w:cs="Arial"/>
        </w:rPr>
        <w:t xml:space="preserve">by rail (“WEBR”) </w:t>
      </w:r>
      <w:r w:rsidR="00BE144F">
        <w:rPr>
          <w:rFonts w:ascii="Arial" w:hAnsi="Arial" w:cs="Arial"/>
        </w:rPr>
        <w:t>in terms of</w:t>
      </w:r>
      <w:r w:rsidR="001269A3">
        <w:rPr>
          <w:rFonts w:ascii="Arial" w:hAnsi="Arial" w:cs="Arial"/>
        </w:rPr>
        <w:t xml:space="preserve"> the</w:t>
      </w:r>
      <w:r w:rsidR="00BE144F">
        <w:rPr>
          <w:rFonts w:ascii="Arial" w:hAnsi="Arial" w:cs="Arial"/>
        </w:rPr>
        <w:t xml:space="preserve"> potential implementation timeline, </w:t>
      </w:r>
      <w:r w:rsidR="001310FC">
        <w:rPr>
          <w:rFonts w:ascii="Arial" w:hAnsi="Arial" w:cs="Arial"/>
        </w:rPr>
        <w:t xml:space="preserve">estimated greenhouse gas </w:t>
      </w:r>
      <w:r w:rsidR="00406147">
        <w:rPr>
          <w:rFonts w:ascii="Arial" w:hAnsi="Arial" w:cs="Arial"/>
        </w:rPr>
        <w:t xml:space="preserve">(“GHG”) </w:t>
      </w:r>
      <w:r w:rsidR="001310FC">
        <w:rPr>
          <w:rFonts w:ascii="Arial" w:hAnsi="Arial" w:cs="Arial"/>
        </w:rPr>
        <w:t xml:space="preserve">emissions, and </w:t>
      </w:r>
      <w:r w:rsidR="008F2E12">
        <w:rPr>
          <w:rFonts w:ascii="Arial" w:hAnsi="Arial" w:cs="Arial"/>
        </w:rPr>
        <w:t xml:space="preserve">estimated </w:t>
      </w:r>
      <w:r w:rsidR="001310FC">
        <w:rPr>
          <w:rFonts w:ascii="Arial" w:hAnsi="Arial" w:cs="Arial"/>
        </w:rPr>
        <w:t>costs</w:t>
      </w:r>
      <w:r w:rsidR="002F6603">
        <w:rPr>
          <w:rFonts w:ascii="Arial" w:hAnsi="Arial" w:cs="Arial"/>
        </w:rPr>
        <w:t>.</w:t>
      </w:r>
      <w:r w:rsidR="001310FC">
        <w:rPr>
          <w:rFonts w:ascii="Arial" w:hAnsi="Arial" w:cs="Arial"/>
        </w:rPr>
        <w:t xml:space="preserve"> </w:t>
      </w:r>
      <w:r w:rsidR="004E705B">
        <w:rPr>
          <w:rFonts w:ascii="Arial" w:hAnsi="Arial" w:cs="Arial"/>
        </w:rPr>
        <w:t xml:space="preserve">In the table, total cost </w:t>
      </w:r>
      <w:r w:rsidR="0050341E">
        <w:rPr>
          <w:rFonts w:ascii="Arial" w:hAnsi="Arial" w:cs="Arial"/>
        </w:rPr>
        <w:t>includes capital and operating costs offset by revenues, but do</w:t>
      </w:r>
      <w:r w:rsidR="005E6456">
        <w:rPr>
          <w:rFonts w:ascii="Arial" w:hAnsi="Arial" w:cs="Arial"/>
        </w:rPr>
        <w:t>es</w:t>
      </w:r>
      <w:r w:rsidR="0050341E">
        <w:rPr>
          <w:rFonts w:ascii="Arial" w:hAnsi="Arial" w:cs="Arial"/>
        </w:rPr>
        <w:t xml:space="preserve"> not include </w:t>
      </w:r>
      <w:r w:rsidR="002E0423">
        <w:rPr>
          <w:rFonts w:ascii="Arial" w:hAnsi="Arial" w:cs="Arial"/>
        </w:rPr>
        <w:t xml:space="preserve">some </w:t>
      </w:r>
      <w:r w:rsidR="0050341E">
        <w:rPr>
          <w:rFonts w:ascii="Arial" w:hAnsi="Arial" w:cs="Arial"/>
        </w:rPr>
        <w:t>departmental costs,</w:t>
      </w:r>
      <w:r w:rsidR="00693633">
        <w:rPr>
          <w:rFonts w:ascii="Arial" w:hAnsi="Arial" w:cs="Arial"/>
        </w:rPr>
        <w:t xml:space="preserve"> </w:t>
      </w:r>
      <w:r w:rsidR="0050341E">
        <w:rPr>
          <w:rFonts w:ascii="Arial" w:hAnsi="Arial" w:cs="Arial"/>
        </w:rPr>
        <w:t xml:space="preserve">which are assumed to be the same for both options. </w:t>
      </w:r>
      <w:r w:rsidR="00653EBD">
        <w:rPr>
          <w:rFonts w:ascii="Arial" w:hAnsi="Arial" w:cs="Arial"/>
        </w:rPr>
        <w:t xml:space="preserve">The average cost per ton refers to </w:t>
      </w:r>
      <w:r w:rsidR="001244FD">
        <w:rPr>
          <w:rFonts w:ascii="Arial" w:hAnsi="Arial" w:cs="Arial"/>
        </w:rPr>
        <w:t>the average over the described period</w:t>
      </w:r>
      <w:r w:rsidR="00B858B1">
        <w:rPr>
          <w:rFonts w:ascii="Arial" w:hAnsi="Arial" w:cs="Arial"/>
        </w:rPr>
        <w:t xml:space="preserve"> (e.g., 10-Year Term). Executive staff indicate that </w:t>
      </w:r>
      <w:r w:rsidR="00025E96">
        <w:rPr>
          <w:rFonts w:ascii="Arial" w:hAnsi="Arial" w:cs="Arial"/>
        </w:rPr>
        <w:t xml:space="preserve">the cost per ton figure does not include the following </w:t>
      </w:r>
      <w:r w:rsidR="00206D00">
        <w:rPr>
          <w:rFonts w:ascii="Arial" w:hAnsi="Arial" w:cs="Arial"/>
        </w:rPr>
        <w:t xml:space="preserve">departmental </w:t>
      </w:r>
      <w:r w:rsidR="00025E96">
        <w:rPr>
          <w:rFonts w:ascii="Arial" w:hAnsi="Arial" w:cs="Arial"/>
        </w:rPr>
        <w:t>costs: capital improvements at the recycling and transfer stations, transfer operations, recycling transportation, recycling programs, post-closure maintenance at closed landfills, and support services.</w:t>
      </w:r>
    </w:p>
    <w:p w14:paraId="670A9975" w14:textId="1CAE1D7C" w:rsidR="004E705B" w:rsidRDefault="004E705B" w:rsidP="00785712">
      <w:pPr>
        <w:jc w:val="both"/>
        <w:rPr>
          <w:rFonts w:ascii="Arial" w:hAnsi="Arial" w:cs="Arial"/>
        </w:rPr>
      </w:pPr>
    </w:p>
    <w:p w14:paraId="694F43F0" w14:textId="77777777" w:rsidR="008D5C45" w:rsidRDefault="008D5C45" w:rsidP="00CB10A9">
      <w:pPr>
        <w:jc w:val="center"/>
        <w:rPr>
          <w:rFonts w:ascii="Arial" w:hAnsi="Arial" w:cs="Arial"/>
          <w:b/>
        </w:rPr>
      </w:pPr>
    </w:p>
    <w:p w14:paraId="6E178878" w14:textId="77777777" w:rsidR="008D5C45" w:rsidRDefault="008D5C45" w:rsidP="00CB10A9">
      <w:pPr>
        <w:jc w:val="center"/>
        <w:rPr>
          <w:rFonts w:ascii="Arial" w:hAnsi="Arial" w:cs="Arial"/>
          <w:b/>
        </w:rPr>
      </w:pPr>
    </w:p>
    <w:p w14:paraId="526E8A72" w14:textId="77777777" w:rsidR="008D5C45" w:rsidRDefault="008D5C45" w:rsidP="00CB10A9">
      <w:pPr>
        <w:jc w:val="center"/>
        <w:rPr>
          <w:rFonts w:ascii="Arial" w:hAnsi="Arial" w:cs="Arial"/>
          <w:b/>
        </w:rPr>
      </w:pPr>
    </w:p>
    <w:p w14:paraId="3524ADDC" w14:textId="77777777" w:rsidR="008D5C45" w:rsidRDefault="008D5C45" w:rsidP="00CB10A9">
      <w:pPr>
        <w:jc w:val="center"/>
        <w:rPr>
          <w:rFonts w:ascii="Arial" w:hAnsi="Arial" w:cs="Arial"/>
          <w:b/>
        </w:rPr>
      </w:pPr>
    </w:p>
    <w:p w14:paraId="250CB289" w14:textId="77777777" w:rsidR="008D5C45" w:rsidRDefault="008D5C45" w:rsidP="00CB10A9">
      <w:pPr>
        <w:jc w:val="center"/>
        <w:rPr>
          <w:rFonts w:ascii="Arial" w:hAnsi="Arial" w:cs="Arial"/>
          <w:b/>
        </w:rPr>
      </w:pPr>
    </w:p>
    <w:p w14:paraId="2C93CDCC" w14:textId="77777777" w:rsidR="008D5C45" w:rsidRDefault="008D5C45" w:rsidP="00CB10A9">
      <w:pPr>
        <w:jc w:val="center"/>
        <w:rPr>
          <w:rFonts w:ascii="Arial" w:hAnsi="Arial" w:cs="Arial"/>
          <w:b/>
        </w:rPr>
      </w:pPr>
    </w:p>
    <w:p w14:paraId="7B1628C7" w14:textId="77777777" w:rsidR="008D5C45" w:rsidRDefault="008D5C45" w:rsidP="00CB10A9">
      <w:pPr>
        <w:jc w:val="center"/>
        <w:rPr>
          <w:rFonts w:ascii="Arial" w:hAnsi="Arial" w:cs="Arial"/>
          <w:b/>
        </w:rPr>
      </w:pPr>
    </w:p>
    <w:p w14:paraId="2A8E657E" w14:textId="77777777" w:rsidR="008D5C45" w:rsidRDefault="008D5C45" w:rsidP="00CB10A9">
      <w:pPr>
        <w:jc w:val="center"/>
        <w:rPr>
          <w:rFonts w:ascii="Arial" w:hAnsi="Arial" w:cs="Arial"/>
          <w:b/>
        </w:rPr>
      </w:pPr>
    </w:p>
    <w:p w14:paraId="0D9299D4" w14:textId="77777777" w:rsidR="008D5C45" w:rsidRDefault="008D5C45" w:rsidP="00CB10A9">
      <w:pPr>
        <w:jc w:val="center"/>
        <w:rPr>
          <w:rFonts w:ascii="Arial" w:hAnsi="Arial" w:cs="Arial"/>
          <w:b/>
        </w:rPr>
      </w:pPr>
    </w:p>
    <w:p w14:paraId="1D1B187A" w14:textId="77777777" w:rsidR="008D5C45" w:rsidRDefault="008D5C45" w:rsidP="00CB10A9">
      <w:pPr>
        <w:jc w:val="center"/>
        <w:rPr>
          <w:rFonts w:ascii="Arial" w:hAnsi="Arial" w:cs="Arial"/>
          <w:b/>
        </w:rPr>
      </w:pPr>
    </w:p>
    <w:p w14:paraId="518CCC34" w14:textId="77777777" w:rsidR="008D5C45" w:rsidRDefault="008D5C45" w:rsidP="00CB10A9">
      <w:pPr>
        <w:jc w:val="center"/>
        <w:rPr>
          <w:rFonts w:ascii="Arial" w:hAnsi="Arial" w:cs="Arial"/>
          <w:b/>
        </w:rPr>
      </w:pPr>
    </w:p>
    <w:p w14:paraId="48E548F8" w14:textId="3386B2F9" w:rsidR="00CB10A9" w:rsidRPr="00CB10A9" w:rsidRDefault="00CB10A9" w:rsidP="00CB10A9">
      <w:pPr>
        <w:jc w:val="center"/>
        <w:rPr>
          <w:rFonts w:ascii="Arial" w:hAnsi="Arial" w:cs="Arial"/>
          <w:b/>
        </w:rPr>
      </w:pPr>
      <w:r>
        <w:rPr>
          <w:rFonts w:ascii="Arial" w:hAnsi="Arial" w:cs="Arial"/>
          <w:b/>
        </w:rPr>
        <w:lastRenderedPageBreak/>
        <w:t xml:space="preserve">Table </w:t>
      </w:r>
      <w:r w:rsidR="00796D1E">
        <w:rPr>
          <w:rFonts w:ascii="Arial" w:hAnsi="Arial" w:cs="Arial"/>
          <w:b/>
        </w:rPr>
        <w:t>2</w:t>
      </w:r>
      <w:r>
        <w:rPr>
          <w:rFonts w:ascii="Arial" w:hAnsi="Arial" w:cs="Arial"/>
          <w:b/>
        </w:rPr>
        <w:t xml:space="preserve">. </w:t>
      </w:r>
      <w:r w:rsidR="00C02655">
        <w:rPr>
          <w:rFonts w:ascii="Arial" w:hAnsi="Arial" w:cs="Arial"/>
          <w:b/>
        </w:rPr>
        <w:t xml:space="preserve">Comparison </w:t>
      </w:r>
      <w:r w:rsidR="00406147">
        <w:rPr>
          <w:rFonts w:ascii="Arial" w:hAnsi="Arial" w:cs="Arial"/>
          <w:b/>
        </w:rPr>
        <w:t xml:space="preserve">of Potential Implementation Timeline, Estimated GHG Emissions, and Estimated Costs </w:t>
      </w:r>
      <w:r w:rsidR="004D17ED">
        <w:rPr>
          <w:rFonts w:ascii="Arial" w:hAnsi="Arial" w:cs="Arial"/>
          <w:b/>
        </w:rPr>
        <w:t>for WTE and WEBR</w:t>
      </w:r>
    </w:p>
    <w:p w14:paraId="1883942F" w14:textId="0AD880AE" w:rsidR="002921EF" w:rsidRDefault="002921EF" w:rsidP="00785712">
      <w:pPr>
        <w:jc w:val="both"/>
        <w:rPr>
          <w:rFonts w:ascii="Arial" w:hAnsi="Arial" w:cs="Arial"/>
        </w:rPr>
      </w:pPr>
    </w:p>
    <w:tbl>
      <w:tblPr>
        <w:tblStyle w:val="TableGrid1"/>
        <w:tblW w:w="9336" w:type="dxa"/>
        <w:jc w:val="center"/>
        <w:tblLook w:val="04A0" w:firstRow="1" w:lastRow="0" w:firstColumn="1" w:lastColumn="0" w:noHBand="0" w:noVBand="1"/>
      </w:tblPr>
      <w:tblGrid>
        <w:gridCol w:w="1338"/>
        <w:gridCol w:w="2520"/>
        <w:gridCol w:w="2610"/>
        <w:gridCol w:w="2868"/>
      </w:tblGrid>
      <w:tr w:rsidR="00D3432D" w:rsidRPr="00CB10A9" w14:paraId="080B7C7A" w14:textId="77777777" w:rsidTr="00C15884">
        <w:trPr>
          <w:jc w:val="center"/>
        </w:trPr>
        <w:tc>
          <w:tcPr>
            <w:tcW w:w="3858" w:type="dxa"/>
            <w:gridSpan w:val="2"/>
            <w:shd w:val="clear" w:color="auto" w:fill="000000" w:themeFill="text1"/>
            <w:vAlign w:val="bottom"/>
          </w:tcPr>
          <w:p w14:paraId="032CDDAE" w14:textId="4441E321" w:rsidR="00D3432D" w:rsidRPr="00CB10A9" w:rsidRDefault="00AF0976" w:rsidP="004C026E">
            <w:pPr>
              <w:jc w:val="center"/>
              <w:rPr>
                <w:rFonts w:ascii="Arial" w:hAnsi="Arial" w:cs="Arial"/>
                <w:b/>
                <w:color w:val="FFFFFF" w:themeColor="background1"/>
                <w:sz w:val="22"/>
              </w:rPr>
            </w:pPr>
            <w:r>
              <w:rPr>
                <w:rFonts w:ascii="Arial" w:hAnsi="Arial" w:cs="Arial"/>
                <w:b/>
                <w:color w:val="FFFFFF" w:themeColor="background1"/>
                <w:sz w:val="22"/>
              </w:rPr>
              <w:t>Category</w:t>
            </w:r>
          </w:p>
        </w:tc>
        <w:tc>
          <w:tcPr>
            <w:tcW w:w="2610" w:type="dxa"/>
            <w:shd w:val="clear" w:color="auto" w:fill="000000" w:themeFill="text1"/>
            <w:vAlign w:val="bottom"/>
          </w:tcPr>
          <w:p w14:paraId="6B40FCF4" w14:textId="57D8F388" w:rsidR="00D3432D" w:rsidRPr="00CB10A9" w:rsidRDefault="00D3432D" w:rsidP="007D74D4">
            <w:pPr>
              <w:jc w:val="center"/>
              <w:rPr>
                <w:rFonts w:ascii="Arial" w:hAnsi="Arial" w:cs="Arial"/>
                <w:b/>
                <w:color w:val="FFFFFF" w:themeColor="background1"/>
                <w:sz w:val="22"/>
              </w:rPr>
            </w:pPr>
            <w:r w:rsidRPr="00CB10A9">
              <w:rPr>
                <w:rFonts w:ascii="Arial" w:hAnsi="Arial" w:cs="Arial"/>
                <w:b/>
                <w:color w:val="FFFFFF" w:themeColor="background1"/>
                <w:sz w:val="22"/>
              </w:rPr>
              <w:t xml:space="preserve">Preliminary WTE Estimates </w:t>
            </w:r>
          </w:p>
        </w:tc>
        <w:tc>
          <w:tcPr>
            <w:tcW w:w="2868" w:type="dxa"/>
            <w:shd w:val="clear" w:color="auto" w:fill="000000" w:themeFill="text1"/>
            <w:vAlign w:val="bottom"/>
          </w:tcPr>
          <w:p w14:paraId="373504F2" w14:textId="02EE88A0" w:rsidR="00D3432D" w:rsidRPr="00CB10A9" w:rsidRDefault="00D3432D" w:rsidP="007D74D4">
            <w:pPr>
              <w:jc w:val="center"/>
              <w:rPr>
                <w:rFonts w:ascii="Arial" w:hAnsi="Arial" w:cs="Arial"/>
                <w:b/>
                <w:color w:val="FFFFFF" w:themeColor="background1"/>
                <w:sz w:val="22"/>
              </w:rPr>
            </w:pPr>
            <w:r w:rsidRPr="00CB10A9">
              <w:rPr>
                <w:rFonts w:ascii="Arial" w:hAnsi="Arial" w:cs="Arial"/>
                <w:b/>
                <w:color w:val="FFFFFF" w:themeColor="background1"/>
                <w:sz w:val="22"/>
              </w:rPr>
              <w:t>Preliminary Rail Export Estimates</w:t>
            </w:r>
          </w:p>
        </w:tc>
      </w:tr>
      <w:tr w:rsidR="00D3432D" w:rsidRPr="00CB10A9" w14:paraId="2F9C0779" w14:textId="77777777" w:rsidTr="00C15884">
        <w:trPr>
          <w:jc w:val="center"/>
        </w:trPr>
        <w:tc>
          <w:tcPr>
            <w:tcW w:w="3858" w:type="dxa"/>
            <w:gridSpan w:val="2"/>
            <w:vAlign w:val="center"/>
          </w:tcPr>
          <w:p w14:paraId="3BB30F84" w14:textId="77777777" w:rsidR="00D3432D" w:rsidRPr="00CB10A9" w:rsidRDefault="00D3432D" w:rsidP="006F4B48">
            <w:pPr>
              <w:rPr>
                <w:rFonts w:ascii="Arial" w:hAnsi="Arial" w:cs="Arial"/>
                <w:b/>
                <w:sz w:val="22"/>
              </w:rPr>
            </w:pPr>
            <w:r w:rsidRPr="00CB10A9">
              <w:rPr>
                <w:rFonts w:ascii="Arial" w:hAnsi="Arial" w:cs="Arial"/>
                <w:b/>
                <w:sz w:val="22"/>
              </w:rPr>
              <w:t>Potential Implementation Schedule</w:t>
            </w:r>
          </w:p>
        </w:tc>
        <w:tc>
          <w:tcPr>
            <w:tcW w:w="2610" w:type="dxa"/>
            <w:vAlign w:val="center"/>
          </w:tcPr>
          <w:p w14:paraId="5F670176" w14:textId="1ED4B115" w:rsidR="00D3432D" w:rsidRPr="00CB10A9" w:rsidRDefault="00D3432D" w:rsidP="007D74D4">
            <w:pPr>
              <w:jc w:val="center"/>
              <w:rPr>
                <w:rFonts w:ascii="Arial" w:hAnsi="Arial" w:cs="Arial"/>
                <w:sz w:val="22"/>
              </w:rPr>
            </w:pPr>
            <w:r w:rsidRPr="00CB10A9">
              <w:rPr>
                <w:rFonts w:ascii="Arial" w:hAnsi="Arial" w:cs="Arial"/>
                <w:sz w:val="22"/>
              </w:rPr>
              <w:t>8-11 years</w:t>
            </w:r>
          </w:p>
        </w:tc>
        <w:tc>
          <w:tcPr>
            <w:tcW w:w="2868" w:type="dxa"/>
            <w:vAlign w:val="center"/>
          </w:tcPr>
          <w:p w14:paraId="0DAFE2CA" w14:textId="609A3996" w:rsidR="00D3432D" w:rsidRPr="00CB10A9" w:rsidRDefault="00D3432D" w:rsidP="007D74D4">
            <w:pPr>
              <w:jc w:val="center"/>
              <w:rPr>
                <w:rFonts w:ascii="Arial" w:hAnsi="Arial" w:cs="Arial"/>
                <w:sz w:val="22"/>
              </w:rPr>
            </w:pPr>
            <w:r w:rsidRPr="00CB10A9">
              <w:rPr>
                <w:rFonts w:ascii="Arial" w:hAnsi="Arial" w:cs="Arial"/>
                <w:sz w:val="22"/>
              </w:rPr>
              <w:t>3-6 years</w:t>
            </w:r>
          </w:p>
        </w:tc>
      </w:tr>
      <w:tr w:rsidR="00D3432D" w:rsidRPr="00CB10A9" w14:paraId="19ADB845" w14:textId="77777777" w:rsidTr="00C15884">
        <w:trPr>
          <w:trHeight w:val="504"/>
          <w:jc w:val="center"/>
        </w:trPr>
        <w:tc>
          <w:tcPr>
            <w:tcW w:w="3858" w:type="dxa"/>
            <w:gridSpan w:val="2"/>
            <w:vAlign w:val="center"/>
          </w:tcPr>
          <w:p w14:paraId="3E78C1D6" w14:textId="77777777" w:rsidR="00D3432D" w:rsidRPr="00CB10A9" w:rsidRDefault="00D3432D" w:rsidP="006F4B48">
            <w:pPr>
              <w:rPr>
                <w:rFonts w:ascii="Arial" w:hAnsi="Arial" w:cs="Arial"/>
                <w:b/>
                <w:sz w:val="22"/>
              </w:rPr>
            </w:pPr>
            <w:r w:rsidRPr="00CB10A9">
              <w:rPr>
                <w:rFonts w:ascii="Arial" w:hAnsi="Arial" w:cs="Arial"/>
                <w:b/>
                <w:sz w:val="22"/>
              </w:rPr>
              <w:t>Net GHG Emissions</w:t>
            </w:r>
          </w:p>
        </w:tc>
        <w:tc>
          <w:tcPr>
            <w:tcW w:w="2610" w:type="dxa"/>
            <w:vAlign w:val="center"/>
          </w:tcPr>
          <w:p w14:paraId="39B10223" w14:textId="77777777" w:rsidR="00D3432D" w:rsidRPr="00CB10A9" w:rsidRDefault="00D3432D" w:rsidP="006F4B48">
            <w:pPr>
              <w:jc w:val="center"/>
              <w:rPr>
                <w:rFonts w:ascii="Arial" w:hAnsi="Arial" w:cs="Arial"/>
                <w:sz w:val="22"/>
              </w:rPr>
            </w:pPr>
            <w:r w:rsidRPr="00CB10A9">
              <w:rPr>
                <w:rFonts w:ascii="Arial" w:hAnsi="Arial" w:cs="Arial"/>
                <w:sz w:val="22"/>
              </w:rPr>
              <w:t>-0.05 MTCO2E/ton</w:t>
            </w:r>
          </w:p>
        </w:tc>
        <w:tc>
          <w:tcPr>
            <w:tcW w:w="2868" w:type="dxa"/>
            <w:vAlign w:val="center"/>
          </w:tcPr>
          <w:p w14:paraId="56ABD8EC" w14:textId="77777777" w:rsidR="00D3432D" w:rsidRPr="00CB10A9" w:rsidRDefault="00D3432D" w:rsidP="006F4B48">
            <w:pPr>
              <w:jc w:val="center"/>
              <w:rPr>
                <w:rFonts w:ascii="Arial" w:hAnsi="Arial" w:cs="Arial"/>
                <w:sz w:val="22"/>
              </w:rPr>
            </w:pPr>
            <w:r w:rsidRPr="00CB10A9">
              <w:rPr>
                <w:rFonts w:ascii="Arial" w:hAnsi="Arial" w:cs="Arial"/>
                <w:sz w:val="22"/>
              </w:rPr>
              <w:t>0.08-0.33 MTCO2E/ton</w:t>
            </w:r>
          </w:p>
        </w:tc>
      </w:tr>
      <w:tr w:rsidR="00727DC9" w:rsidRPr="00CB10A9" w14:paraId="7D866182" w14:textId="77777777" w:rsidTr="00C15884">
        <w:trPr>
          <w:trHeight w:val="504"/>
          <w:jc w:val="center"/>
        </w:trPr>
        <w:tc>
          <w:tcPr>
            <w:tcW w:w="1338" w:type="dxa"/>
            <w:vMerge w:val="restart"/>
            <w:vAlign w:val="center"/>
          </w:tcPr>
          <w:p w14:paraId="505A132F" w14:textId="4445900D" w:rsidR="00727DC9" w:rsidRPr="006F4B48" w:rsidRDefault="00727DC9" w:rsidP="00552A83">
            <w:pPr>
              <w:rPr>
                <w:rFonts w:ascii="Arial" w:hAnsi="Arial" w:cs="Arial"/>
                <w:sz w:val="22"/>
              </w:rPr>
            </w:pPr>
            <w:r>
              <w:rPr>
                <w:rFonts w:ascii="Arial" w:hAnsi="Arial" w:cs="Arial"/>
                <w:b/>
                <w:sz w:val="22"/>
              </w:rPr>
              <w:t>10-Year Term</w:t>
            </w:r>
          </w:p>
        </w:tc>
        <w:tc>
          <w:tcPr>
            <w:tcW w:w="2520" w:type="dxa"/>
            <w:vAlign w:val="center"/>
          </w:tcPr>
          <w:p w14:paraId="287C7AD4" w14:textId="2D65A467" w:rsidR="00727DC9" w:rsidRPr="00272295" w:rsidRDefault="00727DC9" w:rsidP="006F4B48">
            <w:pPr>
              <w:rPr>
                <w:rFonts w:ascii="Arial" w:hAnsi="Arial" w:cs="Arial"/>
                <w:b/>
                <w:sz w:val="22"/>
              </w:rPr>
            </w:pPr>
            <w:r w:rsidRPr="00272295">
              <w:rPr>
                <w:rFonts w:ascii="Arial" w:hAnsi="Arial" w:cs="Arial"/>
                <w:b/>
                <w:sz w:val="22"/>
              </w:rPr>
              <w:t>Total Cost</w:t>
            </w:r>
          </w:p>
          <w:p w14:paraId="3882DD13" w14:textId="56D6FABA" w:rsidR="00727DC9" w:rsidRPr="00272295" w:rsidRDefault="00727DC9" w:rsidP="006F4B48">
            <w:pPr>
              <w:rPr>
                <w:rFonts w:ascii="Arial" w:hAnsi="Arial" w:cs="Arial"/>
                <w:b/>
                <w:sz w:val="22"/>
              </w:rPr>
            </w:pPr>
            <w:r w:rsidRPr="00272295">
              <w:rPr>
                <w:rFonts w:ascii="Arial" w:hAnsi="Arial" w:cs="Arial"/>
                <w:b/>
                <w:sz w:val="22"/>
              </w:rPr>
              <w:t>(Low</w:t>
            </w:r>
            <w:r w:rsidR="00272295" w:rsidRPr="00272295">
              <w:rPr>
                <w:rFonts w:ascii="Arial" w:hAnsi="Arial" w:cs="Arial"/>
                <w:b/>
                <w:sz w:val="22"/>
              </w:rPr>
              <w:t xml:space="preserve"> </w:t>
            </w:r>
            <w:r w:rsidRPr="00272295">
              <w:rPr>
                <w:rFonts w:ascii="Arial" w:hAnsi="Arial" w:cs="Arial"/>
                <w:b/>
                <w:sz w:val="22"/>
              </w:rPr>
              <w:t>– High Bound)</w:t>
            </w:r>
          </w:p>
        </w:tc>
        <w:tc>
          <w:tcPr>
            <w:tcW w:w="2610" w:type="dxa"/>
            <w:vAlign w:val="center"/>
          </w:tcPr>
          <w:p w14:paraId="0F67E99D" w14:textId="77777777" w:rsidR="00727DC9" w:rsidRPr="00CB10A9" w:rsidRDefault="00727DC9" w:rsidP="006F4B48">
            <w:pPr>
              <w:jc w:val="center"/>
              <w:rPr>
                <w:rFonts w:ascii="Arial" w:hAnsi="Arial" w:cs="Arial"/>
                <w:sz w:val="22"/>
              </w:rPr>
            </w:pPr>
            <w:r w:rsidRPr="00CB10A9">
              <w:rPr>
                <w:rFonts w:ascii="Arial" w:hAnsi="Arial" w:cs="Arial"/>
                <w:sz w:val="22"/>
              </w:rPr>
              <w:t>$1.07 - $1.30 billion</w:t>
            </w:r>
          </w:p>
        </w:tc>
        <w:tc>
          <w:tcPr>
            <w:tcW w:w="2868" w:type="dxa"/>
            <w:vAlign w:val="center"/>
          </w:tcPr>
          <w:p w14:paraId="2079D8FF" w14:textId="77777777" w:rsidR="00727DC9" w:rsidRPr="00CB10A9" w:rsidRDefault="00727DC9" w:rsidP="006F4B48">
            <w:pPr>
              <w:jc w:val="center"/>
              <w:rPr>
                <w:rFonts w:ascii="Arial" w:hAnsi="Arial" w:cs="Arial"/>
                <w:sz w:val="22"/>
              </w:rPr>
            </w:pPr>
            <w:r w:rsidRPr="00CB10A9">
              <w:rPr>
                <w:rFonts w:ascii="Arial" w:hAnsi="Arial" w:cs="Arial"/>
                <w:sz w:val="22"/>
              </w:rPr>
              <w:t>$1.03 - $1.36 billion</w:t>
            </w:r>
          </w:p>
        </w:tc>
      </w:tr>
      <w:tr w:rsidR="00727DC9" w:rsidRPr="00CB10A9" w14:paraId="1278EB95" w14:textId="77777777" w:rsidTr="00C15884">
        <w:trPr>
          <w:trHeight w:val="504"/>
          <w:jc w:val="center"/>
        </w:trPr>
        <w:tc>
          <w:tcPr>
            <w:tcW w:w="1338" w:type="dxa"/>
            <w:vMerge/>
            <w:vAlign w:val="center"/>
          </w:tcPr>
          <w:p w14:paraId="74DED001" w14:textId="77777777" w:rsidR="00727DC9" w:rsidRPr="006F4B48" w:rsidRDefault="00727DC9" w:rsidP="006F4B48">
            <w:pPr>
              <w:rPr>
                <w:rFonts w:ascii="Arial" w:hAnsi="Arial" w:cs="Arial"/>
                <w:sz w:val="22"/>
              </w:rPr>
            </w:pPr>
          </w:p>
        </w:tc>
        <w:tc>
          <w:tcPr>
            <w:tcW w:w="2520" w:type="dxa"/>
            <w:vAlign w:val="center"/>
          </w:tcPr>
          <w:p w14:paraId="0C1A524C" w14:textId="74C39ADF" w:rsidR="00727DC9" w:rsidRPr="00272295" w:rsidRDefault="00BA18C5" w:rsidP="00734922">
            <w:pPr>
              <w:rPr>
                <w:rFonts w:ascii="Arial" w:hAnsi="Arial" w:cs="Arial"/>
                <w:b/>
                <w:sz w:val="22"/>
              </w:rPr>
            </w:pPr>
            <w:r>
              <w:rPr>
                <w:rFonts w:ascii="Arial" w:hAnsi="Arial" w:cs="Arial"/>
                <w:b/>
                <w:sz w:val="22"/>
              </w:rPr>
              <w:t xml:space="preserve">Average </w:t>
            </w:r>
            <w:r w:rsidR="00727DC9" w:rsidRPr="00272295">
              <w:rPr>
                <w:rFonts w:ascii="Arial" w:hAnsi="Arial" w:cs="Arial"/>
                <w:b/>
                <w:sz w:val="22"/>
              </w:rPr>
              <w:t xml:space="preserve">Cost Per Ton </w:t>
            </w:r>
          </w:p>
        </w:tc>
        <w:tc>
          <w:tcPr>
            <w:tcW w:w="2610" w:type="dxa"/>
            <w:vAlign w:val="center"/>
          </w:tcPr>
          <w:p w14:paraId="3CBC80A9" w14:textId="77777777" w:rsidR="00727DC9" w:rsidRDefault="00C15884" w:rsidP="00734922">
            <w:pPr>
              <w:jc w:val="center"/>
              <w:rPr>
                <w:rFonts w:ascii="Arial" w:hAnsi="Arial" w:cs="Arial"/>
                <w:sz w:val="22"/>
              </w:rPr>
            </w:pPr>
            <w:r>
              <w:rPr>
                <w:rFonts w:ascii="Arial" w:hAnsi="Arial" w:cs="Arial"/>
                <w:sz w:val="22"/>
              </w:rPr>
              <w:t xml:space="preserve">Low Bound: </w:t>
            </w:r>
            <w:r w:rsidR="00727DC9">
              <w:rPr>
                <w:rFonts w:ascii="Arial" w:hAnsi="Arial" w:cs="Arial"/>
                <w:sz w:val="22"/>
              </w:rPr>
              <w:t xml:space="preserve">$106.65 </w:t>
            </w:r>
          </w:p>
          <w:p w14:paraId="68D3D731" w14:textId="7258F1F2" w:rsidR="00C15884" w:rsidRPr="00CB10A9" w:rsidRDefault="00C15884" w:rsidP="00734922">
            <w:pPr>
              <w:jc w:val="center"/>
              <w:rPr>
                <w:rFonts w:ascii="Arial" w:hAnsi="Arial" w:cs="Arial"/>
                <w:sz w:val="22"/>
              </w:rPr>
            </w:pPr>
            <w:r>
              <w:rPr>
                <w:rFonts w:ascii="Arial" w:hAnsi="Arial" w:cs="Arial"/>
                <w:sz w:val="22"/>
              </w:rPr>
              <w:t>High Bound: $97.35</w:t>
            </w:r>
          </w:p>
        </w:tc>
        <w:tc>
          <w:tcPr>
            <w:tcW w:w="2868" w:type="dxa"/>
            <w:vAlign w:val="center"/>
          </w:tcPr>
          <w:p w14:paraId="1C38B587" w14:textId="77777777" w:rsidR="00727DC9" w:rsidRDefault="00C15884" w:rsidP="006F4B48">
            <w:pPr>
              <w:jc w:val="center"/>
              <w:rPr>
                <w:rFonts w:ascii="Arial" w:hAnsi="Arial" w:cs="Arial"/>
                <w:sz w:val="22"/>
              </w:rPr>
            </w:pPr>
            <w:r>
              <w:rPr>
                <w:rFonts w:ascii="Arial" w:hAnsi="Arial" w:cs="Arial"/>
                <w:sz w:val="22"/>
              </w:rPr>
              <w:t xml:space="preserve">Low Bound: </w:t>
            </w:r>
            <w:r w:rsidR="00727DC9">
              <w:rPr>
                <w:rFonts w:ascii="Arial" w:hAnsi="Arial" w:cs="Arial"/>
                <w:sz w:val="22"/>
              </w:rPr>
              <w:t>$109.94</w:t>
            </w:r>
          </w:p>
          <w:p w14:paraId="21F36BBD" w14:textId="01ECCEBB" w:rsidR="00C15884" w:rsidRPr="00CB10A9" w:rsidRDefault="00C15884" w:rsidP="006F4B48">
            <w:pPr>
              <w:jc w:val="center"/>
              <w:rPr>
                <w:rFonts w:ascii="Arial" w:hAnsi="Arial" w:cs="Arial"/>
                <w:sz w:val="22"/>
              </w:rPr>
            </w:pPr>
            <w:r>
              <w:rPr>
                <w:rFonts w:ascii="Arial" w:hAnsi="Arial" w:cs="Arial"/>
                <w:sz w:val="22"/>
              </w:rPr>
              <w:t>High Bound: $110.25</w:t>
            </w:r>
          </w:p>
        </w:tc>
      </w:tr>
      <w:tr w:rsidR="00806104" w:rsidRPr="00CB10A9" w14:paraId="12F45EC0" w14:textId="77777777" w:rsidTr="00C15884">
        <w:trPr>
          <w:trHeight w:val="504"/>
          <w:jc w:val="center"/>
        </w:trPr>
        <w:tc>
          <w:tcPr>
            <w:tcW w:w="1338" w:type="dxa"/>
            <w:vMerge w:val="restart"/>
            <w:vAlign w:val="center"/>
          </w:tcPr>
          <w:p w14:paraId="5EA79AEB" w14:textId="19988D17" w:rsidR="00806104" w:rsidRPr="00806104" w:rsidRDefault="00806104" w:rsidP="006F4B48">
            <w:pPr>
              <w:rPr>
                <w:rFonts w:ascii="Arial" w:hAnsi="Arial" w:cs="Arial"/>
                <w:b/>
                <w:sz w:val="22"/>
              </w:rPr>
            </w:pPr>
            <w:r w:rsidRPr="006F4B48">
              <w:rPr>
                <w:rFonts w:ascii="Arial" w:hAnsi="Arial" w:cs="Arial"/>
                <w:b/>
                <w:sz w:val="22"/>
              </w:rPr>
              <w:t>20-Year Term</w:t>
            </w:r>
          </w:p>
        </w:tc>
        <w:tc>
          <w:tcPr>
            <w:tcW w:w="2520" w:type="dxa"/>
            <w:vAlign w:val="center"/>
          </w:tcPr>
          <w:p w14:paraId="3FA283A2" w14:textId="2F6EEB4E" w:rsidR="00806104" w:rsidRPr="00272295" w:rsidRDefault="00806104" w:rsidP="006F4B48">
            <w:pPr>
              <w:rPr>
                <w:rFonts w:ascii="Arial" w:hAnsi="Arial" w:cs="Arial"/>
                <w:b/>
                <w:sz w:val="22"/>
              </w:rPr>
            </w:pPr>
            <w:r w:rsidRPr="00272295">
              <w:rPr>
                <w:rFonts w:ascii="Arial" w:hAnsi="Arial" w:cs="Arial"/>
                <w:b/>
                <w:sz w:val="22"/>
              </w:rPr>
              <w:t>Total Cost</w:t>
            </w:r>
          </w:p>
          <w:p w14:paraId="6D36AFAA" w14:textId="5DA71E55" w:rsidR="00806104" w:rsidRPr="00272295" w:rsidRDefault="00806104" w:rsidP="006F4B48">
            <w:pPr>
              <w:rPr>
                <w:rFonts w:ascii="Arial" w:hAnsi="Arial" w:cs="Arial"/>
                <w:b/>
                <w:sz w:val="22"/>
              </w:rPr>
            </w:pPr>
            <w:r w:rsidRPr="00272295">
              <w:rPr>
                <w:rFonts w:ascii="Arial" w:hAnsi="Arial" w:cs="Arial"/>
                <w:b/>
                <w:sz w:val="22"/>
              </w:rPr>
              <w:t>(Low – High Bound)</w:t>
            </w:r>
          </w:p>
        </w:tc>
        <w:tc>
          <w:tcPr>
            <w:tcW w:w="2610" w:type="dxa"/>
            <w:vAlign w:val="center"/>
          </w:tcPr>
          <w:p w14:paraId="65FE0C49" w14:textId="77777777" w:rsidR="00806104" w:rsidRPr="00CB10A9" w:rsidRDefault="00806104" w:rsidP="006F4B48">
            <w:pPr>
              <w:jc w:val="center"/>
              <w:rPr>
                <w:rFonts w:ascii="Arial" w:hAnsi="Arial" w:cs="Arial"/>
                <w:sz w:val="22"/>
              </w:rPr>
            </w:pPr>
            <w:r w:rsidRPr="00CB10A9">
              <w:rPr>
                <w:rFonts w:ascii="Arial" w:hAnsi="Arial" w:cs="Arial"/>
                <w:sz w:val="22"/>
              </w:rPr>
              <w:t>$2.37 - $2.92 billion</w:t>
            </w:r>
          </w:p>
        </w:tc>
        <w:tc>
          <w:tcPr>
            <w:tcW w:w="2868" w:type="dxa"/>
            <w:vAlign w:val="center"/>
          </w:tcPr>
          <w:p w14:paraId="5E2A2C5A" w14:textId="77777777" w:rsidR="00806104" w:rsidRPr="00CB10A9" w:rsidRDefault="00806104" w:rsidP="006F4B48">
            <w:pPr>
              <w:jc w:val="center"/>
              <w:rPr>
                <w:rFonts w:ascii="Arial" w:hAnsi="Arial" w:cs="Arial"/>
                <w:sz w:val="22"/>
              </w:rPr>
            </w:pPr>
            <w:r w:rsidRPr="00CB10A9">
              <w:rPr>
                <w:rFonts w:ascii="Arial" w:hAnsi="Arial" w:cs="Arial"/>
                <w:sz w:val="22"/>
              </w:rPr>
              <w:t>$2.42 - $3.38 billion</w:t>
            </w:r>
          </w:p>
        </w:tc>
      </w:tr>
      <w:tr w:rsidR="00806104" w:rsidRPr="00CB10A9" w14:paraId="1054DDAB" w14:textId="77777777" w:rsidTr="00C15884">
        <w:trPr>
          <w:trHeight w:val="504"/>
          <w:jc w:val="center"/>
        </w:trPr>
        <w:tc>
          <w:tcPr>
            <w:tcW w:w="1338" w:type="dxa"/>
            <w:vMerge/>
            <w:vAlign w:val="center"/>
          </w:tcPr>
          <w:p w14:paraId="32E731DD" w14:textId="77777777" w:rsidR="00806104" w:rsidRPr="00CB10A9" w:rsidRDefault="00806104" w:rsidP="006F4B48">
            <w:pPr>
              <w:rPr>
                <w:rFonts w:ascii="Arial" w:hAnsi="Arial" w:cs="Arial"/>
                <w:b/>
                <w:sz w:val="22"/>
              </w:rPr>
            </w:pPr>
          </w:p>
        </w:tc>
        <w:tc>
          <w:tcPr>
            <w:tcW w:w="2520" w:type="dxa"/>
            <w:vAlign w:val="center"/>
          </w:tcPr>
          <w:p w14:paraId="1120CF02" w14:textId="33B384B8" w:rsidR="00806104" w:rsidRPr="00CB10A9" w:rsidRDefault="00C15884" w:rsidP="006F4B48">
            <w:pPr>
              <w:rPr>
                <w:rFonts w:ascii="Arial" w:hAnsi="Arial" w:cs="Arial"/>
                <w:b/>
                <w:sz w:val="22"/>
              </w:rPr>
            </w:pPr>
            <w:r>
              <w:rPr>
                <w:rFonts w:ascii="Arial" w:hAnsi="Arial" w:cs="Arial"/>
                <w:b/>
                <w:sz w:val="22"/>
              </w:rPr>
              <w:t xml:space="preserve">Average </w:t>
            </w:r>
            <w:r w:rsidR="00806104">
              <w:rPr>
                <w:rFonts w:ascii="Arial" w:hAnsi="Arial" w:cs="Arial"/>
                <w:b/>
                <w:sz w:val="22"/>
              </w:rPr>
              <w:t xml:space="preserve">Cost Per Ton </w:t>
            </w:r>
          </w:p>
        </w:tc>
        <w:tc>
          <w:tcPr>
            <w:tcW w:w="2610" w:type="dxa"/>
            <w:vAlign w:val="center"/>
          </w:tcPr>
          <w:p w14:paraId="12C7257B" w14:textId="77777777" w:rsidR="00806104" w:rsidRDefault="00C15884" w:rsidP="006F4B48">
            <w:pPr>
              <w:jc w:val="center"/>
              <w:rPr>
                <w:rFonts w:ascii="Arial" w:hAnsi="Arial" w:cs="Arial"/>
                <w:sz w:val="22"/>
              </w:rPr>
            </w:pPr>
            <w:r>
              <w:rPr>
                <w:rFonts w:ascii="Arial" w:hAnsi="Arial" w:cs="Arial"/>
                <w:sz w:val="22"/>
              </w:rPr>
              <w:t xml:space="preserve">Low Bound: </w:t>
            </w:r>
            <w:r w:rsidR="002735FB">
              <w:rPr>
                <w:rFonts w:ascii="Arial" w:hAnsi="Arial" w:cs="Arial"/>
                <w:sz w:val="22"/>
              </w:rPr>
              <w:t>$118.42</w:t>
            </w:r>
          </w:p>
          <w:p w14:paraId="32B2445D" w14:textId="134CF1AC" w:rsidR="00C15884" w:rsidRPr="00CB10A9" w:rsidRDefault="00C15884" w:rsidP="006F4B48">
            <w:pPr>
              <w:jc w:val="center"/>
              <w:rPr>
                <w:rFonts w:ascii="Arial" w:hAnsi="Arial" w:cs="Arial"/>
                <w:sz w:val="22"/>
              </w:rPr>
            </w:pPr>
            <w:r>
              <w:rPr>
                <w:rFonts w:ascii="Arial" w:hAnsi="Arial" w:cs="Arial"/>
                <w:sz w:val="22"/>
              </w:rPr>
              <w:t>High Bound: $99.62</w:t>
            </w:r>
          </w:p>
        </w:tc>
        <w:tc>
          <w:tcPr>
            <w:tcW w:w="2868" w:type="dxa"/>
            <w:vAlign w:val="center"/>
          </w:tcPr>
          <w:p w14:paraId="0B6AC18C" w14:textId="77777777" w:rsidR="00806104" w:rsidRDefault="00C15884" w:rsidP="006F4B48">
            <w:pPr>
              <w:jc w:val="center"/>
              <w:rPr>
                <w:rFonts w:ascii="Arial" w:hAnsi="Arial" w:cs="Arial"/>
                <w:sz w:val="22"/>
              </w:rPr>
            </w:pPr>
            <w:r>
              <w:rPr>
                <w:rFonts w:ascii="Arial" w:hAnsi="Arial" w:cs="Arial"/>
                <w:sz w:val="22"/>
              </w:rPr>
              <w:t xml:space="preserve">Low Bound: </w:t>
            </w:r>
            <w:r w:rsidR="002735FB">
              <w:rPr>
                <w:rFonts w:ascii="Arial" w:hAnsi="Arial" w:cs="Arial"/>
                <w:sz w:val="22"/>
              </w:rPr>
              <w:t>$126.35</w:t>
            </w:r>
          </w:p>
          <w:p w14:paraId="7BF565F2" w14:textId="5344E056" w:rsidR="00C15884" w:rsidRPr="00CB10A9" w:rsidRDefault="00C15884" w:rsidP="006F4B48">
            <w:pPr>
              <w:jc w:val="center"/>
              <w:rPr>
                <w:rFonts w:ascii="Arial" w:hAnsi="Arial" w:cs="Arial"/>
                <w:sz w:val="22"/>
              </w:rPr>
            </w:pPr>
            <w:r>
              <w:rPr>
                <w:rFonts w:ascii="Arial" w:hAnsi="Arial" w:cs="Arial"/>
                <w:sz w:val="22"/>
              </w:rPr>
              <w:t>High Bound: $127.19</w:t>
            </w:r>
          </w:p>
        </w:tc>
      </w:tr>
      <w:tr w:rsidR="002443FB" w:rsidRPr="00CB10A9" w14:paraId="51639396" w14:textId="77777777" w:rsidTr="00C15884">
        <w:trPr>
          <w:trHeight w:val="504"/>
          <w:jc w:val="center"/>
        </w:trPr>
        <w:tc>
          <w:tcPr>
            <w:tcW w:w="1338" w:type="dxa"/>
            <w:vMerge w:val="restart"/>
            <w:vAlign w:val="center"/>
          </w:tcPr>
          <w:p w14:paraId="7AE5B868" w14:textId="20A75F75" w:rsidR="002443FB" w:rsidRPr="006F4B48" w:rsidRDefault="002443FB" w:rsidP="006F4B48">
            <w:pPr>
              <w:rPr>
                <w:rFonts w:ascii="Arial" w:hAnsi="Arial" w:cs="Arial"/>
                <w:sz w:val="22"/>
              </w:rPr>
            </w:pPr>
            <w:r>
              <w:rPr>
                <w:rFonts w:ascii="Arial" w:hAnsi="Arial" w:cs="Arial"/>
                <w:b/>
                <w:sz w:val="22"/>
              </w:rPr>
              <w:t>50-Year Term</w:t>
            </w:r>
          </w:p>
        </w:tc>
        <w:tc>
          <w:tcPr>
            <w:tcW w:w="2520" w:type="dxa"/>
            <w:vAlign w:val="center"/>
          </w:tcPr>
          <w:p w14:paraId="5D3ED3DD" w14:textId="61CC80CC" w:rsidR="002443FB" w:rsidRDefault="002443FB" w:rsidP="006F4B48">
            <w:pPr>
              <w:rPr>
                <w:rFonts w:ascii="Arial" w:hAnsi="Arial" w:cs="Arial"/>
                <w:b/>
                <w:sz w:val="22"/>
              </w:rPr>
            </w:pPr>
            <w:r w:rsidRPr="00CB10A9">
              <w:rPr>
                <w:rFonts w:ascii="Arial" w:hAnsi="Arial" w:cs="Arial"/>
                <w:b/>
                <w:sz w:val="22"/>
              </w:rPr>
              <w:t>Total Cost</w:t>
            </w:r>
          </w:p>
          <w:p w14:paraId="10A4EB9F" w14:textId="003B075C" w:rsidR="002443FB" w:rsidRPr="00CB10A9" w:rsidRDefault="002443FB" w:rsidP="006F4B48">
            <w:pPr>
              <w:rPr>
                <w:rFonts w:ascii="Arial" w:hAnsi="Arial" w:cs="Arial"/>
                <w:sz w:val="22"/>
              </w:rPr>
            </w:pPr>
            <w:r>
              <w:rPr>
                <w:rFonts w:ascii="Arial" w:hAnsi="Arial" w:cs="Arial"/>
                <w:b/>
                <w:sz w:val="22"/>
              </w:rPr>
              <w:t>(Low – High Bound)</w:t>
            </w:r>
          </w:p>
        </w:tc>
        <w:tc>
          <w:tcPr>
            <w:tcW w:w="2610" w:type="dxa"/>
            <w:vAlign w:val="center"/>
          </w:tcPr>
          <w:p w14:paraId="21EFF154" w14:textId="77777777" w:rsidR="002443FB" w:rsidRPr="00CB10A9" w:rsidRDefault="002443FB" w:rsidP="006F4B48">
            <w:pPr>
              <w:jc w:val="center"/>
              <w:rPr>
                <w:rFonts w:ascii="Arial" w:hAnsi="Arial" w:cs="Arial"/>
                <w:sz w:val="22"/>
              </w:rPr>
            </w:pPr>
            <w:r w:rsidRPr="00CB10A9">
              <w:rPr>
                <w:rFonts w:ascii="Arial" w:hAnsi="Arial" w:cs="Arial"/>
                <w:sz w:val="22"/>
              </w:rPr>
              <w:t>$6.96 - $8.90 billion</w:t>
            </w:r>
          </w:p>
        </w:tc>
        <w:tc>
          <w:tcPr>
            <w:tcW w:w="2868" w:type="dxa"/>
            <w:vAlign w:val="center"/>
          </w:tcPr>
          <w:p w14:paraId="0D09F0B2" w14:textId="77777777" w:rsidR="002443FB" w:rsidRPr="00CB10A9" w:rsidRDefault="002443FB" w:rsidP="006F4B48">
            <w:pPr>
              <w:jc w:val="center"/>
              <w:rPr>
                <w:rFonts w:ascii="Arial" w:hAnsi="Arial" w:cs="Arial"/>
                <w:sz w:val="22"/>
              </w:rPr>
            </w:pPr>
            <w:r w:rsidRPr="00CB10A9">
              <w:rPr>
                <w:rFonts w:ascii="Arial" w:hAnsi="Arial" w:cs="Arial"/>
                <w:sz w:val="22"/>
              </w:rPr>
              <w:t>$11.25 – 16.14 billion</w:t>
            </w:r>
          </w:p>
        </w:tc>
      </w:tr>
      <w:tr w:rsidR="002443FB" w:rsidRPr="00CB10A9" w14:paraId="758B9E3E" w14:textId="77777777" w:rsidTr="00C15884">
        <w:trPr>
          <w:trHeight w:val="504"/>
          <w:jc w:val="center"/>
        </w:trPr>
        <w:tc>
          <w:tcPr>
            <w:tcW w:w="1338" w:type="dxa"/>
            <w:vMerge/>
            <w:vAlign w:val="center"/>
          </w:tcPr>
          <w:p w14:paraId="1C4098C5" w14:textId="77777777" w:rsidR="002443FB" w:rsidRPr="00CB10A9" w:rsidRDefault="002443FB" w:rsidP="006F4B48">
            <w:pPr>
              <w:rPr>
                <w:rFonts w:ascii="Arial" w:hAnsi="Arial" w:cs="Arial"/>
                <w:b/>
                <w:sz w:val="22"/>
              </w:rPr>
            </w:pPr>
          </w:p>
        </w:tc>
        <w:tc>
          <w:tcPr>
            <w:tcW w:w="2520" w:type="dxa"/>
            <w:vAlign w:val="center"/>
          </w:tcPr>
          <w:p w14:paraId="1300CC1A" w14:textId="0427F93A" w:rsidR="002443FB" w:rsidRPr="00CB10A9" w:rsidRDefault="00C15884" w:rsidP="006F4B48">
            <w:pPr>
              <w:rPr>
                <w:rFonts w:ascii="Arial" w:hAnsi="Arial" w:cs="Arial"/>
                <w:b/>
                <w:sz w:val="22"/>
              </w:rPr>
            </w:pPr>
            <w:r>
              <w:rPr>
                <w:rFonts w:ascii="Arial" w:hAnsi="Arial" w:cs="Arial"/>
                <w:b/>
                <w:sz w:val="22"/>
              </w:rPr>
              <w:t>Average cost Per Ton</w:t>
            </w:r>
          </w:p>
        </w:tc>
        <w:tc>
          <w:tcPr>
            <w:tcW w:w="2610" w:type="dxa"/>
            <w:vAlign w:val="center"/>
          </w:tcPr>
          <w:p w14:paraId="51BCED8F" w14:textId="77777777" w:rsidR="002443FB" w:rsidRDefault="00C15884" w:rsidP="006F4B48">
            <w:pPr>
              <w:jc w:val="center"/>
              <w:rPr>
                <w:rFonts w:ascii="Arial" w:hAnsi="Arial" w:cs="Arial"/>
                <w:sz w:val="22"/>
              </w:rPr>
            </w:pPr>
            <w:r>
              <w:rPr>
                <w:rFonts w:ascii="Arial" w:hAnsi="Arial" w:cs="Arial"/>
                <w:sz w:val="22"/>
              </w:rPr>
              <w:t xml:space="preserve">Low Bound: </w:t>
            </w:r>
            <w:r w:rsidR="005F0D58">
              <w:rPr>
                <w:rFonts w:ascii="Arial" w:hAnsi="Arial" w:cs="Arial"/>
                <w:sz w:val="22"/>
              </w:rPr>
              <w:t>$116.06</w:t>
            </w:r>
          </w:p>
          <w:p w14:paraId="20A2CACD" w14:textId="26CF759F" w:rsidR="00C15884" w:rsidRPr="00CB10A9" w:rsidRDefault="00C15884" w:rsidP="006F4B48">
            <w:pPr>
              <w:jc w:val="center"/>
              <w:rPr>
                <w:rFonts w:ascii="Arial" w:hAnsi="Arial" w:cs="Arial"/>
                <w:sz w:val="22"/>
              </w:rPr>
            </w:pPr>
            <w:r>
              <w:rPr>
                <w:rFonts w:ascii="Arial" w:hAnsi="Arial" w:cs="Arial"/>
                <w:sz w:val="22"/>
              </w:rPr>
              <w:t>High Bound: $112.18</w:t>
            </w:r>
          </w:p>
        </w:tc>
        <w:tc>
          <w:tcPr>
            <w:tcW w:w="2868" w:type="dxa"/>
            <w:vAlign w:val="center"/>
          </w:tcPr>
          <w:p w14:paraId="2B53DE81" w14:textId="77777777" w:rsidR="002443FB" w:rsidRDefault="00C15884" w:rsidP="006F4B48">
            <w:pPr>
              <w:jc w:val="center"/>
              <w:rPr>
                <w:rFonts w:ascii="Arial" w:hAnsi="Arial" w:cs="Arial"/>
                <w:sz w:val="22"/>
              </w:rPr>
            </w:pPr>
            <w:r>
              <w:rPr>
                <w:rFonts w:ascii="Arial" w:hAnsi="Arial" w:cs="Arial"/>
                <w:sz w:val="22"/>
              </w:rPr>
              <w:t xml:space="preserve">Low Bound: </w:t>
            </w:r>
            <w:r w:rsidR="005F0D58">
              <w:rPr>
                <w:rFonts w:ascii="Arial" w:hAnsi="Arial" w:cs="Arial"/>
                <w:sz w:val="22"/>
              </w:rPr>
              <w:t>$215.15</w:t>
            </w:r>
          </w:p>
          <w:p w14:paraId="204AEDA5" w14:textId="47FA5DBE" w:rsidR="00C15884" w:rsidRPr="00CB10A9" w:rsidRDefault="00C15884" w:rsidP="006F4B48">
            <w:pPr>
              <w:jc w:val="center"/>
              <w:rPr>
                <w:rFonts w:ascii="Arial" w:hAnsi="Arial" w:cs="Arial"/>
                <w:sz w:val="22"/>
              </w:rPr>
            </w:pPr>
            <w:r>
              <w:rPr>
                <w:rFonts w:ascii="Arial" w:hAnsi="Arial" w:cs="Arial"/>
                <w:sz w:val="22"/>
              </w:rPr>
              <w:t>High Bound: $216.90</w:t>
            </w:r>
          </w:p>
        </w:tc>
      </w:tr>
    </w:tbl>
    <w:p w14:paraId="1F44B4D8" w14:textId="77777777" w:rsidR="001244FD" w:rsidRDefault="001244FD" w:rsidP="007F656D">
      <w:pPr>
        <w:rPr>
          <w:rFonts w:ascii="Arial" w:hAnsi="Arial" w:cs="Arial"/>
        </w:rPr>
      </w:pPr>
    </w:p>
    <w:p w14:paraId="0E01BC77" w14:textId="0B9ED2FC" w:rsidR="007F656D" w:rsidRDefault="007F656D" w:rsidP="007F656D">
      <w:pPr>
        <w:rPr>
          <w:rFonts w:ascii="Arial" w:hAnsi="Arial" w:cs="Arial"/>
        </w:rPr>
      </w:pPr>
      <w:r>
        <w:rPr>
          <w:rFonts w:ascii="Arial" w:hAnsi="Arial" w:cs="Arial"/>
        </w:rPr>
        <w:t xml:space="preserve">For comparison, the analysis contained in the 2019 Comprehensive Solid Waste Management Plan </w:t>
      </w:r>
      <w:r w:rsidR="00387C39">
        <w:rPr>
          <w:rFonts w:ascii="Arial" w:hAnsi="Arial" w:cs="Arial"/>
        </w:rPr>
        <w:t xml:space="preserve">comparing the two long-term disposal options </w:t>
      </w:r>
      <w:r>
        <w:rPr>
          <w:rFonts w:ascii="Arial" w:hAnsi="Arial" w:cs="Arial"/>
        </w:rPr>
        <w:t xml:space="preserve">resulted in the opposite conclusion </w:t>
      </w:r>
      <w:r w:rsidR="002F0F75">
        <w:rPr>
          <w:rFonts w:ascii="Arial" w:hAnsi="Arial" w:cs="Arial"/>
        </w:rPr>
        <w:t xml:space="preserve">and determined </w:t>
      </w:r>
      <w:r>
        <w:rPr>
          <w:rFonts w:ascii="Arial" w:hAnsi="Arial" w:cs="Arial"/>
        </w:rPr>
        <w:t xml:space="preserve">that waste export was the more inexpensive option per ton. Executive staff provided a memo to Councilmembers by email on October 24th that described the different assumptions that led to this conclusion. The memo is included as Attachment </w:t>
      </w:r>
      <w:r w:rsidR="00796D1E">
        <w:rPr>
          <w:rFonts w:ascii="Arial" w:hAnsi="Arial" w:cs="Arial"/>
        </w:rPr>
        <w:t>3</w:t>
      </w:r>
      <w:r>
        <w:rPr>
          <w:rFonts w:ascii="Arial" w:hAnsi="Arial" w:cs="Arial"/>
        </w:rPr>
        <w:t xml:space="preserve"> to this staff report for reference. </w:t>
      </w:r>
    </w:p>
    <w:p w14:paraId="71A6F2A5" w14:textId="77777777" w:rsidR="007D74D4" w:rsidRDefault="007D74D4" w:rsidP="00CA0D6E">
      <w:pPr>
        <w:jc w:val="both"/>
        <w:rPr>
          <w:rFonts w:ascii="Arial" w:hAnsi="Arial" w:cs="Arial"/>
          <w:b/>
        </w:rPr>
      </w:pPr>
    </w:p>
    <w:p w14:paraId="15F68637" w14:textId="17A009DC" w:rsidR="00CA5D16" w:rsidRDefault="00D23E8C" w:rsidP="00CA0D6E">
      <w:pPr>
        <w:jc w:val="both"/>
        <w:rPr>
          <w:rFonts w:ascii="Arial" w:hAnsi="Arial" w:cs="Arial"/>
        </w:rPr>
      </w:pPr>
      <w:r>
        <w:rPr>
          <w:rFonts w:ascii="Arial" w:hAnsi="Arial" w:cs="Arial"/>
          <w:b/>
        </w:rPr>
        <w:t>Waste-to-Energy</w:t>
      </w:r>
      <w:r w:rsidR="00CA5D16">
        <w:rPr>
          <w:rFonts w:ascii="Arial" w:hAnsi="Arial" w:cs="Arial"/>
          <w:b/>
        </w:rPr>
        <w:t xml:space="preserve"> Facility</w:t>
      </w:r>
      <w:r w:rsidR="002F0F75">
        <w:rPr>
          <w:rFonts w:ascii="Arial" w:hAnsi="Arial" w:cs="Arial"/>
          <w:b/>
        </w:rPr>
        <w:t xml:space="preserve">. </w:t>
      </w:r>
      <w:r w:rsidR="00CA5D16">
        <w:rPr>
          <w:rFonts w:ascii="Arial" w:hAnsi="Arial" w:cs="Arial"/>
        </w:rPr>
        <w:t xml:space="preserve">The proviso </w:t>
      </w:r>
      <w:r w:rsidR="00155F60">
        <w:rPr>
          <w:rFonts w:ascii="Arial" w:hAnsi="Arial" w:cs="Arial"/>
        </w:rPr>
        <w:t>require</w:t>
      </w:r>
      <w:r w:rsidR="00E87A7E">
        <w:rPr>
          <w:rFonts w:ascii="Arial" w:hAnsi="Arial" w:cs="Arial"/>
        </w:rPr>
        <w:t>s</w:t>
      </w:r>
      <w:r w:rsidR="00415704">
        <w:rPr>
          <w:rFonts w:ascii="Arial" w:hAnsi="Arial" w:cs="Arial"/>
        </w:rPr>
        <w:t xml:space="preserve"> that the</w:t>
      </w:r>
      <w:r w:rsidR="00155F60">
        <w:rPr>
          <w:rFonts w:ascii="Arial" w:hAnsi="Arial" w:cs="Arial"/>
        </w:rPr>
        <w:t xml:space="preserve"> consultant primarily consider a </w:t>
      </w:r>
      <w:r w:rsidR="001904F9">
        <w:rPr>
          <w:rFonts w:ascii="Arial" w:hAnsi="Arial" w:cs="Arial"/>
        </w:rPr>
        <w:t xml:space="preserve">WTE </w:t>
      </w:r>
      <w:r w:rsidR="000C17E4">
        <w:rPr>
          <w:rFonts w:ascii="Arial" w:hAnsi="Arial" w:cs="Arial"/>
        </w:rPr>
        <w:t>facility</w:t>
      </w:r>
      <w:r w:rsidR="00155F60">
        <w:rPr>
          <w:rFonts w:ascii="Arial" w:hAnsi="Arial" w:cs="Arial"/>
        </w:rPr>
        <w:t xml:space="preserve"> that uses mass burn technology.</w:t>
      </w:r>
      <w:r w:rsidR="00415704">
        <w:rPr>
          <w:rFonts w:ascii="Arial" w:hAnsi="Arial" w:cs="Arial"/>
        </w:rPr>
        <w:t xml:space="preserve"> </w:t>
      </w:r>
      <w:r w:rsidR="00784DDB">
        <w:rPr>
          <w:rFonts w:ascii="Arial" w:hAnsi="Arial" w:cs="Arial"/>
        </w:rPr>
        <w:t>Per the</w:t>
      </w:r>
      <w:r w:rsidR="000C17E4">
        <w:rPr>
          <w:rFonts w:ascii="Arial" w:hAnsi="Arial" w:cs="Arial"/>
        </w:rPr>
        <w:t xml:space="preserve"> Feasibility Study, a mass burn WTE facility involves the combustion of waste in a controlled furn</w:t>
      </w:r>
      <w:r w:rsidR="00F3131C">
        <w:rPr>
          <w:rFonts w:ascii="Arial" w:hAnsi="Arial" w:cs="Arial"/>
        </w:rPr>
        <w:t xml:space="preserve">ace system </w:t>
      </w:r>
      <w:r w:rsidR="00C1681F">
        <w:rPr>
          <w:rFonts w:ascii="Arial" w:hAnsi="Arial" w:cs="Arial"/>
        </w:rPr>
        <w:t xml:space="preserve">where heat is recovered via </w:t>
      </w:r>
      <w:r w:rsidR="001904F9">
        <w:rPr>
          <w:rFonts w:ascii="Arial" w:hAnsi="Arial" w:cs="Arial"/>
        </w:rPr>
        <w:t>boilers</w:t>
      </w:r>
      <w:r w:rsidR="00C1681F">
        <w:rPr>
          <w:rFonts w:ascii="Arial" w:hAnsi="Arial" w:cs="Arial"/>
        </w:rPr>
        <w:t xml:space="preserve"> to generate electricity, which can be used internally to operate the facility and/or </w:t>
      </w:r>
      <w:r w:rsidR="001904F9">
        <w:rPr>
          <w:rFonts w:ascii="Arial" w:hAnsi="Arial" w:cs="Arial"/>
        </w:rPr>
        <w:t>can be</w:t>
      </w:r>
      <w:r w:rsidR="00C61AAB">
        <w:rPr>
          <w:rFonts w:ascii="Arial" w:hAnsi="Arial" w:cs="Arial"/>
        </w:rPr>
        <w:t xml:space="preserve"> </w:t>
      </w:r>
      <w:r w:rsidR="00C1681F">
        <w:rPr>
          <w:rFonts w:ascii="Arial" w:hAnsi="Arial" w:cs="Arial"/>
        </w:rPr>
        <w:t>sold</w:t>
      </w:r>
      <w:r w:rsidR="00B56B63">
        <w:rPr>
          <w:rFonts w:ascii="Arial" w:hAnsi="Arial" w:cs="Arial"/>
        </w:rPr>
        <w:t xml:space="preserve"> to local utilities.</w:t>
      </w:r>
      <w:r w:rsidR="00F200F8">
        <w:rPr>
          <w:rFonts w:ascii="Arial" w:hAnsi="Arial" w:cs="Arial"/>
        </w:rPr>
        <w:t xml:space="preserve"> G</w:t>
      </w:r>
      <w:r w:rsidR="00B56B63">
        <w:rPr>
          <w:rFonts w:ascii="Arial" w:hAnsi="Arial" w:cs="Arial"/>
        </w:rPr>
        <w:t>as exiting the boiler is processed through an air pollution control system</w:t>
      </w:r>
      <w:r w:rsidR="00C61AAB">
        <w:rPr>
          <w:rFonts w:ascii="Arial" w:hAnsi="Arial" w:cs="Arial"/>
        </w:rPr>
        <w:t>, metals remaining after combustion can be recovered</w:t>
      </w:r>
      <w:r w:rsidR="003B15F8">
        <w:rPr>
          <w:rFonts w:ascii="Arial" w:hAnsi="Arial" w:cs="Arial"/>
        </w:rPr>
        <w:t xml:space="preserve"> and sold</w:t>
      </w:r>
      <w:r w:rsidR="00DE0047">
        <w:rPr>
          <w:rFonts w:ascii="Arial" w:hAnsi="Arial" w:cs="Arial"/>
        </w:rPr>
        <w:t xml:space="preserve"> to recycling companies, and the ash resulting from the combustion process </w:t>
      </w:r>
      <w:r w:rsidR="001904F9">
        <w:rPr>
          <w:rFonts w:ascii="Arial" w:hAnsi="Arial" w:cs="Arial"/>
        </w:rPr>
        <w:t>is landfilled or may</w:t>
      </w:r>
      <w:r w:rsidR="00DE0047">
        <w:rPr>
          <w:rFonts w:ascii="Arial" w:hAnsi="Arial" w:cs="Arial"/>
        </w:rPr>
        <w:t xml:space="preserve"> be directed toward reuse opportunities </w:t>
      </w:r>
      <w:r w:rsidR="00573C78">
        <w:rPr>
          <w:rFonts w:ascii="Arial" w:hAnsi="Arial" w:cs="Arial"/>
        </w:rPr>
        <w:t>discussed later in the staff report. The Feasibility Study notes that the WTE process</w:t>
      </w:r>
      <w:r w:rsidR="00CE776B">
        <w:rPr>
          <w:rFonts w:ascii="Arial" w:hAnsi="Arial" w:cs="Arial"/>
        </w:rPr>
        <w:t xml:space="preserve"> will typically reduce the incoming volume of waste by 85 to 90 percent and 75 percent or more by weight.</w:t>
      </w:r>
    </w:p>
    <w:p w14:paraId="486FEC7E" w14:textId="77777777" w:rsidR="00CA5D16" w:rsidRPr="00CA5D16" w:rsidRDefault="00CA5D16" w:rsidP="00CA0D6E">
      <w:pPr>
        <w:jc w:val="both"/>
        <w:rPr>
          <w:rFonts w:ascii="Arial" w:hAnsi="Arial" w:cs="Arial"/>
        </w:rPr>
      </w:pPr>
    </w:p>
    <w:p w14:paraId="546F2229" w14:textId="437B8198" w:rsidR="004F5C2A" w:rsidRDefault="009F6295" w:rsidP="00CA0D6E">
      <w:pPr>
        <w:jc w:val="both"/>
        <w:rPr>
          <w:rFonts w:ascii="Arial" w:hAnsi="Arial" w:cs="Arial"/>
        </w:rPr>
      </w:pPr>
      <w:r>
        <w:rPr>
          <w:rFonts w:ascii="Arial" w:hAnsi="Arial" w:cs="Arial"/>
          <w:i/>
        </w:rPr>
        <w:t xml:space="preserve">Facility Size and </w:t>
      </w:r>
      <w:r w:rsidR="00BC3E9C">
        <w:rPr>
          <w:rFonts w:ascii="Arial" w:hAnsi="Arial" w:cs="Arial"/>
          <w:i/>
        </w:rPr>
        <w:t>Site</w:t>
      </w:r>
      <w:r w:rsidR="0061538B">
        <w:rPr>
          <w:rFonts w:ascii="Arial" w:hAnsi="Arial" w:cs="Arial"/>
          <w:i/>
        </w:rPr>
        <w:t xml:space="preserve"> Evaluation.</w:t>
      </w:r>
      <w:r w:rsidR="00B139DD">
        <w:rPr>
          <w:rFonts w:ascii="Arial" w:hAnsi="Arial" w:cs="Arial"/>
        </w:rPr>
        <w:t xml:space="preserve"> The </w:t>
      </w:r>
      <w:r w:rsidR="00764255">
        <w:rPr>
          <w:rFonts w:ascii="Arial" w:hAnsi="Arial" w:cs="Arial"/>
        </w:rPr>
        <w:t xml:space="preserve">budget proviso directs for </w:t>
      </w:r>
      <w:r w:rsidR="00B139DD">
        <w:rPr>
          <w:rFonts w:ascii="Arial" w:hAnsi="Arial" w:cs="Arial"/>
        </w:rPr>
        <w:t>an evaluation of</w:t>
      </w:r>
      <w:r w:rsidR="001C49E4">
        <w:rPr>
          <w:rFonts w:ascii="Arial" w:hAnsi="Arial" w:cs="Arial"/>
        </w:rPr>
        <w:t xml:space="preserve"> the size of a </w:t>
      </w:r>
      <w:r w:rsidR="00764255">
        <w:rPr>
          <w:rFonts w:ascii="Arial" w:hAnsi="Arial" w:cs="Arial"/>
        </w:rPr>
        <w:t>WTE</w:t>
      </w:r>
      <w:r w:rsidR="001C49E4">
        <w:rPr>
          <w:rFonts w:ascii="Arial" w:hAnsi="Arial" w:cs="Arial"/>
        </w:rPr>
        <w:t xml:space="preserve"> facility that would be needed to accommodate the County’s waste over a twenty to </w:t>
      </w:r>
      <w:r w:rsidR="00E87A7E">
        <w:rPr>
          <w:rFonts w:ascii="Arial" w:hAnsi="Arial" w:cs="Arial"/>
        </w:rPr>
        <w:t>fifty-year</w:t>
      </w:r>
      <w:r w:rsidR="001C49E4">
        <w:rPr>
          <w:rFonts w:ascii="Arial" w:hAnsi="Arial" w:cs="Arial"/>
        </w:rPr>
        <w:t xml:space="preserve"> time horizon</w:t>
      </w:r>
      <w:r w:rsidR="004E3820">
        <w:rPr>
          <w:rFonts w:ascii="Arial" w:hAnsi="Arial" w:cs="Arial"/>
        </w:rPr>
        <w:t xml:space="preserve">, beginning in 2025, with any assumptions clearly articulated, as well as a description of any </w:t>
      </w:r>
      <w:r w:rsidR="00FE51BF">
        <w:rPr>
          <w:rFonts w:ascii="Arial" w:hAnsi="Arial" w:cs="Arial"/>
        </w:rPr>
        <w:t>siting</w:t>
      </w:r>
      <w:r w:rsidR="004E3820">
        <w:rPr>
          <w:rFonts w:ascii="Arial" w:hAnsi="Arial" w:cs="Arial"/>
        </w:rPr>
        <w:t xml:space="preserve"> needs (e.g., parcel size).</w:t>
      </w:r>
    </w:p>
    <w:p w14:paraId="4F4D79AE" w14:textId="6A41D90E" w:rsidR="00AD68FD" w:rsidRDefault="00AD68FD" w:rsidP="00CA0D6E">
      <w:pPr>
        <w:jc w:val="both"/>
        <w:rPr>
          <w:rFonts w:ascii="Arial" w:hAnsi="Arial" w:cs="Arial"/>
        </w:rPr>
      </w:pPr>
    </w:p>
    <w:p w14:paraId="4AD9EF58" w14:textId="013D234E" w:rsidR="00154E8F" w:rsidRDefault="00826801" w:rsidP="00154E8F">
      <w:pPr>
        <w:jc w:val="both"/>
        <w:rPr>
          <w:rFonts w:ascii="Arial" w:hAnsi="Arial" w:cs="Arial"/>
        </w:rPr>
      </w:pPr>
      <w:r>
        <w:rPr>
          <w:rFonts w:ascii="Arial" w:hAnsi="Arial" w:cs="Arial"/>
        </w:rPr>
        <w:t xml:space="preserve">Based on the high and low bound forecasts described in the previous subsection, the </w:t>
      </w:r>
      <w:r w:rsidR="005E6D04">
        <w:rPr>
          <w:rFonts w:ascii="Arial" w:hAnsi="Arial" w:cs="Arial"/>
        </w:rPr>
        <w:t>C</w:t>
      </w:r>
      <w:r>
        <w:rPr>
          <w:rFonts w:ascii="Arial" w:hAnsi="Arial" w:cs="Arial"/>
        </w:rPr>
        <w:t xml:space="preserve">onsultant </w:t>
      </w:r>
      <w:r w:rsidR="009A69E9">
        <w:rPr>
          <w:rFonts w:ascii="Arial" w:hAnsi="Arial" w:cs="Arial"/>
        </w:rPr>
        <w:t xml:space="preserve">developed two </w:t>
      </w:r>
      <w:r w:rsidR="00764255">
        <w:rPr>
          <w:rFonts w:ascii="Arial" w:hAnsi="Arial" w:cs="Arial"/>
        </w:rPr>
        <w:t xml:space="preserve">facility </w:t>
      </w:r>
      <w:r w:rsidR="00645F74">
        <w:rPr>
          <w:rFonts w:ascii="Arial" w:hAnsi="Arial" w:cs="Arial"/>
        </w:rPr>
        <w:t>sizing options</w:t>
      </w:r>
      <w:r w:rsidR="00896ACF">
        <w:rPr>
          <w:rFonts w:ascii="Arial" w:hAnsi="Arial" w:cs="Arial"/>
        </w:rPr>
        <w:t xml:space="preserve">: (1) a facility </w:t>
      </w:r>
      <w:r w:rsidR="00764255">
        <w:rPr>
          <w:rFonts w:ascii="Arial" w:hAnsi="Arial" w:cs="Arial"/>
        </w:rPr>
        <w:t xml:space="preserve">with initial processing capacity of 3,000 tons per day </w:t>
      </w:r>
      <w:r w:rsidR="00D30AA3">
        <w:rPr>
          <w:rFonts w:ascii="Arial" w:hAnsi="Arial" w:cs="Arial"/>
        </w:rPr>
        <w:t>that woul</w:t>
      </w:r>
      <w:r w:rsidR="00702E02">
        <w:rPr>
          <w:rFonts w:ascii="Arial" w:hAnsi="Arial" w:cs="Arial"/>
        </w:rPr>
        <w:t>d be expanded to 4,000 tons per day in 2048</w:t>
      </w:r>
      <w:r w:rsidR="00F80B83">
        <w:rPr>
          <w:rFonts w:ascii="Arial" w:hAnsi="Arial" w:cs="Arial"/>
        </w:rPr>
        <w:t xml:space="preserve"> (</w:t>
      </w:r>
      <w:r w:rsidR="00DD79BD">
        <w:rPr>
          <w:rFonts w:ascii="Arial" w:hAnsi="Arial" w:cs="Arial"/>
        </w:rPr>
        <w:t xml:space="preserve">reflecting the </w:t>
      </w:r>
      <w:r w:rsidR="00342C62">
        <w:rPr>
          <w:rFonts w:ascii="Arial" w:hAnsi="Arial" w:cs="Arial"/>
        </w:rPr>
        <w:t>L</w:t>
      </w:r>
      <w:r w:rsidR="00F80B83">
        <w:rPr>
          <w:rFonts w:ascii="Arial" w:hAnsi="Arial" w:cs="Arial"/>
        </w:rPr>
        <w:t xml:space="preserve">ow </w:t>
      </w:r>
      <w:r w:rsidR="00342C62">
        <w:rPr>
          <w:rFonts w:ascii="Arial" w:hAnsi="Arial" w:cs="Arial"/>
        </w:rPr>
        <w:t>B</w:t>
      </w:r>
      <w:r w:rsidR="00F80B83">
        <w:rPr>
          <w:rFonts w:ascii="Arial" w:hAnsi="Arial" w:cs="Arial"/>
        </w:rPr>
        <w:t>ound</w:t>
      </w:r>
      <w:r w:rsidR="00DD79BD">
        <w:rPr>
          <w:rFonts w:ascii="Arial" w:hAnsi="Arial" w:cs="Arial"/>
        </w:rPr>
        <w:t xml:space="preserve"> forecast</w:t>
      </w:r>
      <w:r w:rsidR="00F80B83">
        <w:rPr>
          <w:rFonts w:ascii="Arial" w:hAnsi="Arial" w:cs="Arial"/>
        </w:rPr>
        <w:t>)</w:t>
      </w:r>
      <w:r w:rsidR="00B9464F">
        <w:rPr>
          <w:rFonts w:ascii="Arial" w:hAnsi="Arial" w:cs="Arial"/>
        </w:rPr>
        <w:t xml:space="preserve">; and (2) </w:t>
      </w:r>
      <w:r w:rsidR="00342C62">
        <w:rPr>
          <w:rFonts w:ascii="Arial" w:hAnsi="Arial" w:cs="Arial"/>
        </w:rPr>
        <w:t>a facility with initial processing capacity of</w:t>
      </w:r>
      <w:r w:rsidR="00B9464F">
        <w:rPr>
          <w:rFonts w:ascii="Arial" w:hAnsi="Arial" w:cs="Arial"/>
        </w:rPr>
        <w:t xml:space="preserve"> </w:t>
      </w:r>
      <w:r w:rsidR="00B9464F">
        <w:rPr>
          <w:rFonts w:ascii="Arial" w:hAnsi="Arial" w:cs="Arial"/>
        </w:rPr>
        <w:lastRenderedPageBreak/>
        <w:t>4,000 tons per day that would be expanded to 5,000 tons per day in 2040</w:t>
      </w:r>
      <w:r w:rsidR="00F80B83">
        <w:rPr>
          <w:rFonts w:ascii="Arial" w:hAnsi="Arial" w:cs="Arial"/>
        </w:rPr>
        <w:t xml:space="preserve"> (</w:t>
      </w:r>
      <w:r w:rsidR="00DD79BD">
        <w:rPr>
          <w:rFonts w:ascii="Arial" w:hAnsi="Arial" w:cs="Arial"/>
        </w:rPr>
        <w:t xml:space="preserve">reflecting the </w:t>
      </w:r>
      <w:r w:rsidR="00342C62">
        <w:rPr>
          <w:rFonts w:ascii="Arial" w:hAnsi="Arial" w:cs="Arial"/>
        </w:rPr>
        <w:t>H</w:t>
      </w:r>
      <w:r w:rsidR="00F80B83">
        <w:rPr>
          <w:rFonts w:ascii="Arial" w:hAnsi="Arial" w:cs="Arial"/>
        </w:rPr>
        <w:t xml:space="preserve">igh </w:t>
      </w:r>
      <w:r w:rsidR="00342C62">
        <w:rPr>
          <w:rFonts w:ascii="Arial" w:hAnsi="Arial" w:cs="Arial"/>
        </w:rPr>
        <w:t>B</w:t>
      </w:r>
      <w:r w:rsidR="00F80B83">
        <w:rPr>
          <w:rFonts w:ascii="Arial" w:hAnsi="Arial" w:cs="Arial"/>
        </w:rPr>
        <w:t>ound</w:t>
      </w:r>
      <w:r w:rsidR="00DD79BD">
        <w:rPr>
          <w:rFonts w:ascii="Arial" w:hAnsi="Arial" w:cs="Arial"/>
        </w:rPr>
        <w:t xml:space="preserve"> forecast</w:t>
      </w:r>
      <w:r w:rsidR="00F80B83">
        <w:rPr>
          <w:rFonts w:ascii="Arial" w:hAnsi="Arial" w:cs="Arial"/>
        </w:rPr>
        <w:t>)</w:t>
      </w:r>
      <w:r w:rsidR="00B9464F">
        <w:rPr>
          <w:rFonts w:ascii="Arial" w:hAnsi="Arial" w:cs="Arial"/>
        </w:rPr>
        <w:t>.</w:t>
      </w:r>
      <w:r w:rsidR="005E6D04">
        <w:rPr>
          <w:rFonts w:ascii="Arial" w:hAnsi="Arial" w:cs="Arial"/>
        </w:rPr>
        <w:t xml:space="preserve"> </w:t>
      </w:r>
      <w:r w:rsidR="000E44B3">
        <w:rPr>
          <w:rFonts w:ascii="Arial" w:hAnsi="Arial" w:cs="Arial"/>
        </w:rPr>
        <w:t xml:space="preserve">Executive staff indicate that the </w:t>
      </w:r>
      <w:r w:rsidR="000E1EE4">
        <w:rPr>
          <w:rFonts w:ascii="Arial" w:hAnsi="Arial" w:cs="Arial"/>
        </w:rPr>
        <w:t>initial facility size in each scenario is designed to meet the disposal needs through approximately the first 20-year period</w:t>
      </w:r>
      <w:r w:rsidR="009830F9">
        <w:rPr>
          <w:rFonts w:ascii="Arial" w:hAnsi="Arial" w:cs="Arial"/>
        </w:rPr>
        <w:t xml:space="preserve"> and assume</w:t>
      </w:r>
      <w:r w:rsidR="00375A9C">
        <w:rPr>
          <w:rFonts w:ascii="Arial" w:hAnsi="Arial" w:cs="Arial"/>
        </w:rPr>
        <w:t>s</w:t>
      </w:r>
      <w:r w:rsidR="009830F9">
        <w:rPr>
          <w:rFonts w:ascii="Arial" w:hAnsi="Arial" w:cs="Arial"/>
        </w:rPr>
        <w:t xml:space="preserve"> the</w:t>
      </w:r>
      <w:r w:rsidR="00375A9C">
        <w:rPr>
          <w:rFonts w:ascii="Arial" w:hAnsi="Arial" w:cs="Arial"/>
        </w:rPr>
        <w:t xml:space="preserve"> facility</w:t>
      </w:r>
      <w:r w:rsidR="009830F9">
        <w:rPr>
          <w:rFonts w:ascii="Arial" w:hAnsi="Arial" w:cs="Arial"/>
        </w:rPr>
        <w:t xml:space="preserve"> can be expanded thereafter to meet the disposal needs of the remaining required study period. </w:t>
      </w:r>
      <w:r w:rsidR="008542A7">
        <w:rPr>
          <w:rFonts w:ascii="Arial" w:hAnsi="Arial" w:cs="Arial"/>
        </w:rPr>
        <w:t xml:space="preserve">Note that the Study </w:t>
      </w:r>
      <w:r w:rsidR="000E44B3">
        <w:rPr>
          <w:rFonts w:ascii="Arial" w:hAnsi="Arial" w:cs="Arial"/>
        </w:rPr>
        <w:t>assumes that a WTE facility can operate up to ten percent above the design capacity</w:t>
      </w:r>
      <w:r w:rsidR="002D6C3E">
        <w:rPr>
          <w:rFonts w:ascii="Arial" w:hAnsi="Arial" w:cs="Arial"/>
        </w:rPr>
        <w:t xml:space="preserve"> based on historic experience and industry standard. </w:t>
      </w:r>
    </w:p>
    <w:p w14:paraId="046AF1DF" w14:textId="77777777" w:rsidR="00FC3422" w:rsidRDefault="00FC3422" w:rsidP="00154E8F">
      <w:pPr>
        <w:jc w:val="both"/>
        <w:rPr>
          <w:rFonts w:ascii="Arial" w:hAnsi="Arial" w:cs="Arial"/>
        </w:rPr>
      </w:pPr>
    </w:p>
    <w:p w14:paraId="366D78B7" w14:textId="02D4A50D" w:rsidR="00D55FFB" w:rsidRDefault="00180ABA" w:rsidP="00686445">
      <w:pPr>
        <w:jc w:val="both"/>
        <w:rPr>
          <w:rFonts w:ascii="Arial" w:hAnsi="Arial" w:cs="Arial"/>
        </w:rPr>
      </w:pPr>
      <w:r>
        <w:rPr>
          <w:rFonts w:ascii="Arial" w:hAnsi="Arial" w:cs="Arial"/>
        </w:rPr>
        <w:t>Th</w:t>
      </w:r>
      <w:r w:rsidR="00BE1DB2">
        <w:rPr>
          <w:rFonts w:ascii="Arial" w:hAnsi="Arial" w:cs="Arial"/>
        </w:rPr>
        <w:t>es</w:t>
      </w:r>
      <w:r w:rsidR="0032754B">
        <w:rPr>
          <w:rFonts w:ascii="Arial" w:hAnsi="Arial" w:cs="Arial"/>
        </w:rPr>
        <w:t>e initial facility size estimates</w:t>
      </w:r>
      <w:r w:rsidR="008375F3">
        <w:rPr>
          <w:rFonts w:ascii="Arial" w:hAnsi="Arial" w:cs="Arial"/>
        </w:rPr>
        <w:t xml:space="preserve"> are lower than the 5,000 tons per day facility </w:t>
      </w:r>
      <w:r w:rsidR="00FA5474">
        <w:rPr>
          <w:rFonts w:ascii="Arial" w:hAnsi="Arial" w:cs="Arial"/>
        </w:rPr>
        <w:t>that the 2019 Comprehensive Solid Waste Management Plan</w:t>
      </w:r>
      <w:r w:rsidR="00C52429">
        <w:rPr>
          <w:rFonts w:ascii="Arial" w:hAnsi="Arial" w:cs="Arial"/>
        </w:rPr>
        <w:t xml:space="preserve"> </w:t>
      </w:r>
      <w:r w:rsidR="00102D55">
        <w:rPr>
          <w:rFonts w:ascii="Arial" w:hAnsi="Arial" w:cs="Arial"/>
        </w:rPr>
        <w:t>assumed</w:t>
      </w:r>
      <w:r w:rsidR="00FA5474">
        <w:rPr>
          <w:rFonts w:ascii="Arial" w:hAnsi="Arial" w:cs="Arial"/>
        </w:rPr>
        <w:t xml:space="preserve"> would be needed</w:t>
      </w:r>
      <w:r w:rsidR="00522AC9">
        <w:rPr>
          <w:rFonts w:ascii="Arial" w:hAnsi="Arial" w:cs="Arial"/>
        </w:rPr>
        <w:t xml:space="preserve"> </w:t>
      </w:r>
      <w:r w:rsidR="000D1565">
        <w:rPr>
          <w:rFonts w:ascii="Arial" w:hAnsi="Arial" w:cs="Arial"/>
        </w:rPr>
        <w:t>to handle the County’s projected waste tonnage</w:t>
      </w:r>
      <w:r w:rsidR="004630A9">
        <w:rPr>
          <w:rFonts w:ascii="Arial" w:hAnsi="Arial" w:cs="Arial"/>
        </w:rPr>
        <w:t xml:space="preserve">, and which was based on </w:t>
      </w:r>
      <w:r w:rsidR="009F6295">
        <w:rPr>
          <w:rFonts w:ascii="Arial" w:hAnsi="Arial" w:cs="Arial"/>
        </w:rPr>
        <w:t xml:space="preserve">SWD </w:t>
      </w:r>
      <w:r w:rsidR="003E1D4D">
        <w:rPr>
          <w:rFonts w:ascii="Arial" w:hAnsi="Arial" w:cs="Arial"/>
        </w:rPr>
        <w:t xml:space="preserve">and external consultant </w:t>
      </w:r>
      <w:r w:rsidR="009F6295">
        <w:rPr>
          <w:rFonts w:ascii="Arial" w:hAnsi="Arial" w:cs="Arial"/>
        </w:rPr>
        <w:t>analysis</w:t>
      </w:r>
      <w:r w:rsidR="000D1565">
        <w:rPr>
          <w:rFonts w:ascii="Arial" w:hAnsi="Arial" w:cs="Arial"/>
        </w:rPr>
        <w:t>.</w:t>
      </w:r>
      <w:r w:rsidR="000D1565">
        <w:rPr>
          <w:rStyle w:val="FootnoteReference"/>
          <w:rFonts w:ascii="Arial" w:hAnsi="Arial" w:cs="Arial"/>
        </w:rPr>
        <w:footnoteReference w:id="15"/>
      </w:r>
      <w:r w:rsidR="000D1565">
        <w:rPr>
          <w:rFonts w:ascii="Arial" w:hAnsi="Arial" w:cs="Arial"/>
        </w:rPr>
        <w:t xml:space="preserve"> </w:t>
      </w:r>
      <w:r w:rsidR="00D55FFB">
        <w:rPr>
          <w:rFonts w:ascii="Arial" w:hAnsi="Arial" w:cs="Arial"/>
        </w:rPr>
        <w:t xml:space="preserve">For context, Executive staff indicate that in </w:t>
      </w:r>
      <w:r w:rsidR="006726C1">
        <w:rPr>
          <w:rFonts w:ascii="Arial" w:hAnsi="Arial" w:cs="Arial"/>
        </w:rPr>
        <w:t xml:space="preserve">2018, the County’s solid waste system averaged 2,520 </w:t>
      </w:r>
      <w:r w:rsidR="00CD6DFC">
        <w:rPr>
          <w:rFonts w:ascii="Arial" w:hAnsi="Arial" w:cs="Arial"/>
        </w:rPr>
        <w:t>tons per day.</w:t>
      </w:r>
      <w:r w:rsidR="00CD6DFC">
        <w:rPr>
          <w:rStyle w:val="FootnoteReference"/>
          <w:rFonts w:ascii="Arial" w:hAnsi="Arial" w:cs="Arial"/>
        </w:rPr>
        <w:footnoteReference w:id="16"/>
      </w:r>
      <w:r w:rsidR="006D2289">
        <w:rPr>
          <w:rFonts w:ascii="Arial" w:hAnsi="Arial" w:cs="Arial"/>
        </w:rPr>
        <w:t xml:space="preserve"> </w:t>
      </w:r>
    </w:p>
    <w:p w14:paraId="184E05B6" w14:textId="77777777" w:rsidR="00175861" w:rsidRDefault="00175861" w:rsidP="00CA0D6E">
      <w:pPr>
        <w:jc w:val="both"/>
        <w:rPr>
          <w:rFonts w:ascii="Arial" w:hAnsi="Arial" w:cs="Arial"/>
        </w:rPr>
      </w:pPr>
    </w:p>
    <w:p w14:paraId="7DF3E612" w14:textId="50813207" w:rsidR="00EA19F1" w:rsidRDefault="00175861" w:rsidP="00CA0D6E">
      <w:pPr>
        <w:jc w:val="both"/>
        <w:rPr>
          <w:rFonts w:ascii="Arial" w:hAnsi="Arial" w:cs="Arial"/>
        </w:rPr>
      </w:pPr>
      <w:r>
        <w:rPr>
          <w:rFonts w:ascii="Arial" w:hAnsi="Arial" w:cs="Arial"/>
        </w:rPr>
        <w:t>The Feasibility Study indicates that</w:t>
      </w:r>
      <w:r w:rsidR="00F4172A">
        <w:rPr>
          <w:rFonts w:ascii="Arial" w:hAnsi="Arial" w:cs="Arial"/>
        </w:rPr>
        <w:t xml:space="preserve"> </w:t>
      </w:r>
      <w:r w:rsidR="004474BC">
        <w:rPr>
          <w:rFonts w:ascii="Arial" w:hAnsi="Arial" w:cs="Arial"/>
        </w:rPr>
        <w:t xml:space="preserve">approximately 43 to 55 acres </w:t>
      </w:r>
      <w:r w:rsidR="00EF67DB">
        <w:rPr>
          <w:rFonts w:ascii="Arial" w:hAnsi="Arial" w:cs="Arial"/>
        </w:rPr>
        <w:t>would</w:t>
      </w:r>
      <w:r w:rsidR="004474BC">
        <w:rPr>
          <w:rFonts w:ascii="Arial" w:hAnsi="Arial" w:cs="Arial"/>
        </w:rPr>
        <w:t xml:space="preserve"> be needed for a WTE facility</w:t>
      </w:r>
      <w:r w:rsidR="00034D93">
        <w:rPr>
          <w:rFonts w:ascii="Arial" w:hAnsi="Arial" w:cs="Arial"/>
        </w:rPr>
        <w:t xml:space="preserve"> with the processing capacities described above, but also notes that </w:t>
      </w:r>
      <w:r w:rsidR="005F1950">
        <w:rPr>
          <w:rFonts w:ascii="Arial" w:hAnsi="Arial" w:cs="Arial"/>
        </w:rPr>
        <w:t>it is often possible to condense buildings and equipment into a smaller footprint</w:t>
      </w:r>
      <w:r w:rsidR="007F53BE">
        <w:rPr>
          <w:rFonts w:ascii="Arial" w:hAnsi="Arial" w:cs="Arial"/>
        </w:rPr>
        <w:t xml:space="preserve"> with additional cost </w:t>
      </w:r>
      <w:r w:rsidR="001A5EA8">
        <w:rPr>
          <w:rFonts w:ascii="Arial" w:hAnsi="Arial" w:cs="Arial"/>
        </w:rPr>
        <w:t xml:space="preserve">and that this acreage range represents a slightly larger site requirement than </w:t>
      </w:r>
      <w:r w:rsidR="002963BF">
        <w:rPr>
          <w:rFonts w:ascii="Arial" w:hAnsi="Arial" w:cs="Arial"/>
        </w:rPr>
        <w:t xml:space="preserve">ultimately </w:t>
      </w:r>
      <w:r w:rsidR="001A5EA8">
        <w:rPr>
          <w:rFonts w:ascii="Arial" w:hAnsi="Arial" w:cs="Arial"/>
        </w:rPr>
        <w:t>may be needed.</w:t>
      </w:r>
    </w:p>
    <w:p w14:paraId="55907402" w14:textId="77777777" w:rsidR="00EA19F1" w:rsidRDefault="00EA19F1" w:rsidP="00CA0D6E">
      <w:pPr>
        <w:jc w:val="both"/>
        <w:rPr>
          <w:rFonts w:ascii="Arial" w:hAnsi="Arial" w:cs="Arial"/>
        </w:rPr>
      </w:pPr>
    </w:p>
    <w:p w14:paraId="19820803" w14:textId="0ED8FAAA" w:rsidR="003772FB" w:rsidRDefault="00EA19F1" w:rsidP="00CA0D6E">
      <w:pPr>
        <w:jc w:val="both"/>
        <w:rPr>
          <w:rFonts w:ascii="Arial" w:hAnsi="Arial" w:cs="Arial"/>
        </w:rPr>
      </w:pPr>
      <w:r>
        <w:rPr>
          <w:rFonts w:ascii="Arial" w:hAnsi="Arial" w:cs="Arial"/>
        </w:rPr>
        <w:t xml:space="preserve">According to the </w:t>
      </w:r>
      <w:r w:rsidR="001A06BE">
        <w:rPr>
          <w:rFonts w:ascii="Arial" w:hAnsi="Arial" w:cs="Arial"/>
        </w:rPr>
        <w:t xml:space="preserve">Feasibility Study, </w:t>
      </w:r>
      <w:r w:rsidR="003772FB">
        <w:rPr>
          <w:rFonts w:ascii="Arial" w:hAnsi="Arial" w:cs="Arial"/>
        </w:rPr>
        <w:t xml:space="preserve">the WTE facility is assumed to conform to the following requirements (which is thought by staff to </w:t>
      </w:r>
      <w:r w:rsidR="00536097">
        <w:rPr>
          <w:rFonts w:ascii="Arial" w:hAnsi="Arial" w:cs="Arial"/>
        </w:rPr>
        <w:t>refer to</w:t>
      </w:r>
      <w:r w:rsidR="003772FB">
        <w:rPr>
          <w:rFonts w:ascii="Arial" w:hAnsi="Arial" w:cs="Arial"/>
        </w:rPr>
        <w:t xml:space="preserve"> </w:t>
      </w:r>
      <w:r w:rsidR="00FE51BF">
        <w:rPr>
          <w:rFonts w:ascii="Arial" w:hAnsi="Arial" w:cs="Arial"/>
        </w:rPr>
        <w:t xml:space="preserve">siting needs and </w:t>
      </w:r>
      <w:r w:rsidR="003772FB">
        <w:rPr>
          <w:rFonts w:ascii="Arial" w:hAnsi="Arial" w:cs="Arial"/>
        </w:rPr>
        <w:t xml:space="preserve">features in a </w:t>
      </w:r>
      <w:r w:rsidR="00552A83">
        <w:rPr>
          <w:rFonts w:ascii="Arial" w:hAnsi="Arial" w:cs="Arial"/>
        </w:rPr>
        <w:t>suitable</w:t>
      </w:r>
      <w:r w:rsidR="003772FB">
        <w:rPr>
          <w:rFonts w:ascii="Arial" w:hAnsi="Arial" w:cs="Arial"/>
        </w:rPr>
        <w:t xml:space="preserve"> site):</w:t>
      </w:r>
    </w:p>
    <w:p w14:paraId="218ED747" w14:textId="696CDD4D" w:rsidR="0021227A" w:rsidRDefault="00E3548E" w:rsidP="004A4A09">
      <w:pPr>
        <w:pStyle w:val="ListParagraph0"/>
        <w:numPr>
          <w:ilvl w:val="0"/>
          <w:numId w:val="4"/>
        </w:numPr>
        <w:jc w:val="both"/>
        <w:rPr>
          <w:rFonts w:ascii="Arial" w:hAnsi="Arial" w:cs="Arial"/>
        </w:rPr>
      </w:pPr>
      <w:r>
        <w:rPr>
          <w:rFonts w:ascii="Arial" w:hAnsi="Arial" w:cs="Arial"/>
        </w:rPr>
        <w:t>Located in proximity to an intermodal facility for out-of-</w:t>
      </w:r>
      <w:r w:rsidR="005545BF">
        <w:rPr>
          <w:rFonts w:ascii="Arial" w:hAnsi="Arial" w:cs="Arial"/>
        </w:rPr>
        <w:t>c</w:t>
      </w:r>
      <w:r>
        <w:rPr>
          <w:rFonts w:ascii="Arial" w:hAnsi="Arial" w:cs="Arial"/>
        </w:rPr>
        <w:t>ounty disposal of process residuals (bypass waste and resulting ash);</w:t>
      </w:r>
    </w:p>
    <w:p w14:paraId="4A7149C9" w14:textId="34381856" w:rsidR="00E3548E" w:rsidRDefault="002F1A3C" w:rsidP="004A4A09">
      <w:pPr>
        <w:pStyle w:val="ListParagraph0"/>
        <w:numPr>
          <w:ilvl w:val="0"/>
          <w:numId w:val="4"/>
        </w:numPr>
        <w:jc w:val="both"/>
        <w:rPr>
          <w:rFonts w:ascii="Arial" w:hAnsi="Arial" w:cs="Arial"/>
        </w:rPr>
      </w:pPr>
      <w:r>
        <w:rPr>
          <w:rFonts w:ascii="Arial" w:hAnsi="Arial" w:cs="Arial"/>
        </w:rPr>
        <w:t>Land zoning is consistent with medium or heavy industry;</w:t>
      </w:r>
    </w:p>
    <w:p w14:paraId="670A7587" w14:textId="1F584C12" w:rsidR="002F1A3C" w:rsidRDefault="002F1A3C" w:rsidP="004A4A09">
      <w:pPr>
        <w:pStyle w:val="ListParagraph0"/>
        <w:numPr>
          <w:ilvl w:val="0"/>
          <w:numId w:val="4"/>
        </w:numPr>
        <w:jc w:val="both"/>
        <w:rPr>
          <w:rFonts w:ascii="Arial" w:hAnsi="Arial" w:cs="Arial"/>
        </w:rPr>
      </w:pPr>
      <w:r>
        <w:rPr>
          <w:rFonts w:ascii="Arial" w:hAnsi="Arial" w:cs="Arial"/>
        </w:rPr>
        <w:t>Located away from “sensitive receptors”</w:t>
      </w:r>
      <w:r w:rsidR="007C659C">
        <w:rPr>
          <w:rFonts w:ascii="Arial" w:hAnsi="Arial" w:cs="Arial"/>
        </w:rPr>
        <w:t xml:space="preserve"> to minimize noise impact and to protect against other nuisances;</w:t>
      </w:r>
    </w:p>
    <w:p w14:paraId="196B1D97" w14:textId="5BC8907E" w:rsidR="007C659C" w:rsidRDefault="00536097" w:rsidP="004A4A09">
      <w:pPr>
        <w:pStyle w:val="ListParagraph0"/>
        <w:numPr>
          <w:ilvl w:val="0"/>
          <w:numId w:val="4"/>
        </w:numPr>
        <w:jc w:val="both"/>
        <w:rPr>
          <w:rFonts w:ascii="Arial" w:hAnsi="Arial" w:cs="Arial"/>
        </w:rPr>
      </w:pPr>
      <w:r>
        <w:rPr>
          <w:rFonts w:ascii="Arial" w:hAnsi="Arial" w:cs="Arial"/>
        </w:rPr>
        <w:t xml:space="preserve">Located </w:t>
      </w:r>
      <w:r w:rsidR="006B3952">
        <w:rPr>
          <w:rFonts w:ascii="Arial" w:hAnsi="Arial" w:cs="Arial"/>
        </w:rPr>
        <w:t>near</w:t>
      </w:r>
      <w:r w:rsidR="006F08DE">
        <w:rPr>
          <w:rFonts w:ascii="Arial" w:hAnsi="Arial" w:cs="Arial"/>
        </w:rPr>
        <w:t xml:space="preserve"> existing or planned major thoroughfares</w:t>
      </w:r>
      <w:r w:rsidR="00FD38B0">
        <w:rPr>
          <w:rFonts w:ascii="Arial" w:hAnsi="Arial" w:cs="Arial"/>
        </w:rPr>
        <w:t xml:space="preserve"> in place prior to construction for site access;</w:t>
      </w:r>
    </w:p>
    <w:p w14:paraId="315917DF" w14:textId="1B032511" w:rsidR="00FD38B0" w:rsidRDefault="00FD38B0" w:rsidP="004A4A09">
      <w:pPr>
        <w:pStyle w:val="ListParagraph0"/>
        <w:numPr>
          <w:ilvl w:val="0"/>
          <w:numId w:val="4"/>
        </w:numPr>
        <w:jc w:val="both"/>
        <w:rPr>
          <w:rFonts w:ascii="Arial" w:hAnsi="Arial" w:cs="Arial"/>
        </w:rPr>
      </w:pPr>
      <w:r>
        <w:rPr>
          <w:rFonts w:ascii="Arial" w:hAnsi="Arial" w:cs="Arial"/>
        </w:rPr>
        <w:t xml:space="preserve">Located </w:t>
      </w:r>
      <w:r w:rsidR="006B3952">
        <w:rPr>
          <w:rFonts w:ascii="Arial" w:hAnsi="Arial" w:cs="Arial"/>
        </w:rPr>
        <w:t>near</w:t>
      </w:r>
      <w:r>
        <w:rPr>
          <w:rFonts w:ascii="Arial" w:hAnsi="Arial" w:cs="Arial"/>
        </w:rPr>
        <w:t xml:space="preserve"> </w:t>
      </w:r>
      <w:r w:rsidR="007645E1">
        <w:rPr>
          <w:rFonts w:ascii="Arial" w:hAnsi="Arial" w:cs="Arial"/>
        </w:rPr>
        <w:t xml:space="preserve">the center of waste generation; </w:t>
      </w:r>
    </w:p>
    <w:p w14:paraId="4F72FB1E" w14:textId="5F1FB2FF" w:rsidR="004F5FEA" w:rsidRDefault="006B3952" w:rsidP="004A4A09">
      <w:pPr>
        <w:pStyle w:val="ListParagraph0"/>
        <w:numPr>
          <w:ilvl w:val="0"/>
          <w:numId w:val="4"/>
        </w:numPr>
        <w:jc w:val="both"/>
        <w:rPr>
          <w:rFonts w:ascii="Arial" w:hAnsi="Arial" w:cs="Arial"/>
        </w:rPr>
      </w:pPr>
      <w:r>
        <w:rPr>
          <w:rFonts w:ascii="Arial" w:hAnsi="Arial" w:cs="Arial"/>
        </w:rPr>
        <w:t>Availability</w:t>
      </w:r>
      <w:r w:rsidR="001D7107">
        <w:rPr>
          <w:rFonts w:ascii="Arial" w:hAnsi="Arial" w:cs="Arial"/>
        </w:rPr>
        <w:t xml:space="preserve"> and</w:t>
      </w:r>
      <w:r>
        <w:rPr>
          <w:rFonts w:ascii="Arial" w:hAnsi="Arial" w:cs="Arial"/>
        </w:rPr>
        <w:t xml:space="preserve"> </w:t>
      </w:r>
      <w:proofErr w:type="gramStart"/>
      <w:r>
        <w:rPr>
          <w:rFonts w:ascii="Arial" w:hAnsi="Arial" w:cs="Arial"/>
        </w:rPr>
        <w:t>sufficient</w:t>
      </w:r>
      <w:proofErr w:type="gramEnd"/>
      <w:r w:rsidR="001D7107">
        <w:rPr>
          <w:rFonts w:ascii="Arial" w:hAnsi="Arial" w:cs="Arial"/>
        </w:rPr>
        <w:t xml:space="preserve"> capacity of utilities to operate and meet performance needs of facility</w:t>
      </w:r>
      <w:r w:rsidR="00C12A38">
        <w:rPr>
          <w:rFonts w:ascii="Arial" w:hAnsi="Arial" w:cs="Arial"/>
        </w:rPr>
        <w:t xml:space="preserve"> and within close proximity to avoid high construction and operating costs;</w:t>
      </w:r>
    </w:p>
    <w:p w14:paraId="68DD490C" w14:textId="57FE57C9" w:rsidR="00C12A38" w:rsidRDefault="006B3952" w:rsidP="004A4A09">
      <w:pPr>
        <w:pStyle w:val="ListParagraph0"/>
        <w:numPr>
          <w:ilvl w:val="0"/>
          <w:numId w:val="4"/>
        </w:numPr>
        <w:jc w:val="both"/>
        <w:rPr>
          <w:rFonts w:ascii="Arial" w:hAnsi="Arial" w:cs="Arial"/>
        </w:rPr>
      </w:pPr>
      <w:r>
        <w:rPr>
          <w:rFonts w:ascii="Arial" w:hAnsi="Arial" w:cs="Arial"/>
        </w:rPr>
        <w:t>Proximity</w:t>
      </w:r>
      <w:r w:rsidR="00C12A38">
        <w:rPr>
          <w:rFonts w:ascii="Arial" w:hAnsi="Arial" w:cs="Arial"/>
        </w:rPr>
        <w:t xml:space="preserve"> to a connection point for a surplus energy dis</w:t>
      </w:r>
      <w:r w:rsidR="00C6557A">
        <w:rPr>
          <w:rFonts w:ascii="Arial" w:hAnsi="Arial" w:cs="Arial"/>
        </w:rPr>
        <w:t>tribution;</w:t>
      </w:r>
    </w:p>
    <w:p w14:paraId="271F69F6" w14:textId="42FF09DC" w:rsidR="00C6557A" w:rsidRDefault="00C6557A" w:rsidP="004A4A09">
      <w:pPr>
        <w:pStyle w:val="ListParagraph0"/>
        <w:numPr>
          <w:ilvl w:val="0"/>
          <w:numId w:val="4"/>
        </w:numPr>
        <w:jc w:val="both"/>
        <w:rPr>
          <w:rFonts w:ascii="Arial" w:hAnsi="Arial" w:cs="Arial"/>
        </w:rPr>
      </w:pPr>
      <w:r>
        <w:rPr>
          <w:rFonts w:ascii="Arial" w:hAnsi="Arial" w:cs="Arial"/>
        </w:rPr>
        <w:t>Site access and perimeter road sufficient for appropriate</w:t>
      </w:r>
      <w:r w:rsidR="00975F41">
        <w:rPr>
          <w:rFonts w:ascii="Arial" w:hAnsi="Arial" w:cs="Arial"/>
        </w:rPr>
        <w:t xml:space="preserve"> truck loading standards and queueing without detriment to surrounding traffic flow;</w:t>
      </w:r>
    </w:p>
    <w:p w14:paraId="4D2A1B2E" w14:textId="2AF87D03" w:rsidR="00975F41" w:rsidRDefault="00975F41" w:rsidP="004A4A09">
      <w:pPr>
        <w:pStyle w:val="ListParagraph0"/>
        <w:numPr>
          <w:ilvl w:val="0"/>
          <w:numId w:val="4"/>
        </w:numPr>
        <w:jc w:val="both"/>
        <w:rPr>
          <w:rFonts w:ascii="Arial" w:hAnsi="Arial" w:cs="Arial"/>
        </w:rPr>
      </w:pPr>
      <w:r>
        <w:rPr>
          <w:rFonts w:ascii="Arial" w:hAnsi="Arial" w:cs="Arial"/>
        </w:rPr>
        <w:t>Sited within the borders of King County</w:t>
      </w:r>
      <w:r w:rsidR="00D520CE">
        <w:rPr>
          <w:rFonts w:ascii="Arial" w:hAnsi="Arial" w:cs="Arial"/>
        </w:rPr>
        <w:t>;</w:t>
      </w:r>
    </w:p>
    <w:p w14:paraId="19E09989" w14:textId="3141BF3F" w:rsidR="00D520CE" w:rsidRDefault="00D520CE" w:rsidP="004A4A09">
      <w:pPr>
        <w:pStyle w:val="ListParagraph0"/>
        <w:numPr>
          <w:ilvl w:val="0"/>
          <w:numId w:val="4"/>
        </w:numPr>
        <w:jc w:val="both"/>
        <w:rPr>
          <w:rFonts w:ascii="Arial" w:hAnsi="Arial" w:cs="Arial"/>
        </w:rPr>
      </w:pPr>
      <w:r>
        <w:rPr>
          <w:rFonts w:ascii="Arial" w:hAnsi="Arial" w:cs="Arial"/>
        </w:rPr>
        <w:t>Parcel shape roughly rectangular and suitable for required facility</w:t>
      </w:r>
      <w:r w:rsidR="006B6025">
        <w:rPr>
          <w:rFonts w:ascii="Arial" w:hAnsi="Arial" w:cs="Arial"/>
        </w:rPr>
        <w:t xml:space="preserve"> structures and equipment;</w:t>
      </w:r>
    </w:p>
    <w:p w14:paraId="4252A256" w14:textId="1514B0EC" w:rsidR="006B6025" w:rsidRDefault="006B6025" w:rsidP="004A4A09">
      <w:pPr>
        <w:pStyle w:val="ListParagraph0"/>
        <w:numPr>
          <w:ilvl w:val="0"/>
          <w:numId w:val="4"/>
        </w:numPr>
        <w:jc w:val="both"/>
        <w:rPr>
          <w:rFonts w:ascii="Arial" w:hAnsi="Arial" w:cs="Arial"/>
        </w:rPr>
      </w:pPr>
      <w:r>
        <w:rPr>
          <w:rFonts w:ascii="Arial" w:hAnsi="Arial" w:cs="Arial"/>
        </w:rPr>
        <w:t>Reasonable topography, with ground slopes are co</w:t>
      </w:r>
      <w:r w:rsidR="007E55BD">
        <w:rPr>
          <w:rFonts w:ascii="Arial" w:hAnsi="Arial" w:cs="Arial"/>
        </w:rPr>
        <w:t>mpatible with vehicle traffic, buildings, and structures; and</w:t>
      </w:r>
    </w:p>
    <w:p w14:paraId="55D411B1" w14:textId="3C8FDFE7" w:rsidR="007E55BD" w:rsidRPr="003772FB" w:rsidRDefault="007E55BD" w:rsidP="004A4A09">
      <w:pPr>
        <w:pStyle w:val="ListParagraph0"/>
        <w:numPr>
          <w:ilvl w:val="0"/>
          <w:numId w:val="4"/>
        </w:numPr>
        <w:jc w:val="both"/>
        <w:rPr>
          <w:rFonts w:ascii="Arial" w:hAnsi="Arial" w:cs="Arial"/>
        </w:rPr>
      </w:pPr>
      <w:r>
        <w:rPr>
          <w:rFonts w:ascii="Arial" w:hAnsi="Arial" w:cs="Arial"/>
        </w:rPr>
        <w:lastRenderedPageBreak/>
        <w:t>Sufficient space for equipment laydown and storage during construction.</w:t>
      </w:r>
      <w:r w:rsidR="00E610B2">
        <w:rPr>
          <w:rFonts w:ascii="Arial" w:hAnsi="Arial" w:cs="Arial"/>
        </w:rPr>
        <w:t xml:space="preserve"> </w:t>
      </w:r>
    </w:p>
    <w:p w14:paraId="41322C2B" w14:textId="77777777" w:rsidR="003169E3" w:rsidRDefault="003169E3" w:rsidP="00CA0D6E">
      <w:pPr>
        <w:jc w:val="both"/>
        <w:rPr>
          <w:rFonts w:ascii="Arial" w:hAnsi="Arial" w:cs="Arial"/>
          <w:i/>
        </w:rPr>
      </w:pPr>
    </w:p>
    <w:p w14:paraId="3CB8C1AD" w14:textId="35ED0140" w:rsidR="00380594" w:rsidRPr="00380594" w:rsidRDefault="0061538B" w:rsidP="00380594">
      <w:pPr>
        <w:rPr>
          <w:rFonts w:ascii="Arial" w:hAnsi="Arial" w:cs="Arial"/>
        </w:rPr>
      </w:pPr>
      <w:r w:rsidRPr="00380594">
        <w:rPr>
          <w:rFonts w:ascii="Arial" w:hAnsi="Arial" w:cs="Arial"/>
          <w:i/>
        </w:rPr>
        <w:t>Costs and Financing Options.</w:t>
      </w:r>
      <w:r w:rsidR="002F2AEA" w:rsidRPr="00380594">
        <w:rPr>
          <w:rFonts w:ascii="Arial" w:hAnsi="Arial" w:cs="Arial"/>
          <w:i/>
        </w:rPr>
        <w:t xml:space="preserve"> </w:t>
      </w:r>
      <w:r w:rsidR="002D5BF5" w:rsidRPr="00380594">
        <w:rPr>
          <w:rFonts w:ascii="Arial" w:hAnsi="Arial" w:cs="Arial"/>
        </w:rPr>
        <w:t>In response to the proviso requirement</w:t>
      </w:r>
      <w:r w:rsidR="003D7567" w:rsidRPr="00380594">
        <w:rPr>
          <w:rFonts w:ascii="Arial" w:hAnsi="Arial" w:cs="Arial"/>
        </w:rPr>
        <w:t xml:space="preserve"> for a </w:t>
      </w:r>
      <w:r w:rsidR="00EA77C0" w:rsidRPr="00380594">
        <w:rPr>
          <w:rFonts w:ascii="Arial" w:hAnsi="Arial" w:cs="Arial"/>
        </w:rPr>
        <w:t xml:space="preserve">discussion of </w:t>
      </w:r>
      <w:r w:rsidR="00FE51BF" w:rsidRPr="00380594">
        <w:rPr>
          <w:rFonts w:ascii="Arial" w:hAnsi="Arial" w:cs="Arial"/>
        </w:rPr>
        <w:t xml:space="preserve">estimated </w:t>
      </w:r>
      <w:r w:rsidR="00EA77C0" w:rsidRPr="00380594">
        <w:rPr>
          <w:rFonts w:ascii="Arial" w:hAnsi="Arial" w:cs="Arial"/>
        </w:rPr>
        <w:t>costs</w:t>
      </w:r>
      <w:r w:rsidR="003D7567" w:rsidRPr="00380594">
        <w:rPr>
          <w:rFonts w:ascii="Arial" w:hAnsi="Arial" w:cs="Arial"/>
        </w:rPr>
        <w:t xml:space="preserve">, </w:t>
      </w:r>
      <w:r w:rsidR="00693059" w:rsidRPr="00380594">
        <w:rPr>
          <w:rFonts w:ascii="Arial" w:hAnsi="Arial" w:cs="Arial"/>
        </w:rPr>
        <w:t>as well as potential financing</w:t>
      </w:r>
      <w:r w:rsidR="00BA15BB" w:rsidRPr="00380594">
        <w:rPr>
          <w:rFonts w:ascii="Arial" w:hAnsi="Arial" w:cs="Arial"/>
        </w:rPr>
        <w:t xml:space="preserve"> options</w:t>
      </w:r>
      <w:r w:rsidR="003D7567" w:rsidRPr="00380594">
        <w:rPr>
          <w:rFonts w:ascii="Arial" w:hAnsi="Arial" w:cs="Arial"/>
        </w:rPr>
        <w:t xml:space="preserve">, the Consultant developed a financial model </w:t>
      </w:r>
      <w:r w:rsidR="002E0423" w:rsidRPr="00380594">
        <w:rPr>
          <w:rFonts w:ascii="Arial" w:hAnsi="Arial" w:cs="Arial"/>
        </w:rPr>
        <w:t>that includes the</w:t>
      </w:r>
      <w:r w:rsidR="003D7567" w:rsidRPr="00380594">
        <w:rPr>
          <w:rFonts w:ascii="Arial" w:hAnsi="Arial" w:cs="Arial"/>
        </w:rPr>
        <w:t xml:space="preserve"> costs for development, construction, operation, and expansion of a WTE facility</w:t>
      </w:r>
      <w:r w:rsidR="0094295D" w:rsidRPr="00380594">
        <w:rPr>
          <w:rFonts w:ascii="Arial" w:hAnsi="Arial" w:cs="Arial"/>
        </w:rPr>
        <w:t xml:space="preserve"> </w:t>
      </w:r>
      <w:r w:rsidR="00937CCC" w:rsidRPr="00380594">
        <w:rPr>
          <w:rFonts w:ascii="Arial" w:hAnsi="Arial" w:cs="Arial"/>
        </w:rPr>
        <w:t>based on the high and low bound forecast estimates</w:t>
      </w:r>
      <w:r w:rsidR="001E72F3" w:rsidRPr="00380594">
        <w:rPr>
          <w:rFonts w:ascii="Arial" w:hAnsi="Arial" w:cs="Arial"/>
        </w:rPr>
        <w:t xml:space="preserve"> over the 50-year planning period</w:t>
      </w:r>
      <w:r w:rsidR="00693059" w:rsidRPr="00380594">
        <w:rPr>
          <w:rFonts w:ascii="Arial" w:hAnsi="Arial" w:cs="Arial"/>
        </w:rPr>
        <w:t>.</w:t>
      </w:r>
      <w:r w:rsidR="006A4D4A" w:rsidRPr="00380594">
        <w:rPr>
          <w:rFonts w:ascii="Arial" w:hAnsi="Arial" w:cs="Arial"/>
        </w:rPr>
        <w:t xml:space="preserve"> </w:t>
      </w:r>
      <w:r w:rsidR="00124D51" w:rsidRPr="00380594">
        <w:rPr>
          <w:rFonts w:ascii="Arial" w:hAnsi="Arial" w:cs="Arial"/>
        </w:rPr>
        <w:t xml:space="preserve">The </w:t>
      </w:r>
      <w:r w:rsidR="006E371C">
        <w:rPr>
          <w:rFonts w:ascii="Arial" w:hAnsi="Arial" w:cs="Arial"/>
        </w:rPr>
        <w:t xml:space="preserve">Feasibility Study </w:t>
      </w:r>
      <w:r w:rsidR="00124D51" w:rsidRPr="00380594">
        <w:rPr>
          <w:rFonts w:ascii="Arial" w:hAnsi="Arial" w:cs="Arial"/>
        </w:rPr>
        <w:t xml:space="preserve">model assumes a design-build-operate contract </w:t>
      </w:r>
      <w:r w:rsidR="00BA15BB" w:rsidRPr="00380594">
        <w:rPr>
          <w:rFonts w:ascii="Arial" w:hAnsi="Arial" w:cs="Arial"/>
        </w:rPr>
        <w:t>is</w:t>
      </w:r>
      <w:r w:rsidR="00124D51" w:rsidRPr="00380594">
        <w:rPr>
          <w:rFonts w:ascii="Arial" w:hAnsi="Arial" w:cs="Arial"/>
        </w:rPr>
        <w:t xml:space="preserve"> used, meaning that the contracted entity </w:t>
      </w:r>
      <w:r w:rsidR="00BA15BB" w:rsidRPr="00380594">
        <w:rPr>
          <w:rFonts w:ascii="Arial" w:hAnsi="Arial" w:cs="Arial"/>
        </w:rPr>
        <w:t>is</w:t>
      </w:r>
      <w:r w:rsidR="00124D51" w:rsidRPr="00380594">
        <w:rPr>
          <w:rFonts w:ascii="Arial" w:hAnsi="Arial" w:cs="Arial"/>
        </w:rPr>
        <w:t xml:space="preserve"> responsible for design, construction, and operation of </w:t>
      </w:r>
      <w:r w:rsidR="00BA15BB" w:rsidRPr="00380594">
        <w:rPr>
          <w:rFonts w:ascii="Arial" w:hAnsi="Arial" w:cs="Arial"/>
        </w:rPr>
        <w:t>the</w:t>
      </w:r>
      <w:r w:rsidR="00124D51" w:rsidRPr="00380594">
        <w:rPr>
          <w:rFonts w:ascii="Arial" w:hAnsi="Arial" w:cs="Arial"/>
        </w:rPr>
        <w:t xml:space="preserve"> County-owned facility. </w:t>
      </w:r>
      <w:r w:rsidR="00380594" w:rsidRPr="00380594">
        <w:rPr>
          <w:rFonts w:ascii="Arial" w:hAnsi="Arial" w:cs="Arial"/>
        </w:rPr>
        <w:t>Additionally,</w:t>
      </w:r>
      <w:r w:rsidR="00380594">
        <w:rPr>
          <w:rFonts w:ascii="Arial" w:hAnsi="Arial" w:cs="Arial"/>
        </w:rPr>
        <w:t xml:space="preserve"> </w:t>
      </w:r>
      <w:r w:rsidR="006E371C">
        <w:rPr>
          <w:rFonts w:ascii="Arial" w:hAnsi="Arial" w:cs="Arial"/>
        </w:rPr>
        <w:t xml:space="preserve">capital costs and operation and maintenance costs are escalated at </w:t>
      </w:r>
      <w:r w:rsidR="00B55DA0">
        <w:rPr>
          <w:rFonts w:ascii="Arial" w:hAnsi="Arial" w:cs="Arial"/>
        </w:rPr>
        <w:t>three percent</w:t>
      </w:r>
      <w:r w:rsidR="006E371C">
        <w:rPr>
          <w:rFonts w:ascii="Arial" w:hAnsi="Arial" w:cs="Arial"/>
        </w:rPr>
        <w:t xml:space="preserve"> per year according to the Consultant based </w:t>
      </w:r>
      <w:r w:rsidR="00380594" w:rsidRPr="00380594">
        <w:rPr>
          <w:rFonts w:ascii="Arial" w:hAnsi="Arial" w:cs="Arial"/>
        </w:rPr>
        <w:t xml:space="preserve">on historic contractual escalation seen at other facilities and </w:t>
      </w:r>
      <w:r w:rsidR="006E371C">
        <w:rPr>
          <w:rFonts w:ascii="Arial" w:hAnsi="Arial" w:cs="Arial"/>
        </w:rPr>
        <w:t>the Consumer Price Index</w:t>
      </w:r>
      <w:r w:rsidR="00B55DA0">
        <w:rPr>
          <w:rFonts w:ascii="Arial" w:hAnsi="Arial" w:cs="Arial"/>
        </w:rPr>
        <w:t xml:space="preserve"> (“CPI”)</w:t>
      </w:r>
      <w:r w:rsidR="006E371C">
        <w:rPr>
          <w:rFonts w:ascii="Arial" w:hAnsi="Arial" w:cs="Arial"/>
        </w:rPr>
        <w:t xml:space="preserve">. </w:t>
      </w:r>
    </w:p>
    <w:p w14:paraId="55750C82" w14:textId="45BE9DCE" w:rsidR="00380594" w:rsidRDefault="00380594" w:rsidP="00D86291">
      <w:pPr>
        <w:rPr>
          <w:rFonts w:ascii="Arial" w:hAnsi="Arial" w:cs="Arial"/>
        </w:rPr>
      </w:pPr>
    </w:p>
    <w:p w14:paraId="3866A391" w14:textId="31B0CF57" w:rsidR="00D86291" w:rsidRDefault="006A4D4A" w:rsidP="00D86291">
      <w:pPr>
        <w:rPr>
          <w:rFonts w:ascii="Arial" w:hAnsi="Arial" w:cs="Arial"/>
          <w:sz w:val="20"/>
        </w:rPr>
      </w:pPr>
      <w:r>
        <w:rPr>
          <w:rFonts w:ascii="Arial" w:hAnsi="Arial" w:cs="Arial"/>
        </w:rPr>
        <w:t xml:space="preserve">Table </w:t>
      </w:r>
      <w:r w:rsidR="009A5713">
        <w:rPr>
          <w:rFonts w:ascii="Arial" w:hAnsi="Arial" w:cs="Arial"/>
        </w:rPr>
        <w:t>3</w:t>
      </w:r>
      <w:r>
        <w:rPr>
          <w:rFonts w:ascii="Arial" w:hAnsi="Arial" w:cs="Arial"/>
        </w:rPr>
        <w:t xml:space="preserve"> </w:t>
      </w:r>
      <w:r w:rsidR="002B60A0">
        <w:rPr>
          <w:rFonts w:ascii="Arial" w:hAnsi="Arial" w:cs="Arial"/>
        </w:rPr>
        <w:t>provides the</w:t>
      </w:r>
      <w:r w:rsidR="001836BF">
        <w:rPr>
          <w:rFonts w:ascii="Arial" w:hAnsi="Arial" w:cs="Arial"/>
        </w:rPr>
        <w:t xml:space="preserve"> estimated</w:t>
      </w:r>
      <w:r w:rsidR="002B60A0">
        <w:rPr>
          <w:rFonts w:ascii="Arial" w:hAnsi="Arial" w:cs="Arial"/>
        </w:rPr>
        <w:t xml:space="preserve"> total cost and average cost per ton</w:t>
      </w:r>
      <w:r w:rsidR="00666275">
        <w:rPr>
          <w:rFonts w:ascii="Arial" w:hAnsi="Arial" w:cs="Arial"/>
        </w:rPr>
        <w:t xml:space="preserve"> </w:t>
      </w:r>
      <w:r w:rsidR="008F2803">
        <w:rPr>
          <w:rFonts w:ascii="Arial" w:hAnsi="Arial" w:cs="Arial"/>
        </w:rPr>
        <w:t>for both facility sizing options</w:t>
      </w:r>
      <w:r w:rsidR="000D4B55">
        <w:rPr>
          <w:rFonts w:ascii="Arial" w:hAnsi="Arial" w:cs="Arial"/>
        </w:rPr>
        <w:t xml:space="preserve">. </w:t>
      </w:r>
      <w:r w:rsidR="00A24925">
        <w:rPr>
          <w:rFonts w:ascii="Arial" w:hAnsi="Arial" w:cs="Arial"/>
        </w:rPr>
        <w:t>In the table, total cost includes capital and operating costs offset by revenues, but does not include</w:t>
      </w:r>
      <w:r w:rsidR="002E0423">
        <w:rPr>
          <w:rFonts w:ascii="Arial" w:hAnsi="Arial" w:cs="Arial"/>
        </w:rPr>
        <w:t xml:space="preserve"> some</w:t>
      </w:r>
      <w:r w:rsidR="00A24925">
        <w:rPr>
          <w:rFonts w:ascii="Arial" w:hAnsi="Arial" w:cs="Arial"/>
        </w:rPr>
        <w:t xml:space="preserve"> departmental costs, which are assumed to be the same for both options. The average cost per ton refers to the average over the described period (e.g., 10-Year Term). Executive staff indicate that the following </w:t>
      </w:r>
      <w:r w:rsidR="0000271D">
        <w:rPr>
          <w:rFonts w:ascii="Arial" w:hAnsi="Arial" w:cs="Arial"/>
        </w:rPr>
        <w:t xml:space="preserve">departmental </w:t>
      </w:r>
      <w:r w:rsidR="00A24925">
        <w:rPr>
          <w:rFonts w:ascii="Arial" w:hAnsi="Arial" w:cs="Arial"/>
        </w:rPr>
        <w:t>costs</w:t>
      </w:r>
      <w:r w:rsidR="007C5DF3">
        <w:rPr>
          <w:rFonts w:ascii="Arial" w:hAnsi="Arial" w:cs="Arial"/>
        </w:rPr>
        <w:t xml:space="preserve"> are not included</w:t>
      </w:r>
      <w:r w:rsidR="00A24925">
        <w:rPr>
          <w:rFonts w:ascii="Arial" w:hAnsi="Arial" w:cs="Arial"/>
        </w:rPr>
        <w:t>: capital improvements at the recycling and transfer stations, transfer operations, recycling transportation, recycling programs, post-closure maintenance at closed landfills, and support services.</w:t>
      </w:r>
    </w:p>
    <w:p w14:paraId="43483F3B" w14:textId="4D392E46" w:rsidR="00005CB7" w:rsidRDefault="00005CB7" w:rsidP="003A4DF7">
      <w:pPr>
        <w:jc w:val="center"/>
        <w:rPr>
          <w:rFonts w:ascii="Arial" w:hAnsi="Arial" w:cs="Arial"/>
          <w:b/>
        </w:rPr>
      </w:pPr>
    </w:p>
    <w:p w14:paraId="25B11464" w14:textId="77777777" w:rsidR="008D5C45" w:rsidRDefault="008D5C45" w:rsidP="003A4DF7">
      <w:pPr>
        <w:jc w:val="center"/>
        <w:rPr>
          <w:rFonts w:ascii="Arial" w:hAnsi="Arial" w:cs="Arial"/>
          <w:b/>
        </w:rPr>
      </w:pPr>
    </w:p>
    <w:p w14:paraId="3E82B962" w14:textId="60E4C436" w:rsidR="003A4DF7" w:rsidRDefault="003A4DF7" w:rsidP="003A4DF7">
      <w:pPr>
        <w:jc w:val="center"/>
        <w:rPr>
          <w:rFonts w:ascii="Arial" w:hAnsi="Arial" w:cs="Arial"/>
          <w:b/>
        </w:rPr>
      </w:pPr>
      <w:r>
        <w:rPr>
          <w:rFonts w:ascii="Arial" w:hAnsi="Arial" w:cs="Arial"/>
          <w:b/>
        </w:rPr>
        <w:t xml:space="preserve">Table </w:t>
      </w:r>
      <w:r w:rsidR="009A5713">
        <w:rPr>
          <w:rFonts w:ascii="Arial" w:hAnsi="Arial" w:cs="Arial"/>
          <w:b/>
        </w:rPr>
        <w:t>3</w:t>
      </w:r>
      <w:r>
        <w:rPr>
          <w:rFonts w:ascii="Arial" w:hAnsi="Arial" w:cs="Arial"/>
          <w:b/>
        </w:rPr>
        <w:t xml:space="preserve">. </w:t>
      </w:r>
      <w:r w:rsidR="001836BF">
        <w:rPr>
          <w:rFonts w:ascii="Arial" w:hAnsi="Arial" w:cs="Arial"/>
          <w:b/>
        </w:rPr>
        <w:t xml:space="preserve">Estimated </w:t>
      </w:r>
      <w:r w:rsidR="00590B91">
        <w:rPr>
          <w:rFonts w:ascii="Arial" w:hAnsi="Arial" w:cs="Arial"/>
          <w:b/>
        </w:rPr>
        <w:t>Total Cost and Average Cost per Ton for</w:t>
      </w:r>
      <w:r w:rsidR="003F3FD9">
        <w:rPr>
          <w:rFonts w:ascii="Arial" w:hAnsi="Arial" w:cs="Arial"/>
          <w:b/>
        </w:rPr>
        <w:t xml:space="preserve"> WTE Facility by Sizing Option</w:t>
      </w:r>
    </w:p>
    <w:p w14:paraId="380EC962" w14:textId="77777777" w:rsidR="003A4DF7" w:rsidRDefault="003A4DF7" w:rsidP="003A4DF7">
      <w:pPr>
        <w:jc w:val="center"/>
        <w:rPr>
          <w:rFonts w:ascii="Arial" w:hAnsi="Arial" w:cs="Arial"/>
          <w:b/>
        </w:rPr>
      </w:pPr>
    </w:p>
    <w:tbl>
      <w:tblPr>
        <w:tblW w:w="9472" w:type="dxa"/>
        <w:jc w:val="center"/>
        <w:tblLayout w:type="fixed"/>
        <w:tblLook w:val="04A0" w:firstRow="1" w:lastRow="0" w:firstColumn="1" w:lastColumn="0" w:noHBand="0" w:noVBand="1"/>
      </w:tblPr>
      <w:tblGrid>
        <w:gridCol w:w="2396"/>
        <w:gridCol w:w="2498"/>
        <w:gridCol w:w="1526"/>
        <w:gridCol w:w="1526"/>
        <w:gridCol w:w="1526"/>
      </w:tblGrid>
      <w:tr w:rsidR="006027BA" w:rsidRPr="004B445C" w14:paraId="030327B4" w14:textId="1C7F965C" w:rsidTr="00D86291">
        <w:trPr>
          <w:trHeight w:val="525"/>
          <w:tblHeader/>
          <w:jc w:val="center"/>
        </w:trPr>
        <w:tc>
          <w:tcPr>
            <w:tcW w:w="2396" w:type="dxa"/>
            <w:tcBorders>
              <w:top w:val="single" w:sz="4" w:space="0" w:color="auto"/>
              <w:left w:val="single" w:sz="4" w:space="0" w:color="auto"/>
              <w:bottom w:val="single" w:sz="4" w:space="0" w:color="auto"/>
              <w:right w:val="single" w:sz="4" w:space="0" w:color="auto"/>
            </w:tcBorders>
            <w:shd w:val="clear" w:color="000000" w:fill="000000"/>
            <w:vAlign w:val="bottom"/>
          </w:tcPr>
          <w:p w14:paraId="2A5073D8" w14:textId="77777777" w:rsidR="006027BA" w:rsidRPr="004B445C" w:rsidRDefault="006027BA" w:rsidP="007D74D4">
            <w:pPr>
              <w:rPr>
                <w:rFonts w:ascii="Arial" w:hAnsi="Arial" w:cs="Arial"/>
                <w:b/>
                <w:bCs/>
                <w:color w:val="FFFFFF"/>
                <w:sz w:val="22"/>
                <w:szCs w:val="22"/>
              </w:rPr>
            </w:pPr>
            <w:r>
              <w:rPr>
                <w:rFonts w:ascii="Arial" w:hAnsi="Arial" w:cs="Arial"/>
                <w:b/>
                <w:bCs/>
                <w:color w:val="FFFFFF"/>
                <w:sz w:val="22"/>
                <w:szCs w:val="22"/>
              </w:rPr>
              <w:t>Facility Sizing Option</w:t>
            </w:r>
          </w:p>
        </w:tc>
        <w:tc>
          <w:tcPr>
            <w:tcW w:w="2498" w:type="dxa"/>
            <w:tcBorders>
              <w:top w:val="single" w:sz="4" w:space="0" w:color="auto"/>
              <w:left w:val="single" w:sz="4" w:space="0" w:color="auto"/>
              <w:bottom w:val="single" w:sz="4" w:space="0" w:color="auto"/>
              <w:right w:val="single" w:sz="4" w:space="0" w:color="auto"/>
            </w:tcBorders>
            <w:shd w:val="clear" w:color="000000" w:fill="000000"/>
            <w:vAlign w:val="bottom"/>
          </w:tcPr>
          <w:p w14:paraId="5DE9176E" w14:textId="6F579DA8" w:rsidR="006027BA" w:rsidRDefault="00997418" w:rsidP="004C026E">
            <w:pPr>
              <w:rPr>
                <w:rFonts w:ascii="Arial" w:hAnsi="Arial" w:cs="Arial"/>
                <w:b/>
                <w:bCs/>
                <w:color w:val="FFFFFF"/>
                <w:sz w:val="22"/>
                <w:szCs w:val="22"/>
              </w:rPr>
            </w:pPr>
            <w:r>
              <w:rPr>
                <w:rFonts w:ascii="Arial" w:hAnsi="Arial" w:cs="Arial"/>
                <w:b/>
                <w:bCs/>
                <w:color w:val="FFFFFF"/>
                <w:sz w:val="22"/>
                <w:szCs w:val="22"/>
              </w:rPr>
              <w:t>Cost Type</w:t>
            </w:r>
          </w:p>
        </w:tc>
        <w:tc>
          <w:tcPr>
            <w:tcW w:w="1526"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6B78E4A2" w14:textId="278CC187" w:rsidR="006027BA" w:rsidRPr="004B445C" w:rsidRDefault="006027BA" w:rsidP="00F32957">
            <w:pPr>
              <w:jc w:val="center"/>
              <w:rPr>
                <w:rFonts w:ascii="Arial" w:hAnsi="Arial" w:cs="Arial"/>
                <w:b/>
                <w:bCs/>
                <w:color w:val="FFFFFF"/>
                <w:sz w:val="22"/>
                <w:szCs w:val="22"/>
              </w:rPr>
            </w:pPr>
            <w:r>
              <w:rPr>
                <w:rFonts w:ascii="Arial" w:hAnsi="Arial" w:cs="Arial"/>
                <w:b/>
                <w:bCs/>
                <w:color w:val="FFFFFF"/>
                <w:sz w:val="22"/>
                <w:szCs w:val="22"/>
              </w:rPr>
              <w:t>10-Year Term</w:t>
            </w:r>
          </w:p>
        </w:tc>
        <w:tc>
          <w:tcPr>
            <w:tcW w:w="1526" w:type="dxa"/>
            <w:tcBorders>
              <w:top w:val="single" w:sz="4" w:space="0" w:color="auto"/>
              <w:left w:val="nil"/>
              <w:bottom w:val="single" w:sz="4" w:space="0" w:color="auto"/>
              <w:right w:val="single" w:sz="4" w:space="0" w:color="auto"/>
            </w:tcBorders>
            <w:shd w:val="clear" w:color="000000" w:fill="000000"/>
            <w:vAlign w:val="center"/>
            <w:hideMark/>
          </w:tcPr>
          <w:p w14:paraId="17E7F96A" w14:textId="366AC75C" w:rsidR="006027BA" w:rsidRPr="004B445C" w:rsidRDefault="006027BA" w:rsidP="00F32957">
            <w:pPr>
              <w:jc w:val="center"/>
              <w:rPr>
                <w:rFonts w:ascii="Arial" w:hAnsi="Arial" w:cs="Arial"/>
                <w:bCs/>
                <w:color w:val="FFFFFF"/>
                <w:sz w:val="22"/>
                <w:szCs w:val="22"/>
              </w:rPr>
            </w:pPr>
            <w:r>
              <w:rPr>
                <w:rFonts w:ascii="Arial" w:hAnsi="Arial" w:cs="Arial"/>
                <w:b/>
                <w:bCs/>
                <w:color w:val="FFFFFF"/>
                <w:sz w:val="22"/>
                <w:szCs w:val="22"/>
              </w:rPr>
              <w:t>20-Year Term</w:t>
            </w:r>
          </w:p>
        </w:tc>
        <w:tc>
          <w:tcPr>
            <w:tcW w:w="1526" w:type="dxa"/>
            <w:tcBorders>
              <w:top w:val="single" w:sz="4" w:space="0" w:color="auto"/>
              <w:left w:val="nil"/>
              <w:bottom w:val="single" w:sz="4" w:space="0" w:color="auto"/>
              <w:right w:val="single" w:sz="4" w:space="0" w:color="auto"/>
            </w:tcBorders>
            <w:shd w:val="clear" w:color="000000" w:fill="000000"/>
            <w:vAlign w:val="center"/>
          </w:tcPr>
          <w:p w14:paraId="65B7F6B3" w14:textId="1637FCCF" w:rsidR="006027BA" w:rsidRDefault="006027BA" w:rsidP="00F32957">
            <w:pPr>
              <w:jc w:val="center"/>
              <w:rPr>
                <w:rFonts w:ascii="Arial" w:hAnsi="Arial" w:cs="Arial"/>
                <w:b/>
                <w:bCs/>
                <w:color w:val="FFFFFF"/>
                <w:sz w:val="22"/>
                <w:szCs w:val="22"/>
              </w:rPr>
            </w:pPr>
            <w:r>
              <w:rPr>
                <w:rFonts w:ascii="Arial" w:hAnsi="Arial" w:cs="Arial"/>
                <w:b/>
                <w:bCs/>
                <w:color w:val="FFFFFF"/>
                <w:sz w:val="22"/>
                <w:szCs w:val="22"/>
              </w:rPr>
              <w:t>50-Year Term</w:t>
            </w:r>
          </w:p>
        </w:tc>
      </w:tr>
      <w:tr w:rsidR="006027BA" w:rsidRPr="004B445C" w14:paraId="436FE9E6" w14:textId="69A946BC" w:rsidTr="00D86291">
        <w:trPr>
          <w:trHeight w:val="300"/>
          <w:jc w:val="center"/>
        </w:trPr>
        <w:tc>
          <w:tcPr>
            <w:tcW w:w="2396" w:type="dxa"/>
            <w:vMerge w:val="restart"/>
            <w:tcBorders>
              <w:top w:val="single" w:sz="4" w:space="0" w:color="auto"/>
              <w:left w:val="single" w:sz="4" w:space="0" w:color="auto"/>
              <w:right w:val="single" w:sz="4" w:space="0" w:color="auto"/>
            </w:tcBorders>
            <w:vAlign w:val="center"/>
          </w:tcPr>
          <w:p w14:paraId="2B16DB9D" w14:textId="77777777" w:rsidR="006027BA" w:rsidRDefault="006027BA" w:rsidP="007D74D4">
            <w:pPr>
              <w:rPr>
                <w:rFonts w:ascii="Arial" w:hAnsi="Arial" w:cs="Arial"/>
                <w:b/>
                <w:color w:val="000000"/>
                <w:sz w:val="22"/>
                <w:szCs w:val="22"/>
              </w:rPr>
            </w:pPr>
            <w:r>
              <w:rPr>
                <w:rFonts w:ascii="Arial" w:hAnsi="Arial" w:cs="Arial"/>
                <w:b/>
                <w:color w:val="000000"/>
                <w:sz w:val="22"/>
                <w:szCs w:val="22"/>
              </w:rPr>
              <w:t>Initial Facility Size of 3,000 Tons per Day</w:t>
            </w:r>
          </w:p>
        </w:tc>
        <w:tc>
          <w:tcPr>
            <w:tcW w:w="2498" w:type="dxa"/>
            <w:tcBorders>
              <w:top w:val="single" w:sz="4" w:space="0" w:color="auto"/>
              <w:left w:val="single" w:sz="4" w:space="0" w:color="auto"/>
              <w:bottom w:val="single" w:sz="4" w:space="0" w:color="auto"/>
              <w:right w:val="single" w:sz="4" w:space="0" w:color="auto"/>
            </w:tcBorders>
            <w:vAlign w:val="center"/>
          </w:tcPr>
          <w:p w14:paraId="69443A38" w14:textId="77777777" w:rsidR="001924FD" w:rsidRDefault="00F428E0" w:rsidP="004C026E">
            <w:pPr>
              <w:rPr>
                <w:rFonts w:ascii="Arial" w:hAnsi="Arial" w:cs="Arial"/>
                <w:color w:val="000000"/>
                <w:sz w:val="22"/>
                <w:szCs w:val="22"/>
              </w:rPr>
            </w:pPr>
            <w:r>
              <w:rPr>
                <w:rFonts w:ascii="Arial" w:hAnsi="Arial" w:cs="Arial"/>
                <w:color w:val="000000"/>
                <w:sz w:val="22"/>
                <w:szCs w:val="22"/>
              </w:rPr>
              <w:t>Total Cost</w:t>
            </w:r>
            <w:r w:rsidR="001924FD">
              <w:rPr>
                <w:rFonts w:ascii="Arial" w:hAnsi="Arial" w:cs="Arial"/>
                <w:color w:val="000000"/>
                <w:sz w:val="22"/>
                <w:szCs w:val="22"/>
              </w:rPr>
              <w:t xml:space="preserve"> </w:t>
            </w:r>
          </w:p>
          <w:p w14:paraId="583EFCF3" w14:textId="773C8EEE" w:rsidR="006027BA" w:rsidRDefault="001924FD" w:rsidP="004C026E">
            <w:pPr>
              <w:rPr>
                <w:rFonts w:ascii="Arial" w:hAnsi="Arial" w:cs="Arial"/>
                <w:color w:val="000000"/>
                <w:sz w:val="22"/>
                <w:szCs w:val="22"/>
              </w:rPr>
            </w:pPr>
            <w:r>
              <w:rPr>
                <w:rFonts w:ascii="Arial" w:hAnsi="Arial" w:cs="Arial"/>
                <w:color w:val="000000"/>
                <w:sz w:val="22"/>
                <w:szCs w:val="22"/>
              </w:rPr>
              <w:t>(offset by revenues)</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F3EADC" w14:textId="524B16CE" w:rsidR="006027BA" w:rsidRDefault="00754D2B" w:rsidP="00F32957">
            <w:pPr>
              <w:jc w:val="center"/>
              <w:rPr>
                <w:rFonts w:ascii="Arial" w:hAnsi="Arial" w:cs="Arial"/>
                <w:color w:val="000000"/>
                <w:sz w:val="22"/>
                <w:szCs w:val="22"/>
              </w:rPr>
            </w:pPr>
            <w:r>
              <w:rPr>
                <w:rFonts w:ascii="Arial" w:hAnsi="Arial" w:cs="Arial"/>
                <w:color w:val="000000"/>
                <w:sz w:val="22"/>
                <w:szCs w:val="22"/>
              </w:rPr>
              <w:t>$1.07 billion</w:t>
            </w:r>
          </w:p>
        </w:tc>
        <w:tc>
          <w:tcPr>
            <w:tcW w:w="1526" w:type="dxa"/>
            <w:tcBorders>
              <w:top w:val="single" w:sz="4" w:space="0" w:color="auto"/>
              <w:left w:val="nil"/>
              <w:bottom w:val="single" w:sz="4" w:space="0" w:color="auto"/>
              <w:right w:val="single" w:sz="4" w:space="0" w:color="auto"/>
            </w:tcBorders>
            <w:shd w:val="clear" w:color="auto" w:fill="auto"/>
            <w:noWrap/>
            <w:vAlign w:val="center"/>
          </w:tcPr>
          <w:p w14:paraId="7685B5B6" w14:textId="05F7AED8" w:rsidR="006027BA" w:rsidRPr="004B445C" w:rsidRDefault="00754D2B" w:rsidP="00F32957">
            <w:pPr>
              <w:jc w:val="center"/>
              <w:rPr>
                <w:rFonts w:ascii="Arial" w:hAnsi="Arial" w:cs="Arial"/>
                <w:bCs/>
                <w:color w:val="000000"/>
                <w:sz w:val="22"/>
                <w:szCs w:val="22"/>
              </w:rPr>
            </w:pPr>
            <w:r>
              <w:rPr>
                <w:rFonts w:ascii="Arial" w:hAnsi="Arial" w:cs="Arial"/>
                <w:bCs/>
                <w:color w:val="000000"/>
                <w:sz w:val="22"/>
                <w:szCs w:val="22"/>
              </w:rPr>
              <w:t>$2.37 billion</w:t>
            </w:r>
          </w:p>
        </w:tc>
        <w:tc>
          <w:tcPr>
            <w:tcW w:w="1526" w:type="dxa"/>
            <w:tcBorders>
              <w:top w:val="single" w:sz="4" w:space="0" w:color="auto"/>
              <w:left w:val="nil"/>
              <w:bottom w:val="single" w:sz="4" w:space="0" w:color="auto"/>
              <w:right w:val="single" w:sz="4" w:space="0" w:color="auto"/>
            </w:tcBorders>
            <w:vAlign w:val="center"/>
          </w:tcPr>
          <w:p w14:paraId="1E0B91CF" w14:textId="636D8C66" w:rsidR="006027BA" w:rsidRDefault="00754D2B" w:rsidP="00F32957">
            <w:pPr>
              <w:jc w:val="center"/>
              <w:rPr>
                <w:rFonts w:ascii="Arial" w:hAnsi="Arial" w:cs="Arial"/>
                <w:bCs/>
                <w:color w:val="000000"/>
                <w:sz w:val="22"/>
                <w:szCs w:val="22"/>
              </w:rPr>
            </w:pPr>
            <w:r>
              <w:rPr>
                <w:rFonts w:ascii="Arial" w:hAnsi="Arial" w:cs="Arial"/>
                <w:bCs/>
                <w:color w:val="000000"/>
                <w:sz w:val="22"/>
                <w:szCs w:val="22"/>
              </w:rPr>
              <w:t>$6.</w:t>
            </w:r>
            <w:r w:rsidR="00987213">
              <w:rPr>
                <w:rFonts w:ascii="Arial" w:hAnsi="Arial" w:cs="Arial"/>
                <w:bCs/>
                <w:color w:val="000000"/>
                <w:sz w:val="22"/>
                <w:szCs w:val="22"/>
              </w:rPr>
              <w:t>96 billion</w:t>
            </w:r>
          </w:p>
        </w:tc>
      </w:tr>
      <w:tr w:rsidR="00116840" w:rsidRPr="004B445C" w14:paraId="25204C65" w14:textId="5606E894" w:rsidTr="00D86291">
        <w:trPr>
          <w:trHeight w:val="300"/>
          <w:jc w:val="center"/>
        </w:trPr>
        <w:tc>
          <w:tcPr>
            <w:tcW w:w="2396" w:type="dxa"/>
            <w:vMerge/>
            <w:tcBorders>
              <w:left w:val="single" w:sz="4" w:space="0" w:color="auto"/>
              <w:bottom w:val="single" w:sz="8" w:space="0" w:color="auto"/>
              <w:right w:val="single" w:sz="4" w:space="0" w:color="auto"/>
            </w:tcBorders>
            <w:vAlign w:val="center"/>
          </w:tcPr>
          <w:p w14:paraId="376CF4F9" w14:textId="77777777" w:rsidR="00116840" w:rsidRDefault="00116840" w:rsidP="00116840">
            <w:pPr>
              <w:rPr>
                <w:rFonts w:ascii="Arial" w:hAnsi="Arial" w:cs="Arial"/>
                <w:color w:val="000000"/>
                <w:sz w:val="22"/>
                <w:szCs w:val="22"/>
              </w:rPr>
            </w:pPr>
          </w:p>
        </w:tc>
        <w:tc>
          <w:tcPr>
            <w:tcW w:w="2498" w:type="dxa"/>
            <w:tcBorders>
              <w:top w:val="single" w:sz="4" w:space="0" w:color="auto"/>
              <w:left w:val="single" w:sz="4" w:space="0" w:color="auto"/>
              <w:bottom w:val="single" w:sz="8" w:space="0" w:color="auto"/>
              <w:right w:val="single" w:sz="4" w:space="0" w:color="auto"/>
            </w:tcBorders>
            <w:vAlign w:val="center"/>
          </w:tcPr>
          <w:p w14:paraId="5D42F4EC" w14:textId="3AF0C4F7" w:rsidR="00116840" w:rsidRDefault="00116840" w:rsidP="00116840">
            <w:pPr>
              <w:rPr>
                <w:rFonts w:ascii="Arial" w:hAnsi="Arial" w:cs="Arial"/>
                <w:color w:val="000000"/>
                <w:sz w:val="22"/>
                <w:szCs w:val="22"/>
              </w:rPr>
            </w:pPr>
            <w:r>
              <w:rPr>
                <w:rFonts w:ascii="Arial" w:hAnsi="Arial" w:cs="Arial"/>
                <w:color w:val="000000"/>
                <w:sz w:val="22"/>
                <w:szCs w:val="22"/>
              </w:rPr>
              <w:t>Average Cost Per Ton</w:t>
            </w:r>
          </w:p>
        </w:tc>
        <w:tc>
          <w:tcPr>
            <w:tcW w:w="1526" w:type="dxa"/>
            <w:tcBorders>
              <w:top w:val="single" w:sz="4" w:space="0" w:color="auto"/>
              <w:left w:val="single" w:sz="4" w:space="0" w:color="auto"/>
              <w:bottom w:val="single" w:sz="8" w:space="0" w:color="auto"/>
              <w:right w:val="single" w:sz="4" w:space="0" w:color="auto"/>
            </w:tcBorders>
            <w:shd w:val="clear" w:color="auto" w:fill="auto"/>
            <w:noWrap/>
            <w:vAlign w:val="center"/>
          </w:tcPr>
          <w:p w14:paraId="69FECBD2" w14:textId="30340F6C" w:rsidR="00116840" w:rsidRPr="00E46D9C" w:rsidRDefault="00116840" w:rsidP="00116840">
            <w:pPr>
              <w:jc w:val="center"/>
              <w:rPr>
                <w:rFonts w:ascii="Arial" w:hAnsi="Arial" w:cs="Arial"/>
                <w:color w:val="000000"/>
                <w:sz w:val="22"/>
                <w:szCs w:val="22"/>
              </w:rPr>
            </w:pPr>
            <w:r>
              <w:rPr>
                <w:rFonts w:ascii="Arial" w:hAnsi="Arial" w:cs="Arial"/>
                <w:color w:val="000000"/>
                <w:sz w:val="22"/>
                <w:szCs w:val="22"/>
              </w:rPr>
              <w:t>$106.65</w:t>
            </w:r>
          </w:p>
        </w:tc>
        <w:tc>
          <w:tcPr>
            <w:tcW w:w="1526" w:type="dxa"/>
            <w:tcBorders>
              <w:top w:val="single" w:sz="4" w:space="0" w:color="auto"/>
              <w:left w:val="nil"/>
              <w:bottom w:val="single" w:sz="8" w:space="0" w:color="auto"/>
              <w:right w:val="single" w:sz="4" w:space="0" w:color="auto"/>
            </w:tcBorders>
            <w:shd w:val="clear" w:color="auto" w:fill="auto"/>
            <w:noWrap/>
            <w:vAlign w:val="center"/>
          </w:tcPr>
          <w:p w14:paraId="6EDE2F8C" w14:textId="58406CB6" w:rsidR="00116840" w:rsidRPr="004B445C" w:rsidRDefault="00116840" w:rsidP="00116840">
            <w:pPr>
              <w:jc w:val="center"/>
              <w:rPr>
                <w:rFonts w:ascii="Arial" w:hAnsi="Arial" w:cs="Arial"/>
                <w:bCs/>
                <w:color w:val="000000"/>
                <w:sz w:val="22"/>
                <w:szCs w:val="22"/>
              </w:rPr>
            </w:pPr>
            <w:r>
              <w:rPr>
                <w:rFonts w:ascii="Arial" w:hAnsi="Arial" w:cs="Arial"/>
                <w:bCs/>
                <w:color w:val="000000"/>
                <w:sz w:val="22"/>
                <w:szCs w:val="22"/>
              </w:rPr>
              <w:t>$118.42</w:t>
            </w:r>
          </w:p>
        </w:tc>
        <w:tc>
          <w:tcPr>
            <w:tcW w:w="1526" w:type="dxa"/>
            <w:tcBorders>
              <w:top w:val="single" w:sz="4" w:space="0" w:color="auto"/>
              <w:left w:val="nil"/>
              <w:bottom w:val="single" w:sz="8" w:space="0" w:color="auto"/>
              <w:right w:val="single" w:sz="4" w:space="0" w:color="auto"/>
            </w:tcBorders>
            <w:vAlign w:val="center"/>
          </w:tcPr>
          <w:p w14:paraId="62155A64" w14:textId="3A977116" w:rsidR="00116840" w:rsidRDefault="00116840" w:rsidP="00116840">
            <w:pPr>
              <w:jc w:val="center"/>
              <w:rPr>
                <w:rFonts w:ascii="Arial" w:hAnsi="Arial" w:cs="Arial"/>
                <w:bCs/>
                <w:color w:val="000000"/>
                <w:sz w:val="22"/>
                <w:szCs w:val="22"/>
              </w:rPr>
            </w:pPr>
            <w:r>
              <w:rPr>
                <w:rFonts w:ascii="Arial" w:hAnsi="Arial" w:cs="Arial"/>
                <w:bCs/>
                <w:color w:val="000000"/>
                <w:sz w:val="22"/>
                <w:szCs w:val="22"/>
              </w:rPr>
              <w:t>$116.06</w:t>
            </w:r>
          </w:p>
        </w:tc>
      </w:tr>
      <w:tr w:rsidR="00116840" w:rsidRPr="004B445C" w14:paraId="4CDF90C2" w14:textId="14227C6A" w:rsidTr="006E371C">
        <w:trPr>
          <w:trHeight w:val="300"/>
          <w:jc w:val="center"/>
        </w:trPr>
        <w:tc>
          <w:tcPr>
            <w:tcW w:w="2396" w:type="dxa"/>
            <w:vMerge w:val="restart"/>
            <w:tcBorders>
              <w:top w:val="single" w:sz="8" w:space="0" w:color="auto"/>
              <w:left w:val="single" w:sz="8" w:space="0" w:color="auto"/>
              <w:bottom w:val="single" w:sz="8" w:space="0" w:color="auto"/>
              <w:right w:val="single" w:sz="8" w:space="0" w:color="auto"/>
            </w:tcBorders>
            <w:vAlign w:val="center"/>
          </w:tcPr>
          <w:p w14:paraId="27D7C0C1" w14:textId="77777777" w:rsidR="00116840" w:rsidRDefault="00116840" w:rsidP="00116840">
            <w:pPr>
              <w:rPr>
                <w:rFonts w:ascii="Arial" w:hAnsi="Arial" w:cs="Arial"/>
                <w:b/>
                <w:color w:val="000000"/>
                <w:sz w:val="22"/>
                <w:szCs w:val="22"/>
              </w:rPr>
            </w:pPr>
            <w:r>
              <w:rPr>
                <w:rFonts w:ascii="Arial" w:hAnsi="Arial" w:cs="Arial"/>
                <w:b/>
                <w:color w:val="000000"/>
                <w:sz w:val="22"/>
                <w:szCs w:val="22"/>
              </w:rPr>
              <w:t>Initial Facility Size of 4,000 Tons per Day</w:t>
            </w:r>
          </w:p>
        </w:tc>
        <w:tc>
          <w:tcPr>
            <w:tcW w:w="2498" w:type="dxa"/>
            <w:tcBorders>
              <w:top w:val="single" w:sz="8" w:space="0" w:color="auto"/>
              <w:left w:val="single" w:sz="8" w:space="0" w:color="auto"/>
              <w:bottom w:val="single" w:sz="4" w:space="0" w:color="auto"/>
              <w:right w:val="single" w:sz="8" w:space="0" w:color="auto"/>
            </w:tcBorders>
            <w:vAlign w:val="center"/>
          </w:tcPr>
          <w:p w14:paraId="655A219F" w14:textId="77777777" w:rsidR="001924FD" w:rsidRDefault="00116840" w:rsidP="00116840">
            <w:pPr>
              <w:rPr>
                <w:rFonts w:ascii="Arial" w:hAnsi="Arial" w:cs="Arial"/>
                <w:color w:val="000000"/>
                <w:sz w:val="22"/>
                <w:szCs w:val="22"/>
              </w:rPr>
            </w:pPr>
            <w:r>
              <w:rPr>
                <w:rFonts w:ascii="Arial" w:hAnsi="Arial" w:cs="Arial"/>
                <w:color w:val="000000"/>
                <w:sz w:val="22"/>
                <w:szCs w:val="22"/>
              </w:rPr>
              <w:t>Total Cost</w:t>
            </w:r>
            <w:r w:rsidR="001924FD">
              <w:rPr>
                <w:rFonts w:ascii="Arial" w:hAnsi="Arial" w:cs="Arial"/>
                <w:color w:val="000000"/>
                <w:sz w:val="22"/>
                <w:szCs w:val="22"/>
              </w:rPr>
              <w:t xml:space="preserve"> </w:t>
            </w:r>
          </w:p>
          <w:p w14:paraId="125C7AC8" w14:textId="797A56A0" w:rsidR="00116840" w:rsidRDefault="001924FD" w:rsidP="00116840">
            <w:pPr>
              <w:rPr>
                <w:rFonts w:ascii="Arial" w:hAnsi="Arial" w:cs="Arial"/>
                <w:color w:val="000000"/>
                <w:sz w:val="22"/>
                <w:szCs w:val="22"/>
              </w:rPr>
            </w:pPr>
            <w:r>
              <w:rPr>
                <w:rFonts w:ascii="Arial" w:hAnsi="Arial" w:cs="Arial"/>
                <w:color w:val="000000"/>
                <w:sz w:val="22"/>
                <w:szCs w:val="22"/>
              </w:rPr>
              <w:t>(offset by revenues)</w:t>
            </w:r>
          </w:p>
        </w:tc>
        <w:tc>
          <w:tcPr>
            <w:tcW w:w="1526" w:type="dxa"/>
            <w:tcBorders>
              <w:top w:val="single" w:sz="8" w:space="0" w:color="auto"/>
              <w:left w:val="single" w:sz="8" w:space="0" w:color="auto"/>
              <w:bottom w:val="single" w:sz="4" w:space="0" w:color="auto"/>
              <w:right w:val="single" w:sz="8" w:space="0" w:color="auto"/>
            </w:tcBorders>
            <w:shd w:val="clear" w:color="auto" w:fill="auto"/>
            <w:noWrap/>
            <w:vAlign w:val="center"/>
          </w:tcPr>
          <w:p w14:paraId="1B0A6536" w14:textId="517010AE" w:rsidR="00116840" w:rsidRDefault="00987213" w:rsidP="00116840">
            <w:pPr>
              <w:jc w:val="center"/>
              <w:rPr>
                <w:rFonts w:ascii="Arial" w:hAnsi="Arial" w:cs="Arial"/>
                <w:color w:val="000000"/>
                <w:sz w:val="22"/>
                <w:szCs w:val="22"/>
              </w:rPr>
            </w:pPr>
            <w:r>
              <w:rPr>
                <w:rFonts w:ascii="Arial" w:hAnsi="Arial" w:cs="Arial"/>
                <w:color w:val="000000"/>
                <w:sz w:val="22"/>
                <w:szCs w:val="22"/>
              </w:rPr>
              <w:t>$1.30 billion</w:t>
            </w:r>
          </w:p>
        </w:tc>
        <w:tc>
          <w:tcPr>
            <w:tcW w:w="1526" w:type="dxa"/>
            <w:tcBorders>
              <w:top w:val="single" w:sz="8" w:space="0" w:color="auto"/>
              <w:left w:val="single" w:sz="8" w:space="0" w:color="auto"/>
              <w:bottom w:val="single" w:sz="4" w:space="0" w:color="auto"/>
              <w:right w:val="single" w:sz="8" w:space="0" w:color="auto"/>
            </w:tcBorders>
            <w:shd w:val="clear" w:color="auto" w:fill="auto"/>
            <w:noWrap/>
            <w:vAlign w:val="center"/>
          </w:tcPr>
          <w:p w14:paraId="78D98BD3" w14:textId="2C2D2DEB" w:rsidR="00116840" w:rsidRPr="004B445C" w:rsidRDefault="00987213" w:rsidP="00116840">
            <w:pPr>
              <w:jc w:val="center"/>
              <w:rPr>
                <w:rFonts w:ascii="Arial" w:hAnsi="Arial" w:cs="Arial"/>
                <w:bCs/>
                <w:color w:val="000000"/>
                <w:sz w:val="22"/>
                <w:szCs w:val="22"/>
              </w:rPr>
            </w:pPr>
            <w:r>
              <w:rPr>
                <w:rFonts w:ascii="Arial" w:hAnsi="Arial" w:cs="Arial"/>
                <w:bCs/>
                <w:color w:val="000000"/>
                <w:sz w:val="22"/>
                <w:szCs w:val="22"/>
              </w:rPr>
              <w:t>$2.92 billion</w:t>
            </w:r>
          </w:p>
        </w:tc>
        <w:tc>
          <w:tcPr>
            <w:tcW w:w="1526" w:type="dxa"/>
            <w:tcBorders>
              <w:top w:val="single" w:sz="8" w:space="0" w:color="auto"/>
              <w:left w:val="single" w:sz="8" w:space="0" w:color="auto"/>
              <w:bottom w:val="single" w:sz="4" w:space="0" w:color="auto"/>
              <w:right w:val="single" w:sz="8" w:space="0" w:color="auto"/>
            </w:tcBorders>
            <w:vAlign w:val="center"/>
          </w:tcPr>
          <w:p w14:paraId="0A0BB7CB" w14:textId="46499D33" w:rsidR="00116840" w:rsidRPr="004B445C" w:rsidRDefault="00987213" w:rsidP="00116840">
            <w:pPr>
              <w:jc w:val="center"/>
              <w:rPr>
                <w:rFonts w:ascii="Arial" w:hAnsi="Arial" w:cs="Arial"/>
                <w:bCs/>
                <w:color w:val="000000"/>
                <w:sz w:val="22"/>
                <w:szCs w:val="22"/>
              </w:rPr>
            </w:pPr>
            <w:r>
              <w:rPr>
                <w:rFonts w:ascii="Arial" w:hAnsi="Arial" w:cs="Arial"/>
                <w:bCs/>
                <w:color w:val="000000"/>
                <w:sz w:val="22"/>
                <w:szCs w:val="22"/>
              </w:rPr>
              <w:t>$8.90 billion</w:t>
            </w:r>
          </w:p>
        </w:tc>
      </w:tr>
      <w:tr w:rsidR="00116840" w:rsidRPr="004B445C" w14:paraId="57EE9D3A" w14:textId="31677087" w:rsidTr="006E371C">
        <w:trPr>
          <w:trHeight w:val="300"/>
          <w:jc w:val="center"/>
        </w:trPr>
        <w:tc>
          <w:tcPr>
            <w:tcW w:w="2396" w:type="dxa"/>
            <w:vMerge/>
            <w:tcBorders>
              <w:top w:val="single" w:sz="8" w:space="0" w:color="auto"/>
              <w:left w:val="single" w:sz="8" w:space="0" w:color="auto"/>
              <w:bottom w:val="single" w:sz="8" w:space="0" w:color="auto"/>
              <w:right w:val="single" w:sz="4" w:space="0" w:color="auto"/>
            </w:tcBorders>
            <w:vAlign w:val="center"/>
          </w:tcPr>
          <w:p w14:paraId="37C132A7" w14:textId="77777777" w:rsidR="00116840" w:rsidRDefault="00116840" w:rsidP="00116840">
            <w:pPr>
              <w:rPr>
                <w:rFonts w:ascii="Arial" w:hAnsi="Arial" w:cs="Arial"/>
                <w:b/>
                <w:color w:val="000000"/>
                <w:sz w:val="22"/>
                <w:szCs w:val="22"/>
              </w:rPr>
            </w:pPr>
          </w:p>
        </w:tc>
        <w:tc>
          <w:tcPr>
            <w:tcW w:w="2498" w:type="dxa"/>
            <w:tcBorders>
              <w:top w:val="single" w:sz="4" w:space="0" w:color="auto"/>
              <w:left w:val="single" w:sz="4" w:space="0" w:color="auto"/>
              <w:bottom w:val="single" w:sz="4" w:space="0" w:color="auto"/>
              <w:right w:val="single" w:sz="4" w:space="0" w:color="auto"/>
            </w:tcBorders>
            <w:vAlign w:val="center"/>
          </w:tcPr>
          <w:p w14:paraId="2E9FB58C" w14:textId="01A108B6" w:rsidR="00116840" w:rsidRPr="00186C9C" w:rsidRDefault="00116840" w:rsidP="00116840">
            <w:pPr>
              <w:rPr>
                <w:rFonts w:ascii="Arial" w:hAnsi="Arial" w:cs="Arial"/>
                <w:color w:val="000000"/>
                <w:sz w:val="22"/>
                <w:szCs w:val="22"/>
              </w:rPr>
            </w:pPr>
            <w:r>
              <w:rPr>
                <w:rFonts w:ascii="Arial" w:hAnsi="Arial" w:cs="Arial"/>
                <w:color w:val="000000"/>
                <w:sz w:val="22"/>
                <w:szCs w:val="22"/>
              </w:rPr>
              <w:t>Average Cost Per Ton</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C0F1C9" w14:textId="39C0C0F6" w:rsidR="00116840" w:rsidRPr="00186C9C" w:rsidRDefault="00116840" w:rsidP="00116840">
            <w:pPr>
              <w:jc w:val="center"/>
              <w:rPr>
                <w:rFonts w:ascii="Arial" w:hAnsi="Arial" w:cs="Arial"/>
                <w:color w:val="000000"/>
                <w:sz w:val="22"/>
                <w:szCs w:val="22"/>
              </w:rPr>
            </w:pPr>
            <w:r>
              <w:rPr>
                <w:rFonts w:ascii="Arial" w:hAnsi="Arial" w:cs="Arial"/>
                <w:color w:val="000000"/>
                <w:sz w:val="22"/>
                <w:szCs w:val="22"/>
              </w:rPr>
              <w:t>$</w:t>
            </w:r>
            <w:r w:rsidR="00754D2B">
              <w:rPr>
                <w:rFonts w:ascii="Arial" w:hAnsi="Arial" w:cs="Arial"/>
                <w:color w:val="000000"/>
                <w:sz w:val="22"/>
                <w:szCs w:val="22"/>
              </w:rPr>
              <w:t>97.35</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085993" w14:textId="0A9744DC" w:rsidR="00116840" w:rsidRPr="004B445C" w:rsidRDefault="00754D2B" w:rsidP="00116840">
            <w:pPr>
              <w:jc w:val="center"/>
              <w:rPr>
                <w:rFonts w:ascii="Arial" w:hAnsi="Arial" w:cs="Arial"/>
                <w:bCs/>
                <w:color w:val="000000"/>
                <w:sz w:val="22"/>
                <w:szCs w:val="22"/>
              </w:rPr>
            </w:pPr>
            <w:r>
              <w:rPr>
                <w:rFonts w:ascii="Arial" w:hAnsi="Arial" w:cs="Arial"/>
                <w:bCs/>
                <w:color w:val="000000"/>
                <w:sz w:val="22"/>
                <w:szCs w:val="22"/>
              </w:rPr>
              <w:t>$99.</w:t>
            </w:r>
            <w:r w:rsidR="005321AF">
              <w:rPr>
                <w:rFonts w:ascii="Arial" w:hAnsi="Arial" w:cs="Arial"/>
                <w:bCs/>
                <w:color w:val="000000"/>
                <w:sz w:val="22"/>
                <w:szCs w:val="22"/>
              </w:rPr>
              <w:t>6</w:t>
            </w:r>
            <w:r>
              <w:rPr>
                <w:rFonts w:ascii="Arial" w:hAnsi="Arial" w:cs="Arial"/>
                <w:bCs/>
                <w:color w:val="000000"/>
                <w:sz w:val="22"/>
                <w:szCs w:val="22"/>
              </w:rPr>
              <w:t>2</w:t>
            </w:r>
          </w:p>
        </w:tc>
        <w:tc>
          <w:tcPr>
            <w:tcW w:w="1526" w:type="dxa"/>
            <w:tcBorders>
              <w:top w:val="single" w:sz="4" w:space="0" w:color="auto"/>
              <w:left w:val="single" w:sz="4" w:space="0" w:color="auto"/>
              <w:bottom w:val="single" w:sz="4" w:space="0" w:color="auto"/>
              <w:right w:val="single" w:sz="4" w:space="0" w:color="auto"/>
            </w:tcBorders>
            <w:vAlign w:val="center"/>
          </w:tcPr>
          <w:p w14:paraId="6854C1E2" w14:textId="46676E20" w:rsidR="00116840" w:rsidRPr="004B445C" w:rsidRDefault="00754D2B" w:rsidP="00116840">
            <w:pPr>
              <w:jc w:val="center"/>
              <w:rPr>
                <w:rFonts w:ascii="Arial" w:hAnsi="Arial" w:cs="Arial"/>
                <w:bCs/>
                <w:color w:val="000000"/>
                <w:sz w:val="22"/>
                <w:szCs w:val="22"/>
              </w:rPr>
            </w:pPr>
            <w:r>
              <w:rPr>
                <w:rFonts w:ascii="Arial" w:hAnsi="Arial" w:cs="Arial"/>
                <w:bCs/>
                <w:color w:val="000000"/>
                <w:sz w:val="22"/>
                <w:szCs w:val="22"/>
              </w:rPr>
              <w:t>$112.18</w:t>
            </w:r>
          </w:p>
        </w:tc>
      </w:tr>
    </w:tbl>
    <w:p w14:paraId="63C024A1" w14:textId="3B55A6E5" w:rsidR="00715BCF" w:rsidRDefault="00715BCF" w:rsidP="00C12660">
      <w:pPr>
        <w:rPr>
          <w:rFonts w:ascii="Arial" w:hAnsi="Arial" w:cs="Arial"/>
        </w:rPr>
      </w:pPr>
    </w:p>
    <w:p w14:paraId="0481066B" w14:textId="627D3DFB" w:rsidR="00AC0EA2" w:rsidRDefault="008C02FC" w:rsidP="00C12660">
      <w:pPr>
        <w:rPr>
          <w:rFonts w:ascii="Arial" w:hAnsi="Arial" w:cs="Arial"/>
        </w:rPr>
      </w:pPr>
      <w:r>
        <w:rPr>
          <w:rFonts w:ascii="Arial" w:hAnsi="Arial" w:cs="Arial"/>
        </w:rPr>
        <w:t xml:space="preserve">As noted previously, the Feasibility Study assumes that a WTE facility </w:t>
      </w:r>
      <w:r w:rsidR="006F252D">
        <w:rPr>
          <w:rFonts w:ascii="Arial" w:hAnsi="Arial" w:cs="Arial"/>
        </w:rPr>
        <w:t xml:space="preserve">under either sizing option </w:t>
      </w:r>
      <w:r>
        <w:rPr>
          <w:rFonts w:ascii="Arial" w:hAnsi="Arial" w:cs="Arial"/>
        </w:rPr>
        <w:t>would need to be expanded at a future point</w:t>
      </w:r>
      <w:r w:rsidR="00C318B7">
        <w:rPr>
          <w:rFonts w:ascii="Arial" w:hAnsi="Arial" w:cs="Arial"/>
        </w:rPr>
        <w:t xml:space="preserve"> to accommodate the region’s waste. </w:t>
      </w:r>
      <w:r w:rsidR="00AC0EA2">
        <w:rPr>
          <w:rFonts w:ascii="Arial" w:hAnsi="Arial" w:cs="Arial"/>
        </w:rPr>
        <w:t>Initial construction and expansion constru</w:t>
      </w:r>
      <w:r w:rsidR="00C318B7">
        <w:rPr>
          <w:rFonts w:ascii="Arial" w:hAnsi="Arial" w:cs="Arial"/>
        </w:rPr>
        <w:t>ction costs are summarized in the table below.</w:t>
      </w:r>
    </w:p>
    <w:p w14:paraId="72B1257F" w14:textId="156800EB" w:rsidR="00C318B7" w:rsidRDefault="00C318B7" w:rsidP="00C12660">
      <w:pPr>
        <w:rPr>
          <w:rFonts w:ascii="Arial" w:hAnsi="Arial" w:cs="Arial"/>
        </w:rPr>
      </w:pPr>
    </w:p>
    <w:p w14:paraId="51F800E0" w14:textId="3246727C" w:rsidR="008D5C45" w:rsidRDefault="008D5C45" w:rsidP="00C12660">
      <w:pPr>
        <w:rPr>
          <w:rFonts w:ascii="Arial" w:hAnsi="Arial" w:cs="Arial"/>
        </w:rPr>
      </w:pPr>
    </w:p>
    <w:p w14:paraId="53A2C21B" w14:textId="25FD7574" w:rsidR="008D5C45" w:rsidRDefault="008D5C45" w:rsidP="00C12660">
      <w:pPr>
        <w:rPr>
          <w:rFonts w:ascii="Arial" w:hAnsi="Arial" w:cs="Arial"/>
        </w:rPr>
      </w:pPr>
    </w:p>
    <w:p w14:paraId="078FAF59" w14:textId="2E469265" w:rsidR="008D5C45" w:rsidRDefault="008D5C45" w:rsidP="00C12660">
      <w:pPr>
        <w:rPr>
          <w:rFonts w:ascii="Arial" w:hAnsi="Arial" w:cs="Arial"/>
        </w:rPr>
      </w:pPr>
    </w:p>
    <w:p w14:paraId="646AF4D8" w14:textId="763FFF99" w:rsidR="008D5C45" w:rsidRDefault="008D5C45" w:rsidP="00C12660">
      <w:pPr>
        <w:rPr>
          <w:rFonts w:ascii="Arial" w:hAnsi="Arial" w:cs="Arial"/>
        </w:rPr>
      </w:pPr>
    </w:p>
    <w:p w14:paraId="103D7776" w14:textId="211CAC7B" w:rsidR="008D5C45" w:rsidRDefault="008D5C45" w:rsidP="00C12660">
      <w:pPr>
        <w:rPr>
          <w:rFonts w:ascii="Arial" w:hAnsi="Arial" w:cs="Arial"/>
        </w:rPr>
      </w:pPr>
    </w:p>
    <w:p w14:paraId="6411B084" w14:textId="15AD9CE2" w:rsidR="008D5C45" w:rsidRDefault="008D5C45" w:rsidP="00C12660">
      <w:pPr>
        <w:rPr>
          <w:rFonts w:ascii="Arial" w:hAnsi="Arial" w:cs="Arial"/>
        </w:rPr>
      </w:pPr>
    </w:p>
    <w:p w14:paraId="40685747" w14:textId="7DE91C13" w:rsidR="008D5C45" w:rsidRDefault="008D5C45" w:rsidP="00C12660">
      <w:pPr>
        <w:rPr>
          <w:rFonts w:ascii="Arial" w:hAnsi="Arial" w:cs="Arial"/>
        </w:rPr>
      </w:pPr>
    </w:p>
    <w:p w14:paraId="72E70A92" w14:textId="77777777" w:rsidR="008D5C45" w:rsidRDefault="008D5C45" w:rsidP="00C12660">
      <w:pPr>
        <w:rPr>
          <w:rFonts w:ascii="Arial" w:hAnsi="Arial" w:cs="Arial"/>
        </w:rPr>
      </w:pPr>
    </w:p>
    <w:p w14:paraId="2670BA7F" w14:textId="1445064D" w:rsidR="00C318B7" w:rsidRDefault="00C318B7" w:rsidP="00C318B7">
      <w:pPr>
        <w:jc w:val="center"/>
        <w:rPr>
          <w:rFonts w:ascii="Arial" w:hAnsi="Arial" w:cs="Arial"/>
          <w:b/>
        </w:rPr>
      </w:pPr>
      <w:r>
        <w:rPr>
          <w:rFonts w:ascii="Arial" w:hAnsi="Arial" w:cs="Arial"/>
          <w:b/>
        </w:rPr>
        <w:lastRenderedPageBreak/>
        <w:t xml:space="preserve">Table </w:t>
      </w:r>
      <w:r w:rsidR="009A5713">
        <w:rPr>
          <w:rFonts w:ascii="Arial" w:hAnsi="Arial" w:cs="Arial"/>
          <w:b/>
        </w:rPr>
        <w:t>4</w:t>
      </w:r>
      <w:r>
        <w:rPr>
          <w:rFonts w:ascii="Arial" w:hAnsi="Arial" w:cs="Arial"/>
          <w:b/>
        </w:rPr>
        <w:t xml:space="preserve">. </w:t>
      </w:r>
      <w:r w:rsidR="00C96BF5">
        <w:rPr>
          <w:rFonts w:ascii="Arial" w:hAnsi="Arial" w:cs="Arial"/>
          <w:b/>
        </w:rPr>
        <w:t xml:space="preserve">Estimated Initial and Expansion Construction Costs for a WTE Facility </w:t>
      </w:r>
      <w:r w:rsidR="00594808">
        <w:rPr>
          <w:rFonts w:ascii="Arial" w:hAnsi="Arial" w:cs="Arial"/>
          <w:b/>
        </w:rPr>
        <w:t xml:space="preserve">by </w:t>
      </w:r>
      <w:r w:rsidR="004E0571">
        <w:rPr>
          <w:rFonts w:ascii="Arial" w:hAnsi="Arial" w:cs="Arial"/>
          <w:b/>
        </w:rPr>
        <w:t>Sizing Option</w:t>
      </w:r>
    </w:p>
    <w:p w14:paraId="6DFA9C86" w14:textId="5797C401" w:rsidR="00C318B7" w:rsidRDefault="00C318B7" w:rsidP="00C318B7">
      <w:pPr>
        <w:jc w:val="center"/>
        <w:rPr>
          <w:rFonts w:ascii="Arial" w:hAnsi="Arial" w:cs="Arial"/>
          <w:b/>
        </w:rPr>
      </w:pPr>
    </w:p>
    <w:tbl>
      <w:tblPr>
        <w:tblW w:w="7800" w:type="dxa"/>
        <w:jc w:val="center"/>
        <w:tblLayout w:type="fixed"/>
        <w:tblLook w:val="04A0" w:firstRow="1" w:lastRow="0" w:firstColumn="1" w:lastColumn="0" w:noHBand="0" w:noVBand="1"/>
      </w:tblPr>
      <w:tblGrid>
        <w:gridCol w:w="2550"/>
        <w:gridCol w:w="3330"/>
        <w:gridCol w:w="1920"/>
      </w:tblGrid>
      <w:tr w:rsidR="006F252D" w:rsidRPr="004B445C" w14:paraId="0929712D" w14:textId="77777777" w:rsidTr="006F252D">
        <w:trPr>
          <w:trHeight w:val="525"/>
          <w:tblHeader/>
          <w:jc w:val="center"/>
        </w:trPr>
        <w:tc>
          <w:tcPr>
            <w:tcW w:w="2550" w:type="dxa"/>
            <w:tcBorders>
              <w:top w:val="single" w:sz="4" w:space="0" w:color="auto"/>
              <w:left w:val="single" w:sz="4" w:space="0" w:color="auto"/>
              <w:bottom w:val="single" w:sz="4" w:space="0" w:color="auto"/>
              <w:right w:val="single" w:sz="4" w:space="0" w:color="auto"/>
            </w:tcBorders>
            <w:shd w:val="clear" w:color="000000" w:fill="000000"/>
            <w:vAlign w:val="bottom"/>
          </w:tcPr>
          <w:p w14:paraId="3249E9FD" w14:textId="77777777" w:rsidR="006F252D" w:rsidRPr="004B445C" w:rsidRDefault="006F252D" w:rsidP="007D74D4">
            <w:pPr>
              <w:rPr>
                <w:rFonts w:ascii="Arial" w:hAnsi="Arial" w:cs="Arial"/>
                <w:b/>
                <w:bCs/>
                <w:color w:val="FFFFFF"/>
                <w:sz w:val="22"/>
                <w:szCs w:val="22"/>
              </w:rPr>
            </w:pPr>
            <w:r>
              <w:rPr>
                <w:rFonts w:ascii="Arial" w:hAnsi="Arial" w:cs="Arial"/>
                <w:b/>
                <w:bCs/>
                <w:color w:val="FFFFFF"/>
                <w:sz w:val="22"/>
                <w:szCs w:val="22"/>
              </w:rPr>
              <w:t>Facility Sizing Option</w:t>
            </w:r>
          </w:p>
        </w:tc>
        <w:tc>
          <w:tcPr>
            <w:tcW w:w="3330" w:type="dxa"/>
            <w:tcBorders>
              <w:top w:val="single" w:sz="4" w:space="0" w:color="auto"/>
              <w:left w:val="single" w:sz="4" w:space="0" w:color="auto"/>
              <w:bottom w:val="single" w:sz="4" w:space="0" w:color="auto"/>
              <w:right w:val="single" w:sz="4" w:space="0" w:color="auto"/>
            </w:tcBorders>
            <w:shd w:val="clear" w:color="000000" w:fill="000000"/>
            <w:vAlign w:val="bottom"/>
          </w:tcPr>
          <w:p w14:paraId="58A26DC5" w14:textId="4FCB16D7" w:rsidR="006F252D" w:rsidRDefault="006F252D" w:rsidP="006F252D">
            <w:pPr>
              <w:jc w:val="center"/>
              <w:rPr>
                <w:rFonts w:ascii="Arial" w:hAnsi="Arial" w:cs="Arial"/>
                <w:b/>
                <w:bCs/>
                <w:color w:val="FFFFFF"/>
                <w:sz w:val="22"/>
                <w:szCs w:val="22"/>
              </w:rPr>
            </w:pPr>
            <w:r>
              <w:rPr>
                <w:rFonts w:ascii="Arial" w:hAnsi="Arial" w:cs="Arial"/>
                <w:b/>
                <w:bCs/>
                <w:color w:val="FFFFFF"/>
                <w:sz w:val="22"/>
                <w:szCs w:val="22"/>
              </w:rPr>
              <w:t>Cost Type</w:t>
            </w:r>
          </w:p>
        </w:tc>
        <w:tc>
          <w:tcPr>
            <w:tcW w:w="192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6A59F6C1" w14:textId="32FC5FC7" w:rsidR="006F252D" w:rsidRPr="004B445C" w:rsidRDefault="006F252D" w:rsidP="006F252D">
            <w:pPr>
              <w:jc w:val="center"/>
              <w:rPr>
                <w:rFonts w:ascii="Arial" w:hAnsi="Arial" w:cs="Arial"/>
                <w:b/>
                <w:bCs/>
                <w:color w:val="FFFFFF"/>
                <w:sz w:val="22"/>
                <w:szCs w:val="22"/>
              </w:rPr>
            </w:pPr>
            <w:r>
              <w:rPr>
                <w:rFonts w:ascii="Arial" w:hAnsi="Arial" w:cs="Arial"/>
                <w:b/>
                <w:bCs/>
                <w:color w:val="FFFFFF"/>
                <w:sz w:val="22"/>
                <w:szCs w:val="22"/>
              </w:rPr>
              <w:t>Amount</w:t>
            </w:r>
          </w:p>
        </w:tc>
      </w:tr>
      <w:tr w:rsidR="006F252D" w:rsidRPr="004B445C" w14:paraId="03654DE5" w14:textId="77777777" w:rsidTr="006F252D">
        <w:trPr>
          <w:trHeight w:val="300"/>
          <w:jc w:val="center"/>
        </w:trPr>
        <w:tc>
          <w:tcPr>
            <w:tcW w:w="2550" w:type="dxa"/>
            <w:vMerge w:val="restart"/>
            <w:tcBorders>
              <w:top w:val="single" w:sz="4" w:space="0" w:color="auto"/>
              <w:left w:val="single" w:sz="4" w:space="0" w:color="auto"/>
              <w:right w:val="single" w:sz="4" w:space="0" w:color="auto"/>
            </w:tcBorders>
            <w:vAlign w:val="center"/>
          </w:tcPr>
          <w:p w14:paraId="15E7717D" w14:textId="77777777" w:rsidR="006F252D" w:rsidRDefault="006F252D" w:rsidP="007D74D4">
            <w:pPr>
              <w:rPr>
                <w:rFonts w:ascii="Arial" w:hAnsi="Arial" w:cs="Arial"/>
                <w:b/>
                <w:color w:val="000000"/>
                <w:sz w:val="22"/>
                <w:szCs w:val="22"/>
              </w:rPr>
            </w:pPr>
            <w:r>
              <w:rPr>
                <w:rFonts w:ascii="Arial" w:hAnsi="Arial" w:cs="Arial"/>
                <w:b/>
                <w:color w:val="000000"/>
                <w:sz w:val="22"/>
                <w:szCs w:val="22"/>
              </w:rPr>
              <w:t>Initial Facility Size of 3,000 Tons per Day</w:t>
            </w:r>
          </w:p>
        </w:tc>
        <w:tc>
          <w:tcPr>
            <w:tcW w:w="3330" w:type="dxa"/>
            <w:tcBorders>
              <w:top w:val="single" w:sz="4" w:space="0" w:color="auto"/>
              <w:left w:val="single" w:sz="4" w:space="0" w:color="auto"/>
              <w:bottom w:val="single" w:sz="4" w:space="0" w:color="auto"/>
              <w:right w:val="single" w:sz="4" w:space="0" w:color="auto"/>
            </w:tcBorders>
            <w:vAlign w:val="center"/>
          </w:tcPr>
          <w:p w14:paraId="6AF98D58" w14:textId="58075069" w:rsidR="006F252D" w:rsidRDefault="006F252D" w:rsidP="006F252D">
            <w:pPr>
              <w:rPr>
                <w:rFonts w:ascii="Arial" w:hAnsi="Arial" w:cs="Arial"/>
                <w:color w:val="000000"/>
                <w:sz w:val="22"/>
                <w:szCs w:val="22"/>
              </w:rPr>
            </w:pPr>
            <w:r>
              <w:rPr>
                <w:rFonts w:ascii="Arial" w:hAnsi="Arial" w:cs="Arial"/>
                <w:color w:val="000000"/>
                <w:sz w:val="22"/>
                <w:szCs w:val="22"/>
              </w:rPr>
              <w:t>Initial Construction Costs</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B04702" w14:textId="6C7348CD" w:rsidR="006F252D" w:rsidRDefault="002E1D8A" w:rsidP="006F252D">
            <w:pPr>
              <w:jc w:val="center"/>
              <w:rPr>
                <w:rFonts w:ascii="Arial" w:hAnsi="Arial" w:cs="Arial"/>
                <w:color w:val="000000"/>
                <w:sz w:val="22"/>
                <w:szCs w:val="22"/>
              </w:rPr>
            </w:pPr>
            <w:r>
              <w:rPr>
                <w:rFonts w:ascii="Arial" w:hAnsi="Arial" w:cs="Arial"/>
                <w:color w:val="000000"/>
                <w:sz w:val="22"/>
                <w:szCs w:val="22"/>
              </w:rPr>
              <w:t>$</w:t>
            </w:r>
            <w:r w:rsidR="00AF5FAE">
              <w:rPr>
                <w:rFonts w:ascii="Arial" w:hAnsi="Arial" w:cs="Arial"/>
                <w:color w:val="000000"/>
                <w:sz w:val="22"/>
                <w:szCs w:val="22"/>
              </w:rPr>
              <w:t>1.19 billion</w:t>
            </w:r>
          </w:p>
        </w:tc>
      </w:tr>
      <w:tr w:rsidR="006F252D" w:rsidRPr="004B445C" w14:paraId="4152EB97" w14:textId="77777777" w:rsidTr="00C66774">
        <w:trPr>
          <w:trHeight w:val="300"/>
          <w:jc w:val="center"/>
        </w:trPr>
        <w:tc>
          <w:tcPr>
            <w:tcW w:w="2550" w:type="dxa"/>
            <w:vMerge/>
            <w:tcBorders>
              <w:left w:val="single" w:sz="4" w:space="0" w:color="auto"/>
              <w:bottom w:val="single" w:sz="4" w:space="0" w:color="auto"/>
              <w:right w:val="single" w:sz="4" w:space="0" w:color="auto"/>
            </w:tcBorders>
            <w:vAlign w:val="center"/>
          </w:tcPr>
          <w:p w14:paraId="606A07DB" w14:textId="77777777" w:rsidR="006F252D" w:rsidRDefault="006F252D" w:rsidP="007D74D4">
            <w:pPr>
              <w:rPr>
                <w:rFonts w:ascii="Arial" w:hAnsi="Arial" w:cs="Arial"/>
                <w:color w:val="000000"/>
                <w:sz w:val="22"/>
                <w:szCs w:val="22"/>
              </w:rPr>
            </w:pPr>
          </w:p>
        </w:tc>
        <w:tc>
          <w:tcPr>
            <w:tcW w:w="3330" w:type="dxa"/>
            <w:tcBorders>
              <w:top w:val="single" w:sz="4" w:space="0" w:color="auto"/>
              <w:left w:val="single" w:sz="4" w:space="0" w:color="auto"/>
              <w:bottom w:val="single" w:sz="4" w:space="0" w:color="auto"/>
              <w:right w:val="single" w:sz="4" w:space="0" w:color="auto"/>
            </w:tcBorders>
            <w:vAlign w:val="center"/>
          </w:tcPr>
          <w:p w14:paraId="5EBC4934" w14:textId="4830EFFA" w:rsidR="006F252D" w:rsidRDefault="006F252D" w:rsidP="006F252D">
            <w:pPr>
              <w:rPr>
                <w:rFonts w:ascii="Arial" w:hAnsi="Arial" w:cs="Arial"/>
                <w:color w:val="000000"/>
                <w:sz w:val="22"/>
                <w:szCs w:val="22"/>
              </w:rPr>
            </w:pPr>
            <w:r>
              <w:rPr>
                <w:rFonts w:ascii="Arial" w:hAnsi="Arial" w:cs="Arial"/>
                <w:color w:val="000000"/>
                <w:sz w:val="22"/>
                <w:szCs w:val="22"/>
              </w:rPr>
              <w:t>Expansion Construction Costs</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513843" w14:textId="1F314179" w:rsidR="006F252D" w:rsidRPr="00E46D9C" w:rsidRDefault="00AF5FAE" w:rsidP="006F252D">
            <w:pPr>
              <w:jc w:val="center"/>
              <w:rPr>
                <w:rFonts w:ascii="Arial" w:hAnsi="Arial" w:cs="Arial"/>
                <w:color w:val="000000"/>
                <w:sz w:val="22"/>
                <w:szCs w:val="22"/>
              </w:rPr>
            </w:pPr>
            <w:r>
              <w:rPr>
                <w:rFonts w:ascii="Arial" w:hAnsi="Arial" w:cs="Arial"/>
                <w:color w:val="000000"/>
                <w:sz w:val="22"/>
                <w:szCs w:val="22"/>
              </w:rPr>
              <w:t>$28</w:t>
            </w:r>
            <w:r w:rsidR="009A60F5">
              <w:rPr>
                <w:rFonts w:ascii="Arial" w:hAnsi="Arial" w:cs="Arial"/>
                <w:color w:val="000000"/>
                <w:sz w:val="22"/>
                <w:szCs w:val="22"/>
              </w:rPr>
              <w:t>9</w:t>
            </w:r>
            <w:r>
              <w:rPr>
                <w:rFonts w:ascii="Arial" w:hAnsi="Arial" w:cs="Arial"/>
                <w:color w:val="000000"/>
                <w:sz w:val="22"/>
                <w:szCs w:val="22"/>
              </w:rPr>
              <w:t>.5 million</w:t>
            </w:r>
          </w:p>
        </w:tc>
      </w:tr>
      <w:tr w:rsidR="006F252D" w:rsidRPr="004B445C" w14:paraId="0560B14B" w14:textId="77777777" w:rsidTr="00C66774">
        <w:trPr>
          <w:trHeight w:val="300"/>
          <w:jc w:val="center"/>
        </w:trPr>
        <w:tc>
          <w:tcPr>
            <w:tcW w:w="2550" w:type="dxa"/>
            <w:vMerge w:val="restart"/>
            <w:tcBorders>
              <w:top w:val="single" w:sz="4" w:space="0" w:color="auto"/>
              <w:left w:val="single" w:sz="4" w:space="0" w:color="auto"/>
              <w:bottom w:val="single" w:sz="4" w:space="0" w:color="auto"/>
              <w:right w:val="single" w:sz="4" w:space="0" w:color="auto"/>
            </w:tcBorders>
            <w:vAlign w:val="center"/>
          </w:tcPr>
          <w:p w14:paraId="2524D2F4" w14:textId="77777777" w:rsidR="006F252D" w:rsidRDefault="006F252D" w:rsidP="007D74D4">
            <w:pPr>
              <w:rPr>
                <w:rFonts w:ascii="Arial" w:hAnsi="Arial" w:cs="Arial"/>
                <w:b/>
                <w:color w:val="000000"/>
                <w:sz w:val="22"/>
                <w:szCs w:val="22"/>
              </w:rPr>
            </w:pPr>
            <w:r>
              <w:rPr>
                <w:rFonts w:ascii="Arial" w:hAnsi="Arial" w:cs="Arial"/>
                <w:b/>
                <w:color w:val="000000"/>
                <w:sz w:val="22"/>
                <w:szCs w:val="22"/>
              </w:rPr>
              <w:t>Initial Facility Size of 4,000 Tons per Day</w:t>
            </w:r>
          </w:p>
        </w:tc>
        <w:tc>
          <w:tcPr>
            <w:tcW w:w="3330" w:type="dxa"/>
            <w:tcBorders>
              <w:top w:val="single" w:sz="4" w:space="0" w:color="auto"/>
              <w:left w:val="single" w:sz="4" w:space="0" w:color="auto"/>
              <w:bottom w:val="single" w:sz="4" w:space="0" w:color="auto"/>
              <w:right w:val="single" w:sz="4" w:space="0" w:color="auto"/>
            </w:tcBorders>
            <w:vAlign w:val="center"/>
          </w:tcPr>
          <w:p w14:paraId="10BD9EFA" w14:textId="6A3F7BAC" w:rsidR="006F252D" w:rsidRDefault="006F252D" w:rsidP="006F252D">
            <w:pPr>
              <w:rPr>
                <w:rFonts w:ascii="Arial" w:hAnsi="Arial" w:cs="Arial"/>
                <w:color w:val="000000"/>
                <w:sz w:val="22"/>
                <w:szCs w:val="22"/>
              </w:rPr>
            </w:pPr>
            <w:r>
              <w:rPr>
                <w:rFonts w:ascii="Arial" w:hAnsi="Arial" w:cs="Arial"/>
                <w:color w:val="000000"/>
                <w:sz w:val="22"/>
                <w:szCs w:val="22"/>
              </w:rPr>
              <w:t>Initial Construction Costs</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88A979" w14:textId="5A9C7AFF" w:rsidR="006F252D" w:rsidRDefault="00AF5FAE" w:rsidP="006F252D">
            <w:pPr>
              <w:jc w:val="center"/>
              <w:rPr>
                <w:rFonts w:ascii="Arial" w:hAnsi="Arial" w:cs="Arial"/>
                <w:color w:val="000000"/>
                <w:sz w:val="22"/>
                <w:szCs w:val="22"/>
              </w:rPr>
            </w:pPr>
            <w:r>
              <w:rPr>
                <w:rFonts w:ascii="Arial" w:hAnsi="Arial" w:cs="Arial"/>
                <w:color w:val="000000"/>
                <w:sz w:val="22"/>
                <w:szCs w:val="22"/>
              </w:rPr>
              <w:t>$1.49 billion</w:t>
            </w:r>
          </w:p>
        </w:tc>
      </w:tr>
      <w:tr w:rsidR="006F252D" w:rsidRPr="004B445C" w14:paraId="6B4F09AD" w14:textId="77777777" w:rsidTr="00C66774">
        <w:trPr>
          <w:trHeight w:val="300"/>
          <w:jc w:val="center"/>
        </w:trPr>
        <w:tc>
          <w:tcPr>
            <w:tcW w:w="2550" w:type="dxa"/>
            <w:vMerge/>
            <w:tcBorders>
              <w:top w:val="single" w:sz="4" w:space="0" w:color="auto"/>
              <w:left w:val="single" w:sz="4" w:space="0" w:color="auto"/>
              <w:bottom w:val="single" w:sz="4" w:space="0" w:color="auto"/>
              <w:right w:val="single" w:sz="4" w:space="0" w:color="auto"/>
            </w:tcBorders>
            <w:vAlign w:val="center"/>
          </w:tcPr>
          <w:p w14:paraId="697E3C99" w14:textId="77777777" w:rsidR="006F252D" w:rsidRDefault="006F252D" w:rsidP="007D74D4">
            <w:pPr>
              <w:rPr>
                <w:rFonts w:ascii="Arial" w:hAnsi="Arial" w:cs="Arial"/>
                <w:b/>
                <w:color w:val="000000"/>
                <w:sz w:val="22"/>
                <w:szCs w:val="22"/>
              </w:rPr>
            </w:pPr>
          </w:p>
        </w:tc>
        <w:tc>
          <w:tcPr>
            <w:tcW w:w="3330" w:type="dxa"/>
            <w:tcBorders>
              <w:top w:val="single" w:sz="4" w:space="0" w:color="auto"/>
              <w:left w:val="single" w:sz="4" w:space="0" w:color="auto"/>
              <w:bottom w:val="single" w:sz="4" w:space="0" w:color="auto"/>
              <w:right w:val="single" w:sz="8" w:space="0" w:color="auto"/>
            </w:tcBorders>
            <w:vAlign w:val="center"/>
          </w:tcPr>
          <w:p w14:paraId="2AE795D2" w14:textId="2F4D76CD" w:rsidR="006F252D" w:rsidRPr="00186C9C" w:rsidRDefault="006F252D" w:rsidP="006F252D">
            <w:pPr>
              <w:rPr>
                <w:rFonts w:ascii="Arial" w:hAnsi="Arial" w:cs="Arial"/>
                <w:color w:val="000000"/>
                <w:sz w:val="22"/>
                <w:szCs w:val="22"/>
              </w:rPr>
            </w:pPr>
            <w:r>
              <w:rPr>
                <w:rFonts w:ascii="Arial" w:hAnsi="Arial" w:cs="Arial"/>
                <w:color w:val="000000"/>
                <w:sz w:val="22"/>
                <w:szCs w:val="22"/>
              </w:rPr>
              <w:t>Expansion Construction Costs</w:t>
            </w:r>
          </w:p>
        </w:tc>
        <w:tc>
          <w:tcPr>
            <w:tcW w:w="192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16B63C5" w14:textId="42BEA987" w:rsidR="006F252D" w:rsidRPr="00186C9C" w:rsidRDefault="00AF5FAE" w:rsidP="006F252D">
            <w:pPr>
              <w:jc w:val="center"/>
              <w:rPr>
                <w:rFonts w:ascii="Arial" w:hAnsi="Arial" w:cs="Arial"/>
                <w:color w:val="000000"/>
                <w:sz w:val="22"/>
                <w:szCs w:val="22"/>
              </w:rPr>
            </w:pPr>
            <w:r>
              <w:rPr>
                <w:rFonts w:ascii="Arial" w:hAnsi="Arial" w:cs="Arial"/>
                <w:color w:val="000000"/>
                <w:sz w:val="22"/>
                <w:szCs w:val="22"/>
              </w:rPr>
              <w:t>$23</w:t>
            </w:r>
            <w:r w:rsidR="0091796E">
              <w:rPr>
                <w:rFonts w:ascii="Arial" w:hAnsi="Arial" w:cs="Arial"/>
                <w:color w:val="000000"/>
                <w:sz w:val="22"/>
                <w:szCs w:val="22"/>
              </w:rPr>
              <w:t>1.0 million</w:t>
            </w:r>
          </w:p>
        </w:tc>
      </w:tr>
    </w:tbl>
    <w:p w14:paraId="74472FB4" w14:textId="77777777" w:rsidR="006F252D" w:rsidRDefault="006F252D" w:rsidP="00C318B7">
      <w:pPr>
        <w:jc w:val="center"/>
        <w:rPr>
          <w:rFonts w:ascii="Arial" w:hAnsi="Arial" w:cs="Arial"/>
          <w:b/>
        </w:rPr>
      </w:pPr>
    </w:p>
    <w:p w14:paraId="519EC608" w14:textId="018CFEDE" w:rsidR="005F271E" w:rsidRDefault="00757D00" w:rsidP="00C12660">
      <w:pPr>
        <w:rPr>
          <w:rFonts w:ascii="Arial" w:hAnsi="Arial" w:cs="Arial"/>
        </w:rPr>
      </w:pPr>
      <w:r>
        <w:rPr>
          <w:rFonts w:ascii="Arial" w:hAnsi="Arial" w:cs="Arial"/>
        </w:rPr>
        <w:t xml:space="preserve">The Consultant </w:t>
      </w:r>
      <w:r w:rsidR="00FB6202">
        <w:rPr>
          <w:rFonts w:ascii="Arial" w:hAnsi="Arial" w:cs="Arial"/>
        </w:rPr>
        <w:t xml:space="preserve">based </w:t>
      </w:r>
      <w:r w:rsidR="00322946">
        <w:rPr>
          <w:rFonts w:ascii="Arial" w:hAnsi="Arial" w:cs="Arial"/>
        </w:rPr>
        <w:t>the</w:t>
      </w:r>
      <w:r w:rsidR="00752EC4">
        <w:rPr>
          <w:rFonts w:ascii="Arial" w:hAnsi="Arial" w:cs="Arial"/>
        </w:rPr>
        <w:t xml:space="preserve"> estimated </w:t>
      </w:r>
      <w:r w:rsidR="00FB6202">
        <w:rPr>
          <w:rFonts w:ascii="Arial" w:hAnsi="Arial" w:cs="Arial"/>
        </w:rPr>
        <w:t>capital costs</w:t>
      </w:r>
      <w:r w:rsidR="00752EC4">
        <w:rPr>
          <w:rFonts w:ascii="Arial" w:hAnsi="Arial" w:cs="Arial"/>
        </w:rPr>
        <w:t xml:space="preserve"> on the most recent facility constructed in the United States</w:t>
      </w:r>
      <w:r w:rsidR="00E97E61">
        <w:rPr>
          <w:rFonts w:ascii="Arial" w:hAnsi="Arial" w:cs="Arial"/>
        </w:rPr>
        <w:t xml:space="preserve"> </w:t>
      </w:r>
      <w:r w:rsidR="00322946">
        <w:rPr>
          <w:rFonts w:ascii="Arial" w:hAnsi="Arial" w:cs="Arial"/>
        </w:rPr>
        <w:t xml:space="preserve">located </w:t>
      </w:r>
      <w:r w:rsidR="00E97E61">
        <w:rPr>
          <w:rFonts w:ascii="Arial" w:hAnsi="Arial" w:cs="Arial"/>
        </w:rPr>
        <w:t>in West Palm Beach, Florida</w:t>
      </w:r>
      <w:r w:rsidR="00775A00">
        <w:rPr>
          <w:rFonts w:ascii="Arial" w:hAnsi="Arial" w:cs="Arial"/>
        </w:rPr>
        <w:t>,</w:t>
      </w:r>
      <w:r w:rsidR="005A3200">
        <w:rPr>
          <w:rFonts w:ascii="Arial" w:hAnsi="Arial" w:cs="Arial"/>
        </w:rPr>
        <w:t xml:space="preserve"> </w:t>
      </w:r>
      <w:r w:rsidR="005E35E0">
        <w:rPr>
          <w:rFonts w:ascii="Arial" w:hAnsi="Arial" w:cs="Arial"/>
        </w:rPr>
        <w:t>which is of a comparable size</w:t>
      </w:r>
      <w:r w:rsidR="005F271E">
        <w:rPr>
          <w:rFonts w:ascii="Arial" w:hAnsi="Arial" w:cs="Arial"/>
        </w:rPr>
        <w:t xml:space="preserve"> </w:t>
      </w:r>
      <w:r w:rsidR="005E35E0">
        <w:rPr>
          <w:rFonts w:ascii="Arial" w:hAnsi="Arial" w:cs="Arial"/>
        </w:rPr>
        <w:t xml:space="preserve">to the </w:t>
      </w:r>
      <w:r w:rsidR="00094BB7">
        <w:rPr>
          <w:rFonts w:ascii="Arial" w:hAnsi="Arial" w:cs="Arial"/>
        </w:rPr>
        <w:t xml:space="preserve">developed </w:t>
      </w:r>
      <w:r w:rsidR="005E35E0">
        <w:rPr>
          <w:rFonts w:ascii="Arial" w:hAnsi="Arial" w:cs="Arial"/>
        </w:rPr>
        <w:t>sizing scenarios</w:t>
      </w:r>
      <w:r w:rsidR="008E4022">
        <w:rPr>
          <w:rFonts w:ascii="Arial" w:hAnsi="Arial" w:cs="Arial"/>
        </w:rPr>
        <w:t xml:space="preserve"> and a</w:t>
      </w:r>
      <w:r w:rsidR="00094BB7">
        <w:rPr>
          <w:rFonts w:ascii="Arial" w:hAnsi="Arial" w:cs="Arial"/>
        </w:rPr>
        <w:t>ssum</w:t>
      </w:r>
      <w:r w:rsidR="008E4022">
        <w:rPr>
          <w:rFonts w:ascii="Arial" w:hAnsi="Arial" w:cs="Arial"/>
        </w:rPr>
        <w:t>es</w:t>
      </w:r>
      <w:r w:rsidR="0091773E">
        <w:rPr>
          <w:rFonts w:ascii="Arial" w:hAnsi="Arial" w:cs="Arial"/>
        </w:rPr>
        <w:t xml:space="preserve"> </w:t>
      </w:r>
      <w:r w:rsidR="00976A41">
        <w:rPr>
          <w:rFonts w:ascii="Arial" w:hAnsi="Arial" w:cs="Arial"/>
        </w:rPr>
        <w:t xml:space="preserve">long-term </w:t>
      </w:r>
      <w:r w:rsidR="0091773E">
        <w:rPr>
          <w:rFonts w:ascii="Arial" w:hAnsi="Arial" w:cs="Arial"/>
        </w:rPr>
        <w:t xml:space="preserve">bond </w:t>
      </w:r>
      <w:r w:rsidR="001228BC">
        <w:rPr>
          <w:rFonts w:ascii="Arial" w:hAnsi="Arial" w:cs="Arial"/>
        </w:rPr>
        <w:t xml:space="preserve">financing. </w:t>
      </w:r>
      <w:r w:rsidR="00EB2B1B">
        <w:rPr>
          <w:rFonts w:ascii="Arial" w:hAnsi="Arial" w:cs="Arial"/>
        </w:rPr>
        <w:t xml:space="preserve">The Feasibility Study notes that </w:t>
      </w:r>
      <w:r w:rsidR="00AE12F1">
        <w:rPr>
          <w:rFonts w:ascii="Arial" w:hAnsi="Arial" w:cs="Arial"/>
        </w:rPr>
        <w:t>c</w:t>
      </w:r>
      <w:r w:rsidR="005E35E0">
        <w:rPr>
          <w:rFonts w:ascii="Arial" w:hAnsi="Arial" w:cs="Arial"/>
        </w:rPr>
        <w:t>osts were adjusted f</w:t>
      </w:r>
      <w:r w:rsidR="000B734C">
        <w:rPr>
          <w:rFonts w:ascii="Arial" w:hAnsi="Arial" w:cs="Arial"/>
        </w:rPr>
        <w:t>or</w:t>
      </w:r>
      <w:r w:rsidR="001A1244">
        <w:rPr>
          <w:rFonts w:ascii="Arial" w:hAnsi="Arial" w:cs="Arial"/>
        </w:rPr>
        <w:t xml:space="preserve"> </w:t>
      </w:r>
      <w:r w:rsidR="00AA1552">
        <w:rPr>
          <w:rFonts w:ascii="Arial" w:hAnsi="Arial" w:cs="Arial"/>
        </w:rPr>
        <w:t>higher labor costs in this region</w:t>
      </w:r>
      <w:r w:rsidR="00C71458">
        <w:rPr>
          <w:rFonts w:ascii="Arial" w:hAnsi="Arial" w:cs="Arial"/>
        </w:rPr>
        <w:t xml:space="preserve">, </w:t>
      </w:r>
      <w:r w:rsidR="00AA1552">
        <w:rPr>
          <w:rFonts w:ascii="Arial" w:hAnsi="Arial" w:cs="Arial"/>
        </w:rPr>
        <w:t xml:space="preserve">a higher sales tax rate for equipment </w:t>
      </w:r>
      <w:r w:rsidR="000B734C">
        <w:rPr>
          <w:rFonts w:ascii="Arial" w:hAnsi="Arial" w:cs="Arial"/>
        </w:rPr>
        <w:t>purchase</w:t>
      </w:r>
      <w:r w:rsidR="00C71458">
        <w:rPr>
          <w:rFonts w:ascii="Arial" w:hAnsi="Arial" w:cs="Arial"/>
        </w:rPr>
        <w:t xml:space="preserve">, and </w:t>
      </w:r>
      <w:r w:rsidR="00E876CB">
        <w:rPr>
          <w:rFonts w:ascii="Arial" w:hAnsi="Arial" w:cs="Arial"/>
        </w:rPr>
        <w:t>to account for</w:t>
      </w:r>
      <w:r w:rsidR="00AE12F1">
        <w:rPr>
          <w:rFonts w:ascii="Arial" w:hAnsi="Arial" w:cs="Arial"/>
        </w:rPr>
        <w:t xml:space="preserve"> differences in </w:t>
      </w:r>
      <w:r w:rsidR="00C71458">
        <w:rPr>
          <w:rFonts w:ascii="Arial" w:hAnsi="Arial" w:cs="Arial"/>
        </w:rPr>
        <w:t>land acquisition costs</w:t>
      </w:r>
      <w:r w:rsidR="005F271E">
        <w:rPr>
          <w:rFonts w:ascii="Arial" w:hAnsi="Arial" w:cs="Arial"/>
        </w:rPr>
        <w:t xml:space="preserve">. Additionally, </w:t>
      </w:r>
      <w:r w:rsidR="00D31135">
        <w:rPr>
          <w:rFonts w:ascii="Arial" w:hAnsi="Arial" w:cs="Arial"/>
        </w:rPr>
        <w:t>according to the Feasibility Study, the financial model assume</w:t>
      </w:r>
      <w:r w:rsidR="00134BCC">
        <w:rPr>
          <w:rFonts w:ascii="Arial" w:hAnsi="Arial" w:cs="Arial"/>
        </w:rPr>
        <w:t>s</w:t>
      </w:r>
      <w:r w:rsidR="00D31135">
        <w:rPr>
          <w:rFonts w:ascii="Arial" w:hAnsi="Arial" w:cs="Arial"/>
        </w:rPr>
        <w:t xml:space="preserve"> costs related to carbon sequestration </w:t>
      </w:r>
      <w:r w:rsidR="00C71458">
        <w:rPr>
          <w:rFonts w:ascii="Arial" w:hAnsi="Arial" w:cs="Arial"/>
        </w:rPr>
        <w:t>technology</w:t>
      </w:r>
      <w:r w:rsidR="0098638F">
        <w:rPr>
          <w:rFonts w:ascii="Arial" w:hAnsi="Arial" w:cs="Arial"/>
        </w:rPr>
        <w:t xml:space="preserve"> and advanced metal recovery equipment,</w:t>
      </w:r>
      <w:r w:rsidR="0098638F">
        <w:rPr>
          <w:rStyle w:val="FootnoteReference"/>
          <w:rFonts w:ascii="Arial" w:hAnsi="Arial" w:cs="Arial"/>
        </w:rPr>
        <w:footnoteReference w:id="17"/>
      </w:r>
      <w:r w:rsidR="0098638F">
        <w:rPr>
          <w:rFonts w:ascii="Arial" w:hAnsi="Arial" w:cs="Arial"/>
        </w:rPr>
        <w:t xml:space="preserve"> the former of which is </w:t>
      </w:r>
      <w:r w:rsidR="005511FA">
        <w:rPr>
          <w:rFonts w:ascii="Arial" w:hAnsi="Arial" w:cs="Arial"/>
        </w:rPr>
        <w:t>anticipated to be required under a new state law concerning electricity sales</w:t>
      </w:r>
      <w:r w:rsidR="0059269C">
        <w:rPr>
          <w:rFonts w:ascii="Arial" w:hAnsi="Arial" w:cs="Arial"/>
        </w:rPr>
        <w:t xml:space="preserve">. The implications of the state law are described in further </w:t>
      </w:r>
      <w:r w:rsidR="00AE12F1">
        <w:rPr>
          <w:rFonts w:ascii="Arial" w:hAnsi="Arial" w:cs="Arial"/>
        </w:rPr>
        <w:t>detail later in this staff report</w:t>
      </w:r>
      <w:r w:rsidR="00C71458">
        <w:rPr>
          <w:rFonts w:ascii="Arial" w:hAnsi="Arial" w:cs="Arial"/>
        </w:rPr>
        <w:t xml:space="preserve">. </w:t>
      </w:r>
      <w:r w:rsidR="00691E0F">
        <w:rPr>
          <w:rFonts w:ascii="Arial" w:hAnsi="Arial" w:cs="Arial"/>
        </w:rPr>
        <w:t xml:space="preserve">The </w:t>
      </w:r>
      <w:r w:rsidR="00AE12F1">
        <w:rPr>
          <w:rFonts w:ascii="Arial" w:hAnsi="Arial" w:cs="Arial"/>
        </w:rPr>
        <w:t xml:space="preserve">Study notes that the </w:t>
      </w:r>
      <w:r w:rsidR="00691E0F">
        <w:rPr>
          <w:rFonts w:ascii="Arial" w:hAnsi="Arial" w:cs="Arial"/>
        </w:rPr>
        <w:t xml:space="preserve">construction figures cited above </w:t>
      </w:r>
      <w:r w:rsidR="0098638F">
        <w:rPr>
          <w:rFonts w:ascii="Arial" w:hAnsi="Arial" w:cs="Arial"/>
        </w:rPr>
        <w:t xml:space="preserve">also </w:t>
      </w:r>
      <w:r w:rsidR="00691E0F">
        <w:rPr>
          <w:rFonts w:ascii="Arial" w:hAnsi="Arial" w:cs="Arial"/>
        </w:rPr>
        <w:t>include</w:t>
      </w:r>
      <w:r w:rsidR="00A01DBF">
        <w:rPr>
          <w:rFonts w:ascii="Arial" w:hAnsi="Arial" w:cs="Arial"/>
        </w:rPr>
        <w:t xml:space="preserve">: </w:t>
      </w:r>
      <w:r w:rsidR="00691E0F">
        <w:rPr>
          <w:rFonts w:ascii="Arial" w:hAnsi="Arial" w:cs="Arial"/>
        </w:rPr>
        <w:t xml:space="preserve">project contingency </w:t>
      </w:r>
      <w:r w:rsidR="00E956D5">
        <w:rPr>
          <w:rFonts w:ascii="Arial" w:hAnsi="Arial" w:cs="Arial"/>
        </w:rPr>
        <w:t>funds</w:t>
      </w:r>
      <w:r w:rsidR="00A01DBF">
        <w:rPr>
          <w:rFonts w:ascii="Arial" w:hAnsi="Arial" w:cs="Arial"/>
        </w:rPr>
        <w:t xml:space="preserve">, </w:t>
      </w:r>
      <w:r w:rsidR="00E956D5">
        <w:rPr>
          <w:rFonts w:ascii="Arial" w:hAnsi="Arial" w:cs="Arial"/>
        </w:rPr>
        <w:t>consultant fees, and bond issuance costs</w:t>
      </w:r>
      <w:r w:rsidR="001E62C4">
        <w:rPr>
          <w:rFonts w:ascii="Arial" w:hAnsi="Arial" w:cs="Arial"/>
        </w:rPr>
        <w:t xml:space="preserve"> </w:t>
      </w:r>
      <w:r w:rsidR="00425AA9">
        <w:rPr>
          <w:rFonts w:ascii="Arial" w:hAnsi="Arial" w:cs="Arial"/>
        </w:rPr>
        <w:t>that assume a</w:t>
      </w:r>
      <w:r w:rsidR="0098638F">
        <w:rPr>
          <w:rFonts w:ascii="Arial" w:hAnsi="Arial" w:cs="Arial"/>
        </w:rPr>
        <w:t xml:space="preserve"> 4.0 percent interest rate</w:t>
      </w:r>
      <w:r w:rsidR="00E956D5">
        <w:rPr>
          <w:rFonts w:ascii="Arial" w:hAnsi="Arial" w:cs="Arial"/>
        </w:rPr>
        <w:t xml:space="preserve">. </w:t>
      </w:r>
    </w:p>
    <w:p w14:paraId="7E97F71C" w14:textId="26EFDC4B" w:rsidR="00EB2B1B" w:rsidRDefault="00EB2B1B" w:rsidP="00C12660">
      <w:pPr>
        <w:rPr>
          <w:rFonts w:ascii="Arial" w:hAnsi="Arial" w:cs="Arial"/>
        </w:rPr>
      </w:pPr>
    </w:p>
    <w:p w14:paraId="45B64D27" w14:textId="66056E62" w:rsidR="00A01DBF" w:rsidRDefault="00262C50" w:rsidP="00A01DBF">
      <w:pPr>
        <w:rPr>
          <w:rFonts w:ascii="Arial" w:hAnsi="Arial" w:cs="Arial"/>
        </w:rPr>
      </w:pPr>
      <w:r>
        <w:rPr>
          <w:rFonts w:ascii="Arial" w:hAnsi="Arial" w:cs="Arial"/>
        </w:rPr>
        <w:t xml:space="preserve">Table </w:t>
      </w:r>
      <w:r w:rsidR="003F4F77">
        <w:rPr>
          <w:rFonts w:ascii="Arial" w:hAnsi="Arial" w:cs="Arial"/>
        </w:rPr>
        <w:t>5</w:t>
      </w:r>
      <w:r>
        <w:rPr>
          <w:rFonts w:ascii="Arial" w:hAnsi="Arial" w:cs="Arial"/>
        </w:rPr>
        <w:t xml:space="preserve"> summarizes the </w:t>
      </w:r>
      <w:r w:rsidR="00873D60">
        <w:rPr>
          <w:rFonts w:ascii="Arial" w:hAnsi="Arial" w:cs="Arial"/>
        </w:rPr>
        <w:t xml:space="preserve">estimates for the </w:t>
      </w:r>
      <w:r w:rsidR="00123A59">
        <w:rPr>
          <w:rFonts w:ascii="Arial" w:hAnsi="Arial" w:cs="Arial"/>
        </w:rPr>
        <w:t xml:space="preserve">total </w:t>
      </w:r>
      <w:r w:rsidR="00873D60">
        <w:rPr>
          <w:rFonts w:ascii="Arial" w:hAnsi="Arial" w:cs="Arial"/>
        </w:rPr>
        <w:t>operation and maintenance (O&amp;M) costs</w:t>
      </w:r>
      <w:r w:rsidR="00AF0976">
        <w:rPr>
          <w:rFonts w:ascii="Arial" w:hAnsi="Arial" w:cs="Arial"/>
        </w:rPr>
        <w:t xml:space="preserve"> offset by</w:t>
      </w:r>
      <w:r w:rsidR="00B930C6">
        <w:rPr>
          <w:rFonts w:ascii="Arial" w:hAnsi="Arial" w:cs="Arial"/>
        </w:rPr>
        <w:t xml:space="preserve"> revenues</w:t>
      </w:r>
      <w:r>
        <w:rPr>
          <w:rFonts w:ascii="Arial" w:hAnsi="Arial" w:cs="Arial"/>
        </w:rPr>
        <w:t xml:space="preserve"> under </w:t>
      </w:r>
      <w:r w:rsidR="00367ECB">
        <w:rPr>
          <w:rFonts w:ascii="Arial" w:hAnsi="Arial" w:cs="Arial"/>
        </w:rPr>
        <w:t>the two facility sizing options</w:t>
      </w:r>
      <w:r w:rsidR="008727EB">
        <w:rPr>
          <w:rFonts w:ascii="Arial" w:hAnsi="Arial" w:cs="Arial"/>
        </w:rPr>
        <w:t xml:space="preserve"> over a 50-year time horizon</w:t>
      </w:r>
      <w:r>
        <w:rPr>
          <w:rFonts w:ascii="Arial" w:hAnsi="Arial" w:cs="Arial"/>
        </w:rPr>
        <w:t>.</w:t>
      </w:r>
    </w:p>
    <w:p w14:paraId="5E8E5D26" w14:textId="248D850B" w:rsidR="00005CB7" w:rsidRDefault="00005CB7" w:rsidP="00A01DBF">
      <w:pPr>
        <w:rPr>
          <w:rFonts w:ascii="Arial" w:hAnsi="Arial" w:cs="Arial"/>
        </w:rPr>
      </w:pPr>
    </w:p>
    <w:p w14:paraId="6435B02A" w14:textId="77777777" w:rsidR="008D5C45" w:rsidRDefault="008D5C45" w:rsidP="00A01DBF">
      <w:pPr>
        <w:rPr>
          <w:rFonts w:ascii="Arial" w:hAnsi="Arial" w:cs="Arial"/>
        </w:rPr>
      </w:pPr>
    </w:p>
    <w:p w14:paraId="4AF3D013" w14:textId="710C2C64" w:rsidR="00262C50" w:rsidRDefault="009B5C45" w:rsidP="00262C50">
      <w:pPr>
        <w:jc w:val="center"/>
        <w:rPr>
          <w:rFonts w:ascii="Arial" w:hAnsi="Arial" w:cs="Arial"/>
          <w:b/>
        </w:rPr>
      </w:pPr>
      <w:r>
        <w:rPr>
          <w:rFonts w:ascii="Arial" w:hAnsi="Arial" w:cs="Arial"/>
          <w:b/>
        </w:rPr>
        <w:t xml:space="preserve">Table </w:t>
      </w:r>
      <w:r w:rsidR="003F4F77">
        <w:rPr>
          <w:rFonts w:ascii="Arial" w:hAnsi="Arial" w:cs="Arial"/>
          <w:b/>
        </w:rPr>
        <w:t>5.</w:t>
      </w:r>
      <w:r>
        <w:rPr>
          <w:rFonts w:ascii="Arial" w:hAnsi="Arial" w:cs="Arial"/>
          <w:b/>
        </w:rPr>
        <w:t xml:space="preserve"> </w:t>
      </w:r>
      <w:r w:rsidR="00262C50">
        <w:rPr>
          <w:rFonts w:ascii="Arial" w:hAnsi="Arial" w:cs="Arial"/>
          <w:b/>
        </w:rPr>
        <w:t>Estimated O&amp;M Cost for a WTE Facility by Sizing Option</w:t>
      </w:r>
    </w:p>
    <w:p w14:paraId="5ED98AA2" w14:textId="5B258F35" w:rsidR="009B5C45" w:rsidRDefault="009B5C45" w:rsidP="00262C50">
      <w:pPr>
        <w:jc w:val="center"/>
        <w:rPr>
          <w:rFonts w:ascii="Arial" w:hAnsi="Arial" w:cs="Arial"/>
        </w:rPr>
      </w:pPr>
    </w:p>
    <w:tbl>
      <w:tblPr>
        <w:tblW w:w="9290" w:type="dxa"/>
        <w:jc w:val="center"/>
        <w:tblLayout w:type="fixed"/>
        <w:tblLook w:val="04A0" w:firstRow="1" w:lastRow="0" w:firstColumn="1" w:lastColumn="0" w:noHBand="0" w:noVBand="1"/>
      </w:tblPr>
      <w:tblGrid>
        <w:gridCol w:w="2793"/>
        <w:gridCol w:w="2793"/>
        <w:gridCol w:w="1814"/>
        <w:gridCol w:w="1890"/>
      </w:tblGrid>
      <w:tr w:rsidR="009B5C45" w:rsidRPr="004B445C" w14:paraId="1A75944A" w14:textId="77777777" w:rsidTr="009F125E">
        <w:trPr>
          <w:trHeight w:val="525"/>
          <w:tblHeader/>
          <w:jc w:val="center"/>
        </w:trPr>
        <w:tc>
          <w:tcPr>
            <w:tcW w:w="2793" w:type="dxa"/>
            <w:tcBorders>
              <w:top w:val="single" w:sz="4" w:space="0" w:color="auto"/>
              <w:left w:val="single" w:sz="4" w:space="0" w:color="auto"/>
              <w:bottom w:val="single" w:sz="4" w:space="0" w:color="auto"/>
              <w:right w:val="single" w:sz="4" w:space="0" w:color="auto"/>
            </w:tcBorders>
            <w:shd w:val="clear" w:color="000000" w:fill="000000"/>
            <w:vAlign w:val="bottom"/>
          </w:tcPr>
          <w:p w14:paraId="0E3F089B" w14:textId="77777777" w:rsidR="009B5C45" w:rsidRPr="004B445C" w:rsidRDefault="009B5C45" w:rsidP="007D74D4">
            <w:pPr>
              <w:rPr>
                <w:rFonts w:ascii="Arial" w:hAnsi="Arial" w:cs="Arial"/>
                <w:b/>
                <w:bCs/>
                <w:color w:val="FFFFFF"/>
                <w:sz w:val="22"/>
                <w:szCs w:val="22"/>
              </w:rPr>
            </w:pPr>
            <w:r>
              <w:rPr>
                <w:rFonts w:ascii="Arial" w:hAnsi="Arial" w:cs="Arial"/>
                <w:b/>
                <w:bCs/>
                <w:color w:val="FFFFFF"/>
                <w:sz w:val="22"/>
                <w:szCs w:val="22"/>
              </w:rPr>
              <w:t>Facility Sizing Option</w:t>
            </w:r>
          </w:p>
        </w:tc>
        <w:tc>
          <w:tcPr>
            <w:tcW w:w="2793"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2339E2F9" w14:textId="16561AC2" w:rsidR="009B5C45" w:rsidRPr="004B445C" w:rsidRDefault="008C0816" w:rsidP="007D74D4">
            <w:pPr>
              <w:rPr>
                <w:rFonts w:ascii="Arial" w:hAnsi="Arial" w:cs="Arial"/>
                <w:b/>
                <w:bCs/>
                <w:color w:val="FFFFFF"/>
                <w:sz w:val="22"/>
                <w:szCs w:val="22"/>
              </w:rPr>
            </w:pPr>
            <w:r>
              <w:rPr>
                <w:rFonts w:ascii="Arial" w:hAnsi="Arial" w:cs="Arial"/>
                <w:b/>
                <w:bCs/>
                <w:color w:val="FFFFFF"/>
                <w:sz w:val="22"/>
                <w:szCs w:val="22"/>
              </w:rPr>
              <w:t>Cost Type</w:t>
            </w:r>
          </w:p>
        </w:tc>
        <w:tc>
          <w:tcPr>
            <w:tcW w:w="1814" w:type="dxa"/>
            <w:tcBorders>
              <w:top w:val="single" w:sz="4" w:space="0" w:color="auto"/>
              <w:left w:val="nil"/>
              <w:bottom w:val="single" w:sz="4" w:space="0" w:color="auto"/>
              <w:right w:val="single" w:sz="4" w:space="0" w:color="auto"/>
            </w:tcBorders>
            <w:shd w:val="clear" w:color="000000" w:fill="000000"/>
            <w:vAlign w:val="bottom"/>
            <w:hideMark/>
          </w:tcPr>
          <w:p w14:paraId="7EC53AED" w14:textId="77777777" w:rsidR="009B5C45" w:rsidRPr="004B445C" w:rsidRDefault="009B5C45" w:rsidP="007D74D4">
            <w:pPr>
              <w:jc w:val="center"/>
              <w:rPr>
                <w:rFonts w:ascii="Arial" w:hAnsi="Arial" w:cs="Arial"/>
                <w:bCs/>
                <w:color w:val="FFFFFF"/>
                <w:sz w:val="22"/>
                <w:szCs w:val="22"/>
              </w:rPr>
            </w:pPr>
            <w:r>
              <w:rPr>
                <w:rFonts w:ascii="Arial" w:hAnsi="Arial" w:cs="Arial"/>
                <w:b/>
                <w:bCs/>
                <w:color w:val="FFFFFF"/>
                <w:sz w:val="22"/>
                <w:szCs w:val="22"/>
              </w:rPr>
              <w:t>Total Revenue Over 20-Year Term</w:t>
            </w:r>
          </w:p>
        </w:tc>
        <w:tc>
          <w:tcPr>
            <w:tcW w:w="1890" w:type="dxa"/>
            <w:tcBorders>
              <w:top w:val="single" w:sz="4" w:space="0" w:color="auto"/>
              <w:left w:val="nil"/>
              <w:bottom w:val="single" w:sz="4" w:space="0" w:color="auto"/>
              <w:right w:val="single" w:sz="4" w:space="0" w:color="auto"/>
            </w:tcBorders>
            <w:shd w:val="clear" w:color="000000" w:fill="000000"/>
            <w:vAlign w:val="bottom"/>
            <w:hideMark/>
          </w:tcPr>
          <w:p w14:paraId="6F729972" w14:textId="77777777" w:rsidR="009B5C45" w:rsidRPr="004B445C" w:rsidRDefault="009B5C45" w:rsidP="007D74D4">
            <w:pPr>
              <w:jc w:val="center"/>
              <w:rPr>
                <w:rFonts w:ascii="Arial" w:hAnsi="Arial" w:cs="Arial"/>
                <w:b/>
                <w:bCs/>
                <w:color w:val="FFFFFF"/>
                <w:sz w:val="22"/>
                <w:szCs w:val="22"/>
              </w:rPr>
            </w:pPr>
            <w:r>
              <w:rPr>
                <w:rFonts w:ascii="Arial" w:hAnsi="Arial" w:cs="Arial"/>
                <w:b/>
                <w:bCs/>
                <w:color w:val="FFFFFF"/>
                <w:sz w:val="22"/>
                <w:szCs w:val="22"/>
              </w:rPr>
              <w:t>Total Revenue Over Remaining 30-Year Term</w:t>
            </w:r>
          </w:p>
        </w:tc>
      </w:tr>
      <w:tr w:rsidR="009B5C45" w:rsidRPr="004B445C" w14:paraId="1A94C667" w14:textId="77777777" w:rsidTr="009F125E">
        <w:trPr>
          <w:trHeight w:val="300"/>
          <w:jc w:val="center"/>
        </w:trPr>
        <w:tc>
          <w:tcPr>
            <w:tcW w:w="2793" w:type="dxa"/>
            <w:tcBorders>
              <w:top w:val="single" w:sz="4" w:space="0" w:color="auto"/>
              <w:left w:val="single" w:sz="4" w:space="0" w:color="auto"/>
              <w:bottom w:val="single" w:sz="4" w:space="0" w:color="auto"/>
              <w:right w:val="single" w:sz="4" w:space="0" w:color="auto"/>
            </w:tcBorders>
            <w:vAlign w:val="center"/>
          </w:tcPr>
          <w:p w14:paraId="2BC6A7B0" w14:textId="77777777" w:rsidR="009B5C45" w:rsidRDefault="009B5C45" w:rsidP="007D74D4">
            <w:pPr>
              <w:rPr>
                <w:rFonts w:ascii="Arial" w:hAnsi="Arial" w:cs="Arial"/>
                <w:b/>
                <w:color w:val="000000"/>
                <w:sz w:val="22"/>
                <w:szCs w:val="22"/>
              </w:rPr>
            </w:pPr>
            <w:r>
              <w:rPr>
                <w:rFonts w:ascii="Arial" w:hAnsi="Arial" w:cs="Arial"/>
                <w:b/>
                <w:color w:val="000000"/>
                <w:sz w:val="22"/>
                <w:szCs w:val="22"/>
              </w:rPr>
              <w:t>Initial Facility Size of 3,000 Tons per Day</w:t>
            </w:r>
          </w:p>
        </w:tc>
        <w:tc>
          <w:tcPr>
            <w:tcW w:w="27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1BC561" w14:textId="51C62181" w:rsidR="009B5C45" w:rsidRDefault="008C0816" w:rsidP="007D74D4">
            <w:pPr>
              <w:rPr>
                <w:rFonts w:ascii="Arial" w:hAnsi="Arial" w:cs="Arial"/>
                <w:color w:val="000000"/>
                <w:sz w:val="22"/>
                <w:szCs w:val="22"/>
              </w:rPr>
            </w:pPr>
            <w:r>
              <w:rPr>
                <w:rFonts w:ascii="Arial" w:hAnsi="Arial" w:cs="Arial"/>
                <w:color w:val="000000"/>
                <w:sz w:val="22"/>
                <w:szCs w:val="22"/>
              </w:rPr>
              <w:t>Total O&amp;M Cost (offset by revenues)</w:t>
            </w:r>
          </w:p>
        </w:tc>
        <w:tc>
          <w:tcPr>
            <w:tcW w:w="1814" w:type="dxa"/>
            <w:tcBorders>
              <w:top w:val="single" w:sz="4" w:space="0" w:color="auto"/>
              <w:left w:val="nil"/>
              <w:bottom w:val="single" w:sz="4" w:space="0" w:color="auto"/>
              <w:right w:val="single" w:sz="4" w:space="0" w:color="auto"/>
            </w:tcBorders>
            <w:shd w:val="clear" w:color="auto" w:fill="auto"/>
            <w:noWrap/>
            <w:vAlign w:val="center"/>
          </w:tcPr>
          <w:p w14:paraId="67700E26" w14:textId="4656F325" w:rsidR="009B5C45" w:rsidRPr="004B445C" w:rsidRDefault="0091796E" w:rsidP="007D74D4">
            <w:pPr>
              <w:jc w:val="center"/>
              <w:rPr>
                <w:rFonts w:ascii="Arial" w:hAnsi="Arial" w:cs="Arial"/>
                <w:bCs/>
                <w:color w:val="000000"/>
                <w:sz w:val="22"/>
                <w:szCs w:val="22"/>
              </w:rPr>
            </w:pPr>
            <w:r>
              <w:rPr>
                <w:rFonts w:ascii="Arial" w:hAnsi="Arial" w:cs="Arial"/>
                <w:bCs/>
                <w:color w:val="000000"/>
                <w:sz w:val="22"/>
                <w:szCs w:val="22"/>
              </w:rPr>
              <w:t>$954.6 million</w:t>
            </w:r>
          </w:p>
        </w:tc>
        <w:tc>
          <w:tcPr>
            <w:tcW w:w="1890" w:type="dxa"/>
            <w:tcBorders>
              <w:top w:val="single" w:sz="4" w:space="0" w:color="auto"/>
              <w:left w:val="nil"/>
              <w:bottom w:val="single" w:sz="4" w:space="0" w:color="auto"/>
              <w:right w:val="single" w:sz="4" w:space="0" w:color="auto"/>
            </w:tcBorders>
            <w:shd w:val="clear" w:color="auto" w:fill="auto"/>
            <w:vAlign w:val="center"/>
          </w:tcPr>
          <w:p w14:paraId="50DBC802" w14:textId="480A30EE" w:rsidR="009B5C45" w:rsidRPr="004B445C" w:rsidRDefault="0091796E" w:rsidP="007D74D4">
            <w:pPr>
              <w:jc w:val="center"/>
              <w:rPr>
                <w:rFonts w:ascii="Arial" w:hAnsi="Arial" w:cs="Arial"/>
                <w:color w:val="000000"/>
                <w:sz w:val="22"/>
                <w:szCs w:val="22"/>
              </w:rPr>
            </w:pPr>
            <w:r>
              <w:rPr>
                <w:rFonts w:ascii="Arial" w:hAnsi="Arial" w:cs="Arial"/>
                <w:color w:val="000000"/>
                <w:sz w:val="22"/>
                <w:szCs w:val="22"/>
              </w:rPr>
              <w:t>$3.44 billion</w:t>
            </w:r>
          </w:p>
        </w:tc>
      </w:tr>
      <w:tr w:rsidR="009B5C45" w:rsidRPr="004B445C" w14:paraId="09F67099" w14:textId="77777777" w:rsidTr="009F125E">
        <w:trPr>
          <w:trHeight w:val="300"/>
          <w:jc w:val="center"/>
        </w:trPr>
        <w:tc>
          <w:tcPr>
            <w:tcW w:w="2793" w:type="dxa"/>
            <w:tcBorders>
              <w:top w:val="single" w:sz="4" w:space="0" w:color="auto"/>
              <w:left w:val="single" w:sz="4" w:space="0" w:color="auto"/>
              <w:bottom w:val="single" w:sz="4" w:space="0" w:color="auto"/>
              <w:right w:val="single" w:sz="4" w:space="0" w:color="auto"/>
            </w:tcBorders>
            <w:vAlign w:val="center"/>
          </w:tcPr>
          <w:p w14:paraId="34ABD5D9" w14:textId="77777777" w:rsidR="009B5C45" w:rsidRDefault="009B5C45" w:rsidP="007D74D4">
            <w:pPr>
              <w:rPr>
                <w:rFonts w:ascii="Arial" w:hAnsi="Arial" w:cs="Arial"/>
                <w:b/>
                <w:color w:val="000000"/>
                <w:sz w:val="22"/>
                <w:szCs w:val="22"/>
              </w:rPr>
            </w:pPr>
            <w:r>
              <w:rPr>
                <w:rFonts w:ascii="Arial" w:hAnsi="Arial" w:cs="Arial"/>
                <w:b/>
                <w:color w:val="000000"/>
                <w:sz w:val="22"/>
                <w:szCs w:val="22"/>
              </w:rPr>
              <w:t>Initial Facility Size of 4,000 Tons per Day</w:t>
            </w:r>
          </w:p>
        </w:tc>
        <w:tc>
          <w:tcPr>
            <w:tcW w:w="27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37B063" w14:textId="586D355A" w:rsidR="009B5C45" w:rsidRDefault="005F4FD8" w:rsidP="007D74D4">
            <w:pPr>
              <w:rPr>
                <w:rFonts w:ascii="Arial" w:hAnsi="Arial" w:cs="Arial"/>
                <w:color w:val="000000"/>
                <w:sz w:val="22"/>
                <w:szCs w:val="22"/>
              </w:rPr>
            </w:pPr>
            <w:r>
              <w:rPr>
                <w:rFonts w:ascii="Arial" w:hAnsi="Arial" w:cs="Arial"/>
                <w:color w:val="000000"/>
                <w:sz w:val="22"/>
                <w:szCs w:val="22"/>
              </w:rPr>
              <w:t>Total O&amp;M Cost (offset by revenues)</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76958A" w14:textId="61391049" w:rsidR="009B5C45" w:rsidRPr="004B445C" w:rsidRDefault="002D1757" w:rsidP="007D74D4">
            <w:pPr>
              <w:jc w:val="center"/>
              <w:rPr>
                <w:rFonts w:ascii="Arial" w:hAnsi="Arial" w:cs="Arial"/>
                <w:bCs/>
                <w:color w:val="000000"/>
                <w:sz w:val="22"/>
                <w:szCs w:val="22"/>
              </w:rPr>
            </w:pPr>
            <w:r>
              <w:rPr>
                <w:rFonts w:ascii="Arial" w:hAnsi="Arial" w:cs="Arial"/>
                <w:bCs/>
                <w:color w:val="000000"/>
                <w:sz w:val="22"/>
                <w:szCs w:val="22"/>
              </w:rPr>
              <w:t>$1.06 billion</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E53A53A" w14:textId="3BDB9674" w:rsidR="009B5C45" w:rsidRPr="004B445C" w:rsidRDefault="002D1757" w:rsidP="007D74D4">
            <w:pPr>
              <w:jc w:val="center"/>
              <w:rPr>
                <w:rFonts w:ascii="Arial" w:hAnsi="Arial" w:cs="Arial"/>
                <w:color w:val="000000"/>
                <w:sz w:val="22"/>
                <w:szCs w:val="22"/>
              </w:rPr>
            </w:pPr>
            <w:r>
              <w:rPr>
                <w:rFonts w:ascii="Arial" w:hAnsi="Arial" w:cs="Arial"/>
                <w:color w:val="000000"/>
                <w:sz w:val="22"/>
                <w:szCs w:val="22"/>
              </w:rPr>
              <w:t>$4.8</w:t>
            </w:r>
            <w:r w:rsidR="00903CD9">
              <w:rPr>
                <w:rFonts w:ascii="Arial" w:hAnsi="Arial" w:cs="Arial"/>
                <w:color w:val="000000"/>
                <w:sz w:val="22"/>
                <w:szCs w:val="22"/>
              </w:rPr>
              <w:t>5</w:t>
            </w:r>
            <w:r>
              <w:rPr>
                <w:rFonts w:ascii="Arial" w:hAnsi="Arial" w:cs="Arial"/>
                <w:color w:val="000000"/>
                <w:sz w:val="22"/>
                <w:szCs w:val="22"/>
              </w:rPr>
              <w:t xml:space="preserve"> billion</w:t>
            </w:r>
          </w:p>
        </w:tc>
      </w:tr>
    </w:tbl>
    <w:p w14:paraId="097951AD" w14:textId="77777777" w:rsidR="009B5C45" w:rsidRDefault="009B5C45" w:rsidP="00A01DBF">
      <w:pPr>
        <w:rPr>
          <w:rFonts w:ascii="Arial" w:hAnsi="Arial" w:cs="Arial"/>
        </w:rPr>
      </w:pPr>
    </w:p>
    <w:p w14:paraId="1509EFBC" w14:textId="088310E5" w:rsidR="00221CFC" w:rsidRDefault="00F53A11" w:rsidP="00C12660">
      <w:pPr>
        <w:rPr>
          <w:rFonts w:ascii="Arial" w:hAnsi="Arial" w:cs="Arial"/>
        </w:rPr>
      </w:pPr>
      <w:r>
        <w:rPr>
          <w:rFonts w:ascii="Arial" w:hAnsi="Arial" w:cs="Arial"/>
        </w:rPr>
        <w:t>The Consultant d</w:t>
      </w:r>
      <w:r w:rsidR="00411957">
        <w:rPr>
          <w:rFonts w:ascii="Arial" w:hAnsi="Arial" w:cs="Arial"/>
        </w:rPr>
        <w:t xml:space="preserve">escribes the following </w:t>
      </w:r>
      <w:r>
        <w:rPr>
          <w:rFonts w:ascii="Arial" w:hAnsi="Arial" w:cs="Arial"/>
        </w:rPr>
        <w:t>O&amp;M</w:t>
      </w:r>
      <w:r w:rsidR="00EB4696">
        <w:rPr>
          <w:rFonts w:ascii="Arial" w:hAnsi="Arial" w:cs="Arial"/>
        </w:rPr>
        <w:t xml:space="preserve"> costs</w:t>
      </w:r>
      <w:r w:rsidR="00FB211D">
        <w:rPr>
          <w:rFonts w:ascii="Arial" w:hAnsi="Arial" w:cs="Arial"/>
        </w:rPr>
        <w:t>, revenues,</w:t>
      </w:r>
      <w:r w:rsidR="00EB4696">
        <w:rPr>
          <w:rFonts w:ascii="Arial" w:hAnsi="Arial" w:cs="Arial"/>
        </w:rPr>
        <w:t xml:space="preserve"> and assumptions</w:t>
      </w:r>
      <w:r>
        <w:rPr>
          <w:rFonts w:ascii="Arial" w:hAnsi="Arial" w:cs="Arial"/>
        </w:rPr>
        <w:t xml:space="preserve"> included in the model:</w:t>
      </w:r>
    </w:p>
    <w:p w14:paraId="0BAF67CF" w14:textId="788753A6" w:rsidR="00EB4696" w:rsidRDefault="00C709BC" w:rsidP="004A4A09">
      <w:pPr>
        <w:pStyle w:val="ListParagraph0"/>
        <w:numPr>
          <w:ilvl w:val="0"/>
          <w:numId w:val="5"/>
        </w:numPr>
        <w:rPr>
          <w:rFonts w:ascii="Arial" w:hAnsi="Arial" w:cs="Arial"/>
        </w:rPr>
      </w:pPr>
      <w:r w:rsidRPr="005223A4">
        <w:rPr>
          <w:rFonts w:ascii="Arial" w:hAnsi="Arial" w:cs="Arial"/>
        </w:rPr>
        <w:t>Operator Contract</w:t>
      </w:r>
      <w:r>
        <w:rPr>
          <w:rFonts w:ascii="Arial" w:hAnsi="Arial" w:cs="Arial"/>
        </w:rPr>
        <w:t>: T</w:t>
      </w:r>
      <w:r w:rsidR="002F5714">
        <w:rPr>
          <w:rFonts w:ascii="Arial" w:hAnsi="Arial" w:cs="Arial"/>
        </w:rPr>
        <w:t xml:space="preserve">he </w:t>
      </w:r>
      <w:r w:rsidR="00EB4696">
        <w:rPr>
          <w:rFonts w:ascii="Arial" w:hAnsi="Arial" w:cs="Arial"/>
        </w:rPr>
        <w:t xml:space="preserve">estimate for the operator contract </w:t>
      </w:r>
      <w:r w:rsidR="00D872C3">
        <w:rPr>
          <w:rFonts w:ascii="Arial" w:hAnsi="Arial" w:cs="Arial"/>
        </w:rPr>
        <w:t>was</w:t>
      </w:r>
      <w:r w:rsidR="00EB4696">
        <w:rPr>
          <w:rFonts w:ascii="Arial" w:hAnsi="Arial" w:cs="Arial"/>
        </w:rPr>
        <w:t xml:space="preserve"> </w:t>
      </w:r>
      <w:r w:rsidR="007B6C4D" w:rsidRPr="00C709BC">
        <w:rPr>
          <w:rFonts w:ascii="Arial" w:hAnsi="Arial" w:cs="Arial"/>
        </w:rPr>
        <w:t xml:space="preserve">based on </w:t>
      </w:r>
      <w:r w:rsidR="004C29F6" w:rsidRPr="00C709BC">
        <w:rPr>
          <w:rFonts w:ascii="Arial" w:hAnsi="Arial" w:cs="Arial"/>
        </w:rPr>
        <w:t xml:space="preserve">the </w:t>
      </w:r>
      <w:r w:rsidR="007B6C4D" w:rsidRPr="00C709BC">
        <w:rPr>
          <w:rFonts w:ascii="Arial" w:hAnsi="Arial" w:cs="Arial"/>
        </w:rPr>
        <w:t xml:space="preserve">actual </w:t>
      </w:r>
      <w:r w:rsidR="00BE75EF" w:rsidRPr="00C709BC">
        <w:rPr>
          <w:rFonts w:ascii="Arial" w:hAnsi="Arial" w:cs="Arial"/>
        </w:rPr>
        <w:t>operating contract for t</w:t>
      </w:r>
      <w:r w:rsidR="007B6C4D" w:rsidRPr="00C709BC">
        <w:rPr>
          <w:rFonts w:ascii="Arial" w:hAnsi="Arial" w:cs="Arial"/>
        </w:rPr>
        <w:t xml:space="preserve">he West Palm Beach </w:t>
      </w:r>
      <w:r w:rsidR="00B4717C" w:rsidRPr="00C709BC">
        <w:rPr>
          <w:rFonts w:ascii="Arial" w:hAnsi="Arial" w:cs="Arial"/>
        </w:rPr>
        <w:t>facility</w:t>
      </w:r>
      <w:r w:rsidR="00C60412" w:rsidRPr="00C709BC">
        <w:rPr>
          <w:rFonts w:ascii="Arial" w:hAnsi="Arial" w:cs="Arial"/>
        </w:rPr>
        <w:t>,</w:t>
      </w:r>
      <w:r w:rsidR="00B4717C" w:rsidRPr="00C709BC">
        <w:rPr>
          <w:rFonts w:ascii="Arial" w:hAnsi="Arial" w:cs="Arial"/>
        </w:rPr>
        <w:t xml:space="preserve"> </w:t>
      </w:r>
      <w:r w:rsidR="007B6C4D" w:rsidRPr="00C709BC">
        <w:rPr>
          <w:rFonts w:ascii="Arial" w:hAnsi="Arial" w:cs="Arial"/>
        </w:rPr>
        <w:t>adjusted for 2019 dollars</w:t>
      </w:r>
      <w:r w:rsidR="00D2481A" w:rsidRPr="00C709BC">
        <w:rPr>
          <w:rFonts w:ascii="Arial" w:hAnsi="Arial" w:cs="Arial"/>
        </w:rPr>
        <w:t xml:space="preserve"> and </w:t>
      </w:r>
      <w:r w:rsidR="00AA1FA1" w:rsidRPr="00C709BC">
        <w:rPr>
          <w:rFonts w:ascii="Arial" w:hAnsi="Arial" w:cs="Arial"/>
        </w:rPr>
        <w:t>for the additional costs</w:t>
      </w:r>
      <w:r w:rsidR="0050615D" w:rsidRPr="00C709BC">
        <w:rPr>
          <w:rFonts w:ascii="Arial" w:hAnsi="Arial" w:cs="Arial"/>
        </w:rPr>
        <w:t xml:space="preserve"> </w:t>
      </w:r>
      <w:r w:rsidR="00E80F10" w:rsidRPr="00C709BC">
        <w:rPr>
          <w:rFonts w:ascii="Arial" w:hAnsi="Arial" w:cs="Arial"/>
        </w:rPr>
        <w:t>for operation and maintenance of the equipment related to carbon sequestration and advanced metal recovery</w:t>
      </w:r>
      <w:r w:rsidR="00DD44D0" w:rsidRPr="00C709BC">
        <w:rPr>
          <w:rFonts w:ascii="Arial" w:hAnsi="Arial" w:cs="Arial"/>
        </w:rPr>
        <w:t>.</w:t>
      </w:r>
      <w:r w:rsidR="00B4717C" w:rsidRPr="00C709BC">
        <w:rPr>
          <w:rFonts w:ascii="Arial" w:hAnsi="Arial" w:cs="Arial"/>
        </w:rPr>
        <w:t xml:space="preserve"> </w:t>
      </w:r>
    </w:p>
    <w:p w14:paraId="4530D84A" w14:textId="55CB48BA" w:rsidR="00882BC5" w:rsidRDefault="00882BC5" w:rsidP="004A4A09">
      <w:pPr>
        <w:pStyle w:val="ListParagraph0"/>
        <w:numPr>
          <w:ilvl w:val="0"/>
          <w:numId w:val="5"/>
        </w:numPr>
        <w:rPr>
          <w:rFonts w:ascii="Arial" w:hAnsi="Arial" w:cs="Arial"/>
        </w:rPr>
      </w:pPr>
      <w:r>
        <w:rPr>
          <w:rFonts w:ascii="Arial" w:hAnsi="Arial" w:cs="Arial"/>
        </w:rPr>
        <w:lastRenderedPageBreak/>
        <w:t>Consum</w:t>
      </w:r>
      <w:r w:rsidR="00407044">
        <w:rPr>
          <w:rFonts w:ascii="Arial" w:hAnsi="Arial" w:cs="Arial"/>
        </w:rPr>
        <w:t>ables</w:t>
      </w:r>
      <w:r w:rsidR="00D872C3">
        <w:rPr>
          <w:rFonts w:ascii="Arial" w:hAnsi="Arial" w:cs="Arial"/>
        </w:rPr>
        <w:t>: This category includes air pollution control reagents</w:t>
      </w:r>
      <w:r w:rsidR="00997E24">
        <w:rPr>
          <w:rFonts w:ascii="Arial" w:hAnsi="Arial" w:cs="Arial"/>
        </w:rPr>
        <w:t>, which were</w:t>
      </w:r>
      <w:r w:rsidR="00D872C3">
        <w:rPr>
          <w:rFonts w:ascii="Arial" w:hAnsi="Arial" w:cs="Arial"/>
        </w:rPr>
        <w:t xml:space="preserve"> </w:t>
      </w:r>
      <w:r w:rsidR="00A63105">
        <w:rPr>
          <w:rFonts w:ascii="Arial" w:hAnsi="Arial" w:cs="Arial"/>
        </w:rPr>
        <w:t>estimated based on usage of the West Palm Beach facility</w:t>
      </w:r>
      <w:r w:rsidR="00997E24">
        <w:rPr>
          <w:rFonts w:ascii="Arial" w:hAnsi="Arial" w:cs="Arial"/>
        </w:rPr>
        <w:t>,</w:t>
      </w:r>
      <w:r w:rsidR="00A63105">
        <w:rPr>
          <w:rFonts w:ascii="Arial" w:hAnsi="Arial" w:cs="Arial"/>
        </w:rPr>
        <w:t xml:space="preserve"> </w:t>
      </w:r>
      <w:r w:rsidR="00D872C3">
        <w:rPr>
          <w:rFonts w:ascii="Arial" w:hAnsi="Arial" w:cs="Arial"/>
        </w:rPr>
        <w:t>and</w:t>
      </w:r>
      <w:r w:rsidR="0017754E">
        <w:rPr>
          <w:rFonts w:ascii="Arial" w:hAnsi="Arial" w:cs="Arial"/>
        </w:rPr>
        <w:t xml:space="preserve"> </w:t>
      </w:r>
      <w:r w:rsidR="00997E24">
        <w:rPr>
          <w:rFonts w:ascii="Arial" w:hAnsi="Arial" w:cs="Arial"/>
        </w:rPr>
        <w:t xml:space="preserve">the </w:t>
      </w:r>
      <w:r w:rsidR="0017754E">
        <w:rPr>
          <w:rFonts w:ascii="Arial" w:hAnsi="Arial" w:cs="Arial"/>
        </w:rPr>
        <w:t>utilities needed to operate the facility</w:t>
      </w:r>
      <w:r w:rsidR="00997E24">
        <w:rPr>
          <w:rFonts w:ascii="Arial" w:hAnsi="Arial" w:cs="Arial"/>
        </w:rPr>
        <w:t>, which were</w:t>
      </w:r>
      <w:r w:rsidR="00AE5CE0">
        <w:rPr>
          <w:rFonts w:ascii="Arial" w:hAnsi="Arial" w:cs="Arial"/>
        </w:rPr>
        <w:t xml:space="preserve"> adjusted to account for local prices. </w:t>
      </w:r>
    </w:p>
    <w:p w14:paraId="762D3291" w14:textId="7A889451" w:rsidR="00D86C1E" w:rsidRDefault="00C71611" w:rsidP="004A4A09">
      <w:pPr>
        <w:pStyle w:val="ListParagraph0"/>
        <w:numPr>
          <w:ilvl w:val="0"/>
          <w:numId w:val="5"/>
        </w:numPr>
        <w:rPr>
          <w:rFonts w:ascii="Arial" w:hAnsi="Arial" w:cs="Arial"/>
        </w:rPr>
      </w:pPr>
      <w:r>
        <w:rPr>
          <w:rFonts w:ascii="Arial" w:hAnsi="Arial" w:cs="Arial"/>
        </w:rPr>
        <w:t>Ash Disposal</w:t>
      </w:r>
      <w:r w:rsidR="00D86C1E">
        <w:rPr>
          <w:rFonts w:ascii="Arial" w:hAnsi="Arial" w:cs="Arial"/>
        </w:rPr>
        <w:t xml:space="preserve">: </w:t>
      </w:r>
      <w:r w:rsidR="006A30FF" w:rsidRPr="00C709BC">
        <w:rPr>
          <w:rFonts w:ascii="Arial" w:hAnsi="Arial" w:cs="Arial"/>
        </w:rPr>
        <w:t xml:space="preserve">The financial model </w:t>
      </w:r>
      <w:r w:rsidR="00370DF0" w:rsidRPr="00C709BC">
        <w:rPr>
          <w:rFonts w:ascii="Arial" w:hAnsi="Arial" w:cs="Arial"/>
        </w:rPr>
        <w:t>includes the costs of exporting the resulting ash</w:t>
      </w:r>
      <w:r w:rsidR="008A7D49">
        <w:rPr>
          <w:rFonts w:ascii="Arial" w:hAnsi="Arial" w:cs="Arial"/>
        </w:rPr>
        <w:t xml:space="preserve"> that has no reuse value</w:t>
      </w:r>
      <w:r w:rsidR="00370DF0" w:rsidRPr="00C709BC">
        <w:rPr>
          <w:rFonts w:ascii="Arial" w:hAnsi="Arial" w:cs="Arial"/>
        </w:rPr>
        <w:t xml:space="preserve"> by rail to </w:t>
      </w:r>
      <w:r w:rsidR="00C60412" w:rsidRPr="00C709BC">
        <w:rPr>
          <w:rFonts w:ascii="Arial" w:hAnsi="Arial" w:cs="Arial"/>
        </w:rPr>
        <w:t>an out-of-</w:t>
      </w:r>
      <w:r w:rsidR="00997E24">
        <w:rPr>
          <w:rFonts w:ascii="Arial" w:hAnsi="Arial" w:cs="Arial"/>
        </w:rPr>
        <w:t>c</w:t>
      </w:r>
      <w:r w:rsidR="00C60412" w:rsidRPr="00C709BC">
        <w:rPr>
          <w:rFonts w:ascii="Arial" w:hAnsi="Arial" w:cs="Arial"/>
        </w:rPr>
        <w:t>ounty landfill</w:t>
      </w:r>
      <w:r w:rsidR="00577F16" w:rsidRPr="00C709BC">
        <w:rPr>
          <w:rFonts w:ascii="Arial" w:hAnsi="Arial" w:cs="Arial"/>
        </w:rPr>
        <w:t xml:space="preserve"> permitted </w:t>
      </w:r>
      <w:r w:rsidR="00097DF4" w:rsidRPr="00C709BC">
        <w:rPr>
          <w:rFonts w:ascii="Arial" w:hAnsi="Arial" w:cs="Arial"/>
        </w:rPr>
        <w:t xml:space="preserve">specifically </w:t>
      </w:r>
      <w:r w:rsidR="00577F16" w:rsidRPr="00C709BC">
        <w:rPr>
          <w:rFonts w:ascii="Arial" w:hAnsi="Arial" w:cs="Arial"/>
        </w:rPr>
        <w:t xml:space="preserve">for ash disposal. </w:t>
      </w:r>
      <w:r w:rsidR="001D536C">
        <w:rPr>
          <w:rFonts w:ascii="Arial" w:hAnsi="Arial" w:cs="Arial"/>
        </w:rPr>
        <w:t xml:space="preserve">The Consultant notes that </w:t>
      </w:r>
      <w:r w:rsidR="00136EB6">
        <w:rPr>
          <w:rFonts w:ascii="Arial" w:hAnsi="Arial" w:cs="Arial"/>
        </w:rPr>
        <w:t xml:space="preserve">an additional scenario of ash disposal at Cedar Hills could also be </w:t>
      </w:r>
      <w:r w:rsidR="00EC6BA5">
        <w:rPr>
          <w:rFonts w:ascii="Arial" w:hAnsi="Arial" w:cs="Arial"/>
        </w:rPr>
        <w:t>considered</w:t>
      </w:r>
      <w:r w:rsidR="00136EB6">
        <w:rPr>
          <w:rFonts w:ascii="Arial" w:hAnsi="Arial" w:cs="Arial"/>
        </w:rPr>
        <w:t xml:space="preserve"> and would provide reduced disposal costs. </w:t>
      </w:r>
    </w:p>
    <w:p w14:paraId="116CF8E8" w14:textId="1DE00DA7" w:rsidR="00D86C1E" w:rsidRDefault="00D86C1E" w:rsidP="004A4A09">
      <w:pPr>
        <w:pStyle w:val="ListParagraph0"/>
        <w:numPr>
          <w:ilvl w:val="0"/>
          <w:numId w:val="5"/>
        </w:numPr>
        <w:rPr>
          <w:rFonts w:ascii="Arial" w:hAnsi="Arial" w:cs="Arial"/>
        </w:rPr>
      </w:pPr>
      <w:r>
        <w:rPr>
          <w:rFonts w:ascii="Arial" w:hAnsi="Arial" w:cs="Arial"/>
        </w:rPr>
        <w:t xml:space="preserve">Hauling </w:t>
      </w:r>
      <w:r w:rsidR="00136EB6">
        <w:rPr>
          <w:rFonts w:ascii="Arial" w:hAnsi="Arial" w:cs="Arial"/>
        </w:rPr>
        <w:t>C</w:t>
      </w:r>
      <w:r>
        <w:rPr>
          <w:rFonts w:ascii="Arial" w:hAnsi="Arial" w:cs="Arial"/>
        </w:rPr>
        <w:t>osts</w:t>
      </w:r>
      <w:r w:rsidR="00136EB6">
        <w:rPr>
          <w:rFonts w:ascii="Arial" w:hAnsi="Arial" w:cs="Arial"/>
        </w:rPr>
        <w:t xml:space="preserve">: Included in the model are </w:t>
      </w:r>
      <w:r w:rsidR="00C63642">
        <w:rPr>
          <w:rFonts w:ascii="Arial" w:hAnsi="Arial" w:cs="Arial"/>
        </w:rPr>
        <w:t>the estimated</w:t>
      </w:r>
      <w:r w:rsidR="004E389E">
        <w:rPr>
          <w:rFonts w:ascii="Arial" w:hAnsi="Arial" w:cs="Arial"/>
        </w:rPr>
        <w:t xml:space="preserve"> costs to haul waste from existing transfer stations to </w:t>
      </w:r>
      <w:r w:rsidR="00C63642">
        <w:rPr>
          <w:rFonts w:ascii="Arial" w:hAnsi="Arial" w:cs="Arial"/>
        </w:rPr>
        <w:t>a WTE facility</w:t>
      </w:r>
      <w:r w:rsidR="001D608A">
        <w:rPr>
          <w:rFonts w:ascii="Arial" w:hAnsi="Arial" w:cs="Arial"/>
        </w:rPr>
        <w:t xml:space="preserve"> and the Feasibility Study notes t</w:t>
      </w:r>
      <w:r w:rsidR="00EA1476">
        <w:rPr>
          <w:rFonts w:ascii="Arial" w:hAnsi="Arial" w:cs="Arial"/>
        </w:rPr>
        <w:t>hat it assumes a similar distance from the transfer stations to the current landfill</w:t>
      </w:r>
      <w:r w:rsidR="004E3B56">
        <w:rPr>
          <w:rFonts w:ascii="Arial" w:hAnsi="Arial" w:cs="Arial"/>
        </w:rPr>
        <w:t>.</w:t>
      </w:r>
    </w:p>
    <w:p w14:paraId="5AE2EB1B" w14:textId="3C8D2B93" w:rsidR="00EB2B1B" w:rsidRDefault="00B80C7A" w:rsidP="004A4A09">
      <w:pPr>
        <w:pStyle w:val="ListParagraph0"/>
        <w:numPr>
          <w:ilvl w:val="0"/>
          <w:numId w:val="5"/>
        </w:numPr>
        <w:rPr>
          <w:rFonts w:ascii="Arial" w:hAnsi="Arial" w:cs="Arial"/>
        </w:rPr>
      </w:pPr>
      <w:r>
        <w:rPr>
          <w:rFonts w:ascii="Arial" w:hAnsi="Arial" w:cs="Arial"/>
        </w:rPr>
        <w:t xml:space="preserve">Revenues: </w:t>
      </w:r>
      <w:r w:rsidR="00EC6BA5">
        <w:rPr>
          <w:rFonts w:ascii="Arial" w:hAnsi="Arial" w:cs="Arial"/>
        </w:rPr>
        <w:t>The</w:t>
      </w:r>
      <w:r w:rsidR="00BD726A">
        <w:rPr>
          <w:rFonts w:ascii="Arial" w:hAnsi="Arial" w:cs="Arial"/>
        </w:rPr>
        <w:t xml:space="preserve"> O&amp;M figures cited above are offset by revenues from</w:t>
      </w:r>
      <w:r w:rsidR="0032284A">
        <w:rPr>
          <w:rFonts w:ascii="Arial" w:hAnsi="Arial" w:cs="Arial"/>
        </w:rPr>
        <w:t xml:space="preserve"> electricity sales, </w:t>
      </w:r>
      <w:r w:rsidR="00F33FD6">
        <w:rPr>
          <w:rFonts w:ascii="Arial" w:hAnsi="Arial" w:cs="Arial"/>
        </w:rPr>
        <w:t>sale of recovered metals, a</w:t>
      </w:r>
      <w:r w:rsidR="007A212C">
        <w:rPr>
          <w:rFonts w:ascii="Arial" w:hAnsi="Arial" w:cs="Arial"/>
        </w:rPr>
        <w:t xml:space="preserve">s well as assume revenue from </w:t>
      </w:r>
      <w:r w:rsidR="00637F0B">
        <w:rPr>
          <w:rFonts w:ascii="Arial" w:hAnsi="Arial" w:cs="Arial"/>
        </w:rPr>
        <w:t>acceptance of out-of-</w:t>
      </w:r>
      <w:r w:rsidR="00C667D5">
        <w:rPr>
          <w:rFonts w:ascii="Arial" w:hAnsi="Arial" w:cs="Arial"/>
        </w:rPr>
        <w:t>c</w:t>
      </w:r>
      <w:r w:rsidR="00637F0B">
        <w:rPr>
          <w:rFonts w:ascii="Arial" w:hAnsi="Arial" w:cs="Arial"/>
        </w:rPr>
        <w:t>ounty waste</w:t>
      </w:r>
      <w:r w:rsidR="00D300F7">
        <w:rPr>
          <w:rFonts w:ascii="Arial" w:hAnsi="Arial" w:cs="Arial"/>
        </w:rPr>
        <w:t xml:space="preserve">. </w:t>
      </w:r>
      <w:r w:rsidR="00484183">
        <w:rPr>
          <w:rFonts w:ascii="Arial" w:hAnsi="Arial" w:cs="Arial"/>
        </w:rPr>
        <w:t>Executive staff indicate that the</w:t>
      </w:r>
      <w:r w:rsidR="004802FF">
        <w:rPr>
          <w:rFonts w:ascii="Arial" w:hAnsi="Arial" w:cs="Arial"/>
        </w:rPr>
        <w:t xml:space="preserve"> available facility capacity for out-of-county waste </w:t>
      </w:r>
      <w:r w:rsidR="00C03217">
        <w:rPr>
          <w:rFonts w:ascii="Arial" w:hAnsi="Arial" w:cs="Arial"/>
        </w:rPr>
        <w:t>was</w:t>
      </w:r>
      <w:r w:rsidR="004802FF">
        <w:rPr>
          <w:rFonts w:ascii="Arial" w:hAnsi="Arial" w:cs="Arial"/>
        </w:rPr>
        <w:t xml:space="preserve"> determined by subtracting the projected Ki</w:t>
      </w:r>
      <w:r w:rsidR="002937DB">
        <w:rPr>
          <w:rFonts w:ascii="Arial" w:hAnsi="Arial" w:cs="Arial"/>
        </w:rPr>
        <w:t xml:space="preserve">ng County waste from the </w:t>
      </w:r>
      <w:r w:rsidR="00C03217">
        <w:rPr>
          <w:rFonts w:ascii="Arial" w:hAnsi="Arial" w:cs="Arial"/>
        </w:rPr>
        <w:t>design</w:t>
      </w:r>
      <w:r w:rsidR="002937DB">
        <w:rPr>
          <w:rFonts w:ascii="Arial" w:hAnsi="Arial" w:cs="Arial"/>
        </w:rPr>
        <w:t xml:space="preserve"> capacity</w:t>
      </w:r>
      <w:r w:rsidR="00C03217">
        <w:rPr>
          <w:rFonts w:ascii="Arial" w:hAnsi="Arial" w:cs="Arial"/>
        </w:rPr>
        <w:t xml:space="preserve"> of the facility</w:t>
      </w:r>
      <w:r w:rsidR="002937DB">
        <w:rPr>
          <w:rFonts w:ascii="Arial" w:hAnsi="Arial" w:cs="Arial"/>
        </w:rPr>
        <w:t xml:space="preserve"> in a given year, but that the</w:t>
      </w:r>
      <w:r w:rsidR="00484183">
        <w:rPr>
          <w:rFonts w:ascii="Arial" w:hAnsi="Arial" w:cs="Arial"/>
        </w:rPr>
        <w:t xml:space="preserve"> </w:t>
      </w:r>
      <w:r w:rsidR="00FC6EAA">
        <w:rPr>
          <w:rFonts w:ascii="Arial" w:hAnsi="Arial" w:cs="Arial"/>
        </w:rPr>
        <w:t xml:space="preserve">interest on the part of non-County jurisdictions </w:t>
      </w:r>
      <w:r w:rsidR="00BF3CAE">
        <w:rPr>
          <w:rFonts w:ascii="Arial" w:hAnsi="Arial" w:cs="Arial"/>
        </w:rPr>
        <w:t>was not specifically</w:t>
      </w:r>
      <w:r w:rsidR="004802FF">
        <w:rPr>
          <w:rFonts w:ascii="Arial" w:hAnsi="Arial" w:cs="Arial"/>
        </w:rPr>
        <w:t xml:space="preserve"> evaluated as part of this Study</w:t>
      </w:r>
      <w:r w:rsidR="002937DB">
        <w:rPr>
          <w:rFonts w:ascii="Arial" w:hAnsi="Arial" w:cs="Arial"/>
        </w:rPr>
        <w:t>.</w:t>
      </w:r>
      <w:r w:rsidR="004802FF">
        <w:rPr>
          <w:rFonts w:ascii="Arial" w:hAnsi="Arial" w:cs="Arial"/>
        </w:rPr>
        <w:t xml:space="preserve"> </w:t>
      </w:r>
    </w:p>
    <w:p w14:paraId="2771F4DD" w14:textId="77777777" w:rsidR="00C667D5" w:rsidRDefault="00C667D5" w:rsidP="004A4A09">
      <w:pPr>
        <w:pStyle w:val="ListParagraph0"/>
        <w:numPr>
          <w:ilvl w:val="0"/>
          <w:numId w:val="5"/>
        </w:numPr>
        <w:rPr>
          <w:rFonts w:ascii="Arial" w:hAnsi="Arial" w:cs="Arial"/>
        </w:rPr>
      </w:pPr>
      <w:r>
        <w:rPr>
          <w:rFonts w:ascii="Arial" w:hAnsi="Arial" w:cs="Arial"/>
        </w:rPr>
        <w:t>“Throughput Guarantee”: T</w:t>
      </w:r>
      <w:r w:rsidRPr="00C709BC">
        <w:rPr>
          <w:rFonts w:ascii="Arial" w:hAnsi="Arial" w:cs="Arial"/>
        </w:rPr>
        <w:t xml:space="preserve">he </w:t>
      </w:r>
      <w:r>
        <w:rPr>
          <w:rFonts w:ascii="Arial" w:hAnsi="Arial" w:cs="Arial"/>
        </w:rPr>
        <w:t xml:space="preserve">Consultant </w:t>
      </w:r>
      <w:r w:rsidRPr="00C709BC">
        <w:rPr>
          <w:rFonts w:ascii="Arial" w:hAnsi="Arial" w:cs="Arial"/>
        </w:rPr>
        <w:t xml:space="preserve">assumes an “annual throughput guarantee” to the facility operator, which </w:t>
      </w:r>
      <w:r>
        <w:rPr>
          <w:rFonts w:ascii="Arial" w:hAnsi="Arial" w:cs="Arial"/>
        </w:rPr>
        <w:t>provides that a certain amount of waste will be provided to the facility.</w:t>
      </w:r>
    </w:p>
    <w:p w14:paraId="72644E5F" w14:textId="77777777" w:rsidR="00B91887" w:rsidRDefault="00B91887" w:rsidP="00B91887">
      <w:pPr>
        <w:rPr>
          <w:rFonts w:ascii="Arial" w:hAnsi="Arial" w:cs="Arial"/>
        </w:rPr>
      </w:pPr>
    </w:p>
    <w:p w14:paraId="47F33515" w14:textId="18B66202" w:rsidR="00275BFC" w:rsidRDefault="00275BFC" w:rsidP="00275BFC">
      <w:pPr>
        <w:jc w:val="both"/>
        <w:rPr>
          <w:rFonts w:ascii="Arial" w:hAnsi="Arial" w:cs="Arial"/>
        </w:rPr>
      </w:pPr>
      <w:r>
        <w:rPr>
          <w:rFonts w:ascii="Arial" w:hAnsi="Arial" w:cs="Arial"/>
        </w:rPr>
        <w:t>As noted previously, the</w:t>
      </w:r>
      <w:r w:rsidR="005223A4">
        <w:rPr>
          <w:rFonts w:ascii="Arial" w:hAnsi="Arial" w:cs="Arial"/>
        </w:rPr>
        <w:t xml:space="preserve"> Consultant indicates that the</w:t>
      </w:r>
      <w:r>
        <w:rPr>
          <w:rFonts w:ascii="Arial" w:hAnsi="Arial" w:cs="Arial"/>
        </w:rPr>
        <w:t xml:space="preserve"> </w:t>
      </w:r>
      <w:r w:rsidR="002F4154">
        <w:rPr>
          <w:rFonts w:ascii="Arial" w:hAnsi="Arial" w:cs="Arial"/>
        </w:rPr>
        <w:t>model-</w:t>
      </w:r>
      <w:r>
        <w:rPr>
          <w:rFonts w:ascii="Arial" w:hAnsi="Arial" w:cs="Arial"/>
        </w:rPr>
        <w:t>generated estimates are influenced by a variety of variables and assumptions</w:t>
      </w:r>
      <w:r w:rsidR="003D7687">
        <w:rPr>
          <w:rFonts w:ascii="Arial" w:hAnsi="Arial" w:cs="Arial"/>
        </w:rPr>
        <w:t>. The top five risks or assumptions impacting the financial model</w:t>
      </w:r>
      <w:r w:rsidR="00267D40">
        <w:rPr>
          <w:rFonts w:ascii="Arial" w:hAnsi="Arial" w:cs="Arial"/>
        </w:rPr>
        <w:t xml:space="preserve"> identified by the Consultant are summarized in Table </w:t>
      </w:r>
      <w:r w:rsidR="00012349">
        <w:rPr>
          <w:rFonts w:ascii="Arial" w:hAnsi="Arial" w:cs="Arial"/>
        </w:rPr>
        <w:t>6</w:t>
      </w:r>
      <w:r w:rsidR="00267D40">
        <w:rPr>
          <w:rFonts w:ascii="Arial" w:hAnsi="Arial" w:cs="Arial"/>
        </w:rPr>
        <w:t xml:space="preserve">. </w:t>
      </w:r>
    </w:p>
    <w:p w14:paraId="6D012A91" w14:textId="77777777" w:rsidR="008D5C45" w:rsidRDefault="008D5C45" w:rsidP="00275BFC">
      <w:pPr>
        <w:rPr>
          <w:rFonts w:ascii="Arial" w:hAnsi="Arial" w:cs="Arial"/>
          <w:b/>
        </w:rPr>
      </w:pPr>
    </w:p>
    <w:p w14:paraId="68BE17AA" w14:textId="72B44B4A" w:rsidR="00275BFC" w:rsidRPr="00D6355C" w:rsidRDefault="00275BFC" w:rsidP="00275BFC">
      <w:pPr>
        <w:jc w:val="center"/>
        <w:rPr>
          <w:rFonts w:ascii="Arial" w:hAnsi="Arial" w:cs="Arial"/>
          <w:b/>
        </w:rPr>
      </w:pPr>
      <w:r>
        <w:rPr>
          <w:rFonts w:ascii="Arial" w:hAnsi="Arial" w:cs="Arial"/>
          <w:b/>
        </w:rPr>
        <w:t xml:space="preserve">Table </w:t>
      </w:r>
      <w:r w:rsidR="003F4F77">
        <w:rPr>
          <w:rFonts w:ascii="Arial" w:hAnsi="Arial" w:cs="Arial"/>
          <w:b/>
        </w:rPr>
        <w:t>6</w:t>
      </w:r>
      <w:r>
        <w:rPr>
          <w:rFonts w:ascii="Arial" w:hAnsi="Arial" w:cs="Arial"/>
          <w:b/>
        </w:rPr>
        <w:t xml:space="preserve">. Top Five Risks or Assumptions Impacting the WTE Facility Financial Model as Identified in the Feasibility Study </w:t>
      </w:r>
    </w:p>
    <w:p w14:paraId="5F9ED6D5" w14:textId="77777777" w:rsidR="00275BFC" w:rsidRDefault="00275BFC" w:rsidP="00275BFC">
      <w:pPr>
        <w:jc w:val="both"/>
        <w:rPr>
          <w:rFonts w:ascii="Arial" w:hAnsi="Arial" w:cs="Arial"/>
        </w:rPr>
      </w:pPr>
    </w:p>
    <w:tbl>
      <w:tblPr>
        <w:tblStyle w:val="TableGrid1"/>
        <w:tblW w:w="9201" w:type="dxa"/>
        <w:jc w:val="center"/>
        <w:tblLook w:val="04A0" w:firstRow="1" w:lastRow="0" w:firstColumn="1" w:lastColumn="0" w:noHBand="0" w:noVBand="1"/>
      </w:tblPr>
      <w:tblGrid>
        <w:gridCol w:w="9201"/>
      </w:tblGrid>
      <w:tr w:rsidR="005223A4" w:rsidRPr="00CB10A9" w14:paraId="2BDD69A0" w14:textId="77777777" w:rsidTr="005223A4">
        <w:trPr>
          <w:jc w:val="center"/>
        </w:trPr>
        <w:tc>
          <w:tcPr>
            <w:tcW w:w="9201" w:type="dxa"/>
            <w:shd w:val="clear" w:color="auto" w:fill="000000" w:themeFill="text1"/>
            <w:vAlign w:val="bottom"/>
          </w:tcPr>
          <w:p w14:paraId="232DB74A" w14:textId="77777777" w:rsidR="005223A4" w:rsidRPr="00CB10A9" w:rsidRDefault="005223A4" w:rsidP="007D74D4">
            <w:pPr>
              <w:jc w:val="center"/>
              <w:rPr>
                <w:rFonts w:ascii="Arial" w:hAnsi="Arial" w:cs="Arial"/>
                <w:b/>
                <w:color w:val="FFFFFF" w:themeColor="background1"/>
                <w:sz w:val="22"/>
              </w:rPr>
            </w:pPr>
            <w:r w:rsidRPr="00CB10A9">
              <w:rPr>
                <w:rFonts w:ascii="Arial" w:hAnsi="Arial" w:cs="Arial"/>
                <w:b/>
                <w:sz w:val="22"/>
              </w:rPr>
              <w:t xml:space="preserve">Risks or Assumptions Impacting Financial Model </w:t>
            </w:r>
          </w:p>
        </w:tc>
      </w:tr>
      <w:tr w:rsidR="005223A4" w:rsidRPr="00CB10A9" w14:paraId="0F26F07B" w14:textId="77777777" w:rsidTr="005223A4">
        <w:trPr>
          <w:jc w:val="center"/>
        </w:trPr>
        <w:tc>
          <w:tcPr>
            <w:tcW w:w="9201" w:type="dxa"/>
            <w:vAlign w:val="bottom"/>
          </w:tcPr>
          <w:p w14:paraId="2B892131" w14:textId="2DEA88B6" w:rsidR="005223A4" w:rsidRPr="00CB10A9" w:rsidRDefault="005223A4" w:rsidP="004A4A09">
            <w:pPr>
              <w:pStyle w:val="ListParagraph0"/>
              <w:numPr>
                <w:ilvl w:val="0"/>
                <w:numId w:val="6"/>
              </w:numPr>
              <w:spacing w:line="240" w:lineRule="auto"/>
              <w:ind w:left="166" w:hanging="180"/>
              <w:contextualSpacing/>
              <w:rPr>
                <w:rFonts w:ascii="Arial" w:hAnsi="Arial" w:cs="Arial"/>
                <w:sz w:val="22"/>
                <w:szCs w:val="22"/>
              </w:rPr>
            </w:pPr>
            <w:r w:rsidRPr="00CB10A9">
              <w:rPr>
                <w:rFonts w:ascii="Arial" w:hAnsi="Arial" w:cs="Arial"/>
                <w:b/>
                <w:sz w:val="22"/>
                <w:szCs w:val="22"/>
              </w:rPr>
              <w:t>Facility capacity and tonnage projections.</w:t>
            </w:r>
            <w:r w:rsidRPr="00CB10A9">
              <w:rPr>
                <w:rFonts w:ascii="Arial" w:hAnsi="Arial" w:cs="Arial"/>
                <w:sz w:val="22"/>
                <w:szCs w:val="22"/>
              </w:rPr>
              <w:t xml:space="preserve"> If the larger facility capacity option is selected and the actual waste processed is significantly lower (e.g., County not able to </w:t>
            </w:r>
            <w:r w:rsidR="00104112">
              <w:rPr>
                <w:rFonts w:ascii="Arial" w:hAnsi="Arial" w:cs="Arial"/>
                <w:sz w:val="22"/>
                <w:szCs w:val="22"/>
              </w:rPr>
              <w:t>secure</w:t>
            </w:r>
            <w:r w:rsidRPr="00CB10A9">
              <w:rPr>
                <w:rFonts w:ascii="Arial" w:hAnsi="Arial" w:cs="Arial"/>
                <w:sz w:val="22"/>
                <w:szCs w:val="22"/>
              </w:rPr>
              <w:t xml:space="preserve"> out-of-county waste</w:t>
            </w:r>
            <w:r w:rsidR="00104112">
              <w:rPr>
                <w:rFonts w:ascii="Arial" w:hAnsi="Arial" w:cs="Arial"/>
                <w:sz w:val="22"/>
                <w:szCs w:val="22"/>
              </w:rPr>
              <w:t xml:space="preserve"> to process</w:t>
            </w:r>
            <w:r w:rsidRPr="00CB10A9">
              <w:rPr>
                <w:rFonts w:ascii="Arial" w:hAnsi="Arial" w:cs="Arial"/>
                <w:sz w:val="22"/>
                <w:szCs w:val="22"/>
              </w:rPr>
              <w:t>), the cost per ton of waste may increase.</w:t>
            </w:r>
            <w:r w:rsidR="0033689E">
              <w:rPr>
                <w:rFonts w:ascii="Arial" w:hAnsi="Arial" w:cs="Arial"/>
                <w:sz w:val="22"/>
                <w:szCs w:val="22"/>
              </w:rPr>
              <w:t xml:space="preserve"> The Feasibility Study notes that </w:t>
            </w:r>
            <w:r w:rsidR="00EA296F">
              <w:rPr>
                <w:rFonts w:ascii="Arial" w:hAnsi="Arial" w:cs="Arial"/>
                <w:sz w:val="22"/>
                <w:szCs w:val="22"/>
              </w:rPr>
              <w:t>the cost per ton would be nine percent higher if excess waste c</w:t>
            </w:r>
            <w:r w:rsidR="009F2EAC">
              <w:rPr>
                <w:rFonts w:ascii="Arial" w:hAnsi="Arial" w:cs="Arial"/>
                <w:sz w:val="22"/>
                <w:szCs w:val="22"/>
              </w:rPr>
              <w:t xml:space="preserve">apacity is not successfully sold, however, </w:t>
            </w:r>
            <w:r w:rsidR="004A1478">
              <w:rPr>
                <w:rFonts w:ascii="Arial" w:hAnsi="Arial" w:cs="Arial"/>
                <w:sz w:val="22"/>
                <w:szCs w:val="22"/>
              </w:rPr>
              <w:t xml:space="preserve">indicates </w:t>
            </w:r>
            <w:r w:rsidR="009F2EAC">
              <w:rPr>
                <w:rFonts w:ascii="Arial" w:hAnsi="Arial" w:cs="Arial"/>
                <w:sz w:val="22"/>
                <w:szCs w:val="22"/>
              </w:rPr>
              <w:t>that this is still less than the waste export by rail costs over the 50-year term.</w:t>
            </w:r>
          </w:p>
          <w:p w14:paraId="46CB1889" w14:textId="16071326" w:rsidR="005223A4" w:rsidRPr="00CB10A9" w:rsidRDefault="004A1478" w:rsidP="004A4A09">
            <w:pPr>
              <w:pStyle w:val="ListParagraph0"/>
              <w:numPr>
                <w:ilvl w:val="0"/>
                <w:numId w:val="6"/>
              </w:numPr>
              <w:spacing w:line="240" w:lineRule="auto"/>
              <w:ind w:left="166" w:hanging="180"/>
              <w:contextualSpacing/>
              <w:rPr>
                <w:rFonts w:ascii="Arial" w:hAnsi="Arial" w:cs="Arial"/>
                <w:b/>
                <w:sz w:val="22"/>
                <w:szCs w:val="22"/>
              </w:rPr>
            </w:pPr>
            <w:r>
              <w:rPr>
                <w:rFonts w:ascii="Arial" w:hAnsi="Arial" w:cs="Arial"/>
                <w:b/>
                <w:sz w:val="22"/>
                <w:szCs w:val="22"/>
              </w:rPr>
              <w:t>Electricity</w:t>
            </w:r>
            <w:r w:rsidR="005223A4" w:rsidRPr="00CB10A9">
              <w:rPr>
                <w:rFonts w:ascii="Arial" w:hAnsi="Arial" w:cs="Arial"/>
                <w:b/>
                <w:sz w:val="22"/>
                <w:szCs w:val="22"/>
              </w:rPr>
              <w:t xml:space="preserve"> sales revenues. </w:t>
            </w:r>
            <w:r w:rsidR="005223A4" w:rsidRPr="00CB10A9">
              <w:rPr>
                <w:rFonts w:ascii="Arial" w:hAnsi="Arial" w:cs="Arial"/>
                <w:sz w:val="22"/>
                <w:szCs w:val="22"/>
              </w:rPr>
              <w:t xml:space="preserve">Given that electricity sales make up </w:t>
            </w:r>
            <w:r w:rsidR="00EA296F">
              <w:rPr>
                <w:rFonts w:ascii="Arial" w:hAnsi="Arial" w:cs="Arial"/>
                <w:sz w:val="22"/>
                <w:szCs w:val="22"/>
              </w:rPr>
              <w:t>two-thirds</w:t>
            </w:r>
            <w:r w:rsidR="005223A4" w:rsidRPr="00CB10A9">
              <w:rPr>
                <w:rFonts w:ascii="Arial" w:hAnsi="Arial" w:cs="Arial"/>
                <w:sz w:val="22"/>
                <w:szCs w:val="22"/>
              </w:rPr>
              <w:t xml:space="preserve"> of estimated revenues, deviations higher or lower may impact the cost per ton. </w:t>
            </w:r>
          </w:p>
          <w:p w14:paraId="78792166" w14:textId="422F95D9" w:rsidR="005223A4" w:rsidRPr="00CB10A9" w:rsidRDefault="005223A4" w:rsidP="004A4A09">
            <w:pPr>
              <w:pStyle w:val="ListParagraph0"/>
              <w:numPr>
                <w:ilvl w:val="0"/>
                <w:numId w:val="6"/>
              </w:numPr>
              <w:spacing w:line="240" w:lineRule="auto"/>
              <w:ind w:left="166" w:hanging="180"/>
              <w:contextualSpacing/>
              <w:rPr>
                <w:rFonts w:ascii="Arial" w:hAnsi="Arial" w:cs="Arial"/>
                <w:b/>
                <w:sz w:val="22"/>
                <w:szCs w:val="22"/>
              </w:rPr>
            </w:pPr>
            <w:r w:rsidRPr="00CB10A9">
              <w:rPr>
                <w:rFonts w:ascii="Arial" w:hAnsi="Arial" w:cs="Arial"/>
                <w:b/>
                <w:sz w:val="22"/>
                <w:szCs w:val="22"/>
              </w:rPr>
              <w:t xml:space="preserve">Carbon sequestration. </w:t>
            </w:r>
            <w:r w:rsidRPr="00CB10A9">
              <w:rPr>
                <w:rFonts w:ascii="Arial" w:hAnsi="Arial" w:cs="Arial"/>
                <w:sz w:val="22"/>
                <w:szCs w:val="22"/>
              </w:rPr>
              <w:t xml:space="preserve">The 2019 Clean Energy Transformation Act passed by the legislature </w:t>
            </w:r>
            <w:r w:rsidR="00500DF6">
              <w:rPr>
                <w:rFonts w:ascii="Arial" w:hAnsi="Arial" w:cs="Arial"/>
                <w:sz w:val="22"/>
                <w:szCs w:val="22"/>
              </w:rPr>
              <w:t xml:space="preserve">(and described later in the staff report) </w:t>
            </w:r>
            <w:r w:rsidR="00CD5E2B">
              <w:rPr>
                <w:rFonts w:ascii="Arial" w:hAnsi="Arial" w:cs="Arial"/>
                <w:sz w:val="22"/>
                <w:szCs w:val="22"/>
              </w:rPr>
              <w:t>imposes new requirements for electricity generation.</w:t>
            </w:r>
            <w:r w:rsidRPr="00CB10A9">
              <w:rPr>
                <w:rFonts w:ascii="Arial" w:hAnsi="Arial" w:cs="Arial"/>
                <w:sz w:val="22"/>
                <w:szCs w:val="22"/>
              </w:rPr>
              <w:t xml:space="preserve"> According to the Study, to meet the carbon neutral requirements, a new WTE facility may be able to offset emissions through carbon sequestration, however uncertainties remain </w:t>
            </w:r>
            <w:r w:rsidR="004A31FA">
              <w:rPr>
                <w:rFonts w:ascii="Arial" w:hAnsi="Arial" w:cs="Arial"/>
                <w:sz w:val="22"/>
                <w:szCs w:val="22"/>
              </w:rPr>
              <w:t>related to</w:t>
            </w:r>
            <w:r w:rsidRPr="00CB10A9">
              <w:rPr>
                <w:rFonts w:ascii="Arial" w:hAnsi="Arial" w:cs="Arial"/>
                <w:sz w:val="22"/>
                <w:szCs w:val="22"/>
              </w:rPr>
              <w:t xml:space="preserve"> technologies at </w:t>
            </w:r>
            <w:r w:rsidR="004A31FA">
              <w:rPr>
                <w:rFonts w:ascii="Arial" w:hAnsi="Arial" w:cs="Arial"/>
                <w:sz w:val="22"/>
                <w:szCs w:val="22"/>
              </w:rPr>
              <w:t xml:space="preserve">the </w:t>
            </w:r>
            <w:r w:rsidRPr="00CB10A9">
              <w:rPr>
                <w:rFonts w:ascii="Arial" w:hAnsi="Arial" w:cs="Arial"/>
                <w:sz w:val="22"/>
                <w:szCs w:val="22"/>
              </w:rPr>
              <w:t xml:space="preserve">scale </w:t>
            </w:r>
            <w:r w:rsidR="004A31FA">
              <w:rPr>
                <w:rFonts w:ascii="Arial" w:hAnsi="Arial" w:cs="Arial"/>
                <w:sz w:val="22"/>
                <w:szCs w:val="22"/>
              </w:rPr>
              <w:t xml:space="preserve">that would be needed by the County </w:t>
            </w:r>
            <w:r w:rsidRPr="00CB10A9">
              <w:rPr>
                <w:rFonts w:ascii="Arial" w:hAnsi="Arial" w:cs="Arial"/>
                <w:sz w:val="22"/>
                <w:szCs w:val="22"/>
              </w:rPr>
              <w:t xml:space="preserve">and in how the </w:t>
            </w:r>
            <w:r w:rsidR="00E57363">
              <w:rPr>
                <w:rFonts w:ascii="Arial" w:hAnsi="Arial" w:cs="Arial"/>
                <w:sz w:val="22"/>
                <w:szCs w:val="22"/>
              </w:rPr>
              <w:t xml:space="preserve">state </w:t>
            </w:r>
            <w:r w:rsidRPr="00CB10A9">
              <w:rPr>
                <w:rFonts w:ascii="Arial" w:hAnsi="Arial" w:cs="Arial"/>
                <w:sz w:val="22"/>
                <w:szCs w:val="22"/>
              </w:rPr>
              <w:t>law will be implemented</w:t>
            </w:r>
            <w:r w:rsidR="00E57363">
              <w:rPr>
                <w:rFonts w:ascii="Arial" w:hAnsi="Arial" w:cs="Arial"/>
                <w:sz w:val="22"/>
                <w:szCs w:val="22"/>
              </w:rPr>
              <w:t xml:space="preserve"> over time</w:t>
            </w:r>
            <w:r w:rsidRPr="00CB10A9">
              <w:rPr>
                <w:rFonts w:ascii="Arial" w:hAnsi="Arial" w:cs="Arial"/>
                <w:sz w:val="22"/>
                <w:szCs w:val="22"/>
              </w:rPr>
              <w:t>.</w:t>
            </w:r>
          </w:p>
          <w:p w14:paraId="5A0339E4" w14:textId="5D910BB9" w:rsidR="005223A4" w:rsidRPr="00872F52" w:rsidRDefault="005223A4" w:rsidP="004A4A09">
            <w:pPr>
              <w:pStyle w:val="ListParagraph0"/>
              <w:numPr>
                <w:ilvl w:val="0"/>
                <w:numId w:val="6"/>
              </w:numPr>
              <w:spacing w:line="240" w:lineRule="auto"/>
              <w:ind w:left="166" w:hanging="180"/>
              <w:contextualSpacing/>
              <w:rPr>
                <w:rFonts w:ascii="Arial" w:hAnsi="Arial" w:cs="Arial"/>
                <w:b/>
                <w:sz w:val="22"/>
                <w:szCs w:val="22"/>
              </w:rPr>
            </w:pPr>
            <w:r w:rsidRPr="00CB10A9">
              <w:rPr>
                <w:rFonts w:ascii="Arial" w:hAnsi="Arial" w:cs="Arial"/>
                <w:b/>
                <w:sz w:val="22"/>
                <w:szCs w:val="22"/>
              </w:rPr>
              <w:t xml:space="preserve">Escalation Rate. </w:t>
            </w:r>
            <w:r w:rsidR="00E57363">
              <w:rPr>
                <w:rFonts w:ascii="Arial" w:hAnsi="Arial" w:cs="Arial"/>
                <w:sz w:val="22"/>
                <w:szCs w:val="22"/>
              </w:rPr>
              <w:t>The c</w:t>
            </w:r>
            <w:r w:rsidRPr="00CB10A9">
              <w:rPr>
                <w:rFonts w:ascii="Arial" w:hAnsi="Arial" w:cs="Arial"/>
                <w:sz w:val="22"/>
                <w:szCs w:val="22"/>
              </w:rPr>
              <w:t xml:space="preserve">urrent CPI estimate </w:t>
            </w:r>
            <w:r w:rsidR="00E57363">
              <w:rPr>
                <w:rFonts w:ascii="Arial" w:hAnsi="Arial" w:cs="Arial"/>
                <w:sz w:val="22"/>
                <w:szCs w:val="22"/>
              </w:rPr>
              <w:t xml:space="preserve">of three percent </w:t>
            </w:r>
            <w:r w:rsidRPr="00CB10A9">
              <w:rPr>
                <w:rFonts w:ascii="Arial" w:hAnsi="Arial" w:cs="Arial"/>
                <w:sz w:val="22"/>
                <w:szCs w:val="22"/>
              </w:rPr>
              <w:t xml:space="preserve">was used for all costs except </w:t>
            </w:r>
            <w:r w:rsidR="00E57363">
              <w:rPr>
                <w:rFonts w:ascii="Arial" w:hAnsi="Arial" w:cs="Arial"/>
                <w:sz w:val="22"/>
                <w:szCs w:val="22"/>
              </w:rPr>
              <w:t>electricity</w:t>
            </w:r>
            <w:r w:rsidRPr="00CB10A9">
              <w:rPr>
                <w:rFonts w:ascii="Arial" w:hAnsi="Arial" w:cs="Arial"/>
                <w:sz w:val="22"/>
                <w:szCs w:val="22"/>
              </w:rPr>
              <w:t xml:space="preserve"> revenue, but actual CPI may vary over time.</w:t>
            </w:r>
          </w:p>
          <w:p w14:paraId="48D0D923" w14:textId="5573A025" w:rsidR="005223A4" w:rsidRPr="00872F52" w:rsidRDefault="005223A4" w:rsidP="004A4A09">
            <w:pPr>
              <w:pStyle w:val="ListParagraph0"/>
              <w:numPr>
                <w:ilvl w:val="0"/>
                <w:numId w:val="6"/>
              </w:numPr>
              <w:spacing w:line="240" w:lineRule="auto"/>
              <w:ind w:left="166" w:hanging="180"/>
              <w:contextualSpacing/>
              <w:rPr>
                <w:rFonts w:ascii="Arial" w:hAnsi="Arial" w:cs="Arial"/>
                <w:b/>
                <w:sz w:val="22"/>
                <w:szCs w:val="22"/>
              </w:rPr>
            </w:pPr>
            <w:r w:rsidRPr="00872F52">
              <w:rPr>
                <w:rFonts w:ascii="Arial" w:hAnsi="Arial" w:cs="Arial"/>
                <w:b/>
                <w:sz w:val="22"/>
                <w:szCs w:val="22"/>
              </w:rPr>
              <w:t xml:space="preserve">Materials Recovery. </w:t>
            </w:r>
            <w:r w:rsidRPr="00872F52">
              <w:rPr>
                <w:rFonts w:ascii="Arial" w:hAnsi="Arial" w:cs="Arial"/>
                <w:sz w:val="22"/>
                <w:szCs w:val="22"/>
              </w:rPr>
              <w:t xml:space="preserve">Quantity of metals </w:t>
            </w:r>
            <w:r w:rsidR="00130EF3">
              <w:rPr>
                <w:rFonts w:ascii="Arial" w:hAnsi="Arial" w:cs="Arial"/>
                <w:sz w:val="22"/>
                <w:szCs w:val="22"/>
              </w:rPr>
              <w:t>recovered and</w:t>
            </w:r>
            <w:r w:rsidRPr="00872F52">
              <w:rPr>
                <w:rFonts w:ascii="Arial" w:hAnsi="Arial" w:cs="Arial"/>
                <w:sz w:val="22"/>
                <w:szCs w:val="22"/>
              </w:rPr>
              <w:t xml:space="preserve"> associated revenues, </w:t>
            </w:r>
            <w:r w:rsidR="00130EF3">
              <w:rPr>
                <w:rFonts w:ascii="Arial" w:hAnsi="Arial" w:cs="Arial"/>
                <w:sz w:val="22"/>
                <w:szCs w:val="22"/>
              </w:rPr>
              <w:t>as well as the</w:t>
            </w:r>
            <w:r w:rsidRPr="00872F52">
              <w:rPr>
                <w:rFonts w:ascii="Arial" w:hAnsi="Arial" w:cs="Arial"/>
                <w:sz w:val="22"/>
                <w:szCs w:val="22"/>
              </w:rPr>
              <w:t xml:space="preserve"> reduction of ash for disposal</w:t>
            </w:r>
            <w:r w:rsidR="00621D97">
              <w:rPr>
                <w:rFonts w:ascii="Arial" w:hAnsi="Arial" w:cs="Arial"/>
                <w:sz w:val="22"/>
                <w:szCs w:val="22"/>
              </w:rPr>
              <w:t xml:space="preserve"> through reuse opportunities</w:t>
            </w:r>
            <w:r w:rsidRPr="00872F52">
              <w:rPr>
                <w:rFonts w:ascii="Arial" w:hAnsi="Arial" w:cs="Arial"/>
                <w:sz w:val="22"/>
                <w:szCs w:val="22"/>
              </w:rPr>
              <w:t xml:space="preserve"> may impact costs and revenues, relative to the model assumptions.</w:t>
            </w:r>
          </w:p>
        </w:tc>
      </w:tr>
    </w:tbl>
    <w:p w14:paraId="6F90D1BD" w14:textId="77777777" w:rsidR="00275BFC" w:rsidRDefault="00275BFC" w:rsidP="00275BFC">
      <w:pPr>
        <w:jc w:val="both"/>
        <w:rPr>
          <w:rFonts w:ascii="Arial" w:hAnsi="Arial" w:cs="Arial"/>
          <w:b/>
        </w:rPr>
      </w:pPr>
    </w:p>
    <w:p w14:paraId="43FCF9BF" w14:textId="2C269CB0" w:rsidR="00B86ECD" w:rsidRDefault="00BC0B5E" w:rsidP="00C12660">
      <w:pPr>
        <w:rPr>
          <w:rFonts w:ascii="Arial" w:hAnsi="Arial" w:cs="Arial"/>
        </w:rPr>
      </w:pPr>
      <w:r>
        <w:rPr>
          <w:rFonts w:ascii="Arial" w:hAnsi="Arial" w:cs="Arial"/>
        </w:rPr>
        <w:t>While the financial model assumes long-term bond financing, t</w:t>
      </w:r>
      <w:r w:rsidR="00AA5514">
        <w:rPr>
          <w:rFonts w:ascii="Arial" w:hAnsi="Arial" w:cs="Arial"/>
        </w:rPr>
        <w:t xml:space="preserve">he Consultant notes that </w:t>
      </w:r>
      <w:r w:rsidR="00EC7E85">
        <w:rPr>
          <w:rFonts w:ascii="Arial" w:hAnsi="Arial" w:cs="Arial"/>
        </w:rPr>
        <w:t>third-party financing as part of a contract to design, build, and operate a facility</w:t>
      </w:r>
      <w:r w:rsidR="004A31FA">
        <w:rPr>
          <w:rFonts w:ascii="Arial" w:hAnsi="Arial" w:cs="Arial"/>
        </w:rPr>
        <w:t xml:space="preserve"> may be possible</w:t>
      </w:r>
      <w:r>
        <w:rPr>
          <w:rFonts w:ascii="Arial" w:hAnsi="Arial" w:cs="Arial"/>
        </w:rPr>
        <w:t xml:space="preserve">. The Feasibility Study concludes that </w:t>
      </w:r>
      <w:r w:rsidR="00203701">
        <w:rPr>
          <w:rFonts w:ascii="Arial" w:hAnsi="Arial" w:cs="Arial"/>
        </w:rPr>
        <w:t>this option typically costs more than long-term bond financing</w:t>
      </w:r>
      <w:r w:rsidR="00FF60CB">
        <w:rPr>
          <w:rFonts w:ascii="Arial" w:hAnsi="Arial" w:cs="Arial"/>
        </w:rPr>
        <w:t xml:space="preserve"> since the contracting entity is taking on more risk for the project and the County would not have the advantages of facility ownership. </w:t>
      </w:r>
    </w:p>
    <w:p w14:paraId="29D45B9E" w14:textId="44B57925" w:rsidR="004F5D77" w:rsidRDefault="004F5D77" w:rsidP="00C12660">
      <w:pPr>
        <w:rPr>
          <w:rFonts w:ascii="Arial" w:hAnsi="Arial" w:cs="Arial"/>
        </w:rPr>
      </w:pPr>
    </w:p>
    <w:p w14:paraId="6ABDF42C" w14:textId="66DD0D6B" w:rsidR="00084F24" w:rsidRDefault="002C3E3C" w:rsidP="00CA0D6E">
      <w:pPr>
        <w:jc w:val="both"/>
        <w:rPr>
          <w:rFonts w:ascii="Arial" w:hAnsi="Arial" w:cs="Arial"/>
        </w:rPr>
      </w:pPr>
      <w:r>
        <w:rPr>
          <w:rFonts w:ascii="Arial" w:hAnsi="Arial" w:cs="Arial"/>
          <w:i/>
        </w:rPr>
        <w:t>Assessment of Regional Electricity Markets.</w:t>
      </w:r>
      <w:r w:rsidR="00487AAD">
        <w:rPr>
          <w:rFonts w:ascii="Arial" w:hAnsi="Arial" w:cs="Arial"/>
          <w:i/>
        </w:rPr>
        <w:t xml:space="preserve"> </w:t>
      </w:r>
      <w:r w:rsidR="00E72D35">
        <w:rPr>
          <w:rFonts w:ascii="Arial" w:hAnsi="Arial" w:cs="Arial"/>
        </w:rPr>
        <w:t xml:space="preserve">Included in the budget proviso is a requirement that the study </w:t>
      </w:r>
      <w:r w:rsidR="00C776C4">
        <w:rPr>
          <w:rFonts w:ascii="Arial" w:hAnsi="Arial" w:cs="Arial"/>
        </w:rPr>
        <w:t>provide an assessment of the regional electricity markets and regulatory structure</w:t>
      </w:r>
      <w:r w:rsidR="005F2511">
        <w:rPr>
          <w:rFonts w:ascii="Arial" w:hAnsi="Arial" w:cs="Arial"/>
        </w:rPr>
        <w:t xml:space="preserve">. The Feasibility Study </w:t>
      </w:r>
      <w:r w:rsidR="00364B06">
        <w:rPr>
          <w:rFonts w:ascii="Arial" w:hAnsi="Arial" w:cs="Arial"/>
        </w:rPr>
        <w:t xml:space="preserve">points out two </w:t>
      </w:r>
      <w:r w:rsidR="00E2074A">
        <w:rPr>
          <w:rFonts w:ascii="Arial" w:hAnsi="Arial" w:cs="Arial"/>
        </w:rPr>
        <w:t>significant</w:t>
      </w:r>
      <w:r w:rsidR="00364B06">
        <w:rPr>
          <w:rFonts w:ascii="Arial" w:hAnsi="Arial" w:cs="Arial"/>
        </w:rPr>
        <w:t xml:space="preserve"> features of</w:t>
      </w:r>
      <w:r w:rsidR="00AC1E97">
        <w:rPr>
          <w:rFonts w:ascii="Arial" w:hAnsi="Arial" w:cs="Arial"/>
        </w:rPr>
        <w:t xml:space="preserve"> the regional electricity markets and associated regulatory </w:t>
      </w:r>
      <w:r w:rsidR="00E2074A">
        <w:rPr>
          <w:rFonts w:ascii="Arial" w:hAnsi="Arial" w:cs="Arial"/>
        </w:rPr>
        <w:t>environment</w:t>
      </w:r>
      <w:r w:rsidR="00AC1E97">
        <w:rPr>
          <w:rFonts w:ascii="Arial" w:hAnsi="Arial" w:cs="Arial"/>
        </w:rPr>
        <w:t xml:space="preserve"> that </w:t>
      </w:r>
      <w:r w:rsidR="008779D5">
        <w:rPr>
          <w:rFonts w:ascii="Arial" w:hAnsi="Arial" w:cs="Arial"/>
        </w:rPr>
        <w:t>could</w:t>
      </w:r>
      <w:r w:rsidR="00AC1E97">
        <w:rPr>
          <w:rFonts w:ascii="Arial" w:hAnsi="Arial" w:cs="Arial"/>
        </w:rPr>
        <w:t xml:space="preserve"> affect the potential revenue resulting from electricity generated by a WTE facility</w:t>
      </w:r>
      <w:r w:rsidR="00EA35C8">
        <w:rPr>
          <w:rFonts w:ascii="Arial" w:hAnsi="Arial" w:cs="Arial"/>
        </w:rPr>
        <w:t xml:space="preserve"> – the </w:t>
      </w:r>
      <w:r w:rsidR="009807B3">
        <w:rPr>
          <w:rFonts w:ascii="Arial" w:hAnsi="Arial" w:cs="Arial"/>
        </w:rPr>
        <w:t>comparatively low electricity prices in th</w:t>
      </w:r>
      <w:r w:rsidR="00F35B64">
        <w:rPr>
          <w:rFonts w:ascii="Arial" w:hAnsi="Arial" w:cs="Arial"/>
        </w:rPr>
        <w:t>e area</w:t>
      </w:r>
      <w:r w:rsidR="00EA35C8">
        <w:rPr>
          <w:rFonts w:ascii="Arial" w:hAnsi="Arial" w:cs="Arial"/>
        </w:rPr>
        <w:t xml:space="preserve"> and</w:t>
      </w:r>
      <w:r w:rsidR="00827C18">
        <w:rPr>
          <w:rFonts w:ascii="Arial" w:hAnsi="Arial" w:cs="Arial"/>
        </w:rPr>
        <w:t xml:space="preserve"> </w:t>
      </w:r>
      <w:r w:rsidR="000D1376">
        <w:rPr>
          <w:rFonts w:ascii="Arial" w:hAnsi="Arial" w:cs="Arial"/>
        </w:rPr>
        <w:t>the</w:t>
      </w:r>
      <w:r w:rsidR="00827C18">
        <w:rPr>
          <w:rFonts w:ascii="Arial" w:hAnsi="Arial" w:cs="Arial"/>
        </w:rPr>
        <w:t xml:space="preserve"> Clean Energy Transformation Act</w:t>
      </w:r>
      <w:r w:rsidR="00E2074A">
        <w:rPr>
          <w:rStyle w:val="FootnoteReference"/>
          <w:rFonts w:ascii="Arial" w:hAnsi="Arial" w:cs="Arial"/>
        </w:rPr>
        <w:footnoteReference w:id="18"/>
      </w:r>
      <w:r w:rsidR="00827C18">
        <w:rPr>
          <w:rFonts w:ascii="Arial" w:hAnsi="Arial" w:cs="Arial"/>
        </w:rPr>
        <w:t xml:space="preserve"> passed by the Legislature </w:t>
      </w:r>
      <w:r w:rsidR="00F9378E">
        <w:rPr>
          <w:rFonts w:ascii="Arial" w:hAnsi="Arial" w:cs="Arial"/>
        </w:rPr>
        <w:t xml:space="preserve">earlier </w:t>
      </w:r>
      <w:r w:rsidR="00827C18">
        <w:rPr>
          <w:rFonts w:ascii="Arial" w:hAnsi="Arial" w:cs="Arial"/>
        </w:rPr>
        <w:t>this year.</w:t>
      </w:r>
      <w:r w:rsidR="002011D1">
        <w:rPr>
          <w:rFonts w:ascii="Arial" w:hAnsi="Arial" w:cs="Arial"/>
        </w:rPr>
        <w:t xml:space="preserve"> </w:t>
      </w:r>
    </w:p>
    <w:p w14:paraId="72D6A220" w14:textId="2F168A7B" w:rsidR="000D1376" w:rsidRDefault="000D1376" w:rsidP="00CA0D6E">
      <w:pPr>
        <w:jc w:val="both"/>
        <w:rPr>
          <w:rFonts w:ascii="Arial" w:hAnsi="Arial" w:cs="Arial"/>
        </w:rPr>
      </w:pPr>
    </w:p>
    <w:p w14:paraId="34FFCF7E" w14:textId="242A9F14" w:rsidR="002C3E3C" w:rsidRDefault="000D1376" w:rsidP="00CA0D6E">
      <w:pPr>
        <w:jc w:val="both"/>
        <w:rPr>
          <w:rFonts w:ascii="Arial" w:hAnsi="Arial" w:cs="Arial"/>
        </w:rPr>
      </w:pPr>
      <w:r>
        <w:rPr>
          <w:rFonts w:ascii="Arial" w:hAnsi="Arial" w:cs="Arial"/>
        </w:rPr>
        <w:t xml:space="preserve">The Consultant notes </w:t>
      </w:r>
      <w:r w:rsidR="005F2511">
        <w:rPr>
          <w:rFonts w:ascii="Arial" w:hAnsi="Arial" w:cs="Arial"/>
        </w:rPr>
        <w:t xml:space="preserve">that </w:t>
      </w:r>
      <w:r w:rsidR="00C9280B">
        <w:rPr>
          <w:rFonts w:ascii="Arial" w:hAnsi="Arial" w:cs="Arial"/>
        </w:rPr>
        <w:t xml:space="preserve">hydroelectric power is the predominant </w:t>
      </w:r>
      <w:r w:rsidR="00126FAF">
        <w:rPr>
          <w:rFonts w:ascii="Arial" w:hAnsi="Arial" w:cs="Arial"/>
        </w:rPr>
        <w:t>source</w:t>
      </w:r>
      <w:r w:rsidR="00FC61B9">
        <w:rPr>
          <w:rFonts w:ascii="Arial" w:hAnsi="Arial" w:cs="Arial"/>
        </w:rPr>
        <w:t xml:space="preserve"> of electricity generation</w:t>
      </w:r>
      <w:r w:rsidR="00960B3E">
        <w:rPr>
          <w:rFonts w:ascii="Arial" w:hAnsi="Arial" w:cs="Arial"/>
        </w:rPr>
        <w:t xml:space="preserve"> in </w:t>
      </w:r>
      <w:r w:rsidR="00A00C11">
        <w:rPr>
          <w:rFonts w:ascii="Arial" w:hAnsi="Arial" w:cs="Arial"/>
        </w:rPr>
        <w:t>this state</w:t>
      </w:r>
      <w:r w:rsidR="00636BBE">
        <w:rPr>
          <w:rFonts w:ascii="Arial" w:hAnsi="Arial" w:cs="Arial"/>
        </w:rPr>
        <w:t xml:space="preserve"> and </w:t>
      </w:r>
      <w:r w:rsidR="00FC61B9">
        <w:rPr>
          <w:rFonts w:ascii="Arial" w:hAnsi="Arial" w:cs="Arial"/>
        </w:rPr>
        <w:t>provides lower-cost electricity to the region relative to power prices in other states</w:t>
      </w:r>
      <w:r w:rsidR="00430296">
        <w:rPr>
          <w:rFonts w:ascii="Arial" w:hAnsi="Arial" w:cs="Arial"/>
        </w:rPr>
        <w:t xml:space="preserve">. </w:t>
      </w:r>
      <w:r w:rsidR="00126FAF">
        <w:rPr>
          <w:rFonts w:ascii="Arial" w:hAnsi="Arial" w:cs="Arial"/>
        </w:rPr>
        <w:t xml:space="preserve">Furthermore, due to </w:t>
      </w:r>
      <w:r w:rsidR="00E876E0">
        <w:rPr>
          <w:rFonts w:ascii="Arial" w:hAnsi="Arial" w:cs="Arial"/>
        </w:rPr>
        <w:t>the state’s hydroelectric power</w:t>
      </w:r>
      <w:r w:rsidR="00513DCF">
        <w:rPr>
          <w:rFonts w:ascii="Arial" w:hAnsi="Arial" w:cs="Arial"/>
        </w:rPr>
        <w:t xml:space="preserve"> generating capacity, </w:t>
      </w:r>
      <w:r w:rsidR="00430296">
        <w:rPr>
          <w:rFonts w:ascii="Arial" w:hAnsi="Arial" w:cs="Arial"/>
        </w:rPr>
        <w:t xml:space="preserve">Washington </w:t>
      </w:r>
      <w:r w:rsidR="00952E14">
        <w:rPr>
          <w:rFonts w:ascii="Arial" w:hAnsi="Arial" w:cs="Arial"/>
        </w:rPr>
        <w:t xml:space="preserve">produces excess electricity </w:t>
      </w:r>
      <w:r w:rsidR="00E77445">
        <w:rPr>
          <w:rFonts w:ascii="Arial" w:hAnsi="Arial" w:cs="Arial"/>
        </w:rPr>
        <w:t>relative</w:t>
      </w:r>
      <w:r w:rsidR="00952E14">
        <w:rPr>
          <w:rFonts w:ascii="Arial" w:hAnsi="Arial" w:cs="Arial"/>
        </w:rPr>
        <w:t xml:space="preserve"> to demand</w:t>
      </w:r>
      <w:r w:rsidR="00E77445">
        <w:rPr>
          <w:rFonts w:ascii="Arial" w:hAnsi="Arial" w:cs="Arial"/>
        </w:rPr>
        <w:t xml:space="preserve"> and exports</w:t>
      </w:r>
      <w:r w:rsidR="00E876E0">
        <w:rPr>
          <w:rFonts w:ascii="Arial" w:hAnsi="Arial" w:cs="Arial"/>
        </w:rPr>
        <w:t xml:space="preserve"> </w:t>
      </w:r>
      <w:r w:rsidR="00430296">
        <w:rPr>
          <w:rFonts w:ascii="Arial" w:hAnsi="Arial" w:cs="Arial"/>
        </w:rPr>
        <w:t>electricity to 14 other states and Can</w:t>
      </w:r>
      <w:r w:rsidR="00371F9F">
        <w:rPr>
          <w:rFonts w:ascii="Arial" w:hAnsi="Arial" w:cs="Arial"/>
        </w:rPr>
        <w:t>ada.</w:t>
      </w:r>
      <w:r w:rsidR="00E2074A">
        <w:rPr>
          <w:rFonts w:ascii="Arial" w:hAnsi="Arial" w:cs="Arial"/>
        </w:rPr>
        <w:t xml:space="preserve"> </w:t>
      </w:r>
      <w:r w:rsidR="00A00C11">
        <w:rPr>
          <w:rFonts w:ascii="Arial" w:hAnsi="Arial" w:cs="Arial"/>
        </w:rPr>
        <w:t>For these reasons, the Feasibility Study concludes that</w:t>
      </w:r>
      <w:r w:rsidR="0042759A">
        <w:rPr>
          <w:rFonts w:ascii="Arial" w:hAnsi="Arial" w:cs="Arial"/>
        </w:rPr>
        <w:t xml:space="preserve"> electricity pricing will likely remain lower and more stable over time</w:t>
      </w:r>
      <w:r w:rsidR="00A95135">
        <w:rPr>
          <w:rFonts w:ascii="Arial" w:hAnsi="Arial" w:cs="Arial"/>
        </w:rPr>
        <w:t xml:space="preserve"> relative to other parts of the country</w:t>
      </w:r>
      <w:r w:rsidR="0042759A">
        <w:rPr>
          <w:rFonts w:ascii="Arial" w:hAnsi="Arial" w:cs="Arial"/>
        </w:rPr>
        <w:t>.</w:t>
      </w:r>
    </w:p>
    <w:p w14:paraId="4A801B2E" w14:textId="2F9F7E1E" w:rsidR="000B065C" w:rsidRDefault="000B065C" w:rsidP="00CA0D6E">
      <w:pPr>
        <w:jc w:val="both"/>
        <w:rPr>
          <w:rFonts w:ascii="Arial" w:hAnsi="Arial" w:cs="Arial"/>
        </w:rPr>
      </w:pPr>
    </w:p>
    <w:p w14:paraId="52841798" w14:textId="3468791A" w:rsidR="00A41615" w:rsidRDefault="000B065C" w:rsidP="00CA0D6E">
      <w:pPr>
        <w:jc w:val="both"/>
        <w:rPr>
          <w:rFonts w:ascii="Arial" w:hAnsi="Arial" w:cs="Arial"/>
        </w:rPr>
      </w:pPr>
      <w:r>
        <w:rPr>
          <w:rFonts w:ascii="Arial" w:hAnsi="Arial" w:cs="Arial"/>
        </w:rPr>
        <w:t xml:space="preserve">Additionally, </w:t>
      </w:r>
      <w:r w:rsidR="007B09D3">
        <w:rPr>
          <w:rFonts w:ascii="Arial" w:hAnsi="Arial" w:cs="Arial"/>
        </w:rPr>
        <w:t xml:space="preserve">the </w:t>
      </w:r>
      <w:r w:rsidR="000E041F">
        <w:rPr>
          <w:rFonts w:ascii="Arial" w:hAnsi="Arial" w:cs="Arial"/>
        </w:rPr>
        <w:t xml:space="preserve">Consultant </w:t>
      </w:r>
      <w:r w:rsidR="00BF4069">
        <w:rPr>
          <w:rFonts w:ascii="Arial" w:hAnsi="Arial" w:cs="Arial"/>
        </w:rPr>
        <w:t>indicates</w:t>
      </w:r>
      <w:r w:rsidR="000E041F">
        <w:rPr>
          <w:rFonts w:ascii="Arial" w:hAnsi="Arial" w:cs="Arial"/>
        </w:rPr>
        <w:t xml:space="preserve"> that the </w:t>
      </w:r>
      <w:r w:rsidR="00752F2E">
        <w:rPr>
          <w:rFonts w:ascii="Arial" w:hAnsi="Arial" w:cs="Arial"/>
        </w:rPr>
        <w:t>passage</w:t>
      </w:r>
      <w:r w:rsidR="00B77517">
        <w:rPr>
          <w:rFonts w:ascii="Arial" w:hAnsi="Arial" w:cs="Arial"/>
        </w:rPr>
        <w:t xml:space="preserve"> of the </w:t>
      </w:r>
      <w:r w:rsidR="00752F2E">
        <w:rPr>
          <w:rFonts w:ascii="Arial" w:hAnsi="Arial" w:cs="Arial"/>
        </w:rPr>
        <w:t xml:space="preserve">Clean Energy Transformation Act (“CETA”) </w:t>
      </w:r>
      <w:r w:rsidR="000E041F">
        <w:rPr>
          <w:rFonts w:ascii="Arial" w:hAnsi="Arial" w:cs="Arial"/>
        </w:rPr>
        <w:t xml:space="preserve">by the State Legislature </w:t>
      </w:r>
      <w:r w:rsidR="00752F2E">
        <w:rPr>
          <w:rFonts w:ascii="Arial" w:hAnsi="Arial" w:cs="Arial"/>
        </w:rPr>
        <w:t xml:space="preserve">and </w:t>
      </w:r>
      <w:r w:rsidR="008B4556">
        <w:rPr>
          <w:rFonts w:ascii="Arial" w:hAnsi="Arial" w:cs="Arial"/>
        </w:rPr>
        <w:t>resulting</w:t>
      </w:r>
      <w:r w:rsidR="00752F2E">
        <w:rPr>
          <w:rFonts w:ascii="Arial" w:hAnsi="Arial" w:cs="Arial"/>
        </w:rPr>
        <w:t xml:space="preserve"> implementation</w:t>
      </w:r>
      <w:r w:rsidR="000E041F">
        <w:rPr>
          <w:rFonts w:ascii="Arial" w:hAnsi="Arial" w:cs="Arial"/>
        </w:rPr>
        <w:t xml:space="preserve"> </w:t>
      </w:r>
      <w:r w:rsidR="008B4556">
        <w:rPr>
          <w:rFonts w:ascii="Arial" w:hAnsi="Arial" w:cs="Arial"/>
        </w:rPr>
        <w:t xml:space="preserve">may </w:t>
      </w:r>
      <w:r w:rsidR="00E77445">
        <w:rPr>
          <w:rFonts w:ascii="Arial" w:hAnsi="Arial" w:cs="Arial"/>
        </w:rPr>
        <w:t xml:space="preserve">also </w:t>
      </w:r>
      <w:r w:rsidR="008B4556">
        <w:rPr>
          <w:rFonts w:ascii="Arial" w:hAnsi="Arial" w:cs="Arial"/>
        </w:rPr>
        <w:t xml:space="preserve">influence electricity revenues from a future WTE facility. </w:t>
      </w:r>
      <w:r w:rsidR="00FB08F0">
        <w:rPr>
          <w:rFonts w:ascii="Arial" w:hAnsi="Arial" w:cs="Arial"/>
        </w:rPr>
        <w:t>Under CETA</w:t>
      </w:r>
      <w:r w:rsidR="00127965">
        <w:rPr>
          <w:rFonts w:ascii="Arial" w:hAnsi="Arial" w:cs="Arial"/>
        </w:rPr>
        <w:t>, the Feasibility Study explains that</w:t>
      </w:r>
      <w:r w:rsidR="00751098">
        <w:rPr>
          <w:rFonts w:ascii="Arial" w:hAnsi="Arial" w:cs="Arial"/>
        </w:rPr>
        <w:t xml:space="preserve"> all retail electricity sales must be carbon neutral by 2030</w:t>
      </w:r>
      <w:r w:rsidR="00076440">
        <w:rPr>
          <w:rFonts w:ascii="Arial" w:hAnsi="Arial" w:cs="Arial"/>
        </w:rPr>
        <w:t>. B</w:t>
      </w:r>
      <w:r w:rsidR="000D4087">
        <w:rPr>
          <w:rFonts w:ascii="Arial" w:hAnsi="Arial" w:cs="Arial"/>
        </w:rPr>
        <w:t>y 2045, all utilities in the state must obtain electricity from sources classified as renewable or non-emitting</w:t>
      </w:r>
      <w:r w:rsidR="00742A3B">
        <w:rPr>
          <w:rFonts w:ascii="Arial" w:hAnsi="Arial" w:cs="Arial"/>
        </w:rPr>
        <w:t xml:space="preserve">. </w:t>
      </w:r>
      <w:r w:rsidR="003E0270">
        <w:rPr>
          <w:rFonts w:ascii="Arial" w:hAnsi="Arial" w:cs="Arial"/>
        </w:rPr>
        <w:t xml:space="preserve">Failure to comply with the requirements </w:t>
      </w:r>
      <w:r w:rsidR="00076440">
        <w:rPr>
          <w:rFonts w:ascii="Arial" w:hAnsi="Arial" w:cs="Arial"/>
        </w:rPr>
        <w:t xml:space="preserve">under the law </w:t>
      </w:r>
      <w:r w:rsidR="003E0270">
        <w:rPr>
          <w:rFonts w:ascii="Arial" w:hAnsi="Arial" w:cs="Arial"/>
        </w:rPr>
        <w:t>will result in</w:t>
      </w:r>
      <w:r w:rsidR="008A40B8">
        <w:rPr>
          <w:rFonts w:ascii="Arial" w:hAnsi="Arial" w:cs="Arial"/>
        </w:rPr>
        <w:t xml:space="preserve"> monetary penalties</w:t>
      </w:r>
      <w:r w:rsidR="00B8415C">
        <w:rPr>
          <w:rFonts w:ascii="Arial" w:hAnsi="Arial" w:cs="Arial"/>
        </w:rPr>
        <w:t xml:space="preserve"> (e.g., $/non-compliant megawatt-hour).</w:t>
      </w:r>
      <w:r w:rsidR="0028022C">
        <w:rPr>
          <w:rFonts w:ascii="Arial" w:hAnsi="Arial" w:cs="Arial"/>
        </w:rPr>
        <w:t xml:space="preserve"> According to the </w:t>
      </w:r>
      <w:r w:rsidR="00076440">
        <w:rPr>
          <w:rFonts w:ascii="Arial" w:hAnsi="Arial" w:cs="Arial"/>
        </w:rPr>
        <w:t>Consultant</w:t>
      </w:r>
      <w:r w:rsidR="0028022C">
        <w:rPr>
          <w:rFonts w:ascii="Arial" w:hAnsi="Arial" w:cs="Arial"/>
        </w:rPr>
        <w:t xml:space="preserve">, </w:t>
      </w:r>
      <w:r w:rsidR="009834FA">
        <w:rPr>
          <w:rFonts w:ascii="Arial" w:hAnsi="Arial" w:cs="Arial"/>
        </w:rPr>
        <w:t>new WTE facilities would likely</w:t>
      </w:r>
      <w:r w:rsidR="008C122D">
        <w:rPr>
          <w:rFonts w:ascii="Arial" w:hAnsi="Arial" w:cs="Arial"/>
        </w:rPr>
        <w:t xml:space="preserve"> require carbon sequestration or carbon capture</w:t>
      </w:r>
      <w:r w:rsidR="00BD2849">
        <w:rPr>
          <w:rFonts w:ascii="Arial" w:hAnsi="Arial" w:cs="Arial"/>
        </w:rPr>
        <w:t xml:space="preserve"> </w:t>
      </w:r>
      <w:r w:rsidR="00260F19">
        <w:rPr>
          <w:rFonts w:ascii="Arial" w:hAnsi="Arial" w:cs="Arial"/>
        </w:rPr>
        <w:t xml:space="preserve">technology </w:t>
      </w:r>
      <w:r w:rsidR="00BD2849">
        <w:rPr>
          <w:rFonts w:ascii="Arial" w:hAnsi="Arial" w:cs="Arial"/>
        </w:rPr>
        <w:t xml:space="preserve">and/or require </w:t>
      </w:r>
      <w:r w:rsidR="008B4556">
        <w:rPr>
          <w:rFonts w:ascii="Arial" w:hAnsi="Arial" w:cs="Arial"/>
        </w:rPr>
        <w:t>the</w:t>
      </w:r>
      <w:r w:rsidR="00BD2849">
        <w:rPr>
          <w:rFonts w:ascii="Arial" w:hAnsi="Arial" w:cs="Arial"/>
        </w:rPr>
        <w:t xml:space="preserve"> purchase</w:t>
      </w:r>
      <w:r w:rsidR="008B4556">
        <w:rPr>
          <w:rFonts w:ascii="Arial" w:hAnsi="Arial" w:cs="Arial"/>
        </w:rPr>
        <w:t xml:space="preserve"> of</w:t>
      </w:r>
      <w:r w:rsidR="00F159AF">
        <w:rPr>
          <w:rFonts w:ascii="Arial" w:hAnsi="Arial" w:cs="Arial"/>
        </w:rPr>
        <w:t xml:space="preserve"> </w:t>
      </w:r>
      <w:r w:rsidR="00BD2849">
        <w:rPr>
          <w:rFonts w:ascii="Arial" w:hAnsi="Arial" w:cs="Arial"/>
        </w:rPr>
        <w:t xml:space="preserve">renewable energy credits to offset emissions </w:t>
      </w:r>
      <w:r w:rsidR="00F4209E">
        <w:rPr>
          <w:rFonts w:ascii="Arial" w:hAnsi="Arial" w:cs="Arial"/>
        </w:rPr>
        <w:t>in order to</w:t>
      </w:r>
      <w:r w:rsidR="00BD2849">
        <w:rPr>
          <w:rFonts w:ascii="Arial" w:hAnsi="Arial" w:cs="Arial"/>
        </w:rPr>
        <w:t xml:space="preserve"> meet</w:t>
      </w:r>
      <w:r w:rsidR="009300A6">
        <w:rPr>
          <w:rFonts w:ascii="Arial" w:hAnsi="Arial" w:cs="Arial"/>
        </w:rPr>
        <w:t xml:space="preserve"> the carbon neutral goal.</w:t>
      </w:r>
      <w:r w:rsidR="00EC6953">
        <w:rPr>
          <w:rFonts w:ascii="Arial" w:hAnsi="Arial" w:cs="Arial"/>
        </w:rPr>
        <w:t xml:space="preserve"> However, the Consultant </w:t>
      </w:r>
      <w:r w:rsidR="00425E9B">
        <w:rPr>
          <w:rFonts w:ascii="Arial" w:hAnsi="Arial" w:cs="Arial"/>
        </w:rPr>
        <w:t>suggests</w:t>
      </w:r>
      <w:r w:rsidR="00DF3E1D">
        <w:rPr>
          <w:rFonts w:ascii="Arial" w:hAnsi="Arial" w:cs="Arial"/>
        </w:rPr>
        <w:t xml:space="preserve"> that </w:t>
      </w:r>
      <w:r w:rsidR="006D6767">
        <w:rPr>
          <w:rFonts w:ascii="Arial" w:hAnsi="Arial" w:cs="Arial"/>
        </w:rPr>
        <w:t xml:space="preserve">it will be difficult for a WTE facility to meet </w:t>
      </w:r>
      <w:r w:rsidR="00DF3E1D">
        <w:rPr>
          <w:rFonts w:ascii="Arial" w:hAnsi="Arial" w:cs="Arial"/>
        </w:rPr>
        <w:t>the</w:t>
      </w:r>
      <w:r w:rsidR="001F4C3B">
        <w:rPr>
          <w:rFonts w:ascii="Arial" w:hAnsi="Arial" w:cs="Arial"/>
        </w:rPr>
        <w:t xml:space="preserve"> </w:t>
      </w:r>
      <w:r w:rsidR="006D6767">
        <w:rPr>
          <w:rFonts w:ascii="Arial" w:hAnsi="Arial" w:cs="Arial"/>
        </w:rPr>
        <w:t>2045 requirement f</w:t>
      </w:r>
      <w:r w:rsidR="001F2401">
        <w:rPr>
          <w:rFonts w:ascii="Arial" w:hAnsi="Arial" w:cs="Arial"/>
        </w:rPr>
        <w:t>or ren</w:t>
      </w:r>
      <w:r w:rsidR="001F4C3B">
        <w:rPr>
          <w:rFonts w:ascii="Arial" w:hAnsi="Arial" w:cs="Arial"/>
        </w:rPr>
        <w:t xml:space="preserve">ewable or “non-emitting” </w:t>
      </w:r>
      <w:r w:rsidR="001F2401">
        <w:rPr>
          <w:rFonts w:ascii="Arial" w:hAnsi="Arial" w:cs="Arial"/>
        </w:rPr>
        <w:t>electricity generation even with carbon sequestration or capture</w:t>
      </w:r>
      <w:r w:rsidR="00E42E69">
        <w:rPr>
          <w:rFonts w:ascii="Arial" w:hAnsi="Arial" w:cs="Arial"/>
        </w:rPr>
        <w:t>, absent a modification of the rule</w:t>
      </w:r>
      <w:r w:rsidR="001F2401">
        <w:rPr>
          <w:rFonts w:ascii="Arial" w:hAnsi="Arial" w:cs="Arial"/>
        </w:rPr>
        <w:t>.</w:t>
      </w:r>
      <w:r w:rsidR="00E42E69">
        <w:rPr>
          <w:rFonts w:ascii="Arial" w:hAnsi="Arial" w:cs="Arial"/>
        </w:rPr>
        <w:t xml:space="preserve"> </w:t>
      </w:r>
    </w:p>
    <w:p w14:paraId="2B0D83D3" w14:textId="40870766" w:rsidR="00DB5DCB" w:rsidRDefault="00DB5DCB" w:rsidP="00CA0D6E">
      <w:pPr>
        <w:jc w:val="both"/>
        <w:rPr>
          <w:rFonts w:ascii="Arial" w:hAnsi="Arial" w:cs="Arial"/>
        </w:rPr>
      </w:pPr>
    </w:p>
    <w:p w14:paraId="2726281A" w14:textId="6751C370" w:rsidR="00DB5DCB" w:rsidRDefault="00DB5DCB" w:rsidP="00DB5DCB">
      <w:pPr>
        <w:jc w:val="both"/>
        <w:rPr>
          <w:rFonts w:ascii="Arial" w:hAnsi="Arial" w:cs="Arial"/>
        </w:rPr>
      </w:pPr>
      <w:r>
        <w:rPr>
          <w:rFonts w:ascii="Arial" w:hAnsi="Arial" w:cs="Arial"/>
          <w:i/>
        </w:rPr>
        <w:t xml:space="preserve">Potential Revenue Sources. </w:t>
      </w:r>
      <w:r>
        <w:rPr>
          <w:rFonts w:ascii="Arial" w:hAnsi="Arial" w:cs="Arial"/>
        </w:rPr>
        <w:t>The budget proviso requires an analysis of potent</w:t>
      </w:r>
      <w:r w:rsidR="00B949B5">
        <w:rPr>
          <w:rFonts w:ascii="Arial" w:hAnsi="Arial" w:cs="Arial"/>
        </w:rPr>
        <w:t>ial revenue</w:t>
      </w:r>
      <w:r w:rsidR="00B20672">
        <w:rPr>
          <w:rFonts w:ascii="Arial" w:hAnsi="Arial" w:cs="Arial"/>
        </w:rPr>
        <w:t>s</w:t>
      </w:r>
      <w:r w:rsidR="00B949B5">
        <w:rPr>
          <w:rFonts w:ascii="Arial" w:hAnsi="Arial" w:cs="Arial"/>
        </w:rPr>
        <w:t xml:space="preserve"> </w:t>
      </w:r>
      <w:r w:rsidR="00B20672">
        <w:rPr>
          <w:rFonts w:ascii="Arial" w:hAnsi="Arial" w:cs="Arial"/>
        </w:rPr>
        <w:t>from the</w:t>
      </w:r>
      <w:r w:rsidR="003D1940">
        <w:rPr>
          <w:rFonts w:ascii="Arial" w:hAnsi="Arial" w:cs="Arial"/>
        </w:rPr>
        <w:t xml:space="preserve"> sale of electricity</w:t>
      </w:r>
      <w:r w:rsidR="00B20672">
        <w:rPr>
          <w:rFonts w:ascii="Arial" w:hAnsi="Arial" w:cs="Arial"/>
        </w:rPr>
        <w:t xml:space="preserve"> and any WTE facility byproducts</w:t>
      </w:r>
      <w:r w:rsidR="004E5397">
        <w:rPr>
          <w:rFonts w:ascii="Arial" w:hAnsi="Arial" w:cs="Arial"/>
        </w:rPr>
        <w:t xml:space="preserve"> including, but not limited to, sale of </w:t>
      </w:r>
      <w:r w:rsidR="00B949B5">
        <w:rPr>
          <w:rFonts w:ascii="Arial" w:hAnsi="Arial" w:cs="Arial"/>
        </w:rPr>
        <w:t>recovered metals</w:t>
      </w:r>
      <w:r w:rsidR="00195EA0">
        <w:rPr>
          <w:rFonts w:ascii="Arial" w:hAnsi="Arial" w:cs="Arial"/>
        </w:rPr>
        <w:t>,</w:t>
      </w:r>
      <w:r w:rsidR="00B949B5">
        <w:rPr>
          <w:rFonts w:ascii="Arial" w:hAnsi="Arial" w:cs="Arial"/>
        </w:rPr>
        <w:t xml:space="preserve"> and possible uses of </w:t>
      </w:r>
      <w:r w:rsidR="00024006">
        <w:rPr>
          <w:rFonts w:ascii="Arial" w:hAnsi="Arial" w:cs="Arial"/>
        </w:rPr>
        <w:t>the ash</w:t>
      </w:r>
      <w:r w:rsidR="00AB19F0">
        <w:rPr>
          <w:rFonts w:ascii="Arial" w:hAnsi="Arial" w:cs="Arial"/>
        </w:rPr>
        <w:t xml:space="preserve"> resulting from combustion</w:t>
      </w:r>
      <w:r w:rsidR="00024006">
        <w:rPr>
          <w:rFonts w:ascii="Arial" w:hAnsi="Arial" w:cs="Arial"/>
        </w:rPr>
        <w:t>.</w:t>
      </w:r>
      <w:r w:rsidR="00A142FF">
        <w:rPr>
          <w:rFonts w:ascii="Arial" w:hAnsi="Arial" w:cs="Arial"/>
        </w:rPr>
        <w:t xml:space="preserve"> </w:t>
      </w:r>
      <w:r w:rsidR="00590CE0">
        <w:rPr>
          <w:rFonts w:ascii="Arial" w:hAnsi="Arial" w:cs="Arial"/>
        </w:rPr>
        <w:t xml:space="preserve">The Feasibility Study </w:t>
      </w:r>
      <w:r w:rsidR="00B72287">
        <w:rPr>
          <w:rFonts w:ascii="Arial" w:hAnsi="Arial" w:cs="Arial"/>
        </w:rPr>
        <w:t xml:space="preserve">describes </w:t>
      </w:r>
      <w:r w:rsidR="00F400C3">
        <w:rPr>
          <w:rFonts w:ascii="Arial" w:hAnsi="Arial" w:cs="Arial"/>
        </w:rPr>
        <w:t>the revenue potential f</w:t>
      </w:r>
      <w:r w:rsidR="008C2762">
        <w:rPr>
          <w:rFonts w:ascii="Arial" w:hAnsi="Arial" w:cs="Arial"/>
        </w:rPr>
        <w:t xml:space="preserve">rom </w:t>
      </w:r>
      <w:r w:rsidR="00B20672">
        <w:rPr>
          <w:rFonts w:ascii="Arial" w:hAnsi="Arial" w:cs="Arial"/>
        </w:rPr>
        <w:t>four</w:t>
      </w:r>
      <w:r w:rsidR="008C2762">
        <w:rPr>
          <w:rFonts w:ascii="Arial" w:hAnsi="Arial" w:cs="Arial"/>
        </w:rPr>
        <w:t xml:space="preserve"> sources: (1) </w:t>
      </w:r>
      <w:r w:rsidR="00B20672">
        <w:rPr>
          <w:rFonts w:ascii="Arial" w:hAnsi="Arial" w:cs="Arial"/>
        </w:rPr>
        <w:t xml:space="preserve">electricity sales; (2) </w:t>
      </w:r>
      <w:r w:rsidR="00F400C3">
        <w:rPr>
          <w:rFonts w:ascii="Arial" w:hAnsi="Arial" w:cs="Arial"/>
        </w:rPr>
        <w:t>sale of recovered metals</w:t>
      </w:r>
      <w:r w:rsidR="002363B9">
        <w:rPr>
          <w:rFonts w:ascii="Arial" w:hAnsi="Arial" w:cs="Arial"/>
        </w:rPr>
        <w:t xml:space="preserve">, </w:t>
      </w:r>
      <w:r w:rsidR="008C2762">
        <w:rPr>
          <w:rFonts w:ascii="Arial" w:hAnsi="Arial" w:cs="Arial"/>
        </w:rPr>
        <w:t>(</w:t>
      </w:r>
      <w:r w:rsidR="00B20672">
        <w:rPr>
          <w:rFonts w:ascii="Arial" w:hAnsi="Arial" w:cs="Arial"/>
        </w:rPr>
        <w:t>3</w:t>
      </w:r>
      <w:r w:rsidR="008C2762">
        <w:rPr>
          <w:rFonts w:ascii="Arial" w:hAnsi="Arial" w:cs="Arial"/>
        </w:rPr>
        <w:t xml:space="preserve">) </w:t>
      </w:r>
      <w:r w:rsidR="00587250">
        <w:rPr>
          <w:rFonts w:ascii="Arial" w:hAnsi="Arial" w:cs="Arial"/>
        </w:rPr>
        <w:t>acceptance of</w:t>
      </w:r>
      <w:r w:rsidR="00290955">
        <w:rPr>
          <w:rFonts w:ascii="Arial" w:hAnsi="Arial" w:cs="Arial"/>
        </w:rPr>
        <w:t xml:space="preserve"> out-of-</w:t>
      </w:r>
      <w:r w:rsidR="00CC6AB3">
        <w:rPr>
          <w:rFonts w:ascii="Arial" w:hAnsi="Arial" w:cs="Arial"/>
        </w:rPr>
        <w:t>c</w:t>
      </w:r>
      <w:r w:rsidR="00290955">
        <w:rPr>
          <w:rFonts w:ascii="Arial" w:hAnsi="Arial" w:cs="Arial"/>
        </w:rPr>
        <w:t>ounty waste</w:t>
      </w:r>
      <w:r w:rsidR="00587250">
        <w:rPr>
          <w:rFonts w:ascii="Arial" w:hAnsi="Arial" w:cs="Arial"/>
        </w:rPr>
        <w:t xml:space="preserve"> for a fee per ton</w:t>
      </w:r>
      <w:r w:rsidR="008F5399">
        <w:rPr>
          <w:rFonts w:ascii="Arial" w:hAnsi="Arial" w:cs="Arial"/>
        </w:rPr>
        <w:t xml:space="preserve">, and </w:t>
      </w:r>
      <w:r w:rsidR="008C2762">
        <w:rPr>
          <w:rFonts w:ascii="Arial" w:hAnsi="Arial" w:cs="Arial"/>
        </w:rPr>
        <w:t>(</w:t>
      </w:r>
      <w:r w:rsidR="00B20672">
        <w:rPr>
          <w:rFonts w:ascii="Arial" w:hAnsi="Arial" w:cs="Arial"/>
        </w:rPr>
        <w:t>4</w:t>
      </w:r>
      <w:r w:rsidR="008C2762">
        <w:rPr>
          <w:rFonts w:ascii="Arial" w:hAnsi="Arial" w:cs="Arial"/>
        </w:rPr>
        <w:t xml:space="preserve">) </w:t>
      </w:r>
      <w:r w:rsidR="000065EA">
        <w:rPr>
          <w:rFonts w:ascii="Arial" w:hAnsi="Arial" w:cs="Arial"/>
        </w:rPr>
        <w:t xml:space="preserve">the </w:t>
      </w:r>
      <w:r w:rsidR="00CC6AB3">
        <w:rPr>
          <w:rFonts w:ascii="Arial" w:hAnsi="Arial" w:cs="Arial"/>
        </w:rPr>
        <w:t>re</w:t>
      </w:r>
      <w:r w:rsidR="008F5399">
        <w:rPr>
          <w:rFonts w:ascii="Arial" w:hAnsi="Arial" w:cs="Arial"/>
        </w:rPr>
        <w:t>use of ash</w:t>
      </w:r>
      <w:r w:rsidR="00290955">
        <w:rPr>
          <w:rFonts w:ascii="Arial" w:hAnsi="Arial" w:cs="Arial"/>
        </w:rPr>
        <w:t xml:space="preserve">. </w:t>
      </w:r>
      <w:r w:rsidR="00A57BB3">
        <w:rPr>
          <w:rFonts w:ascii="Arial" w:hAnsi="Arial" w:cs="Arial"/>
        </w:rPr>
        <w:t xml:space="preserve">Table </w:t>
      </w:r>
      <w:r w:rsidR="003F4F77">
        <w:rPr>
          <w:rFonts w:ascii="Arial" w:hAnsi="Arial" w:cs="Arial"/>
        </w:rPr>
        <w:t>7</w:t>
      </w:r>
      <w:r w:rsidR="00A57BB3">
        <w:rPr>
          <w:rFonts w:ascii="Arial" w:hAnsi="Arial" w:cs="Arial"/>
        </w:rPr>
        <w:t xml:space="preserve"> summarizes the revenue included in the financial model</w:t>
      </w:r>
      <w:r w:rsidR="00007DE1">
        <w:rPr>
          <w:rFonts w:ascii="Arial" w:hAnsi="Arial" w:cs="Arial"/>
        </w:rPr>
        <w:t xml:space="preserve"> from these sources.</w:t>
      </w:r>
      <w:r w:rsidR="00E64AD8">
        <w:rPr>
          <w:rFonts w:ascii="Arial" w:hAnsi="Arial" w:cs="Arial"/>
        </w:rPr>
        <w:t xml:space="preserve"> The Consultant notes that the revenue estimates use current estimates (</w:t>
      </w:r>
      <w:r w:rsidR="00A90479">
        <w:rPr>
          <w:rFonts w:ascii="Arial" w:hAnsi="Arial" w:cs="Arial"/>
        </w:rPr>
        <w:t>e.g., electricity prices from 2018) as “Facility Operation Year 1” prices</w:t>
      </w:r>
      <w:r w:rsidR="000A1D93">
        <w:rPr>
          <w:rFonts w:ascii="Arial" w:hAnsi="Arial" w:cs="Arial"/>
        </w:rPr>
        <w:t xml:space="preserve"> in the model and therefore </w:t>
      </w:r>
      <w:r w:rsidR="003F2A50">
        <w:rPr>
          <w:rFonts w:ascii="Arial" w:hAnsi="Arial" w:cs="Arial"/>
        </w:rPr>
        <w:t>a</w:t>
      </w:r>
      <w:r w:rsidR="005618F0">
        <w:rPr>
          <w:rFonts w:ascii="Arial" w:hAnsi="Arial" w:cs="Arial"/>
        </w:rPr>
        <w:t>re</w:t>
      </w:r>
      <w:r w:rsidR="000A1D93">
        <w:rPr>
          <w:rFonts w:ascii="Arial" w:hAnsi="Arial" w:cs="Arial"/>
        </w:rPr>
        <w:t xml:space="preserve"> conservative estimates.</w:t>
      </w:r>
    </w:p>
    <w:p w14:paraId="69573D3F" w14:textId="52D58F86" w:rsidR="00007DE1" w:rsidRDefault="00007DE1" w:rsidP="00DB5DCB">
      <w:pPr>
        <w:jc w:val="both"/>
        <w:rPr>
          <w:rFonts w:ascii="Arial" w:hAnsi="Arial" w:cs="Arial"/>
        </w:rPr>
      </w:pPr>
    </w:p>
    <w:p w14:paraId="29397A4C" w14:textId="32EE76AD" w:rsidR="00007DE1" w:rsidRDefault="00007DE1" w:rsidP="00007DE1">
      <w:pPr>
        <w:jc w:val="center"/>
        <w:rPr>
          <w:rFonts w:ascii="Arial" w:hAnsi="Arial" w:cs="Arial"/>
          <w:b/>
        </w:rPr>
      </w:pPr>
      <w:r>
        <w:rPr>
          <w:rFonts w:ascii="Arial" w:hAnsi="Arial" w:cs="Arial"/>
          <w:b/>
        </w:rPr>
        <w:lastRenderedPageBreak/>
        <w:t xml:space="preserve">Table </w:t>
      </w:r>
      <w:r w:rsidR="003F4F77">
        <w:rPr>
          <w:rFonts w:ascii="Arial" w:hAnsi="Arial" w:cs="Arial"/>
          <w:b/>
        </w:rPr>
        <w:t>7</w:t>
      </w:r>
      <w:r>
        <w:rPr>
          <w:rFonts w:ascii="Arial" w:hAnsi="Arial" w:cs="Arial"/>
          <w:b/>
        </w:rPr>
        <w:t xml:space="preserve">. </w:t>
      </w:r>
      <w:r w:rsidR="005618F0">
        <w:rPr>
          <w:rFonts w:ascii="Arial" w:hAnsi="Arial" w:cs="Arial"/>
          <w:b/>
        </w:rPr>
        <w:t>Estimated Revenues for a WTE Facility by Sizing Option</w:t>
      </w:r>
    </w:p>
    <w:p w14:paraId="3122AC5B" w14:textId="77777777" w:rsidR="008D5C45" w:rsidRDefault="008D5C45" w:rsidP="00007DE1">
      <w:pPr>
        <w:jc w:val="center"/>
        <w:rPr>
          <w:rFonts w:ascii="Arial" w:hAnsi="Arial" w:cs="Arial"/>
          <w:b/>
        </w:rPr>
      </w:pPr>
    </w:p>
    <w:tbl>
      <w:tblPr>
        <w:tblW w:w="9290" w:type="dxa"/>
        <w:jc w:val="center"/>
        <w:tblLayout w:type="fixed"/>
        <w:tblLook w:val="04A0" w:firstRow="1" w:lastRow="0" w:firstColumn="1" w:lastColumn="0" w:noHBand="0" w:noVBand="1"/>
      </w:tblPr>
      <w:tblGrid>
        <w:gridCol w:w="2793"/>
        <w:gridCol w:w="2793"/>
        <w:gridCol w:w="1814"/>
        <w:gridCol w:w="1890"/>
      </w:tblGrid>
      <w:tr w:rsidR="006344D8" w:rsidRPr="004B445C" w14:paraId="249F42C8" w14:textId="77777777" w:rsidTr="0037548F">
        <w:trPr>
          <w:trHeight w:val="525"/>
          <w:tblHeader/>
          <w:jc w:val="center"/>
        </w:trPr>
        <w:tc>
          <w:tcPr>
            <w:tcW w:w="2793" w:type="dxa"/>
            <w:tcBorders>
              <w:top w:val="single" w:sz="4" w:space="0" w:color="auto"/>
              <w:left w:val="single" w:sz="4" w:space="0" w:color="auto"/>
              <w:bottom w:val="single" w:sz="4" w:space="0" w:color="auto"/>
              <w:right w:val="single" w:sz="4" w:space="0" w:color="auto"/>
            </w:tcBorders>
            <w:shd w:val="clear" w:color="000000" w:fill="000000"/>
            <w:vAlign w:val="bottom"/>
          </w:tcPr>
          <w:p w14:paraId="338DE5E9" w14:textId="34F3F058" w:rsidR="006344D8" w:rsidRPr="004B445C" w:rsidRDefault="00186C9C" w:rsidP="00186C9C">
            <w:pPr>
              <w:rPr>
                <w:rFonts w:ascii="Arial" w:hAnsi="Arial" w:cs="Arial"/>
                <w:b/>
                <w:bCs/>
                <w:color w:val="FFFFFF"/>
                <w:sz w:val="22"/>
                <w:szCs w:val="22"/>
              </w:rPr>
            </w:pPr>
            <w:r>
              <w:rPr>
                <w:rFonts w:ascii="Arial" w:hAnsi="Arial" w:cs="Arial"/>
                <w:b/>
                <w:bCs/>
                <w:color w:val="FFFFFF"/>
                <w:sz w:val="22"/>
                <w:szCs w:val="22"/>
              </w:rPr>
              <w:t>Facility Sizing Option</w:t>
            </w:r>
          </w:p>
        </w:tc>
        <w:tc>
          <w:tcPr>
            <w:tcW w:w="2793"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028BD418" w14:textId="08E288D3" w:rsidR="006344D8" w:rsidRPr="004B445C" w:rsidRDefault="006344D8" w:rsidP="007D74D4">
            <w:pPr>
              <w:rPr>
                <w:rFonts w:ascii="Arial" w:hAnsi="Arial" w:cs="Arial"/>
                <w:b/>
                <w:bCs/>
                <w:color w:val="FFFFFF"/>
                <w:sz w:val="22"/>
                <w:szCs w:val="22"/>
              </w:rPr>
            </w:pPr>
            <w:r>
              <w:rPr>
                <w:rFonts w:ascii="Arial" w:hAnsi="Arial" w:cs="Arial"/>
                <w:b/>
                <w:bCs/>
                <w:color w:val="FFFFFF"/>
                <w:sz w:val="22"/>
                <w:szCs w:val="22"/>
              </w:rPr>
              <w:t>Revenue Source</w:t>
            </w:r>
          </w:p>
        </w:tc>
        <w:tc>
          <w:tcPr>
            <w:tcW w:w="1814" w:type="dxa"/>
            <w:tcBorders>
              <w:top w:val="single" w:sz="4" w:space="0" w:color="auto"/>
              <w:left w:val="nil"/>
              <w:bottom w:val="single" w:sz="4" w:space="0" w:color="auto"/>
              <w:right w:val="single" w:sz="4" w:space="0" w:color="auto"/>
            </w:tcBorders>
            <w:shd w:val="clear" w:color="000000" w:fill="000000"/>
            <w:vAlign w:val="bottom"/>
            <w:hideMark/>
          </w:tcPr>
          <w:p w14:paraId="495458A9" w14:textId="36437DCA" w:rsidR="006344D8" w:rsidRPr="004B445C" w:rsidRDefault="006344D8" w:rsidP="007D74D4">
            <w:pPr>
              <w:jc w:val="center"/>
              <w:rPr>
                <w:rFonts w:ascii="Arial" w:hAnsi="Arial" w:cs="Arial"/>
                <w:bCs/>
                <w:color w:val="FFFFFF"/>
                <w:sz w:val="22"/>
                <w:szCs w:val="22"/>
              </w:rPr>
            </w:pPr>
            <w:r>
              <w:rPr>
                <w:rFonts w:ascii="Arial" w:hAnsi="Arial" w:cs="Arial"/>
                <w:b/>
                <w:bCs/>
                <w:color w:val="FFFFFF"/>
                <w:sz w:val="22"/>
                <w:szCs w:val="22"/>
              </w:rPr>
              <w:t>Total Revenue Over 20-Year Term</w:t>
            </w:r>
          </w:p>
        </w:tc>
        <w:tc>
          <w:tcPr>
            <w:tcW w:w="1890" w:type="dxa"/>
            <w:tcBorders>
              <w:top w:val="single" w:sz="4" w:space="0" w:color="auto"/>
              <w:left w:val="nil"/>
              <w:bottom w:val="single" w:sz="4" w:space="0" w:color="auto"/>
              <w:right w:val="single" w:sz="4" w:space="0" w:color="auto"/>
            </w:tcBorders>
            <w:shd w:val="clear" w:color="000000" w:fill="000000"/>
            <w:vAlign w:val="bottom"/>
            <w:hideMark/>
          </w:tcPr>
          <w:p w14:paraId="43DA3139" w14:textId="4A1B4BE3" w:rsidR="006344D8" w:rsidRPr="004B445C" w:rsidRDefault="006344D8" w:rsidP="007D74D4">
            <w:pPr>
              <w:jc w:val="center"/>
              <w:rPr>
                <w:rFonts w:ascii="Arial" w:hAnsi="Arial" w:cs="Arial"/>
                <w:b/>
                <w:bCs/>
                <w:color w:val="FFFFFF"/>
                <w:sz w:val="22"/>
                <w:szCs w:val="22"/>
              </w:rPr>
            </w:pPr>
            <w:r>
              <w:rPr>
                <w:rFonts w:ascii="Arial" w:hAnsi="Arial" w:cs="Arial"/>
                <w:b/>
                <w:bCs/>
                <w:color w:val="FFFFFF"/>
                <w:sz w:val="22"/>
                <w:szCs w:val="22"/>
              </w:rPr>
              <w:t>Total Revenue Over Remaining 30-Year Term</w:t>
            </w:r>
          </w:p>
        </w:tc>
      </w:tr>
      <w:tr w:rsidR="00FE1551" w:rsidRPr="004B445C" w14:paraId="3A0BF4CC" w14:textId="77777777" w:rsidTr="0037548F">
        <w:trPr>
          <w:trHeight w:val="300"/>
          <w:jc w:val="center"/>
        </w:trPr>
        <w:tc>
          <w:tcPr>
            <w:tcW w:w="2793" w:type="dxa"/>
            <w:vMerge w:val="restart"/>
            <w:tcBorders>
              <w:top w:val="single" w:sz="4" w:space="0" w:color="auto"/>
              <w:left w:val="single" w:sz="4" w:space="0" w:color="auto"/>
              <w:right w:val="single" w:sz="4" w:space="0" w:color="auto"/>
            </w:tcBorders>
            <w:vAlign w:val="center"/>
          </w:tcPr>
          <w:p w14:paraId="3AC0D0C5" w14:textId="5CEA14DE" w:rsidR="00FE1551" w:rsidRDefault="00FE1551" w:rsidP="00186C9C">
            <w:pPr>
              <w:rPr>
                <w:rFonts w:ascii="Arial" w:hAnsi="Arial" w:cs="Arial"/>
                <w:b/>
                <w:color w:val="000000"/>
                <w:sz w:val="22"/>
                <w:szCs w:val="22"/>
              </w:rPr>
            </w:pPr>
            <w:r>
              <w:rPr>
                <w:rFonts w:ascii="Arial" w:hAnsi="Arial" w:cs="Arial"/>
                <w:b/>
                <w:color w:val="000000"/>
                <w:sz w:val="22"/>
                <w:szCs w:val="22"/>
              </w:rPr>
              <w:t>Initial Facility Size of 3,000 Tons per Day</w:t>
            </w:r>
          </w:p>
        </w:tc>
        <w:tc>
          <w:tcPr>
            <w:tcW w:w="27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15DC3A" w14:textId="21DF34EA" w:rsidR="00FE1551" w:rsidRDefault="00FE1551" w:rsidP="00186C9C">
            <w:pPr>
              <w:rPr>
                <w:rFonts w:ascii="Arial" w:hAnsi="Arial" w:cs="Arial"/>
                <w:color w:val="000000"/>
                <w:sz w:val="22"/>
                <w:szCs w:val="22"/>
              </w:rPr>
            </w:pPr>
            <w:r>
              <w:rPr>
                <w:rFonts w:ascii="Arial" w:hAnsi="Arial" w:cs="Arial"/>
                <w:color w:val="000000"/>
                <w:sz w:val="22"/>
                <w:szCs w:val="22"/>
              </w:rPr>
              <w:t>Electricity Sales</w:t>
            </w:r>
          </w:p>
        </w:tc>
        <w:tc>
          <w:tcPr>
            <w:tcW w:w="1814" w:type="dxa"/>
            <w:tcBorders>
              <w:top w:val="single" w:sz="4" w:space="0" w:color="auto"/>
              <w:left w:val="nil"/>
              <w:bottom w:val="single" w:sz="4" w:space="0" w:color="auto"/>
              <w:right w:val="single" w:sz="4" w:space="0" w:color="auto"/>
            </w:tcBorders>
            <w:shd w:val="clear" w:color="auto" w:fill="auto"/>
            <w:noWrap/>
            <w:vAlign w:val="center"/>
          </w:tcPr>
          <w:p w14:paraId="6BAE5B8F" w14:textId="63BC73AF" w:rsidR="00FE1551" w:rsidRPr="004B445C" w:rsidRDefault="007F0F13" w:rsidP="00186C9C">
            <w:pPr>
              <w:jc w:val="center"/>
              <w:rPr>
                <w:rFonts w:ascii="Arial" w:hAnsi="Arial" w:cs="Arial"/>
                <w:bCs/>
                <w:color w:val="000000"/>
                <w:sz w:val="22"/>
                <w:szCs w:val="22"/>
              </w:rPr>
            </w:pPr>
            <w:r>
              <w:rPr>
                <w:rFonts w:ascii="Arial" w:hAnsi="Arial" w:cs="Arial"/>
                <w:bCs/>
                <w:color w:val="000000"/>
                <w:sz w:val="22"/>
                <w:szCs w:val="22"/>
              </w:rPr>
              <w:t>$485.6 million</w:t>
            </w:r>
          </w:p>
        </w:tc>
        <w:tc>
          <w:tcPr>
            <w:tcW w:w="1890" w:type="dxa"/>
            <w:tcBorders>
              <w:top w:val="single" w:sz="4" w:space="0" w:color="auto"/>
              <w:left w:val="nil"/>
              <w:bottom w:val="single" w:sz="4" w:space="0" w:color="auto"/>
              <w:right w:val="single" w:sz="4" w:space="0" w:color="auto"/>
            </w:tcBorders>
            <w:shd w:val="clear" w:color="auto" w:fill="auto"/>
            <w:vAlign w:val="center"/>
          </w:tcPr>
          <w:p w14:paraId="1AFB6986" w14:textId="03648502" w:rsidR="00FE1551" w:rsidRPr="004B445C" w:rsidRDefault="00C67B1F" w:rsidP="00186C9C">
            <w:pPr>
              <w:jc w:val="center"/>
              <w:rPr>
                <w:rFonts w:ascii="Arial" w:hAnsi="Arial" w:cs="Arial"/>
                <w:color w:val="000000"/>
                <w:sz w:val="22"/>
                <w:szCs w:val="22"/>
              </w:rPr>
            </w:pPr>
            <w:r>
              <w:rPr>
                <w:rFonts w:ascii="Arial" w:hAnsi="Arial" w:cs="Arial"/>
                <w:color w:val="000000"/>
                <w:sz w:val="22"/>
                <w:szCs w:val="22"/>
              </w:rPr>
              <w:t>$1.42 billion</w:t>
            </w:r>
          </w:p>
        </w:tc>
      </w:tr>
      <w:tr w:rsidR="00FE1551" w:rsidRPr="004B445C" w14:paraId="591C62EB" w14:textId="77777777" w:rsidTr="007D74D4">
        <w:trPr>
          <w:trHeight w:val="300"/>
          <w:jc w:val="center"/>
        </w:trPr>
        <w:tc>
          <w:tcPr>
            <w:tcW w:w="2793" w:type="dxa"/>
            <w:vMerge/>
            <w:tcBorders>
              <w:left w:val="single" w:sz="4" w:space="0" w:color="auto"/>
              <w:right w:val="single" w:sz="4" w:space="0" w:color="auto"/>
            </w:tcBorders>
            <w:vAlign w:val="center"/>
          </w:tcPr>
          <w:p w14:paraId="2313BE6F" w14:textId="3B856CCE" w:rsidR="00FE1551" w:rsidRDefault="00FE1551" w:rsidP="00186C9C">
            <w:pPr>
              <w:rPr>
                <w:rFonts w:ascii="Arial" w:hAnsi="Arial" w:cs="Arial"/>
                <w:color w:val="000000"/>
                <w:sz w:val="22"/>
                <w:szCs w:val="22"/>
              </w:rPr>
            </w:pPr>
          </w:p>
        </w:tc>
        <w:tc>
          <w:tcPr>
            <w:tcW w:w="2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7C018" w14:textId="5C1EC260" w:rsidR="00FE1551" w:rsidRPr="00E46D9C" w:rsidRDefault="00FE1551" w:rsidP="00186C9C">
            <w:pPr>
              <w:rPr>
                <w:rFonts w:ascii="Arial" w:hAnsi="Arial" w:cs="Arial"/>
                <w:color w:val="000000"/>
                <w:sz w:val="22"/>
                <w:szCs w:val="22"/>
              </w:rPr>
            </w:pPr>
            <w:r>
              <w:rPr>
                <w:rFonts w:ascii="Arial" w:hAnsi="Arial" w:cs="Arial"/>
                <w:color w:val="000000"/>
                <w:sz w:val="22"/>
                <w:szCs w:val="22"/>
              </w:rPr>
              <w:t>Sale of Recovered Metals</w:t>
            </w:r>
          </w:p>
        </w:tc>
        <w:tc>
          <w:tcPr>
            <w:tcW w:w="1814" w:type="dxa"/>
            <w:tcBorders>
              <w:top w:val="single" w:sz="4" w:space="0" w:color="auto"/>
              <w:left w:val="nil"/>
              <w:bottom w:val="single" w:sz="4" w:space="0" w:color="auto"/>
              <w:right w:val="single" w:sz="4" w:space="0" w:color="auto"/>
            </w:tcBorders>
            <w:shd w:val="clear" w:color="auto" w:fill="auto"/>
            <w:noWrap/>
            <w:vAlign w:val="center"/>
          </w:tcPr>
          <w:p w14:paraId="7A014270" w14:textId="5B950DAD" w:rsidR="00FE1551" w:rsidRPr="004B445C" w:rsidRDefault="007F0F13" w:rsidP="00186C9C">
            <w:pPr>
              <w:jc w:val="center"/>
              <w:rPr>
                <w:rFonts w:ascii="Arial" w:hAnsi="Arial" w:cs="Arial"/>
                <w:bCs/>
                <w:color w:val="000000"/>
                <w:sz w:val="22"/>
                <w:szCs w:val="22"/>
              </w:rPr>
            </w:pPr>
            <w:r>
              <w:rPr>
                <w:rFonts w:ascii="Arial" w:hAnsi="Arial" w:cs="Arial"/>
                <w:bCs/>
                <w:color w:val="000000"/>
                <w:sz w:val="22"/>
                <w:szCs w:val="22"/>
              </w:rPr>
              <w:t>$212.4 million</w:t>
            </w:r>
          </w:p>
        </w:tc>
        <w:tc>
          <w:tcPr>
            <w:tcW w:w="1890" w:type="dxa"/>
            <w:tcBorders>
              <w:top w:val="single" w:sz="4" w:space="0" w:color="auto"/>
              <w:left w:val="nil"/>
              <w:bottom w:val="single" w:sz="4" w:space="0" w:color="auto"/>
              <w:right w:val="single" w:sz="4" w:space="0" w:color="auto"/>
            </w:tcBorders>
            <w:shd w:val="clear" w:color="auto" w:fill="auto"/>
            <w:vAlign w:val="center"/>
          </w:tcPr>
          <w:p w14:paraId="1D5ECE48" w14:textId="11C59DBB" w:rsidR="00FE1551" w:rsidRPr="004B445C" w:rsidRDefault="00C67B1F" w:rsidP="00186C9C">
            <w:pPr>
              <w:jc w:val="center"/>
              <w:rPr>
                <w:rFonts w:ascii="Arial" w:hAnsi="Arial" w:cs="Arial"/>
                <w:color w:val="000000"/>
                <w:sz w:val="22"/>
                <w:szCs w:val="22"/>
              </w:rPr>
            </w:pPr>
            <w:r>
              <w:rPr>
                <w:rFonts w:ascii="Arial" w:hAnsi="Arial" w:cs="Arial"/>
                <w:color w:val="000000"/>
                <w:sz w:val="22"/>
                <w:szCs w:val="22"/>
              </w:rPr>
              <w:t>$905.6 million</w:t>
            </w:r>
          </w:p>
        </w:tc>
      </w:tr>
      <w:tr w:rsidR="00FE1551" w:rsidRPr="004B445C" w14:paraId="0386633C" w14:textId="77777777" w:rsidTr="0037548F">
        <w:trPr>
          <w:trHeight w:val="300"/>
          <w:jc w:val="center"/>
        </w:trPr>
        <w:tc>
          <w:tcPr>
            <w:tcW w:w="2793" w:type="dxa"/>
            <w:vMerge/>
            <w:tcBorders>
              <w:left w:val="single" w:sz="4" w:space="0" w:color="auto"/>
              <w:right w:val="single" w:sz="4" w:space="0" w:color="auto"/>
            </w:tcBorders>
          </w:tcPr>
          <w:p w14:paraId="3706C21C" w14:textId="77777777" w:rsidR="00FE1551" w:rsidRDefault="00FE1551" w:rsidP="007D74D4">
            <w:pPr>
              <w:rPr>
                <w:rFonts w:ascii="Arial" w:hAnsi="Arial" w:cs="Arial"/>
                <w:color w:val="000000"/>
                <w:sz w:val="22"/>
                <w:szCs w:val="22"/>
              </w:rPr>
            </w:pPr>
          </w:p>
        </w:tc>
        <w:tc>
          <w:tcPr>
            <w:tcW w:w="27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0BA524" w14:textId="317306C2" w:rsidR="00FE1551" w:rsidRPr="00FA798D" w:rsidRDefault="00FE1551" w:rsidP="007D74D4">
            <w:pPr>
              <w:rPr>
                <w:rFonts w:ascii="Arial" w:hAnsi="Arial" w:cs="Arial"/>
                <w:color w:val="000000"/>
                <w:sz w:val="22"/>
                <w:szCs w:val="22"/>
              </w:rPr>
            </w:pPr>
            <w:r>
              <w:rPr>
                <w:rFonts w:ascii="Arial" w:hAnsi="Arial" w:cs="Arial"/>
                <w:color w:val="000000"/>
                <w:sz w:val="22"/>
                <w:szCs w:val="22"/>
              </w:rPr>
              <w:t>Out-of-</w:t>
            </w:r>
            <w:r w:rsidR="00A27C46">
              <w:rPr>
                <w:rFonts w:ascii="Arial" w:hAnsi="Arial" w:cs="Arial"/>
                <w:color w:val="000000"/>
                <w:sz w:val="22"/>
                <w:szCs w:val="22"/>
              </w:rPr>
              <w:t>c</w:t>
            </w:r>
            <w:r>
              <w:rPr>
                <w:rFonts w:ascii="Arial" w:hAnsi="Arial" w:cs="Arial"/>
                <w:color w:val="000000"/>
                <w:sz w:val="22"/>
                <w:szCs w:val="22"/>
              </w:rPr>
              <w:t>ounty Waste</w:t>
            </w:r>
          </w:p>
        </w:tc>
        <w:tc>
          <w:tcPr>
            <w:tcW w:w="1814" w:type="dxa"/>
            <w:tcBorders>
              <w:top w:val="single" w:sz="4" w:space="0" w:color="auto"/>
              <w:left w:val="nil"/>
              <w:bottom w:val="single" w:sz="4" w:space="0" w:color="auto"/>
              <w:right w:val="single" w:sz="4" w:space="0" w:color="auto"/>
            </w:tcBorders>
            <w:shd w:val="clear" w:color="auto" w:fill="auto"/>
            <w:noWrap/>
            <w:vAlign w:val="center"/>
          </w:tcPr>
          <w:p w14:paraId="26CB32C4" w14:textId="7B3386E6" w:rsidR="00FE1551" w:rsidRPr="004B445C" w:rsidRDefault="007F0F13" w:rsidP="007D74D4">
            <w:pPr>
              <w:jc w:val="center"/>
              <w:rPr>
                <w:rFonts w:ascii="Arial" w:hAnsi="Arial" w:cs="Arial"/>
                <w:bCs/>
                <w:color w:val="000000"/>
                <w:sz w:val="22"/>
                <w:szCs w:val="22"/>
              </w:rPr>
            </w:pPr>
            <w:r>
              <w:rPr>
                <w:rFonts w:ascii="Arial" w:hAnsi="Arial" w:cs="Arial"/>
                <w:bCs/>
                <w:color w:val="000000"/>
                <w:sz w:val="22"/>
                <w:szCs w:val="22"/>
              </w:rPr>
              <w:t>$</w:t>
            </w:r>
            <w:r w:rsidR="00C67B1F">
              <w:rPr>
                <w:rFonts w:ascii="Arial" w:hAnsi="Arial" w:cs="Arial"/>
                <w:bCs/>
                <w:color w:val="000000"/>
                <w:sz w:val="22"/>
                <w:szCs w:val="22"/>
              </w:rPr>
              <w:t>34.3 million</w:t>
            </w:r>
          </w:p>
        </w:tc>
        <w:tc>
          <w:tcPr>
            <w:tcW w:w="1890" w:type="dxa"/>
            <w:tcBorders>
              <w:top w:val="single" w:sz="4" w:space="0" w:color="auto"/>
              <w:left w:val="nil"/>
              <w:bottom w:val="single" w:sz="4" w:space="0" w:color="auto"/>
              <w:right w:val="single" w:sz="4" w:space="0" w:color="auto"/>
            </w:tcBorders>
            <w:shd w:val="clear" w:color="auto" w:fill="auto"/>
            <w:vAlign w:val="center"/>
          </w:tcPr>
          <w:p w14:paraId="5C675721" w14:textId="568D0422" w:rsidR="00FE1551" w:rsidRPr="004B445C" w:rsidRDefault="007F0D35" w:rsidP="007D74D4">
            <w:pPr>
              <w:jc w:val="center"/>
              <w:rPr>
                <w:rFonts w:ascii="Arial" w:hAnsi="Arial" w:cs="Arial"/>
                <w:color w:val="000000"/>
                <w:sz w:val="22"/>
                <w:szCs w:val="22"/>
              </w:rPr>
            </w:pPr>
            <w:r>
              <w:rPr>
                <w:rFonts w:ascii="Arial" w:hAnsi="Arial" w:cs="Arial"/>
                <w:color w:val="000000"/>
                <w:sz w:val="22"/>
                <w:szCs w:val="22"/>
              </w:rPr>
              <w:t>$650.8 million</w:t>
            </w:r>
          </w:p>
        </w:tc>
      </w:tr>
      <w:tr w:rsidR="00FE1551" w:rsidRPr="004B445C" w14:paraId="7AC52C10" w14:textId="77777777" w:rsidTr="0037548F">
        <w:trPr>
          <w:trHeight w:val="300"/>
          <w:jc w:val="center"/>
        </w:trPr>
        <w:tc>
          <w:tcPr>
            <w:tcW w:w="2793" w:type="dxa"/>
            <w:vMerge/>
            <w:tcBorders>
              <w:left w:val="single" w:sz="4" w:space="0" w:color="auto"/>
              <w:right w:val="single" w:sz="4" w:space="0" w:color="auto"/>
            </w:tcBorders>
          </w:tcPr>
          <w:p w14:paraId="22332B19" w14:textId="77777777" w:rsidR="00FE1551" w:rsidRDefault="00FE1551" w:rsidP="007D74D4">
            <w:pPr>
              <w:rPr>
                <w:rFonts w:ascii="Arial" w:hAnsi="Arial" w:cs="Arial"/>
                <w:b/>
                <w:color w:val="000000"/>
                <w:sz w:val="22"/>
                <w:szCs w:val="22"/>
              </w:rPr>
            </w:pPr>
          </w:p>
        </w:tc>
        <w:tc>
          <w:tcPr>
            <w:tcW w:w="27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99AAE5" w14:textId="723B4E0F" w:rsidR="00FE1551" w:rsidRPr="00186C9C" w:rsidRDefault="00FE1551" w:rsidP="007D74D4">
            <w:pPr>
              <w:rPr>
                <w:rFonts w:ascii="Arial" w:hAnsi="Arial" w:cs="Arial"/>
                <w:color w:val="000000"/>
                <w:sz w:val="22"/>
                <w:szCs w:val="22"/>
              </w:rPr>
            </w:pPr>
            <w:r>
              <w:rPr>
                <w:rFonts w:ascii="Arial" w:hAnsi="Arial" w:cs="Arial"/>
                <w:color w:val="000000"/>
                <w:sz w:val="22"/>
                <w:szCs w:val="22"/>
              </w:rPr>
              <w:t>Use of Ash</w:t>
            </w:r>
          </w:p>
        </w:tc>
        <w:tc>
          <w:tcPr>
            <w:tcW w:w="1814" w:type="dxa"/>
            <w:tcBorders>
              <w:top w:val="single" w:sz="4" w:space="0" w:color="auto"/>
              <w:left w:val="nil"/>
              <w:bottom w:val="single" w:sz="4" w:space="0" w:color="auto"/>
              <w:right w:val="single" w:sz="4" w:space="0" w:color="auto"/>
            </w:tcBorders>
            <w:shd w:val="clear" w:color="auto" w:fill="auto"/>
            <w:noWrap/>
            <w:vAlign w:val="center"/>
          </w:tcPr>
          <w:p w14:paraId="033DF294" w14:textId="47E444AB" w:rsidR="00FE1551" w:rsidRPr="004B445C" w:rsidRDefault="00C67B1F" w:rsidP="007D74D4">
            <w:pPr>
              <w:jc w:val="center"/>
              <w:rPr>
                <w:rFonts w:ascii="Arial" w:hAnsi="Arial" w:cs="Arial"/>
                <w:bCs/>
                <w:color w:val="000000"/>
                <w:sz w:val="22"/>
                <w:szCs w:val="22"/>
              </w:rPr>
            </w:pPr>
            <w:r>
              <w:rPr>
                <w:rFonts w:ascii="Arial" w:hAnsi="Arial" w:cs="Arial"/>
                <w:bCs/>
                <w:color w:val="000000"/>
                <w:sz w:val="22"/>
                <w:szCs w:val="22"/>
              </w:rPr>
              <w:t>$0</w:t>
            </w:r>
          </w:p>
        </w:tc>
        <w:tc>
          <w:tcPr>
            <w:tcW w:w="1890" w:type="dxa"/>
            <w:tcBorders>
              <w:top w:val="single" w:sz="4" w:space="0" w:color="auto"/>
              <w:left w:val="nil"/>
              <w:bottom w:val="single" w:sz="4" w:space="0" w:color="auto"/>
              <w:right w:val="single" w:sz="4" w:space="0" w:color="auto"/>
            </w:tcBorders>
            <w:shd w:val="clear" w:color="auto" w:fill="auto"/>
            <w:vAlign w:val="center"/>
          </w:tcPr>
          <w:p w14:paraId="7A8FD401" w14:textId="26EC3A94" w:rsidR="00FE1551" w:rsidRPr="004B445C" w:rsidRDefault="007F0D35" w:rsidP="007D74D4">
            <w:pPr>
              <w:jc w:val="center"/>
              <w:rPr>
                <w:rFonts w:ascii="Arial" w:hAnsi="Arial" w:cs="Arial"/>
                <w:color w:val="000000"/>
                <w:sz w:val="22"/>
                <w:szCs w:val="22"/>
              </w:rPr>
            </w:pPr>
            <w:r>
              <w:rPr>
                <w:rFonts w:ascii="Arial" w:hAnsi="Arial" w:cs="Arial"/>
                <w:color w:val="000000"/>
                <w:sz w:val="22"/>
                <w:szCs w:val="22"/>
              </w:rPr>
              <w:t>$0</w:t>
            </w:r>
          </w:p>
        </w:tc>
      </w:tr>
      <w:tr w:rsidR="00FE1551" w:rsidRPr="004B445C" w14:paraId="0FD52EDD" w14:textId="77777777" w:rsidTr="00DF6DEC">
        <w:trPr>
          <w:trHeight w:val="300"/>
          <w:jc w:val="center"/>
        </w:trPr>
        <w:tc>
          <w:tcPr>
            <w:tcW w:w="2793" w:type="dxa"/>
            <w:vMerge/>
            <w:tcBorders>
              <w:left w:val="single" w:sz="4" w:space="0" w:color="auto"/>
              <w:bottom w:val="single" w:sz="4" w:space="0" w:color="auto"/>
              <w:right w:val="single" w:sz="4" w:space="0" w:color="auto"/>
            </w:tcBorders>
          </w:tcPr>
          <w:p w14:paraId="107C39D6" w14:textId="77777777" w:rsidR="00FE1551" w:rsidRDefault="00FE1551" w:rsidP="007D74D4">
            <w:pPr>
              <w:rPr>
                <w:rFonts w:ascii="Arial" w:hAnsi="Arial" w:cs="Arial"/>
                <w:b/>
                <w:color w:val="000000"/>
                <w:sz w:val="22"/>
                <w:szCs w:val="22"/>
              </w:rPr>
            </w:pPr>
          </w:p>
        </w:tc>
        <w:tc>
          <w:tcPr>
            <w:tcW w:w="27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8C36E75" w14:textId="55EBDEBC" w:rsidR="00FE1551" w:rsidRPr="007F0D35" w:rsidRDefault="00FE1551" w:rsidP="00CD5CE7">
            <w:pPr>
              <w:jc w:val="right"/>
              <w:rPr>
                <w:rFonts w:ascii="Arial" w:hAnsi="Arial" w:cs="Arial"/>
                <w:b/>
                <w:color w:val="000000"/>
                <w:sz w:val="22"/>
                <w:szCs w:val="22"/>
              </w:rPr>
            </w:pPr>
            <w:r w:rsidRPr="007F0D35">
              <w:rPr>
                <w:rFonts w:ascii="Arial" w:hAnsi="Arial" w:cs="Arial"/>
                <w:b/>
                <w:color w:val="000000"/>
                <w:sz w:val="22"/>
                <w:szCs w:val="22"/>
              </w:rPr>
              <w:t>TOTAL</w:t>
            </w:r>
          </w:p>
        </w:tc>
        <w:tc>
          <w:tcPr>
            <w:tcW w:w="181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C713C52" w14:textId="1BE3EA1C" w:rsidR="00FE1551" w:rsidRPr="007F0D35" w:rsidRDefault="007F0D35" w:rsidP="007D74D4">
            <w:pPr>
              <w:jc w:val="center"/>
              <w:rPr>
                <w:rFonts w:ascii="Arial" w:hAnsi="Arial" w:cs="Arial"/>
                <w:b/>
                <w:bCs/>
                <w:color w:val="000000"/>
                <w:sz w:val="22"/>
                <w:szCs w:val="22"/>
              </w:rPr>
            </w:pPr>
            <w:r w:rsidRPr="007F0D35">
              <w:rPr>
                <w:rFonts w:ascii="Arial" w:hAnsi="Arial" w:cs="Arial"/>
                <w:b/>
                <w:bCs/>
                <w:color w:val="000000"/>
                <w:sz w:val="22"/>
                <w:szCs w:val="22"/>
              </w:rPr>
              <w:t>$732.3 million</w:t>
            </w:r>
          </w:p>
        </w:tc>
        <w:tc>
          <w:tcPr>
            <w:tcW w:w="189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F23EA03" w14:textId="63408C16" w:rsidR="00FE1551" w:rsidRPr="007F0D35" w:rsidRDefault="007F0D35" w:rsidP="007D74D4">
            <w:pPr>
              <w:jc w:val="center"/>
              <w:rPr>
                <w:rFonts w:ascii="Arial" w:hAnsi="Arial" w:cs="Arial"/>
                <w:b/>
                <w:color w:val="000000"/>
                <w:sz w:val="22"/>
                <w:szCs w:val="22"/>
              </w:rPr>
            </w:pPr>
            <w:r w:rsidRPr="007F0D35">
              <w:rPr>
                <w:rFonts w:ascii="Arial" w:hAnsi="Arial" w:cs="Arial"/>
                <w:b/>
                <w:color w:val="000000"/>
                <w:sz w:val="22"/>
                <w:szCs w:val="22"/>
              </w:rPr>
              <w:t>$</w:t>
            </w:r>
            <w:r w:rsidR="00AF113C">
              <w:rPr>
                <w:rFonts w:ascii="Arial" w:hAnsi="Arial" w:cs="Arial"/>
                <w:b/>
                <w:color w:val="000000"/>
                <w:sz w:val="22"/>
                <w:szCs w:val="22"/>
              </w:rPr>
              <w:t>2.</w:t>
            </w:r>
            <w:r w:rsidR="00756220">
              <w:rPr>
                <w:rFonts w:ascii="Arial" w:hAnsi="Arial" w:cs="Arial"/>
                <w:b/>
                <w:color w:val="000000"/>
                <w:sz w:val="22"/>
                <w:szCs w:val="22"/>
              </w:rPr>
              <w:t>97</w:t>
            </w:r>
            <w:r w:rsidRPr="007F0D35">
              <w:rPr>
                <w:rFonts w:ascii="Arial" w:hAnsi="Arial" w:cs="Arial"/>
                <w:b/>
                <w:color w:val="000000"/>
                <w:sz w:val="22"/>
                <w:szCs w:val="22"/>
              </w:rPr>
              <w:t xml:space="preserve"> billion</w:t>
            </w:r>
          </w:p>
        </w:tc>
      </w:tr>
      <w:tr w:rsidR="00FE1551" w:rsidRPr="004B445C" w14:paraId="54F582AF" w14:textId="77777777" w:rsidTr="00DF6DEC">
        <w:trPr>
          <w:trHeight w:val="300"/>
          <w:jc w:val="center"/>
        </w:trPr>
        <w:tc>
          <w:tcPr>
            <w:tcW w:w="2793" w:type="dxa"/>
            <w:vMerge w:val="restart"/>
            <w:tcBorders>
              <w:top w:val="single" w:sz="4" w:space="0" w:color="auto"/>
              <w:left w:val="single" w:sz="4" w:space="0" w:color="auto"/>
              <w:bottom w:val="single" w:sz="4" w:space="0" w:color="auto"/>
              <w:right w:val="single" w:sz="4" w:space="0" w:color="auto"/>
            </w:tcBorders>
            <w:vAlign w:val="center"/>
          </w:tcPr>
          <w:p w14:paraId="7CC4F588" w14:textId="7972E84A" w:rsidR="00FE1551" w:rsidRDefault="00FE1551" w:rsidP="0037548F">
            <w:pPr>
              <w:rPr>
                <w:rFonts w:ascii="Arial" w:hAnsi="Arial" w:cs="Arial"/>
                <w:b/>
                <w:color w:val="000000"/>
                <w:sz w:val="22"/>
                <w:szCs w:val="22"/>
              </w:rPr>
            </w:pPr>
            <w:r>
              <w:rPr>
                <w:rFonts w:ascii="Arial" w:hAnsi="Arial" w:cs="Arial"/>
                <w:b/>
                <w:color w:val="000000"/>
                <w:sz w:val="22"/>
                <w:szCs w:val="22"/>
              </w:rPr>
              <w:t>Initial Facility Size of 4,000 Tons per Day</w:t>
            </w:r>
          </w:p>
        </w:tc>
        <w:tc>
          <w:tcPr>
            <w:tcW w:w="27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C50ED" w14:textId="51C12F7E" w:rsidR="00FE1551" w:rsidRDefault="00FE1551" w:rsidP="007D74D4">
            <w:pPr>
              <w:rPr>
                <w:rFonts w:ascii="Arial" w:hAnsi="Arial" w:cs="Arial"/>
                <w:color w:val="000000"/>
                <w:sz w:val="22"/>
                <w:szCs w:val="22"/>
              </w:rPr>
            </w:pPr>
            <w:r>
              <w:rPr>
                <w:rFonts w:ascii="Arial" w:hAnsi="Arial" w:cs="Arial"/>
                <w:color w:val="000000"/>
                <w:sz w:val="22"/>
                <w:szCs w:val="22"/>
              </w:rPr>
              <w:t>Electricity Sales</w:t>
            </w:r>
          </w:p>
        </w:tc>
        <w:tc>
          <w:tcPr>
            <w:tcW w:w="1814" w:type="dxa"/>
            <w:tcBorders>
              <w:top w:val="single" w:sz="4" w:space="0" w:color="auto"/>
              <w:left w:val="nil"/>
              <w:bottom w:val="single" w:sz="4" w:space="0" w:color="auto"/>
              <w:right w:val="single" w:sz="4" w:space="0" w:color="auto"/>
            </w:tcBorders>
            <w:shd w:val="clear" w:color="auto" w:fill="auto"/>
            <w:noWrap/>
            <w:vAlign w:val="center"/>
          </w:tcPr>
          <w:p w14:paraId="12896AF1" w14:textId="7FD74B4F" w:rsidR="00FE1551" w:rsidRPr="004B445C" w:rsidRDefault="00136B48" w:rsidP="007D74D4">
            <w:pPr>
              <w:jc w:val="center"/>
              <w:rPr>
                <w:rFonts w:ascii="Arial" w:hAnsi="Arial" w:cs="Arial"/>
                <w:bCs/>
                <w:color w:val="000000"/>
                <w:sz w:val="22"/>
                <w:szCs w:val="22"/>
              </w:rPr>
            </w:pPr>
            <w:r>
              <w:rPr>
                <w:rFonts w:ascii="Arial" w:hAnsi="Arial" w:cs="Arial"/>
                <w:bCs/>
                <w:color w:val="000000"/>
                <w:sz w:val="22"/>
                <w:szCs w:val="22"/>
              </w:rPr>
              <w:t>$718.0 million</w:t>
            </w:r>
          </w:p>
        </w:tc>
        <w:tc>
          <w:tcPr>
            <w:tcW w:w="1890" w:type="dxa"/>
            <w:tcBorders>
              <w:top w:val="single" w:sz="4" w:space="0" w:color="auto"/>
              <w:left w:val="nil"/>
              <w:bottom w:val="single" w:sz="4" w:space="0" w:color="auto"/>
              <w:right w:val="single" w:sz="4" w:space="0" w:color="auto"/>
            </w:tcBorders>
            <w:shd w:val="clear" w:color="auto" w:fill="auto"/>
            <w:vAlign w:val="center"/>
          </w:tcPr>
          <w:p w14:paraId="3CD86708" w14:textId="5783E211" w:rsidR="00FE1551" w:rsidRPr="004B445C" w:rsidRDefault="00136B48" w:rsidP="007D74D4">
            <w:pPr>
              <w:jc w:val="center"/>
              <w:rPr>
                <w:rFonts w:ascii="Arial" w:hAnsi="Arial" w:cs="Arial"/>
                <w:color w:val="000000"/>
                <w:sz w:val="22"/>
                <w:szCs w:val="22"/>
              </w:rPr>
            </w:pPr>
            <w:r>
              <w:rPr>
                <w:rFonts w:ascii="Arial" w:hAnsi="Arial" w:cs="Arial"/>
                <w:color w:val="000000"/>
                <w:sz w:val="22"/>
                <w:szCs w:val="22"/>
              </w:rPr>
              <w:t>$</w:t>
            </w:r>
            <w:r w:rsidR="002E19A1">
              <w:rPr>
                <w:rFonts w:ascii="Arial" w:hAnsi="Arial" w:cs="Arial"/>
                <w:color w:val="000000"/>
                <w:sz w:val="22"/>
                <w:szCs w:val="22"/>
              </w:rPr>
              <w:t>1.77 billion</w:t>
            </w:r>
          </w:p>
        </w:tc>
      </w:tr>
      <w:tr w:rsidR="00FE1551" w:rsidRPr="004B445C" w14:paraId="496AB178" w14:textId="77777777" w:rsidTr="00DF6DEC">
        <w:trPr>
          <w:trHeight w:val="300"/>
          <w:jc w:val="center"/>
        </w:trPr>
        <w:tc>
          <w:tcPr>
            <w:tcW w:w="2793" w:type="dxa"/>
            <w:vMerge/>
            <w:tcBorders>
              <w:top w:val="single" w:sz="4" w:space="0" w:color="auto"/>
              <w:left w:val="single" w:sz="4" w:space="0" w:color="auto"/>
              <w:bottom w:val="single" w:sz="4" w:space="0" w:color="auto"/>
              <w:right w:val="single" w:sz="4" w:space="0" w:color="auto"/>
            </w:tcBorders>
            <w:vAlign w:val="center"/>
          </w:tcPr>
          <w:p w14:paraId="092C076A" w14:textId="4E9D62B6" w:rsidR="00FE1551" w:rsidRDefault="00FE1551" w:rsidP="0037548F">
            <w:pPr>
              <w:rPr>
                <w:rFonts w:ascii="Arial" w:hAnsi="Arial" w:cs="Arial"/>
                <w:b/>
                <w:color w:val="000000"/>
                <w:sz w:val="22"/>
                <w:szCs w:val="22"/>
              </w:rPr>
            </w:pPr>
          </w:p>
        </w:tc>
        <w:tc>
          <w:tcPr>
            <w:tcW w:w="27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3862C3" w14:textId="38525E9A" w:rsidR="00FE1551" w:rsidRPr="00186C9C" w:rsidRDefault="00FE1551" w:rsidP="007D74D4">
            <w:pPr>
              <w:rPr>
                <w:rFonts w:ascii="Arial" w:hAnsi="Arial" w:cs="Arial"/>
                <w:color w:val="000000"/>
                <w:sz w:val="22"/>
                <w:szCs w:val="22"/>
              </w:rPr>
            </w:pPr>
            <w:r>
              <w:rPr>
                <w:rFonts w:ascii="Arial" w:hAnsi="Arial" w:cs="Arial"/>
                <w:color w:val="000000"/>
                <w:sz w:val="22"/>
                <w:szCs w:val="22"/>
              </w:rPr>
              <w:t>Sale of Recovered Metals</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31C3E9" w14:textId="22777513" w:rsidR="00FE1551" w:rsidRPr="004B445C" w:rsidRDefault="00136B48" w:rsidP="007D74D4">
            <w:pPr>
              <w:jc w:val="center"/>
              <w:rPr>
                <w:rFonts w:ascii="Arial" w:hAnsi="Arial" w:cs="Arial"/>
                <w:bCs/>
                <w:color w:val="000000"/>
                <w:sz w:val="22"/>
                <w:szCs w:val="22"/>
              </w:rPr>
            </w:pPr>
            <w:r>
              <w:rPr>
                <w:rFonts w:ascii="Arial" w:hAnsi="Arial" w:cs="Arial"/>
                <w:bCs/>
                <w:color w:val="000000"/>
                <w:sz w:val="22"/>
                <w:szCs w:val="22"/>
              </w:rPr>
              <w:t>$316.6 million</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73578DE" w14:textId="583CD1D4" w:rsidR="00FE1551" w:rsidRPr="004B445C" w:rsidRDefault="002E19A1" w:rsidP="007D74D4">
            <w:pPr>
              <w:jc w:val="center"/>
              <w:rPr>
                <w:rFonts w:ascii="Arial" w:hAnsi="Arial" w:cs="Arial"/>
                <w:color w:val="000000"/>
                <w:sz w:val="22"/>
                <w:szCs w:val="22"/>
              </w:rPr>
            </w:pPr>
            <w:r>
              <w:rPr>
                <w:rFonts w:ascii="Arial" w:hAnsi="Arial" w:cs="Arial"/>
                <w:color w:val="000000"/>
                <w:sz w:val="22"/>
                <w:szCs w:val="22"/>
              </w:rPr>
              <w:t>$1.13 billion</w:t>
            </w:r>
          </w:p>
        </w:tc>
      </w:tr>
      <w:tr w:rsidR="00FE1551" w:rsidRPr="004B445C" w14:paraId="7E6B6646" w14:textId="77777777" w:rsidTr="00DF6DEC">
        <w:trPr>
          <w:trHeight w:val="300"/>
          <w:jc w:val="center"/>
        </w:trPr>
        <w:tc>
          <w:tcPr>
            <w:tcW w:w="2793" w:type="dxa"/>
            <w:vMerge/>
            <w:tcBorders>
              <w:top w:val="single" w:sz="4" w:space="0" w:color="auto"/>
              <w:left w:val="single" w:sz="4" w:space="0" w:color="auto"/>
              <w:bottom w:val="single" w:sz="4" w:space="0" w:color="auto"/>
              <w:right w:val="single" w:sz="4" w:space="0" w:color="auto"/>
            </w:tcBorders>
          </w:tcPr>
          <w:p w14:paraId="3FBF701E" w14:textId="77777777" w:rsidR="00FE1551" w:rsidRDefault="00FE1551" w:rsidP="007D74D4">
            <w:pPr>
              <w:rPr>
                <w:rFonts w:ascii="Arial" w:hAnsi="Arial" w:cs="Arial"/>
                <w:b/>
                <w:color w:val="000000"/>
                <w:sz w:val="22"/>
                <w:szCs w:val="22"/>
              </w:rPr>
            </w:pPr>
          </w:p>
        </w:tc>
        <w:tc>
          <w:tcPr>
            <w:tcW w:w="27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272AC1" w14:textId="68BAE262" w:rsidR="00FE1551" w:rsidRPr="005E3D44" w:rsidRDefault="00FE1551" w:rsidP="007D74D4">
            <w:pPr>
              <w:rPr>
                <w:rFonts w:ascii="Arial" w:hAnsi="Arial" w:cs="Arial"/>
                <w:color w:val="000000"/>
                <w:sz w:val="22"/>
                <w:szCs w:val="22"/>
              </w:rPr>
            </w:pPr>
            <w:r>
              <w:rPr>
                <w:rFonts w:ascii="Arial" w:hAnsi="Arial" w:cs="Arial"/>
                <w:color w:val="000000"/>
                <w:sz w:val="22"/>
                <w:szCs w:val="22"/>
              </w:rPr>
              <w:t>Out-of-</w:t>
            </w:r>
            <w:r w:rsidR="00A27C46">
              <w:rPr>
                <w:rFonts w:ascii="Arial" w:hAnsi="Arial" w:cs="Arial"/>
                <w:color w:val="000000"/>
                <w:sz w:val="22"/>
                <w:szCs w:val="22"/>
              </w:rPr>
              <w:t>c</w:t>
            </w:r>
            <w:r>
              <w:rPr>
                <w:rFonts w:ascii="Arial" w:hAnsi="Arial" w:cs="Arial"/>
                <w:color w:val="000000"/>
                <w:sz w:val="22"/>
                <w:szCs w:val="22"/>
              </w:rPr>
              <w:t>ounty Waste</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9FDFA5" w14:textId="346829BF" w:rsidR="00FE1551" w:rsidRPr="004B445C" w:rsidRDefault="00136B48" w:rsidP="007D74D4">
            <w:pPr>
              <w:jc w:val="center"/>
              <w:rPr>
                <w:rFonts w:ascii="Arial" w:hAnsi="Arial" w:cs="Arial"/>
                <w:bCs/>
                <w:color w:val="000000"/>
                <w:sz w:val="22"/>
                <w:szCs w:val="22"/>
              </w:rPr>
            </w:pPr>
            <w:r>
              <w:rPr>
                <w:rFonts w:ascii="Arial" w:hAnsi="Arial" w:cs="Arial"/>
                <w:bCs/>
                <w:color w:val="000000"/>
                <w:sz w:val="22"/>
                <w:szCs w:val="22"/>
              </w:rPr>
              <w:t>$140.9 million</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A5372E4" w14:textId="7ADC2C0B" w:rsidR="00FE1551" w:rsidRPr="004B445C" w:rsidRDefault="002E19A1" w:rsidP="007D74D4">
            <w:pPr>
              <w:jc w:val="center"/>
              <w:rPr>
                <w:rFonts w:ascii="Arial" w:hAnsi="Arial" w:cs="Arial"/>
                <w:color w:val="000000"/>
                <w:sz w:val="22"/>
                <w:szCs w:val="22"/>
              </w:rPr>
            </w:pPr>
            <w:r>
              <w:rPr>
                <w:rFonts w:ascii="Arial" w:hAnsi="Arial" w:cs="Arial"/>
                <w:color w:val="000000"/>
                <w:sz w:val="22"/>
                <w:szCs w:val="22"/>
              </w:rPr>
              <w:t>$186</w:t>
            </w:r>
            <w:r w:rsidR="00560096">
              <w:rPr>
                <w:rFonts w:ascii="Arial" w:hAnsi="Arial" w:cs="Arial"/>
                <w:color w:val="000000"/>
                <w:sz w:val="22"/>
                <w:szCs w:val="22"/>
              </w:rPr>
              <w:t>.0 million</w:t>
            </w:r>
          </w:p>
        </w:tc>
      </w:tr>
      <w:tr w:rsidR="00FE1551" w:rsidRPr="004B445C" w14:paraId="3EDFB3FD" w14:textId="77777777" w:rsidTr="00DF6DEC">
        <w:trPr>
          <w:trHeight w:val="300"/>
          <w:jc w:val="center"/>
        </w:trPr>
        <w:tc>
          <w:tcPr>
            <w:tcW w:w="2793" w:type="dxa"/>
            <w:vMerge/>
            <w:tcBorders>
              <w:top w:val="single" w:sz="4" w:space="0" w:color="auto"/>
              <w:left w:val="single" w:sz="4" w:space="0" w:color="auto"/>
              <w:bottom w:val="single" w:sz="4" w:space="0" w:color="auto"/>
              <w:right w:val="single" w:sz="4" w:space="0" w:color="auto"/>
            </w:tcBorders>
          </w:tcPr>
          <w:p w14:paraId="5C6995D1" w14:textId="77777777" w:rsidR="00FE1551" w:rsidRDefault="00FE1551" w:rsidP="007D74D4">
            <w:pPr>
              <w:rPr>
                <w:rFonts w:ascii="Arial" w:hAnsi="Arial" w:cs="Arial"/>
                <w:b/>
                <w:color w:val="000000"/>
                <w:sz w:val="22"/>
                <w:szCs w:val="22"/>
              </w:rPr>
            </w:pPr>
          </w:p>
        </w:tc>
        <w:tc>
          <w:tcPr>
            <w:tcW w:w="27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3F8D47" w14:textId="2C5B4329" w:rsidR="00FE1551" w:rsidRPr="005E3D44" w:rsidRDefault="00FE1551" w:rsidP="007D74D4">
            <w:pPr>
              <w:rPr>
                <w:rFonts w:ascii="Arial" w:hAnsi="Arial" w:cs="Arial"/>
                <w:color w:val="000000"/>
                <w:sz w:val="22"/>
                <w:szCs w:val="22"/>
              </w:rPr>
            </w:pPr>
            <w:r>
              <w:rPr>
                <w:rFonts w:ascii="Arial" w:hAnsi="Arial" w:cs="Arial"/>
                <w:color w:val="000000"/>
                <w:sz w:val="22"/>
                <w:szCs w:val="22"/>
              </w:rPr>
              <w:t>Use of Ash</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1BD4C2" w14:textId="4172080A" w:rsidR="00FE1551" w:rsidRPr="004B445C" w:rsidRDefault="00136B48" w:rsidP="007D74D4">
            <w:pPr>
              <w:jc w:val="center"/>
              <w:rPr>
                <w:rFonts w:ascii="Arial" w:hAnsi="Arial" w:cs="Arial"/>
                <w:bCs/>
                <w:color w:val="000000"/>
                <w:sz w:val="22"/>
                <w:szCs w:val="22"/>
              </w:rPr>
            </w:pPr>
            <w:r>
              <w:rPr>
                <w:rFonts w:ascii="Arial" w:hAnsi="Arial" w:cs="Arial"/>
                <w:bCs/>
                <w:color w:val="000000"/>
                <w:sz w:val="22"/>
                <w:szCs w:val="22"/>
              </w:rPr>
              <w:t>$0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4BDC29C" w14:textId="08199ED9" w:rsidR="00FE1551" w:rsidRPr="004B445C" w:rsidRDefault="00560096" w:rsidP="007D74D4">
            <w:pPr>
              <w:jc w:val="center"/>
              <w:rPr>
                <w:rFonts w:ascii="Arial" w:hAnsi="Arial" w:cs="Arial"/>
                <w:color w:val="000000"/>
                <w:sz w:val="22"/>
                <w:szCs w:val="22"/>
              </w:rPr>
            </w:pPr>
            <w:r>
              <w:rPr>
                <w:rFonts w:ascii="Arial" w:hAnsi="Arial" w:cs="Arial"/>
                <w:color w:val="000000"/>
                <w:sz w:val="22"/>
                <w:szCs w:val="22"/>
              </w:rPr>
              <w:t>$0</w:t>
            </w:r>
          </w:p>
        </w:tc>
      </w:tr>
      <w:tr w:rsidR="00FE1551" w:rsidRPr="004B445C" w14:paraId="62117F10" w14:textId="77777777" w:rsidTr="00DF6DEC">
        <w:trPr>
          <w:trHeight w:val="300"/>
          <w:jc w:val="center"/>
        </w:trPr>
        <w:tc>
          <w:tcPr>
            <w:tcW w:w="2793" w:type="dxa"/>
            <w:vMerge/>
            <w:tcBorders>
              <w:top w:val="single" w:sz="4" w:space="0" w:color="auto"/>
              <w:left w:val="single" w:sz="4" w:space="0" w:color="auto"/>
              <w:bottom w:val="single" w:sz="4" w:space="0" w:color="auto"/>
              <w:right w:val="single" w:sz="4" w:space="0" w:color="auto"/>
            </w:tcBorders>
          </w:tcPr>
          <w:p w14:paraId="330DF2F8" w14:textId="77777777" w:rsidR="00FE1551" w:rsidRDefault="00FE1551" w:rsidP="007D74D4">
            <w:pPr>
              <w:rPr>
                <w:rFonts w:ascii="Arial" w:hAnsi="Arial" w:cs="Arial"/>
                <w:b/>
                <w:color w:val="000000"/>
                <w:sz w:val="22"/>
                <w:szCs w:val="22"/>
              </w:rPr>
            </w:pPr>
          </w:p>
        </w:tc>
        <w:tc>
          <w:tcPr>
            <w:tcW w:w="27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708B82B" w14:textId="67228438" w:rsidR="00FE1551" w:rsidRPr="00560096" w:rsidRDefault="00FE1551" w:rsidP="00CD5CE7">
            <w:pPr>
              <w:jc w:val="right"/>
              <w:rPr>
                <w:rFonts w:ascii="Arial" w:hAnsi="Arial" w:cs="Arial"/>
                <w:b/>
                <w:color w:val="000000"/>
                <w:sz w:val="22"/>
                <w:szCs w:val="22"/>
              </w:rPr>
            </w:pPr>
            <w:r w:rsidRPr="00560096">
              <w:rPr>
                <w:rFonts w:ascii="Arial" w:hAnsi="Arial" w:cs="Arial"/>
                <w:b/>
                <w:color w:val="000000"/>
                <w:sz w:val="22"/>
                <w:szCs w:val="22"/>
              </w:rPr>
              <w:t>TOTAL</w:t>
            </w:r>
          </w:p>
        </w:tc>
        <w:tc>
          <w:tcPr>
            <w:tcW w:w="181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48E197F" w14:textId="0F08AB2C" w:rsidR="00FE1551" w:rsidRPr="00560096" w:rsidRDefault="00560096" w:rsidP="007D74D4">
            <w:pPr>
              <w:jc w:val="center"/>
              <w:rPr>
                <w:rFonts w:ascii="Arial" w:hAnsi="Arial" w:cs="Arial"/>
                <w:b/>
                <w:bCs/>
                <w:color w:val="000000"/>
                <w:sz w:val="22"/>
                <w:szCs w:val="22"/>
              </w:rPr>
            </w:pPr>
            <w:r w:rsidRPr="00560096">
              <w:rPr>
                <w:rFonts w:ascii="Arial" w:hAnsi="Arial" w:cs="Arial"/>
                <w:b/>
                <w:bCs/>
                <w:color w:val="000000"/>
                <w:sz w:val="22"/>
                <w:szCs w:val="22"/>
              </w:rPr>
              <w:t>$1.18 billion</w:t>
            </w:r>
          </w:p>
        </w:tc>
        <w:tc>
          <w:tcPr>
            <w:tcW w:w="18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74E8BE" w14:textId="1CC3C9F3" w:rsidR="00FE1551" w:rsidRPr="00560096" w:rsidRDefault="00560096" w:rsidP="007D74D4">
            <w:pPr>
              <w:jc w:val="center"/>
              <w:rPr>
                <w:rFonts w:ascii="Arial" w:hAnsi="Arial" w:cs="Arial"/>
                <w:b/>
                <w:color w:val="000000"/>
                <w:sz w:val="22"/>
                <w:szCs w:val="22"/>
              </w:rPr>
            </w:pPr>
            <w:r w:rsidRPr="00560096">
              <w:rPr>
                <w:rFonts w:ascii="Arial" w:hAnsi="Arial" w:cs="Arial"/>
                <w:b/>
                <w:color w:val="000000"/>
                <w:sz w:val="22"/>
                <w:szCs w:val="22"/>
              </w:rPr>
              <w:t>$3.09 billion</w:t>
            </w:r>
          </w:p>
        </w:tc>
      </w:tr>
    </w:tbl>
    <w:p w14:paraId="5B2DAE7D" w14:textId="4DDD4240" w:rsidR="00007DE1" w:rsidRPr="00007DE1" w:rsidRDefault="00007DE1" w:rsidP="00007DE1">
      <w:pPr>
        <w:jc w:val="center"/>
        <w:rPr>
          <w:rFonts w:ascii="Arial" w:hAnsi="Arial" w:cs="Arial"/>
          <w:b/>
        </w:rPr>
      </w:pPr>
    </w:p>
    <w:p w14:paraId="3C5A0C31" w14:textId="5CFC60F8" w:rsidR="008F5399" w:rsidRDefault="002F353F" w:rsidP="00DB5DCB">
      <w:pPr>
        <w:jc w:val="both"/>
        <w:rPr>
          <w:rFonts w:ascii="Arial" w:hAnsi="Arial" w:cs="Arial"/>
        </w:rPr>
      </w:pPr>
      <w:r>
        <w:rPr>
          <w:rFonts w:ascii="Arial" w:hAnsi="Arial" w:cs="Arial"/>
        </w:rPr>
        <w:t>As noted previously,</w:t>
      </w:r>
      <w:r w:rsidR="00D00D48">
        <w:rPr>
          <w:rFonts w:ascii="Arial" w:hAnsi="Arial" w:cs="Arial"/>
        </w:rPr>
        <w:t xml:space="preserve"> </w:t>
      </w:r>
      <w:r w:rsidR="00227AB9">
        <w:rPr>
          <w:rFonts w:ascii="Arial" w:hAnsi="Arial" w:cs="Arial"/>
        </w:rPr>
        <w:t xml:space="preserve">the financial model developed by the Consultant assumed an advanced materials processing component </w:t>
      </w:r>
      <w:r w:rsidR="008F3B86">
        <w:rPr>
          <w:rFonts w:ascii="Arial" w:hAnsi="Arial" w:cs="Arial"/>
        </w:rPr>
        <w:t xml:space="preserve">to the facility </w:t>
      </w:r>
      <w:r w:rsidR="00227AB9">
        <w:rPr>
          <w:rFonts w:ascii="Arial" w:hAnsi="Arial" w:cs="Arial"/>
        </w:rPr>
        <w:t xml:space="preserve">which </w:t>
      </w:r>
      <w:r w:rsidR="008F3B86">
        <w:rPr>
          <w:rFonts w:ascii="Arial" w:hAnsi="Arial" w:cs="Arial"/>
        </w:rPr>
        <w:t>would yield</w:t>
      </w:r>
      <w:r w:rsidR="00EF03C9">
        <w:rPr>
          <w:rFonts w:ascii="Arial" w:hAnsi="Arial" w:cs="Arial"/>
        </w:rPr>
        <w:t xml:space="preserve"> cleaner metals that command a higher price than comparable facilities that do not have such equipment. </w:t>
      </w:r>
      <w:r w:rsidR="008F5399">
        <w:rPr>
          <w:rFonts w:ascii="Arial" w:hAnsi="Arial" w:cs="Arial"/>
        </w:rPr>
        <w:t xml:space="preserve">An additional assumption in the financial model </w:t>
      </w:r>
      <w:r w:rsidR="000065EA">
        <w:rPr>
          <w:rFonts w:ascii="Arial" w:hAnsi="Arial" w:cs="Arial"/>
        </w:rPr>
        <w:t>relates to the acceptance of out-of-</w:t>
      </w:r>
      <w:r w:rsidR="00033A33">
        <w:rPr>
          <w:rFonts w:ascii="Arial" w:hAnsi="Arial" w:cs="Arial"/>
        </w:rPr>
        <w:t>c</w:t>
      </w:r>
      <w:r w:rsidR="000065EA">
        <w:rPr>
          <w:rFonts w:ascii="Arial" w:hAnsi="Arial" w:cs="Arial"/>
        </w:rPr>
        <w:t xml:space="preserve">ounty waste for </w:t>
      </w:r>
      <w:r w:rsidR="00273B39">
        <w:rPr>
          <w:rFonts w:ascii="Arial" w:hAnsi="Arial" w:cs="Arial"/>
        </w:rPr>
        <w:t>remaining facility capacity above the anticipated tonnage forecast for a per ton fee.</w:t>
      </w:r>
      <w:r w:rsidR="002C0B68">
        <w:rPr>
          <w:rStyle w:val="FootnoteReference"/>
          <w:rFonts w:ascii="Arial" w:hAnsi="Arial" w:cs="Arial"/>
        </w:rPr>
        <w:footnoteReference w:id="19"/>
      </w:r>
      <w:r w:rsidR="00273B39">
        <w:rPr>
          <w:rFonts w:ascii="Arial" w:hAnsi="Arial" w:cs="Arial"/>
        </w:rPr>
        <w:t xml:space="preserve"> </w:t>
      </w:r>
      <w:r w:rsidR="00C616C2">
        <w:rPr>
          <w:rFonts w:ascii="Arial" w:hAnsi="Arial" w:cs="Arial"/>
        </w:rPr>
        <w:t>Out-of-</w:t>
      </w:r>
      <w:r w:rsidR="005B55C2">
        <w:rPr>
          <w:rFonts w:ascii="Arial" w:hAnsi="Arial" w:cs="Arial"/>
        </w:rPr>
        <w:t>c</w:t>
      </w:r>
      <w:r w:rsidR="00C616C2">
        <w:rPr>
          <w:rFonts w:ascii="Arial" w:hAnsi="Arial" w:cs="Arial"/>
        </w:rPr>
        <w:t xml:space="preserve">ounty waste in this context </w:t>
      </w:r>
      <w:r w:rsidR="00E02FA7">
        <w:rPr>
          <w:rFonts w:ascii="Arial" w:hAnsi="Arial" w:cs="Arial"/>
        </w:rPr>
        <w:t xml:space="preserve">is waste not provided by the 37 partner cities in the County’s solid waste system. </w:t>
      </w:r>
      <w:r w:rsidR="005B55C2">
        <w:rPr>
          <w:rFonts w:ascii="Arial" w:hAnsi="Arial" w:cs="Arial"/>
        </w:rPr>
        <w:t>The Consultant notes that</w:t>
      </w:r>
      <w:r w:rsidR="0089048F">
        <w:rPr>
          <w:rFonts w:ascii="Arial" w:hAnsi="Arial" w:cs="Arial"/>
        </w:rPr>
        <w:t xml:space="preserve"> accepting out-of-county waste</w:t>
      </w:r>
      <w:r w:rsidR="00AF2FF0">
        <w:rPr>
          <w:rFonts w:ascii="Arial" w:hAnsi="Arial" w:cs="Arial"/>
        </w:rPr>
        <w:t xml:space="preserve"> may </w:t>
      </w:r>
      <w:r w:rsidR="00CA3EA5">
        <w:rPr>
          <w:rFonts w:ascii="Arial" w:hAnsi="Arial" w:cs="Arial"/>
        </w:rPr>
        <w:t xml:space="preserve">also </w:t>
      </w:r>
      <w:r w:rsidR="00AF2FF0">
        <w:rPr>
          <w:rFonts w:ascii="Arial" w:hAnsi="Arial" w:cs="Arial"/>
        </w:rPr>
        <w:t xml:space="preserve">result in improved facility operation, as </w:t>
      </w:r>
      <w:r w:rsidR="00273B39">
        <w:rPr>
          <w:rFonts w:ascii="Arial" w:hAnsi="Arial" w:cs="Arial"/>
        </w:rPr>
        <w:t>WTE facilities operate more efficiently when they process</w:t>
      </w:r>
      <w:r w:rsidR="008D22C3">
        <w:rPr>
          <w:rFonts w:ascii="Arial" w:hAnsi="Arial" w:cs="Arial"/>
        </w:rPr>
        <w:t xml:space="preserve"> </w:t>
      </w:r>
      <w:r w:rsidR="004661CB">
        <w:rPr>
          <w:rFonts w:ascii="Arial" w:hAnsi="Arial" w:cs="Arial"/>
        </w:rPr>
        <w:t xml:space="preserve">waste at the designed capacity. </w:t>
      </w:r>
    </w:p>
    <w:p w14:paraId="2793CFEC" w14:textId="6C9C4FAC" w:rsidR="00752918" w:rsidRDefault="00752918" w:rsidP="00DB5DCB">
      <w:pPr>
        <w:jc w:val="both"/>
        <w:rPr>
          <w:rFonts w:ascii="Arial" w:hAnsi="Arial" w:cs="Arial"/>
        </w:rPr>
      </w:pPr>
    </w:p>
    <w:p w14:paraId="3797A8BC" w14:textId="519C440D" w:rsidR="00A27C46" w:rsidRDefault="00E438FC" w:rsidP="00D74C8E">
      <w:pPr>
        <w:jc w:val="both"/>
        <w:rPr>
          <w:rFonts w:ascii="Arial" w:hAnsi="Arial" w:cs="Arial"/>
        </w:rPr>
      </w:pPr>
      <w:r>
        <w:rPr>
          <w:rFonts w:ascii="Arial" w:hAnsi="Arial" w:cs="Arial"/>
        </w:rPr>
        <w:t xml:space="preserve">The </w:t>
      </w:r>
      <w:r w:rsidR="00137DF6">
        <w:rPr>
          <w:rFonts w:ascii="Arial" w:hAnsi="Arial" w:cs="Arial"/>
        </w:rPr>
        <w:t xml:space="preserve">Feasibility Study </w:t>
      </w:r>
      <w:r w:rsidR="00F14A87">
        <w:rPr>
          <w:rFonts w:ascii="Arial" w:hAnsi="Arial" w:cs="Arial"/>
        </w:rPr>
        <w:t>provides</w:t>
      </w:r>
      <w:r w:rsidR="00137DF6">
        <w:rPr>
          <w:rFonts w:ascii="Arial" w:hAnsi="Arial" w:cs="Arial"/>
        </w:rPr>
        <w:t xml:space="preserve"> that </w:t>
      </w:r>
      <w:r w:rsidR="002B5735">
        <w:rPr>
          <w:rFonts w:ascii="Arial" w:hAnsi="Arial" w:cs="Arial"/>
        </w:rPr>
        <w:t>a portion of the</w:t>
      </w:r>
      <w:r w:rsidR="00F14A87">
        <w:rPr>
          <w:rFonts w:ascii="Arial" w:hAnsi="Arial" w:cs="Arial"/>
        </w:rPr>
        <w:t xml:space="preserve"> ash resulting from combustion </w:t>
      </w:r>
      <w:r w:rsidR="00EE4E58">
        <w:rPr>
          <w:rFonts w:ascii="Arial" w:hAnsi="Arial" w:cs="Arial"/>
        </w:rPr>
        <w:t>may be directed towards reuse opportunities such as in cement or asphalt</w:t>
      </w:r>
      <w:r w:rsidR="00FA1003">
        <w:rPr>
          <w:rFonts w:ascii="Arial" w:hAnsi="Arial" w:cs="Arial"/>
        </w:rPr>
        <w:t xml:space="preserve">, but that revenues depend on the market for ash and area demand. </w:t>
      </w:r>
      <w:r w:rsidR="00A96EC6">
        <w:rPr>
          <w:rFonts w:ascii="Arial" w:hAnsi="Arial" w:cs="Arial"/>
        </w:rPr>
        <w:t xml:space="preserve">The financial model assumes no revenue for ash </w:t>
      </w:r>
      <w:r w:rsidR="007A43E7">
        <w:rPr>
          <w:rFonts w:ascii="Arial" w:hAnsi="Arial" w:cs="Arial"/>
        </w:rPr>
        <w:t>directed towa</w:t>
      </w:r>
      <w:r w:rsidR="007548CB">
        <w:rPr>
          <w:rFonts w:ascii="Arial" w:hAnsi="Arial" w:cs="Arial"/>
        </w:rPr>
        <w:t>rds reuse</w:t>
      </w:r>
      <w:r w:rsidR="00A96EC6">
        <w:rPr>
          <w:rFonts w:ascii="Arial" w:hAnsi="Arial" w:cs="Arial"/>
        </w:rPr>
        <w:t xml:space="preserve">, but that the recipient </w:t>
      </w:r>
      <w:r w:rsidR="007548CB">
        <w:rPr>
          <w:rFonts w:ascii="Arial" w:hAnsi="Arial" w:cs="Arial"/>
        </w:rPr>
        <w:t>would</w:t>
      </w:r>
      <w:r w:rsidR="00A96EC6">
        <w:rPr>
          <w:rFonts w:ascii="Arial" w:hAnsi="Arial" w:cs="Arial"/>
        </w:rPr>
        <w:t xml:space="preserve"> pay hauling costs</w:t>
      </w:r>
      <w:r w:rsidR="00137DF6">
        <w:rPr>
          <w:rFonts w:ascii="Arial" w:hAnsi="Arial" w:cs="Arial"/>
        </w:rPr>
        <w:t>.</w:t>
      </w:r>
      <w:r w:rsidR="001C5969">
        <w:rPr>
          <w:rFonts w:ascii="Arial" w:hAnsi="Arial" w:cs="Arial"/>
        </w:rPr>
        <w:t xml:space="preserve"> </w:t>
      </w:r>
      <w:r w:rsidR="007548CB">
        <w:rPr>
          <w:rFonts w:ascii="Arial" w:hAnsi="Arial" w:cs="Arial"/>
        </w:rPr>
        <w:t>Note that the portion of ash not reused would have to be landfilled.</w:t>
      </w:r>
    </w:p>
    <w:p w14:paraId="0448CE48" w14:textId="77777777" w:rsidR="00A27C46" w:rsidRDefault="00A27C46" w:rsidP="00D74C8E">
      <w:pPr>
        <w:jc w:val="both"/>
        <w:rPr>
          <w:rFonts w:ascii="Arial" w:hAnsi="Arial" w:cs="Arial"/>
        </w:rPr>
      </w:pPr>
    </w:p>
    <w:p w14:paraId="266B7959" w14:textId="2F48E194" w:rsidR="0019016B" w:rsidRDefault="004F5D77" w:rsidP="004F5D77">
      <w:pPr>
        <w:jc w:val="both"/>
        <w:rPr>
          <w:rFonts w:ascii="Arial" w:hAnsi="Arial" w:cs="Arial"/>
        </w:rPr>
      </w:pPr>
      <w:r w:rsidRPr="00F03CE8">
        <w:rPr>
          <w:rFonts w:ascii="Arial" w:hAnsi="Arial" w:cs="Arial"/>
          <w:i/>
        </w:rPr>
        <w:t>Environmental Impacts.</w:t>
      </w:r>
      <w:r w:rsidR="00F03CE8">
        <w:rPr>
          <w:rFonts w:ascii="Arial" w:hAnsi="Arial" w:cs="Arial"/>
          <w:i/>
        </w:rPr>
        <w:t xml:space="preserve"> </w:t>
      </w:r>
      <w:r w:rsidR="00F03CE8">
        <w:rPr>
          <w:rFonts w:ascii="Arial" w:hAnsi="Arial" w:cs="Arial"/>
        </w:rPr>
        <w:t xml:space="preserve">The budget proviso requires a discussion of any environmental impacts of a WTE facility. The Study focuses </w:t>
      </w:r>
      <w:r w:rsidR="00560BBD">
        <w:rPr>
          <w:rFonts w:ascii="Arial" w:hAnsi="Arial" w:cs="Arial"/>
        </w:rPr>
        <w:t xml:space="preserve">primarily </w:t>
      </w:r>
      <w:r w:rsidR="00F03CE8">
        <w:rPr>
          <w:rFonts w:ascii="Arial" w:hAnsi="Arial" w:cs="Arial"/>
        </w:rPr>
        <w:t xml:space="preserve">on </w:t>
      </w:r>
      <w:r w:rsidR="00DF5896">
        <w:rPr>
          <w:rFonts w:ascii="Arial" w:hAnsi="Arial" w:cs="Arial"/>
        </w:rPr>
        <w:t>greenhouse gas (“GHG”) emissions</w:t>
      </w:r>
      <w:r w:rsidR="00560BBD">
        <w:rPr>
          <w:rFonts w:ascii="Arial" w:hAnsi="Arial" w:cs="Arial"/>
        </w:rPr>
        <w:t xml:space="preserve"> and </w:t>
      </w:r>
      <w:r w:rsidR="00DF5896">
        <w:rPr>
          <w:rFonts w:ascii="Arial" w:hAnsi="Arial" w:cs="Arial"/>
        </w:rPr>
        <w:t>non-greenhouse gas emissions</w:t>
      </w:r>
      <w:r w:rsidR="000A07EF">
        <w:rPr>
          <w:rFonts w:ascii="Arial" w:hAnsi="Arial" w:cs="Arial"/>
        </w:rPr>
        <w:t xml:space="preserve">. </w:t>
      </w:r>
    </w:p>
    <w:p w14:paraId="1FE9A09C" w14:textId="77777777" w:rsidR="0019016B" w:rsidRDefault="0019016B" w:rsidP="004F5D77">
      <w:pPr>
        <w:jc w:val="both"/>
        <w:rPr>
          <w:rFonts w:ascii="Arial" w:hAnsi="Arial" w:cs="Arial"/>
        </w:rPr>
      </w:pPr>
    </w:p>
    <w:p w14:paraId="7EB5D0C6" w14:textId="60AFDB05" w:rsidR="00B5295D" w:rsidRPr="00590F7E" w:rsidRDefault="002A1E43" w:rsidP="00590F7E">
      <w:pPr>
        <w:jc w:val="both"/>
        <w:rPr>
          <w:rFonts w:ascii="Arial" w:hAnsi="Arial" w:cs="Arial"/>
        </w:rPr>
      </w:pPr>
      <w:r w:rsidRPr="001037DF">
        <w:rPr>
          <w:rFonts w:ascii="Arial" w:hAnsi="Arial" w:cs="Arial"/>
        </w:rPr>
        <w:t>The Consultant estimated</w:t>
      </w:r>
      <w:r w:rsidR="0019016B" w:rsidRPr="001037DF">
        <w:rPr>
          <w:rFonts w:ascii="Arial" w:hAnsi="Arial" w:cs="Arial"/>
        </w:rPr>
        <w:t xml:space="preserve"> GHG emissions using two methods</w:t>
      </w:r>
      <w:r w:rsidR="0094303B" w:rsidRPr="001037DF">
        <w:rPr>
          <w:rFonts w:ascii="Arial" w:hAnsi="Arial" w:cs="Arial"/>
        </w:rPr>
        <w:t xml:space="preserve"> </w:t>
      </w:r>
      <w:r w:rsidR="0061577E" w:rsidRPr="001037DF">
        <w:rPr>
          <w:rFonts w:ascii="Arial" w:hAnsi="Arial" w:cs="Arial"/>
        </w:rPr>
        <w:t xml:space="preserve">(1) the default U.S. Environmental Protection Agency </w:t>
      </w:r>
      <w:r w:rsidR="00F87268">
        <w:rPr>
          <w:rFonts w:ascii="Arial" w:hAnsi="Arial" w:cs="Arial"/>
        </w:rPr>
        <w:t xml:space="preserve">(“EPA”) </w:t>
      </w:r>
      <w:r w:rsidR="0061577E" w:rsidRPr="001037DF">
        <w:rPr>
          <w:rFonts w:ascii="Arial" w:hAnsi="Arial" w:cs="Arial"/>
        </w:rPr>
        <w:t>WARM</w:t>
      </w:r>
      <w:r w:rsidR="0061577E">
        <w:rPr>
          <w:rStyle w:val="FootnoteReference"/>
          <w:rFonts w:ascii="Arial" w:hAnsi="Arial" w:cs="Arial"/>
        </w:rPr>
        <w:footnoteReference w:id="20"/>
      </w:r>
      <w:r w:rsidR="0061577E" w:rsidRPr="001037DF">
        <w:rPr>
          <w:rFonts w:ascii="Arial" w:hAnsi="Arial" w:cs="Arial"/>
        </w:rPr>
        <w:t xml:space="preserve"> tool; and (2) </w:t>
      </w:r>
      <w:r w:rsidR="001037DF" w:rsidRPr="001037DF">
        <w:rPr>
          <w:rFonts w:ascii="Arial" w:hAnsi="Arial" w:cs="Arial"/>
        </w:rPr>
        <w:t>the WARM tool with line item adjustments based on the Consultant’s professional judgment</w:t>
      </w:r>
      <w:r w:rsidR="00E16630">
        <w:rPr>
          <w:rFonts w:ascii="Arial" w:hAnsi="Arial" w:cs="Arial"/>
        </w:rPr>
        <w:t xml:space="preserve"> (“adjusted WARM tool”)</w:t>
      </w:r>
      <w:r w:rsidR="001037DF" w:rsidRPr="001037DF">
        <w:rPr>
          <w:rFonts w:ascii="Arial" w:hAnsi="Arial" w:cs="Arial"/>
        </w:rPr>
        <w:t xml:space="preserve">. </w:t>
      </w:r>
      <w:r w:rsidR="001037DF">
        <w:rPr>
          <w:rFonts w:ascii="Arial" w:hAnsi="Arial" w:cs="Arial"/>
        </w:rPr>
        <w:t>Both models consider</w:t>
      </w:r>
      <w:r w:rsidR="00474707">
        <w:rPr>
          <w:rFonts w:ascii="Arial" w:hAnsi="Arial" w:cs="Arial"/>
        </w:rPr>
        <w:t xml:space="preserve"> gross GHG emissions (e.g., </w:t>
      </w:r>
      <w:r w:rsidR="0094303B">
        <w:rPr>
          <w:rFonts w:ascii="Arial" w:hAnsi="Arial" w:cs="Arial"/>
        </w:rPr>
        <w:t xml:space="preserve">emissions of </w:t>
      </w:r>
      <w:r w:rsidR="000D3729">
        <w:rPr>
          <w:rFonts w:ascii="Arial" w:hAnsi="Arial" w:cs="Arial"/>
        </w:rPr>
        <w:t>carbon dioxide</w:t>
      </w:r>
      <w:r w:rsidR="0094303B">
        <w:rPr>
          <w:rFonts w:ascii="Arial" w:hAnsi="Arial" w:cs="Arial"/>
        </w:rPr>
        <w:t xml:space="preserve"> and </w:t>
      </w:r>
      <w:r w:rsidR="000D3729">
        <w:rPr>
          <w:rFonts w:ascii="Arial" w:hAnsi="Arial" w:cs="Arial"/>
        </w:rPr>
        <w:t>nitrogen dioxide</w:t>
      </w:r>
      <w:r w:rsidR="0094303B">
        <w:rPr>
          <w:rFonts w:ascii="Arial" w:hAnsi="Arial" w:cs="Arial"/>
        </w:rPr>
        <w:t xml:space="preserve"> from </w:t>
      </w:r>
      <w:r w:rsidR="00522AF5">
        <w:rPr>
          <w:rFonts w:ascii="Arial" w:hAnsi="Arial" w:cs="Arial"/>
        </w:rPr>
        <w:t xml:space="preserve">the </w:t>
      </w:r>
      <w:r w:rsidR="0094303B">
        <w:rPr>
          <w:rFonts w:ascii="Arial" w:hAnsi="Arial" w:cs="Arial"/>
        </w:rPr>
        <w:t>combustion of waste</w:t>
      </w:r>
      <w:r w:rsidR="00474707">
        <w:rPr>
          <w:rFonts w:ascii="Arial" w:hAnsi="Arial" w:cs="Arial"/>
        </w:rPr>
        <w:t>) offset by avoided emissions (e.g</w:t>
      </w:r>
      <w:r w:rsidR="00A94937">
        <w:rPr>
          <w:rFonts w:ascii="Arial" w:hAnsi="Arial" w:cs="Arial"/>
        </w:rPr>
        <w:t xml:space="preserve">., </w:t>
      </w:r>
      <w:r w:rsidR="00332216">
        <w:rPr>
          <w:rFonts w:ascii="Arial" w:hAnsi="Arial" w:cs="Arial"/>
        </w:rPr>
        <w:t xml:space="preserve">avoided </w:t>
      </w:r>
      <w:r w:rsidR="000D3729">
        <w:rPr>
          <w:rFonts w:ascii="Arial" w:hAnsi="Arial" w:cs="Arial"/>
        </w:rPr>
        <w:t>carbon dioxide</w:t>
      </w:r>
      <w:r w:rsidR="00332216">
        <w:rPr>
          <w:rFonts w:ascii="Arial" w:hAnsi="Arial" w:cs="Arial"/>
        </w:rPr>
        <w:t xml:space="preserve"> emissions from electricity generation</w:t>
      </w:r>
      <w:r w:rsidR="00A94937">
        <w:rPr>
          <w:rFonts w:ascii="Arial" w:hAnsi="Arial" w:cs="Arial"/>
        </w:rPr>
        <w:t xml:space="preserve">). </w:t>
      </w:r>
      <w:r w:rsidR="000D3414" w:rsidRPr="00590F7E">
        <w:rPr>
          <w:rFonts w:ascii="Arial" w:hAnsi="Arial" w:cs="Arial"/>
        </w:rPr>
        <w:t xml:space="preserve">According to the Study, the WARM tool </w:t>
      </w:r>
      <w:r w:rsidR="006708BA">
        <w:rPr>
          <w:rFonts w:ascii="Arial" w:hAnsi="Arial" w:cs="Arial"/>
        </w:rPr>
        <w:t>and</w:t>
      </w:r>
      <w:r w:rsidR="000D3414" w:rsidRPr="00590F7E">
        <w:rPr>
          <w:rFonts w:ascii="Arial" w:hAnsi="Arial" w:cs="Arial"/>
        </w:rPr>
        <w:t xml:space="preserve"> adjusted WARM tool do not quantify annual emissions from </w:t>
      </w:r>
      <w:r w:rsidR="000D3414" w:rsidRPr="00590F7E">
        <w:rPr>
          <w:rFonts w:ascii="Arial" w:hAnsi="Arial" w:cs="Arial"/>
        </w:rPr>
        <w:lastRenderedPageBreak/>
        <w:t>a WTE facility</w:t>
      </w:r>
      <w:r w:rsidR="00D9550F" w:rsidRPr="00590F7E">
        <w:rPr>
          <w:rFonts w:ascii="Arial" w:hAnsi="Arial" w:cs="Arial"/>
        </w:rPr>
        <w:t xml:space="preserve"> because </w:t>
      </w:r>
      <w:r w:rsidR="003650A6">
        <w:rPr>
          <w:rFonts w:ascii="Arial" w:hAnsi="Arial" w:cs="Arial"/>
        </w:rPr>
        <w:t>they</w:t>
      </w:r>
      <w:r w:rsidR="00D9550F" w:rsidRPr="00590F7E">
        <w:rPr>
          <w:rFonts w:ascii="Arial" w:hAnsi="Arial" w:cs="Arial"/>
        </w:rPr>
        <w:t xml:space="preserve"> </w:t>
      </w:r>
      <w:r w:rsidR="000B094D">
        <w:rPr>
          <w:rFonts w:ascii="Arial" w:hAnsi="Arial" w:cs="Arial"/>
        </w:rPr>
        <w:t>do</w:t>
      </w:r>
      <w:r w:rsidR="00D9550F" w:rsidRPr="00590F7E">
        <w:rPr>
          <w:rFonts w:ascii="Arial" w:hAnsi="Arial" w:cs="Arial"/>
        </w:rPr>
        <w:t xml:space="preserve"> not explicitly model the timing of GHG emissions, thus the GHG emissions estimated in the Study should only be used to compare alternative waste management strategies</w:t>
      </w:r>
      <w:r w:rsidR="00FC7F24" w:rsidRPr="00590F7E">
        <w:rPr>
          <w:rFonts w:ascii="Arial" w:hAnsi="Arial" w:cs="Arial"/>
        </w:rPr>
        <w:t>.</w:t>
      </w:r>
    </w:p>
    <w:p w14:paraId="333A5AD4" w14:textId="77777777" w:rsidR="00B5295D" w:rsidRDefault="00B5295D" w:rsidP="004F5D77">
      <w:pPr>
        <w:jc w:val="both"/>
        <w:rPr>
          <w:rFonts w:ascii="Arial" w:hAnsi="Arial" w:cs="Arial"/>
        </w:rPr>
      </w:pPr>
    </w:p>
    <w:p w14:paraId="35642D31" w14:textId="52AFE3BE" w:rsidR="003843CB" w:rsidRDefault="00C7235B" w:rsidP="00BD6562">
      <w:pPr>
        <w:jc w:val="both"/>
        <w:rPr>
          <w:rFonts w:ascii="Arial" w:hAnsi="Arial" w:cs="Arial"/>
        </w:rPr>
      </w:pPr>
      <w:r>
        <w:rPr>
          <w:rFonts w:ascii="Arial" w:hAnsi="Arial" w:cs="Arial"/>
        </w:rPr>
        <w:t xml:space="preserve">For a WTE facility, </w:t>
      </w:r>
      <w:r w:rsidR="005F5105">
        <w:rPr>
          <w:rFonts w:ascii="Arial" w:hAnsi="Arial" w:cs="Arial"/>
        </w:rPr>
        <w:t xml:space="preserve">the Study notes that </w:t>
      </w:r>
      <w:r w:rsidR="00692381">
        <w:rPr>
          <w:rFonts w:ascii="Arial" w:hAnsi="Arial" w:cs="Arial"/>
        </w:rPr>
        <w:t>b</w:t>
      </w:r>
      <w:r w:rsidR="00D11F06">
        <w:rPr>
          <w:rFonts w:ascii="Arial" w:hAnsi="Arial" w:cs="Arial"/>
        </w:rPr>
        <w:t xml:space="preserve">oth </w:t>
      </w:r>
      <w:r w:rsidR="000B094D">
        <w:rPr>
          <w:rFonts w:ascii="Arial" w:hAnsi="Arial" w:cs="Arial"/>
        </w:rPr>
        <w:t>modeling tools</w:t>
      </w:r>
      <w:r w:rsidR="00D11F06">
        <w:rPr>
          <w:rFonts w:ascii="Arial" w:hAnsi="Arial" w:cs="Arial"/>
        </w:rPr>
        <w:t xml:space="preserve"> yielded the same net </w:t>
      </w:r>
      <w:r w:rsidR="00B12C93">
        <w:rPr>
          <w:rFonts w:ascii="Arial" w:hAnsi="Arial" w:cs="Arial"/>
        </w:rPr>
        <w:t xml:space="preserve">estimate of </w:t>
      </w:r>
      <w:r w:rsidR="00D11F06">
        <w:rPr>
          <w:rFonts w:ascii="Arial" w:hAnsi="Arial" w:cs="Arial"/>
        </w:rPr>
        <w:t xml:space="preserve">-0.05 </w:t>
      </w:r>
      <w:r w:rsidR="001230DC">
        <w:rPr>
          <w:rFonts w:ascii="Arial" w:hAnsi="Arial" w:cs="Arial"/>
        </w:rPr>
        <w:t xml:space="preserve">metric tons of </w:t>
      </w:r>
      <w:r w:rsidR="00ED7746">
        <w:rPr>
          <w:rFonts w:ascii="Arial" w:hAnsi="Arial" w:cs="Arial"/>
        </w:rPr>
        <w:t xml:space="preserve">carbon dioxide </w:t>
      </w:r>
      <w:r w:rsidR="001230DC">
        <w:rPr>
          <w:rFonts w:ascii="Arial" w:hAnsi="Arial" w:cs="Arial"/>
        </w:rPr>
        <w:t>equivalent per ton</w:t>
      </w:r>
      <w:r w:rsidR="00190586">
        <w:rPr>
          <w:rFonts w:ascii="Arial" w:hAnsi="Arial" w:cs="Arial"/>
        </w:rPr>
        <w:t xml:space="preserve"> of waste</w:t>
      </w:r>
      <w:r w:rsidR="00245CC9">
        <w:rPr>
          <w:rFonts w:ascii="Arial" w:hAnsi="Arial" w:cs="Arial"/>
        </w:rPr>
        <w:t xml:space="preserve"> (M</w:t>
      </w:r>
      <w:r w:rsidR="006706C6">
        <w:rPr>
          <w:rFonts w:ascii="Arial" w:hAnsi="Arial" w:cs="Arial"/>
        </w:rPr>
        <w:t>TCO</w:t>
      </w:r>
      <w:r w:rsidR="006706C6">
        <w:rPr>
          <w:rFonts w:ascii="Arial" w:hAnsi="Arial" w:cs="Arial"/>
          <w:vertAlign w:val="subscript"/>
        </w:rPr>
        <w:t>2</w:t>
      </w:r>
      <w:r w:rsidR="006706C6">
        <w:rPr>
          <w:rFonts w:ascii="Arial" w:hAnsi="Arial" w:cs="Arial"/>
        </w:rPr>
        <w:t>e/ton)</w:t>
      </w:r>
      <w:r w:rsidR="003650A6">
        <w:rPr>
          <w:rFonts w:ascii="Arial" w:hAnsi="Arial" w:cs="Arial"/>
        </w:rPr>
        <w:t xml:space="preserve">. </w:t>
      </w:r>
      <w:r w:rsidR="000C30E2">
        <w:rPr>
          <w:rFonts w:ascii="Arial" w:hAnsi="Arial" w:cs="Arial"/>
        </w:rPr>
        <w:t xml:space="preserve">The negative </w:t>
      </w:r>
      <w:r w:rsidR="00110CC7">
        <w:rPr>
          <w:rFonts w:ascii="Arial" w:hAnsi="Arial" w:cs="Arial"/>
        </w:rPr>
        <w:t>result</w:t>
      </w:r>
      <w:r w:rsidR="00E81E3D">
        <w:rPr>
          <w:rFonts w:ascii="Arial" w:hAnsi="Arial" w:cs="Arial"/>
        </w:rPr>
        <w:t xml:space="preserve"> </w:t>
      </w:r>
      <w:r w:rsidR="000C30E2">
        <w:rPr>
          <w:rFonts w:ascii="Arial" w:hAnsi="Arial" w:cs="Arial"/>
        </w:rPr>
        <w:t>indicates that</w:t>
      </w:r>
      <w:r w:rsidR="00E81E3D">
        <w:rPr>
          <w:rFonts w:ascii="Arial" w:hAnsi="Arial" w:cs="Arial"/>
        </w:rPr>
        <w:t>,</w:t>
      </w:r>
      <w:r w:rsidR="001B5252">
        <w:rPr>
          <w:rFonts w:ascii="Arial" w:hAnsi="Arial" w:cs="Arial"/>
        </w:rPr>
        <w:t xml:space="preserve"> in</w:t>
      </w:r>
      <w:r w:rsidR="00E81E3D">
        <w:rPr>
          <w:rFonts w:ascii="Arial" w:hAnsi="Arial" w:cs="Arial"/>
        </w:rPr>
        <w:t xml:space="preserve"> the Consultant’s modeling, the </w:t>
      </w:r>
      <w:r w:rsidR="000C30E2">
        <w:rPr>
          <w:rFonts w:ascii="Arial" w:hAnsi="Arial" w:cs="Arial"/>
        </w:rPr>
        <w:t>estimated</w:t>
      </w:r>
      <w:r w:rsidR="00BD6562">
        <w:rPr>
          <w:rFonts w:ascii="Arial" w:hAnsi="Arial" w:cs="Arial"/>
        </w:rPr>
        <w:t xml:space="preserve"> offsets, or emissions avoided,</w:t>
      </w:r>
      <w:r w:rsidR="000C30E2">
        <w:rPr>
          <w:rFonts w:ascii="Arial" w:hAnsi="Arial" w:cs="Arial"/>
        </w:rPr>
        <w:t xml:space="preserve"> </w:t>
      </w:r>
      <w:r w:rsidR="000F6122">
        <w:rPr>
          <w:rFonts w:ascii="Arial" w:hAnsi="Arial" w:cs="Arial"/>
        </w:rPr>
        <w:t xml:space="preserve">for things like </w:t>
      </w:r>
      <w:r w:rsidR="00A03916">
        <w:rPr>
          <w:rFonts w:ascii="Arial" w:hAnsi="Arial" w:cs="Arial"/>
        </w:rPr>
        <w:t xml:space="preserve">ash and metals recycling at a WTE facility </w:t>
      </w:r>
      <w:r w:rsidR="00E81E3D">
        <w:rPr>
          <w:rFonts w:ascii="Arial" w:hAnsi="Arial" w:cs="Arial"/>
        </w:rPr>
        <w:t xml:space="preserve">are greater than the </w:t>
      </w:r>
      <w:r w:rsidR="00B12C93">
        <w:rPr>
          <w:rFonts w:ascii="Arial" w:hAnsi="Arial" w:cs="Arial"/>
        </w:rPr>
        <w:t>generated</w:t>
      </w:r>
      <w:r w:rsidR="00E81E3D">
        <w:rPr>
          <w:rFonts w:ascii="Arial" w:hAnsi="Arial" w:cs="Arial"/>
        </w:rPr>
        <w:t xml:space="preserve"> emissions.</w:t>
      </w:r>
      <w:r w:rsidR="00F46D7B">
        <w:rPr>
          <w:rFonts w:ascii="Arial" w:hAnsi="Arial" w:cs="Arial"/>
        </w:rPr>
        <w:t xml:space="preserve"> </w:t>
      </w:r>
      <w:r w:rsidR="00265070">
        <w:rPr>
          <w:rFonts w:ascii="Arial" w:hAnsi="Arial" w:cs="Arial"/>
        </w:rPr>
        <w:t>For comparison, t</w:t>
      </w:r>
      <w:r w:rsidR="00DA40DB">
        <w:rPr>
          <w:rFonts w:ascii="Arial" w:hAnsi="Arial" w:cs="Arial"/>
        </w:rPr>
        <w:t xml:space="preserve">he </w:t>
      </w:r>
      <w:r w:rsidR="00BD6562">
        <w:rPr>
          <w:rFonts w:ascii="Arial" w:hAnsi="Arial" w:cs="Arial"/>
        </w:rPr>
        <w:t xml:space="preserve">GHG emissions estimate in the </w:t>
      </w:r>
      <w:r w:rsidR="00DA40DB">
        <w:rPr>
          <w:rFonts w:ascii="Arial" w:hAnsi="Arial" w:cs="Arial"/>
        </w:rPr>
        <w:t>2019 Comprehensive Solid Waste Management Plan</w:t>
      </w:r>
      <w:r w:rsidR="00BD6562">
        <w:rPr>
          <w:rFonts w:ascii="Arial" w:hAnsi="Arial" w:cs="Arial"/>
        </w:rPr>
        <w:t>, which also used the WARM tool</w:t>
      </w:r>
      <w:r w:rsidR="004A5A02">
        <w:rPr>
          <w:rFonts w:ascii="Arial" w:hAnsi="Arial" w:cs="Arial"/>
        </w:rPr>
        <w:t xml:space="preserve"> </w:t>
      </w:r>
      <w:r w:rsidR="00B77627">
        <w:rPr>
          <w:rFonts w:ascii="Arial" w:hAnsi="Arial" w:cs="Arial"/>
        </w:rPr>
        <w:t xml:space="preserve">but included </w:t>
      </w:r>
      <w:r w:rsidR="004A5A02">
        <w:rPr>
          <w:rFonts w:ascii="Arial" w:hAnsi="Arial" w:cs="Arial"/>
        </w:rPr>
        <w:t>different assumptions</w:t>
      </w:r>
      <w:r w:rsidR="00BD6562">
        <w:rPr>
          <w:rFonts w:ascii="Arial" w:hAnsi="Arial" w:cs="Arial"/>
        </w:rPr>
        <w:t xml:space="preserve">, yielded the opposite conclusion </w:t>
      </w:r>
      <w:r w:rsidR="00B52947">
        <w:rPr>
          <w:rFonts w:ascii="Arial" w:hAnsi="Arial" w:cs="Arial"/>
        </w:rPr>
        <w:t xml:space="preserve">and </w:t>
      </w:r>
      <w:r w:rsidR="009A1CC7">
        <w:rPr>
          <w:rFonts w:ascii="Arial" w:hAnsi="Arial" w:cs="Arial"/>
        </w:rPr>
        <w:t xml:space="preserve">estimated </w:t>
      </w:r>
      <w:r w:rsidR="00B52947">
        <w:rPr>
          <w:rFonts w:ascii="Arial" w:hAnsi="Arial" w:cs="Arial"/>
        </w:rPr>
        <w:t xml:space="preserve">that </w:t>
      </w:r>
      <w:r w:rsidR="00AE10D3">
        <w:rPr>
          <w:rFonts w:ascii="Arial" w:hAnsi="Arial" w:cs="Arial"/>
        </w:rPr>
        <w:t>GHG emissions for a WTE facility would be a net positive, meaning emissions are higher than offsets.</w:t>
      </w:r>
      <w:r w:rsidR="00245CC9">
        <w:rPr>
          <w:rStyle w:val="FootnoteReference"/>
          <w:rFonts w:ascii="Arial" w:hAnsi="Arial" w:cs="Arial"/>
        </w:rPr>
        <w:footnoteReference w:id="21"/>
      </w:r>
    </w:p>
    <w:p w14:paraId="2B47E6AD" w14:textId="00694D6C" w:rsidR="000B094D" w:rsidRDefault="000B094D" w:rsidP="00BD6562">
      <w:pPr>
        <w:jc w:val="both"/>
        <w:rPr>
          <w:rFonts w:ascii="Arial" w:hAnsi="Arial" w:cs="Arial"/>
        </w:rPr>
      </w:pPr>
    </w:p>
    <w:p w14:paraId="182D38A3" w14:textId="13324152" w:rsidR="00F77BBC" w:rsidRPr="00F03CE8" w:rsidRDefault="00F77BBC" w:rsidP="00BD6562">
      <w:pPr>
        <w:jc w:val="both"/>
        <w:rPr>
          <w:rFonts w:ascii="Arial" w:hAnsi="Arial" w:cs="Arial"/>
        </w:rPr>
      </w:pPr>
      <w:r>
        <w:rPr>
          <w:rFonts w:ascii="Arial" w:hAnsi="Arial" w:cs="Arial"/>
        </w:rPr>
        <w:t>The Feasibility Study also notes that a WTE facility would have environmental impacts associated with non-GHG air emissions</w:t>
      </w:r>
      <w:r w:rsidR="00FE1FB9">
        <w:rPr>
          <w:rFonts w:ascii="Arial" w:hAnsi="Arial" w:cs="Arial"/>
        </w:rPr>
        <w:t xml:space="preserve"> (e.g., carbon monoxide, lead)</w:t>
      </w:r>
      <w:r w:rsidR="00076023">
        <w:rPr>
          <w:rFonts w:ascii="Arial" w:hAnsi="Arial" w:cs="Arial"/>
        </w:rPr>
        <w:t xml:space="preserve"> that </w:t>
      </w:r>
      <w:r w:rsidR="00241E58">
        <w:rPr>
          <w:rFonts w:ascii="Arial" w:hAnsi="Arial" w:cs="Arial"/>
        </w:rPr>
        <w:t>would be subject to emission standards</w:t>
      </w:r>
      <w:r w:rsidR="00DB1BB6">
        <w:rPr>
          <w:rFonts w:ascii="Arial" w:hAnsi="Arial" w:cs="Arial"/>
        </w:rPr>
        <w:t xml:space="preserve"> </w:t>
      </w:r>
      <w:r w:rsidR="00241E58">
        <w:rPr>
          <w:rFonts w:ascii="Arial" w:hAnsi="Arial" w:cs="Arial"/>
        </w:rPr>
        <w:t>and</w:t>
      </w:r>
      <w:r w:rsidR="00B52947">
        <w:rPr>
          <w:rFonts w:ascii="Arial" w:hAnsi="Arial" w:cs="Arial"/>
        </w:rPr>
        <w:t>, in some instances,</w:t>
      </w:r>
      <w:r w:rsidR="00F355CC">
        <w:rPr>
          <w:rFonts w:ascii="Arial" w:hAnsi="Arial" w:cs="Arial"/>
        </w:rPr>
        <w:t xml:space="preserve"> Best Available Control Technology requirements. </w:t>
      </w:r>
      <w:r w:rsidR="00560BBD">
        <w:rPr>
          <w:rFonts w:ascii="Arial" w:hAnsi="Arial" w:cs="Arial"/>
        </w:rPr>
        <w:t xml:space="preserve">The Study includes a </w:t>
      </w:r>
      <w:r w:rsidR="00B12535">
        <w:rPr>
          <w:rFonts w:ascii="Arial" w:hAnsi="Arial" w:cs="Arial"/>
        </w:rPr>
        <w:t xml:space="preserve">table of air permit limits and emissions compliance test results for </w:t>
      </w:r>
      <w:r w:rsidR="00937CC1">
        <w:rPr>
          <w:rFonts w:ascii="Arial" w:hAnsi="Arial" w:cs="Arial"/>
        </w:rPr>
        <w:t xml:space="preserve">the </w:t>
      </w:r>
      <w:r w:rsidR="00B12535">
        <w:rPr>
          <w:rFonts w:ascii="Arial" w:hAnsi="Arial" w:cs="Arial"/>
        </w:rPr>
        <w:t>West Palm Beach</w:t>
      </w:r>
      <w:r w:rsidR="00937CC1">
        <w:rPr>
          <w:rFonts w:ascii="Arial" w:hAnsi="Arial" w:cs="Arial"/>
        </w:rPr>
        <w:t xml:space="preserve"> WTE facility for illustrative purposes on page 3-57</w:t>
      </w:r>
      <w:r w:rsidR="008F163F">
        <w:rPr>
          <w:rFonts w:ascii="Arial" w:hAnsi="Arial" w:cs="Arial"/>
        </w:rPr>
        <w:t xml:space="preserve"> </w:t>
      </w:r>
      <w:r w:rsidR="00076023">
        <w:rPr>
          <w:rFonts w:ascii="Arial" w:hAnsi="Arial" w:cs="Arial"/>
        </w:rPr>
        <w:t xml:space="preserve">of the Study </w:t>
      </w:r>
      <w:r w:rsidR="008F163F">
        <w:rPr>
          <w:rFonts w:ascii="Arial" w:hAnsi="Arial" w:cs="Arial"/>
        </w:rPr>
        <w:t>and concludes that</w:t>
      </w:r>
      <w:r w:rsidR="00076023">
        <w:rPr>
          <w:rFonts w:ascii="Arial" w:hAnsi="Arial" w:cs="Arial"/>
        </w:rPr>
        <w:t>,</w:t>
      </w:r>
      <w:r w:rsidR="008F163F">
        <w:rPr>
          <w:rFonts w:ascii="Arial" w:hAnsi="Arial" w:cs="Arial"/>
        </w:rPr>
        <w:t xml:space="preserve"> “Due to the small size of the facility, the air modeling required to meet Title V and PSD [air quality permit] requirements</w:t>
      </w:r>
      <w:r w:rsidR="0058732B">
        <w:rPr>
          <w:rFonts w:ascii="Arial" w:hAnsi="Arial" w:cs="Arial"/>
        </w:rPr>
        <w:t xml:space="preserve">, and the sophisticated air pollution control systems included, the emissions will not have a measurable effect on local air quality” (page 3-58). </w:t>
      </w:r>
    </w:p>
    <w:p w14:paraId="05BC85CB" w14:textId="77777777" w:rsidR="004F5D77" w:rsidRDefault="004F5D77" w:rsidP="00CA0D6E">
      <w:pPr>
        <w:jc w:val="both"/>
        <w:rPr>
          <w:rFonts w:ascii="Arial" w:hAnsi="Arial" w:cs="Arial"/>
          <w:i/>
        </w:rPr>
      </w:pPr>
    </w:p>
    <w:p w14:paraId="07F3281C" w14:textId="1F13BF63" w:rsidR="007B44BC" w:rsidRDefault="00253C9F" w:rsidP="00CA0D6E">
      <w:pPr>
        <w:jc w:val="both"/>
        <w:rPr>
          <w:rFonts w:ascii="Arial" w:hAnsi="Arial" w:cs="Arial"/>
        </w:rPr>
      </w:pPr>
      <w:r>
        <w:rPr>
          <w:rFonts w:ascii="Arial" w:hAnsi="Arial" w:cs="Arial"/>
          <w:i/>
        </w:rPr>
        <w:t>State and Federal Regulatory Environment.</w:t>
      </w:r>
      <w:r w:rsidR="00AD0C66">
        <w:rPr>
          <w:rFonts w:ascii="Arial" w:hAnsi="Arial" w:cs="Arial"/>
          <w:i/>
        </w:rPr>
        <w:t xml:space="preserve"> </w:t>
      </w:r>
      <w:r w:rsidR="00D54CD7">
        <w:rPr>
          <w:rFonts w:ascii="Arial" w:hAnsi="Arial" w:cs="Arial"/>
        </w:rPr>
        <w:t xml:space="preserve">The budget proviso includes the requirement for a discussion of the state and federal regulatory environment. </w:t>
      </w:r>
      <w:r w:rsidR="00F96F0B">
        <w:rPr>
          <w:rFonts w:ascii="Arial" w:hAnsi="Arial" w:cs="Arial"/>
        </w:rPr>
        <w:t xml:space="preserve">The Feasibility Study </w:t>
      </w:r>
      <w:r w:rsidR="00F75D2A">
        <w:rPr>
          <w:rFonts w:ascii="Arial" w:hAnsi="Arial" w:cs="Arial"/>
        </w:rPr>
        <w:t>includes a preliminary assessment of the applicable regulatory requirements</w:t>
      </w:r>
      <w:r w:rsidR="00F528CE">
        <w:rPr>
          <w:rFonts w:ascii="Arial" w:hAnsi="Arial" w:cs="Arial"/>
        </w:rPr>
        <w:t xml:space="preserve"> for construction and operation</w:t>
      </w:r>
      <w:r w:rsidR="00D46067">
        <w:rPr>
          <w:rFonts w:ascii="Arial" w:hAnsi="Arial" w:cs="Arial"/>
        </w:rPr>
        <w:t xml:space="preserve"> and</w:t>
      </w:r>
      <w:r w:rsidR="00775611">
        <w:rPr>
          <w:rFonts w:ascii="Arial" w:hAnsi="Arial" w:cs="Arial"/>
        </w:rPr>
        <w:t xml:space="preserve"> </w:t>
      </w:r>
      <w:r w:rsidR="00600CFA">
        <w:rPr>
          <w:rFonts w:ascii="Arial" w:hAnsi="Arial" w:cs="Arial"/>
        </w:rPr>
        <w:t>identifies</w:t>
      </w:r>
      <w:r w:rsidR="00775611">
        <w:rPr>
          <w:rFonts w:ascii="Arial" w:hAnsi="Arial" w:cs="Arial"/>
        </w:rPr>
        <w:t xml:space="preserve"> licenses, permits, or other approvals</w:t>
      </w:r>
      <w:r w:rsidR="00076023">
        <w:rPr>
          <w:rFonts w:ascii="Arial" w:hAnsi="Arial" w:cs="Arial"/>
        </w:rPr>
        <w:t xml:space="preserve"> that may be needed, however notes that it does not represent an exhaustive list</w:t>
      </w:r>
      <w:r w:rsidR="00F9382B">
        <w:rPr>
          <w:rFonts w:ascii="Arial" w:hAnsi="Arial" w:cs="Arial"/>
        </w:rPr>
        <w:t>.</w:t>
      </w:r>
      <w:r w:rsidR="007B44BC">
        <w:rPr>
          <w:rFonts w:ascii="Arial" w:hAnsi="Arial" w:cs="Arial"/>
        </w:rPr>
        <w:t xml:space="preserve"> Some e</w:t>
      </w:r>
      <w:r w:rsidR="00F9382B">
        <w:rPr>
          <w:rFonts w:ascii="Arial" w:hAnsi="Arial" w:cs="Arial"/>
        </w:rPr>
        <w:t>xamples include</w:t>
      </w:r>
      <w:r w:rsidR="00E371AC">
        <w:rPr>
          <w:rFonts w:ascii="Arial" w:hAnsi="Arial" w:cs="Arial"/>
        </w:rPr>
        <w:t xml:space="preserve"> the following</w:t>
      </w:r>
      <w:r w:rsidR="007B44BC">
        <w:rPr>
          <w:rFonts w:ascii="Arial" w:hAnsi="Arial" w:cs="Arial"/>
        </w:rPr>
        <w:t>,</w:t>
      </w:r>
      <w:r w:rsidR="00E371AC">
        <w:rPr>
          <w:rFonts w:ascii="Arial" w:hAnsi="Arial" w:cs="Arial"/>
        </w:rPr>
        <w:t xml:space="preserve"> with the permitting agency noted in parentheses</w:t>
      </w:r>
      <w:r w:rsidR="00F9382B">
        <w:rPr>
          <w:rFonts w:ascii="Arial" w:hAnsi="Arial" w:cs="Arial"/>
        </w:rPr>
        <w:t xml:space="preserve">: </w:t>
      </w:r>
    </w:p>
    <w:p w14:paraId="0A3B27B1" w14:textId="77777777" w:rsidR="007B44BC" w:rsidRDefault="007B44BC" w:rsidP="00CA0D6E">
      <w:pPr>
        <w:jc w:val="both"/>
        <w:rPr>
          <w:rFonts w:ascii="Arial" w:hAnsi="Arial" w:cs="Arial"/>
        </w:rPr>
      </w:pPr>
    </w:p>
    <w:p w14:paraId="6C006740" w14:textId="77777777" w:rsidR="007B44BC" w:rsidRDefault="00F9382B" w:rsidP="004A4A09">
      <w:pPr>
        <w:pStyle w:val="ListParagraph0"/>
        <w:numPr>
          <w:ilvl w:val="0"/>
          <w:numId w:val="7"/>
        </w:numPr>
        <w:jc w:val="both"/>
        <w:rPr>
          <w:rFonts w:ascii="Arial" w:hAnsi="Arial" w:cs="Arial"/>
        </w:rPr>
      </w:pPr>
      <w:r w:rsidRPr="007B44BC">
        <w:rPr>
          <w:rFonts w:ascii="Arial" w:hAnsi="Arial" w:cs="Arial"/>
        </w:rPr>
        <w:t>Environmental Impact Statement</w:t>
      </w:r>
      <w:r w:rsidR="00E371AC" w:rsidRPr="007B44BC">
        <w:rPr>
          <w:rFonts w:ascii="Arial" w:hAnsi="Arial" w:cs="Arial"/>
        </w:rPr>
        <w:t xml:space="preserve"> (SWD)</w:t>
      </w:r>
      <w:r w:rsidR="007B44BC">
        <w:rPr>
          <w:rFonts w:ascii="Arial" w:hAnsi="Arial" w:cs="Arial"/>
        </w:rPr>
        <w:t>;</w:t>
      </w:r>
    </w:p>
    <w:p w14:paraId="42EAC623" w14:textId="77777777" w:rsidR="007B44BC" w:rsidRDefault="00ED66C0" w:rsidP="004A4A09">
      <w:pPr>
        <w:pStyle w:val="ListParagraph0"/>
        <w:numPr>
          <w:ilvl w:val="0"/>
          <w:numId w:val="7"/>
        </w:numPr>
        <w:jc w:val="both"/>
        <w:rPr>
          <w:rFonts w:ascii="Arial" w:hAnsi="Arial" w:cs="Arial"/>
        </w:rPr>
      </w:pPr>
      <w:r w:rsidRPr="007B44BC">
        <w:rPr>
          <w:rFonts w:ascii="Arial" w:hAnsi="Arial" w:cs="Arial"/>
        </w:rPr>
        <w:t>Traffic Control Plan</w:t>
      </w:r>
      <w:r w:rsidR="00E371AC" w:rsidRPr="007B44BC">
        <w:rPr>
          <w:rFonts w:ascii="Arial" w:hAnsi="Arial" w:cs="Arial"/>
        </w:rPr>
        <w:t xml:space="preserve"> (Roads Services Division)</w:t>
      </w:r>
      <w:r w:rsidR="007B44BC">
        <w:rPr>
          <w:rFonts w:ascii="Arial" w:hAnsi="Arial" w:cs="Arial"/>
        </w:rPr>
        <w:t>;</w:t>
      </w:r>
      <w:r w:rsidRPr="007B44BC">
        <w:rPr>
          <w:rFonts w:ascii="Arial" w:hAnsi="Arial" w:cs="Arial"/>
        </w:rPr>
        <w:t xml:space="preserve"> </w:t>
      </w:r>
    </w:p>
    <w:p w14:paraId="1536DA7B" w14:textId="6E44FE9E" w:rsidR="007B44BC" w:rsidRDefault="00F86EF1" w:rsidP="004A4A09">
      <w:pPr>
        <w:pStyle w:val="ListParagraph0"/>
        <w:numPr>
          <w:ilvl w:val="0"/>
          <w:numId w:val="7"/>
        </w:numPr>
        <w:jc w:val="both"/>
        <w:rPr>
          <w:rFonts w:ascii="Arial" w:hAnsi="Arial" w:cs="Arial"/>
        </w:rPr>
      </w:pPr>
      <w:r w:rsidRPr="007B44BC">
        <w:rPr>
          <w:rFonts w:ascii="Arial" w:hAnsi="Arial" w:cs="Arial"/>
        </w:rPr>
        <w:t>Building and Construction Permit (Permitting Division or City)</w:t>
      </w:r>
      <w:r w:rsidR="007B44BC">
        <w:rPr>
          <w:rFonts w:ascii="Arial" w:hAnsi="Arial" w:cs="Arial"/>
        </w:rPr>
        <w:t>;</w:t>
      </w:r>
    </w:p>
    <w:p w14:paraId="1E39203A" w14:textId="54260CB6" w:rsidR="007B44BC" w:rsidRDefault="008A4DB0" w:rsidP="004A4A09">
      <w:pPr>
        <w:pStyle w:val="ListParagraph0"/>
        <w:numPr>
          <w:ilvl w:val="0"/>
          <w:numId w:val="7"/>
        </w:numPr>
        <w:jc w:val="both"/>
        <w:rPr>
          <w:rFonts w:ascii="Arial" w:hAnsi="Arial" w:cs="Arial"/>
        </w:rPr>
      </w:pPr>
      <w:r w:rsidRPr="007B44BC">
        <w:rPr>
          <w:rFonts w:ascii="Arial" w:hAnsi="Arial" w:cs="Arial"/>
        </w:rPr>
        <w:t>Solid Waste Permit (</w:t>
      </w:r>
      <w:r w:rsidR="00076023">
        <w:rPr>
          <w:rFonts w:ascii="Arial" w:hAnsi="Arial" w:cs="Arial"/>
        </w:rPr>
        <w:t>Washington State Department of Ecology</w:t>
      </w:r>
      <w:r w:rsidRPr="007B44BC">
        <w:rPr>
          <w:rFonts w:ascii="Arial" w:hAnsi="Arial" w:cs="Arial"/>
        </w:rPr>
        <w:t xml:space="preserve"> via </w:t>
      </w:r>
      <w:r w:rsidR="00076023">
        <w:rPr>
          <w:rFonts w:ascii="Arial" w:hAnsi="Arial" w:cs="Arial"/>
        </w:rPr>
        <w:t>Public Health Seattle &amp; King County</w:t>
      </w:r>
      <w:r w:rsidRPr="007B44BC">
        <w:rPr>
          <w:rFonts w:ascii="Arial" w:hAnsi="Arial" w:cs="Arial"/>
        </w:rPr>
        <w:t>)</w:t>
      </w:r>
      <w:r w:rsidR="007B44BC">
        <w:rPr>
          <w:rFonts w:ascii="Arial" w:hAnsi="Arial" w:cs="Arial"/>
        </w:rPr>
        <w:t>;</w:t>
      </w:r>
    </w:p>
    <w:p w14:paraId="1290EF0E" w14:textId="6C04E5D4" w:rsidR="007B44BC" w:rsidRDefault="008A4DB0" w:rsidP="004A4A09">
      <w:pPr>
        <w:pStyle w:val="ListParagraph0"/>
        <w:numPr>
          <w:ilvl w:val="0"/>
          <w:numId w:val="7"/>
        </w:numPr>
        <w:jc w:val="both"/>
        <w:rPr>
          <w:rFonts w:ascii="Arial" w:hAnsi="Arial" w:cs="Arial"/>
        </w:rPr>
      </w:pPr>
      <w:r w:rsidRPr="007B44BC">
        <w:rPr>
          <w:rFonts w:ascii="Arial" w:hAnsi="Arial" w:cs="Arial"/>
        </w:rPr>
        <w:t>Industrial Wastewater Discharge Permit (</w:t>
      </w:r>
      <w:r w:rsidR="00076023">
        <w:rPr>
          <w:rFonts w:ascii="Arial" w:hAnsi="Arial" w:cs="Arial"/>
        </w:rPr>
        <w:t>Wastewater Treatment Division</w:t>
      </w:r>
      <w:r w:rsidR="007B44BC" w:rsidRPr="007B44BC">
        <w:rPr>
          <w:rFonts w:ascii="Arial" w:hAnsi="Arial" w:cs="Arial"/>
        </w:rPr>
        <w:t>)</w:t>
      </w:r>
      <w:r w:rsidR="007B44BC">
        <w:rPr>
          <w:rFonts w:ascii="Arial" w:hAnsi="Arial" w:cs="Arial"/>
        </w:rPr>
        <w:t xml:space="preserve">; </w:t>
      </w:r>
      <w:r w:rsidR="007B44BC" w:rsidRPr="007B44BC">
        <w:rPr>
          <w:rFonts w:ascii="Arial" w:hAnsi="Arial" w:cs="Arial"/>
        </w:rPr>
        <w:t xml:space="preserve">and </w:t>
      </w:r>
    </w:p>
    <w:p w14:paraId="621D3285" w14:textId="12601BC1" w:rsidR="0032002D" w:rsidRDefault="007B44BC" w:rsidP="004A4A09">
      <w:pPr>
        <w:pStyle w:val="ListParagraph0"/>
        <w:numPr>
          <w:ilvl w:val="0"/>
          <w:numId w:val="7"/>
        </w:numPr>
        <w:jc w:val="both"/>
        <w:rPr>
          <w:rFonts w:ascii="Arial" w:hAnsi="Arial" w:cs="Arial"/>
        </w:rPr>
      </w:pPr>
      <w:r w:rsidRPr="007B44BC">
        <w:rPr>
          <w:rFonts w:ascii="Arial" w:hAnsi="Arial" w:cs="Arial"/>
        </w:rPr>
        <w:t>Endangere</w:t>
      </w:r>
      <w:r>
        <w:rPr>
          <w:rFonts w:ascii="Arial" w:hAnsi="Arial" w:cs="Arial"/>
        </w:rPr>
        <w:t>d Species Act Compliance (</w:t>
      </w:r>
      <w:r w:rsidR="0032002D">
        <w:rPr>
          <w:rFonts w:ascii="Arial" w:hAnsi="Arial" w:cs="Arial"/>
        </w:rPr>
        <w:t>U</w:t>
      </w:r>
      <w:r w:rsidR="00076023">
        <w:rPr>
          <w:rFonts w:ascii="Arial" w:hAnsi="Arial" w:cs="Arial"/>
        </w:rPr>
        <w:t>.</w:t>
      </w:r>
      <w:r w:rsidR="0032002D">
        <w:rPr>
          <w:rFonts w:ascii="Arial" w:hAnsi="Arial" w:cs="Arial"/>
        </w:rPr>
        <w:t>S</w:t>
      </w:r>
      <w:r w:rsidR="00076023">
        <w:rPr>
          <w:rFonts w:ascii="Arial" w:hAnsi="Arial" w:cs="Arial"/>
        </w:rPr>
        <w:t>.</w:t>
      </w:r>
      <w:r w:rsidR="0032002D">
        <w:rPr>
          <w:rFonts w:ascii="Arial" w:hAnsi="Arial" w:cs="Arial"/>
        </w:rPr>
        <w:t xml:space="preserve"> Fish and Wildlife Services and N</w:t>
      </w:r>
      <w:r w:rsidR="00076023">
        <w:rPr>
          <w:rFonts w:ascii="Arial" w:hAnsi="Arial" w:cs="Arial"/>
        </w:rPr>
        <w:t xml:space="preserve">ational </w:t>
      </w:r>
      <w:r w:rsidR="0032002D">
        <w:rPr>
          <w:rFonts w:ascii="Arial" w:hAnsi="Arial" w:cs="Arial"/>
        </w:rPr>
        <w:t>O</w:t>
      </w:r>
      <w:r w:rsidR="00F87268">
        <w:rPr>
          <w:rFonts w:ascii="Arial" w:hAnsi="Arial" w:cs="Arial"/>
        </w:rPr>
        <w:t xml:space="preserve">ceanic and Atmospheric Administration - </w:t>
      </w:r>
      <w:r w:rsidR="0032002D">
        <w:rPr>
          <w:rFonts w:ascii="Arial" w:hAnsi="Arial" w:cs="Arial"/>
        </w:rPr>
        <w:t>Fisheries)</w:t>
      </w:r>
    </w:p>
    <w:p w14:paraId="61E1CA42" w14:textId="77777777" w:rsidR="0032002D" w:rsidRDefault="0032002D" w:rsidP="0032002D">
      <w:pPr>
        <w:jc w:val="both"/>
        <w:rPr>
          <w:rFonts w:ascii="Arial" w:hAnsi="Arial" w:cs="Arial"/>
        </w:rPr>
      </w:pPr>
    </w:p>
    <w:p w14:paraId="2FD40228" w14:textId="1B2D0CF6" w:rsidR="006F2323" w:rsidRDefault="006F2323" w:rsidP="006F2323">
      <w:pPr>
        <w:jc w:val="both"/>
        <w:rPr>
          <w:rFonts w:ascii="Arial" w:hAnsi="Arial" w:cs="Arial"/>
        </w:rPr>
      </w:pPr>
      <w:r>
        <w:rPr>
          <w:rFonts w:ascii="Arial" w:hAnsi="Arial" w:cs="Arial"/>
        </w:rPr>
        <w:t xml:space="preserve">According to the Consultant, </w:t>
      </w:r>
      <w:r w:rsidR="00AD0FC7">
        <w:rPr>
          <w:rFonts w:ascii="Arial" w:hAnsi="Arial" w:cs="Arial"/>
        </w:rPr>
        <w:t>one</w:t>
      </w:r>
      <w:r>
        <w:rPr>
          <w:rFonts w:ascii="Arial" w:hAnsi="Arial" w:cs="Arial"/>
        </w:rPr>
        <w:t xml:space="preserve"> significant task would be securing a Prevention of Significant Deterioration construction permit from the Puget Sound Clear Air Agency (PSCAA), which has jurisdiction for regulating sources of air pollution in the County. The PSD permitting process includes public participation and review by a few different </w:t>
      </w:r>
      <w:r>
        <w:rPr>
          <w:rFonts w:ascii="Arial" w:hAnsi="Arial" w:cs="Arial"/>
        </w:rPr>
        <w:lastRenderedPageBreak/>
        <w:t xml:space="preserve">entities (e.g., </w:t>
      </w:r>
      <w:r w:rsidR="00F87268">
        <w:rPr>
          <w:rFonts w:ascii="Arial" w:hAnsi="Arial" w:cs="Arial"/>
        </w:rPr>
        <w:t>EPA</w:t>
      </w:r>
      <w:r>
        <w:rPr>
          <w:rFonts w:ascii="Arial" w:hAnsi="Arial" w:cs="Arial"/>
        </w:rPr>
        <w:t xml:space="preserve">). Permit application preparation </w:t>
      </w:r>
      <w:r w:rsidR="00FA469C">
        <w:rPr>
          <w:rFonts w:ascii="Arial" w:hAnsi="Arial" w:cs="Arial"/>
        </w:rPr>
        <w:t>would be</w:t>
      </w:r>
      <w:r>
        <w:rPr>
          <w:rFonts w:ascii="Arial" w:hAnsi="Arial" w:cs="Arial"/>
        </w:rPr>
        <w:t xml:space="preserve"> expected to take 18 to 24 months, with an estimated 12 to 24 months for PSCAA review and final permit issuance. </w:t>
      </w:r>
    </w:p>
    <w:p w14:paraId="0E183CF7" w14:textId="6A57C199" w:rsidR="004A74C4" w:rsidRDefault="004A74C4" w:rsidP="006F2323">
      <w:pPr>
        <w:jc w:val="both"/>
        <w:rPr>
          <w:rFonts w:ascii="Arial" w:hAnsi="Arial" w:cs="Arial"/>
        </w:rPr>
      </w:pPr>
    </w:p>
    <w:p w14:paraId="0FD5C038" w14:textId="43FCEDC7" w:rsidR="004A74C4" w:rsidRDefault="004A74C4" w:rsidP="004A74C4">
      <w:pPr>
        <w:jc w:val="both"/>
        <w:rPr>
          <w:rFonts w:ascii="Arial" w:hAnsi="Arial" w:cs="Arial"/>
        </w:rPr>
      </w:pPr>
      <w:r>
        <w:rPr>
          <w:rFonts w:ascii="Arial" w:hAnsi="Arial" w:cs="Arial"/>
        </w:rPr>
        <w:t>The Feasibility Study also outlines the major</w:t>
      </w:r>
      <w:r w:rsidR="006E4623">
        <w:rPr>
          <w:rFonts w:ascii="Arial" w:hAnsi="Arial" w:cs="Arial"/>
        </w:rPr>
        <w:t xml:space="preserve"> </w:t>
      </w:r>
      <w:r w:rsidR="00D74606">
        <w:rPr>
          <w:rFonts w:ascii="Arial" w:hAnsi="Arial" w:cs="Arial"/>
        </w:rPr>
        <w:t>applicable regulations</w:t>
      </w:r>
      <w:r w:rsidR="00600CFA">
        <w:rPr>
          <w:rFonts w:ascii="Arial" w:hAnsi="Arial" w:cs="Arial"/>
        </w:rPr>
        <w:t xml:space="preserve"> for a WTE facility</w:t>
      </w:r>
      <w:r w:rsidR="00D74606">
        <w:rPr>
          <w:rFonts w:ascii="Arial" w:hAnsi="Arial" w:cs="Arial"/>
        </w:rPr>
        <w:t>, including</w:t>
      </w:r>
      <w:r w:rsidR="006A6042">
        <w:rPr>
          <w:rFonts w:ascii="Arial" w:hAnsi="Arial" w:cs="Arial"/>
        </w:rPr>
        <w:t xml:space="preserve"> the following examples:</w:t>
      </w:r>
    </w:p>
    <w:p w14:paraId="39150792" w14:textId="26B10BB8" w:rsidR="006A6042" w:rsidRDefault="006A6042" w:rsidP="004A4A09">
      <w:pPr>
        <w:pStyle w:val="ListParagraph0"/>
        <w:numPr>
          <w:ilvl w:val="0"/>
          <w:numId w:val="8"/>
        </w:numPr>
        <w:jc w:val="both"/>
        <w:rPr>
          <w:rFonts w:ascii="Arial" w:hAnsi="Arial" w:cs="Arial"/>
        </w:rPr>
      </w:pPr>
      <w:r>
        <w:rPr>
          <w:rFonts w:ascii="Arial" w:hAnsi="Arial" w:cs="Arial"/>
        </w:rPr>
        <w:t>Federal: Clean Air Act, Resource Conservation and Recovery Act, Clean Water Act;</w:t>
      </w:r>
    </w:p>
    <w:p w14:paraId="711B502E" w14:textId="1F69FB61" w:rsidR="006A6042" w:rsidRPr="006A6042" w:rsidRDefault="006A6042" w:rsidP="004A4A09">
      <w:pPr>
        <w:pStyle w:val="ListParagraph0"/>
        <w:numPr>
          <w:ilvl w:val="0"/>
          <w:numId w:val="8"/>
        </w:numPr>
        <w:jc w:val="both"/>
        <w:rPr>
          <w:rFonts w:ascii="Arial" w:hAnsi="Arial" w:cs="Arial"/>
        </w:rPr>
      </w:pPr>
      <w:r>
        <w:rPr>
          <w:rFonts w:ascii="Arial" w:hAnsi="Arial" w:cs="Arial"/>
        </w:rPr>
        <w:t xml:space="preserve">State: </w:t>
      </w:r>
      <w:r w:rsidR="0055115A">
        <w:rPr>
          <w:rFonts w:ascii="Arial" w:hAnsi="Arial" w:cs="Arial"/>
        </w:rPr>
        <w:t>State Environmental Policy Act, Washington Clean Air Act, Special Incinerator Ash Management Standards, Solid Waste Management Act, etc.</w:t>
      </w:r>
    </w:p>
    <w:p w14:paraId="43AAF069" w14:textId="77777777" w:rsidR="004A74C4" w:rsidRDefault="004A74C4" w:rsidP="006F2323">
      <w:pPr>
        <w:jc w:val="both"/>
        <w:rPr>
          <w:rFonts w:ascii="Arial" w:hAnsi="Arial" w:cs="Arial"/>
        </w:rPr>
      </w:pPr>
    </w:p>
    <w:p w14:paraId="65591125" w14:textId="72620B29" w:rsidR="00253C9F" w:rsidRDefault="00253C9F" w:rsidP="00CA0D6E">
      <w:pPr>
        <w:jc w:val="both"/>
        <w:rPr>
          <w:rFonts w:ascii="Arial" w:hAnsi="Arial" w:cs="Arial"/>
        </w:rPr>
      </w:pPr>
      <w:r>
        <w:rPr>
          <w:rFonts w:ascii="Arial" w:hAnsi="Arial" w:cs="Arial"/>
          <w:i/>
        </w:rPr>
        <w:t>Potential Implementation Timeline.</w:t>
      </w:r>
      <w:r w:rsidR="00E610B2">
        <w:rPr>
          <w:rFonts w:ascii="Arial" w:hAnsi="Arial" w:cs="Arial"/>
          <w:i/>
        </w:rPr>
        <w:t xml:space="preserve"> </w:t>
      </w:r>
      <w:r w:rsidR="00F10946">
        <w:rPr>
          <w:rFonts w:ascii="Arial" w:hAnsi="Arial" w:cs="Arial"/>
        </w:rPr>
        <w:t>In response to the budget proviso requirement</w:t>
      </w:r>
      <w:r w:rsidR="00B47FC8">
        <w:rPr>
          <w:rFonts w:ascii="Arial" w:hAnsi="Arial" w:cs="Arial"/>
        </w:rPr>
        <w:t xml:space="preserve"> for a reasonable implementation timeline for a WTE facility, the </w:t>
      </w:r>
      <w:r w:rsidR="00F01E64">
        <w:rPr>
          <w:rFonts w:ascii="Arial" w:hAnsi="Arial" w:cs="Arial"/>
        </w:rPr>
        <w:t xml:space="preserve">Consultant developed two potential </w:t>
      </w:r>
      <w:r w:rsidR="00B47FC8">
        <w:rPr>
          <w:rFonts w:ascii="Arial" w:hAnsi="Arial" w:cs="Arial"/>
        </w:rPr>
        <w:t>schedules</w:t>
      </w:r>
      <w:r w:rsidR="00F01E64">
        <w:rPr>
          <w:rFonts w:ascii="Arial" w:hAnsi="Arial" w:cs="Arial"/>
        </w:rPr>
        <w:t>, a</w:t>
      </w:r>
      <w:r w:rsidR="00FF3634">
        <w:rPr>
          <w:rFonts w:ascii="Arial" w:hAnsi="Arial" w:cs="Arial"/>
        </w:rPr>
        <w:t xml:space="preserve">n accelerated </w:t>
      </w:r>
      <w:r w:rsidR="00F01E64">
        <w:rPr>
          <w:rFonts w:ascii="Arial" w:hAnsi="Arial" w:cs="Arial"/>
        </w:rPr>
        <w:t xml:space="preserve">and extended </w:t>
      </w:r>
      <w:r w:rsidR="00B47FC8">
        <w:rPr>
          <w:rFonts w:ascii="Arial" w:hAnsi="Arial" w:cs="Arial"/>
        </w:rPr>
        <w:t xml:space="preserve">version. Both schedules </w:t>
      </w:r>
      <w:r w:rsidR="00B81CA8">
        <w:rPr>
          <w:rFonts w:ascii="Arial" w:hAnsi="Arial" w:cs="Arial"/>
        </w:rPr>
        <w:t>include extending the interlocal agreements with the partner cities and updating the Comprehensive Solid Waste Management Plan,</w:t>
      </w:r>
      <w:r w:rsidR="00025CAA">
        <w:rPr>
          <w:rFonts w:ascii="Arial" w:hAnsi="Arial" w:cs="Arial"/>
        </w:rPr>
        <w:t xml:space="preserve"> siting and permitting, procurement, and design and construction. The fast-track schedule assumes </w:t>
      </w:r>
      <w:r w:rsidR="00647A39">
        <w:rPr>
          <w:rFonts w:ascii="Arial" w:hAnsi="Arial" w:cs="Arial"/>
        </w:rPr>
        <w:t>no</w:t>
      </w:r>
      <w:r w:rsidR="00BF4B51">
        <w:rPr>
          <w:rFonts w:ascii="Arial" w:hAnsi="Arial" w:cs="Arial"/>
        </w:rPr>
        <w:t xml:space="preserve"> significant regulatory hurdles or</w:t>
      </w:r>
      <w:r w:rsidR="00A755F1">
        <w:rPr>
          <w:rFonts w:ascii="Arial" w:hAnsi="Arial" w:cs="Arial"/>
        </w:rPr>
        <w:t xml:space="preserve"> public</w:t>
      </w:r>
      <w:r w:rsidR="00BF4B51">
        <w:rPr>
          <w:rFonts w:ascii="Arial" w:hAnsi="Arial" w:cs="Arial"/>
        </w:rPr>
        <w:t xml:space="preserve"> opposition to the project and avail</w:t>
      </w:r>
      <w:r w:rsidR="00A755F1">
        <w:rPr>
          <w:rFonts w:ascii="Arial" w:hAnsi="Arial" w:cs="Arial"/>
        </w:rPr>
        <w:t>ability of long-lead time materials</w:t>
      </w:r>
      <w:r w:rsidR="003925B8">
        <w:rPr>
          <w:rFonts w:ascii="Arial" w:hAnsi="Arial" w:cs="Arial"/>
        </w:rPr>
        <w:t>. T</w:t>
      </w:r>
      <w:r w:rsidR="00A755F1">
        <w:rPr>
          <w:rFonts w:ascii="Arial" w:hAnsi="Arial" w:cs="Arial"/>
        </w:rPr>
        <w:t>he extended schedule allows for up to two years of delay for p</w:t>
      </w:r>
      <w:r w:rsidR="00353690">
        <w:rPr>
          <w:rFonts w:ascii="Arial" w:hAnsi="Arial" w:cs="Arial"/>
        </w:rPr>
        <w:t xml:space="preserve">ermitting or </w:t>
      </w:r>
      <w:r w:rsidR="00E10F2A">
        <w:rPr>
          <w:rFonts w:ascii="Arial" w:hAnsi="Arial" w:cs="Arial"/>
        </w:rPr>
        <w:t>siting</w:t>
      </w:r>
      <w:r w:rsidR="00353690">
        <w:rPr>
          <w:rFonts w:ascii="Arial" w:hAnsi="Arial" w:cs="Arial"/>
        </w:rPr>
        <w:t xml:space="preserve"> issues.</w:t>
      </w:r>
      <w:r w:rsidR="00B87BFC">
        <w:rPr>
          <w:rFonts w:ascii="Arial" w:hAnsi="Arial" w:cs="Arial"/>
        </w:rPr>
        <w:t xml:space="preserve"> </w:t>
      </w:r>
      <w:r w:rsidR="001C2303">
        <w:rPr>
          <w:rFonts w:ascii="Arial" w:hAnsi="Arial" w:cs="Arial"/>
        </w:rPr>
        <w:t>Both schedules assume</w:t>
      </w:r>
      <w:r w:rsidR="002E4EB1">
        <w:rPr>
          <w:rFonts w:ascii="Arial" w:hAnsi="Arial" w:cs="Arial"/>
        </w:rPr>
        <w:t xml:space="preserve"> </w:t>
      </w:r>
      <w:r w:rsidR="00F90F08">
        <w:rPr>
          <w:rFonts w:ascii="Arial" w:hAnsi="Arial" w:cs="Arial"/>
        </w:rPr>
        <w:t xml:space="preserve">design-build-operate procurement, which the Feasibility Study notes is typical in </w:t>
      </w:r>
      <w:r w:rsidR="00B0506E">
        <w:rPr>
          <w:rFonts w:ascii="Arial" w:hAnsi="Arial" w:cs="Arial"/>
        </w:rPr>
        <w:t>the</w:t>
      </w:r>
      <w:r w:rsidR="00F90F08">
        <w:rPr>
          <w:rFonts w:ascii="Arial" w:hAnsi="Arial" w:cs="Arial"/>
        </w:rPr>
        <w:t xml:space="preserve"> industry, but that th</w:t>
      </w:r>
      <w:r w:rsidR="005672C8">
        <w:rPr>
          <w:rFonts w:ascii="Arial" w:hAnsi="Arial" w:cs="Arial"/>
        </w:rPr>
        <w:t xml:space="preserve">ere are a variety of alternative delivery methods that could be considered. Additionally, both schedules assume that procurement would occur concurrently with siting, planning, and permitting. </w:t>
      </w:r>
      <w:r w:rsidR="00CF27DD">
        <w:rPr>
          <w:rFonts w:ascii="Arial" w:hAnsi="Arial" w:cs="Arial"/>
        </w:rPr>
        <w:t xml:space="preserve">Table </w:t>
      </w:r>
      <w:r w:rsidR="003F4F77">
        <w:rPr>
          <w:rFonts w:ascii="Arial" w:hAnsi="Arial" w:cs="Arial"/>
        </w:rPr>
        <w:t>8</w:t>
      </w:r>
      <w:r w:rsidR="00CF27DD">
        <w:rPr>
          <w:rFonts w:ascii="Arial" w:hAnsi="Arial" w:cs="Arial"/>
        </w:rPr>
        <w:t xml:space="preserve"> summarizes the two </w:t>
      </w:r>
      <w:r w:rsidR="00F10946">
        <w:rPr>
          <w:rFonts w:ascii="Arial" w:hAnsi="Arial" w:cs="Arial"/>
        </w:rPr>
        <w:t xml:space="preserve">potential implementation schedules. </w:t>
      </w:r>
    </w:p>
    <w:p w14:paraId="07B7D9DB" w14:textId="60CAE772" w:rsidR="00CF27DD" w:rsidRDefault="00CF27DD" w:rsidP="00CA0D6E">
      <w:pPr>
        <w:jc w:val="both"/>
        <w:rPr>
          <w:rFonts w:ascii="Arial" w:hAnsi="Arial" w:cs="Arial"/>
        </w:rPr>
      </w:pPr>
    </w:p>
    <w:p w14:paraId="631DFA78" w14:textId="77777777" w:rsidR="008D5C45" w:rsidRDefault="008D5C45" w:rsidP="00CA0D6E">
      <w:pPr>
        <w:jc w:val="both"/>
        <w:rPr>
          <w:rFonts w:ascii="Arial" w:hAnsi="Arial" w:cs="Arial"/>
        </w:rPr>
      </w:pPr>
    </w:p>
    <w:p w14:paraId="3F7A3728" w14:textId="66D91807" w:rsidR="001577D8" w:rsidRPr="008461B6" w:rsidRDefault="001577D8" w:rsidP="001577D8">
      <w:pPr>
        <w:jc w:val="center"/>
        <w:rPr>
          <w:rFonts w:ascii="Arial" w:hAnsi="Arial" w:cs="Arial"/>
          <w:b/>
        </w:rPr>
      </w:pPr>
      <w:r>
        <w:rPr>
          <w:rFonts w:ascii="Arial" w:hAnsi="Arial" w:cs="Arial"/>
          <w:b/>
        </w:rPr>
        <w:t xml:space="preserve">Table </w:t>
      </w:r>
      <w:r w:rsidR="003F4F77">
        <w:rPr>
          <w:rFonts w:ascii="Arial" w:hAnsi="Arial" w:cs="Arial"/>
          <w:b/>
        </w:rPr>
        <w:t>8</w:t>
      </w:r>
      <w:r>
        <w:rPr>
          <w:rFonts w:ascii="Arial" w:hAnsi="Arial" w:cs="Arial"/>
          <w:b/>
        </w:rPr>
        <w:t xml:space="preserve">. </w:t>
      </w:r>
      <w:r w:rsidR="00FF3634">
        <w:rPr>
          <w:rFonts w:ascii="Arial" w:hAnsi="Arial" w:cs="Arial"/>
          <w:b/>
        </w:rPr>
        <w:t xml:space="preserve">Potential </w:t>
      </w:r>
      <w:r w:rsidR="003A1A86">
        <w:rPr>
          <w:rFonts w:ascii="Arial" w:hAnsi="Arial" w:cs="Arial"/>
          <w:b/>
        </w:rPr>
        <w:t>WTE Facility Implementation Schedules – Accelerated and Extended</w:t>
      </w:r>
      <w:r w:rsidR="00FF3634">
        <w:rPr>
          <w:rFonts w:ascii="Arial" w:hAnsi="Arial" w:cs="Arial"/>
          <w:b/>
        </w:rPr>
        <w:t xml:space="preserve"> </w:t>
      </w:r>
    </w:p>
    <w:p w14:paraId="4EA2DACA" w14:textId="77777777" w:rsidR="001577D8" w:rsidRDefault="001577D8" w:rsidP="001577D8">
      <w:pPr>
        <w:jc w:val="both"/>
        <w:rPr>
          <w:rFonts w:ascii="Arial" w:hAnsi="Arial" w:cs="Arial"/>
        </w:rPr>
      </w:pPr>
    </w:p>
    <w:tbl>
      <w:tblPr>
        <w:tblW w:w="9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2"/>
        <w:gridCol w:w="2610"/>
        <w:gridCol w:w="2741"/>
      </w:tblGrid>
      <w:tr w:rsidR="001577D8" w:rsidRPr="004B445C" w14:paraId="69E161DC" w14:textId="77777777" w:rsidTr="00005CB7">
        <w:trPr>
          <w:trHeight w:val="525"/>
          <w:tblHeader/>
          <w:jc w:val="center"/>
        </w:trPr>
        <w:tc>
          <w:tcPr>
            <w:tcW w:w="3732" w:type="dxa"/>
            <w:shd w:val="clear" w:color="000000" w:fill="000000"/>
            <w:noWrap/>
            <w:vAlign w:val="bottom"/>
            <w:hideMark/>
          </w:tcPr>
          <w:p w14:paraId="58B04861" w14:textId="0EA07D6E" w:rsidR="001577D8" w:rsidRPr="004B445C" w:rsidRDefault="00E10F2A" w:rsidP="007D74D4">
            <w:pPr>
              <w:rPr>
                <w:rFonts w:ascii="Arial" w:hAnsi="Arial" w:cs="Arial"/>
                <w:b/>
                <w:bCs/>
                <w:color w:val="FFFFFF"/>
                <w:sz w:val="22"/>
                <w:szCs w:val="22"/>
              </w:rPr>
            </w:pPr>
            <w:r>
              <w:rPr>
                <w:rFonts w:ascii="Arial" w:hAnsi="Arial" w:cs="Arial"/>
                <w:b/>
                <w:bCs/>
                <w:color w:val="FFFFFF"/>
                <w:sz w:val="22"/>
                <w:szCs w:val="22"/>
              </w:rPr>
              <w:t>Phase</w:t>
            </w:r>
          </w:p>
        </w:tc>
        <w:tc>
          <w:tcPr>
            <w:tcW w:w="2610" w:type="dxa"/>
            <w:shd w:val="clear" w:color="000000" w:fill="000000"/>
            <w:vAlign w:val="bottom"/>
            <w:hideMark/>
          </w:tcPr>
          <w:p w14:paraId="7DD598A3" w14:textId="7AB227A7" w:rsidR="001577D8" w:rsidRPr="004B445C" w:rsidRDefault="00E10F2A" w:rsidP="007D74D4">
            <w:pPr>
              <w:jc w:val="center"/>
              <w:rPr>
                <w:rFonts w:ascii="Arial" w:hAnsi="Arial" w:cs="Arial"/>
                <w:bCs/>
                <w:color w:val="FFFFFF"/>
                <w:sz w:val="22"/>
                <w:szCs w:val="22"/>
              </w:rPr>
            </w:pPr>
            <w:r>
              <w:rPr>
                <w:rFonts w:ascii="Arial" w:hAnsi="Arial" w:cs="Arial"/>
                <w:b/>
                <w:bCs/>
                <w:color w:val="FFFFFF"/>
                <w:sz w:val="22"/>
                <w:szCs w:val="22"/>
              </w:rPr>
              <w:t>Accelerated</w:t>
            </w:r>
            <w:r w:rsidR="00737242">
              <w:rPr>
                <w:rFonts w:ascii="Arial" w:hAnsi="Arial" w:cs="Arial"/>
                <w:b/>
                <w:bCs/>
                <w:color w:val="FFFFFF"/>
                <w:sz w:val="22"/>
                <w:szCs w:val="22"/>
              </w:rPr>
              <w:t xml:space="preserve"> Schedule</w:t>
            </w:r>
          </w:p>
        </w:tc>
        <w:tc>
          <w:tcPr>
            <w:tcW w:w="2741" w:type="dxa"/>
            <w:shd w:val="clear" w:color="000000" w:fill="000000"/>
            <w:vAlign w:val="bottom"/>
            <w:hideMark/>
          </w:tcPr>
          <w:p w14:paraId="064D9889" w14:textId="14AB24BE" w:rsidR="001577D8" w:rsidRPr="004B445C" w:rsidRDefault="00E10F2A" w:rsidP="007D74D4">
            <w:pPr>
              <w:jc w:val="center"/>
              <w:rPr>
                <w:rFonts w:ascii="Arial" w:hAnsi="Arial" w:cs="Arial"/>
                <w:b/>
                <w:bCs/>
                <w:color w:val="FFFFFF"/>
                <w:sz w:val="22"/>
                <w:szCs w:val="22"/>
              </w:rPr>
            </w:pPr>
            <w:r>
              <w:rPr>
                <w:rFonts w:ascii="Arial" w:hAnsi="Arial" w:cs="Arial"/>
                <w:b/>
                <w:bCs/>
                <w:color w:val="FFFFFF"/>
                <w:sz w:val="22"/>
                <w:szCs w:val="22"/>
              </w:rPr>
              <w:t>Extended</w:t>
            </w:r>
            <w:r w:rsidR="00737242">
              <w:rPr>
                <w:rFonts w:ascii="Arial" w:hAnsi="Arial" w:cs="Arial"/>
                <w:b/>
                <w:bCs/>
                <w:color w:val="FFFFFF"/>
                <w:sz w:val="22"/>
                <w:szCs w:val="22"/>
              </w:rPr>
              <w:t xml:space="preserve"> Schedule</w:t>
            </w:r>
          </w:p>
        </w:tc>
      </w:tr>
      <w:tr w:rsidR="001577D8" w:rsidRPr="004B445C" w14:paraId="345E9087" w14:textId="77777777" w:rsidTr="00005CB7">
        <w:trPr>
          <w:trHeight w:val="300"/>
          <w:jc w:val="center"/>
        </w:trPr>
        <w:tc>
          <w:tcPr>
            <w:tcW w:w="3732" w:type="dxa"/>
            <w:shd w:val="clear" w:color="auto" w:fill="auto"/>
            <w:noWrap/>
            <w:vAlign w:val="center"/>
            <w:hideMark/>
          </w:tcPr>
          <w:p w14:paraId="06742791" w14:textId="7F2B90DF" w:rsidR="001577D8" w:rsidRPr="00E90F34" w:rsidRDefault="00E10F2A" w:rsidP="007D74D4">
            <w:pPr>
              <w:rPr>
                <w:rFonts w:ascii="Arial" w:hAnsi="Arial" w:cs="Arial"/>
                <w:b/>
                <w:color w:val="000000"/>
                <w:sz w:val="22"/>
                <w:szCs w:val="22"/>
              </w:rPr>
            </w:pPr>
            <w:r w:rsidRPr="00E90F34">
              <w:rPr>
                <w:rFonts w:ascii="Arial" w:hAnsi="Arial" w:cs="Arial"/>
                <w:b/>
                <w:color w:val="000000"/>
                <w:sz w:val="22"/>
                <w:szCs w:val="22"/>
              </w:rPr>
              <w:t xml:space="preserve">Extend </w:t>
            </w:r>
            <w:r w:rsidR="00EA02DF" w:rsidRPr="00E90F34">
              <w:rPr>
                <w:rFonts w:ascii="Arial" w:hAnsi="Arial" w:cs="Arial"/>
                <w:b/>
                <w:color w:val="000000"/>
                <w:sz w:val="22"/>
                <w:szCs w:val="22"/>
              </w:rPr>
              <w:t xml:space="preserve">and </w:t>
            </w:r>
            <w:r w:rsidR="00737242" w:rsidRPr="00E90F34">
              <w:rPr>
                <w:rFonts w:ascii="Arial" w:hAnsi="Arial" w:cs="Arial"/>
                <w:b/>
                <w:color w:val="000000"/>
                <w:sz w:val="22"/>
                <w:szCs w:val="22"/>
              </w:rPr>
              <w:t>n</w:t>
            </w:r>
            <w:r w:rsidRPr="00E90F34">
              <w:rPr>
                <w:rFonts w:ascii="Arial" w:hAnsi="Arial" w:cs="Arial"/>
                <w:b/>
                <w:color w:val="000000"/>
                <w:sz w:val="22"/>
                <w:szCs w:val="22"/>
              </w:rPr>
              <w:t xml:space="preserve">egotiate ILAs and update </w:t>
            </w:r>
            <w:r w:rsidR="00737242" w:rsidRPr="00E90F34">
              <w:rPr>
                <w:rFonts w:ascii="Arial" w:hAnsi="Arial" w:cs="Arial"/>
                <w:b/>
                <w:color w:val="000000"/>
                <w:sz w:val="22"/>
                <w:szCs w:val="22"/>
              </w:rPr>
              <w:t>Comprehensive Solid Waste Management Plan</w:t>
            </w:r>
          </w:p>
        </w:tc>
        <w:tc>
          <w:tcPr>
            <w:tcW w:w="2610" w:type="dxa"/>
            <w:shd w:val="clear" w:color="auto" w:fill="auto"/>
            <w:noWrap/>
            <w:vAlign w:val="center"/>
          </w:tcPr>
          <w:p w14:paraId="311E95B5" w14:textId="23977371" w:rsidR="001577D8" w:rsidRPr="004B445C" w:rsidRDefault="00737242" w:rsidP="007D74D4">
            <w:pPr>
              <w:jc w:val="center"/>
              <w:rPr>
                <w:rFonts w:ascii="Arial" w:hAnsi="Arial" w:cs="Arial"/>
                <w:bCs/>
                <w:color w:val="000000"/>
                <w:sz w:val="22"/>
                <w:szCs w:val="22"/>
              </w:rPr>
            </w:pPr>
            <w:r>
              <w:rPr>
                <w:rFonts w:ascii="Arial" w:hAnsi="Arial" w:cs="Arial"/>
                <w:bCs/>
                <w:color w:val="000000"/>
                <w:sz w:val="22"/>
                <w:szCs w:val="22"/>
              </w:rPr>
              <w:t>1-2 years</w:t>
            </w:r>
          </w:p>
        </w:tc>
        <w:tc>
          <w:tcPr>
            <w:tcW w:w="2741" w:type="dxa"/>
            <w:shd w:val="clear" w:color="auto" w:fill="auto"/>
            <w:vAlign w:val="center"/>
          </w:tcPr>
          <w:p w14:paraId="7D6204C9" w14:textId="01D20984" w:rsidR="001577D8" w:rsidRPr="004B445C" w:rsidRDefault="00737242" w:rsidP="007D74D4">
            <w:pPr>
              <w:jc w:val="center"/>
              <w:rPr>
                <w:rFonts w:ascii="Arial" w:hAnsi="Arial" w:cs="Arial"/>
                <w:color w:val="000000"/>
                <w:sz w:val="22"/>
                <w:szCs w:val="22"/>
              </w:rPr>
            </w:pPr>
            <w:r>
              <w:rPr>
                <w:rFonts w:ascii="Arial" w:hAnsi="Arial" w:cs="Arial"/>
                <w:color w:val="000000"/>
                <w:sz w:val="22"/>
                <w:szCs w:val="22"/>
              </w:rPr>
              <w:t>2 years</w:t>
            </w:r>
          </w:p>
        </w:tc>
      </w:tr>
      <w:tr w:rsidR="001577D8" w:rsidRPr="004B445C" w14:paraId="5F147626" w14:textId="77777777" w:rsidTr="00005CB7">
        <w:trPr>
          <w:trHeight w:val="300"/>
          <w:jc w:val="center"/>
        </w:trPr>
        <w:tc>
          <w:tcPr>
            <w:tcW w:w="3732" w:type="dxa"/>
            <w:shd w:val="clear" w:color="auto" w:fill="auto"/>
            <w:noWrap/>
            <w:vAlign w:val="center"/>
            <w:hideMark/>
          </w:tcPr>
          <w:p w14:paraId="2ADB481C" w14:textId="64815874" w:rsidR="001577D8" w:rsidRPr="00E90F34" w:rsidRDefault="00737242" w:rsidP="007D74D4">
            <w:pPr>
              <w:rPr>
                <w:rFonts w:ascii="Arial" w:hAnsi="Arial" w:cs="Arial"/>
                <w:b/>
                <w:color w:val="000000"/>
                <w:sz w:val="22"/>
                <w:szCs w:val="22"/>
              </w:rPr>
            </w:pPr>
            <w:r w:rsidRPr="00E90F34">
              <w:rPr>
                <w:rFonts w:ascii="Arial" w:hAnsi="Arial" w:cs="Arial"/>
                <w:b/>
                <w:color w:val="000000"/>
                <w:sz w:val="22"/>
                <w:szCs w:val="22"/>
              </w:rPr>
              <w:t>Siting</w:t>
            </w:r>
            <w:r w:rsidR="00705F65" w:rsidRPr="00E90F34">
              <w:rPr>
                <w:rFonts w:ascii="Arial" w:hAnsi="Arial" w:cs="Arial"/>
                <w:b/>
                <w:color w:val="000000"/>
                <w:sz w:val="22"/>
                <w:szCs w:val="22"/>
              </w:rPr>
              <w:t xml:space="preserve">, </w:t>
            </w:r>
            <w:r w:rsidRPr="00E90F34">
              <w:rPr>
                <w:rFonts w:ascii="Arial" w:hAnsi="Arial" w:cs="Arial"/>
                <w:b/>
                <w:color w:val="000000"/>
                <w:sz w:val="22"/>
                <w:szCs w:val="22"/>
              </w:rPr>
              <w:t>Planning</w:t>
            </w:r>
            <w:r w:rsidR="00705F65" w:rsidRPr="00E90F34">
              <w:rPr>
                <w:rFonts w:ascii="Arial" w:hAnsi="Arial" w:cs="Arial"/>
                <w:b/>
                <w:color w:val="000000"/>
                <w:sz w:val="22"/>
                <w:szCs w:val="22"/>
              </w:rPr>
              <w:t xml:space="preserve">, </w:t>
            </w:r>
            <w:r w:rsidRPr="00E90F34">
              <w:rPr>
                <w:rFonts w:ascii="Arial" w:hAnsi="Arial" w:cs="Arial"/>
                <w:b/>
                <w:color w:val="000000"/>
                <w:sz w:val="22"/>
                <w:szCs w:val="22"/>
              </w:rPr>
              <w:t>Permitting</w:t>
            </w:r>
          </w:p>
        </w:tc>
        <w:tc>
          <w:tcPr>
            <w:tcW w:w="2610" w:type="dxa"/>
            <w:shd w:val="clear" w:color="auto" w:fill="auto"/>
            <w:noWrap/>
            <w:vAlign w:val="center"/>
          </w:tcPr>
          <w:p w14:paraId="396A356F" w14:textId="6C44D5ED" w:rsidR="001577D8" w:rsidRPr="004B445C" w:rsidRDefault="00F84435" w:rsidP="007D74D4">
            <w:pPr>
              <w:jc w:val="center"/>
              <w:rPr>
                <w:rFonts w:ascii="Arial" w:hAnsi="Arial" w:cs="Arial"/>
                <w:bCs/>
                <w:color w:val="000000"/>
                <w:sz w:val="22"/>
                <w:szCs w:val="22"/>
              </w:rPr>
            </w:pPr>
            <w:r>
              <w:rPr>
                <w:rFonts w:ascii="Arial" w:hAnsi="Arial" w:cs="Arial"/>
                <w:bCs/>
                <w:color w:val="000000"/>
                <w:sz w:val="22"/>
                <w:szCs w:val="22"/>
              </w:rPr>
              <w:t>3 years</w:t>
            </w:r>
          </w:p>
        </w:tc>
        <w:tc>
          <w:tcPr>
            <w:tcW w:w="2741" w:type="dxa"/>
            <w:shd w:val="clear" w:color="auto" w:fill="auto"/>
            <w:vAlign w:val="center"/>
          </w:tcPr>
          <w:p w14:paraId="3A90C64E" w14:textId="3E2064CA" w:rsidR="001577D8" w:rsidRPr="004B445C" w:rsidRDefault="00F84435" w:rsidP="007D74D4">
            <w:pPr>
              <w:jc w:val="center"/>
              <w:rPr>
                <w:rFonts w:ascii="Arial" w:hAnsi="Arial" w:cs="Arial"/>
                <w:color w:val="000000"/>
                <w:sz w:val="22"/>
                <w:szCs w:val="22"/>
              </w:rPr>
            </w:pPr>
            <w:r>
              <w:rPr>
                <w:rFonts w:ascii="Arial" w:hAnsi="Arial" w:cs="Arial"/>
                <w:color w:val="000000"/>
                <w:sz w:val="22"/>
                <w:szCs w:val="22"/>
              </w:rPr>
              <w:t>5 years</w:t>
            </w:r>
          </w:p>
        </w:tc>
      </w:tr>
      <w:tr w:rsidR="001577D8" w:rsidRPr="004B445C" w14:paraId="1D8DCF7A" w14:textId="77777777" w:rsidTr="00005CB7">
        <w:trPr>
          <w:trHeight w:val="300"/>
          <w:jc w:val="center"/>
        </w:trPr>
        <w:tc>
          <w:tcPr>
            <w:tcW w:w="3732" w:type="dxa"/>
            <w:shd w:val="clear" w:color="auto" w:fill="auto"/>
            <w:noWrap/>
            <w:vAlign w:val="center"/>
          </w:tcPr>
          <w:p w14:paraId="2F058B83" w14:textId="7BF94B44" w:rsidR="001577D8" w:rsidRPr="00E90F34" w:rsidRDefault="00F84435" w:rsidP="007D74D4">
            <w:pPr>
              <w:rPr>
                <w:rFonts w:ascii="Arial" w:hAnsi="Arial" w:cs="Arial"/>
                <w:b/>
                <w:color w:val="000000"/>
                <w:sz w:val="22"/>
                <w:szCs w:val="22"/>
              </w:rPr>
            </w:pPr>
            <w:r w:rsidRPr="00E90F34">
              <w:rPr>
                <w:rFonts w:ascii="Arial" w:hAnsi="Arial" w:cs="Arial"/>
                <w:b/>
                <w:color w:val="000000"/>
                <w:sz w:val="22"/>
                <w:szCs w:val="22"/>
              </w:rPr>
              <w:t xml:space="preserve">Procurement </w:t>
            </w:r>
          </w:p>
        </w:tc>
        <w:tc>
          <w:tcPr>
            <w:tcW w:w="2610" w:type="dxa"/>
            <w:shd w:val="clear" w:color="auto" w:fill="auto"/>
            <w:noWrap/>
            <w:vAlign w:val="center"/>
          </w:tcPr>
          <w:p w14:paraId="546EC483" w14:textId="77777777" w:rsidR="001577D8" w:rsidRDefault="00F84435" w:rsidP="007D74D4">
            <w:pPr>
              <w:jc w:val="center"/>
              <w:rPr>
                <w:rFonts w:ascii="Arial" w:hAnsi="Arial" w:cs="Arial"/>
                <w:bCs/>
                <w:color w:val="000000"/>
                <w:sz w:val="22"/>
                <w:szCs w:val="22"/>
              </w:rPr>
            </w:pPr>
            <w:r>
              <w:rPr>
                <w:rFonts w:ascii="Arial" w:hAnsi="Arial" w:cs="Arial"/>
                <w:bCs/>
                <w:color w:val="000000"/>
                <w:sz w:val="22"/>
                <w:szCs w:val="22"/>
              </w:rPr>
              <w:t>1-2 years</w:t>
            </w:r>
          </w:p>
          <w:p w14:paraId="02C5F629" w14:textId="29C1FA9F" w:rsidR="00F84435" w:rsidRPr="004B445C" w:rsidRDefault="00EA02DF" w:rsidP="007D74D4">
            <w:pPr>
              <w:jc w:val="center"/>
              <w:rPr>
                <w:rFonts w:ascii="Arial" w:hAnsi="Arial" w:cs="Arial"/>
                <w:bCs/>
                <w:color w:val="000000"/>
                <w:sz w:val="22"/>
                <w:szCs w:val="22"/>
              </w:rPr>
            </w:pPr>
            <w:r>
              <w:rPr>
                <w:rFonts w:ascii="Arial" w:hAnsi="Arial" w:cs="Arial"/>
                <w:bCs/>
                <w:color w:val="000000"/>
                <w:sz w:val="22"/>
                <w:szCs w:val="22"/>
              </w:rPr>
              <w:t>*</w:t>
            </w:r>
            <w:r w:rsidR="0054757E">
              <w:rPr>
                <w:rFonts w:ascii="Arial" w:hAnsi="Arial" w:cs="Arial"/>
                <w:bCs/>
                <w:i/>
                <w:color w:val="000000"/>
                <w:sz w:val="22"/>
                <w:szCs w:val="22"/>
              </w:rPr>
              <w:t>C</w:t>
            </w:r>
            <w:r w:rsidR="00F84435" w:rsidRPr="00EA02DF">
              <w:rPr>
                <w:rFonts w:ascii="Arial" w:hAnsi="Arial" w:cs="Arial"/>
                <w:bCs/>
                <w:i/>
                <w:color w:val="000000"/>
                <w:sz w:val="22"/>
                <w:szCs w:val="22"/>
              </w:rPr>
              <w:t xml:space="preserve">oncurrent with </w:t>
            </w:r>
            <w:r w:rsidR="005C00AE">
              <w:rPr>
                <w:rFonts w:ascii="Arial" w:hAnsi="Arial" w:cs="Arial"/>
                <w:bCs/>
                <w:i/>
                <w:color w:val="000000"/>
                <w:sz w:val="22"/>
                <w:szCs w:val="22"/>
              </w:rPr>
              <w:t>Siting, P</w:t>
            </w:r>
            <w:r w:rsidR="00F84435" w:rsidRPr="00EA02DF">
              <w:rPr>
                <w:rFonts w:ascii="Arial" w:hAnsi="Arial" w:cs="Arial"/>
                <w:bCs/>
                <w:i/>
                <w:color w:val="000000"/>
                <w:sz w:val="22"/>
                <w:szCs w:val="22"/>
              </w:rPr>
              <w:t>lanning</w:t>
            </w:r>
            <w:r w:rsidR="005C00AE">
              <w:rPr>
                <w:rFonts w:ascii="Arial" w:hAnsi="Arial" w:cs="Arial"/>
                <w:bCs/>
                <w:i/>
                <w:color w:val="000000"/>
                <w:sz w:val="22"/>
                <w:szCs w:val="22"/>
              </w:rPr>
              <w:t xml:space="preserve">, </w:t>
            </w:r>
            <w:r w:rsidR="00F84435" w:rsidRPr="00EA02DF">
              <w:rPr>
                <w:rFonts w:ascii="Arial" w:hAnsi="Arial" w:cs="Arial"/>
                <w:bCs/>
                <w:i/>
                <w:color w:val="000000"/>
                <w:sz w:val="22"/>
                <w:szCs w:val="22"/>
              </w:rPr>
              <w:t>Permitting</w:t>
            </w:r>
          </w:p>
        </w:tc>
        <w:tc>
          <w:tcPr>
            <w:tcW w:w="2741" w:type="dxa"/>
            <w:shd w:val="clear" w:color="auto" w:fill="auto"/>
            <w:vAlign w:val="center"/>
          </w:tcPr>
          <w:p w14:paraId="4AF5FB58" w14:textId="77777777" w:rsidR="00EA02DF" w:rsidRDefault="00F84435" w:rsidP="007D74D4">
            <w:pPr>
              <w:jc w:val="center"/>
              <w:rPr>
                <w:rFonts w:ascii="Arial" w:hAnsi="Arial" w:cs="Arial"/>
                <w:color w:val="000000"/>
                <w:sz w:val="22"/>
                <w:szCs w:val="22"/>
              </w:rPr>
            </w:pPr>
            <w:r>
              <w:rPr>
                <w:rFonts w:ascii="Arial" w:hAnsi="Arial" w:cs="Arial"/>
                <w:color w:val="000000"/>
                <w:sz w:val="22"/>
                <w:szCs w:val="22"/>
              </w:rPr>
              <w:t xml:space="preserve">2 years </w:t>
            </w:r>
          </w:p>
          <w:p w14:paraId="7F814700" w14:textId="6A8EB072" w:rsidR="001577D8" w:rsidRPr="004B445C" w:rsidRDefault="00EA02DF" w:rsidP="007D74D4">
            <w:pPr>
              <w:jc w:val="center"/>
              <w:rPr>
                <w:rFonts w:ascii="Arial" w:hAnsi="Arial" w:cs="Arial"/>
                <w:color w:val="000000"/>
                <w:sz w:val="22"/>
                <w:szCs w:val="22"/>
              </w:rPr>
            </w:pPr>
            <w:r w:rsidRPr="00EA02DF">
              <w:rPr>
                <w:rFonts w:ascii="Arial" w:hAnsi="Arial" w:cs="Arial"/>
                <w:i/>
                <w:color w:val="000000"/>
                <w:sz w:val="22"/>
                <w:szCs w:val="22"/>
              </w:rPr>
              <w:t>*</w:t>
            </w:r>
            <w:r w:rsidR="0054757E">
              <w:rPr>
                <w:rFonts w:ascii="Arial" w:hAnsi="Arial" w:cs="Arial"/>
                <w:i/>
                <w:color w:val="000000"/>
                <w:sz w:val="22"/>
                <w:szCs w:val="22"/>
              </w:rPr>
              <w:t>C</w:t>
            </w:r>
            <w:r w:rsidR="00F84435" w:rsidRPr="00EA02DF">
              <w:rPr>
                <w:rFonts w:ascii="Arial" w:hAnsi="Arial" w:cs="Arial"/>
                <w:i/>
                <w:color w:val="000000"/>
                <w:sz w:val="22"/>
                <w:szCs w:val="22"/>
              </w:rPr>
              <w:t>oncurrent with Siting</w:t>
            </w:r>
            <w:r w:rsidR="005C00AE">
              <w:rPr>
                <w:rFonts w:ascii="Arial" w:hAnsi="Arial" w:cs="Arial"/>
                <w:i/>
                <w:color w:val="000000"/>
                <w:sz w:val="22"/>
                <w:szCs w:val="22"/>
              </w:rPr>
              <w:t xml:space="preserve">, </w:t>
            </w:r>
            <w:r w:rsidR="00F84435" w:rsidRPr="00EA02DF">
              <w:rPr>
                <w:rFonts w:ascii="Arial" w:hAnsi="Arial" w:cs="Arial"/>
                <w:i/>
                <w:color w:val="000000"/>
                <w:sz w:val="22"/>
                <w:szCs w:val="22"/>
              </w:rPr>
              <w:t>Planning</w:t>
            </w:r>
            <w:r w:rsidR="005C00AE">
              <w:rPr>
                <w:rFonts w:ascii="Arial" w:hAnsi="Arial" w:cs="Arial"/>
                <w:i/>
                <w:color w:val="000000"/>
                <w:sz w:val="22"/>
                <w:szCs w:val="22"/>
              </w:rPr>
              <w:t>,</w:t>
            </w:r>
            <w:r w:rsidR="00F84435" w:rsidRPr="00EA02DF">
              <w:rPr>
                <w:rFonts w:ascii="Arial" w:hAnsi="Arial" w:cs="Arial"/>
                <w:i/>
                <w:color w:val="000000"/>
                <w:sz w:val="22"/>
                <w:szCs w:val="22"/>
              </w:rPr>
              <w:t xml:space="preserve"> Permitting</w:t>
            </w:r>
          </w:p>
        </w:tc>
      </w:tr>
      <w:tr w:rsidR="001577D8" w:rsidRPr="004B445C" w14:paraId="1FF992A3" w14:textId="77777777" w:rsidTr="00005CB7">
        <w:trPr>
          <w:trHeight w:val="300"/>
          <w:jc w:val="center"/>
        </w:trPr>
        <w:tc>
          <w:tcPr>
            <w:tcW w:w="3732" w:type="dxa"/>
            <w:shd w:val="clear" w:color="auto" w:fill="auto"/>
            <w:noWrap/>
            <w:vAlign w:val="center"/>
          </w:tcPr>
          <w:p w14:paraId="645D4B44" w14:textId="5AFB7661" w:rsidR="001577D8" w:rsidRPr="00E90F34" w:rsidRDefault="00F84435" w:rsidP="007D74D4">
            <w:pPr>
              <w:rPr>
                <w:rFonts w:ascii="Arial" w:hAnsi="Arial" w:cs="Arial"/>
                <w:b/>
                <w:color w:val="000000"/>
                <w:sz w:val="22"/>
                <w:szCs w:val="22"/>
              </w:rPr>
            </w:pPr>
            <w:r w:rsidRPr="00E90F34">
              <w:rPr>
                <w:rFonts w:ascii="Arial" w:hAnsi="Arial" w:cs="Arial"/>
                <w:b/>
                <w:color w:val="000000"/>
                <w:sz w:val="22"/>
                <w:szCs w:val="22"/>
              </w:rPr>
              <w:t>Design</w:t>
            </w:r>
            <w:r w:rsidR="00917D8C" w:rsidRPr="00E90F34">
              <w:rPr>
                <w:rFonts w:ascii="Arial" w:hAnsi="Arial" w:cs="Arial"/>
                <w:b/>
                <w:color w:val="000000"/>
                <w:sz w:val="22"/>
                <w:szCs w:val="22"/>
              </w:rPr>
              <w:t xml:space="preserve"> </w:t>
            </w:r>
            <w:r w:rsidR="00E90F34">
              <w:rPr>
                <w:rFonts w:ascii="Arial" w:hAnsi="Arial" w:cs="Arial"/>
                <w:b/>
                <w:color w:val="000000"/>
                <w:sz w:val="22"/>
                <w:szCs w:val="22"/>
              </w:rPr>
              <w:t xml:space="preserve">and </w:t>
            </w:r>
            <w:r w:rsidR="00917D8C" w:rsidRPr="00E90F34">
              <w:rPr>
                <w:rFonts w:ascii="Arial" w:hAnsi="Arial" w:cs="Arial"/>
                <w:b/>
                <w:color w:val="000000"/>
                <w:sz w:val="22"/>
                <w:szCs w:val="22"/>
              </w:rPr>
              <w:t>Construction</w:t>
            </w:r>
          </w:p>
        </w:tc>
        <w:tc>
          <w:tcPr>
            <w:tcW w:w="2610" w:type="dxa"/>
            <w:shd w:val="clear" w:color="auto" w:fill="auto"/>
            <w:noWrap/>
            <w:vAlign w:val="center"/>
          </w:tcPr>
          <w:p w14:paraId="6A1D68A3" w14:textId="3FDEE6C1" w:rsidR="001577D8" w:rsidRPr="004B445C" w:rsidRDefault="00917D8C" w:rsidP="007D74D4">
            <w:pPr>
              <w:jc w:val="center"/>
              <w:rPr>
                <w:rFonts w:ascii="Arial" w:hAnsi="Arial" w:cs="Arial"/>
                <w:bCs/>
                <w:color w:val="000000"/>
                <w:sz w:val="22"/>
                <w:szCs w:val="22"/>
              </w:rPr>
            </w:pPr>
            <w:r>
              <w:rPr>
                <w:rFonts w:ascii="Arial" w:hAnsi="Arial" w:cs="Arial"/>
                <w:bCs/>
                <w:color w:val="000000"/>
                <w:sz w:val="22"/>
                <w:szCs w:val="22"/>
              </w:rPr>
              <w:t>4 years</w:t>
            </w:r>
          </w:p>
        </w:tc>
        <w:tc>
          <w:tcPr>
            <w:tcW w:w="2741" w:type="dxa"/>
            <w:shd w:val="clear" w:color="auto" w:fill="auto"/>
            <w:vAlign w:val="center"/>
          </w:tcPr>
          <w:p w14:paraId="05441580" w14:textId="4AAEC8C0" w:rsidR="001577D8" w:rsidRPr="004B445C" w:rsidRDefault="00917D8C" w:rsidP="007D74D4">
            <w:pPr>
              <w:jc w:val="center"/>
              <w:rPr>
                <w:rFonts w:ascii="Arial" w:hAnsi="Arial" w:cs="Arial"/>
                <w:color w:val="000000"/>
                <w:sz w:val="22"/>
                <w:szCs w:val="22"/>
              </w:rPr>
            </w:pPr>
            <w:r>
              <w:rPr>
                <w:rFonts w:ascii="Arial" w:hAnsi="Arial" w:cs="Arial"/>
                <w:color w:val="000000"/>
                <w:sz w:val="22"/>
                <w:szCs w:val="22"/>
              </w:rPr>
              <w:t>4 years</w:t>
            </w:r>
          </w:p>
        </w:tc>
      </w:tr>
      <w:tr w:rsidR="001577D8" w:rsidRPr="004B445C" w14:paraId="544AA6EB" w14:textId="77777777" w:rsidTr="00005CB7">
        <w:trPr>
          <w:trHeight w:val="300"/>
          <w:jc w:val="center"/>
        </w:trPr>
        <w:tc>
          <w:tcPr>
            <w:tcW w:w="3732" w:type="dxa"/>
            <w:shd w:val="clear" w:color="auto" w:fill="F2F2F2" w:themeFill="background1" w:themeFillShade="F2"/>
            <w:noWrap/>
            <w:vAlign w:val="center"/>
          </w:tcPr>
          <w:p w14:paraId="447B4777" w14:textId="47EDD9EA" w:rsidR="001577D8" w:rsidRPr="00E90F34" w:rsidRDefault="00917D8C" w:rsidP="00917D8C">
            <w:pPr>
              <w:jc w:val="right"/>
              <w:rPr>
                <w:rFonts w:ascii="Arial" w:hAnsi="Arial" w:cs="Arial"/>
                <w:b/>
                <w:color w:val="000000"/>
                <w:sz w:val="22"/>
                <w:szCs w:val="22"/>
              </w:rPr>
            </w:pPr>
            <w:r w:rsidRPr="00E90F34">
              <w:rPr>
                <w:rFonts w:ascii="Arial" w:hAnsi="Arial" w:cs="Arial"/>
                <w:b/>
                <w:color w:val="000000"/>
                <w:sz w:val="22"/>
                <w:szCs w:val="22"/>
              </w:rPr>
              <w:t>TOTAL</w:t>
            </w:r>
          </w:p>
        </w:tc>
        <w:tc>
          <w:tcPr>
            <w:tcW w:w="2610" w:type="dxa"/>
            <w:shd w:val="clear" w:color="auto" w:fill="F2F2F2" w:themeFill="background1" w:themeFillShade="F2"/>
            <w:noWrap/>
            <w:vAlign w:val="center"/>
          </w:tcPr>
          <w:p w14:paraId="48716850" w14:textId="55351028" w:rsidR="001577D8" w:rsidRPr="004B445C" w:rsidRDefault="00917D8C" w:rsidP="007D74D4">
            <w:pPr>
              <w:jc w:val="center"/>
              <w:rPr>
                <w:rFonts w:ascii="Arial" w:hAnsi="Arial" w:cs="Arial"/>
                <w:bCs/>
                <w:color w:val="000000"/>
                <w:sz w:val="22"/>
                <w:szCs w:val="22"/>
              </w:rPr>
            </w:pPr>
            <w:r>
              <w:rPr>
                <w:rFonts w:ascii="Arial" w:hAnsi="Arial" w:cs="Arial"/>
                <w:bCs/>
                <w:color w:val="000000"/>
                <w:sz w:val="22"/>
                <w:szCs w:val="22"/>
              </w:rPr>
              <w:t>8-9 years</w:t>
            </w:r>
          </w:p>
        </w:tc>
        <w:tc>
          <w:tcPr>
            <w:tcW w:w="2741" w:type="dxa"/>
            <w:shd w:val="clear" w:color="auto" w:fill="F2F2F2" w:themeFill="background1" w:themeFillShade="F2"/>
            <w:vAlign w:val="center"/>
          </w:tcPr>
          <w:p w14:paraId="41BB94DD" w14:textId="5C582B44" w:rsidR="001577D8" w:rsidRPr="004B445C" w:rsidRDefault="00917D8C" w:rsidP="007D74D4">
            <w:pPr>
              <w:jc w:val="center"/>
              <w:rPr>
                <w:rFonts w:ascii="Arial" w:hAnsi="Arial" w:cs="Arial"/>
                <w:color w:val="000000"/>
                <w:sz w:val="22"/>
                <w:szCs w:val="22"/>
              </w:rPr>
            </w:pPr>
            <w:r>
              <w:rPr>
                <w:rFonts w:ascii="Arial" w:hAnsi="Arial" w:cs="Arial"/>
                <w:color w:val="000000"/>
                <w:sz w:val="22"/>
                <w:szCs w:val="22"/>
              </w:rPr>
              <w:t>11 years</w:t>
            </w:r>
          </w:p>
        </w:tc>
      </w:tr>
      <w:tr w:rsidR="001577D8" w:rsidRPr="004B445C" w14:paraId="433AAF66" w14:textId="77777777" w:rsidTr="00005CB7">
        <w:trPr>
          <w:trHeight w:val="300"/>
          <w:jc w:val="center"/>
        </w:trPr>
        <w:tc>
          <w:tcPr>
            <w:tcW w:w="3732" w:type="dxa"/>
            <w:shd w:val="clear" w:color="auto" w:fill="F2F2F2" w:themeFill="background1" w:themeFillShade="F2"/>
            <w:noWrap/>
            <w:vAlign w:val="center"/>
          </w:tcPr>
          <w:p w14:paraId="4EF26DE5" w14:textId="2698C472" w:rsidR="001577D8" w:rsidRPr="0052251D" w:rsidRDefault="00923B82" w:rsidP="00923B82">
            <w:pPr>
              <w:jc w:val="right"/>
              <w:rPr>
                <w:rFonts w:ascii="Arial" w:hAnsi="Arial" w:cs="Arial"/>
                <w:i/>
                <w:color w:val="000000"/>
                <w:sz w:val="22"/>
                <w:szCs w:val="22"/>
              </w:rPr>
            </w:pPr>
            <w:r w:rsidRPr="0052251D">
              <w:rPr>
                <w:rFonts w:ascii="Arial" w:hAnsi="Arial" w:cs="Arial"/>
                <w:i/>
                <w:color w:val="000000"/>
                <w:sz w:val="22"/>
                <w:szCs w:val="22"/>
              </w:rPr>
              <w:t>Commercial Operations Date if Start 1/1/2020</w:t>
            </w:r>
          </w:p>
        </w:tc>
        <w:tc>
          <w:tcPr>
            <w:tcW w:w="2610" w:type="dxa"/>
            <w:shd w:val="clear" w:color="auto" w:fill="F2F2F2" w:themeFill="background1" w:themeFillShade="F2"/>
            <w:noWrap/>
            <w:vAlign w:val="center"/>
          </w:tcPr>
          <w:p w14:paraId="456ED2F1" w14:textId="1A16E916" w:rsidR="001577D8" w:rsidRPr="0052251D" w:rsidRDefault="005C00AE" w:rsidP="007D74D4">
            <w:pPr>
              <w:jc w:val="center"/>
              <w:rPr>
                <w:rFonts w:ascii="Arial" w:hAnsi="Arial" w:cs="Arial"/>
                <w:bCs/>
                <w:i/>
                <w:color w:val="000000"/>
                <w:sz w:val="22"/>
                <w:szCs w:val="22"/>
              </w:rPr>
            </w:pPr>
            <w:r w:rsidRPr="0052251D">
              <w:rPr>
                <w:rFonts w:ascii="Arial" w:hAnsi="Arial" w:cs="Arial"/>
                <w:bCs/>
                <w:i/>
                <w:color w:val="000000"/>
                <w:sz w:val="22"/>
                <w:szCs w:val="22"/>
              </w:rPr>
              <w:t>Jan 2028 – Jan 2029</w:t>
            </w:r>
          </w:p>
        </w:tc>
        <w:tc>
          <w:tcPr>
            <w:tcW w:w="2741" w:type="dxa"/>
            <w:shd w:val="clear" w:color="auto" w:fill="F2F2F2" w:themeFill="background1" w:themeFillShade="F2"/>
            <w:vAlign w:val="center"/>
          </w:tcPr>
          <w:p w14:paraId="479F3ED8" w14:textId="621FA6C8" w:rsidR="001577D8" w:rsidRPr="0052251D" w:rsidRDefault="005C00AE" w:rsidP="007D74D4">
            <w:pPr>
              <w:jc w:val="center"/>
              <w:rPr>
                <w:rFonts w:ascii="Arial" w:hAnsi="Arial" w:cs="Arial"/>
                <w:i/>
                <w:color w:val="000000"/>
                <w:sz w:val="22"/>
                <w:szCs w:val="22"/>
              </w:rPr>
            </w:pPr>
            <w:r w:rsidRPr="0052251D">
              <w:rPr>
                <w:rFonts w:ascii="Arial" w:hAnsi="Arial" w:cs="Arial"/>
                <w:i/>
                <w:color w:val="000000"/>
                <w:sz w:val="22"/>
                <w:szCs w:val="22"/>
              </w:rPr>
              <w:t>Jan 2031</w:t>
            </w:r>
          </w:p>
        </w:tc>
      </w:tr>
    </w:tbl>
    <w:p w14:paraId="029536A6" w14:textId="77777777" w:rsidR="001577D8" w:rsidRDefault="001577D8" w:rsidP="001577D8">
      <w:pPr>
        <w:jc w:val="both"/>
        <w:rPr>
          <w:rFonts w:ascii="Arial" w:hAnsi="Arial" w:cs="Arial"/>
        </w:rPr>
      </w:pPr>
    </w:p>
    <w:p w14:paraId="3CDF71A2" w14:textId="3247AC39" w:rsidR="00723606" w:rsidRDefault="00723606" w:rsidP="00CA0D6E">
      <w:pPr>
        <w:jc w:val="both"/>
        <w:rPr>
          <w:rFonts w:ascii="Arial" w:hAnsi="Arial" w:cs="Arial"/>
        </w:rPr>
      </w:pPr>
      <w:r>
        <w:rPr>
          <w:rFonts w:ascii="Arial" w:hAnsi="Arial" w:cs="Arial"/>
        </w:rPr>
        <w:t>The budget proviso also required the Consultant to provide an analysis of the potential impact on the lifespan and capacity of the Cedar Hills landfill if a WTE facility was developed acco</w:t>
      </w:r>
      <w:r w:rsidR="00361849">
        <w:rPr>
          <w:rFonts w:ascii="Arial" w:hAnsi="Arial" w:cs="Arial"/>
        </w:rPr>
        <w:t>r</w:t>
      </w:r>
      <w:r>
        <w:rPr>
          <w:rFonts w:ascii="Arial" w:hAnsi="Arial" w:cs="Arial"/>
        </w:rPr>
        <w:t xml:space="preserve">ding to the potential timeline. </w:t>
      </w:r>
      <w:r w:rsidR="002A00DB">
        <w:rPr>
          <w:rFonts w:ascii="Arial" w:hAnsi="Arial" w:cs="Arial"/>
        </w:rPr>
        <w:t xml:space="preserve">The Feasibility Study provides that </w:t>
      </w:r>
      <w:r w:rsidR="00361849">
        <w:rPr>
          <w:rFonts w:ascii="Arial" w:hAnsi="Arial" w:cs="Arial"/>
        </w:rPr>
        <w:t xml:space="preserve">because </w:t>
      </w:r>
      <w:r w:rsidR="00CB0746">
        <w:rPr>
          <w:rFonts w:ascii="Arial" w:hAnsi="Arial" w:cs="Arial"/>
        </w:rPr>
        <w:t>SWD</w:t>
      </w:r>
      <w:r w:rsidR="00361849">
        <w:rPr>
          <w:rFonts w:ascii="Arial" w:hAnsi="Arial" w:cs="Arial"/>
        </w:rPr>
        <w:t xml:space="preserve"> is </w:t>
      </w:r>
      <w:r w:rsidR="000873F0">
        <w:rPr>
          <w:rFonts w:ascii="Arial" w:hAnsi="Arial" w:cs="Arial"/>
        </w:rPr>
        <w:t xml:space="preserve">in the process of </w:t>
      </w:r>
      <w:r w:rsidR="00361849">
        <w:rPr>
          <w:rFonts w:ascii="Arial" w:hAnsi="Arial" w:cs="Arial"/>
        </w:rPr>
        <w:t>evaluating</w:t>
      </w:r>
      <w:r w:rsidR="000873F0">
        <w:rPr>
          <w:rFonts w:ascii="Arial" w:hAnsi="Arial" w:cs="Arial"/>
        </w:rPr>
        <w:t xml:space="preserve"> options to develop the Cedar Hills landfill</w:t>
      </w:r>
      <w:r w:rsidR="002A00DB">
        <w:rPr>
          <w:rFonts w:ascii="Arial" w:hAnsi="Arial" w:cs="Arial"/>
        </w:rPr>
        <w:t xml:space="preserve"> </w:t>
      </w:r>
      <w:r w:rsidR="000873F0">
        <w:rPr>
          <w:rFonts w:ascii="Arial" w:hAnsi="Arial" w:cs="Arial"/>
        </w:rPr>
        <w:t>and the ultimate capacity is at this point unknown since an option has</w:t>
      </w:r>
      <w:r w:rsidR="001F510E">
        <w:rPr>
          <w:rFonts w:ascii="Arial" w:hAnsi="Arial" w:cs="Arial"/>
        </w:rPr>
        <w:t xml:space="preserve"> not</w:t>
      </w:r>
      <w:r w:rsidR="000873F0">
        <w:rPr>
          <w:rFonts w:ascii="Arial" w:hAnsi="Arial" w:cs="Arial"/>
        </w:rPr>
        <w:t xml:space="preserve"> been selected, </w:t>
      </w:r>
      <w:r w:rsidR="004A3E90">
        <w:rPr>
          <w:rFonts w:ascii="Arial" w:hAnsi="Arial" w:cs="Arial"/>
        </w:rPr>
        <w:t xml:space="preserve">the Consultant </w:t>
      </w:r>
      <w:r w:rsidR="00092F0E">
        <w:rPr>
          <w:rFonts w:ascii="Arial" w:hAnsi="Arial" w:cs="Arial"/>
        </w:rPr>
        <w:t>could not determine</w:t>
      </w:r>
      <w:r w:rsidR="00097BD0">
        <w:rPr>
          <w:rFonts w:ascii="Arial" w:hAnsi="Arial" w:cs="Arial"/>
        </w:rPr>
        <w:t xml:space="preserve"> the effect </w:t>
      </w:r>
      <w:r w:rsidR="00B0506E">
        <w:rPr>
          <w:rFonts w:ascii="Arial" w:hAnsi="Arial" w:cs="Arial"/>
        </w:rPr>
        <w:t xml:space="preserve">of WTE implementation </w:t>
      </w:r>
      <w:r w:rsidR="00097BD0">
        <w:rPr>
          <w:rFonts w:ascii="Arial" w:hAnsi="Arial" w:cs="Arial"/>
        </w:rPr>
        <w:t xml:space="preserve">on the remaining life of the Cedar Hills landfill. </w:t>
      </w:r>
      <w:r w:rsidR="002B390C">
        <w:rPr>
          <w:rFonts w:ascii="Arial" w:hAnsi="Arial" w:cs="Arial"/>
        </w:rPr>
        <w:t xml:space="preserve"> </w:t>
      </w:r>
    </w:p>
    <w:p w14:paraId="7B591778" w14:textId="0C7DFB0C" w:rsidR="00CF27DD" w:rsidRDefault="00673EE2" w:rsidP="00CA0D6E">
      <w:pPr>
        <w:jc w:val="both"/>
        <w:rPr>
          <w:rFonts w:ascii="Arial" w:hAnsi="Arial" w:cs="Arial"/>
        </w:rPr>
      </w:pPr>
      <w:r>
        <w:rPr>
          <w:rFonts w:ascii="Arial" w:hAnsi="Arial" w:cs="Arial"/>
        </w:rPr>
        <w:lastRenderedPageBreak/>
        <w:t>Additionally, the Feasibility Study considered the possibility of mining the existing landfill</w:t>
      </w:r>
      <w:r w:rsidR="00424B28">
        <w:rPr>
          <w:rFonts w:ascii="Arial" w:hAnsi="Arial" w:cs="Arial"/>
        </w:rPr>
        <w:t xml:space="preserve"> and using the materials as fuel should the County develop a WTE facility.</w:t>
      </w:r>
      <w:r w:rsidR="00C42362">
        <w:rPr>
          <w:rFonts w:ascii="Arial" w:hAnsi="Arial" w:cs="Arial"/>
        </w:rPr>
        <w:t xml:space="preserve"> The Consultant notes that this has been done in few </w:t>
      </w:r>
      <w:r w:rsidR="00793B0A">
        <w:rPr>
          <w:rFonts w:ascii="Arial" w:hAnsi="Arial" w:cs="Arial"/>
        </w:rPr>
        <w:t>facilit</w:t>
      </w:r>
      <w:r w:rsidR="00C42362">
        <w:rPr>
          <w:rFonts w:ascii="Arial" w:hAnsi="Arial" w:cs="Arial"/>
        </w:rPr>
        <w:t>ies in the U.S. and Europe</w:t>
      </w:r>
      <w:r w:rsidR="00734BAC">
        <w:rPr>
          <w:rFonts w:ascii="Arial" w:hAnsi="Arial" w:cs="Arial"/>
        </w:rPr>
        <w:t xml:space="preserve"> and</w:t>
      </w:r>
      <w:r w:rsidR="00802FA9">
        <w:rPr>
          <w:rFonts w:ascii="Arial" w:hAnsi="Arial" w:cs="Arial"/>
        </w:rPr>
        <w:t xml:space="preserve"> only for waste that had been landfilled within the past year</w:t>
      </w:r>
      <w:r w:rsidR="006F2425">
        <w:rPr>
          <w:rFonts w:ascii="Arial" w:hAnsi="Arial" w:cs="Arial"/>
        </w:rPr>
        <w:t>, as older waste tends to have a low heating potential</w:t>
      </w:r>
      <w:r w:rsidR="00793B0A">
        <w:rPr>
          <w:rFonts w:ascii="Arial" w:hAnsi="Arial" w:cs="Arial"/>
        </w:rPr>
        <w:t xml:space="preserve"> and this “low-quality” waste can result in operation and maintenance issues</w:t>
      </w:r>
      <w:r w:rsidR="00B73DDE">
        <w:rPr>
          <w:rFonts w:ascii="Arial" w:hAnsi="Arial" w:cs="Arial"/>
        </w:rPr>
        <w:t>. Landfill mining is not included in the financial model developed in the study and described previously in this staff report</w:t>
      </w:r>
      <w:r w:rsidR="001E3714">
        <w:rPr>
          <w:rFonts w:ascii="Arial" w:hAnsi="Arial" w:cs="Arial"/>
        </w:rPr>
        <w:t>.</w:t>
      </w:r>
    </w:p>
    <w:p w14:paraId="180DB71F" w14:textId="77777777" w:rsidR="0039366B" w:rsidRPr="00457A58" w:rsidRDefault="0039366B" w:rsidP="00CA0D6E">
      <w:pPr>
        <w:jc w:val="both"/>
        <w:rPr>
          <w:rFonts w:ascii="Arial" w:hAnsi="Arial" w:cs="Arial"/>
        </w:rPr>
      </w:pPr>
    </w:p>
    <w:p w14:paraId="21F25D72" w14:textId="726491D6" w:rsidR="004B6ADC" w:rsidRPr="004B6ADC" w:rsidRDefault="003169E3" w:rsidP="003169E3">
      <w:pPr>
        <w:jc w:val="both"/>
        <w:rPr>
          <w:rFonts w:ascii="Arial" w:hAnsi="Arial" w:cs="Arial"/>
        </w:rPr>
      </w:pPr>
      <w:r>
        <w:rPr>
          <w:rFonts w:ascii="Arial" w:hAnsi="Arial" w:cs="Arial"/>
          <w:b/>
        </w:rPr>
        <w:t>Waste Export by Rail</w:t>
      </w:r>
      <w:r w:rsidR="003F4F77">
        <w:rPr>
          <w:rFonts w:ascii="Arial" w:hAnsi="Arial" w:cs="Arial"/>
          <w:b/>
        </w:rPr>
        <w:t xml:space="preserve">. </w:t>
      </w:r>
      <w:r w:rsidR="00AD5E6D">
        <w:rPr>
          <w:rFonts w:ascii="Arial" w:hAnsi="Arial" w:cs="Arial"/>
        </w:rPr>
        <w:t>Th</w:t>
      </w:r>
      <w:r w:rsidR="007B580B">
        <w:rPr>
          <w:rFonts w:ascii="Arial" w:hAnsi="Arial" w:cs="Arial"/>
        </w:rPr>
        <w:t>e budget proviso requires a discussion of the potential for exporting the County’s waste by rail that includes an analysis of the future rail capacity forecast, the estimated capital and operating costs, as well as the environmental impacts.</w:t>
      </w:r>
      <w:r w:rsidR="00C65C02">
        <w:rPr>
          <w:rFonts w:ascii="Arial" w:hAnsi="Arial" w:cs="Arial"/>
        </w:rPr>
        <w:t xml:space="preserve"> The consultant findings in these areas </w:t>
      </w:r>
      <w:r w:rsidR="002622E9">
        <w:rPr>
          <w:rFonts w:ascii="Arial" w:hAnsi="Arial" w:cs="Arial"/>
        </w:rPr>
        <w:t>were</w:t>
      </w:r>
      <w:r w:rsidR="00832DD7">
        <w:rPr>
          <w:rFonts w:ascii="Arial" w:hAnsi="Arial" w:cs="Arial"/>
        </w:rPr>
        <w:t xml:space="preserve"> informed by interviews with railroad companies and out-of-</w:t>
      </w:r>
      <w:r w:rsidR="002622E9">
        <w:rPr>
          <w:rFonts w:ascii="Arial" w:hAnsi="Arial" w:cs="Arial"/>
        </w:rPr>
        <w:t>c</w:t>
      </w:r>
      <w:r w:rsidR="00832DD7">
        <w:rPr>
          <w:rFonts w:ascii="Arial" w:hAnsi="Arial" w:cs="Arial"/>
        </w:rPr>
        <w:t xml:space="preserve">ounty landfill operators and </w:t>
      </w:r>
      <w:r w:rsidR="002622E9">
        <w:rPr>
          <w:rFonts w:ascii="Arial" w:hAnsi="Arial" w:cs="Arial"/>
        </w:rPr>
        <w:t>they are</w:t>
      </w:r>
      <w:r w:rsidR="00C65C02">
        <w:rPr>
          <w:rFonts w:ascii="Arial" w:hAnsi="Arial" w:cs="Arial"/>
        </w:rPr>
        <w:t xml:space="preserve"> summarized in the subsections below.</w:t>
      </w:r>
    </w:p>
    <w:p w14:paraId="60F9C71D" w14:textId="69587DBF" w:rsidR="00066E37" w:rsidRDefault="00066E37" w:rsidP="003169E3">
      <w:pPr>
        <w:jc w:val="both"/>
        <w:rPr>
          <w:rFonts w:ascii="Arial" w:hAnsi="Arial" w:cs="Arial"/>
          <w:b/>
        </w:rPr>
      </w:pPr>
    </w:p>
    <w:p w14:paraId="4E05FAB5" w14:textId="530E7DC6" w:rsidR="002622E9" w:rsidRDefault="004F1B50" w:rsidP="003F4F77">
      <w:pPr>
        <w:jc w:val="both"/>
        <w:rPr>
          <w:rFonts w:ascii="Arial" w:hAnsi="Arial" w:cs="Arial"/>
          <w:sz w:val="20"/>
        </w:rPr>
      </w:pPr>
      <w:r>
        <w:rPr>
          <w:rFonts w:ascii="Arial" w:hAnsi="Arial" w:cs="Arial"/>
          <w:i/>
        </w:rPr>
        <w:t>Costs and Financing Options</w:t>
      </w:r>
      <w:r w:rsidR="000E3590">
        <w:rPr>
          <w:rFonts w:ascii="Arial" w:hAnsi="Arial" w:cs="Arial"/>
          <w:i/>
        </w:rPr>
        <w:t>.</w:t>
      </w:r>
      <w:r w:rsidR="003F4F77">
        <w:rPr>
          <w:rFonts w:ascii="Arial" w:hAnsi="Arial" w:cs="Arial"/>
          <w:i/>
        </w:rPr>
        <w:t xml:space="preserve"> </w:t>
      </w:r>
      <w:r w:rsidR="002622E9">
        <w:rPr>
          <w:rFonts w:ascii="Arial" w:hAnsi="Arial" w:cs="Arial"/>
        </w:rPr>
        <w:t xml:space="preserve">Table </w:t>
      </w:r>
      <w:r w:rsidR="00B84499">
        <w:rPr>
          <w:rFonts w:ascii="Arial" w:hAnsi="Arial" w:cs="Arial"/>
        </w:rPr>
        <w:t>9</w:t>
      </w:r>
      <w:r w:rsidR="002622E9">
        <w:rPr>
          <w:rFonts w:ascii="Arial" w:hAnsi="Arial" w:cs="Arial"/>
        </w:rPr>
        <w:t xml:space="preserve"> provides the estimated total cost and average cost per ton for both the high and low bound waste forecasts. In the table, total cost includes capital and operating costs, but does not include some departmental costs, which are assumed to be the same for both options. The average cost per ton refers to the average over the described period (e.g., 10-Year Term). Executive staff indicate that the following departmental costs are not included: capital improvements at the recycling and transfer stations, transfer operations, recycling transportation, recycling programs, post-closure maintenance at closed landfills, and support services.</w:t>
      </w:r>
    </w:p>
    <w:p w14:paraId="450438DB" w14:textId="77777777" w:rsidR="002622E9" w:rsidRDefault="002622E9" w:rsidP="007464C1">
      <w:pPr>
        <w:jc w:val="both"/>
        <w:rPr>
          <w:rFonts w:ascii="Arial" w:hAnsi="Arial" w:cs="Arial"/>
        </w:rPr>
      </w:pPr>
    </w:p>
    <w:p w14:paraId="5994B148" w14:textId="77777777" w:rsidR="007464C1" w:rsidRDefault="007464C1" w:rsidP="007464C1">
      <w:pPr>
        <w:jc w:val="both"/>
        <w:rPr>
          <w:rFonts w:ascii="Arial" w:hAnsi="Arial" w:cs="Arial"/>
        </w:rPr>
      </w:pPr>
    </w:p>
    <w:p w14:paraId="7E4C168F" w14:textId="74E9EE66" w:rsidR="002443D3" w:rsidRDefault="007464C1" w:rsidP="002443D3">
      <w:pPr>
        <w:jc w:val="center"/>
        <w:rPr>
          <w:rFonts w:ascii="Arial" w:hAnsi="Arial" w:cs="Arial"/>
          <w:b/>
        </w:rPr>
      </w:pPr>
      <w:r>
        <w:rPr>
          <w:rFonts w:ascii="Arial" w:hAnsi="Arial" w:cs="Arial"/>
          <w:b/>
        </w:rPr>
        <w:t xml:space="preserve">Table </w:t>
      </w:r>
      <w:r w:rsidR="00B84499">
        <w:rPr>
          <w:rFonts w:ascii="Arial" w:hAnsi="Arial" w:cs="Arial"/>
          <w:b/>
        </w:rPr>
        <w:t>9</w:t>
      </w:r>
      <w:r>
        <w:rPr>
          <w:rFonts w:ascii="Arial" w:hAnsi="Arial" w:cs="Arial"/>
          <w:b/>
        </w:rPr>
        <w:t xml:space="preserve">. </w:t>
      </w:r>
      <w:r w:rsidR="002443D3">
        <w:rPr>
          <w:rFonts w:ascii="Arial" w:hAnsi="Arial" w:cs="Arial"/>
          <w:b/>
        </w:rPr>
        <w:t xml:space="preserve">Estimated Total Cost and Average Cost per Ton for Waste Export by Rail </w:t>
      </w:r>
    </w:p>
    <w:p w14:paraId="212D8F63" w14:textId="410F2D5D" w:rsidR="007464C1" w:rsidRDefault="007464C1" w:rsidP="007464C1">
      <w:pPr>
        <w:jc w:val="center"/>
        <w:rPr>
          <w:rFonts w:ascii="Arial" w:hAnsi="Arial" w:cs="Arial"/>
          <w:b/>
        </w:rPr>
      </w:pPr>
    </w:p>
    <w:tbl>
      <w:tblPr>
        <w:tblW w:w="9472" w:type="dxa"/>
        <w:jc w:val="center"/>
        <w:tblLayout w:type="fixed"/>
        <w:tblLook w:val="04A0" w:firstRow="1" w:lastRow="0" w:firstColumn="1" w:lastColumn="0" w:noHBand="0" w:noVBand="1"/>
      </w:tblPr>
      <w:tblGrid>
        <w:gridCol w:w="2846"/>
        <w:gridCol w:w="2048"/>
        <w:gridCol w:w="1526"/>
        <w:gridCol w:w="1526"/>
        <w:gridCol w:w="1526"/>
      </w:tblGrid>
      <w:tr w:rsidR="007464C1" w:rsidRPr="004B445C" w14:paraId="0AC9498E" w14:textId="77777777" w:rsidTr="000E1BCC">
        <w:trPr>
          <w:trHeight w:val="525"/>
          <w:tblHeader/>
          <w:jc w:val="center"/>
        </w:trPr>
        <w:tc>
          <w:tcPr>
            <w:tcW w:w="2846" w:type="dxa"/>
            <w:tcBorders>
              <w:top w:val="single" w:sz="4" w:space="0" w:color="auto"/>
              <w:left w:val="single" w:sz="4" w:space="0" w:color="auto"/>
              <w:bottom w:val="single" w:sz="4" w:space="0" w:color="auto"/>
              <w:right w:val="single" w:sz="4" w:space="0" w:color="auto"/>
            </w:tcBorders>
            <w:shd w:val="clear" w:color="000000" w:fill="000000"/>
            <w:vAlign w:val="bottom"/>
          </w:tcPr>
          <w:p w14:paraId="4B98946B" w14:textId="77777777" w:rsidR="007464C1" w:rsidRPr="004B445C" w:rsidRDefault="007464C1" w:rsidP="007D74D4">
            <w:pPr>
              <w:rPr>
                <w:rFonts w:ascii="Arial" w:hAnsi="Arial" w:cs="Arial"/>
                <w:b/>
                <w:bCs/>
                <w:color w:val="FFFFFF"/>
                <w:sz w:val="22"/>
                <w:szCs w:val="22"/>
              </w:rPr>
            </w:pPr>
            <w:r>
              <w:rPr>
                <w:rFonts w:ascii="Arial" w:hAnsi="Arial" w:cs="Arial"/>
                <w:b/>
                <w:bCs/>
                <w:color w:val="FFFFFF"/>
                <w:sz w:val="22"/>
                <w:szCs w:val="22"/>
              </w:rPr>
              <w:t>Facility Sizing Option</w:t>
            </w:r>
          </w:p>
        </w:tc>
        <w:tc>
          <w:tcPr>
            <w:tcW w:w="2048" w:type="dxa"/>
            <w:tcBorders>
              <w:top w:val="single" w:sz="4" w:space="0" w:color="auto"/>
              <w:left w:val="single" w:sz="4" w:space="0" w:color="auto"/>
              <w:bottom w:val="single" w:sz="4" w:space="0" w:color="auto"/>
              <w:right w:val="single" w:sz="4" w:space="0" w:color="auto"/>
            </w:tcBorders>
            <w:shd w:val="clear" w:color="000000" w:fill="000000"/>
            <w:vAlign w:val="bottom"/>
          </w:tcPr>
          <w:p w14:paraId="3782A044" w14:textId="57641465" w:rsidR="007464C1" w:rsidRDefault="00560096" w:rsidP="00365B86">
            <w:pPr>
              <w:jc w:val="center"/>
              <w:rPr>
                <w:rFonts w:ascii="Arial" w:hAnsi="Arial" w:cs="Arial"/>
                <w:b/>
                <w:bCs/>
                <w:color w:val="FFFFFF"/>
                <w:sz w:val="22"/>
                <w:szCs w:val="22"/>
              </w:rPr>
            </w:pPr>
            <w:r>
              <w:rPr>
                <w:rFonts w:ascii="Arial" w:hAnsi="Arial" w:cs="Arial"/>
                <w:b/>
                <w:bCs/>
                <w:color w:val="FFFFFF"/>
                <w:sz w:val="22"/>
                <w:szCs w:val="22"/>
              </w:rPr>
              <w:t>Cost Type</w:t>
            </w:r>
          </w:p>
        </w:tc>
        <w:tc>
          <w:tcPr>
            <w:tcW w:w="1526"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294B30EA" w14:textId="77777777" w:rsidR="007464C1" w:rsidRPr="004B445C" w:rsidRDefault="007464C1" w:rsidP="007D74D4">
            <w:pPr>
              <w:jc w:val="center"/>
              <w:rPr>
                <w:rFonts w:ascii="Arial" w:hAnsi="Arial" w:cs="Arial"/>
                <w:b/>
                <w:bCs/>
                <w:color w:val="FFFFFF"/>
                <w:sz w:val="22"/>
                <w:szCs w:val="22"/>
              </w:rPr>
            </w:pPr>
            <w:r>
              <w:rPr>
                <w:rFonts w:ascii="Arial" w:hAnsi="Arial" w:cs="Arial"/>
                <w:b/>
                <w:bCs/>
                <w:color w:val="FFFFFF"/>
                <w:sz w:val="22"/>
                <w:szCs w:val="22"/>
              </w:rPr>
              <w:t>10-Year Term</w:t>
            </w:r>
          </w:p>
        </w:tc>
        <w:tc>
          <w:tcPr>
            <w:tcW w:w="1526" w:type="dxa"/>
            <w:tcBorders>
              <w:top w:val="single" w:sz="4" w:space="0" w:color="auto"/>
              <w:left w:val="nil"/>
              <w:bottom w:val="single" w:sz="4" w:space="0" w:color="auto"/>
              <w:right w:val="single" w:sz="4" w:space="0" w:color="auto"/>
            </w:tcBorders>
            <w:shd w:val="clear" w:color="000000" w:fill="000000"/>
            <w:vAlign w:val="center"/>
            <w:hideMark/>
          </w:tcPr>
          <w:p w14:paraId="44A03D2D" w14:textId="77777777" w:rsidR="007464C1" w:rsidRPr="004B445C" w:rsidRDefault="007464C1" w:rsidP="007D74D4">
            <w:pPr>
              <w:jc w:val="center"/>
              <w:rPr>
                <w:rFonts w:ascii="Arial" w:hAnsi="Arial" w:cs="Arial"/>
                <w:bCs/>
                <w:color w:val="FFFFFF"/>
                <w:sz w:val="22"/>
                <w:szCs w:val="22"/>
              </w:rPr>
            </w:pPr>
            <w:r>
              <w:rPr>
                <w:rFonts w:ascii="Arial" w:hAnsi="Arial" w:cs="Arial"/>
                <w:b/>
                <w:bCs/>
                <w:color w:val="FFFFFF"/>
                <w:sz w:val="22"/>
                <w:szCs w:val="22"/>
              </w:rPr>
              <w:t>20-Year Term</w:t>
            </w:r>
          </w:p>
        </w:tc>
        <w:tc>
          <w:tcPr>
            <w:tcW w:w="1526" w:type="dxa"/>
            <w:tcBorders>
              <w:top w:val="single" w:sz="4" w:space="0" w:color="auto"/>
              <w:left w:val="nil"/>
              <w:bottom w:val="single" w:sz="4" w:space="0" w:color="auto"/>
              <w:right w:val="single" w:sz="4" w:space="0" w:color="auto"/>
            </w:tcBorders>
            <w:shd w:val="clear" w:color="000000" w:fill="000000"/>
            <w:vAlign w:val="center"/>
          </w:tcPr>
          <w:p w14:paraId="5257BBB7" w14:textId="77777777" w:rsidR="007464C1" w:rsidRDefault="007464C1" w:rsidP="007D74D4">
            <w:pPr>
              <w:jc w:val="center"/>
              <w:rPr>
                <w:rFonts w:ascii="Arial" w:hAnsi="Arial" w:cs="Arial"/>
                <w:b/>
                <w:bCs/>
                <w:color w:val="FFFFFF"/>
                <w:sz w:val="22"/>
                <w:szCs w:val="22"/>
              </w:rPr>
            </w:pPr>
            <w:r>
              <w:rPr>
                <w:rFonts w:ascii="Arial" w:hAnsi="Arial" w:cs="Arial"/>
                <w:b/>
                <w:bCs/>
                <w:color w:val="FFFFFF"/>
                <w:sz w:val="22"/>
                <w:szCs w:val="22"/>
              </w:rPr>
              <w:t>50-Year Term</w:t>
            </w:r>
          </w:p>
        </w:tc>
      </w:tr>
      <w:tr w:rsidR="007464C1" w:rsidRPr="004B445C" w14:paraId="10489DF7" w14:textId="77777777" w:rsidTr="000E1BCC">
        <w:trPr>
          <w:trHeight w:val="300"/>
          <w:jc w:val="center"/>
        </w:trPr>
        <w:tc>
          <w:tcPr>
            <w:tcW w:w="2846" w:type="dxa"/>
            <w:vMerge w:val="restart"/>
            <w:tcBorders>
              <w:top w:val="single" w:sz="4" w:space="0" w:color="auto"/>
              <w:left w:val="single" w:sz="4" w:space="0" w:color="auto"/>
              <w:bottom w:val="single" w:sz="4" w:space="0" w:color="auto"/>
              <w:right w:val="single" w:sz="4" w:space="0" w:color="auto"/>
            </w:tcBorders>
            <w:vAlign w:val="center"/>
          </w:tcPr>
          <w:p w14:paraId="6717798A" w14:textId="04A218A3" w:rsidR="007464C1" w:rsidRDefault="006E4C85" w:rsidP="007D74D4">
            <w:pPr>
              <w:rPr>
                <w:rFonts w:ascii="Arial" w:hAnsi="Arial" w:cs="Arial"/>
                <w:b/>
                <w:color w:val="000000"/>
                <w:sz w:val="22"/>
                <w:szCs w:val="22"/>
              </w:rPr>
            </w:pPr>
            <w:r>
              <w:rPr>
                <w:rFonts w:ascii="Arial" w:hAnsi="Arial" w:cs="Arial"/>
                <w:b/>
                <w:color w:val="000000"/>
                <w:sz w:val="22"/>
                <w:szCs w:val="22"/>
              </w:rPr>
              <w:t>Waste Export by Rail – Low Bound Forecast</w:t>
            </w:r>
          </w:p>
        </w:tc>
        <w:tc>
          <w:tcPr>
            <w:tcW w:w="2048" w:type="dxa"/>
            <w:tcBorders>
              <w:top w:val="single" w:sz="4" w:space="0" w:color="auto"/>
              <w:left w:val="single" w:sz="4" w:space="0" w:color="auto"/>
              <w:bottom w:val="single" w:sz="4" w:space="0" w:color="auto"/>
              <w:right w:val="single" w:sz="4" w:space="0" w:color="auto"/>
            </w:tcBorders>
            <w:vAlign w:val="center"/>
          </w:tcPr>
          <w:p w14:paraId="0A9EA2BD" w14:textId="2353EA2E" w:rsidR="007464C1" w:rsidRDefault="007464C1" w:rsidP="00365B86">
            <w:pPr>
              <w:rPr>
                <w:rFonts w:ascii="Arial" w:hAnsi="Arial" w:cs="Arial"/>
                <w:color w:val="000000"/>
                <w:sz w:val="22"/>
                <w:szCs w:val="22"/>
              </w:rPr>
            </w:pPr>
            <w:r>
              <w:rPr>
                <w:rFonts w:ascii="Arial" w:hAnsi="Arial" w:cs="Arial"/>
                <w:color w:val="000000"/>
                <w:sz w:val="22"/>
                <w:szCs w:val="22"/>
              </w:rPr>
              <w:t>Total Cost</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D5ECF4" w14:textId="50659387" w:rsidR="007464C1" w:rsidRDefault="007C7288" w:rsidP="007D74D4">
            <w:pPr>
              <w:jc w:val="center"/>
              <w:rPr>
                <w:rFonts w:ascii="Arial" w:hAnsi="Arial" w:cs="Arial"/>
                <w:color w:val="000000"/>
                <w:sz w:val="22"/>
                <w:szCs w:val="22"/>
              </w:rPr>
            </w:pPr>
            <w:r>
              <w:rPr>
                <w:rFonts w:ascii="Arial" w:hAnsi="Arial" w:cs="Arial"/>
                <w:color w:val="000000"/>
                <w:sz w:val="22"/>
                <w:szCs w:val="22"/>
              </w:rPr>
              <w:t>$</w:t>
            </w:r>
            <w:r w:rsidR="00D95C89">
              <w:rPr>
                <w:rFonts w:ascii="Arial" w:hAnsi="Arial" w:cs="Arial"/>
                <w:color w:val="000000"/>
                <w:sz w:val="22"/>
                <w:szCs w:val="22"/>
              </w:rPr>
              <w:t>1.03 billion</w:t>
            </w:r>
          </w:p>
        </w:tc>
        <w:tc>
          <w:tcPr>
            <w:tcW w:w="1526" w:type="dxa"/>
            <w:tcBorders>
              <w:top w:val="single" w:sz="4" w:space="0" w:color="auto"/>
              <w:left w:val="nil"/>
              <w:bottom w:val="single" w:sz="4" w:space="0" w:color="auto"/>
              <w:right w:val="single" w:sz="4" w:space="0" w:color="auto"/>
            </w:tcBorders>
            <w:shd w:val="clear" w:color="auto" w:fill="auto"/>
            <w:noWrap/>
            <w:vAlign w:val="center"/>
          </w:tcPr>
          <w:p w14:paraId="63EFFA45" w14:textId="681F1B39" w:rsidR="007464C1" w:rsidRPr="004B445C" w:rsidRDefault="00D95C89" w:rsidP="007D74D4">
            <w:pPr>
              <w:jc w:val="center"/>
              <w:rPr>
                <w:rFonts w:ascii="Arial" w:hAnsi="Arial" w:cs="Arial"/>
                <w:bCs/>
                <w:color w:val="000000"/>
                <w:sz w:val="22"/>
                <w:szCs w:val="22"/>
              </w:rPr>
            </w:pPr>
            <w:r>
              <w:rPr>
                <w:rFonts w:ascii="Arial" w:hAnsi="Arial" w:cs="Arial"/>
                <w:bCs/>
                <w:color w:val="000000"/>
                <w:sz w:val="22"/>
                <w:szCs w:val="22"/>
              </w:rPr>
              <w:t>$2.42 billion</w:t>
            </w:r>
          </w:p>
        </w:tc>
        <w:tc>
          <w:tcPr>
            <w:tcW w:w="1526" w:type="dxa"/>
            <w:tcBorders>
              <w:top w:val="single" w:sz="4" w:space="0" w:color="auto"/>
              <w:left w:val="nil"/>
              <w:bottom w:val="single" w:sz="4" w:space="0" w:color="auto"/>
              <w:right w:val="single" w:sz="4" w:space="0" w:color="auto"/>
            </w:tcBorders>
            <w:vAlign w:val="center"/>
          </w:tcPr>
          <w:p w14:paraId="08611AAA" w14:textId="1B5646B2" w:rsidR="007464C1" w:rsidRDefault="00D95C89" w:rsidP="007D74D4">
            <w:pPr>
              <w:jc w:val="center"/>
              <w:rPr>
                <w:rFonts w:ascii="Arial" w:hAnsi="Arial" w:cs="Arial"/>
                <w:bCs/>
                <w:color w:val="000000"/>
                <w:sz w:val="22"/>
                <w:szCs w:val="22"/>
              </w:rPr>
            </w:pPr>
            <w:r>
              <w:rPr>
                <w:rFonts w:ascii="Arial" w:hAnsi="Arial" w:cs="Arial"/>
                <w:bCs/>
                <w:color w:val="000000"/>
                <w:sz w:val="22"/>
                <w:szCs w:val="22"/>
              </w:rPr>
              <w:t>$11.25 billion</w:t>
            </w:r>
          </w:p>
        </w:tc>
      </w:tr>
      <w:tr w:rsidR="007464C1" w:rsidRPr="004B445C" w14:paraId="2216927B" w14:textId="77777777" w:rsidTr="000E1BCC">
        <w:trPr>
          <w:trHeight w:val="300"/>
          <w:jc w:val="center"/>
        </w:trPr>
        <w:tc>
          <w:tcPr>
            <w:tcW w:w="2846" w:type="dxa"/>
            <w:vMerge/>
            <w:tcBorders>
              <w:top w:val="single" w:sz="4" w:space="0" w:color="auto"/>
              <w:left w:val="single" w:sz="4" w:space="0" w:color="auto"/>
              <w:bottom w:val="single" w:sz="4" w:space="0" w:color="auto"/>
              <w:right w:val="single" w:sz="4" w:space="0" w:color="auto"/>
            </w:tcBorders>
            <w:vAlign w:val="center"/>
          </w:tcPr>
          <w:p w14:paraId="4CE0B4AB" w14:textId="77777777" w:rsidR="007464C1" w:rsidRDefault="007464C1" w:rsidP="007D74D4">
            <w:pPr>
              <w:rPr>
                <w:rFonts w:ascii="Arial" w:hAnsi="Arial" w:cs="Arial"/>
                <w:color w:val="000000"/>
                <w:sz w:val="22"/>
                <w:szCs w:val="22"/>
              </w:rPr>
            </w:pPr>
          </w:p>
        </w:tc>
        <w:tc>
          <w:tcPr>
            <w:tcW w:w="2048" w:type="dxa"/>
            <w:tcBorders>
              <w:top w:val="single" w:sz="4" w:space="0" w:color="auto"/>
              <w:left w:val="single" w:sz="4" w:space="0" w:color="auto"/>
              <w:bottom w:val="single" w:sz="4" w:space="0" w:color="auto"/>
              <w:right w:val="single" w:sz="4" w:space="0" w:color="auto"/>
            </w:tcBorders>
            <w:vAlign w:val="center"/>
          </w:tcPr>
          <w:p w14:paraId="637FD6D7" w14:textId="77777777" w:rsidR="007464C1" w:rsidRDefault="007464C1" w:rsidP="00365B86">
            <w:pPr>
              <w:rPr>
                <w:rFonts w:ascii="Arial" w:hAnsi="Arial" w:cs="Arial"/>
                <w:color w:val="000000"/>
                <w:sz w:val="22"/>
                <w:szCs w:val="22"/>
              </w:rPr>
            </w:pPr>
            <w:r>
              <w:rPr>
                <w:rFonts w:ascii="Arial" w:hAnsi="Arial" w:cs="Arial"/>
                <w:color w:val="000000"/>
                <w:sz w:val="22"/>
                <w:szCs w:val="22"/>
              </w:rPr>
              <w:t>Average Cost Per Ton</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61E453" w14:textId="08FE6852" w:rsidR="007464C1" w:rsidRPr="00E46D9C" w:rsidRDefault="00D95C89" w:rsidP="007D74D4">
            <w:pPr>
              <w:jc w:val="center"/>
              <w:rPr>
                <w:rFonts w:ascii="Arial" w:hAnsi="Arial" w:cs="Arial"/>
                <w:color w:val="000000"/>
                <w:sz w:val="22"/>
                <w:szCs w:val="22"/>
              </w:rPr>
            </w:pPr>
            <w:r>
              <w:rPr>
                <w:rFonts w:ascii="Arial" w:hAnsi="Arial" w:cs="Arial"/>
                <w:color w:val="000000"/>
                <w:sz w:val="22"/>
                <w:szCs w:val="22"/>
              </w:rPr>
              <w:t>$109.94</w:t>
            </w:r>
          </w:p>
        </w:tc>
        <w:tc>
          <w:tcPr>
            <w:tcW w:w="1526" w:type="dxa"/>
            <w:tcBorders>
              <w:top w:val="single" w:sz="4" w:space="0" w:color="auto"/>
              <w:left w:val="nil"/>
              <w:bottom w:val="single" w:sz="4" w:space="0" w:color="auto"/>
              <w:right w:val="single" w:sz="4" w:space="0" w:color="auto"/>
            </w:tcBorders>
            <w:shd w:val="clear" w:color="auto" w:fill="auto"/>
            <w:noWrap/>
            <w:vAlign w:val="center"/>
          </w:tcPr>
          <w:p w14:paraId="58812568" w14:textId="43BFDDA8" w:rsidR="007464C1" w:rsidRPr="004B445C" w:rsidRDefault="00D95C89" w:rsidP="007D74D4">
            <w:pPr>
              <w:jc w:val="center"/>
              <w:rPr>
                <w:rFonts w:ascii="Arial" w:hAnsi="Arial" w:cs="Arial"/>
                <w:bCs/>
                <w:color w:val="000000"/>
                <w:sz w:val="22"/>
                <w:szCs w:val="22"/>
              </w:rPr>
            </w:pPr>
            <w:r>
              <w:rPr>
                <w:rFonts w:ascii="Arial" w:hAnsi="Arial" w:cs="Arial"/>
                <w:bCs/>
                <w:color w:val="000000"/>
                <w:sz w:val="22"/>
                <w:szCs w:val="22"/>
              </w:rPr>
              <w:t>$126.35</w:t>
            </w:r>
          </w:p>
        </w:tc>
        <w:tc>
          <w:tcPr>
            <w:tcW w:w="1526" w:type="dxa"/>
            <w:tcBorders>
              <w:top w:val="single" w:sz="4" w:space="0" w:color="auto"/>
              <w:left w:val="nil"/>
              <w:bottom w:val="single" w:sz="4" w:space="0" w:color="auto"/>
              <w:right w:val="single" w:sz="4" w:space="0" w:color="auto"/>
            </w:tcBorders>
            <w:vAlign w:val="center"/>
          </w:tcPr>
          <w:p w14:paraId="6D84FE24" w14:textId="24DB73D7" w:rsidR="007464C1" w:rsidRDefault="00D95C89" w:rsidP="007D74D4">
            <w:pPr>
              <w:jc w:val="center"/>
              <w:rPr>
                <w:rFonts w:ascii="Arial" w:hAnsi="Arial" w:cs="Arial"/>
                <w:bCs/>
                <w:color w:val="000000"/>
                <w:sz w:val="22"/>
                <w:szCs w:val="22"/>
              </w:rPr>
            </w:pPr>
            <w:r>
              <w:rPr>
                <w:rFonts w:ascii="Arial" w:hAnsi="Arial" w:cs="Arial"/>
                <w:bCs/>
                <w:color w:val="000000"/>
                <w:sz w:val="22"/>
                <w:szCs w:val="22"/>
              </w:rPr>
              <w:t>$215.15</w:t>
            </w:r>
          </w:p>
        </w:tc>
      </w:tr>
      <w:tr w:rsidR="007464C1" w:rsidRPr="004B445C" w14:paraId="121118EA" w14:textId="77777777" w:rsidTr="000E1BCC">
        <w:trPr>
          <w:trHeight w:val="300"/>
          <w:jc w:val="center"/>
        </w:trPr>
        <w:tc>
          <w:tcPr>
            <w:tcW w:w="2846" w:type="dxa"/>
            <w:vMerge w:val="restart"/>
            <w:tcBorders>
              <w:top w:val="single" w:sz="4" w:space="0" w:color="auto"/>
              <w:left w:val="single" w:sz="4" w:space="0" w:color="auto"/>
              <w:bottom w:val="single" w:sz="4" w:space="0" w:color="auto"/>
              <w:right w:val="single" w:sz="4" w:space="0" w:color="auto"/>
            </w:tcBorders>
            <w:vAlign w:val="center"/>
          </w:tcPr>
          <w:p w14:paraId="56FE45A2" w14:textId="1C959943" w:rsidR="007464C1" w:rsidRDefault="006E4C85" w:rsidP="007D74D4">
            <w:pPr>
              <w:rPr>
                <w:rFonts w:ascii="Arial" w:hAnsi="Arial" w:cs="Arial"/>
                <w:b/>
                <w:color w:val="000000"/>
                <w:sz w:val="22"/>
                <w:szCs w:val="22"/>
              </w:rPr>
            </w:pPr>
            <w:r>
              <w:rPr>
                <w:rFonts w:ascii="Arial" w:hAnsi="Arial" w:cs="Arial"/>
                <w:b/>
                <w:color w:val="000000"/>
                <w:sz w:val="22"/>
                <w:szCs w:val="22"/>
              </w:rPr>
              <w:t>Waste Export by Rail – High Bound Forecast</w:t>
            </w:r>
          </w:p>
        </w:tc>
        <w:tc>
          <w:tcPr>
            <w:tcW w:w="2048" w:type="dxa"/>
            <w:tcBorders>
              <w:top w:val="single" w:sz="4" w:space="0" w:color="auto"/>
              <w:left w:val="single" w:sz="4" w:space="0" w:color="auto"/>
              <w:bottom w:val="single" w:sz="4" w:space="0" w:color="auto"/>
              <w:right w:val="single" w:sz="4" w:space="0" w:color="auto"/>
            </w:tcBorders>
            <w:vAlign w:val="center"/>
          </w:tcPr>
          <w:p w14:paraId="73C24698" w14:textId="654BB9A8" w:rsidR="007464C1" w:rsidRDefault="007464C1" w:rsidP="00365B86">
            <w:pPr>
              <w:rPr>
                <w:rFonts w:ascii="Arial" w:hAnsi="Arial" w:cs="Arial"/>
                <w:color w:val="000000"/>
                <w:sz w:val="22"/>
                <w:szCs w:val="22"/>
              </w:rPr>
            </w:pPr>
            <w:r>
              <w:rPr>
                <w:rFonts w:ascii="Arial" w:hAnsi="Arial" w:cs="Arial"/>
                <w:color w:val="000000"/>
                <w:sz w:val="22"/>
                <w:szCs w:val="22"/>
              </w:rPr>
              <w:t>Total Cost</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1B20E3" w14:textId="72930A7E" w:rsidR="007464C1" w:rsidRDefault="00D95C89" w:rsidP="007D74D4">
            <w:pPr>
              <w:jc w:val="center"/>
              <w:rPr>
                <w:rFonts w:ascii="Arial" w:hAnsi="Arial" w:cs="Arial"/>
                <w:color w:val="000000"/>
                <w:sz w:val="22"/>
                <w:szCs w:val="22"/>
              </w:rPr>
            </w:pPr>
            <w:r>
              <w:rPr>
                <w:rFonts w:ascii="Arial" w:hAnsi="Arial" w:cs="Arial"/>
                <w:color w:val="000000"/>
                <w:sz w:val="22"/>
                <w:szCs w:val="22"/>
              </w:rPr>
              <w:t>$</w:t>
            </w:r>
            <w:r w:rsidR="00612579">
              <w:rPr>
                <w:rFonts w:ascii="Arial" w:hAnsi="Arial" w:cs="Arial"/>
                <w:color w:val="000000"/>
                <w:sz w:val="22"/>
                <w:szCs w:val="22"/>
              </w:rPr>
              <w:t>1.36 billion</w:t>
            </w:r>
          </w:p>
        </w:tc>
        <w:tc>
          <w:tcPr>
            <w:tcW w:w="1526" w:type="dxa"/>
            <w:tcBorders>
              <w:top w:val="single" w:sz="4" w:space="0" w:color="auto"/>
              <w:left w:val="nil"/>
              <w:bottom w:val="single" w:sz="4" w:space="0" w:color="auto"/>
              <w:right w:val="single" w:sz="4" w:space="0" w:color="auto"/>
            </w:tcBorders>
            <w:shd w:val="clear" w:color="auto" w:fill="auto"/>
            <w:noWrap/>
            <w:vAlign w:val="center"/>
          </w:tcPr>
          <w:p w14:paraId="4EC9A56A" w14:textId="47F9A79C" w:rsidR="007464C1" w:rsidRPr="004B445C" w:rsidRDefault="00612579" w:rsidP="007D74D4">
            <w:pPr>
              <w:jc w:val="center"/>
              <w:rPr>
                <w:rFonts w:ascii="Arial" w:hAnsi="Arial" w:cs="Arial"/>
                <w:bCs/>
                <w:color w:val="000000"/>
                <w:sz w:val="22"/>
                <w:szCs w:val="22"/>
              </w:rPr>
            </w:pPr>
            <w:r>
              <w:rPr>
                <w:rFonts w:ascii="Arial" w:hAnsi="Arial" w:cs="Arial"/>
                <w:bCs/>
                <w:color w:val="000000"/>
                <w:sz w:val="22"/>
                <w:szCs w:val="22"/>
              </w:rPr>
              <w:t>$3.38 billion</w:t>
            </w:r>
          </w:p>
        </w:tc>
        <w:tc>
          <w:tcPr>
            <w:tcW w:w="1526" w:type="dxa"/>
            <w:tcBorders>
              <w:top w:val="single" w:sz="4" w:space="0" w:color="auto"/>
              <w:left w:val="nil"/>
              <w:bottom w:val="single" w:sz="4" w:space="0" w:color="auto"/>
              <w:right w:val="single" w:sz="4" w:space="0" w:color="auto"/>
            </w:tcBorders>
            <w:vAlign w:val="center"/>
          </w:tcPr>
          <w:p w14:paraId="28DBC494" w14:textId="746AD65B" w:rsidR="007464C1" w:rsidRPr="004B445C" w:rsidRDefault="00612579" w:rsidP="007D74D4">
            <w:pPr>
              <w:jc w:val="center"/>
              <w:rPr>
                <w:rFonts w:ascii="Arial" w:hAnsi="Arial" w:cs="Arial"/>
                <w:bCs/>
                <w:color w:val="000000"/>
                <w:sz w:val="22"/>
                <w:szCs w:val="22"/>
              </w:rPr>
            </w:pPr>
            <w:r>
              <w:rPr>
                <w:rFonts w:ascii="Arial" w:hAnsi="Arial" w:cs="Arial"/>
                <w:bCs/>
                <w:color w:val="000000"/>
                <w:sz w:val="22"/>
                <w:szCs w:val="22"/>
              </w:rPr>
              <w:t>$16.14 billion</w:t>
            </w:r>
          </w:p>
        </w:tc>
      </w:tr>
      <w:tr w:rsidR="007464C1" w:rsidRPr="004B445C" w14:paraId="50EF42DE" w14:textId="77777777" w:rsidTr="000E1BCC">
        <w:trPr>
          <w:trHeight w:val="300"/>
          <w:jc w:val="center"/>
        </w:trPr>
        <w:tc>
          <w:tcPr>
            <w:tcW w:w="2846" w:type="dxa"/>
            <w:vMerge/>
            <w:tcBorders>
              <w:top w:val="single" w:sz="4" w:space="0" w:color="auto"/>
              <w:left w:val="single" w:sz="4" w:space="0" w:color="auto"/>
              <w:bottom w:val="single" w:sz="4" w:space="0" w:color="auto"/>
              <w:right w:val="single" w:sz="4" w:space="0" w:color="auto"/>
            </w:tcBorders>
            <w:vAlign w:val="center"/>
          </w:tcPr>
          <w:p w14:paraId="34F596DC" w14:textId="77777777" w:rsidR="007464C1" w:rsidRDefault="007464C1" w:rsidP="007D74D4">
            <w:pPr>
              <w:rPr>
                <w:rFonts w:ascii="Arial" w:hAnsi="Arial" w:cs="Arial"/>
                <w:b/>
                <w:color w:val="000000"/>
                <w:sz w:val="22"/>
                <w:szCs w:val="22"/>
              </w:rPr>
            </w:pPr>
          </w:p>
        </w:tc>
        <w:tc>
          <w:tcPr>
            <w:tcW w:w="2048" w:type="dxa"/>
            <w:tcBorders>
              <w:top w:val="single" w:sz="4" w:space="0" w:color="auto"/>
              <w:left w:val="single" w:sz="4" w:space="0" w:color="auto"/>
              <w:bottom w:val="single" w:sz="4" w:space="0" w:color="auto"/>
              <w:right w:val="single" w:sz="4" w:space="0" w:color="auto"/>
            </w:tcBorders>
            <w:vAlign w:val="center"/>
          </w:tcPr>
          <w:p w14:paraId="4CA94532" w14:textId="77777777" w:rsidR="007464C1" w:rsidRPr="00186C9C" w:rsidRDefault="007464C1" w:rsidP="00365B86">
            <w:pPr>
              <w:rPr>
                <w:rFonts w:ascii="Arial" w:hAnsi="Arial" w:cs="Arial"/>
                <w:color w:val="000000"/>
                <w:sz w:val="22"/>
                <w:szCs w:val="22"/>
              </w:rPr>
            </w:pPr>
            <w:r>
              <w:rPr>
                <w:rFonts w:ascii="Arial" w:hAnsi="Arial" w:cs="Arial"/>
                <w:color w:val="000000"/>
                <w:sz w:val="22"/>
                <w:szCs w:val="22"/>
              </w:rPr>
              <w:t>Average Cost Per Ton</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D06FC0" w14:textId="66CBB616" w:rsidR="007464C1" w:rsidRPr="00186C9C" w:rsidRDefault="00612579" w:rsidP="007D74D4">
            <w:pPr>
              <w:jc w:val="center"/>
              <w:rPr>
                <w:rFonts w:ascii="Arial" w:hAnsi="Arial" w:cs="Arial"/>
                <w:color w:val="000000"/>
                <w:sz w:val="22"/>
                <w:szCs w:val="22"/>
              </w:rPr>
            </w:pPr>
            <w:r>
              <w:rPr>
                <w:rFonts w:ascii="Arial" w:hAnsi="Arial" w:cs="Arial"/>
                <w:color w:val="000000"/>
                <w:sz w:val="22"/>
                <w:szCs w:val="22"/>
              </w:rPr>
              <w:t>$110.25</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5BD166" w14:textId="2A728006" w:rsidR="007464C1" w:rsidRPr="004B445C" w:rsidRDefault="00612579" w:rsidP="007D74D4">
            <w:pPr>
              <w:jc w:val="center"/>
              <w:rPr>
                <w:rFonts w:ascii="Arial" w:hAnsi="Arial" w:cs="Arial"/>
                <w:bCs/>
                <w:color w:val="000000"/>
                <w:sz w:val="22"/>
                <w:szCs w:val="22"/>
              </w:rPr>
            </w:pPr>
            <w:r>
              <w:rPr>
                <w:rFonts w:ascii="Arial" w:hAnsi="Arial" w:cs="Arial"/>
                <w:bCs/>
                <w:color w:val="000000"/>
                <w:sz w:val="22"/>
                <w:szCs w:val="22"/>
              </w:rPr>
              <w:t>$127.19</w:t>
            </w:r>
          </w:p>
        </w:tc>
        <w:tc>
          <w:tcPr>
            <w:tcW w:w="1526" w:type="dxa"/>
            <w:tcBorders>
              <w:top w:val="single" w:sz="4" w:space="0" w:color="auto"/>
              <w:left w:val="single" w:sz="4" w:space="0" w:color="auto"/>
              <w:bottom w:val="single" w:sz="4" w:space="0" w:color="auto"/>
              <w:right w:val="single" w:sz="4" w:space="0" w:color="auto"/>
            </w:tcBorders>
            <w:vAlign w:val="center"/>
          </w:tcPr>
          <w:p w14:paraId="2C7CF5D2" w14:textId="46B356E1" w:rsidR="007464C1" w:rsidRPr="004B445C" w:rsidRDefault="00612579" w:rsidP="007D74D4">
            <w:pPr>
              <w:jc w:val="center"/>
              <w:rPr>
                <w:rFonts w:ascii="Arial" w:hAnsi="Arial" w:cs="Arial"/>
                <w:bCs/>
                <w:color w:val="000000"/>
                <w:sz w:val="22"/>
                <w:szCs w:val="22"/>
              </w:rPr>
            </w:pPr>
            <w:r>
              <w:rPr>
                <w:rFonts w:ascii="Arial" w:hAnsi="Arial" w:cs="Arial"/>
                <w:bCs/>
                <w:color w:val="000000"/>
                <w:sz w:val="22"/>
                <w:szCs w:val="22"/>
              </w:rPr>
              <w:t>$216.90</w:t>
            </w:r>
          </w:p>
        </w:tc>
      </w:tr>
    </w:tbl>
    <w:p w14:paraId="7F59807A" w14:textId="77777777" w:rsidR="007C7288" w:rsidRDefault="007C7288" w:rsidP="003169E3">
      <w:pPr>
        <w:jc w:val="both"/>
        <w:rPr>
          <w:rFonts w:ascii="Arial" w:hAnsi="Arial" w:cs="Arial"/>
          <w:i/>
        </w:rPr>
      </w:pPr>
    </w:p>
    <w:p w14:paraId="45BCC6B9" w14:textId="452F779F" w:rsidR="008C7729" w:rsidRDefault="00B40D0A" w:rsidP="003169E3">
      <w:pPr>
        <w:jc w:val="both"/>
        <w:rPr>
          <w:rFonts w:ascii="Arial" w:hAnsi="Arial" w:cs="Arial"/>
        </w:rPr>
      </w:pPr>
      <w:r>
        <w:rPr>
          <w:rFonts w:ascii="Arial" w:hAnsi="Arial" w:cs="Arial"/>
        </w:rPr>
        <w:t>The Feasibility Study notes that</w:t>
      </w:r>
      <w:r w:rsidR="00DE24F7">
        <w:rPr>
          <w:rFonts w:ascii="Arial" w:hAnsi="Arial" w:cs="Arial"/>
        </w:rPr>
        <w:t xml:space="preserve"> a waste export program would have four major cost components: (1) </w:t>
      </w:r>
      <w:r w:rsidR="008C7729">
        <w:rPr>
          <w:rFonts w:ascii="Arial" w:hAnsi="Arial" w:cs="Arial"/>
        </w:rPr>
        <w:t xml:space="preserve">construction of an intermodal facility (IMF) where </w:t>
      </w:r>
      <w:r w:rsidR="007001DB">
        <w:rPr>
          <w:rFonts w:ascii="Arial" w:hAnsi="Arial" w:cs="Arial"/>
        </w:rPr>
        <w:t xml:space="preserve">waste is trucked to the IMF and then is loaded onto rail cars; (2) transport of waste from the transfer stations to the IMF; (3) transport of waste by rail to the landfill; and (4) the disposal fee at the landfill. </w:t>
      </w:r>
    </w:p>
    <w:p w14:paraId="5AAF9C40" w14:textId="77777777" w:rsidR="008C7729" w:rsidRDefault="008C7729" w:rsidP="003169E3">
      <w:pPr>
        <w:jc w:val="both"/>
        <w:rPr>
          <w:rFonts w:ascii="Arial" w:hAnsi="Arial" w:cs="Arial"/>
        </w:rPr>
      </w:pPr>
    </w:p>
    <w:p w14:paraId="5C27A1EC" w14:textId="3A372859" w:rsidR="00C96F1E" w:rsidRDefault="00567BD0" w:rsidP="003169E3">
      <w:pPr>
        <w:jc w:val="both"/>
        <w:rPr>
          <w:rFonts w:ascii="Arial" w:hAnsi="Arial" w:cs="Arial"/>
        </w:rPr>
      </w:pPr>
      <w:r>
        <w:rPr>
          <w:rFonts w:ascii="Arial" w:hAnsi="Arial" w:cs="Arial"/>
        </w:rPr>
        <w:t>Executive staff indicate that</w:t>
      </w:r>
      <w:r w:rsidR="00151637">
        <w:rPr>
          <w:rFonts w:ascii="Arial" w:hAnsi="Arial" w:cs="Arial"/>
        </w:rPr>
        <w:t xml:space="preserve"> the financial model assumes </w:t>
      </w:r>
      <w:r w:rsidR="0061399C">
        <w:rPr>
          <w:rFonts w:ascii="Arial" w:hAnsi="Arial" w:cs="Arial"/>
        </w:rPr>
        <w:t>that current IMFs would not offer sufficient capacity to handle the County’s volume of waste, and therefore would be financed and constructed by the rail companies.</w:t>
      </w:r>
      <w:r w:rsidR="00B11496">
        <w:rPr>
          <w:rFonts w:ascii="Arial" w:hAnsi="Arial" w:cs="Arial"/>
        </w:rPr>
        <w:t xml:space="preserve"> Under the model, </w:t>
      </w:r>
      <w:r w:rsidR="00151637">
        <w:rPr>
          <w:rFonts w:ascii="Arial" w:hAnsi="Arial" w:cs="Arial"/>
        </w:rPr>
        <w:t>the rail companies would charge the County for these capital expenses in the per ton fee charged for waste export by rail.</w:t>
      </w:r>
      <w:r w:rsidR="004E54CE">
        <w:rPr>
          <w:rFonts w:ascii="Arial" w:hAnsi="Arial" w:cs="Arial"/>
        </w:rPr>
        <w:t xml:space="preserve"> The per ton f</w:t>
      </w:r>
      <w:r w:rsidR="00C36BB1">
        <w:rPr>
          <w:rFonts w:ascii="Arial" w:hAnsi="Arial" w:cs="Arial"/>
        </w:rPr>
        <w:t xml:space="preserve">ee </w:t>
      </w:r>
      <w:r w:rsidR="00AC7524">
        <w:rPr>
          <w:rFonts w:ascii="Arial" w:hAnsi="Arial" w:cs="Arial"/>
        </w:rPr>
        <w:t xml:space="preserve">related to IMF construction </w:t>
      </w:r>
      <w:r w:rsidR="00C36BB1">
        <w:rPr>
          <w:rFonts w:ascii="Arial" w:hAnsi="Arial" w:cs="Arial"/>
        </w:rPr>
        <w:t>is estimated at approximately $3.35 per ton</w:t>
      </w:r>
      <w:r w:rsidR="00E03C5E">
        <w:rPr>
          <w:rFonts w:ascii="Arial" w:hAnsi="Arial" w:cs="Arial"/>
        </w:rPr>
        <w:t xml:space="preserve"> over a ten-year period</w:t>
      </w:r>
      <w:r w:rsidR="00997B01">
        <w:rPr>
          <w:rFonts w:ascii="Arial" w:hAnsi="Arial" w:cs="Arial"/>
        </w:rPr>
        <w:t>, based on an estimated</w:t>
      </w:r>
      <w:r w:rsidR="002A3EAD">
        <w:rPr>
          <w:rFonts w:ascii="Arial" w:hAnsi="Arial" w:cs="Arial"/>
        </w:rPr>
        <w:t xml:space="preserve"> </w:t>
      </w:r>
      <w:r w:rsidR="00E03C5E">
        <w:rPr>
          <w:rFonts w:ascii="Arial" w:hAnsi="Arial" w:cs="Arial"/>
        </w:rPr>
        <w:t xml:space="preserve">construction cost of $5 million, </w:t>
      </w:r>
      <w:r w:rsidR="00B6592A">
        <w:rPr>
          <w:rFonts w:ascii="Arial" w:hAnsi="Arial" w:cs="Arial"/>
        </w:rPr>
        <w:t xml:space="preserve">estimated land acquisition cost of </w:t>
      </w:r>
      <w:r w:rsidR="00E03C5E">
        <w:rPr>
          <w:rFonts w:ascii="Arial" w:hAnsi="Arial" w:cs="Arial"/>
        </w:rPr>
        <w:t>$18 million</w:t>
      </w:r>
      <w:r w:rsidR="00474F17">
        <w:rPr>
          <w:rFonts w:ascii="Arial" w:hAnsi="Arial" w:cs="Arial"/>
        </w:rPr>
        <w:t xml:space="preserve"> for a 20-acre site, </w:t>
      </w:r>
      <w:r w:rsidR="00595F00">
        <w:rPr>
          <w:rFonts w:ascii="Arial" w:hAnsi="Arial" w:cs="Arial"/>
        </w:rPr>
        <w:t xml:space="preserve">and </w:t>
      </w:r>
      <w:r w:rsidR="00474F17">
        <w:rPr>
          <w:rFonts w:ascii="Arial" w:hAnsi="Arial" w:cs="Arial"/>
        </w:rPr>
        <w:t xml:space="preserve">a four </w:t>
      </w:r>
      <w:r w:rsidR="00474F17">
        <w:rPr>
          <w:rFonts w:ascii="Arial" w:hAnsi="Arial" w:cs="Arial"/>
        </w:rPr>
        <w:lastRenderedPageBreak/>
        <w:t xml:space="preserve">percent interest rate. The ten-year time period was selected as the interviews with the railroads indicated that </w:t>
      </w:r>
      <w:r w:rsidR="00ED51AD">
        <w:rPr>
          <w:rFonts w:ascii="Arial" w:hAnsi="Arial" w:cs="Arial"/>
        </w:rPr>
        <w:t>it would likely be the maximum contract period that would be acceptable</w:t>
      </w:r>
      <w:r w:rsidR="00595F00">
        <w:rPr>
          <w:rFonts w:ascii="Arial" w:hAnsi="Arial" w:cs="Arial"/>
        </w:rPr>
        <w:t xml:space="preserve"> to them</w:t>
      </w:r>
      <w:r w:rsidR="00ED51AD">
        <w:rPr>
          <w:rFonts w:ascii="Arial" w:hAnsi="Arial" w:cs="Arial"/>
        </w:rPr>
        <w:t>.</w:t>
      </w:r>
      <w:r w:rsidR="00E03C5E">
        <w:rPr>
          <w:rFonts w:ascii="Arial" w:hAnsi="Arial" w:cs="Arial"/>
        </w:rPr>
        <w:t xml:space="preserve"> </w:t>
      </w:r>
    </w:p>
    <w:p w14:paraId="1FAC8D55" w14:textId="39B6B9EA" w:rsidR="00CF6E58" w:rsidRDefault="00CF6E58" w:rsidP="003169E3">
      <w:pPr>
        <w:jc w:val="both"/>
        <w:rPr>
          <w:rFonts w:ascii="Arial" w:hAnsi="Arial" w:cs="Arial"/>
        </w:rPr>
      </w:pPr>
    </w:p>
    <w:p w14:paraId="2C0093AE" w14:textId="2DD537F9" w:rsidR="00AC7524" w:rsidRDefault="00AC7524" w:rsidP="00AC7524">
      <w:pPr>
        <w:jc w:val="both"/>
        <w:rPr>
          <w:rFonts w:ascii="Arial" w:hAnsi="Arial" w:cs="Arial"/>
        </w:rPr>
      </w:pPr>
      <w:r>
        <w:rPr>
          <w:rFonts w:ascii="Arial" w:hAnsi="Arial" w:cs="Arial"/>
        </w:rPr>
        <w:t xml:space="preserve">As noted previously, the Consultant indicates that the model-generated estimates are influenced by a variety of variables and assumptions. The top five risks or assumptions impacting the financial model identified by the Consultant are summarized in Table </w:t>
      </w:r>
      <w:r w:rsidR="00B84499">
        <w:rPr>
          <w:rFonts w:ascii="Arial" w:hAnsi="Arial" w:cs="Arial"/>
        </w:rPr>
        <w:t>10</w:t>
      </w:r>
      <w:r>
        <w:rPr>
          <w:rFonts w:ascii="Arial" w:hAnsi="Arial" w:cs="Arial"/>
        </w:rPr>
        <w:t xml:space="preserve">. </w:t>
      </w:r>
    </w:p>
    <w:p w14:paraId="4D9A8D8E" w14:textId="101EC9AE" w:rsidR="002F4154" w:rsidRDefault="002F4154" w:rsidP="002F4154">
      <w:pPr>
        <w:rPr>
          <w:rFonts w:ascii="Arial" w:hAnsi="Arial" w:cs="Arial"/>
          <w:b/>
        </w:rPr>
      </w:pPr>
    </w:p>
    <w:p w14:paraId="082BC3E6" w14:textId="77777777" w:rsidR="008D5C45" w:rsidRDefault="008D5C45" w:rsidP="002F4154">
      <w:pPr>
        <w:rPr>
          <w:rFonts w:ascii="Arial" w:hAnsi="Arial" w:cs="Arial"/>
          <w:b/>
        </w:rPr>
      </w:pPr>
      <w:bookmarkStart w:id="0" w:name="_GoBack"/>
      <w:bookmarkEnd w:id="0"/>
    </w:p>
    <w:p w14:paraId="3D355807" w14:textId="2E881FAB" w:rsidR="002F4154" w:rsidRPr="00D6355C" w:rsidRDefault="002F4154" w:rsidP="002F4154">
      <w:pPr>
        <w:jc w:val="center"/>
        <w:rPr>
          <w:rFonts w:ascii="Arial" w:hAnsi="Arial" w:cs="Arial"/>
          <w:b/>
        </w:rPr>
      </w:pPr>
      <w:r>
        <w:rPr>
          <w:rFonts w:ascii="Arial" w:hAnsi="Arial" w:cs="Arial"/>
          <w:b/>
        </w:rPr>
        <w:t xml:space="preserve">Table </w:t>
      </w:r>
      <w:r w:rsidR="00B84499">
        <w:rPr>
          <w:rFonts w:ascii="Arial" w:hAnsi="Arial" w:cs="Arial"/>
          <w:b/>
        </w:rPr>
        <w:t>10</w:t>
      </w:r>
      <w:r>
        <w:rPr>
          <w:rFonts w:ascii="Arial" w:hAnsi="Arial" w:cs="Arial"/>
          <w:b/>
        </w:rPr>
        <w:t xml:space="preserve">. Top Five Risks or Assumptions Impacting the Waste Export by Rail Financial Model as Identified in the Feasibility Study </w:t>
      </w:r>
    </w:p>
    <w:p w14:paraId="5DBD7509" w14:textId="77777777" w:rsidR="00275BFC" w:rsidRDefault="00275BFC" w:rsidP="00275BFC">
      <w:pPr>
        <w:jc w:val="both"/>
        <w:rPr>
          <w:rFonts w:ascii="Arial" w:hAnsi="Arial" w:cs="Arial"/>
        </w:rPr>
      </w:pPr>
    </w:p>
    <w:tbl>
      <w:tblPr>
        <w:tblStyle w:val="TableGrid1"/>
        <w:tblW w:w="8831" w:type="dxa"/>
        <w:jc w:val="center"/>
        <w:tblLook w:val="04A0" w:firstRow="1" w:lastRow="0" w:firstColumn="1" w:lastColumn="0" w:noHBand="0" w:noVBand="1"/>
      </w:tblPr>
      <w:tblGrid>
        <w:gridCol w:w="8831"/>
      </w:tblGrid>
      <w:tr w:rsidR="00E026D8" w:rsidRPr="00CB10A9" w14:paraId="634877CF" w14:textId="77777777" w:rsidTr="00E026D8">
        <w:trPr>
          <w:jc w:val="center"/>
        </w:trPr>
        <w:tc>
          <w:tcPr>
            <w:tcW w:w="8831" w:type="dxa"/>
            <w:shd w:val="clear" w:color="auto" w:fill="000000" w:themeFill="text1"/>
            <w:vAlign w:val="bottom"/>
          </w:tcPr>
          <w:p w14:paraId="4E9FCB56" w14:textId="77777777" w:rsidR="00E026D8" w:rsidRPr="00CB10A9" w:rsidRDefault="00E026D8" w:rsidP="007D74D4">
            <w:pPr>
              <w:jc w:val="center"/>
              <w:rPr>
                <w:rFonts w:ascii="Arial" w:hAnsi="Arial" w:cs="Arial"/>
                <w:b/>
                <w:color w:val="FFFFFF" w:themeColor="background1"/>
                <w:sz w:val="22"/>
              </w:rPr>
            </w:pPr>
            <w:r w:rsidRPr="00CB10A9">
              <w:rPr>
                <w:rFonts w:ascii="Arial" w:hAnsi="Arial" w:cs="Arial"/>
                <w:b/>
                <w:sz w:val="22"/>
              </w:rPr>
              <w:t xml:space="preserve">Risks or Assumptions Impacting Financial Model </w:t>
            </w:r>
          </w:p>
        </w:tc>
      </w:tr>
      <w:tr w:rsidR="00E026D8" w:rsidRPr="00CB10A9" w14:paraId="5EE24550" w14:textId="77777777" w:rsidTr="00E026D8">
        <w:trPr>
          <w:jc w:val="center"/>
        </w:trPr>
        <w:tc>
          <w:tcPr>
            <w:tcW w:w="8831" w:type="dxa"/>
            <w:vAlign w:val="bottom"/>
          </w:tcPr>
          <w:p w14:paraId="55278A91" w14:textId="77777777" w:rsidR="00E026D8" w:rsidRPr="00CB10A9" w:rsidRDefault="00E026D8" w:rsidP="004A4A09">
            <w:pPr>
              <w:pStyle w:val="ListParagraph0"/>
              <w:numPr>
                <w:ilvl w:val="0"/>
                <w:numId w:val="6"/>
              </w:numPr>
              <w:spacing w:line="240" w:lineRule="auto"/>
              <w:ind w:left="166" w:hanging="180"/>
              <w:contextualSpacing/>
              <w:rPr>
                <w:rFonts w:ascii="Arial" w:hAnsi="Arial" w:cs="Arial"/>
                <w:sz w:val="22"/>
                <w:szCs w:val="22"/>
              </w:rPr>
            </w:pPr>
            <w:r w:rsidRPr="00CB10A9">
              <w:rPr>
                <w:rFonts w:ascii="Arial" w:hAnsi="Arial" w:cs="Arial"/>
                <w:b/>
                <w:sz w:val="22"/>
                <w:szCs w:val="22"/>
              </w:rPr>
              <w:t xml:space="preserve">Short-term contracts. </w:t>
            </w:r>
            <w:r w:rsidRPr="00CB10A9">
              <w:rPr>
                <w:rFonts w:ascii="Arial" w:hAnsi="Arial" w:cs="Arial"/>
                <w:sz w:val="22"/>
                <w:szCs w:val="22"/>
              </w:rPr>
              <w:t>The contract terms (5-10 years) identified in interviews with railroad operators may result in uncertainty related to hauling/disposal costs over the long-term.</w:t>
            </w:r>
          </w:p>
          <w:p w14:paraId="68FBD2E9" w14:textId="77777777" w:rsidR="00E026D8" w:rsidRPr="00CB10A9" w:rsidRDefault="00E026D8" w:rsidP="004A4A09">
            <w:pPr>
              <w:pStyle w:val="ListParagraph0"/>
              <w:numPr>
                <w:ilvl w:val="0"/>
                <w:numId w:val="6"/>
              </w:numPr>
              <w:spacing w:line="240" w:lineRule="auto"/>
              <w:ind w:left="166" w:hanging="180"/>
              <w:contextualSpacing/>
              <w:rPr>
                <w:rFonts w:ascii="Arial" w:hAnsi="Arial" w:cs="Arial"/>
                <w:sz w:val="22"/>
                <w:szCs w:val="22"/>
              </w:rPr>
            </w:pPr>
            <w:r w:rsidRPr="00CB10A9">
              <w:rPr>
                <w:rFonts w:ascii="Arial" w:hAnsi="Arial" w:cs="Arial"/>
                <w:b/>
                <w:sz w:val="22"/>
                <w:szCs w:val="22"/>
              </w:rPr>
              <w:t xml:space="preserve">Rail capacity. </w:t>
            </w:r>
            <w:r w:rsidRPr="00CB10A9">
              <w:rPr>
                <w:rFonts w:ascii="Arial" w:hAnsi="Arial" w:cs="Arial"/>
                <w:sz w:val="22"/>
                <w:szCs w:val="22"/>
              </w:rPr>
              <w:t>Capacity on some rail stretches is limited presently and may be in the future, which could impact cost as demand increases.</w:t>
            </w:r>
          </w:p>
          <w:p w14:paraId="1FD7269D" w14:textId="77777777" w:rsidR="00E026D8" w:rsidRPr="00CB10A9" w:rsidRDefault="00E026D8" w:rsidP="004A4A09">
            <w:pPr>
              <w:pStyle w:val="ListParagraph0"/>
              <w:numPr>
                <w:ilvl w:val="0"/>
                <w:numId w:val="6"/>
              </w:numPr>
              <w:spacing w:line="240" w:lineRule="auto"/>
              <w:ind w:left="166" w:hanging="180"/>
              <w:contextualSpacing/>
              <w:rPr>
                <w:rFonts w:ascii="Arial" w:hAnsi="Arial" w:cs="Arial"/>
                <w:sz w:val="22"/>
                <w:szCs w:val="22"/>
              </w:rPr>
            </w:pPr>
            <w:r w:rsidRPr="00CB10A9">
              <w:rPr>
                <w:rFonts w:ascii="Arial" w:hAnsi="Arial" w:cs="Arial"/>
                <w:b/>
                <w:sz w:val="22"/>
                <w:szCs w:val="22"/>
              </w:rPr>
              <w:t xml:space="preserve">Congestion or service interruption. </w:t>
            </w:r>
            <w:r w:rsidRPr="00CB10A9">
              <w:rPr>
                <w:rFonts w:ascii="Arial" w:hAnsi="Arial" w:cs="Arial"/>
                <w:sz w:val="22"/>
                <w:szCs w:val="22"/>
              </w:rPr>
              <w:t>Snowstorms or earthquakes which disrupt the rail system may result in lower reliability and additional costs for expansion or improvements or the need to haul waste by road.</w:t>
            </w:r>
          </w:p>
          <w:p w14:paraId="1BF11314" w14:textId="77777777" w:rsidR="00E026D8" w:rsidRDefault="00E026D8" w:rsidP="004A4A09">
            <w:pPr>
              <w:pStyle w:val="ListParagraph0"/>
              <w:numPr>
                <w:ilvl w:val="0"/>
                <w:numId w:val="6"/>
              </w:numPr>
              <w:spacing w:line="240" w:lineRule="auto"/>
              <w:ind w:left="166" w:hanging="180"/>
              <w:contextualSpacing/>
              <w:rPr>
                <w:rFonts w:ascii="Arial" w:hAnsi="Arial" w:cs="Arial"/>
                <w:sz w:val="22"/>
                <w:szCs w:val="22"/>
              </w:rPr>
            </w:pPr>
            <w:r w:rsidRPr="00CB10A9">
              <w:rPr>
                <w:rFonts w:ascii="Arial" w:hAnsi="Arial" w:cs="Arial"/>
                <w:b/>
                <w:sz w:val="22"/>
                <w:szCs w:val="22"/>
              </w:rPr>
              <w:t>Compaction.</w:t>
            </w:r>
            <w:r w:rsidRPr="00CB10A9">
              <w:rPr>
                <w:rFonts w:ascii="Arial" w:hAnsi="Arial" w:cs="Arial"/>
                <w:sz w:val="22"/>
                <w:szCs w:val="22"/>
              </w:rPr>
              <w:t xml:space="preserve"> Variances in compaction of waste per container, relative to the assumptions in the model, may impact hauling and disposal costs.</w:t>
            </w:r>
          </w:p>
          <w:p w14:paraId="0A75A908" w14:textId="77777777" w:rsidR="00E026D8" w:rsidRPr="00872F52" w:rsidRDefault="00E026D8" w:rsidP="004A4A09">
            <w:pPr>
              <w:pStyle w:val="ListParagraph0"/>
              <w:numPr>
                <w:ilvl w:val="0"/>
                <w:numId w:val="6"/>
              </w:numPr>
              <w:spacing w:line="240" w:lineRule="auto"/>
              <w:ind w:left="166" w:hanging="180"/>
              <w:contextualSpacing/>
              <w:rPr>
                <w:rFonts w:ascii="Arial" w:hAnsi="Arial" w:cs="Arial"/>
                <w:sz w:val="22"/>
                <w:szCs w:val="22"/>
              </w:rPr>
            </w:pPr>
            <w:r w:rsidRPr="00872F52">
              <w:rPr>
                <w:rFonts w:ascii="Arial" w:hAnsi="Arial" w:cs="Arial"/>
                <w:b/>
                <w:sz w:val="22"/>
                <w:szCs w:val="22"/>
              </w:rPr>
              <w:t xml:space="preserve">Captive shipper landfills. </w:t>
            </w:r>
            <w:r w:rsidRPr="00872F52">
              <w:rPr>
                <w:rFonts w:ascii="Arial" w:hAnsi="Arial" w:cs="Arial"/>
                <w:sz w:val="22"/>
                <w:szCs w:val="22"/>
              </w:rPr>
              <w:t>Captive shipper landfills, meaning landfills that typically partner with a specific rail hauler, may make it more difficult to switch landfills and rail hauler at the end of a contract period, potentially resulting in less competition.</w:t>
            </w:r>
          </w:p>
        </w:tc>
      </w:tr>
    </w:tbl>
    <w:p w14:paraId="2989EAC0" w14:textId="77777777" w:rsidR="00275BFC" w:rsidRDefault="00275BFC" w:rsidP="00275BFC">
      <w:pPr>
        <w:jc w:val="both"/>
        <w:rPr>
          <w:rFonts w:ascii="Arial" w:hAnsi="Arial" w:cs="Arial"/>
          <w:b/>
        </w:rPr>
      </w:pPr>
    </w:p>
    <w:p w14:paraId="45F40E74" w14:textId="08DDB213" w:rsidR="00AE561A" w:rsidRPr="00AE561A" w:rsidRDefault="00066E37" w:rsidP="00AE561A">
      <w:pPr>
        <w:jc w:val="both"/>
        <w:rPr>
          <w:rFonts w:ascii="Arial" w:hAnsi="Arial" w:cs="Arial"/>
          <w:i/>
        </w:rPr>
      </w:pPr>
      <w:r>
        <w:rPr>
          <w:rFonts w:ascii="Arial" w:hAnsi="Arial" w:cs="Arial"/>
          <w:i/>
        </w:rPr>
        <w:t>Environmental Impacts.</w:t>
      </w:r>
      <w:r w:rsidR="00DB281E">
        <w:rPr>
          <w:rFonts w:ascii="Arial" w:hAnsi="Arial" w:cs="Arial"/>
          <w:i/>
        </w:rPr>
        <w:t xml:space="preserve"> </w:t>
      </w:r>
      <w:r w:rsidR="00AE561A">
        <w:rPr>
          <w:rFonts w:ascii="Arial" w:hAnsi="Arial" w:cs="Arial"/>
        </w:rPr>
        <w:t xml:space="preserve">The Study focuses primarily on </w:t>
      </w:r>
      <w:r w:rsidR="00CF2C05">
        <w:rPr>
          <w:rFonts w:ascii="Arial" w:hAnsi="Arial" w:cs="Arial"/>
        </w:rPr>
        <w:t xml:space="preserve">the environmental impacts </w:t>
      </w:r>
      <w:r w:rsidR="00470F61">
        <w:rPr>
          <w:rFonts w:ascii="Arial" w:hAnsi="Arial" w:cs="Arial"/>
        </w:rPr>
        <w:t xml:space="preserve">of rail export </w:t>
      </w:r>
      <w:r w:rsidR="00CF2C05">
        <w:rPr>
          <w:rFonts w:ascii="Arial" w:hAnsi="Arial" w:cs="Arial"/>
        </w:rPr>
        <w:t xml:space="preserve">related to </w:t>
      </w:r>
      <w:r w:rsidR="00AE561A">
        <w:rPr>
          <w:rFonts w:ascii="Arial" w:hAnsi="Arial" w:cs="Arial"/>
        </w:rPr>
        <w:t xml:space="preserve">greenhouse gas (“GHG”) emissions and non-greenhouse gas emissions. </w:t>
      </w:r>
    </w:p>
    <w:p w14:paraId="3EDB61F1" w14:textId="77777777" w:rsidR="00AE561A" w:rsidRDefault="00AE561A" w:rsidP="00AE561A">
      <w:pPr>
        <w:jc w:val="both"/>
        <w:rPr>
          <w:rFonts w:ascii="Arial" w:hAnsi="Arial" w:cs="Arial"/>
        </w:rPr>
      </w:pPr>
    </w:p>
    <w:p w14:paraId="424315CF" w14:textId="68342F4B" w:rsidR="00AE561A" w:rsidRPr="00590F7E" w:rsidRDefault="00AE561A" w:rsidP="00AE561A">
      <w:pPr>
        <w:jc w:val="both"/>
        <w:rPr>
          <w:rFonts w:ascii="Arial" w:hAnsi="Arial" w:cs="Arial"/>
        </w:rPr>
      </w:pPr>
      <w:r>
        <w:rPr>
          <w:rFonts w:ascii="Arial" w:hAnsi="Arial" w:cs="Arial"/>
        </w:rPr>
        <w:t xml:space="preserve">The Consultant </w:t>
      </w:r>
      <w:r w:rsidR="00D152DA">
        <w:rPr>
          <w:rFonts w:ascii="Arial" w:hAnsi="Arial" w:cs="Arial"/>
        </w:rPr>
        <w:t>modeled GHG emissions for waste export by rail</w:t>
      </w:r>
      <w:r w:rsidR="002B608A">
        <w:rPr>
          <w:rFonts w:ascii="Arial" w:hAnsi="Arial" w:cs="Arial"/>
        </w:rPr>
        <w:t xml:space="preserve"> using</w:t>
      </w:r>
      <w:r w:rsidR="002D5AE2">
        <w:rPr>
          <w:rFonts w:ascii="Arial" w:hAnsi="Arial" w:cs="Arial"/>
        </w:rPr>
        <w:t xml:space="preserve"> </w:t>
      </w:r>
      <w:r w:rsidR="00470F61">
        <w:rPr>
          <w:rFonts w:ascii="Arial" w:hAnsi="Arial" w:cs="Arial"/>
        </w:rPr>
        <w:t>the same</w:t>
      </w:r>
      <w:r w:rsidR="00E934BD">
        <w:rPr>
          <w:rFonts w:ascii="Arial" w:hAnsi="Arial" w:cs="Arial"/>
        </w:rPr>
        <w:t xml:space="preserve"> </w:t>
      </w:r>
      <w:r w:rsidR="00D152DA">
        <w:rPr>
          <w:rFonts w:ascii="Arial" w:hAnsi="Arial" w:cs="Arial"/>
        </w:rPr>
        <w:t xml:space="preserve">two methods </w:t>
      </w:r>
      <w:r w:rsidR="002D5AE2">
        <w:rPr>
          <w:rFonts w:ascii="Arial" w:hAnsi="Arial" w:cs="Arial"/>
        </w:rPr>
        <w:t xml:space="preserve">that were described </w:t>
      </w:r>
      <w:r w:rsidR="00843721">
        <w:rPr>
          <w:rFonts w:ascii="Arial" w:hAnsi="Arial" w:cs="Arial"/>
        </w:rPr>
        <w:t xml:space="preserve">in </w:t>
      </w:r>
      <w:r w:rsidR="00626EE6">
        <w:rPr>
          <w:rFonts w:ascii="Arial" w:hAnsi="Arial" w:cs="Arial"/>
        </w:rPr>
        <w:t>a</w:t>
      </w:r>
      <w:r w:rsidR="00843721">
        <w:rPr>
          <w:rFonts w:ascii="Arial" w:hAnsi="Arial" w:cs="Arial"/>
        </w:rPr>
        <w:t xml:space="preserve"> previous subsection</w:t>
      </w:r>
      <w:r w:rsidR="002D5AE2">
        <w:rPr>
          <w:rFonts w:ascii="Arial" w:hAnsi="Arial" w:cs="Arial"/>
        </w:rPr>
        <w:t xml:space="preserve"> – the WARM tool and</w:t>
      </w:r>
      <w:r w:rsidR="00843721">
        <w:rPr>
          <w:rFonts w:ascii="Arial" w:hAnsi="Arial" w:cs="Arial"/>
        </w:rPr>
        <w:t xml:space="preserve"> the adjusted WARM tool</w:t>
      </w:r>
      <w:r w:rsidR="00D152DA">
        <w:rPr>
          <w:rFonts w:ascii="Arial" w:hAnsi="Arial" w:cs="Arial"/>
        </w:rPr>
        <w:t xml:space="preserve">. </w:t>
      </w:r>
      <w:r w:rsidR="00AB6E31">
        <w:rPr>
          <w:rFonts w:ascii="Arial" w:hAnsi="Arial" w:cs="Arial"/>
        </w:rPr>
        <w:t xml:space="preserve">As noted </w:t>
      </w:r>
      <w:r w:rsidR="00843721">
        <w:rPr>
          <w:rFonts w:ascii="Arial" w:hAnsi="Arial" w:cs="Arial"/>
        </w:rPr>
        <w:t>earlier</w:t>
      </w:r>
      <w:r w:rsidR="00AB6E31">
        <w:rPr>
          <w:rFonts w:ascii="Arial" w:hAnsi="Arial" w:cs="Arial"/>
        </w:rPr>
        <w:t xml:space="preserve">, </w:t>
      </w:r>
      <w:r w:rsidRPr="00590F7E">
        <w:rPr>
          <w:rFonts w:ascii="Arial" w:hAnsi="Arial" w:cs="Arial"/>
        </w:rPr>
        <w:t xml:space="preserve">the </w:t>
      </w:r>
      <w:r w:rsidR="00626EE6">
        <w:rPr>
          <w:rFonts w:ascii="Arial" w:hAnsi="Arial" w:cs="Arial"/>
        </w:rPr>
        <w:t>two modeling</w:t>
      </w:r>
      <w:r w:rsidRPr="00590F7E">
        <w:rPr>
          <w:rFonts w:ascii="Arial" w:hAnsi="Arial" w:cs="Arial"/>
        </w:rPr>
        <w:t xml:space="preserve"> tool</w:t>
      </w:r>
      <w:r w:rsidR="00626EE6">
        <w:rPr>
          <w:rFonts w:ascii="Arial" w:hAnsi="Arial" w:cs="Arial"/>
        </w:rPr>
        <w:t>s</w:t>
      </w:r>
      <w:r w:rsidRPr="00590F7E">
        <w:rPr>
          <w:rFonts w:ascii="Arial" w:hAnsi="Arial" w:cs="Arial"/>
        </w:rPr>
        <w:t xml:space="preserve"> do not quantify annual emissions from a WTE facility because </w:t>
      </w:r>
      <w:r>
        <w:rPr>
          <w:rFonts w:ascii="Arial" w:hAnsi="Arial" w:cs="Arial"/>
        </w:rPr>
        <w:t>they</w:t>
      </w:r>
      <w:r w:rsidRPr="00590F7E">
        <w:rPr>
          <w:rFonts w:ascii="Arial" w:hAnsi="Arial" w:cs="Arial"/>
        </w:rPr>
        <w:t xml:space="preserve"> </w:t>
      </w:r>
      <w:r w:rsidR="0042209E">
        <w:rPr>
          <w:rFonts w:ascii="Arial" w:hAnsi="Arial" w:cs="Arial"/>
        </w:rPr>
        <w:t>do</w:t>
      </w:r>
      <w:r w:rsidRPr="00590F7E">
        <w:rPr>
          <w:rFonts w:ascii="Arial" w:hAnsi="Arial" w:cs="Arial"/>
        </w:rPr>
        <w:t xml:space="preserve"> not explicitly model the timing of GHG emissions, thus the GHG emissions estimated in the Study should only be used to compare alternative waste management strategies.</w:t>
      </w:r>
    </w:p>
    <w:p w14:paraId="22A86E82" w14:textId="77777777" w:rsidR="00AE561A" w:rsidRDefault="00AE561A" w:rsidP="00AE561A">
      <w:pPr>
        <w:jc w:val="both"/>
        <w:rPr>
          <w:rFonts w:ascii="Arial" w:hAnsi="Arial" w:cs="Arial"/>
        </w:rPr>
      </w:pPr>
    </w:p>
    <w:p w14:paraId="34CB3ED1" w14:textId="3A8A5C86" w:rsidR="0096762C" w:rsidRDefault="00507FF3" w:rsidP="00AE561A">
      <w:pPr>
        <w:jc w:val="both"/>
        <w:rPr>
          <w:rFonts w:ascii="Arial" w:hAnsi="Arial" w:cs="Arial"/>
        </w:rPr>
      </w:pPr>
      <w:r>
        <w:rPr>
          <w:rFonts w:ascii="Arial" w:hAnsi="Arial" w:cs="Arial"/>
        </w:rPr>
        <w:t xml:space="preserve">For waste export by rail, the Study notes that the two modeling tools </w:t>
      </w:r>
      <w:r w:rsidR="00EF02B0">
        <w:rPr>
          <w:rFonts w:ascii="Arial" w:hAnsi="Arial" w:cs="Arial"/>
        </w:rPr>
        <w:t xml:space="preserve">yielded </w:t>
      </w:r>
      <w:r w:rsidR="00E61C1F">
        <w:rPr>
          <w:rFonts w:ascii="Arial" w:hAnsi="Arial" w:cs="Arial"/>
        </w:rPr>
        <w:t>a low of 0.08 metric tons of carbon dioxide equivalency per ton of waste</w:t>
      </w:r>
      <w:r w:rsidR="003F48A8">
        <w:rPr>
          <w:rFonts w:ascii="Arial" w:hAnsi="Arial" w:cs="Arial"/>
        </w:rPr>
        <w:t xml:space="preserve"> (MTCO</w:t>
      </w:r>
      <w:r w:rsidR="003F48A8">
        <w:rPr>
          <w:rFonts w:ascii="Arial" w:hAnsi="Arial" w:cs="Arial"/>
          <w:vertAlign w:val="subscript"/>
        </w:rPr>
        <w:t>2</w:t>
      </w:r>
      <w:r w:rsidR="003F48A8">
        <w:rPr>
          <w:rFonts w:ascii="Arial" w:hAnsi="Arial" w:cs="Arial"/>
        </w:rPr>
        <w:t>e/ton)</w:t>
      </w:r>
      <w:r w:rsidR="001E3DC9">
        <w:rPr>
          <w:rFonts w:ascii="Arial" w:hAnsi="Arial" w:cs="Arial"/>
        </w:rPr>
        <w:t xml:space="preserve"> and a high of 0.33 MTCO</w:t>
      </w:r>
      <w:r w:rsidR="001E3DC9">
        <w:rPr>
          <w:rFonts w:ascii="Arial" w:hAnsi="Arial" w:cs="Arial"/>
          <w:vertAlign w:val="subscript"/>
        </w:rPr>
        <w:t>2</w:t>
      </w:r>
      <w:r w:rsidR="001E3DC9">
        <w:rPr>
          <w:rFonts w:ascii="Arial" w:hAnsi="Arial" w:cs="Arial"/>
        </w:rPr>
        <w:t xml:space="preserve">e/ton. </w:t>
      </w:r>
      <w:r w:rsidR="00AE561A">
        <w:rPr>
          <w:rFonts w:ascii="Arial" w:hAnsi="Arial" w:cs="Arial"/>
        </w:rPr>
        <w:t xml:space="preserve">The </w:t>
      </w:r>
      <w:r w:rsidR="00737268">
        <w:rPr>
          <w:rFonts w:ascii="Arial" w:hAnsi="Arial" w:cs="Arial"/>
        </w:rPr>
        <w:t>positive</w:t>
      </w:r>
      <w:r w:rsidR="00AE561A">
        <w:rPr>
          <w:rFonts w:ascii="Arial" w:hAnsi="Arial" w:cs="Arial"/>
        </w:rPr>
        <w:t xml:space="preserve"> result indicates that, in the Consultant’s modeling, the </w:t>
      </w:r>
      <w:r w:rsidR="00964C9F">
        <w:rPr>
          <w:rFonts w:ascii="Arial" w:hAnsi="Arial" w:cs="Arial"/>
        </w:rPr>
        <w:t>generated</w:t>
      </w:r>
      <w:r w:rsidR="00AE561A">
        <w:rPr>
          <w:rFonts w:ascii="Arial" w:hAnsi="Arial" w:cs="Arial"/>
        </w:rPr>
        <w:t xml:space="preserve"> emissions</w:t>
      </w:r>
      <w:r w:rsidR="00843721">
        <w:rPr>
          <w:rFonts w:ascii="Arial" w:hAnsi="Arial" w:cs="Arial"/>
        </w:rPr>
        <w:t xml:space="preserve"> for waste export by rail</w:t>
      </w:r>
      <w:r w:rsidR="00AE561A">
        <w:rPr>
          <w:rFonts w:ascii="Arial" w:hAnsi="Arial" w:cs="Arial"/>
        </w:rPr>
        <w:t xml:space="preserve"> are greater than the </w:t>
      </w:r>
      <w:r w:rsidR="00B636CA">
        <w:rPr>
          <w:rFonts w:ascii="Arial" w:hAnsi="Arial" w:cs="Arial"/>
        </w:rPr>
        <w:t xml:space="preserve">offsets for </w:t>
      </w:r>
      <w:r w:rsidR="00737268">
        <w:rPr>
          <w:rFonts w:ascii="Arial" w:hAnsi="Arial" w:cs="Arial"/>
        </w:rPr>
        <w:t>avoided</w:t>
      </w:r>
      <w:r w:rsidR="00AE561A">
        <w:rPr>
          <w:rFonts w:ascii="Arial" w:hAnsi="Arial" w:cs="Arial"/>
        </w:rPr>
        <w:t xml:space="preserve"> emissions. </w:t>
      </w:r>
      <w:r w:rsidR="0096762C">
        <w:rPr>
          <w:rFonts w:ascii="Arial" w:hAnsi="Arial" w:cs="Arial"/>
        </w:rPr>
        <w:t xml:space="preserve">The Feasibility Study notes that an important consideration in the GHG analysis for waste export is the issue of offset credit for carbon sequestration in a landfill. The Study goes on to point out that </w:t>
      </w:r>
      <w:r w:rsidR="001B7398">
        <w:rPr>
          <w:rFonts w:ascii="Arial" w:hAnsi="Arial" w:cs="Arial"/>
        </w:rPr>
        <w:t>biogenic</w:t>
      </w:r>
      <w:r w:rsidR="003C712E">
        <w:rPr>
          <w:rStyle w:val="FootnoteReference"/>
          <w:rFonts w:ascii="Arial" w:hAnsi="Arial" w:cs="Arial"/>
        </w:rPr>
        <w:footnoteReference w:id="22"/>
      </w:r>
      <w:r w:rsidR="0096762C">
        <w:rPr>
          <w:rFonts w:ascii="Arial" w:hAnsi="Arial" w:cs="Arial"/>
        </w:rPr>
        <w:t xml:space="preserve"> </w:t>
      </w:r>
      <w:r w:rsidR="00DD0720">
        <w:rPr>
          <w:rFonts w:ascii="Arial" w:hAnsi="Arial" w:cs="Arial"/>
        </w:rPr>
        <w:t>carbon</w:t>
      </w:r>
      <w:r w:rsidR="00467689">
        <w:rPr>
          <w:rFonts w:ascii="Arial" w:hAnsi="Arial" w:cs="Arial"/>
        </w:rPr>
        <w:t xml:space="preserve"> in wastes such as wood and yard waste </w:t>
      </w:r>
      <w:r w:rsidR="00913D2D">
        <w:rPr>
          <w:rFonts w:ascii="Arial" w:hAnsi="Arial" w:cs="Arial"/>
        </w:rPr>
        <w:t xml:space="preserve">will not significantly degrade </w:t>
      </w:r>
      <w:r w:rsidR="003F4CB0">
        <w:rPr>
          <w:rFonts w:ascii="Arial" w:hAnsi="Arial" w:cs="Arial"/>
        </w:rPr>
        <w:t xml:space="preserve">with the lack of oxygen </w:t>
      </w:r>
      <w:r w:rsidR="00B33DF2">
        <w:rPr>
          <w:rFonts w:ascii="Arial" w:hAnsi="Arial" w:cs="Arial"/>
        </w:rPr>
        <w:t xml:space="preserve">in a landfill </w:t>
      </w:r>
      <w:r w:rsidR="00913D2D">
        <w:rPr>
          <w:rFonts w:ascii="Arial" w:hAnsi="Arial" w:cs="Arial"/>
        </w:rPr>
        <w:t xml:space="preserve">compared to the </w:t>
      </w:r>
      <w:r w:rsidR="00B77377">
        <w:rPr>
          <w:rFonts w:ascii="Arial" w:hAnsi="Arial" w:cs="Arial"/>
        </w:rPr>
        <w:t xml:space="preserve">degradation that would occur if theses materials were not landfilled. </w:t>
      </w:r>
      <w:r w:rsidR="00B77377">
        <w:rPr>
          <w:rFonts w:ascii="Arial" w:hAnsi="Arial" w:cs="Arial"/>
        </w:rPr>
        <w:lastRenderedPageBreak/>
        <w:t>The WARM model subtracts</w:t>
      </w:r>
      <w:r w:rsidR="00CC1EEC">
        <w:rPr>
          <w:rFonts w:ascii="Arial" w:hAnsi="Arial" w:cs="Arial"/>
        </w:rPr>
        <w:t xml:space="preserve"> the amount of carbon dioxide that would have been generated if these wastes were allowed to naturally degrade</w:t>
      </w:r>
      <w:r w:rsidR="00D51F29">
        <w:rPr>
          <w:rFonts w:ascii="Arial" w:hAnsi="Arial" w:cs="Arial"/>
        </w:rPr>
        <w:t xml:space="preserve">; </w:t>
      </w:r>
      <w:r w:rsidR="00D05C99">
        <w:rPr>
          <w:rFonts w:ascii="Arial" w:hAnsi="Arial" w:cs="Arial"/>
        </w:rPr>
        <w:t>in this particular instance the credit is calculated at</w:t>
      </w:r>
      <w:r w:rsidR="00B33DF2">
        <w:rPr>
          <w:rFonts w:ascii="Arial" w:hAnsi="Arial" w:cs="Arial"/>
        </w:rPr>
        <w:t xml:space="preserve"> </w:t>
      </w:r>
      <w:r w:rsidR="00D05C99">
        <w:rPr>
          <w:rFonts w:ascii="Arial" w:hAnsi="Arial" w:cs="Arial"/>
        </w:rPr>
        <w:t>-</w:t>
      </w:r>
      <w:r w:rsidR="003F4CB0">
        <w:rPr>
          <w:rFonts w:ascii="Arial" w:hAnsi="Arial" w:cs="Arial"/>
        </w:rPr>
        <w:t>0</w:t>
      </w:r>
      <w:r w:rsidR="00D05C99">
        <w:rPr>
          <w:rFonts w:ascii="Arial" w:hAnsi="Arial" w:cs="Arial"/>
        </w:rPr>
        <w:t>.21 MTCO</w:t>
      </w:r>
      <w:r w:rsidR="00D05C99">
        <w:rPr>
          <w:rFonts w:ascii="Arial" w:hAnsi="Arial" w:cs="Arial"/>
          <w:vertAlign w:val="subscript"/>
        </w:rPr>
        <w:t>2</w:t>
      </w:r>
      <w:r w:rsidR="00D05C99">
        <w:rPr>
          <w:rFonts w:ascii="Arial" w:hAnsi="Arial" w:cs="Arial"/>
        </w:rPr>
        <w:t>/ton.</w:t>
      </w:r>
      <w:r w:rsidR="0053199B">
        <w:rPr>
          <w:rFonts w:ascii="Arial" w:hAnsi="Arial" w:cs="Arial"/>
        </w:rPr>
        <w:t xml:space="preserve"> The Consultant notes that Intergovernmental Panel on Climate Change </w:t>
      </w:r>
      <w:r w:rsidR="001F6F79">
        <w:rPr>
          <w:rFonts w:ascii="Arial" w:hAnsi="Arial" w:cs="Arial"/>
        </w:rPr>
        <w:t xml:space="preserve">guidance is that the carbon sequestration credit be identified so the user may decide whether the credit shall </w:t>
      </w:r>
      <w:r w:rsidR="00A515F0">
        <w:rPr>
          <w:rFonts w:ascii="Arial" w:hAnsi="Arial" w:cs="Arial"/>
        </w:rPr>
        <w:t xml:space="preserve">be </w:t>
      </w:r>
      <w:r w:rsidR="001F6F79">
        <w:rPr>
          <w:rFonts w:ascii="Arial" w:hAnsi="Arial" w:cs="Arial"/>
        </w:rPr>
        <w:t xml:space="preserve">applied or not. </w:t>
      </w:r>
    </w:p>
    <w:p w14:paraId="771AC073" w14:textId="5855F3D0" w:rsidR="00265070" w:rsidRDefault="00265070" w:rsidP="00AE561A">
      <w:pPr>
        <w:jc w:val="both"/>
        <w:rPr>
          <w:rFonts w:ascii="Arial" w:hAnsi="Arial" w:cs="Arial"/>
        </w:rPr>
      </w:pPr>
    </w:p>
    <w:p w14:paraId="32A42F91" w14:textId="674B98AB" w:rsidR="00AE561A" w:rsidRDefault="00A515F0" w:rsidP="00AE561A">
      <w:pPr>
        <w:jc w:val="both"/>
        <w:rPr>
          <w:rFonts w:ascii="Arial" w:hAnsi="Arial" w:cs="Arial"/>
        </w:rPr>
      </w:pPr>
      <w:r>
        <w:rPr>
          <w:rFonts w:ascii="Arial" w:hAnsi="Arial" w:cs="Arial"/>
        </w:rPr>
        <w:t>For comparison, t</w:t>
      </w:r>
      <w:r w:rsidR="00AE561A">
        <w:rPr>
          <w:rFonts w:ascii="Arial" w:hAnsi="Arial" w:cs="Arial"/>
        </w:rPr>
        <w:t xml:space="preserve">he GHG emissions estimate </w:t>
      </w:r>
      <w:r w:rsidR="00737268">
        <w:rPr>
          <w:rFonts w:ascii="Arial" w:hAnsi="Arial" w:cs="Arial"/>
        </w:rPr>
        <w:t xml:space="preserve">for waste export by rail </w:t>
      </w:r>
      <w:r w:rsidR="00AE561A">
        <w:rPr>
          <w:rFonts w:ascii="Arial" w:hAnsi="Arial" w:cs="Arial"/>
        </w:rPr>
        <w:t xml:space="preserve">in the 2019 Comprehensive Solid Waste Management Plan, which also used the WARM tool but included different assumptions, yielded the opposite conclusion that </w:t>
      </w:r>
      <w:r w:rsidR="00C47C7C">
        <w:rPr>
          <w:rFonts w:ascii="Arial" w:hAnsi="Arial" w:cs="Arial"/>
        </w:rPr>
        <w:t xml:space="preserve">estimated </w:t>
      </w:r>
      <w:r w:rsidR="00AE561A">
        <w:rPr>
          <w:rFonts w:ascii="Arial" w:hAnsi="Arial" w:cs="Arial"/>
        </w:rPr>
        <w:t xml:space="preserve">GHG emissions for </w:t>
      </w:r>
      <w:r w:rsidR="00737268">
        <w:rPr>
          <w:rFonts w:ascii="Arial" w:hAnsi="Arial" w:cs="Arial"/>
        </w:rPr>
        <w:t>waste export</w:t>
      </w:r>
      <w:r w:rsidR="00AE561A">
        <w:rPr>
          <w:rFonts w:ascii="Arial" w:hAnsi="Arial" w:cs="Arial"/>
        </w:rPr>
        <w:t xml:space="preserve"> would be a net </w:t>
      </w:r>
      <w:r w:rsidR="00737268">
        <w:rPr>
          <w:rFonts w:ascii="Arial" w:hAnsi="Arial" w:cs="Arial"/>
        </w:rPr>
        <w:t>negative</w:t>
      </w:r>
      <w:r w:rsidR="00AE561A">
        <w:rPr>
          <w:rFonts w:ascii="Arial" w:hAnsi="Arial" w:cs="Arial"/>
        </w:rPr>
        <w:t xml:space="preserve">, meaning emissions are </w:t>
      </w:r>
      <w:r w:rsidR="0099155D">
        <w:rPr>
          <w:rFonts w:ascii="Arial" w:hAnsi="Arial" w:cs="Arial"/>
        </w:rPr>
        <w:t>lower</w:t>
      </w:r>
      <w:r w:rsidR="00AE561A">
        <w:rPr>
          <w:rFonts w:ascii="Arial" w:hAnsi="Arial" w:cs="Arial"/>
        </w:rPr>
        <w:t xml:space="preserve"> than offsets.</w:t>
      </w:r>
      <w:r w:rsidR="00AE561A">
        <w:rPr>
          <w:rStyle w:val="FootnoteReference"/>
          <w:rFonts w:ascii="Arial" w:hAnsi="Arial" w:cs="Arial"/>
        </w:rPr>
        <w:footnoteReference w:id="23"/>
      </w:r>
    </w:p>
    <w:p w14:paraId="599B7330" w14:textId="77777777" w:rsidR="00C47C7C" w:rsidRDefault="00C47C7C" w:rsidP="00AE561A">
      <w:pPr>
        <w:jc w:val="both"/>
        <w:rPr>
          <w:rFonts w:ascii="Arial" w:hAnsi="Arial" w:cs="Arial"/>
        </w:rPr>
      </w:pPr>
    </w:p>
    <w:p w14:paraId="37F01905" w14:textId="2AF5174B" w:rsidR="0055020D" w:rsidRDefault="00AE561A" w:rsidP="00AE561A">
      <w:pPr>
        <w:jc w:val="both"/>
        <w:rPr>
          <w:rFonts w:ascii="Arial" w:hAnsi="Arial" w:cs="Arial"/>
        </w:rPr>
      </w:pPr>
      <w:r>
        <w:rPr>
          <w:rFonts w:ascii="Arial" w:hAnsi="Arial" w:cs="Arial"/>
        </w:rPr>
        <w:t xml:space="preserve">The Feasibility Study also notes that </w:t>
      </w:r>
      <w:r w:rsidR="0090510F">
        <w:rPr>
          <w:rFonts w:ascii="Arial" w:hAnsi="Arial" w:cs="Arial"/>
        </w:rPr>
        <w:t>waste export by rail</w:t>
      </w:r>
      <w:r>
        <w:rPr>
          <w:rFonts w:ascii="Arial" w:hAnsi="Arial" w:cs="Arial"/>
        </w:rPr>
        <w:t xml:space="preserve"> would have environmental impacts associated with non-GHG air emission</w:t>
      </w:r>
      <w:r w:rsidR="00BD6470">
        <w:rPr>
          <w:rFonts w:ascii="Arial" w:hAnsi="Arial" w:cs="Arial"/>
        </w:rPr>
        <w:t xml:space="preserve">s, </w:t>
      </w:r>
      <w:r w:rsidR="0055020D">
        <w:rPr>
          <w:rFonts w:ascii="Arial" w:hAnsi="Arial" w:cs="Arial"/>
        </w:rPr>
        <w:t xml:space="preserve">citing nitrogen </w:t>
      </w:r>
      <w:r w:rsidR="00326D67">
        <w:rPr>
          <w:rFonts w:ascii="Arial" w:hAnsi="Arial" w:cs="Arial"/>
        </w:rPr>
        <w:t>dioxide (NO</w:t>
      </w:r>
      <w:r w:rsidR="00326D67">
        <w:rPr>
          <w:rFonts w:ascii="Arial" w:hAnsi="Arial" w:cs="Arial"/>
          <w:vertAlign w:val="subscript"/>
        </w:rPr>
        <w:t>2</w:t>
      </w:r>
      <w:r w:rsidR="00326D67">
        <w:rPr>
          <w:rFonts w:ascii="Arial" w:hAnsi="Arial" w:cs="Arial"/>
        </w:rPr>
        <w:t xml:space="preserve">) and particulate matter released </w:t>
      </w:r>
      <w:r w:rsidR="00EE252A">
        <w:rPr>
          <w:rFonts w:ascii="Arial" w:hAnsi="Arial" w:cs="Arial"/>
        </w:rPr>
        <w:t>from the use of locomotives.</w:t>
      </w:r>
      <w:r w:rsidR="004E2EC7">
        <w:rPr>
          <w:rFonts w:ascii="Arial" w:hAnsi="Arial" w:cs="Arial"/>
        </w:rPr>
        <w:t xml:space="preserve"> According to the Consultant, </w:t>
      </w:r>
      <w:r w:rsidR="002B63A5">
        <w:rPr>
          <w:rFonts w:ascii="Arial" w:hAnsi="Arial" w:cs="Arial"/>
        </w:rPr>
        <w:t>one of the railroad</w:t>
      </w:r>
      <w:r w:rsidR="00F71F74">
        <w:rPr>
          <w:rFonts w:ascii="Arial" w:hAnsi="Arial" w:cs="Arial"/>
        </w:rPr>
        <w:t xml:space="preserve">s interviewed </w:t>
      </w:r>
      <w:r w:rsidR="008E4E9D">
        <w:rPr>
          <w:rFonts w:ascii="Arial" w:hAnsi="Arial" w:cs="Arial"/>
        </w:rPr>
        <w:t>indicated they were</w:t>
      </w:r>
      <w:r w:rsidR="00F71F74">
        <w:rPr>
          <w:rFonts w:ascii="Arial" w:hAnsi="Arial" w:cs="Arial"/>
        </w:rPr>
        <w:t xml:space="preserve"> testing alternative engine technology and particulate </w:t>
      </w:r>
      <w:r w:rsidR="00B33DF2">
        <w:rPr>
          <w:rFonts w:ascii="Arial" w:hAnsi="Arial" w:cs="Arial"/>
        </w:rPr>
        <w:t>devices but</w:t>
      </w:r>
      <w:r w:rsidR="008E4E9D">
        <w:rPr>
          <w:rFonts w:ascii="Arial" w:hAnsi="Arial" w:cs="Arial"/>
        </w:rPr>
        <w:t xml:space="preserve"> </w:t>
      </w:r>
      <w:r w:rsidR="001A132C">
        <w:rPr>
          <w:rFonts w:ascii="Arial" w:hAnsi="Arial" w:cs="Arial"/>
        </w:rPr>
        <w:t>suggested that</w:t>
      </w:r>
      <w:r w:rsidR="008E4E9D">
        <w:rPr>
          <w:rFonts w:ascii="Arial" w:hAnsi="Arial" w:cs="Arial"/>
        </w:rPr>
        <w:t xml:space="preserve"> </w:t>
      </w:r>
      <w:r w:rsidR="004F7243">
        <w:rPr>
          <w:rFonts w:ascii="Arial" w:hAnsi="Arial" w:cs="Arial"/>
        </w:rPr>
        <w:t xml:space="preserve">use of </w:t>
      </w:r>
      <w:r w:rsidR="008E4E9D">
        <w:rPr>
          <w:rFonts w:ascii="Arial" w:hAnsi="Arial" w:cs="Arial"/>
        </w:rPr>
        <w:t>these</w:t>
      </w:r>
      <w:r w:rsidR="004F7243">
        <w:rPr>
          <w:rFonts w:ascii="Arial" w:hAnsi="Arial" w:cs="Arial"/>
        </w:rPr>
        <w:t xml:space="preserve"> </w:t>
      </w:r>
      <w:r w:rsidR="008E4E9D">
        <w:rPr>
          <w:rFonts w:ascii="Arial" w:hAnsi="Arial" w:cs="Arial"/>
        </w:rPr>
        <w:t>could not be guaranteed</w:t>
      </w:r>
      <w:r w:rsidR="00670935">
        <w:rPr>
          <w:rFonts w:ascii="Arial" w:hAnsi="Arial" w:cs="Arial"/>
        </w:rPr>
        <w:t xml:space="preserve"> to the County in the event</w:t>
      </w:r>
      <w:r w:rsidR="002F121A">
        <w:rPr>
          <w:rFonts w:ascii="Arial" w:hAnsi="Arial" w:cs="Arial"/>
        </w:rPr>
        <w:t xml:space="preserve"> of waste export by rail.</w:t>
      </w:r>
    </w:p>
    <w:p w14:paraId="5F014334" w14:textId="77777777" w:rsidR="00AE561A" w:rsidRDefault="00AE561A" w:rsidP="003169E3">
      <w:pPr>
        <w:jc w:val="both"/>
        <w:rPr>
          <w:rFonts w:ascii="Arial" w:hAnsi="Arial" w:cs="Arial"/>
          <w:i/>
        </w:rPr>
      </w:pPr>
    </w:p>
    <w:p w14:paraId="73DE230B" w14:textId="67015569" w:rsidR="00066E37" w:rsidRDefault="00C96F1E" w:rsidP="003169E3">
      <w:pPr>
        <w:jc w:val="both"/>
        <w:rPr>
          <w:rFonts w:ascii="Arial" w:hAnsi="Arial" w:cs="Arial"/>
        </w:rPr>
      </w:pPr>
      <w:r>
        <w:rPr>
          <w:rFonts w:ascii="Arial" w:hAnsi="Arial" w:cs="Arial"/>
          <w:i/>
        </w:rPr>
        <w:t xml:space="preserve">Future Rail Capacity. </w:t>
      </w:r>
      <w:r w:rsidR="00C70988">
        <w:rPr>
          <w:rFonts w:ascii="Arial" w:hAnsi="Arial" w:cs="Arial"/>
        </w:rPr>
        <w:t xml:space="preserve">The </w:t>
      </w:r>
      <w:r w:rsidR="005C3BFE">
        <w:rPr>
          <w:rFonts w:ascii="Arial" w:hAnsi="Arial" w:cs="Arial"/>
        </w:rPr>
        <w:t>Consultant</w:t>
      </w:r>
      <w:r w:rsidR="00C70988">
        <w:rPr>
          <w:rFonts w:ascii="Arial" w:hAnsi="Arial" w:cs="Arial"/>
        </w:rPr>
        <w:t xml:space="preserve"> </w:t>
      </w:r>
      <w:r w:rsidR="008E4C17">
        <w:rPr>
          <w:rFonts w:ascii="Arial" w:hAnsi="Arial" w:cs="Arial"/>
        </w:rPr>
        <w:t xml:space="preserve">reviewed </w:t>
      </w:r>
      <w:r w:rsidR="005066BA">
        <w:rPr>
          <w:rFonts w:ascii="Arial" w:hAnsi="Arial" w:cs="Arial"/>
        </w:rPr>
        <w:t xml:space="preserve">state rail plans and capacity studies and </w:t>
      </w:r>
      <w:r w:rsidR="0077559C">
        <w:rPr>
          <w:rFonts w:ascii="Arial" w:hAnsi="Arial" w:cs="Arial"/>
        </w:rPr>
        <w:t>concluded that there appears to be sufficient capacity now</w:t>
      </w:r>
      <w:r w:rsidR="00E20F3D">
        <w:rPr>
          <w:rFonts w:ascii="Arial" w:hAnsi="Arial" w:cs="Arial"/>
        </w:rPr>
        <w:t xml:space="preserve"> to accommodate the region’s waste and that there will continue to be some rail capacity in the future</w:t>
      </w:r>
      <w:r w:rsidR="00F46594">
        <w:rPr>
          <w:rFonts w:ascii="Arial" w:hAnsi="Arial" w:cs="Arial"/>
        </w:rPr>
        <w:t xml:space="preserve"> but availability of that capacity may depend on an entity’s willingness to pay. </w:t>
      </w:r>
      <w:r w:rsidR="005C3BFE">
        <w:rPr>
          <w:rFonts w:ascii="Arial" w:hAnsi="Arial" w:cs="Arial"/>
        </w:rPr>
        <w:t>Specifically, the Feasibility Study states:</w:t>
      </w:r>
    </w:p>
    <w:p w14:paraId="3E124E35" w14:textId="5F4F1E05" w:rsidR="00A9532D" w:rsidRDefault="00A9532D" w:rsidP="003169E3">
      <w:pPr>
        <w:jc w:val="both"/>
        <w:rPr>
          <w:rFonts w:ascii="Arial" w:hAnsi="Arial" w:cs="Arial"/>
        </w:rPr>
      </w:pPr>
    </w:p>
    <w:p w14:paraId="793F8CB1" w14:textId="7068E8B0" w:rsidR="00A9532D" w:rsidRDefault="00A9532D" w:rsidP="00795345">
      <w:pPr>
        <w:ind w:left="720"/>
        <w:jc w:val="both"/>
        <w:rPr>
          <w:rFonts w:ascii="Arial" w:hAnsi="Arial" w:cs="Arial"/>
          <w:i/>
        </w:rPr>
      </w:pPr>
      <w:r w:rsidRPr="00795345">
        <w:rPr>
          <w:rFonts w:ascii="Arial" w:hAnsi="Arial" w:cs="Arial"/>
          <w:i/>
        </w:rPr>
        <w:t xml:space="preserve">As of summer 2019, there appears to be enough rail capacity to ship an additional 1.2 million </w:t>
      </w:r>
      <w:proofErr w:type="spellStart"/>
      <w:r w:rsidRPr="00795345">
        <w:rPr>
          <w:rFonts w:ascii="Arial" w:hAnsi="Arial" w:cs="Arial"/>
          <w:i/>
        </w:rPr>
        <w:t>tpy</w:t>
      </w:r>
      <w:proofErr w:type="spellEnd"/>
      <w:r w:rsidRPr="00795345">
        <w:rPr>
          <w:rFonts w:ascii="Arial" w:hAnsi="Arial" w:cs="Arial"/>
          <w:i/>
        </w:rPr>
        <w:t xml:space="preserve"> [tons per year] to either of the two private landfills that currently serve city and county governments in Washington and Oregon. We can reasonably conclude that absent a major catastrophe such as a landslide or earthquake that destroys a significant portion of the Seattle-Portland track, there will continue to be some rail capacity</w:t>
      </w:r>
      <w:r w:rsidR="0023121D" w:rsidRPr="00795345">
        <w:rPr>
          <w:rFonts w:ascii="Arial" w:hAnsi="Arial" w:cs="Arial"/>
          <w:i/>
        </w:rPr>
        <w:t xml:space="preserve">. If in 2035 there is not enough capacity to carry an additional 1.2 million </w:t>
      </w:r>
      <w:proofErr w:type="spellStart"/>
      <w:r w:rsidR="0023121D" w:rsidRPr="00795345">
        <w:rPr>
          <w:rFonts w:ascii="Arial" w:hAnsi="Arial" w:cs="Arial"/>
          <w:i/>
        </w:rPr>
        <w:t>tpy</w:t>
      </w:r>
      <w:proofErr w:type="spellEnd"/>
      <w:r w:rsidR="0023121D" w:rsidRPr="00795345">
        <w:rPr>
          <w:rFonts w:ascii="Arial" w:hAnsi="Arial" w:cs="Arial"/>
          <w:i/>
        </w:rPr>
        <w:t>, then the question becomes who gets to use the available capacity. The answer depends on how much each entity is willing to pay to move its own products. It seems likely that each railroad will select and prioritize what commodities it will haul based on its own economic self-interest</w:t>
      </w:r>
      <w:r w:rsidR="00795345" w:rsidRPr="00795345">
        <w:rPr>
          <w:rFonts w:ascii="Arial" w:hAnsi="Arial" w:cs="Arial"/>
          <w:i/>
        </w:rPr>
        <w:t>: that is, which combination of total tons and rate / ton provides the highest economic benefit for the railroad</w:t>
      </w:r>
      <w:r w:rsidR="00795345">
        <w:rPr>
          <w:rFonts w:ascii="Arial" w:hAnsi="Arial" w:cs="Arial"/>
        </w:rPr>
        <w:t xml:space="preserve"> </w:t>
      </w:r>
      <w:r w:rsidR="00795345">
        <w:rPr>
          <w:rFonts w:ascii="Arial" w:hAnsi="Arial" w:cs="Arial"/>
          <w:i/>
        </w:rPr>
        <w:t>(page 4-23).</w:t>
      </w:r>
    </w:p>
    <w:p w14:paraId="03B3A0A7" w14:textId="1D26CBC3" w:rsidR="00A97ED4" w:rsidRDefault="00A97ED4" w:rsidP="00795345">
      <w:pPr>
        <w:ind w:left="720"/>
        <w:jc w:val="both"/>
        <w:rPr>
          <w:rFonts w:ascii="Arial" w:hAnsi="Arial" w:cs="Arial"/>
          <w:i/>
        </w:rPr>
      </w:pPr>
    </w:p>
    <w:p w14:paraId="7463A7F1" w14:textId="450163C4" w:rsidR="00A97ED4" w:rsidRPr="00A97ED4" w:rsidRDefault="003D28E6" w:rsidP="00A97ED4">
      <w:pPr>
        <w:jc w:val="both"/>
        <w:rPr>
          <w:rFonts w:ascii="Arial" w:hAnsi="Arial" w:cs="Arial"/>
        </w:rPr>
      </w:pPr>
      <w:r>
        <w:rPr>
          <w:rFonts w:ascii="Arial" w:hAnsi="Arial" w:cs="Arial"/>
        </w:rPr>
        <w:t xml:space="preserve">The Consultant </w:t>
      </w:r>
      <w:r w:rsidR="00190698">
        <w:rPr>
          <w:rFonts w:ascii="Arial" w:hAnsi="Arial" w:cs="Arial"/>
        </w:rPr>
        <w:t>indicates</w:t>
      </w:r>
      <w:r w:rsidR="002B5EC2">
        <w:rPr>
          <w:rFonts w:ascii="Arial" w:hAnsi="Arial" w:cs="Arial"/>
        </w:rPr>
        <w:t xml:space="preserve"> that the railroads</w:t>
      </w:r>
      <w:r w:rsidR="00F50E5B">
        <w:rPr>
          <w:rFonts w:ascii="Arial" w:hAnsi="Arial" w:cs="Arial"/>
        </w:rPr>
        <w:t xml:space="preserve"> suggested</w:t>
      </w:r>
      <w:r w:rsidR="00F46594">
        <w:rPr>
          <w:rFonts w:ascii="Arial" w:hAnsi="Arial" w:cs="Arial"/>
        </w:rPr>
        <w:t xml:space="preserve"> in their interviews</w:t>
      </w:r>
      <w:r w:rsidR="00F50E5B">
        <w:rPr>
          <w:rFonts w:ascii="Arial" w:hAnsi="Arial" w:cs="Arial"/>
        </w:rPr>
        <w:t xml:space="preserve"> that the County consider phasing-in waste export over time</w:t>
      </w:r>
      <w:r w:rsidR="00F375BD">
        <w:rPr>
          <w:rFonts w:ascii="Arial" w:hAnsi="Arial" w:cs="Arial"/>
        </w:rPr>
        <w:t>, which would allow both the railroads and landfill companies to phase-in their investments (e.g., shipping containers, rail cars)</w:t>
      </w:r>
      <w:r w:rsidR="009A2E54">
        <w:rPr>
          <w:rFonts w:ascii="Arial" w:hAnsi="Arial" w:cs="Arial"/>
        </w:rPr>
        <w:t xml:space="preserve">. This option, according to the Feasibility Study, would potentially </w:t>
      </w:r>
      <w:r w:rsidR="00BD064E">
        <w:rPr>
          <w:rFonts w:ascii="Arial" w:hAnsi="Arial" w:cs="Arial"/>
        </w:rPr>
        <w:t>slightly extend the capacity of the Cedar Hills landfill and initially allow use of existing IMFs</w:t>
      </w:r>
      <w:r w:rsidR="00601600">
        <w:rPr>
          <w:rFonts w:ascii="Arial" w:hAnsi="Arial" w:cs="Arial"/>
        </w:rPr>
        <w:t>. However, the Consultant notes that the primary drawback of phasing-in waste export would be that th</w:t>
      </w:r>
      <w:r w:rsidR="001B44B6">
        <w:rPr>
          <w:rFonts w:ascii="Arial" w:hAnsi="Arial" w:cs="Arial"/>
        </w:rPr>
        <w:t>e cost</w:t>
      </w:r>
      <w:r w:rsidR="001E2072">
        <w:rPr>
          <w:rFonts w:ascii="Arial" w:hAnsi="Arial" w:cs="Arial"/>
        </w:rPr>
        <w:t xml:space="preserve">s to continue operating the Cedar Hills landfill and the cost of partial waste export “would likely exceed the value of nominally increasing the life of Cedar Hills” </w:t>
      </w:r>
      <w:r w:rsidR="001E2072">
        <w:rPr>
          <w:rFonts w:ascii="Arial" w:hAnsi="Arial" w:cs="Arial"/>
        </w:rPr>
        <w:lastRenderedPageBreak/>
        <w:t>(page 4-23).</w:t>
      </w:r>
      <w:r w:rsidR="00CB05CE">
        <w:rPr>
          <w:rFonts w:ascii="Arial" w:hAnsi="Arial" w:cs="Arial"/>
        </w:rPr>
        <w:t xml:space="preserve"> </w:t>
      </w:r>
      <w:r w:rsidR="009D22BD">
        <w:rPr>
          <w:rFonts w:ascii="Arial" w:hAnsi="Arial" w:cs="Arial"/>
        </w:rPr>
        <w:t>Phase-in of waste export</w:t>
      </w:r>
      <w:r w:rsidR="0007185B">
        <w:rPr>
          <w:rFonts w:ascii="Arial" w:hAnsi="Arial" w:cs="Arial"/>
        </w:rPr>
        <w:t xml:space="preserve"> was not considered in the financial model</w:t>
      </w:r>
      <w:r w:rsidR="009D22BD">
        <w:rPr>
          <w:rFonts w:ascii="Arial" w:hAnsi="Arial" w:cs="Arial"/>
        </w:rPr>
        <w:t xml:space="preserve"> that has been described in this staff report</w:t>
      </w:r>
      <w:r w:rsidR="0007185B">
        <w:rPr>
          <w:rFonts w:ascii="Arial" w:hAnsi="Arial" w:cs="Arial"/>
        </w:rPr>
        <w:t>.</w:t>
      </w:r>
    </w:p>
    <w:p w14:paraId="287B5642" w14:textId="77777777" w:rsidR="003169E3" w:rsidRDefault="003169E3" w:rsidP="00CA0D6E">
      <w:pPr>
        <w:jc w:val="both"/>
        <w:rPr>
          <w:rFonts w:ascii="Arial" w:hAnsi="Arial" w:cs="Arial"/>
          <w:b/>
        </w:rPr>
      </w:pPr>
    </w:p>
    <w:p w14:paraId="48CFC1B4" w14:textId="2082DC40" w:rsidR="00FD2BAF" w:rsidRPr="0028273D" w:rsidRDefault="003B2146" w:rsidP="00CA0D6E">
      <w:pPr>
        <w:jc w:val="both"/>
        <w:rPr>
          <w:rFonts w:ascii="Arial" w:hAnsi="Arial" w:cs="Arial"/>
        </w:rPr>
      </w:pPr>
      <w:r>
        <w:rPr>
          <w:rFonts w:ascii="Arial" w:hAnsi="Arial" w:cs="Arial"/>
          <w:b/>
        </w:rPr>
        <w:t>Summary of Consultant Recommendations</w:t>
      </w:r>
      <w:r w:rsidR="008B31F7">
        <w:rPr>
          <w:rFonts w:ascii="Arial" w:hAnsi="Arial" w:cs="Arial"/>
          <w:b/>
        </w:rPr>
        <w:t xml:space="preserve">. </w:t>
      </w:r>
      <w:r w:rsidR="00247077">
        <w:rPr>
          <w:rFonts w:ascii="Arial" w:hAnsi="Arial" w:cs="Arial"/>
        </w:rPr>
        <w:t>Based on its analysis, the</w:t>
      </w:r>
      <w:r w:rsidR="00FD2BAF">
        <w:rPr>
          <w:rFonts w:ascii="Arial" w:hAnsi="Arial" w:cs="Arial"/>
        </w:rPr>
        <w:t xml:space="preserve"> Consultant </w:t>
      </w:r>
      <w:r w:rsidR="00247077">
        <w:rPr>
          <w:rFonts w:ascii="Arial" w:hAnsi="Arial" w:cs="Arial"/>
        </w:rPr>
        <w:t>recommends that the County c</w:t>
      </w:r>
      <w:r w:rsidR="00305014">
        <w:rPr>
          <w:rFonts w:ascii="Arial" w:hAnsi="Arial" w:cs="Arial"/>
        </w:rPr>
        <w:t xml:space="preserve">onsider </w:t>
      </w:r>
      <w:r w:rsidR="005E77E4">
        <w:rPr>
          <w:rFonts w:ascii="Arial" w:hAnsi="Arial" w:cs="Arial"/>
        </w:rPr>
        <w:t>pursuing</w:t>
      </w:r>
      <w:r w:rsidR="00305014">
        <w:rPr>
          <w:rFonts w:ascii="Arial" w:hAnsi="Arial" w:cs="Arial"/>
        </w:rPr>
        <w:t xml:space="preserve"> additional preliminary evaluation, permitting, and siting considerations in order to move forward with a WTE facility over waste export by rail</w:t>
      </w:r>
      <w:r w:rsidR="00247077">
        <w:rPr>
          <w:rFonts w:ascii="Arial" w:hAnsi="Arial" w:cs="Arial"/>
        </w:rPr>
        <w:t>. Specifically, the Feasibility Study states that “Due to the long-term cost saving, improved recycling rates, and potential for net negative GHG emissions with the inclusion of carbon capture technology, WTE disposal will provide a significant financial and environmental benefit to the County over</w:t>
      </w:r>
      <w:r w:rsidR="004D0B15">
        <w:rPr>
          <w:rFonts w:ascii="Arial" w:hAnsi="Arial" w:cs="Arial"/>
        </w:rPr>
        <w:t xml:space="preserve"> WEBR [waste export by rail]. Additionally, even with the potential hurdles during the permitting and siting process, WTE represents a much more stable long-term financial profile over WEBR to protect the County’s solid waste rate structure against future inflation and escalation” (</w:t>
      </w:r>
      <w:r w:rsidR="003354D8">
        <w:rPr>
          <w:rFonts w:ascii="Arial" w:hAnsi="Arial" w:cs="Arial"/>
        </w:rPr>
        <w:t>page 6-3). The Consultant also recommends that</w:t>
      </w:r>
      <w:r w:rsidR="00890D69">
        <w:rPr>
          <w:rFonts w:ascii="Arial" w:hAnsi="Arial" w:cs="Arial"/>
        </w:rPr>
        <w:t xml:space="preserve"> the County expl</w:t>
      </w:r>
      <w:r w:rsidR="008D3E4B">
        <w:rPr>
          <w:rFonts w:ascii="Arial" w:hAnsi="Arial" w:cs="Arial"/>
        </w:rPr>
        <w:t xml:space="preserve">ore the potential of carrying out </w:t>
      </w:r>
      <w:r w:rsidR="00890D69">
        <w:rPr>
          <w:rFonts w:ascii="Arial" w:hAnsi="Arial" w:cs="Arial"/>
        </w:rPr>
        <w:t>siting and planning studies con</w:t>
      </w:r>
      <w:r w:rsidR="008D3E4B">
        <w:rPr>
          <w:rFonts w:ascii="Arial" w:hAnsi="Arial" w:cs="Arial"/>
        </w:rPr>
        <w:t xml:space="preserve">currently with the update to the Comprehensive </w:t>
      </w:r>
      <w:r w:rsidR="005E77E4">
        <w:rPr>
          <w:rFonts w:ascii="Arial" w:hAnsi="Arial" w:cs="Arial"/>
        </w:rPr>
        <w:t xml:space="preserve">Solid Waste Management </w:t>
      </w:r>
      <w:r w:rsidR="008D3E4B">
        <w:rPr>
          <w:rFonts w:ascii="Arial" w:hAnsi="Arial" w:cs="Arial"/>
        </w:rPr>
        <w:t>Plan</w:t>
      </w:r>
      <w:r w:rsidR="004A4A09">
        <w:rPr>
          <w:rFonts w:ascii="Arial" w:hAnsi="Arial" w:cs="Arial"/>
        </w:rPr>
        <w:t>, and also evaluate opportunities at Cedar Hills for future ash disposal.</w:t>
      </w:r>
    </w:p>
    <w:p w14:paraId="6C313ABD" w14:textId="177FDC2E" w:rsidR="003B2146" w:rsidRPr="006A08D3" w:rsidRDefault="003B2146" w:rsidP="00CA0D6E">
      <w:pPr>
        <w:jc w:val="both"/>
        <w:rPr>
          <w:rFonts w:ascii="Arial" w:hAnsi="Arial" w:cs="Arial"/>
        </w:rPr>
      </w:pPr>
    </w:p>
    <w:p w14:paraId="0D70245A" w14:textId="3ED6B164" w:rsidR="00881630" w:rsidRDefault="00726AFF" w:rsidP="005B478C">
      <w:pPr>
        <w:jc w:val="both"/>
        <w:rPr>
          <w:rFonts w:ascii="Arial" w:hAnsi="Arial" w:cs="Arial"/>
        </w:rPr>
      </w:pPr>
      <w:r>
        <w:rPr>
          <w:rFonts w:ascii="Arial" w:hAnsi="Arial" w:cs="Arial"/>
          <w:b/>
        </w:rPr>
        <w:t>Council Action</w:t>
      </w:r>
      <w:r w:rsidR="00540368">
        <w:rPr>
          <w:rFonts w:ascii="Arial" w:hAnsi="Arial" w:cs="Arial"/>
          <w:b/>
        </w:rPr>
        <w:t xml:space="preserve"> and Next Steps</w:t>
      </w:r>
      <w:r w:rsidR="008B31F7">
        <w:rPr>
          <w:rFonts w:ascii="Arial" w:hAnsi="Arial" w:cs="Arial"/>
          <w:b/>
        </w:rPr>
        <w:t xml:space="preserve">. </w:t>
      </w:r>
      <w:r w:rsidR="00C37FDA">
        <w:rPr>
          <w:rFonts w:ascii="Arial" w:hAnsi="Arial" w:cs="Arial"/>
        </w:rPr>
        <w:t>With the transmittal of this</w:t>
      </w:r>
      <w:r w:rsidR="005B5D9C">
        <w:rPr>
          <w:rFonts w:ascii="Arial" w:hAnsi="Arial" w:cs="Arial"/>
        </w:rPr>
        <w:t xml:space="preserve"> feasibility study required by the proviso, the funds encumbered by the proviso can be released, if </w:t>
      </w:r>
      <w:r w:rsidR="00C536A3">
        <w:rPr>
          <w:rFonts w:ascii="Arial" w:hAnsi="Arial" w:cs="Arial"/>
        </w:rPr>
        <w:t xml:space="preserve">Proposed </w:t>
      </w:r>
      <w:r w:rsidR="005B5D9C">
        <w:rPr>
          <w:rFonts w:ascii="Arial" w:hAnsi="Arial" w:cs="Arial"/>
        </w:rPr>
        <w:t>Motion 2019-0429 is approved by the Council</w:t>
      </w:r>
      <w:r w:rsidR="005B478C">
        <w:rPr>
          <w:rFonts w:ascii="Arial" w:hAnsi="Arial" w:cs="Arial"/>
        </w:rPr>
        <w:t>.</w:t>
      </w:r>
      <w:r w:rsidR="00C536A3">
        <w:rPr>
          <w:rFonts w:ascii="Arial" w:hAnsi="Arial" w:cs="Arial"/>
        </w:rPr>
        <w:t xml:space="preserve"> </w:t>
      </w:r>
      <w:r w:rsidR="002547A0">
        <w:rPr>
          <w:rFonts w:ascii="Arial" w:hAnsi="Arial" w:cs="Arial"/>
        </w:rPr>
        <w:t>However, a</w:t>
      </w:r>
      <w:r w:rsidR="00C536A3">
        <w:rPr>
          <w:rFonts w:ascii="Arial" w:hAnsi="Arial" w:cs="Arial"/>
        </w:rPr>
        <w:t>pproval of the proposed motion would not provide Council approval for the next disposal method. The main legislative vehicle for solid waste system planning decisions, including long-term disposal, is through updates to the Comprehensive Solid Waste Management Plan.</w:t>
      </w:r>
    </w:p>
    <w:p w14:paraId="0B924A1F" w14:textId="063232A6" w:rsidR="001B04EF" w:rsidRDefault="001B04EF" w:rsidP="005B478C">
      <w:pPr>
        <w:jc w:val="both"/>
        <w:rPr>
          <w:rFonts w:ascii="Arial" w:hAnsi="Arial" w:cs="Arial"/>
        </w:rPr>
      </w:pPr>
    </w:p>
    <w:p w14:paraId="3E871657" w14:textId="0AFCDF99" w:rsidR="00973398" w:rsidRPr="005A033C" w:rsidRDefault="005A033C" w:rsidP="005B478C">
      <w:pPr>
        <w:pStyle w:val="BodyText"/>
        <w:jc w:val="both"/>
        <w:rPr>
          <w:rFonts w:ascii="Arial" w:hAnsi="Arial" w:cs="Arial"/>
          <w:b/>
          <w:i w:val="0"/>
          <w:szCs w:val="24"/>
          <w:u w:val="single"/>
        </w:rPr>
      </w:pPr>
      <w:r w:rsidRPr="005A033C">
        <w:rPr>
          <w:rFonts w:ascii="Arial" w:hAnsi="Arial" w:cs="Arial"/>
          <w:i w:val="0"/>
        </w:rPr>
        <w:t xml:space="preserve">The 2019 Comprehensive Solid Waste Management Plan </w:t>
      </w:r>
      <w:r w:rsidR="0022642B">
        <w:rPr>
          <w:rFonts w:ascii="Arial" w:hAnsi="Arial" w:cs="Arial"/>
          <w:i w:val="0"/>
        </w:rPr>
        <w:t>included</w:t>
      </w:r>
      <w:r w:rsidRPr="005A033C">
        <w:rPr>
          <w:rFonts w:ascii="Arial" w:hAnsi="Arial" w:cs="Arial"/>
          <w:i w:val="0"/>
        </w:rPr>
        <w:t xml:space="preserve"> a requirement that the Office of Performance, Strategy and Budget engage with SWD and regional partners to develop a plan for long-term disposal. Under this requirement, a progress report is due to the Council by December 31, 2021 that outlines how the plan will be developed and that includes the timing for the transmittal of the plan, as well as the implementing legislation.</w:t>
      </w:r>
    </w:p>
    <w:p w14:paraId="0A82050A" w14:textId="77777777" w:rsidR="0022642B" w:rsidRDefault="0022642B" w:rsidP="00973398">
      <w:pPr>
        <w:jc w:val="both"/>
        <w:rPr>
          <w:rFonts w:ascii="Arial" w:hAnsi="Arial" w:cs="Arial"/>
          <w:b/>
          <w:szCs w:val="24"/>
          <w:u w:val="single"/>
        </w:rPr>
      </w:pPr>
    </w:p>
    <w:p w14:paraId="2E24A436" w14:textId="6A7AF7D1" w:rsidR="00973398" w:rsidRPr="001C4B19" w:rsidRDefault="00973398" w:rsidP="00973398">
      <w:pPr>
        <w:jc w:val="both"/>
        <w:rPr>
          <w:rFonts w:ascii="Arial" w:hAnsi="Arial" w:cs="Arial"/>
          <w:b/>
          <w:szCs w:val="24"/>
          <w:u w:val="single"/>
        </w:rPr>
      </w:pPr>
      <w:r w:rsidRPr="001C4B19">
        <w:rPr>
          <w:rFonts w:ascii="Arial" w:hAnsi="Arial" w:cs="Arial"/>
          <w:b/>
          <w:szCs w:val="24"/>
          <w:u w:val="single"/>
        </w:rPr>
        <w:t>INVITED</w:t>
      </w:r>
    </w:p>
    <w:p w14:paraId="4EBC8980" w14:textId="77777777" w:rsidR="00973398" w:rsidRPr="001C4B19" w:rsidRDefault="00973398" w:rsidP="00973398">
      <w:pPr>
        <w:jc w:val="both"/>
        <w:rPr>
          <w:rFonts w:ascii="Arial" w:hAnsi="Arial" w:cs="Arial"/>
          <w:szCs w:val="24"/>
        </w:rPr>
      </w:pPr>
    </w:p>
    <w:p w14:paraId="31F3E431" w14:textId="6E56D958" w:rsidR="00973398" w:rsidRDefault="00866D4F" w:rsidP="004A4A09">
      <w:pPr>
        <w:pStyle w:val="ListParagraph0"/>
        <w:numPr>
          <w:ilvl w:val="0"/>
          <w:numId w:val="1"/>
        </w:numPr>
        <w:spacing w:line="240" w:lineRule="auto"/>
        <w:jc w:val="both"/>
        <w:rPr>
          <w:rFonts w:ascii="Arial" w:hAnsi="Arial" w:cs="Arial"/>
        </w:rPr>
      </w:pPr>
      <w:r>
        <w:rPr>
          <w:rFonts w:ascii="Arial" w:hAnsi="Arial" w:cs="Arial"/>
        </w:rPr>
        <w:t>Dwight</w:t>
      </w:r>
      <w:r w:rsidR="00F50E18">
        <w:rPr>
          <w:rFonts w:ascii="Arial" w:hAnsi="Arial" w:cs="Arial"/>
        </w:rPr>
        <w:t xml:space="preserve"> Dively, </w:t>
      </w:r>
      <w:r w:rsidR="00C82251">
        <w:rPr>
          <w:rFonts w:ascii="Arial" w:hAnsi="Arial" w:cs="Arial"/>
        </w:rPr>
        <w:t>Director</w:t>
      </w:r>
      <w:r w:rsidR="00F50E18">
        <w:rPr>
          <w:rFonts w:ascii="Arial" w:hAnsi="Arial" w:cs="Arial"/>
        </w:rPr>
        <w:t>, Performance, Strategy and Budget</w:t>
      </w:r>
    </w:p>
    <w:p w14:paraId="7925B73C" w14:textId="72ACCC71" w:rsidR="00866D4F" w:rsidRPr="001C4B19" w:rsidRDefault="00866D4F" w:rsidP="004A4A09">
      <w:pPr>
        <w:pStyle w:val="ListParagraph0"/>
        <w:numPr>
          <w:ilvl w:val="0"/>
          <w:numId w:val="1"/>
        </w:numPr>
        <w:spacing w:line="240" w:lineRule="auto"/>
        <w:jc w:val="both"/>
        <w:rPr>
          <w:rFonts w:ascii="Arial" w:hAnsi="Arial" w:cs="Arial"/>
        </w:rPr>
      </w:pPr>
      <w:r>
        <w:rPr>
          <w:rFonts w:ascii="Arial" w:hAnsi="Arial" w:cs="Arial"/>
        </w:rPr>
        <w:t>Pat</w:t>
      </w:r>
      <w:r w:rsidR="00F50E18">
        <w:rPr>
          <w:rFonts w:ascii="Arial" w:hAnsi="Arial" w:cs="Arial"/>
        </w:rPr>
        <w:t xml:space="preserve"> McLaughlin, Director, Solid Waste Division</w:t>
      </w:r>
    </w:p>
    <w:p w14:paraId="74860CD4" w14:textId="77777777" w:rsidR="00973398" w:rsidRPr="001C4B19" w:rsidRDefault="00973398" w:rsidP="00973398">
      <w:pPr>
        <w:jc w:val="both"/>
        <w:rPr>
          <w:rFonts w:ascii="Arial" w:hAnsi="Arial" w:cs="Arial"/>
          <w:szCs w:val="24"/>
        </w:rPr>
      </w:pPr>
    </w:p>
    <w:p w14:paraId="2329CAD7" w14:textId="3560CD2D" w:rsidR="00EE00F3" w:rsidRPr="001C4B19" w:rsidRDefault="00293D02" w:rsidP="005B478C">
      <w:pPr>
        <w:pStyle w:val="BodyText"/>
        <w:jc w:val="both"/>
        <w:rPr>
          <w:rFonts w:ascii="Arial" w:hAnsi="Arial" w:cs="Arial"/>
          <w:i w:val="0"/>
          <w:szCs w:val="24"/>
        </w:rPr>
      </w:pPr>
      <w:r w:rsidRPr="001C4B19">
        <w:rPr>
          <w:rFonts w:ascii="Arial" w:hAnsi="Arial" w:cs="Arial"/>
          <w:b/>
          <w:i w:val="0"/>
          <w:szCs w:val="24"/>
          <w:u w:val="single"/>
        </w:rPr>
        <w:t>ATTACHMENTS</w:t>
      </w:r>
    </w:p>
    <w:p w14:paraId="15575AEC" w14:textId="77777777" w:rsidR="00B24961" w:rsidRPr="001C4B19" w:rsidRDefault="00B24961" w:rsidP="005B478C">
      <w:pPr>
        <w:pStyle w:val="BodyText"/>
        <w:jc w:val="both"/>
        <w:rPr>
          <w:rFonts w:ascii="Arial" w:hAnsi="Arial" w:cs="Arial"/>
          <w:i w:val="0"/>
          <w:szCs w:val="24"/>
        </w:rPr>
      </w:pPr>
    </w:p>
    <w:p w14:paraId="5347C7C8" w14:textId="6AF3A477" w:rsidR="004C241A" w:rsidRPr="001C4B19" w:rsidRDefault="00C521D8" w:rsidP="004A4A09">
      <w:pPr>
        <w:pStyle w:val="BodyText"/>
        <w:numPr>
          <w:ilvl w:val="0"/>
          <w:numId w:val="2"/>
        </w:numPr>
        <w:jc w:val="both"/>
        <w:rPr>
          <w:rFonts w:ascii="Arial" w:hAnsi="Arial" w:cs="Arial"/>
          <w:i w:val="0"/>
          <w:szCs w:val="24"/>
        </w:rPr>
      </w:pPr>
      <w:r w:rsidRPr="001C4B19">
        <w:rPr>
          <w:rFonts w:ascii="Arial" w:hAnsi="Arial" w:cs="Arial"/>
          <w:i w:val="0"/>
          <w:szCs w:val="24"/>
        </w:rPr>
        <w:t xml:space="preserve">Proposed </w:t>
      </w:r>
      <w:r w:rsidR="00664648">
        <w:rPr>
          <w:rFonts w:ascii="Arial" w:hAnsi="Arial" w:cs="Arial"/>
          <w:i w:val="0"/>
          <w:szCs w:val="24"/>
        </w:rPr>
        <w:t>Motion</w:t>
      </w:r>
      <w:r w:rsidRPr="001C4B19">
        <w:rPr>
          <w:rFonts w:ascii="Arial" w:hAnsi="Arial" w:cs="Arial"/>
          <w:i w:val="0"/>
          <w:szCs w:val="24"/>
        </w:rPr>
        <w:t xml:space="preserve"> 201</w:t>
      </w:r>
      <w:r w:rsidR="00866D4F">
        <w:rPr>
          <w:rFonts w:ascii="Arial" w:hAnsi="Arial" w:cs="Arial"/>
          <w:i w:val="0"/>
          <w:szCs w:val="24"/>
        </w:rPr>
        <w:t>9</w:t>
      </w:r>
      <w:r w:rsidRPr="001C4B19">
        <w:rPr>
          <w:rFonts w:ascii="Arial" w:hAnsi="Arial" w:cs="Arial"/>
          <w:i w:val="0"/>
          <w:szCs w:val="24"/>
        </w:rPr>
        <w:t>-0</w:t>
      </w:r>
      <w:r w:rsidR="00866D4F">
        <w:rPr>
          <w:rFonts w:ascii="Arial" w:hAnsi="Arial" w:cs="Arial"/>
          <w:i w:val="0"/>
          <w:szCs w:val="24"/>
        </w:rPr>
        <w:t>429</w:t>
      </w:r>
      <w:r w:rsidR="00575B03" w:rsidRPr="001C4B19">
        <w:rPr>
          <w:rFonts w:ascii="Arial" w:hAnsi="Arial" w:cs="Arial"/>
          <w:i w:val="0"/>
          <w:szCs w:val="24"/>
        </w:rPr>
        <w:t xml:space="preserve"> (and its attachments)</w:t>
      </w:r>
    </w:p>
    <w:p w14:paraId="2E5CEB9B" w14:textId="7C2C8F09" w:rsidR="00C521D8" w:rsidRDefault="00C521D8" w:rsidP="004A4A09">
      <w:pPr>
        <w:pStyle w:val="BodyText"/>
        <w:numPr>
          <w:ilvl w:val="0"/>
          <w:numId w:val="2"/>
        </w:numPr>
        <w:jc w:val="both"/>
        <w:rPr>
          <w:rFonts w:ascii="Arial" w:hAnsi="Arial" w:cs="Arial"/>
          <w:i w:val="0"/>
          <w:szCs w:val="24"/>
        </w:rPr>
      </w:pPr>
      <w:r w:rsidRPr="001C4B19">
        <w:rPr>
          <w:rFonts w:ascii="Arial" w:hAnsi="Arial" w:cs="Arial"/>
          <w:i w:val="0"/>
          <w:szCs w:val="24"/>
        </w:rPr>
        <w:t>Transmittal Letter</w:t>
      </w:r>
    </w:p>
    <w:p w14:paraId="54784654" w14:textId="0B3A4535" w:rsidR="00BF4EF3" w:rsidRPr="001C4B19" w:rsidRDefault="000216F6" w:rsidP="004A4A09">
      <w:pPr>
        <w:pStyle w:val="BodyText"/>
        <w:numPr>
          <w:ilvl w:val="0"/>
          <w:numId w:val="2"/>
        </w:numPr>
        <w:jc w:val="both"/>
        <w:rPr>
          <w:rFonts w:ascii="Arial" w:hAnsi="Arial" w:cs="Arial"/>
          <w:i w:val="0"/>
          <w:szCs w:val="24"/>
        </w:rPr>
      </w:pPr>
      <w:r>
        <w:rPr>
          <w:rFonts w:ascii="Arial" w:hAnsi="Arial" w:cs="Arial"/>
          <w:i w:val="0"/>
          <w:szCs w:val="24"/>
        </w:rPr>
        <w:t>Waste-to-Energy Studies Cost Comparison Memo</w:t>
      </w:r>
      <w:r w:rsidR="00236D1F">
        <w:rPr>
          <w:rFonts w:ascii="Arial" w:hAnsi="Arial" w:cs="Arial"/>
          <w:i w:val="0"/>
          <w:szCs w:val="24"/>
        </w:rPr>
        <w:t xml:space="preserve"> - </w:t>
      </w:r>
      <w:r>
        <w:rPr>
          <w:rFonts w:ascii="Arial" w:hAnsi="Arial" w:cs="Arial"/>
          <w:i w:val="0"/>
          <w:szCs w:val="24"/>
        </w:rPr>
        <w:t>Performance, Strategy and Budget</w:t>
      </w:r>
    </w:p>
    <w:p w14:paraId="4F39474A" w14:textId="77777777" w:rsidR="00C521D8" w:rsidRPr="001C4B19" w:rsidRDefault="00C521D8" w:rsidP="005B478C">
      <w:pPr>
        <w:pStyle w:val="BodyText"/>
        <w:jc w:val="both"/>
        <w:rPr>
          <w:rFonts w:ascii="Arial" w:hAnsi="Arial" w:cs="Arial"/>
          <w:b/>
          <w:i w:val="0"/>
          <w:szCs w:val="24"/>
          <w:u w:val="single"/>
        </w:rPr>
      </w:pPr>
    </w:p>
    <w:sectPr w:rsidR="00C521D8" w:rsidRPr="001C4B19" w:rsidSect="00C75025">
      <w:headerReference w:type="first" r:id="rId11"/>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1427E" w14:textId="77777777" w:rsidR="00573290" w:rsidRDefault="00573290">
      <w:r>
        <w:separator/>
      </w:r>
    </w:p>
  </w:endnote>
  <w:endnote w:type="continuationSeparator" w:id="0">
    <w:p w14:paraId="266769CE" w14:textId="77777777" w:rsidR="00573290" w:rsidRDefault="0057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C296A" w14:textId="77777777" w:rsidR="00573290" w:rsidRDefault="00573290">
      <w:r>
        <w:separator/>
      </w:r>
    </w:p>
  </w:footnote>
  <w:footnote w:type="continuationSeparator" w:id="0">
    <w:p w14:paraId="1DE93329" w14:textId="77777777" w:rsidR="00573290" w:rsidRDefault="00573290">
      <w:r>
        <w:continuationSeparator/>
      </w:r>
    </w:p>
  </w:footnote>
  <w:footnote w:id="1">
    <w:p w14:paraId="2A174EEA" w14:textId="0985B482" w:rsidR="00573290" w:rsidRPr="00275BFC" w:rsidRDefault="00573290">
      <w:pPr>
        <w:pStyle w:val="FootnoteText"/>
      </w:pPr>
      <w:r w:rsidRPr="00275BFC">
        <w:rPr>
          <w:rStyle w:val="FootnoteReference"/>
        </w:rPr>
        <w:footnoteRef/>
      </w:r>
      <w:r w:rsidRPr="00275BFC">
        <w:t xml:space="preserve"> Ordinance 18893</w:t>
      </w:r>
    </w:p>
  </w:footnote>
  <w:footnote w:id="2">
    <w:p w14:paraId="39374D4E" w14:textId="246E528A" w:rsidR="00573290" w:rsidRDefault="00573290">
      <w:pPr>
        <w:pStyle w:val="FootnoteText"/>
      </w:pPr>
      <w:r w:rsidRPr="00275BFC">
        <w:rPr>
          <w:rStyle w:val="FootnoteReference"/>
        </w:rPr>
        <w:footnoteRef/>
      </w:r>
      <w:r w:rsidRPr="00275BFC">
        <w:t xml:space="preserve"> Ordinance 18835, Sec. 19 (Proviso P4; Expenditure Restriction ER2); Sec. 102 (Proviso P3; Expenditure Restriction ER3)</w:t>
      </w:r>
    </w:p>
  </w:footnote>
  <w:footnote w:id="3">
    <w:p w14:paraId="13A25284" w14:textId="29FB0093" w:rsidR="00573290" w:rsidRPr="00275BFC" w:rsidRDefault="00573290">
      <w:pPr>
        <w:pStyle w:val="FootnoteText"/>
      </w:pPr>
      <w:r w:rsidRPr="00275BFC">
        <w:rPr>
          <w:rStyle w:val="FootnoteReference"/>
        </w:rPr>
        <w:footnoteRef/>
      </w:r>
      <w:r w:rsidRPr="00275BFC">
        <w:t xml:space="preserve"> Total costs include capital and operating costs offset by revenues. The Consultant indicates that </w:t>
      </w:r>
      <w:r>
        <w:t xml:space="preserve">some </w:t>
      </w:r>
      <w:r w:rsidRPr="00275BFC">
        <w:t xml:space="preserve">departmental costs are not included in the cited figures as they are expected to be the same under both options. </w:t>
      </w:r>
    </w:p>
  </w:footnote>
  <w:footnote w:id="4">
    <w:p w14:paraId="73061399" w14:textId="46386A31" w:rsidR="00573290" w:rsidRPr="00275BFC" w:rsidRDefault="00573290">
      <w:pPr>
        <w:pStyle w:val="FootnoteText"/>
      </w:pPr>
      <w:r w:rsidRPr="00275BFC">
        <w:rPr>
          <w:rStyle w:val="FootnoteReference"/>
        </w:rPr>
        <w:footnoteRef/>
      </w:r>
      <w:r w:rsidRPr="00275BFC">
        <w:t xml:space="preserve"> Ordinance 18784</w:t>
      </w:r>
    </w:p>
  </w:footnote>
  <w:footnote w:id="5">
    <w:p w14:paraId="3E6FF50A" w14:textId="7327C63A" w:rsidR="0000056A" w:rsidRDefault="0000056A">
      <w:pPr>
        <w:pStyle w:val="FootnoteText"/>
      </w:pPr>
      <w:r>
        <w:rPr>
          <w:rStyle w:val="FootnoteReference"/>
        </w:rPr>
        <w:footnoteRef/>
      </w:r>
      <w:r>
        <w:t xml:space="preserve"> </w:t>
      </w:r>
      <w:r w:rsidR="00606404">
        <w:t>Figure includes appropriations in the Solid Waste Operating Fund and Solid Waste Post-Closure Maintenance Fund and includes appropriations in supplemental budget ordinances</w:t>
      </w:r>
    </w:p>
  </w:footnote>
  <w:footnote w:id="6">
    <w:p w14:paraId="72F7778B" w14:textId="6A4D8478" w:rsidR="00606404" w:rsidRDefault="00606404">
      <w:pPr>
        <w:pStyle w:val="FootnoteText"/>
      </w:pPr>
      <w:r>
        <w:rPr>
          <w:rStyle w:val="FootnoteReference"/>
        </w:rPr>
        <w:footnoteRef/>
      </w:r>
      <w:r>
        <w:t xml:space="preserve"> Figure includes appropriations in the Solid Waste Capital Equipment Replacement, Solid Waste Construction, and Landfill Reserve Funds and includes appropriations in supplemental budget ordinances</w:t>
      </w:r>
    </w:p>
  </w:footnote>
  <w:footnote w:id="7">
    <w:p w14:paraId="12E5F4DF" w14:textId="77777777" w:rsidR="00573290" w:rsidRPr="00275BFC" w:rsidRDefault="00573290" w:rsidP="00CD78E1">
      <w:pPr>
        <w:pStyle w:val="FootnoteText"/>
      </w:pPr>
      <w:r w:rsidRPr="00275BFC">
        <w:rPr>
          <w:rStyle w:val="FootnoteReference"/>
        </w:rPr>
        <w:footnoteRef/>
      </w:r>
      <w:r w:rsidRPr="00275BFC">
        <w:t xml:space="preserve"> Motion 15174</w:t>
      </w:r>
    </w:p>
  </w:footnote>
  <w:footnote w:id="8">
    <w:p w14:paraId="46001FC4" w14:textId="6C06C1E0" w:rsidR="00573290" w:rsidRPr="00275BFC" w:rsidRDefault="00573290">
      <w:pPr>
        <w:pStyle w:val="FootnoteText"/>
      </w:pPr>
      <w:r w:rsidRPr="00275BFC">
        <w:rPr>
          <w:rStyle w:val="FootnoteReference"/>
        </w:rPr>
        <w:footnoteRef/>
      </w:r>
      <w:r w:rsidRPr="00275BFC">
        <w:t xml:space="preserve"> Ordinance 18893</w:t>
      </w:r>
    </w:p>
  </w:footnote>
  <w:footnote w:id="9">
    <w:p w14:paraId="4A10087E" w14:textId="4D897779" w:rsidR="00573290" w:rsidRDefault="00573290">
      <w:pPr>
        <w:pStyle w:val="FootnoteText"/>
      </w:pPr>
      <w:r w:rsidRPr="00275BFC">
        <w:rPr>
          <w:rStyle w:val="FootnoteReference"/>
        </w:rPr>
        <w:footnoteRef/>
      </w:r>
      <w:r w:rsidRPr="00275BFC">
        <w:t xml:space="preserve"> Ordinance 18835</w:t>
      </w:r>
    </w:p>
  </w:footnote>
  <w:footnote w:id="10">
    <w:p w14:paraId="2179913A" w14:textId="60D1D252" w:rsidR="00573290" w:rsidRPr="00275BFC" w:rsidRDefault="00573290">
      <w:pPr>
        <w:pStyle w:val="FootnoteText"/>
      </w:pPr>
      <w:r w:rsidRPr="00275BFC">
        <w:rPr>
          <w:rStyle w:val="FootnoteReference"/>
        </w:rPr>
        <w:footnoteRef/>
      </w:r>
      <w:r w:rsidRPr="00275BFC">
        <w:t xml:space="preserve"> In Ordinance 18835, duplicate provisos and expenditure restrictions are found in Sections 19 (Office of Performance, Strategy and Budget) and 102 (Solid Waste).</w:t>
      </w:r>
    </w:p>
  </w:footnote>
  <w:footnote w:id="11">
    <w:p w14:paraId="79C9B093" w14:textId="3CFC7C4B" w:rsidR="00573290" w:rsidRPr="000216F6" w:rsidRDefault="00573290">
      <w:pPr>
        <w:pStyle w:val="FootnoteText"/>
      </w:pPr>
      <w:r w:rsidRPr="000216F6">
        <w:rPr>
          <w:rStyle w:val="FootnoteReference"/>
        </w:rPr>
        <w:footnoteRef/>
      </w:r>
      <w:r w:rsidRPr="000216F6">
        <w:t xml:space="preserve"> The Feasibility Study explains that the Consultant’s High Bound forecast is based on the SWD baseline model through 2040, which considers inputs such as per capita employment and retail sales data. For years 2040 through 2075, the forecast switches to an average annual growth rate based on the Puget Sound Regional Council Land Use Vision population forecast.</w:t>
      </w:r>
    </w:p>
  </w:footnote>
  <w:footnote w:id="12">
    <w:p w14:paraId="564E03E0" w14:textId="793B0B81" w:rsidR="00573290" w:rsidRPr="000216F6" w:rsidRDefault="00573290">
      <w:pPr>
        <w:pStyle w:val="FootnoteText"/>
      </w:pPr>
      <w:r w:rsidRPr="000216F6">
        <w:rPr>
          <w:rStyle w:val="FootnoteReference"/>
        </w:rPr>
        <w:footnoteRef/>
      </w:r>
      <w:r w:rsidRPr="000216F6">
        <w:t xml:space="preserve"> For the Consultant’s Low Bound forecast, the Feasibility Study notes that an average annual growth rate is used for the entire study period that is based on the Puget Sound Regional Council Land Use Vision population forecast.</w:t>
      </w:r>
    </w:p>
  </w:footnote>
  <w:footnote w:id="13">
    <w:p w14:paraId="4D5C07D6" w14:textId="5D9B2633" w:rsidR="00573290" w:rsidRDefault="00573290">
      <w:pPr>
        <w:pStyle w:val="FootnoteText"/>
      </w:pPr>
      <w:r w:rsidRPr="000216F6">
        <w:rPr>
          <w:rStyle w:val="FootnoteReference"/>
        </w:rPr>
        <w:footnoteRef/>
      </w:r>
      <w:r w:rsidRPr="000216F6">
        <w:t xml:space="preserve"> Motion 15174</w:t>
      </w:r>
    </w:p>
  </w:footnote>
  <w:footnote w:id="14">
    <w:p w14:paraId="65D8BC13" w14:textId="6CADFD3A" w:rsidR="00573290" w:rsidRPr="00275BFC" w:rsidRDefault="00573290" w:rsidP="00D47BB3">
      <w:pPr>
        <w:pStyle w:val="FootnoteText"/>
      </w:pPr>
      <w:r w:rsidRPr="00275BFC">
        <w:rPr>
          <w:rStyle w:val="FootnoteReference"/>
        </w:rPr>
        <w:footnoteRef/>
      </w:r>
      <w:r w:rsidRPr="00275BFC">
        <w:t xml:space="preserve"> Total costs include capital and operating costs offset by revenues. The Consultant indicates that </w:t>
      </w:r>
      <w:r>
        <w:t xml:space="preserve">some </w:t>
      </w:r>
      <w:r w:rsidRPr="00275BFC">
        <w:t xml:space="preserve">departmental costs are not included in the cited figures as they are expected to be the same under both options. </w:t>
      </w:r>
    </w:p>
  </w:footnote>
  <w:footnote w:id="15">
    <w:p w14:paraId="7780945D" w14:textId="546BCA00" w:rsidR="00573290" w:rsidRDefault="00573290">
      <w:pPr>
        <w:pStyle w:val="FootnoteText"/>
      </w:pPr>
      <w:r>
        <w:rPr>
          <w:rStyle w:val="FootnoteReference"/>
        </w:rPr>
        <w:footnoteRef/>
      </w:r>
      <w:r>
        <w:t xml:space="preserve"> SWD retained the services of </w:t>
      </w:r>
      <w:proofErr w:type="spellStart"/>
      <w:r>
        <w:t>Normandeau</w:t>
      </w:r>
      <w:proofErr w:type="spellEnd"/>
      <w:r>
        <w:t xml:space="preserve"> Associates to conduct a study on recommendations for a Waste-to-Energy facility given King County’s waste projections and profile, as well as evaluate out-of-county landfill options and rail capacity. The resulting report was internally used at SWD and was not a Council request, therefore was not transmitted to the Council. </w:t>
      </w:r>
    </w:p>
  </w:footnote>
  <w:footnote w:id="16">
    <w:p w14:paraId="3536D10D" w14:textId="28446296" w:rsidR="00573290" w:rsidRDefault="00573290">
      <w:pPr>
        <w:pStyle w:val="FootnoteText"/>
      </w:pPr>
      <w:r>
        <w:rPr>
          <w:rStyle w:val="FootnoteReference"/>
        </w:rPr>
        <w:footnoteRef/>
      </w:r>
      <w:r>
        <w:t xml:space="preserve"> Figure provided during deliberations on the 2019 Comprehensive Solid Waste Management Plan </w:t>
      </w:r>
    </w:p>
  </w:footnote>
  <w:footnote w:id="17">
    <w:p w14:paraId="09CD0DF3" w14:textId="470A091A" w:rsidR="00573290" w:rsidRDefault="00573290" w:rsidP="0098638F">
      <w:pPr>
        <w:pStyle w:val="FootnoteText"/>
      </w:pPr>
      <w:r>
        <w:rPr>
          <w:rStyle w:val="FootnoteReference"/>
        </w:rPr>
        <w:footnoteRef/>
      </w:r>
      <w:r>
        <w:t xml:space="preserve"> The Feasibility Study notes that advances in metals recovery equipment makes it possible for the separation of more precious metals from unwanted residue which commands a more premium price when recovered metals are sold.</w:t>
      </w:r>
    </w:p>
  </w:footnote>
  <w:footnote w:id="18">
    <w:p w14:paraId="589491DE" w14:textId="77777777" w:rsidR="00573290" w:rsidRDefault="00573290" w:rsidP="00E2074A">
      <w:pPr>
        <w:pStyle w:val="FootnoteText"/>
      </w:pPr>
      <w:r>
        <w:rPr>
          <w:rStyle w:val="FootnoteReference"/>
        </w:rPr>
        <w:footnoteRef/>
      </w:r>
      <w:r>
        <w:t xml:space="preserve"> E2SSB 5116</w:t>
      </w:r>
    </w:p>
  </w:footnote>
  <w:footnote w:id="19">
    <w:p w14:paraId="2EA13AAB" w14:textId="79996125" w:rsidR="00573290" w:rsidRPr="008D5C45" w:rsidRDefault="00573290">
      <w:pPr>
        <w:pStyle w:val="FootnoteText"/>
      </w:pPr>
      <w:r w:rsidRPr="008D5C45">
        <w:rPr>
          <w:rStyle w:val="FootnoteReference"/>
        </w:rPr>
        <w:footnoteRef/>
      </w:r>
      <w:r w:rsidRPr="008D5C45">
        <w:t xml:space="preserve"> In the financial model, the Feasibility Study notes that out-of-county waste is priced at $35 per ton to be competitive with potentially interested jurisdictions and provides Snohomish County’s current disposal cost of $50 per ton as an example.</w:t>
      </w:r>
    </w:p>
  </w:footnote>
  <w:footnote w:id="20">
    <w:p w14:paraId="4CA17C8F" w14:textId="77777777" w:rsidR="00573290" w:rsidRPr="00F93B9D" w:rsidRDefault="00573290" w:rsidP="0061577E">
      <w:pPr>
        <w:pStyle w:val="FootnoteText"/>
        <w:rPr>
          <w:rFonts w:ascii="Arial" w:hAnsi="Arial" w:cs="Arial"/>
        </w:rPr>
      </w:pPr>
      <w:r w:rsidRPr="008D5C45">
        <w:rPr>
          <w:rStyle w:val="FootnoteReference"/>
        </w:rPr>
        <w:footnoteRef/>
      </w:r>
      <w:r w:rsidRPr="008D5C45">
        <w:t xml:space="preserve"> Waste Reduction Model (WARM)</w:t>
      </w:r>
    </w:p>
  </w:footnote>
  <w:footnote w:id="21">
    <w:p w14:paraId="6C7AC333" w14:textId="53A1EF96" w:rsidR="00573290" w:rsidRPr="008D5C45" w:rsidRDefault="00573290">
      <w:pPr>
        <w:pStyle w:val="FootnoteText"/>
      </w:pPr>
      <w:r w:rsidRPr="008D5C45">
        <w:rPr>
          <w:rStyle w:val="FootnoteReference"/>
        </w:rPr>
        <w:footnoteRef/>
      </w:r>
      <w:r w:rsidRPr="008D5C45">
        <w:t xml:space="preserve"> Note that the metric used in the Feasibility Study (MTCO</w:t>
      </w:r>
      <w:r w:rsidRPr="008D5C45">
        <w:rPr>
          <w:vertAlign w:val="subscript"/>
        </w:rPr>
        <w:t>2</w:t>
      </w:r>
      <w:r w:rsidRPr="008D5C45">
        <w:t>e/ton) and the metric used in the 2019 Comprehensive Solid Waste Management Plan (MTCO</w:t>
      </w:r>
      <w:r w:rsidRPr="008D5C45">
        <w:rPr>
          <w:vertAlign w:val="subscript"/>
        </w:rPr>
        <w:t>2</w:t>
      </w:r>
      <w:r w:rsidRPr="008D5C45">
        <w:t>e) are not the same and so cannot be directly compared.</w:t>
      </w:r>
    </w:p>
  </w:footnote>
  <w:footnote w:id="22">
    <w:p w14:paraId="10DEBFC5" w14:textId="4CAC2BCF" w:rsidR="00573290" w:rsidRPr="00B33DF2" w:rsidRDefault="00573290">
      <w:pPr>
        <w:pStyle w:val="FootnoteText"/>
      </w:pPr>
      <w:r>
        <w:rPr>
          <w:rStyle w:val="FootnoteReference"/>
        </w:rPr>
        <w:footnoteRef/>
      </w:r>
      <w:r>
        <w:t xml:space="preserve"> Biogenic is not defined in the Feasibility Study but is thought to mean “produced by living organisms” based on </w:t>
      </w:r>
      <w:r w:rsidRPr="00B33DF2">
        <w:t xml:space="preserve">the dictionary definition. </w:t>
      </w:r>
    </w:p>
  </w:footnote>
  <w:footnote w:id="23">
    <w:p w14:paraId="14B4AE29" w14:textId="178B5637" w:rsidR="00573290" w:rsidRPr="00F93B9D" w:rsidRDefault="00573290" w:rsidP="00AE561A">
      <w:pPr>
        <w:pStyle w:val="FootnoteText"/>
        <w:rPr>
          <w:rFonts w:ascii="Arial" w:hAnsi="Arial" w:cs="Arial"/>
        </w:rPr>
      </w:pPr>
      <w:r w:rsidRPr="00B33DF2">
        <w:rPr>
          <w:rStyle w:val="FootnoteReference"/>
        </w:rPr>
        <w:footnoteRef/>
      </w:r>
      <w:r w:rsidRPr="00B33DF2">
        <w:t xml:space="preserve"> Note that the metric used in the Feasibility Study (MTCO</w:t>
      </w:r>
      <w:r w:rsidRPr="00B33DF2">
        <w:rPr>
          <w:vertAlign w:val="subscript"/>
        </w:rPr>
        <w:t>2</w:t>
      </w:r>
      <w:r w:rsidRPr="00B33DF2">
        <w:t>e/ton) and the metric used in the 2019 Comprehensive Solid Waste Management Plan (MTCO</w:t>
      </w:r>
      <w:r w:rsidRPr="00B33DF2">
        <w:rPr>
          <w:vertAlign w:val="subscript"/>
        </w:rPr>
        <w:t>2</w:t>
      </w:r>
      <w:r w:rsidRPr="00B33DF2">
        <w:t>e) are not the same and so cannot be directly compared.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A93FB" w14:textId="77777777" w:rsidR="00573290" w:rsidRDefault="00573290" w:rsidP="00C75025">
    <w:pPr>
      <w:jc w:val="center"/>
    </w:pPr>
    <w:r>
      <w:rPr>
        <w:noProof/>
      </w:rPr>
      <w:drawing>
        <wp:inline distT="0" distB="0" distL="0" distR="0" wp14:anchorId="151E3B58" wp14:editId="43D7499A">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20EBB890" w14:textId="77777777" w:rsidR="00573290" w:rsidRPr="003B03EF" w:rsidRDefault="00573290" w:rsidP="00C75025">
    <w:pPr>
      <w:jc w:val="center"/>
      <w:rPr>
        <w:rFonts w:ascii="Arial" w:hAnsi="Arial"/>
        <w:szCs w:val="22"/>
      </w:rPr>
    </w:pPr>
  </w:p>
  <w:p w14:paraId="0E141E85" w14:textId="77777777" w:rsidR="00573290" w:rsidRDefault="00573290" w:rsidP="00C75025">
    <w:pPr>
      <w:jc w:val="center"/>
      <w:rPr>
        <w:rFonts w:ascii="Verdana" w:hAnsi="Verdana"/>
        <w:b/>
        <w:sz w:val="28"/>
        <w:szCs w:val="28"/>
      </w:rPr>
    </w:pPr>
    <w:r>
      <w:rPr>
        <w:rFonts w:ascii="Verdana" w:hAnsi="Verdana"/>
        <w:b/>
        <w:sz w:val="28"/>
        <w:szCs w:val="28"/>
      </w:rPr>
      <w:t>Metropolitan King County Council</w:t>
    </w:r>
  </w:p>
  <w:p w14:paraId="34E37C41" w14:textId="77777777" w:rsidR="00573290" w:rsidRPr="004A1D48" w:rsidRDefault="00573290" w:rsidP="00C75025">
    <w:pPr>
      <w:jc w:val="center"/>
      <w:rPr>
        <w:rFonts w:ascii="Verdana" w:hAnsi="Verdana"/>
        <w:b/>
        <w:sz w:val="28"/>
        <w:szCs w:val="28"/>
      </w:rPr>
    </w:pPr>
    <w:r>
      <w:rPr>
        <w:rFonts w:ascii="Verdana" w:hAnsi="Verdana"/>
        <w:b/>
        <w:sz w:val="28"/>
        <w:szCs w:val="28"/>
      </w:rPr>
      <w:t>Committee of the Whole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6E172B"/>
    <w:multiLevelType w:val="hybridMultilevel"/>
    <w:tmpl w:val="9B7A4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7962F1"/>
    <w:multiLevelType w:val="hybridMultilevel"/>
    <w:tmpl w:val="F768ECD2"/>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4" w15:restartNumberingAfterBreak="0">
    <w:nsid w:val="2FAF0340"/>
    <w:multiLevelType w:val="hybridMultilevel"/>
    <w:tmpl w:val="D390D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653F38"/>
    <w:multiLevelType w:val="hybridMultilevel"/>
    <w:tmpl w:val="F0242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612C10"/>
    <w:multiLevelType w:val="hybridMultilevel"/>
    <w:tmpl w:val="564C36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76CF2C91"/>
    <w:multiLevelType w:val="hybridMultilevel"/>
    <w:tmpl w:val="6F7E9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6"/>
  </w:num>
  <w:num w:numId="6">
    <w:abstractNumId w:val="4"/>
  </w:num>
  <w:num w:numId="7">
    <w:abstractNumId w:val="2"/>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56A"/>
    <w:rsid w:val="00000F0A"/>
    <w:rsid w:val="00001AC0"/>
    <w:rsid w:val="00002565"/>
    <w:rsid w:val="0000271D"/>
    <w:rsid w:val="00002EFF"/>
    <w:rsid w:val="000032FE"/>
    <w:rsid w:val="000038DD"/>
    <w:rsid w:val="000048A8"/>
    <w:rsid w:val="00004C6C"/>
    <w:rsid w:val="00005CB7"/>
    <w:rsid w:val="000065EA"/>
    <w:rsid w:val="00006AAA"/>
    <w:rsid w:val="00007170"/>
    <w:rsid w:val="000079A1"/>
    <w:rsid w:val="00007DE1"/>
    <w:rsid w:val="00010CE7"/>
    <w:rsid w:val="00011320"/>
    <w:rsid w:val="00011563"/>
    <w:rsid w:val="00012349"/>
    <w:rsid w:val="00012770"/>
    <w:rsid w:val="00014584"/>
    <w:rsid w:val="00015CAD"/>
    <w:rsid w:val="00015E1A"/>
    <w:rsid w:val="00016751"/>
    <w:rsid w:val="00016D20"/>
    <w:rsid w:val="00016D52"/>
    <w:rsid w:val="000172AB"/>
    <w:rsid w:val="0001760A"/>
    <w:rsid w:val="000179BF"/>
    <w:rsid w:val="00020A63"/>
    <w:rsid w:val="00020C96"/>
    <w:rsid w:val="00020FEE"/>
    <w:rsid w:val="000216F6"/>
    <w:rsid w:val="000218B3"/>
    <w:rsid w:val="000222BE"/>
    <w:rsid w:val="000228C9"/>
    <w:rsid w:val="00022EE3"/>
    <w:rsid w:val="00022FF0"/>
    <w:rsid w:val="0002302F"/>
    <w:rsid w:val="000231B1"/>
    <w:rsid w:val="00023EAB"/>
    <w:rsid w:val="00024006"/>
    <w:rsid w:val="00024138"/>
    <w:rsid w:val="000251A3"/>
    <w:rsid w:val="0002551E"/>
    <w:rsid w:val="0002555E"/>
    <w:rsid w:val="00025CAA"/>
    <w:rsid w:val="00025E96"/>
    <w:rsid w:val="00031156"/>
    <w:rsid w:val="000311D8"/>
    <w:rsid w:val="000315B2"/>
    <w:rsid w:val="00031E7D"/>
    <w:rsid w:val="0003207F"/>
    <w:rsid w:val="000321D8"/>
    <w:rsid w:val="00032538"/>
    <w:rsid w:val="00032617"/>
    <w:rsid w:val="000328EA"/>
    <w:rsid w:val="000333D7"/>
    <w:rsid w:val="000333DA"/>
    <w:rsid w:val="00033A33"/>
    <w:rsid w:val="0003475B"/>
    <w:rsid w:val="00034D93"/>
    <w:rsid w:val="000351B5"/>
    <w:rsid w:val="0003594C"/>
    <w:rsid w:val="00036292"/>
    <w:rsid w:val="0004237C"/>
    <w:rsid w:val="00044FD1"/>
    <w:rsid w:val="000452BB"/>
    <w:rsid w:val="0004549A"/>
    <w:rsid w:val="00046824"/>
    <w:rsid w:val="000470FF"/>
    <w:rsid w:val="000517EF"/>
    <w:rsid w:val="0005201B"/>
    <w:rsid w:val="000533AF"/>
    <w:rsid w:val="0005498E"/>
    <w:rsid w:val="000553F5"/>
    <w:rsid w:val="00055B9A"/>
    <w:rsid w:val="00055DF0"/>
    <w:rsid w:val="00056C81"/>
    <w:rsid w:val="000577A3"/>
    <w:rsid w:val="00060235"/>
    <w:rsid w:val="00060D99"/>
    <w:rsid w:val="000611B2"/>
    <w:rsid w:val="0006124B"/>
    <w:rsid w:val="00061676"/>
    <w:rsid w:val="00062056"/>
    <w:rsid w:val="00063730"/>
    <w:rsid w:val="00063E46"/>
    <w:rsid w:val="00066CEA"/>
    <w:rsid w:val="00066E37"/>
    <w:rsid w:val="00067105"/>
    <w:rsid w:val="0006732A"/>
    <w:rsid w:val="00067C4D"/>
    <w:rsid w:val="00070A0D"/>
    <w:rsid w:val="0007185B"/>
    <w:rsid w:val="00071B2F"/>
    <w:rsid w:val="000722EA"/>
    <w:rsid w:val="000736F6"/>
    <w:rsid w:val="00073AA0"/>
    <w:rsid w:val="00074806"/>
    <w:rsid w:val="00074A56"/>
    <w:rsid w:val="00074C70"/>
    <w:rsid w:val="00076023"/>
    <w:rsid w:val="00076440"/>
    <w:rsid w:val="000766A2"/>
    <w:rsid w:val="00076F58"/>
    <w:rsid w:val="000779E8"/>
    <w:rsid w:val="00080295"/>
    <w:rsid w:val="00080DBF"/>
    <w:rsid w:val="00081382"/>
    <w:rsid w:val="00082009"/>
    <w:rsid w:val="0008325A"/>
    <w:rsid w:val="000834F0"/>
    <w:rsid w:val="0008458B"/>
    <w:rsid w:val="00084F24"/>
    <w:rsid w:val="0008517C"/>
    <w:rsid w:val="000863F9"/>
    <w:rsid w:val="00086A9B"/>
    <w:rsid w:val="000873F0"/>
    <w:rsid w:val="000874BF"/>
    <w:rsid w:val="00087BF6"/>
    <w:rsid w:val="000913B6"/>
    <w:rsid w:val="00092A54"/>
    <w:rsid w:val="00092F0E"/>
    <w:rsid w:val="00093E2E"/>
    <w:rsid w:val="000940FB"/>
    <w:rsid w:val="00094BB7"/>
    <w:rsid w:val="000956D8"/>
    <w:rsid w:val="00095A14"/>
    <w:rsid w:val="000967D1"/>
    <w:rsid w:val="00096AE9"/>
    <w:rsid w:val="000976A4"/>
    <w:rsid w:val="00097BD0"/>
    <w:rsid w:val="00097DF4"/>
    <w:rsid w:val="00097FCF"/>
    <w:rsid w:val="000A07EF"/>
    <w:rsid w:val="000A0800"/>
    <w:rsid w:val="000A0835"/>
    <w:rsid w:val="000A0981"/>
    <w:rsid w:val="000A0A31"/>
    <w:rsid w:val="000A1D93"/>
    <w:rsid w:val="000A23A4"/>
    <w:rsid w:val="000A26BF"/>
    <w:rsid w:val="000A29DC"/>
    <w:rsid w:val="000A34EF"/>
    <w:rsid w:val="000A3F0A"/>
    <w:rsid w:val="000A4A4E"/>
    <w:rsid w:val="000A4CB2"/>
    <w:rsid w:val="000A5F9C"/>
    <w:rsid w:val="000A5FD0"/>
    <w:rsid w:val="000A714D"/>
    <w:rsid w:val="000A73BE"/>
    <w:rsid w:val="000A78D8"/>
    <w:rsid w:val="000A7CCC"/>
    <w:rsid w:val="000A7E01"/>
    <w:rsid w:val="000B0291"/>
    <w:rsid w:val="000B065C"/>
    <w:rsid w:val="000B094D"/>
    <w:rsid w:val="000B1D58"/>
    <w:rsid w:val="000B3172"/>
    <w:rsid w:val="000B650C"/>
    <w:rsid w:val="000B70C3"/>
    <w:rsid w:val="000B7200"/>
    <w:rsid w:val="000B734C"/>
    <w:rsid w:val="000C13C2"/>
    <w:rsid w:val="000C17E4"/>
    <w:rsid w:val="000C20E2"/>
    <w:rsid w:val="000C299B"/>
    <w:rsid w:val="000C30E2"/>
    <w:rsid w:val="000C311D"/>
    <w:rsid w:val="000C44B1"/>
    <w:rsid w:val="000C4BA4"/>
    <w:rsid w:val="000C4E99"/>
    <w:rsid w:val="000C4E9C"/>
    <w:rsid w:val="000C6442"/>
    <w:rsid w:val="000C6F99"/>
    <w:rsid w:val="000D077F"/>
    <w:rsid w:val="000D097E"/>
    <w:rsid w:val="000D0F7A"/>
    <w:rsid w:val="000D1376"/>
    <w:rsid w:val="000D1565"/>
    <w:rsid w:val="000D1D7E"/>
    <w:rsid w:val="000D3414"/>
    <w:rsid w:val="000D3729"/>
    <w:rsid w:val="000D4087"/>
    <w:rsid w:val="000D4A15"/>
    <w:rsid w:val="000D4B55"/>
    <w:rsid w:val="000D5202"/>
    <w:rsid w:val="000D55A6"/>
    <w:rsid w:val="000D6835"/>
    <w:rsid w:val="000D6C72"/>
    <w:rsid w:val="000D6F4A"/>
    <w:rsid w:val="000D7411"/>
    <w:rsid w:val="000E041F"/>
    <w:rsid w:val="000E058C"/>
    <w:rsid w:val="000E05C0"/>
    <w:rsid w:val="000E0684"/>
    <w:rsid w:val="000E1BAB"/>
    <w:rsid w:val="000E1BCC"/>
    <w:rsid w:val="000E1CD3"/>
    <w:rsid w:val="000E1EE4"/>
    <w:rsid w:val="000E33C8"/>
    <w:rsid w:val="000E3590"/>
    <w:rsid w:val="000E3DC9"/>
    <w:rsid w:val="000E44B3"/>
    <w:rsid w:val="000E4781"/>
    <w:rsid w:val="000E535B"/>
    <w:rsid w:val="000E559B"/>
    <w:rsid w:val="000E5996"/>
    <w:rsid w:val="000E7EFC"/>
    <w:rsid w:val="000F1527"/>
    <w:rsid w:val="000F29F5"/>
    <w:rsid w:val="000F481D"/>
    <w:rsid w:val="000F4DCA"/>
    <w:rsid w:val="000F5E4A"/>
    <w:rsid w:val="000F6122"/>
    <w:rsid w:val="00101A2C"/>
    <w:rsid w:val="00102BAA"/>
    <w:rsid w:val="00102D55"/>
    <w:rsid w:val="00103094"/>
    <w:rsid w:val="001037DF"/>
    <w:rsid w:val="00104112"/>
    <w:rsid w:val="00105382"/>
    <w:rsid w:val="0010576B"/>
    <w:rsid w:val="00106179"/>
    <w:rsid w:val="001062E7"/>
    <w:rsid w:val="001074C3"/>
    <w:rsid w:val="0010774C"/>
    <w:rsid w:val="0011017F"/>
    <w:rsid w:val="00110AC4"/>
    <w:rsid w:val="00110CC7"/>
    <w:rsid w:val="00111799"/>
    <w:rsid w:val="00113B09"/>
    <w:rsid w:val="00114F83"/>
    <w:rsid w:val="0011577B"/>
    <w:rsid w:val="0011647D"/>
    <w:rsid w:val="00116840"/>
    <w:rsid w:val="00117D3D"/>
    <w:rsid w:val="00120EBC"/>
    <w:rsid w:val="00121D0A"/>
    <w:rsid w:val="001228BC"/>
    <w:rsid w:val="001230DC"/>
    <w:rsid w:val="00123A59"/>
    <w:rsid w:val="001244FD"/>
    <w:rsid w:val="00124D51"/>
    <w:rsid w:val="0012573D"/>
    <w:rsid w:val="00125DCB"/>
    <w:rsid w:val="0012621C"/>
    <w:rsid w:val="00126322"/>
    <w:rsid w:val="001269A3"/>
    <w:rsid w:val="00126FAF"/>
    <w:rsid w:val="00127965"/>
    <w:rsid w:val="00130EF3"/>
    <w:rsid w:val="001310FC"/>
    <w:rsid w:val="0013165A"/>
    <w:rsid w:val="00131A0C"/>
    <w:rsid w:val="00131D0E"/>
    <w:rsid w:val="001320CB"/>
    <w:rsid w:val="0013286C"/>
    <w:rsid w:val="00132C16"/>
    <w:rsid w:val="00132DFC"/>
    <w:rsid w:val="00132FA5"/>
    <w:rsid w:val="00133981"/>
    <w:rsid w:val="0013486D"/>
    <w:rsid w:val="00134BCC"/>
    <w:rsid w:val="0013537B"/>
    <w:rsid w:val="00136122"/>
    <w:rsid w:val="00136904"/>
    <w:rsid w:val="00136B48"/>
    <w:rsid w:val="00136EB6"/>
    <w:rsid w:val="00137469"/>
    <w:rsid w:val="001378DB"/>
    <w:rsid w:val="00137B21"/>
    <w:rsid w:val="00137DF6"/>
    <w:rsid w:val="001404CF"/>
    <w:rsid w:val="00140D86"/>
    <w:rsid w:val="00141B7A"/>
    <w:rsid w:val="001426ED"/>
    <w:rsid w:val="00142EE0"/>
    <w:rsid w:val="00142F7E"/>
    <w:rsid w:val="00143B24"/>
    <w:rsid w:val="001440C8"/>
    <w:rsid w:val="001440E6"/>
    <w:rsid w:val="0014432F"/>
    <w:rsid w:val="00145B19"/>
    <w:rsid w:val="00145C68"/>
    <w:rsid w:val="001463CF"/>
    <w:rsid w:val="001509B2"/>
    <w:rsid w:val="00151637"/>
    <w:rsid w:val="0015229A"/>
    <w:rsid w:val="00152D09"/>
    <w:rsid w:val="001539C1"/>
    <w:rsid w:val="00154E2E"/>
    <w:rsid w:val="00154E8F"/>
    <w:rsid w:val="00155EB9"/>
    <w:rsid w:val="00155F60"/>
    <w:rsid w:val="001565F8"/>
    <w:rsid w:val="00157334"/>
    <w:rsid w:val="001577D8"/>
    <w:rsid w:val="001579C1"/>
    <w:rsid w:val="00162DCE"/>
    <w:rsid w:val="00163DEF"/>
    <w:rsid w:val="00165027"/>
    <w:rsid w:val="0016552E"/>
    <w:rsid w:val="00166774"/>
    <w:rsid w:val="001674E8"/>
    <w:rsid w:val="001702C8"/>
    <w:rsid w:val="001710A0"/>
    <w:rsid w:val="00171461"/>
    <w:rsid w:val="001718C9"/>
    <w:rsid w:val="00171FE0"/>
    <w:rsid w:val="001738AC"/>
    <w:rsid w:val="00173D99"/>
    <w:rsid w:val="00174080"/>
    <w:rsid w:val="00174BB6"/>
    <w:rsid w:val="00174FEE"/>
    <w:rsid w:val="00175861"/>
    <w:rsid w:val="00175AF3"/>
    <w:rsid w:val="0017754E"/>
    <w:rsid w:val="00177734"/>
    <w:rsid w:val="001803D6"/>
    <w:rsid w:val="00180425"/>
    <w:rsid w:val="00180ABA"/>
    <w:rsid w:val="00180DA3"/>
    <w:rsid w:val="00181C15"/>
    <w:rsid w:val="00182A51"/>
    <w:rsid w:val="00182B35"/>
    <w:rsid w:val="001835BD"/>
    <w:rsid w:val="001836BF"/>
    <w:rsid w:val="00183EAB"/>
    <w:rsid w:val="0018560C"/>
    <w:rsid w:val="0018563A"/>
    <w:rsid w:val="00185D38"/>
    <w:rsid w:val="00185D47"/>
    <w:rsid w:val="00185F51"/>
    <w:rsid w:val="001860B7"/>
    <w:rsid w:val="00186C9C"/>
    <w:rsid w:val="00186EC3"/>
    <w:rsid w:val="0018726F"/>
    <w:rsid w:val="00187623"/>
    <w:rsid w:val="00187B62"/>
    <w:rsid w:val="00187ECE"/>
    <w:rsid w:val="0019001E"/>
    <w:rsid w:val="0019016B"/>
    <w:rsid w:val="001904F9"/>
    <w:rsid w:val="00190586"/>
    <w:rsid w:val="00190698"/>
    <w:rsid w:val="00190D5A"/>
    <w:rsid w:val="00191047"/>
    <w:rsid w:val="001913AD"/>
    <w:rsid w:val="001924FD"/>
    <w:rsid w:val="00194359"/>
    <w:rsid w:val="001943D2"/>
    <w:rsid w:val="00195414"/>
    <w:rsid w:val="0019583B"/>
    <w:rsid w:val="00195EA0"/>
    <w:rsid w:val="001961D4"/>
    <w:rsid w:val="0019621D"/>
    <w:rsid w:val="00196852"/>
    <w:rsid w:val="001969F5"/>
    <w:rsid w:val="00196D35"/>
    <w:rsid w:val="00197513"/>
    <w:rsid w:val="001A01D2"/>
    <w:rsid w:val="001A06BE"/>
    <w:rsid w:val="001A1244"/>
    <w:rsid w:val="001A132C"/>
    <w:rsid w:val="001A1721"/>
    <w:rsid w:val="001A1828"/>
    <w:rsid w:val="001A1D18"/>
    <w:rsid w:val="001A1F93"/>
    <w:rsid w:val="001A2421"/>
    <w:rsid w:val="001A3BDD"/>
    <w:rsid w:val="001A4D65"/>
    <w:rsid w:val="001A5603"/>
    <w:rsid w:val="001A5669"/>
    <w:rsid w:val="001A5EA8"/>
    <w:rsid w:val="001A69FC"/>
    <w:rsid w:val="001A722A"/>
    <w:rsid w:val="001A79D0"/>
    <w:rsid w:val="001B04EF"/>
    <w:rsid w:val="001B0652"/>
    <w:rsid w:val="001B44B6"/>
    <w:rsid w:val="001B47A4"/>
    <w:rsid w:val="001B4E6F"/>
    <w:rsid w:val="001B5252"/>
    <w:rsid w:val="001B568F"/>
    <w:rsid w:val="001B65A3"/>
    <w:rsid w:val="001B6C67"/>
    <w:rsid w:val="001B7023"/>
    <w:rsid w:val="001B7398"/>
    <w:rsid w:val="001C0CD3"/>
    <w:rsid w:val="001C211F"/>
    <w:rsid w:val="001C2303"/>
    <w:rsid w:val="001C254D"/>
    <w:rsid w:val="001C46B7"/>
    <w:rsid w:val="001C49E4"/>
    <w:rsid w:val="001C4B19"/>
    <w:rsid w:val="001C4EAE"/>
    <w:rsid w:val="001C5969"/>
    <w:rsid w:val="001D0111"/>
    <w:rsid w:val="001D0DD2"/>
    <w:rsid w:val="001D1154"/>
    <w:rsid w:val="001D15FF"/>
    <w:rsid w:val="001D1F5F"/>
    <w:rsid w:val="001D2DDB"/>
    <w:rsid w:val="001D396A"/>
    <w:rsid w:val="001D44E1"/>
    <w:rsid w:val="001D458E"/>
    <w:rsid w:val="001D525A"/>
    <w:rsid w:val="001D536C"/>
    <w:rsid w:val="001D608A"/>
    <w:rsid w:val="001D6FB9"/>
    <w:rsid w:val="001D7004"/>
    <w:rsid w:val="001D7107"/>
    <w:rsid w:val="001D718E"/>
    <w:rsid w:val="001E048E"/>
    <w:rsid w:val="001E0534"/>
    <w:rsid w:val="001E0DD3"/>
    <w:rsid w:val="001E0E59"/>
    <w:rsid w:val="001E1042"/>
    <w:rsid w:val="001E2072"/>
    <w:rsid w:val="001E2BAC"/>
    <w:rsid w:val="001E3714"/>
    <w:rsid w:val="001E3DC9"/>
    <w:rsid w:val="001E43E3"/>
    <w:rsid w:val="001E45BF"/>
    <w:rsid w:val="001E481E"/>
    <w:rsid w:val="001E5D41"/>
    <w:rsid w:val="001E62C4"/>
    <w:rsid w:val="001E6331"/>
    <w:rsid w:val="001E6698"/>
    <w:rsid w:val="001E6DFB"/>
    <w:rsid w:val="001E72F3"/>
    <w:rsid w:val="001E7A70"/>
    <w:rsid w:val="001F018C"/>
    <w:rsid w:val="001F0BEE"/>
    <w:rsid w:val="001F1B21"/>
    <w:rsid w:val="001F2401"/>
    <w:rsid w:val="001F3766"/>
    <w:rsid w:val="001F3996"/>
    <w:rsid w:val="001F447F"/>
    <w:rsid w:val="001F450B"/>
    <w:rsid w:val="001F4C3B"/>
    <w:rsid w:val="001F4FC3"/>
    <w:rsid w:val="001F510E"/>
    <w:rsid w:val="001F5169"/>
    <w:rsid w:val="001F5C27"/>
    <w:rsid w:val="001F6119"/>
    <w:rsid w:val="001F624F"/>
    <w:rsid w:val="001F6F79"/>
    <w:rsid w:val="001F7AA6"/>
    <w:rsid w:val="002005DF"/>
    <w:rsid w:val="00200E48"/>
    <w:rsid w:val="002011D1"/>
    <w:rsid w:val="00201498"/>
    <w:rsid w:val="00203701"/>
    <w:rsid w:val="002054F9"/>
    <w:rsid w:val="00206D00"/>
    <w:rsid w:val="002072C9"/>
    <w:rsid w:val="0020735A"/>
    <w:rsid w:val="00210E29"/>
    <w:rsid w:val="0021227A"/>
    <w:rsid w:val="00212C08"/>
    <w:rsid w:val="00212F3E"/>
    <w:rsid w:val="00215732"/>
    <w:rsid w:val="00216BE8"/>
    <w:rsid w:val="00217934"/>
    <w:rsid w:val="0021798C"/>
    <w:rsid w:val="00220282"/>
    <w:rsid w:val="00221CFC"/>
    <w:rsid w:val="00223040"/>
    <w:rsid w:val="00223F7F"/>
    <w:rsid w:val="00224F9B"/>
    <w:rsid w:val="0022642B"/>
    <w:rsid w:val="00226449"/>
    <w:rsid w:val="00226D8E"/>
    <w:rsid w:val="00227702"/>
    <w:rsid w:val="00227AB9"/>
    <w:rsid w:val="00227BD1"/>
    <w:rsid w:val="00227E8A"/>
    <w:rsid w:val="00230050"/>
    <w:rsid w:val="00230A23"/>
    <w:rsid w:val="00230AA7"/>
    <w:rsid w:val="00230B3D"/>
    <w:rsid w:val="0023121D"/>
    <w:rsid w:val="002327A2"/>
    <w:rsid w:val="00232B86"/>
    <w:rsid w:val="002333E7"/>
    <w:rsid w:val="00234580"/>
    <w:rsid w:val="002345A1"/>
    <w:rsid w:val="002357FD"/>
    <w:rsid w:val="002363B9"/>
    <w:rsid w:val="00236BA3"/>
    <w:rsid w:val="00236D1F"/>
    <w:rsid w:val="002413EE"/>
    <w:rsid w:val="00241E58"/>
    <w:rsid w:val="00243C8C"/>
    <w:rsid w:val="00243CB5"/>
    <w:rsid w:val="002443A8"/>
    <w:rsid w:val="002443D3"/>
    <w:rsid w:val="002443FB"/>
    <w:rsid w:val="0024588D"/>
    <w:rsid w:val="00245CC9"/>
    <w:rsid w:val="00246276"/>
    <w:rsid w:val="00246F02"/>
    <w:rsid w:val="00247077"/>
    <w:rsid w:val="00247264"/>
    <w:rsid w:val="0024797C"/>
    <w:rsid w:val="00250071"/>
    <w:rsid w:val="00250B96"/>
    <w:rsid w:val="00251853"/>
    <w:rsid w:val="00251FAC"/>
    <w:rsid w:val="00253303"/>
    <w:rsid w:val="00253375"/>
    <w:rsid w:val="00253433"/>
    <w:rsid w:val="00253903"/>
    <w:rsid w:val="00253C9F"/>
    <w:rsid w:val="00254100"/>
    <w:rsid w:val="0025456D"/>
    <w:rsid w:val="002547A0"/>
    <w:rsid w:val="00256291"/>
    <w:rsid w:val="00256832"/>
    <w:rsid w:val="00257222"/>
    <w:rsid w:val="002573E4"/>
    <w:rsid w:val="00257DA8"/>
    <w:rsid w:val="00260F19"/>
    <w:rsid w:val="00261493"/>
    <w:rsid w:val="00261750"/>
    <w:rsid w:val="002617D4"/>
    <w:rsid w:val="00261D53"/>
    <w:rsid w:val="00261E2C"/>
    <w:rsid w:val="002622E9"/>
    <w:rsid w:val="00262399"/>
    <w:rsid w:val="00262796"/>
    <w:rsid w:val="00262C50"/>
    <w:rsid w:val="0026334C"/>
    <w:rsid w:val="00264BE1"/>
    <w:rsid w:val="00265070"/>
    <w:rsid w:val="002652D9"/>
    <w:rsid w:val="00265D03"/>
    <w:rsid w:val="00265EB7"/>
    <w:rsid w:val="00267560"/>
    <w:rsid w:val="00267D40"/>
    <w:rsid w:val="00270412"/>
    <w:rsid w:val="00270739"/>
    <w:rsid w:val="002720F5"/>
    <w:rsid w:val="00272295"/>
    <w:rsid w:val="00272475"/>
    <w:rsid w:val="002735FB"/>
    <w:rsid w:val="00273777"/>
    <w:rsid w:val="002739AA"/>
    <w:rsid w:val="00273B39"/>
    <w:rsid w:val="00273BF4"/>
    <w:rsid w:val="00273D97"/>
    <w:rsid w:val="00275324"/>
    <w:rsid w:val="00275B58"/>
    <w:rsid w:val="00275BFC"/>
    <w:rsid w:val="0027629A"/>
    <w:rsid w:val="00276EE4"/>
    <w:rsid w:val="00276FDA"/>
    <w:rsid w:val="00277C65"/>
    <w:rsid w:val="0028022C"/>
    <w:rsid w:val="00280705"/>
    <w:rsid w:val="00280C53"/>
    <w:rsid w:val="00280E95"/>
    <w:rsid w:val="0028252E"/>
    <w:rsid w:val="0028273D"/>
    <w:rsid w:val="00283483"/>
    <w:rsid w:val="00283B58"/>
    <w:rsid w:val="00283CF5"/>
    <w:rsid w:val="00284E2B"/>
    <w:rsid w:val="00284F94"/>
    <w:rsid w:val="0028535C"/>
    <w:rsid w:val="002859EF"/>
    <w:rsid w:val="00285AF1"/>
    <w:rsid w:val="0028606A"/>
    <w:rsid w:val="00286ED2"/>
    <w:rsid w:val="00287AF1"/>
    <w:rsid w:val="00290322"/>
    <w:rsid w:val="0029050E"/>
    <w:rsid w:val="00290955"/>
    <w:rsid w:val="002921EF"/>
    <w:rsid w:val="00292DEC"/>
    <w:rsid w:val="002937DB"/>
    <w:rsid w:val="00293B99"/>
    <w:rsid w:val="00293BDA"/>
    <w:rsid w:val="00293D02"/>
    <w:rsid w:val="00294222"/>
    <w:rsid w:val="0029432D"/>
    <w:rsid w:val="002948FA"/>
    <w:rsid w:val="002963BF"/>
    <w:rsid w:val="00296690"/>
    <w:rsid w:val="002A00DB"/>
    <w:rsid w:val="002A1127"/>
    <w:rsid w:val="002A1228"/>
    <w:rsid w:val="002A1E43"/>
    <w:rsid w:val="002A2232"/>
    <w:rsid w:val="002A2420"/>
    <w:rsid w:val="002A3EAD"/>
    <w:rsid w:val="002A45BC"/>
    <w:rsid w:val="002A5CCC"/>
    <w:rsid w:val="002A6326"/>
    <w:rsid w:val="002A67CF"/>
    <w:rsid w:val="002A73A2"/>
    <w:rsid w:val="002B065B"/>
    <w:rsid w:val="002B07ED"/>
    <w:rsid w:val="002B0E1F"/>
    <w:rsid w:val="002B12C3"/>
    <w:rsid w:val="002B2FB7"/>
    <w:rsid w:val="002B376D"/>
    <w:rsid w:val="002B390C"/>
    <w:rsid w:val="002B5735"/>
    <w:rsid w:val="002B5EC2"/>
    <w:rsid w:val="002B608A"/>
    <w:rsid w:val="002B60A0"/>
    <w:rsid w:val="002B63A5"/>
    <w:rsid w:val="002B76A4"/>
    <w:rsid w:val="002B7D72"/>
    <w:rsid w:val="002C0B68"/>
    <w:rsid w:val="002C13D3"/>
    <w:rsid w:val="002C1543"/>
    <w:rsid w:val="002C3E3C"/>
    <w:rsid w:val="002C42B2"/>
    <w:rsid w:val="002C4802"/>
    <w:rsid w:val="002C4D38"/>
    <w:rsid w:val="002C4EB6"/>
    <w:rsid w:val="002D1757"/>
    <w:rsid w:val="002D1993"/>
    <w:rsid w:val="002D3A7E"/>
    <w:rsid w:val="002D5AE2"/>
    <w:rsid w:val="002D5BF5"/>
    <w:rsid w:val="002D6C3E"/>
    <w:rsid w:val="002D6D64"/>
    <w:rsid w:val="002D6EDE"/>
    <w:rsid w:val="002D6F1D"/>
    <w:rsid w:val="002E0423"/>
    <w:rsid w:val="002E08A4"/>
    <w:rsid w:val="002E0EBA"/>
    <w:rsid w:val="002E19A1"/>
    <w:rsid w:val="002E1D8A"/>
    <w:rsid w:val="002E37EE"/>
    <w:rsid w:val="002E4150"/>
    <w:rsid w:val="002E4EB1"/>
    <w:rsid w:val="002E50F3"/>
    <w:rsid w:val="002E5250"/>
    <w:rsid w:val="002E6164"/>
    <w:rsid w:val="002E61CB"/>
    <w:rsid w:val="002E6554"/>
    <w:rsid w:val="002E6838"/>
    <w:rsid w:val="002E71BD"/>
    <w:rsid w:val="002E76C6"/>
    <w:rsid w:val="002F0F75"/>
    <w:rsid w:val="002F121A"/>
    <w:rsid w:val="002F1A3C"/>
    <w:rsid w:val="002F2AEA"/>
    <w:rsid w:val="002F353F"/>
    <w:rsid w:val="002F3DFD"/>
    <w:rsid w:val="002F4154"/>
    <w:rsid w:val="002F44BA"/>
    <w:rsid w:val="002F5714"/>
    <w:rsid w:val="002F6129"/>
    <w:rsid w:val="002F6603"/>
    <w:rsid w:val="002F6B0A"/>
    <w:rsid w:val="002F6FB9"/>
    <w:rsid w:val="003002EE"/>
    <w:rsid w:val="00301090"/>
    <w:rsid w:val="00301EF5"/>
    <w:rsid w:val="00302089"/>
    <w:rsid w:val="003020AA"/>
    <w:rsid w:val="00302F3E"/>
    <w:rsid w:val="00303D74"/>
    <w:rsid w:val="00305014"/>
    <w:rsid w:val="0030553B"/>
    <w:rsid w:val="00306680"/>
    <w:rsid w:val="00307D40"/>
    <w:rsid w:val="003110A1"/>
    <w:rsid w:val="00311CD5"/>
    <w:rsid w:val="00313900"/>
    <w:rsid w:val="003149CE"/>
    <w:rsid w:val="0031514F"/>
    <w:rsid w:val="0031593D"/>
    <w:rsid w:val="00315C60"/>
    <w:rsid w:val="0031679A"/>
    <w:rsid w:val="003169E3"/>
    <w:rsid w:val="0032002D"/>
    <w:rsid w:val="00321185"/>
    <w:rsid w:val="00321882"/>
    <w:rsid w:val="003218B9"/>
    <w:rsid w:val="00321CDB"/>
    <w:rsid w:val="0032284A"/>
    <w:rsid w:val="00322946"/>
    <w:rsid w:val="00322AA8"/>
    <w:rsid w:val="003255ED"/>
    <w:rsid w:val="003255F9"/>
    <w:rsid w:val="003258CB"/>
    <w:rsid w:val="003260D6"/>
    <w:rsid w:val="00326D67"/>
    <w:rsid w:val="00327189"/>
    <w:rsid w:val="00327230"/>
    <w:rsid w:val="0032754B"/>
    <w:rsid w:val="0032788E"/>
    <w:rsid w:val="00330976"/>
    <w:rsid w:val="003321D6"/>
    <w:rsid w:val="00332216"/>
    <w:rsid w:val="00332247"/>
    <w:rsid w:val="00332875"/>
    <w:rsid w:val="00332D5F"/>
    <w:rsid w:val="00332D92"/>
    <w:rsid w:val="003354D8"/>
    <w:rsid w:val="00335510"/>
    <w:rsid w:val="0033689E"/>
    <w:rsid w:val="00336FF7"/>
    <w:rsid w:val="003377D3"/>
    <w:rsid w:val="00340255"/>
    <w:rsid w:val="003406EB"/>
    <w:rsid w:val="00341682"/>
    <w:rsid w:val="0034168A"/>
    <w:rsid w:val="003416A6"/>
    <w:rsid w:val="00342043"/>
    <w:rsid w:val="00342C62"/>
    <w:rsid w:val="00343549"/>
    <w:rsid w:val="00343A9E"/>
    <w:rsid w:val="00344898"/>
    <w:rsid w:val="00345580"/>
    <w:rsid w:val="0034627D"/>
    <w:rsid w:val="00347C47"/>
    <w:rsid w:val="00347DD1"/>
    <w:rsid w:val="00347F7B"/>
    <w:rsid w:val="00350882"/>
    <w:rsid w:val="0035238F"/>
    <w:rsid w:val="00352E55"/>
    <w:rsid w:val="003531FC"/>
    <w:rsid w:val="00353690"/>
    <w:rsid w:val="003536EA"/>
    <w:rsid w:val="00353F01"/>
    <w:rsid w:val="00354EB8"/>
    <w:rsid w:val="00355729"/>
    <w:rsid w:val="00356B47"/>
    <w:rsid w:val="00356FD8"/>
    <w:rsid w:val="00360E53"/>
    <w:rsid w:val="00361436"/>
    <w:rsid w:val="003616DB"/>
    <w:rsid w:val="00361849"/>
    <w:rsid w:val="00362D25"/>
    <w:rsid w:val="00362EF8"/>
    <w:rsid w:val="00363CBA"/>
    <w:rsid w:val="003648B8"/>
    <w:rsid w:val="00364956"/>
    <w:rsid w:val="00364B06"/>
    <w:rsid w:val="003650A6"/>
    <w:rsid w:val="00365B86"/>
    <w:rsid w:val="00365DAD"/>
    <w:rsid w:val="00366F46"/>
    <w:rsid w:val="0036785F"/>
    <w:rsid w:val="00367E02"/>
    <w:rsid w:val="00367ECB"/>
    <w:rsid w:val="0037034A"/>
    <w:rsid w:val="00370DF0"/>
    <w:rsid w:val="00371F9F"/>
    <w:rsid w:val="00372554"/>
    <w:rsid w:val="00373A3A"/>
    <w:rsid w:val="0037548F"/>
    <w:rsid w:val="00375A9C"/>
    <w:rsid w:val="00375F76"/>
    <w:rsid w:val="003772FB"/>
    <w:rsid w:val="003774DA"/>
    <w:rsid w:val="003776FF"/>
    <w:rsid w:val="00380594"/>
    <w:rsid w:val="003810EA"/>
    <w:rsid w:val="00381E3C"/>
    <w:rsid w:val="00382A09"/>
    <w:rsid w:val="00382AC7"/>
    <w:rsid w:val="00383EAC"/>
    <w:rsid w:val="00384051"/>
    <w:rsid w:val="003843CB"/>
    <w:rsid w:val="0038475F"/>
    <w:rsid w:val="00384C61"/>
    <w:rsid w:val="003853FB"/>
    <w:rsid w:val="00386454"/>
    <w:rsid w:val="00386DA4"/>
    <w:rsid w:val="003871BA"/>
    <w:rsid w:val="00387C39"/>
    <w:rsid w:val="00387DF6"/>
    <w:rsid w:val="003910D8"/>
    <w:rsid w:val="003912A1"/>
    <w:rsid w:val="00391DBB"/>
    <w:rsid w:val="003925B8"/>
    <w:rsid w:val="003927EB"/>
    <w:rsid w:val="00392EE9"/>
    <w:rsid w:val="00393627"/>
    <w:rsid w:val="0039366B"/>
    <w:rsid w:val="003943BE"/>
    <w:rsid w:val="0039525B"/>
    <w:rsid w:val="003967B7"/>
    <w:rsid w:val="00396BE3"/>
    <w:rsid w:val="003975D8"/>
    <w:rsid w:val="00397742"/>
    <w:rsid w:val="003A0E1D"/>
    <w:rsid w:val="003A12AE"/>
    <w:rsid w:val="003A1A86"/>
    <w:rsid w:val="003A213C"/>
    <w:rsid w:val="003A2203"/>
    <w:rsid w:val="003A24D6"/>
    <w:rsid w:val="003A2766"/>
    <w:rsid w:val="003A318C"/>
    <w:rsid w:val="003A374B"/>
    <w:rsid w:val="003A4DF7"/>
    <w:rsid w:val="003A5456"/>
    <w:rsid w:val="003A6057"/>
    <w:rsid w:val="003A6408"/>
    <w:rsid w:val="003A7D2E"/>
    <w:rsid w:val="003B0446"/>
    <w:rsid w:val="003B09C1"/>
    <w:rsid w:val="003B15F8"/>
    <w:rsid w:val="003B184F"/>
    <w:rsid w:val="003B1B3D"/>
    <w:rsid w:val="003B2146"/>
    <w:rsid w:val="003B2D4C"/>
    <w:rsid w:val="003B3318"/>
    <w:rsid w:val="003B3572"/>
    <w:rsid w:val="003B3C4A"/>
    <w:rsid w:val="003B3DFD"/>
    <w:rsid w:val="003B4653"/>
    <w:rsid w:val="003B52A7"/>
    <w:rsid w:val="003C027F"/>
    <w:rsid w:val="003C2AF8"/>
    <w:rsid w:val="003C2F4C"/>
    <w:rsid w:val="003C3117"/>
    <w:rsid w:val="003C31C2"/>
    <w:rsid w:val="003C3AE8"/>
    <w:rsid w:val="003C6B62"/>
    <w:rsid w:val="003C712E"/>
    <w:rsid w:val="003C7596"/>
    <w:rsid w:val="003C78B5"/>
    <w:rsid w:val="003C7A01"/>
    <w:rsid w:val="003D06D2"/>
    <w:rsid w:val="003D1940"/>
    <w:rsid w:val="003D24A2"/>
    <w:rsid w:val="003D28E6"/>
    <w:rsid w:val="003D3E56"/>
    <w:rsid w:val="003D4A37"/>
    <w:rsid w:val="003D7347"/>
    <w:rsid w:val="003D7567"/>
    <w:rsid w:val="003D7687"/>
    <w:rsid w:val="003E0270"/>
    <w:rsid w:val="003E0535"/>
    <w:rsid w:val="003E0A75"/>
    <w:rsid w:val="003E1D4D"/>
    <w:rsid w:val="003E2957"/>
    <w:rsid w:val="003E3151"/>
    <w:rsid w:val="003E32E3"/>
    <w:rsid w:val="003E42E3"/>
    <w:rsid w:val="003E52FC"/>
    <w:rsid w:val="003E54B1"/>
    <w:rsid w:val="003E5B61"/>
    <w:rsid w:val="003F252B"/>
    <w:rsid w:val="003F275F"/>
    <w:rsid w:val="003F2A50"/>
    <w:rsid w:val="003F3805"/>
    <w:rsid w:val="003F3FD9"/>
    <w:rsid w:val="003F4153"/>
    <w:rsid w:val="003F48A8"/>
    <w:rsid w:val="003F4CB0"/>
    <w:rsid w:val="003F4F77"/>
    <w:rsid w:val="003F55DD"/>
    <w:rsid w:val="003F635B"/>
    <w:rsid w:val="003F73F6"/>
    <w:rsid w:val="003F7F18"/>
    <w:rsid w:val="0040046D"/>
    <w:rsid w:val="004004FE"/>
    <w:rsid w:val="00400A17"/>
    <w:rsid w:val="00400C1C"/>
    <w:rsid w:val="004011E8"/>
    <w:rsid w:val="00401762"/>
    <w:rsid w:val="00401E29"/>
    <w:rsid w:val="00402D08"/>
    <w:rsid w:val="00403695"/>
    <w:rsid w:val="00404298"/>
    <w:rsid w:val="00404756"/>
    <w:rsid w:val="00404F31"/>
    <w:rsid w:val="00405402"/>
    <w:rsid w:val="0040562E"/>
    <w:rsid w:val="00405BFF"/>
    <w:rsid w:val="00405FA9"/>
    <w:rsid w:val="00406147"/>
    <w:rsid w:val="00406A3E"/>
    <w:rsid w:val="00407044"/>
    <w:rsid w:val="004079CC"/>
    <w:rsid w:val="0041018D"/>
    <w:rsid w:val="004101AA"/>
    <w:rsid w:val="00411957"/>
    <w:rsid w:val="0041244A"/>
    <w:rsid w:val="00413BB8"/>
    <w:rsid w:val="0041435C"/>
    <w:rsid w:val="00415029"/>
    <w:rsid w:val="00415704"/>
    <w:rsid w:val="00415BB0"/>
    <w:rsid w:val="00415C99"/>
    <w:rsid w:val="004161E5"/>
    <w:rsid w:val="004164CB"/>
    <w:rsid w:val="00416EC1"/>
    <w:rsid w:val="00421A90"/>
    <w:rsid w:val="00421B59"/>
    <w:rsid w:val="00421D84"/>
    <w:rsid w:val="0042209E"/>
    <w:rsid w:val="00422570"/>
    <w:rsid w:val="00422ED9"/>
    <w:rsid w:val="00423F29"/>
    <w:rsid w:val="00424662"/>
    <w:rsid w:val="00424B28"/>
    <w:rsid w:val="00424E70"/>
    <w:rsid w:val="00424F0A"/>
    <w:rsid w:val="004256D6"/>
    <w:rsid w:val="00425AA9"/>
    <w:rsid w:val="00425E9B"/>
    <w:rsid w:val="00426722"/>
    <w:rsid w:val="0042759A"/>
    <w:rsid w:val="0042783C"/>
    <w:rsid w:val="00430296"/>
    <w:rsid w:val="004306E6"/>
    <w:rsid w:val="00431EEF"/>
    <w:rsid w:val="0043299B"/>
    <w:rsid w:val="00433E5C"/>
    <w:rsid w:val="004349B7"/>
    <w:rsid w:val="00436DD2"/>
    <w:rsid w:val="0043717B"/>
    <w:rsid w:val="00437287"/>
    <w:rsid w:val="004400EB"/>
    <w:rsid w:val="004412EB"/>
    <w:rsid w:val="00444541"/>
    <w:rsid w:val="004458BB"/>
    <w:rsid w:val="00445B1E"/>
    <w:rsid w:val="0044636E"/>
    <w:rsid w:val="004465EE"/>
    <w:rsid w:val="004474BC"/>
    <w:rsid w:val="00447B01"/>
    <w:rsid w:val="00450155"/>
    <w:rsid w:val="00451EE2"/>
    <w:rsid w:val="0045274D"/>
    <w:rsid w:val="00452DA1"/>
    <w:rsid w:val="00453136"/>
    <w:rsid w:val="0045517D"/>
    <w:rsid w:val="00455D61"/>
    <w:rsid w:val="00455FE6"/>
    <w:rsid w:val="00456257"/>
    <w:rsid w:val="004566E8"/>
    <w:rsid w:val="00457A58"/>
    <w:rsid w:val="0046024B"/>
    <w:rsid w:val="00461065"/>
    <w:rsid w:val="004611A4"/>
    <w:rsid w:val="00461BF0"/>
    <w:rsid w:val="00461E9F"/>
    <w:rsid w:val="00461EDE"/>
    <w:rsid w:val="004630A9"/>
    <w:rsid w:val="0046321B"/>
    <w:rsid w:val="0046338B"/>
    <w:rsid w:val="004633A1"/>
    <w:rsid w:val="004633C9"/>
    <w:rsid w:val="004635C7"/>
    <w:rsid w:val="00465946"/>
    <w:rsid w:val="00465E3F"/>
    <w:rsid w:val="004661CB"/>
    <w:rsid w:val="0046635A"/>
    <w:rsid w:val="00467258"/>
    <w:rsid w:val="00467689"/>
    <w:rsid w:val="00467F6D"/>
    <w:rsid w:val="0047028F"/>
    <w:rsid w:val="0047090B"/>
    <w:rsid w:val="00470F61"/>
    <w:rsid w:val="00471861"/>
    <w:rsid w:val="0047220A"/>
    <w:rsid w:val="0047262B"/>
    <w:rsid w:val="00472A96"/>
    <w:rsid w:val="00472E21"/>
    <w:rsid w:val="0047355F"/>
    <w:rsid w:val="00473A34"/>
    <w:rsid w:val="00473BE5"/>
    <w:rsid w:val="00473BEB"/>
    <w:rsid w:val="00473EE3"/>
    <w:rsid w:val="00474707"/>
    <w:rsid w:val="00474DBF"/>
    <w:rsid w:val="00474F17"/>
    <w:rsid w:val="0047739B"/>
    <w:rsid w:val="004775EF"/>
    <w:rsid w:val="004802FF"/>
    <w:rsid w:val="004804E3"/>
    <w:rsid w:val="0048143B"/>
    <w:rsid w:val="00482087"/>
    <w:rsid w:val="004821C0"/>
    <w:rsid w:val="00483F1A"/>
    <w:rsid w:val="00484183"/>
    <w:rsid w:val="0048608E"/>
    <w:rsid w:val="0048657D"/>
    <w:rsid w:val="00486B52"/>
    <w:rsid w:val="0048715C"/>
    <w:rsid w:val="00487295"/>
    <w:rsid w:val="00487AAD"/>
    <w:rsid w:val="00490068"/>
    <w:rsid w:val="004900A4"/>
    <w:rsid w:val="004907DE"/>
    <w:rsid w:val="00490B18"/>
    <w:rsid w:val="00490B4E"/>
    <w:rsid w:val="00490D17"/>
    <w:rsid w:val="004919C6"/>
    <w:rsid w:val="004927DD"/>
    <w:rsid w:val="00494B53"/>
    <w:rsid w:val="00495152"/>
    <w:rsid w:val="004970B1"/>
    <w:rsid w:val="004973DF"/>
    <w:rsid w:val="00497797"/>
    <w:rsid w:val="004A0918"/>
    <w:rsid w:val="004A0C8B"/>
    <w:rsid w:val="004A12A2"/>
    <w:rsid w:val="004A139B"/>
    <w:rsid w:val="004A1478"/>
    <w:rsid w:val="004A1529"/>
    <w:rsid w:val="004A16D6"/>
    <w:rsid w:val="004A1972"/>
    <w:rsid w:val="004A31FA"/>
    <w:rsid w:val="004A3E90"/>
    <w:rsid w:val="004A3EEF"/>
    <w:rsid w:val="004A4A09"/>
    <w:rsid w:val="004A4EE6"/>
    <w:rsid w:val="004A56A4"/>
    <w:rsid w:val="004A59B3"/>
    <w:rsid w:val="004A5A02"/>
    <w:rsid w:val="004A5C40"/>
    <w:rsid w:val="004A6C89"/>
    <w:rsid w:val="004A74C4"/>
    <w:rsid w:val="004A764A"/>
    <w:rsid w:val="004B0159"/>
    <w:rsid w:val="004B0325"/>
    <w:rsid w:val="004B0743"/>
    <w:rsid w:val="004B0F80"/>
    <w:rsid w:val="004B13BE"/>
    <w:rsid w:val="004B1B84"/>
    <w:rsid w:val="004B2112"/>
    <w:rsid w:val="004B21CD"/>
    <w:rsid w:val="004B31F4"/>
    <w:rsid w:val="004B445C"/>
    <w:rsid w:val="004B5D19"/>
    <w:rsid w:val="004B6A4C"/>
    <w:rsid w:val="004B6ADC"/>
    <w:rsid w:val="004B74B3"/>
    <w:rsid w:val="004C026E"/>
    <w:rsid w:val="004C083D"/>
    <w:rsid w:val="004C1CD9"/>
    <w:rsid w:val="004C1FC2"/>
    <w:rsid w:val="004C20B1"/>
    <w:rsid w:val="004C241A"/>
    <w:rsid w:val="004C2642"/>
    <w:rsid w:val="004C29F6"/>
    <w:rsid w:val="004C2A6B"/>
    <w:rsid w:val="004C3D3A"/>
    <w:rsid w:val="004C4AA8"/>
    <w:rsid w:val="004C4F9F"/>
    <w:rsid w:val="004C570A"/>
    <w:rsid w:val="004C641C"/>
    <w:rsid w:val="004C76FB"/>
    <w:rsid w:val="004D0B15"/>
    <w:rsid w:val="004D1211"/>
    <w:rsid w:val="004D160D"/>
    <w:rsid w:val="004D17ED"/>
    <w:rsid w:val="004D1F4D"/>
    <w:rsid w:val="004D288E"/>
    <w:rsid w:val="004D2FE8"/>
    <w:rsid w:val="004D30D7"/>
    <w:rsid w:val="004D31B6"/>
    <w:rsid w:val="004D3564"/>
    <w:rsid w:val="004D3E48"/>
    <w:rsid w:val="004D45FD"/>
    <w:rsid w:val="004D4AF9"/>
    <w:rsid w:val="004D5297"/>
    <w:rsid w:val="004D6102"/>
    <w:rsid w:val="004E00C1"/>
    <w:rsid w:val="004E03AF"/>
    <w:rsid w:val="004E0571"/>
    <w:rsid w:val="004E0945"/>
    <w:rsid w:val="004E0E02"/>
    <w:rsid w:val="004E25F6"/>
    <w:rsid w:val="004E29FA"/>
    <w:rsid w:val="004E2EC7"/>
    <w:rsid w:val="004E318B"/>
    <w:rsid w:val="004E36F9"/>
    <w:rsid w:val="004E3820"/>
    <w:rsid w:val="004E389E"/>
    <w:rsid w:val="004E3B56"/>
    <w:rsid w:val="004E472D"/>
    <w:rsid w:val="004E48AE"/>
    <w:rsid w:val="004E4A83"/>
    <w:rsid w:val="004E5397"/>
    <w:rsid w:val="004E54CE"/>
    <w:rsid w:val="004E646C"/>
    <w:rsid w:val="004E6D1D"/>
    <w:rsid w:val="004E705B"/>
    <w:rsid w:val="004E75DB"/>
    <w:rsid w:val="004E7778"/>
    <w:rsid w:val="004F0D44"/>
    <w:rsid w:val="004F0FCB"/>
    <w:rsid w:val="004F1B50"/>
    <w:rsid w:val="004F2AEE"/>
    <w:rsid w:val="004F37C3"/>
    <w:rsid w:val="004F3D0A"/>
    <w:rsid w:val="004F400E"/>
    <w:rsid w:val="004F4569"/>
    <w:rsid w:val="004F504F"/>
    <w:rsid w:val="004F5727"/>
    <w:rsid w:val="004F57F7"/>
    <w:rsid w:val="004F5C2A"/>
    <w:rsid w:val="004F5D77"/>
    <w:rsid w:val="004F5FEA"/>
    <w:rsid w:val="004F70E1"/>
    <w:rsid w:val="004F7243"/>
    <w:rsid w:val="00500B07"/>
    <w:rsid w:val="00500D13"/>
    <w:rsid w:val="00500DF6"/>
    <w:rsid w:val="00501362"/>
    <w:rsid w:val="00502028"/>
    <w:rsid w:val="0050341E"/>
    <w:rsid w:val="0050458D"/>
    <w:rsid w:val="00505074"/>
    <w:rsid w:val="00505556"/>
    <w:rsid w:val="0050612C"/>
    <w:rsid w:val="0050615D"/>
    <w:rsid w:val="005066BA"/>
    <w:rsid w:val="0050732B"/>
    <w:rsid w:val="00507D97"/>
    <w:rsid w:val="00507FF3"/>
    <w:rsid w:val="00510434"/>
    <w:rsid w:val="005110FE"/>
    <w:rsid w:val="00511CC0"/>
    <w:rsid w:val="00512D34"/>
    <w:rsid w:val="00512F16"/>
    <w:rsid w:val="00513DCF"/>
    <w:rsid w:val="00515150"/>
    <w:rsid w:val="00515368"/>
    <w:rsid w:val="005161FC"/>
    <w:rsid w:val="00516686"/>
    <w:rsid w:val="005218F6"/>
    <w:rsid w:val="005223A4"/>
    <w:rsid w:val="0052251D"/>
    <w:rsid w:val="0052267B"/>
    <w:rsid w:val="00522680"/>
    <w:rsid w:val="00522AC9"/>
    <w:rsid w:val="00522AF5"/>
    <w:rsid w:val="00522D68"/>
    <w:rsid w:val="00525A10"/>
    <w:rsid w:val="00526AEF"/>
    <w:rsid w:val="00526B16"/>
    <w:rsid w:val="00527709"/>
    <w:rsid w:val="005314C1"/>
    <w:rsid w:val="00531797"/>
    <w:rsid w:val="0053199B"/>
    <w:rsid w:val="005321AF"/>
    <w:rsid w:val="0053306D"/>
    <w:rsid w:val="00536097"/>
    <w:rsid w:val="00536FC1"/>
    <w:rsid w:val="00537A1F"/>
    <w:rsid w:val="00537B98"/>
    <w:rsid w:val="00537E22"/>
    <w:rsid w:val="00540368"/>
    <w:rsid w:val="00540E8C"/>
    <w:rsid w:val="00541E71"/>
    <w:rsid w:val="00542FE6"/>
    <w:rsid w:val="005461D9"/>
    <w:rsid w:val="0054685E"/>
    <w:rsid w:val="0054757E"/>
    <w:rsid w:val="0054792F"/>
    <w:rsid w:val="00547D73"/>
    <w:rsid w:val="00547D83"/>
    <w:rsid w:val="00547FA2"/>
    <w:rsid w:val="0055020D"/>
    <w:rsid w:val="00550611"/>
    <w:rsid w:val="0055115A"/>
    <w:rsid w:val="005511FA"/>
    <w:rsid w:val="00551D64"/>
    <w:rsid w:val="0055265B"/>
    <w:rsid w:val="00552A83"/>
    <w:rsid w:val="00553BF1"/>
    <w:rsid w:val="005545BF"/>
    <w:rsid w:val="00554CE6"/>
    <w:rsid w:val="00554DD2"/>
    <w:rsid w:val="00554E38"/>
    <w:rsid w:val="00556CDE"/>
    <w:rsid w:val="005572A4"/>
    <w:rsid w:val="005573E2"/>
    <w:rsid w:val="00557A12"/>
    <w:rsid w:val="00557EA9"/>
    <w:rsid w:val="00560096"/>
    <w:rsid w:val="0056091F"/>
    <w:rsid w:val="00560BBD"/>
    <w:rsid w:val="00560D50"/>
    <w:rsid w:val="00561804"/>
    <w:rsid w:val="005618F0"/>
    <w:rsid w:val="00561E7C"/>
    <w:rsid w:val="005621CF"/>
    <w:rsid w:val="0056311F"/>
    <w:rsid w:val="00564B10"/>
    <w:rsid w:val="00564DEE"/>
    <w:rsid w:val="00565716"/>
    <w:rsid w:val="00566BDE"/>
    <w:rsid w:val="005670E3"/>
    <w:rsid w:val="005672C8"/>
    <w:rsid w:val="005676A9"/>
    <w:rsid w:val="00567752"/>
    <w:rsid w:val="00567BD0"/>
    <w:rsid w:val="0057198B"/>
    <w:rsid w:val="00571FF0"/>
    <w:rsid w:val="00573290"/>
    <w:rsid w:val="00573C78"/>
    <w:rsid w:val="00575362"/>
    <w:rsid w:val="00575B03"/>
    <w:rsid w:val="00575B52"/>
    <w:rsid w:val="00576BCE"/>
    <w:rsid w:val="00577F16"/>
    <w:rsid w:val="00581625"/>
    <w:rsid w:val="00581978"/>
    <w:rsid w:val="00581B47"/>
    <w:rsid w:val="00581C94"/>
    <w:rsid w:val="0058291D"/>
    <w:rsid w:val="00582C24"/>
    <w:rsid w:val="00583A0C"/>
    <w:rsid w:val="00586833"/>
    <w:rsid w:val="00587250"/>
    <w:rsid w:val="0058732B"/>
    <w:rsid w:val="005878CE"/>
    <w:rsid w:val="00590A54"/>
    <w:rsid w:val="00590B91"/>
    <w:rsid w:val="00590C7D"/>
    <w:rsid w:val="00590CE0"/>
    <w:rsid w:val="00590F7E"/>
    <w:rsid w:val="00591F45"/>
    <w:rsid w:val="0059269C"/>
    <w:rsid w:val="00592A33"/>
    <w:rsid w:val="00592F25"/>
    <w:rsid w:val="00593B1F"/>
    <w:rsid w:val="00594808"/>
    <w:rsid w:val="00595F00"/>
    <w:rsid w:val="00596ACA"/>
    <w:rsid w:val="005A033C"/>
    <w:rsid w:val="005A1377"/>
    <w:rsid w:val="005A2AE5"/>
    <w:rsid w:val="005A2BC9"/>
    <w:rsid w:val="005A3035"/>
    <w:rsid w:val="005A3200"/>
    <w:rsid w:val="005A3FD9"/>
    <w:rsid w:val="005A4155"/>
    <w:rsid w:val="005A462B"/>
    <w:rsid w:val="005A52BB"/>
    <w:rsid w:val="005A5CC1"/>
    <w:rsid w:val="005A7B2A"/>
    <w:rsid w:val="005A7E12"/>
    <w:rsid w:val="005B0541"/>
    <w:rsid w:val="005B0FD8"/>
    <w:rsid w:val="005B1968"/>
    <w:rsid w:val="005B1A71"/>
    <w:rsid w:val="005B2783"/>
    <w:rsid w:val="005B35C2"/>
    <w:rsid w:val="005B478C"/>
    <w:rsid w:val="005B55C2"/>
    <w:rsid w:val="005B5780"/>
    <w:rsid w:val="005B5D9C"/>
    <w:rsid w:val="005B7D1A"/>
    <w:rsid w:val="005C00AE"/>
    <w:rsid w:val="005C227E"/>
    <w:rsid w:val="005C3BFE"/>
    <w:rsid w:val="005C44C6"/>
    <w:rsid w:val="005C45EB"/>
    <w:rsid w:val="005C4AD8"/>
    <w:rsid w:val="005C4B26"/>
    <w:rsid w:val="005C4BCC"/>
    <w:rsid w:val="005C624B"/>
    <w:rsid w:val="005C7213"/>
    <w:rsid w:val="005D056C"/>
    <w:rsid w:val="005D10E5"/>
    <w:rsid w:val="005D45D9"/>
    <w:rsid w:val="005D5B42"/>
    <w:rsid w:val="005D5EAA"/>
    <w:rsid w:val="005D65FD"/>
    <w:rsid w:val="005D750A"/>
    <w:rsid w:val="005E1787"/>
    <w:rsid w:val="005E1BDB"/>
    <w:rsid w:val="005E35E0"/>
    <w:rsid w:val="005E3A8D"/>
    <w:rsid w:val="005E3D44"/>
    <w:rsid w:val="005E440F"/>
    <w:rsid w:val="005E4610"/>
    <w:rsid w:val="005E461F"/>
    <w:rsid w:val="005E59DE"/>
    <w:rsid w:val="005E611A"/>
    <w:rsid w:val="005E6456"/>
    <w:rsid w:val="005E6D04"/>
    <w:rsid w:val="005E77E4"/>
    <w:rsid w:val="005E79DB"/>
    <w:rsid w:val="005E7CF0"/>
    <w:rsid w:val="005F07A4"/>
    <w:rsid w:val="005F0D58"/>
    <w:rsid w:val="005F1950"/>
    <w:rsid w:val="005F2511"/>
    <w:rsid w:val="005F271E"/>
    <w:rsid w:val="005F27C6"/>
    <w:rsid w:val="005F2888"/>
    <w:rsid w:val="005F29B5"/>
    <w:rsid w:val="005F3150"/>
    <w:rsid w:val="005F3567"/>
    <w:rsid w:val="005F4569"/>
    <w:rsid w:val="005F48D3"/>
    <w:rsid w:val="005F4BDA"/>
    <w:rsid w:val="005F4C53"/>
    <w:rsid w:val="005F4EAE"/>
    <w:rsid w:val="005F4FD8"/>
    <w:rsid w:val="005F5105"/>
    <w:rsid w:val="005F5668"/>
    <w:rsid w:val="005F6FD5"/>
    <w:rsid w:val="005F720B"/>
    <w:rsid w:val="005F7A5A"/>
    <w:rsid w:val="005F7AB2"/>
    <w:rsid w:val="00600CE0"/>
    <w:rsid w:val="00600CFA"/>
    <w:rsid w:val="00600F05"/>
    <w:rsid w:val="00601600"/>
    <w:rsid w:val="006019D3"/>
    <w:rsid w:val="006020BC"/>
    <w:rsid w:val="006024DB"/>
    <w:rsid w:val="006025F9"/>
    <w:rsid w:val="006027BA"/>
    <w:rsid w:val="00603C30"/>
    <w:rsid w:val="00604BF3"/>
    <w:rsid w:val="00604FAF"/>
    <w:rsid w:val="00604FCB"/>
    <w:rsid w:val="0060582F"/>
    <w:rsid w:val="006059FB"/>
    <w:rsid w:val="00606404"/>
    <w:rsid w:val="00606970"/>
    <w:rsid w:val="00606A51"/>
    <w:rsid w:val="00606D43"/>
    <w:rsid w:val="00607026"/>
    <w:rsid w:val="00610EE1"/>
    <w:rsid w:val="00612327"/>
    <w:rsid w:val="00612442"/>
    <w:rsid w:val="00612467"/>
    <w:rsid w:val="00612579"/>
    <w:rsid w:val="006131AB"/>
    <w:rsid w:val="0061399C"/>
    <w:rsid w:val="0061426C"/>
    <w:rsid w:val="0061538B"/>
    <w:rsid w:val="00615547"/>
    <w:rsid w:val="0061577E"/>
    <w:rsid w:val="00616C01"/>
    <w:rsid w:val="00616E03"/>
    <w:rsid w:val="006201B7"/>
    <w:rsid w:val="0062055D"/>
    <w:rsid w:val="00621D97"/>
    <w:rsid w:val="00623245"/>
    <w:rsid w:val="006233C8"/>
    <w:rsid w:val="00623E0D"/>
    <w:rsid w:val="006247BB"/>
    <w:rsid w:val="00625140"/>
    <w:rsid w:val="00625BA6"/>
    <w:rsid w:val="00626066"/>
    <w:rsid w:val="006269F7"/>
    <w:rsid w:val="00626EE6"/>
    <w:rsid w:val="006270DE"/>
    <w:rsid w:val="00630199"/>
    <w:rsid w:val="006315D7"/>
    <w:rsid w:val="006317CD"/>
    <w:rsid w:val="00631813"/>
    <w:rsid w:val="0063186B"/>
    <w:rsid w:val="00632319"/>
    <w:rsid w:val="00632ED8"/>
    <w:rsid w:val="00633452"/>
    <w:rsid w:val="006344D8"/>
    <w:rsid w:val="00636BBE"/>
    <w:rsid w:val="00636D34"/>
    <w:rsid w:val="00637F0B"/>
    <w:rsid w:val="00637F56"/>
    <w:rsid w:val="006403D7"/>
    <w:rsid w:val="00640C9A"/>
    <w:rsid w:val="00641390"/>
    <w:rsid w:val="0064171E"/>
    <w:rsid w:val="006425FE"/>
    <w:rsid w:val="00643BA7"/>
    <w:rsid w:val="00643DFB"/>
    <w:rsid w:val="00643E28"/>
    <w:rsid w:val="00645C5A"/>
    <w:rsid w:val="00645F74"/>
    <w:rsid w:val="00647A39"/>
    <w:rsid w:val="00647C74"/>
    <w:rsid w:val="00650070"/>
    <w:rsid w:val="00650F7C"/>
    <w:rsid w:val="00652AC3"/>
    <w:rsid w:val="00653EBD"/>
    <w:rsid w:val="00653F8E"/>
    <w:rsid w:val="0065437B"/>
    <w:rsid w:val="0065437F"/>
    <w:rsid w:val="006564A3"/>
    <w:rsid w:val="00656699"/>
    <w:rsid w:val="006577DB"/>
    <w:rsid w:val="00657A7A"/>
    <w:rsid w:val="0066056A"/>
    <w:rsid w:val="0066097C"/>
    <w:rsid w:val="00660D80"/>
    <w:rsid w:val="0066130C"/>
    <w:rsid w:val="006614C9"/>
    <w:rsid w:val="00661771"/>
    <w:rsid w:val="006617DB"/>
    <w:rsid w:val="00661D8B"/>
    <w:rsid w:val="006620F2"/>
    <w:rsid w:val="0066224F"/>
    <w:rsid w:val="0066257C"/>
    <w:rsid w:val="00662E15"/>
    <w:rsid w:val="00664288"/>
    <w:rsid w:val="00664648"/>
    <w:rsid w:val="00665939"/>
    <w:rsid w:val="00665C8F"/>
    <w:rsid w:val="00666275"/>
    <w:rsid w:val="006664C0"/>
    <w:rsid w:val="0066690A"/>
    <w:rsid w:val="0066783A"/>
    <w:rsid w:val="006706C6"/>
    <w:rsid w:val="006708BA"/>
    <w:rsid w:val="00670935"/>
    <w:rsid w:val="006715A0"/>
    <w:rsid w:val="00671AC8"/>
    <w:rsid w:val="00671BEF"/>
    <w:rsid w:val="006726C1"/>
    <w:rsid w:val="00673EE2"/>
    <w:rsid w:val="006754B3"/>
    <w:rsid w:val="00675900"/>
    <w:rsid w:val="006767E7"/>
    <w:rsid w:val="006773B0"/>
    <w:rsid w:val="00681A9D"/>
    <w:rsid w:val="00683A2D"/>
    <w:rsid w:val="00684471"/>
    <w:rsid w:val="00684FFF"/>
    <w:rsid w:val="00685B17"/>
    <w:rsid w:val="00686445"/>
    <w:rsid w:val="00686542"/>
    <w:rsid w:val="00686A7F"/>
    <w:rsid w:val="00686FEC"/>
    <w:rsid w:val="0068757C"/>
    <w:rsid w:val="00687973"/>
    <w:rsid w:val="0069013F"/>
    <w:rsid w:val="00690397"/>
    <w:rsid w:val="00690A76"/>
    <w:rsid w:val="0069116B"/>
    <w:rsid w:val="00691E0F"/>
    <w:rsid w:val="006920D0"/>
    <w:rsid w:val="00692381"/>
    <w:rsid w:val="00692925"/>
    <w:rsid w:val="00692F34"/>
    <w:rsid w:val="00693059"/>
    <w:rsid w:val="00693633"/>
    <w:rsid w:val="006942FA"/>
    <w:rsid w:val="00695212"/>
    <w:rsid w:val="0069583B"/>
    <w:rsid w:val="0069690D"/>
    <w:rsid w:val="006A047D"/>
    <w:rsid w:val="006A08D3"/>
    <w:rsid w:val="006A1123"/>
    <w:rsid w:val="006A1685"/>
    <w:rsid w:val="006A18DE"/>
    <w:rsid w:val="006A1DFC"/>
    <w:rsid w:val="006A1E5F"/>
    <w:rsid w:val="006A1F60"/>
    <w:rsid w:val="006A30FF"/>
    <w:rsid w:val="006A4253"/>
    <w:rsid w:val="006A4D4A"/>
    <w:rsid w:val="006A58EF"/>
    <w:rsid w:val="006A5FDA"/>
    <w:rsid w:val="006A6042"/>
    <w:rsid w:val="006A60EE"/>
    <w:rsid w:val="006A76F1"/>
    <w:rsid w:val="006A77A8"/>
    <w:rsid w:val="006B134E"/>
    <w:rsid w:val="006B21D3"/>
    <w:rsid w:val="006B3473"/>
    <w:rsid w:val="006B3952"/>
    <w:rsid w:val="006B420B"/>
    <w:rsid w:val="006B42A5"/>
    <w:rsid w:val="006B4615"/>
    <w:rsid w:val="006B4BDD"/>
    <w:rsid w:val="006B4D79"/>
    <w:rsid w:val="006B4E42"/>
    <w:rsid w:val="006B56DF"/>
    <w:rsid w:val="006B577E"/>
    <w:rsid w:val="006B6025"/>
    <w:rsid w:val="006B6B31"/>
    <w:rsid w:val="006B6D6F"/>
    <w:rsid w:val="006B7D68"/>
    <w:rsid w:val="006B7DA0"/>
    <w:rsid w:val="006C0C61"/>
    <w:rsid w:val="006C1861"/>
    <w:rsid w:val="006C3839"/>
    <w:rsid w:val="006C4A96"/>
    <w:rsid w:val="006C677D"/>
    <w:rsid w:val="006C6EE5"/>
    <w:rsid w:val="006C7139"/>
    <w:rsid w:val="006C71C9"/>
    <w:rsid w:val="006D0CE3"/>
    <w:rsid w:val="006D1FAB"/>
    <w:rsid w:val="006D2154"/>
    <w:rsid w:val="006D2289"/>
    <w:rsid w:val="006D26D2"/>
    <w:rsid w:val="006D3174"/>
    <w:rsid w:val="006D4A90"/>
    <w:rsid w:val="006D5B17"/>
    <w:rsid w:val="006D623B"/>
    <w:rsid w:val="006D6767"/>
    <w:rsid w:val="006D6BEA"/>
    <w:rsid w:val="006D6C04"/>
    <w:rsid w:val="006D7272"/>
    <w:rsid w:val="006E1DC7"/>
    <w:rsid w:val="006E1DED"/>
    <w:rsid w:val="006E371C"/>
    <w:rsid w:val="006E3EC7"/>
    <w:rsid w:val="006E424B"/>
    <w:rsid w:val="006E4623"/>
    <w:rsid w:val="006E4C85"/>
    <w:rsid w:val="006E586F"/>
    <w:rsid w:val="006E7771"/>
    <w:rsid w:val="006F08DE"/>
    <w:rsid w:val="006F0A5D"/>
    <w:rsid w:val="006F129F"/>
    <w:rsid w:val="006F1465"/>
    <w:rsid w:val="006F2323"/>
    <w:rsid w:val="006F2425"/>
    <w:rsid w:val="006F252D"/>
    <w:rsid w:val="006F3198"/>
    <w:rsid w:val="006F3C86"/>
    <w:rsid w:val="006F44A0"/>
    <w:rsid w:val="006F4AD3"/>
    <w:rsid w:val="006F4B48"/>
    <w:rsid w:val="006F5E92"/>
    <w:rsid w:val="006F62F4"/>
    <w:rsid w:val="006F6472"/>
    <w:rsid w:val="006F7148"/>
    <w:rsid w:val="006F715B"/>
    <w:rsid w:val="006F74E7"/>
    <w:rsid w:val="007001DB"/>
    <w:rsid w:val="007014C3"/>
    <w:rsid w:val="0070235C"/>
    <w:rsid w:val="00702E02"/>
    <w:rsid w:val="00703B2A"/>
    <w:rsid w:val="00704516"/>
    <w:rsid w:val="0070539F"/>
    <w:rsid w:val="00705D32"/>
    <w:rsid w:val="00705F65"/>
    <w:rsid w:val="00706E67"/>
    <w:rsid w:val="00707150"/>
    <w:rsid w:val="007078CA"/>
    <w:rsid w:val="007100C0"/>
    <w:rsid w:val="00710FDF"/>
    <w:rsid w:val="0071179B"/>
    <w:rsid w:val="00711A85"/>
    <w:rsid w:val="00711DBF"/>
    <w:rsid w:val="00712399"/>
    <w:rsid w:val="00712847"/>
    <w:rsid w:val="00714AB9"/>
    <w:rsid w:val="00715BCF"/>
    <w:rsid w:val="00716A7F"/>
    <w:rsid w:val="00716F80"/>
    <w:rsid w:val="00716FDD"/>
    <w:rsid w:val="00717413"/>
    <w:rsid w:val="00721271"/>
    <w:rsid w:val="007216BF"/>
    <w:rsid w:val="007219D8"/>
    <w:rsid w:val="00722569"/>
    <w:rsid w:val="0072322D"/>
    <w:rsid w:val="00723606"/>
    <w:rsid w:val="007244A4"/>
    <w:rsid w:val="00724D34"/>
    <w:rsid w:val="00725B52"/>
    <w:rsid w:val="007260A1"/>
    <w:rsid w:val="00726AFF"/>
    <w:rsid w:val="00726FEC"/>
    <w:rsid w:val="00727DC9"/>
    <w:rsid w:val="0073043C"/>
    <w:rsid w:val="00730621"/>
    <w:rsid w:val="00731CC6"/>
    <w:rsid w:val="00732E0A"/>
    <w:rsid w:val="007335BD"/>
    <w:rsid w:val="00734103"/>
    <w:rsid w:val="0073475E"/>
    <w:rsid w:val="00734922"/>
    <w:rsid w:val="007349F1"/>
    <w:rsid w:val="00734BAC"/>
    <w:rsid w:val="00734CFE"/>
    <w:rsid w:val="00734F1B"/>
    <w:rsid w:val="00734F2E"/>
    <w:rsid w:val="00735CB2"/>
    <w:rsid w:val="00735E80"/>
    <w:rsid w:val="007362F4"/>
    <w:rsid w:val="00737242"/>
    <w:rsid w:val="00737268"/>
    <w:rsid w:val="007404B7"/>
    <w:rsid w:val="007404DF"/>
    <w:rsid w:val="0074173A"/>
    <w:rsid w:val="007424E4"/>
    <w:rsid w:val="00742A3B"/>
    <w:rsid w:val="00742FFF"/>
    <w:rsid w:val="0074428C"/>
    <w:rsid w:val="00746292"/>
    <w:rsid w:val="007464C1"/>
    <w:rsid w:val="007470ED"/>
    <w:rsid w:val="00750388"/>
    <w:rsid w:val="0075060A"/>
    <w:rsid w:val="007506B8"/>
    <w:rsid w:val="00750F5A"/>
    <w:rsid w:val="00751098"/>
    <w:rsid w:val="00752322"/>
    <w:rsid w:val="00752918"/>
    <w:rsid w:val="00752EC4"/>
    <w:rsid w:val="00752F2E"/>
    <w:rsid w:val="007532A9"/>
    <w:rsid w:val="00753E84"/>
    <w:rsid w:val="007548CB"/>
    <w:rsid w:val="00754D2B"/>
    <w:rsid w:val="00755A77"/>
    <w:rsid w:val="00755B13"/>
    <w:rsid w:val="00755C37"/>
    <w:rsid w:val="00756220"/>
    <w:rsid w:val="00756DB3"/>
    <w:rsid w:val="007574DF"/>
    <w:rsid w:val="00757D00"/>
    <w:rsid w:val="00757D7B"/>
    <w:rsid w:val="007607D5"/>
    <w:rsid w:val="00760D0A"/>
    <w:rsid w:val="00760FF1"/>
    <w:rsid w:val="00761296"/>
    <w:rsid w:val="007635B2"/>
    <w:rsid w:val="0076386D"/>
    <w:rsid w:val="00764255"/>
    <w:rsid w:val="007645E1"/>
    <w:rsid w:val="0076503D"/>
    <w:rsid w:val="00765EB5"/>
    <w:rsid w:val="00767B3E"/>
    <w:rsid w:val="00771283"/>
    <w:rsid w:val="00771486"/>
    <w:rsid w:val="00771C02"/>
    <w:rsid w:val="00771E19"/>
    <w:rsid w:val="00772135"/>
    <w:rsid w:val="00772261"/>
    <w:rsid w:val="00773139"/>
    <w:rsid w:val="00773149"/>
    <w:rsid w:val="00774989"/>
    <w:rsid w:val="00774CF8"/>
    <w:rsid w:val="0077559C"/>
    <w:rsid w:val="00775611"/>
    <w:rsid w:val="00775A00"/>
    <w:rsid w:val="007771DD"/>
    <w:rsid w:val="007814FF"/>
    <w:rsid w:val="0078206A"/>
    <w:rsid w:val="00782F7C"/>
    <w:rsid w:val="00783107"/>
    <w:rsid w:val="007836C0"/>
    <w:rsid w:val="00784160"/>
    <w:rsid w:val="00784DDB"/>
    <w:rsid w:val="00785712"/>
    <w:rsid w:val="007857AA"/>
    <w:rsid w:val="00786387"/>
    <w:rsid w:val="00786741"/>
    <w:rsid w:val="007900C5"/>
    <w:rsid w:val="00790106"/>
    <w:rsid w:val="00790D5F"/>
    <w:rsid w:val="00790FDC"/>
    <w:rsid w:val="00791045"/>
    <w:rsid w:val="007921D0"/>
    <w:rsid w:val="0079230B"/>
    <w:rsid w:val="00792E77"/>
    <w:rsid w:val="00793B0A"/>
    <w:rsid w:val="00795056"/>
    <w:rsid w:val="007950C1"/>
    <w:rsid w:val="00795345"/>
    <w:rsid w:val="00796D1E"/>
    <w:rsid w:val="00796F3A"/>
    <w:rsid w:val="00797DDB"/>
    <w:rsid w:val="007A0645"/>
    <w:rsid w:val="007A0F27"/>
    <w:rsid w:val="007A1BF7"/>
    <w:rsid w:val="007A212C"/>
    <w:rsid w:val="007A43E7"/>
    <w:rsid w:val="007A5B2A"/>
    <w:rsid w:val="007A5C0A"/>
    <w:rsid w:val="007A6845"/>
    <w:rsid w:val="007A7A05"/>
    <w:rsid w:val="007B019F"/>
    <w:rsid w:val="007B09D3"/>
    <w:rsid w:val="007B1136"/>
    <w:rsid w:val="007B14D5"/>
    <w:rsid w:val="007B1674"/>
    <w:rsid w:val="007B3A44"/>
    <w:rsid w:val="007B4108"/>
    <w:rsid w:val="007B44BC"/>
    <w:rsid w:val="007B580B"/>
    <w:rsid w:val="007B5ED6"/>
    <w:rsid w:val="007B63B1"/>
    <w:rsid w:val="007B688B"/>
    <w:rsid w:val="007B6C4D"/>
    <w:rsid w:val="007B76B3"/>
    <w:rsid w:val="007C1CB1"/>
    <w:rsid w:val="007C20EE"/>
    <w:rsid w:val="007C4AEE"/>
    <w:rsid w:val="007C5B4C"/>
    <w:rsid w:val="007C5DF3"/>
    <w:rsid w:val="007C659C"/>
    <w:rsid w:val="007C6843"/>
    <w:rsid w:val="007C7288"/>
    <w:rsid w:val="007C7BDF"/>
    <w:rsid w:val="007D178B"/>
    <w:rsid w:val="007D17ED"/>
    <w:rsid w:val="007D1BD1"/>
    <w:rsid w:val="007D23BA"/>
    <w:rsid w:val="007D2C57"/>
    <w:rsid w:val="007D69D9"/>
    <w:rsid w:val="007D72EC"/>
    <w:rsid w:val="007D74D4"/>
    <w:rsid w:val="007D78E8"/>
    <w:rsid w:val="007D7D5A"/>
    <w:rsid w:val="007E1856"/>
    <w:rsid w:val="007E3231"/>
    <w:rsid w:val="007E3FF4"/>
    <w:rsid w:val="007E55BD"/>
    <w:rsid w:val="007E7372"/>
    <w:rsid w:val="007F08A7"/>
    <w:rsid w:val="007F0D35"/>
    <w:rsid w:val="007F0F13"/>
    <w:rsid w:val="007F0F9A"/>
    <w:rsid w:val="007F2EFD"/>
    <w:rsid w:val="007F53BE"/>
    <w:rsid w:val="007F53F1"/>
    <w:rsid w:val="007F566F"/>
    <w:rsid w:val="007F5A95"/>
    <w:rsid w:val="007F656D"/>
    <w:rsid w:val="0080103E"/>
    <w:rsid w:val="008010F3"/>
    <w:rsid w:val="0080188E"/>
    <w:rsid w:val="008028FF"/>
    <w:rsid w:val="008029E9"/>
    <w:rsid w:val="00802FA9"/>
    <w:rsid w:val="00803ADB"/>
    <w:rsid w:val="0080466D"/>
    <w:rsid w:val="008054C0"/>
    <w:rsid w:val="00806049"/>
    <w:rsid w:val="00806104"/>
    <w:rsid w:val="00806E8B"/>
    <w:rsid w:val="00807FBD"/>
    <w:rsid w:val="0081445B"/>
    <w:rsid w:val="0081496C"/>
    <w:rsid w:val="00815A70"/>
    <w:rsid w:val="008160E4"/>
    <w:rsid w:val="00816B49"/>
    <w:rsid w:val="00820136"/>
    <w:rsid w:val="008203C8"/>
    <w:rsid w:val="00820E97"/>
    <w:rsid w:val="00820F0A"/>
    <w:rsid w:val="008212BA"/>
    <w:rsid w:val="008219C4"/>
    <w:rsid w:val="00821B8A"/>
    <w:rsid w:val="0082285D"/>
    <w:rsid w:val="00822878"/>
    <w:rsid w:val="00822B84"/>
    <w:rsid w:val="008240CE"/>
    <w:rsid w:val="0082419F"/>
    <w:rsid w:val="00824FBF"/>
    <w:rsid w:val="0082544B"/>
    <w:rsid w:val="00826536"/>
    <w:rsid w:val="00826582"/>
    <w:rsid w:val="00826643"/>
    <w:rsid w:val="00826801"/>
    <w:rsid w:val="0082747D"/>
    <w:rsid w:val="008276D2"/>
    <w:rsid w:val="00827831"/>
    <w:rsid w:val="00827C18"/>
    <w:rsid w:val="00827C98"/>
    <w:rsid w:val="00830BB1"/>
    <w:rsid w:val="00831178"/>
    <w:rsid w:val="008327CE"/>
    <w:rsid w:val="00832DD7"/>
    <w:rsid w:val="00833896"/>
    <w:rsid w:val="00833D81"/>
    <w:rsid w:val="00834199"/>
    <w:rsid w:val="00834477"/>
    <w:rsid w:val="0083560B"/>
    <w:rsid w:val="00836694"/>
    <w:rsid w:val="008375F3"/>
    <w:rsid w:val="008376FD"/>
    <w:rsid w:val="008423D3"/>
    <w:rsid w:val="00843721"/>
    <w:rsid w:val="008444FD"/>
    <w:rsid w:val="00844527"/>
    <w:rsid w:val="0084484C"/>
    <w:rsid w:val="00844C31"/>
    <w:rsid w:val="00844FBF"/>
    <w:rsid w:val="008455FA"/>
    <w:rsid w:val="0084565D"/>
    <w:rsid w:val="008461B6"/>
    <w:rsid w:val="008462F0"/>
    <w:rsid w:val="00846649"/>
    <w:rsid w:val="00847B2D"/>
    <w:rsid w:val="008503F0"/>
    <w:rsid w:val="008506F1"/>
    <w:rsid w:val="00850B78"/>
    <w:rsid w:val="0085404A"/>
    <w:rsid w:val="008542A7"/>
    <w:rsid w:val="00854393"/>
    <w:rsid w:val="00854C52"/>
    <w:rsid w:val="00855067"/>
    <w:rsid w:val="00855B57"/>
    <w:rsid w:val="00855EED"/>
    <w:rsid w:val="00860271"/>
    <w:rsid w:val="00860C50"/>
    <w:rsid w:val="00864C8A"/>
    <w:rsid w:val="00866D4F"/>
    <w:rsid w:val="00867662"/>
    <w:rsid w:val="00867DEB"/>
    <w:rsid w:val="00870615"/>
    <w:rsid w:val="008707CB"/>
    <w:rsid w:val="00870E5A"/>
    <w:rsid w:val="00871392"/>
    <w:rsid w:val="00871C55"/>
    <w:rsid w:val="00871EF8"/>
    <w:rsid w:val="00871F0F"/>
    <w:rsid w:val="00871F91"/>
    <w:rsid w:val="008727EB"/>
    <w:rsid w:val="0087285C"/>
    <w:rsid w:val="00872B93"/>
    <w:rsid w:val="00872F52"/>
    <w:rsid w:val="00873D60"/>
    <w:rsid w:val="00874FC0"/>
    <w:rsid w:val="008751ED"/>
    <w:rsid w:val="00875841"/>
    <w:rsid w:val="00875ED9"/>
    <w:rsid w:val="00876B20"/>
    <w:rsid w:val="008779D5"/>
    <w:rsid w:val="00881630"/>
    <w:rsid w:val="00881F37"/>
    <w:rsid w:val="00882407"/>
    <w:rsid w:val="00882B75"/>
    <w:rsid w:val="00882BC5"/>
    <w:rsid w:val="00882C72"/>
    <w:rsid w:val="0088305B"/>
    <w:rsid w:val="00883826"/>
    <w:rsid w:val="008839E3"/>
    <w:rsid w:val="00883A48"/>
    <w:rsid w:val="0088409B"/>
    <w:rsid w:val="008848DC"/>
    <w:rsid w:val="00884926"/>
    <w:rsid w:val="00885C43"/>
    <w:rsid w:val="00885DA2"/>
    <w:rsid w:val="00886402"/>
    <w:rsid w:val="00887986"/>
    <w:rsid w:val="0089048F"/>
    <w:rsid w:val="00890D69"/>
    <w:rsid w:val="00892075"/>
    <w:rsid w:val="00892A2F"/>
    <w:rsid w:val="008934C4"/>
    <w:rsid w:val="0089377A"/>
    <w:rsid w:val="00894CDD"/>
    <w:rsid w:val="00895084"/>
    <w:rsid w:val="00896ACF"/>
    <w:rsid w:val="00897140"/>
    <w:rsid w:val="00897416"/>
    <w:rsid w:val="008974B9"/>
    <w:rsid w:val="00897743"/>
    <w:rsid w:val="008A1766"/>
    <w:rsid w:val="008A2B57"/>
    <w:rsid w:val="008A40B8"/>
    <w:rsid w:val="008A4285"/>
    <w:rsid w:val="008A4A7B"/>
    <w:rsid w:val="008A4DB0"/>
    <w:rsid w:val="008A5B27"/>
    <w:rsid w:val="008A706A"/>
    <w:rsid w:val="008A7D49"/>
    <w:rsid w:val="008B1464"/>
    <w:rsid w:val="008B31F7"/>
    <w:rsid w:val="008B35EE"/>
    <w:rsid w:val="008B3E7C"/>
    <w:rsid w:val="008B4033"/>
    <w:rsid w:val="008B405B"/>
    <w:rsid w:val="008B44E8"/>
    <w:rsid w:val="008B4556"/>
    <w:rsid w:val="008B49E0"/>
    <w:rsid w:val="008B556D"/>
    <w:rsid w:val="008B6EAD"/>
    <w:rsid w:val="008B7A46"/>
    <w:rsid w:val="008C01D4"/>
    <w:rsid w:val="008C02FC"/>
    <w:rsid w:val="008C0816"/>
    <w:rsid w:val="008C0B85"/>
    <w:rsid w:val="008C122D"/>
    <w:rsid w:val="008C18F6"/>
    <w:rsid w:val="008C197F"/>
    <w:rsid w:val="008C1BE6"/>
    <w:rsid w:val="008C2762"/>
    <w:rsid w:val="008C33F8"/>
    <w:rsid w:val="008C468E"/>
    <w:rsid w:val="008C56A5"/>
    <w:rsid w:val="008C5B6F"/>
    <w:rsid w:val="008C6271"/>
    <w:rsid w:val="008C6983"/>
    <w:rsid w:val="008C6FBE"/>
    <w:rsid w:val="008C7211"/>
    <w:rsid w:val="008C7729"/>
    <w:rsid w:val="008D0553"/>
    <w:rsid w:val="008D07F4"/>
    <w:rsid w:val="008D125C"/>
    <w:rsid w:val="008D13E6"/>
    <w:rsid w:val="008D1EEC"/>
    <w:rsid w:val="008D22C3"/>
    <w:rsid w:val="008D2884"/>
    <w:rsid w:val="008D2E17"/>
    <w:rsid w:val="008D334B"/>
    <w:rsid w:val="008D3AC5"/>
    <w:rsid w:val="008D3E4B"/>
    <w:rsid w:val="008D460A"/>
    <w:rsid w:val="008D5C45"/>
    <w:rsid w:val="008D771A"/>
    <w:rsid w:val="008D79B2"/>
    <w:rsid w:val="008D7ED0"/>
    <w:rsid w:val="008E2972"/>
    <w:rsid w:val="008E30E9"/>
    <w:rsid w:val="008E4022"/>
    <w:rsid w:val="008E4C17"/>
    <w:rsid w:val="008E4E9D"/>
    <w:rsid w:val="008E522A"/>
    <w:rsid w:val="008E5F44"/>
    <w:rsid w:val="008E7A52"/>
    <w:rsid w:val="008E7D61"/>
    <w:rsid w:val="008F163F"/>
    <w:rsid w:val="008F18D1"/>
    <w:rsid w:val="008F1AA6"/>
    <w:rsid w:val="008F2803"/>
    <w:rsid w:val="008F2B9D"/>
    <w:rsid w:val="008F2E12"/>
    <w:rsid w:val="008F3077"/>
    <w:rsid w:val="008F3B86"/>
    <w:rsid w:val="008F4FEE"/>
    <w:rsid w:val="008F5106"/>
    <w:rsid w:val="008F5399"/>
    <w:rsid w:val="008F5B95"/>
    <w:rsid w:val="008F76E7"/>
    <w:rsid w:val="009008DE"/>
    <w:rsid w:val="009022BB"/>
    <w:rsid w:val="0090274A"/>
    <w:rsid w:val="00903126"/>
    <w:rsid w:val="00903C11"/>
    <w:rsid w:val="00903CD9"/>
    <w:rsid w:val="00904115"/>
    <w:rsid w:val="0090510F"/>
    <w:rsid w:val="00905154"/>
    <w:rsid w:val="00905286"/>
    <w:rsid w:val="009055B8"/>
    <w:rsid w:val="0090756A"/>
    <w:rsid w:val="0091064B"/>
    <w:rsid w:val="009114C1"/>
    <w:rsid w:val="00913D2D"/>
    <w:rsid w:val="00913FE4"/>
    <w:rsid w:val="009141F4"/>
    <w:rsid w:val="009149B1"/>
    <w:rsid w:val="00914BEF"/>
    <w:rsid w:val="0091571C"/>
    <w:rsid w:val="0091773E"/>
    <w:rsid w:val="0091796E"/>
    <w:rsid w:val="00917D8C"/>
    <w:rsid w:val="0092081A"/>
    <w:rsid w:val="00920D44"/>
    <w:rsid w:val="0092110D"/>
    <w:rsid w:val="009211DA"/>
    <w:rsid w:val="00921B6B"/>
    <w:rsid w:val="00923832"/>
    <w:rsid w:val="00923B82"/>
    <w:rsid w:val="00923F1E"/>
    <w:rsid w:val="00924047"/>
    <w:rsid w:val="00924A5F"/>
    <w:rsid w:val="00924F91"/>
    <w:rsid w:val="00925702"/>
    <w:rsid w:val="00925828"/>
    <w:rsid w:val="0092633C"/>
    <w:rsid w:val="00926D1F"/>
    <w:rsid w:val="00926D33"/>
    <w:rsid w:val="009300A6"/>
    <w:rsid w:val="00930C01"/>
    <w:rsid w:val="00930CE2"/>
    <w:rsid w:val="00932CEB"/>
    <w:rsid w:val="00932EF0"/>
    <w:rsid w:val="0093305A"/>
    <w:rsid w:val="00933828"/>
    <w:rsid w:val="00935AB2"/>
    <w:rsid w:val="00935F95"/>
    <w:rsid w:val="009361FD"/>
    <w:rsid w:val="00937C89"/>
    <w:rsid w:val="00937CC1"/>
    <w:rsid w:val="00937CCC"/>
    <w:rsid w:val="00940110"/>
    <w:rsid w:val="00941D80"/>
    <w:rsid w:val="0094295D"/>
    <w:rsid w:val="0094303B"/>
    <w:rsid w:val="00943E7A"/>
    <w:rsid w:val="009441B2"/>
    <w:rsid w:val="0094499D"/>
    <w:rsid w:val="009456E6"/>
    <w:rsid w:val="00945FF7"/>
    <w:rsid w:val="0094628E"/>
    <w:rsid w:val="00946942"/>
    <w:rsid w:val="0095041F"/>
    <w:rsid w:val="00951A06"/>
    <w:rsid w:val="009526CD"/>
    <w:rsid w:val="00952E14"/>
    <w:rsid w:val="009532E2"/>
    <w:rsid w:val="009535B1"/>
    <w:rsid w:val="00954BC9"/>
    <w:rsid w:val="00955248"/>
    <w:rsid w:val="00956257"/>
    <w:rsid w:val="00956C39"/>
    <w:rsid w:val="00960B3E"/>
    <w:rsid w:val="00961208"/>
    <w:rsid w:val="0096284C"/>
    <w:rsid w:val="00962C38"/>
    <w:rsid w:val="00964C9F"/>
    <w:rsid w:val="0096513A"/>
    <w:rsid w:val="00966463"/>
    <w:rsid w:val="009667CE"/>
    <w:rsid w:val="00966881"/>
    <w:rsid w:val="0096762C"/>
    <w:rsid w:val="00967CB3"/>
    <w:rsid w:val="00970330"/>
    <w:rsid w:val="00970704"/>
    <w:rsid w:val="00970AEA"/>
    <w:rsid w:val="009716A9"/>
    <w:rsid w:val="009718BD"/>
    <w:rsid w:val="00971D46"/>
    <w:rsid w:val="00972DC8"/>
    <w:rsid w:val="00972E6E"/>
    <w:rsid w:val="00973398"/>
    <w:rsid w:val="00973523"/>
    <w:rsid w:val="00975F41"/>
    <w:rsid w:val="00976143"/>
    <w:rsid w:val="0097695C"/>
    <w:rsid w:val="00976A41"/>
    <w:rsid w:val="00976A46"/>
    <w:rsid w:val="00977049"/>
    <w:rsid w:val="0097761F"/>
    <w:rsid w:val="00977832"/>
    <w:rsid w:val="00977C67"/>
    <w:rsid w:val="00980284"/>
    <w:rsid w:val="009805F0"/>
    <w:rsid w:val="009807B3"/>
    <w:rsid w:val="00981128"/>
    <w:rsid w:val="009822E3"/>
    <w:rsid w:val="009830F9"/>
    <w:rsid w:val="009834FA"/>
    <w:rsid w:val="0098520B"/>
    <w:rsid w:val="00986238"/>
    <w:rsid w:val="0098638F"/>
    <w:rsid w:val="009864F8"/>
    <w:rsid w:val="00986BAF"/>
    <w:rsid w:val="00986CD9"/>
    <w:rsid w:val="00987213"/>
    <w:rsid w:val="009879E6"/>
    <w:rsid w:val="009904BB"/>
    <w:rsid w:val="00990C7C"/>
    <w:rsid w:val="0099121E"/>
    <w:rsid w:val="0099155D"/>
    <w:rsid w:val="00991B8E"/>
    <w:rsid w:val="00992392"/>
    <w:rsid w:val="00992F24"/>
    <w:rsid w:val="009942BA"/>
    <w:rsid w:val="00994642"/>
    <w:rsid w:val="00994872"/>
    <w:rsid w:val="00995A87"/>
    <w:rsid w:val="009964CC"/>
    <w:rsid w:val="00997418"/>
    <w:rsid w:val="00997B01"/>
    <w:rsid w:val="00997E24"/>
    <w:rsid w:val="009A11A6"/>
    <w:rsid w:val="009A1CC7"/>
    <w:rsid w:val="009A2222"/>
    <w:rsid w:val="009A2E54"/>
    <w:rsid w:val="009A37FD"/>
    <w:rsid w:val="009A504B"/>
    <w:rsid w:val="009A52E8"/>
    <w:rsid w:val="009A5713"/>
    <w:rsid w:val="009A5B2B"/>
    <w:rsid w:val="009A60F5"/>
    <w:rsid w:val="009A64FC"/>
    <w:rsid w:val="009A672D"/>
    <w:rsid w:val="009A69E9"/>
    <w:rsid w:val="009A77F1"/>
    <w:rsid w:val="009B0304"/>
    <w:rsid w:val="009B0F66"/>
    <w:rsid w:val="009B163E"/>
    <w:rsid w:val="009B17E9"/>
    <w:rsid w:val="009B29D4"/>
    <w:rsid w:val="009B2A9D"/>
    <w:rsid w:val="009B2B45"/>
    <w:rsid w:val="009B2F8B"/>
    <w:rsid w:val="009B3570"/>
    <w:rsid w:val="009B366E"/>
    <w:rsid w:val="009B3672"/>
    <w:rsid w:val="009B374D"/>
    <w:rsid w:val="009B4DBC"/>
    <w:rsid w:val="009B50B9"/>
    <w:rsid w:val="009B56EA"/>
    <w:rsid w:val="009B5C45"/>
    <w:rsid w:val="009B6861"/>
    <w:rsid w:val="009B6C69"/>
    <w:rsid w:val="009C0BAD"/>
    <w:rsid w:val="009C0CBB"/>
    <w:rsid w:val="009C19BE"/>
    <w:rsid w:val="009C245A"/>
    <w:rsid w:val="009C3B05"/>
    <w:rsid w:val="009C516E"/>
    <w:rsid w:val="009C57D5"/>
    <w:rsid w:val="009C597F"/>
    <w:rsid w:val="009C69CB"/>
    <w:rsid w:val="009C7013"/>
    <w:rsid w:val="009C7DC6"/>
    <w:rsid w:val="009D22BD"/>
    <w:rsid w:val="009D2DE6"/>
    <w:rsid w:val="009D48A1"/>
    <w:rsid w:val="009D48CE"/>
    <w:rsid w:val="009D4FCF"/>
    <w:rsid w:val="009D55BB"/>
    <w:rsid w:val="009E0572"/>
    <w:rsid w:val="009E0F5E"/>
    <w:rsid w:val="009E3989"/>
    <w:rsid w:val="009E3F80"/>
    <w:rsid w:val="009E3FF6"/>
    <w:rsid w:val="009E50B1"/>
    <w:rsid w:val="009E54C7"/>
    <w:rsid w:val="009E6427"/>
    <w:rsid w:val="009E652E"/>
    <w:rsid w:val="009E79EC"/>
    <w:rsid w:val="009F125E"/>
    <w:rsid w:val="009F1694"/>
    <w:rsid w:val="009F2555"/>
    <w:rsid w:val="009F2D90"/>
    <w:rsid w:val="009F2EAC"/>
    <w:rsid w:val="009F356D"/>
    <w:rsid w:val="009F38CC"/>
    <w:rsid w:val="009F5577"/>
    <w:rsid w:val="009F6295"/>
    <w:rsid w:val="00A00C11"/>
    <w:rsid w:val="00A01DBF"/>
    <w:rsid w:val="00A01DEB"/>
    <w:rsid w:val="00A02216"/>
    <w:rsid w:val="00A0380E"/>
    <w:rsid w:val="00A03916"/>
    <w:rsid w:val="00A05409"/>
    <w:rsid w:val="00A06458"/>
    <w:rsid w:val="00A06776"/>
    <w:rsid w:val="00A073D7"/>
    <w:rsid w:val="00A07959"/>
    <w:rsid w:val="00A07CCE"/>
    <w:rsid w:val="00A11245"/>
    <w:rsid w:val="00A124BC"/>
    <w:rsid w:val="00A13877"/>
    <w:rsid w:val="00A142FF"/>
    <w:rsid w:val="00A1472D"/>
    <w:rsid w:val="00A15161"/>
    <w:rsid w:val="00A1689C"/>
    <w:rsid w:val="00A20459"/>
    <w:rsid w:val="00A21507"/>
    <w:rsid w:val="00A23355"/>
    <w:rsid w:val="00A24925"/>
    <w:rsid w:val="00A25BEF"/>
    <w:rsid w:val="00A25DEB"/>
    <w:rsid w:val="00A26995"/>
    <w:rsid w:val="00A26B99"/>
    <w:rsid w:val="00A27C46"/>
    <w:rsid w:val="00A307B3"/>
    <w:rsid w:val="00A30938"/>
    <w:rsid w:val="00A30A51"/>
    <w:rsid w:val="00A31124"/>
    <w:rsid w:val="00A3188A"/>
    <w:rsid w:val="00A31CF0"/>
    <w:rsid w:val="00A320D2"/>
    <w:rsid w:val="00A32FF8"/>
    <w:rsid w:val="00A34277"/>
    <w:rsid w:val="00A347A7"/>
    <w:rsid w:val="00A35E0F"/>
    <w:rsid w:val="00A3643F"/>
    <w:rsid w:val="00A40C55"/>
    <w:rsid w:val="00A40E9F"/>
    <w:rsid w:val="00A415A9"/>
    <w:rsid w:val="00A41615"/>
    <w:rsid w:val="00A42959"/>
    <w:rsid w:val="00A42F0C"/>
    <w:rsid w:val="00A4406D"/>
    <w:rsid w:val="00A44902"/>
    <w:rsid w:val="00A46752"/>
    <w:rsid w:val="00A50E7A"/>
    <w:rsid w:val="00A515F0"/>
    <w:rsid w:val="00A5174B"/>
    <w:rsid w:val="00A52163"/>
    <w:rsid w:val="00A528AB"/>
    <w:rsid w:val="00A55AAD"/>
    <w:rsid w:val="00A567DC"/>
    <w:rsid w:val="00A5768A"/>
    <w:rsid w:val="00A57BB3"/>
    <w:rsid w:val="00A57E80"/>
    <w:rsid w:val="00A602E9"/>
    <w:rsid w:val="00A623C2"/>
    <w:rsid w:val="00A62920"/>
    <w:rsid w:val="00A62F6C"/>
    <w:rsid w:val="00A63105"/>
    <w:rsid w:val="00A6349A"/>
    <w:rsid w:val="00A64CD2"/>
    <w:rsid w:val="00A64D19"/>
    <w:rsid w:val="00A66650"/>
    <w:rsid w:val="00A66C92"/>
    <w:rsid w:val="00A67B23"/>
    <w:rsid w:val="00A701BB"/>
    <w:rsid w:val="00A70F08"/>
    <w:rsid w:val="00A70F2D"/>
    <w:rsid w:val="00A7120C"/>
    <w:rsid w:val="00A730FE"/>
    <w:rsid w:val="00A7326B"/>
    <w:rsid w:val="00A73E92"/>
    <w:rsid w:val="00A7463A"/>
    <w:rsid w:val="00A74EE0"/>
    <w:rsid w:val="00A753E8"/>
    <w:rsid w:val="00A75483"/>
    <w:rsid w:val="00A755F1"/>
    <w:rsid w:val="00A762DD"/>
    <w:rsid w:val="00A763C2"/>
    <w:rsid w:val="00A77CB9"/>
    <w:rsid w:val="00A80C74"/>
    <w:rsid w:val="00A810B0"/>
    <w:rsid w:val="00A81830"/>
    <w:rsid w:val="00A8219B"/>
    <w:rsid w:val="00A8300F"/>
    <w:rsid w:val="00A83476"/>
    <w:rsid w:val="00A83D45"/>
    <w:rsid w:val="00A852F2"/>
    <w:rsid w:val="00A85BAF"/>
    <w:rsid w:val="00A8690E"/>
    <w:rsid w:val="00A86E17"/>
    <w:rsid w:val="00A871D1"/>
    <w:rsid w:val="00A90479"/>
    <w:rsid w:val="00A90FF6"/>
    <w:rsid w:val="00A914CD"/>
    <w:rsid w:val="00A93095"/>
    <w:rsid w:val="00A938DF"/>
    <w:rsid w:val="00A94108"/>
    <w:rsid w:val="00A94937"/>
    <w:rsid w:val="00A95135"/>
    <w:rsid w:val="00A9532D"/>
    <w:rsid w:val="00A95515"/>
    <w:rsid w:val="00A95CCF"/>
    <w:rsid w:val="00A96EC6"/>
    <w:rsid w:val="00A97ED4"/>
    <w:rsid w:val="00AA01C6"/>
    <w:rsid w:val="00AA022E"/>
    <w:rsid w:val="00AA1552"/>
    <w:rsid w:val="00AA1CF6"/>
    <w:rsid w:val="00AA1FA1"/>
    <w:rsid w:val="00AA29A0"/>
    <w:rsid w:val="00AA3737"/>
    <w:rsid w:val="00AA38AF"/>
    <w:rsid w:val="00AA4107"/>
    <w:rsid w:val="00AA5514"/>
    <w:rsid w:val="00AA5953"/>
    <w:rsid w:val="00AA5D45"/>
    <w:rsid w:val="00AA74D0"/>
    <w:rsid w:val="00AA78B7"/>
    <w:rsid w:val="00AA78FE"/>
    <w:rsid w:val="00AA7ACA"/>
    <w:rsid w:val="00AB0779"/>
    <w:rsid w:val="00AB0D98"/>
    <w:rsid w:val="00AB168E"/>
    <w:rsid w:val="00AB19F0"/>
    <w:rsid w:val="00AB2549"/>
    <w:rsid w:val="00AB546C"/>
    <w:rsid w:val="00AB5D11"/>
    <w:rsid w:val="00AB62CD"/>
    <w:rsid w:val="00AB6424"/>
    <w:rsid w:val="00AB6E31"/>
    <w:rsid w:val="00AB745F"/>
    <w:rsid w:val="00AB7EDB"/>
    <w:rsid w:val="00AC0EA2"/>
    <w:rsid w:val="00AC1CD2"/>
    <w:rsid w:val="00AC1E97"/>
    <w:rsid w:val="00AC264A"/>
    <w:rsid w:val="00AC3D7B"/>
    <w:rsid w:val="00AC4161"/>
    <w:rsid w:val="00AC515D"/>
    <w:rsid w:val="00AC5852"/>
    <w:rsid w:val="00AC7524"/>
    <w:rsid w:val="00AC79F6"/>
    <w:rsid w:val="00AC7D17"/>
    <w:rsid w:val="00AD04A9"/>
    <w:rsid w:val="00AD04B2"/>
    <w:rsid w:val="00AD0C66"/>
    <w:rsid w:val="00AD0FC7"/>
    <w:rsid w:val="00AD16B1"/>
    <w:rsid w:val="00AD234A"/>
    <w:rsid w:val="00AD2CDA"/>
    <w:rsid w:val="00AD3A0E"/>
    <w:rsid w:val="00AD3B91"/>
    <w:rsid w:val="00AD41FD"/>
    <w:rsid w:val="00AD4C01"/>
    <w:rsid w:val="00AD5E6D"/>
    <w:rsid w:val="00AD68FD"/>
    <w:rsid w:val="00AD704E"/>
    <w:rsid w:val="00AD7E1A"/>
    <w:rsid w:val="00AE080A"/>
    <w:rsid w:val="00AE10D3"/>
    <w:rsid w:val="00AE12F1"/>
    <w:rsid w:val="00AE1BE8"/>
    <w:rsid w:val="00AE1C44"/>
    <w:rsid w:val="00AE1F16"/>
    <w:rsid w:val="00AE24B0"/>
    <w:rsid w:val="00AE285D"/>
    <w:rsid w:val="00AE30AA"/>
    <w:rsid w:val="00AE34D3"/>
    <w:rsid w:val="00AE4AD5"/>
    <w:rsid w:val="00AE561A"/>
    <w:rsid w:val="00AE5CE0"/>
    <w:rsid w:val="00AE6101"/>
    <w:rsid w:val="00AE63F2"/>
    <w:rsid w:val="00AE69C3"/>
    <w:rsid w:val="00AE7C51"/>
    <w:rsid w:val="00AE7DFD"/>
    <w:rsid w:val="00AF0976"/>
    <w:rsid w:val="00AF0D39"/>
    <w:rsid w:val="00AF113C"/>
    <w:rsid w:val="00AF2FF0"/>
    <w:rsid w:val="00AF361D"/>
    <w:rsid w:val="00AF3FD8"/>
    <w:rsid w:val="00AF5FAE"/>
    <w:rsid w:val="00AF61B5"/>
    <w:rsid w:val="00AF705B"/>
    <w:rsid w:val="00B00513"/>
    <w:rsid w:val="00B00C8F"/>
    <w:rsid w:val="00B0176F"/>
    <w:rsid w:val="00B039FE"/>
    <w:rsid w:val="00B03C3D"/>
    <w:rsid w:val="00B03F64"/>
    <w:rsid w:val="00B0506E"/>
    <w:rsid w:val="00B05189"/>
    <w:rsid w:val="00B051C0"/>
    <w:rsid w:val="00B05BE7"/>
    <w:rsid w:val="00B07B78"/>
    <w:rsid w:val="00B07BB9"/>
    <w:rsid w:val="00B10483"/>
    <w:rsid w:val="00B1061E"/>
    <w:rsid w:val="00B11496"/>
    <w:rsid w:val="00B119A5"/>
    <w:rsid w:val="00B12535"/>
    <w:rsid w:val="00B12B60"/>
    <w:rsid w:val="00B12C93"/>
    <w:rsid w:val="00B12F4B"/>
    <w:rsid w:val="00B139DD"/>
    <w:rsid w:val="00B13C4A"/>
    <w:rsid w:val="00B13D04"/>
    <w:rsid w:val="00B14772"/>
    <w:rsid w:val="00B15345"/>
    <w:rsid w:val="00B15DFA"/>
    <w:rsid w:val="00B16296"/>
    <w:rsid w:val="00B176EA"/>
    <w:rsid w:val="00B17CEA"/>
    <w:rsid w:val="00B17E32"/>
    <w:rsid w:val="00B2043E"/>
    <w:rsid w:val="00B20672"/>
    <w:rsid w:val="00B21CC5"/>
    <w:rsid w:val="00B21EA6"/>
    <w:rsid w:val="00B23613"/>
    <w:rsid w:val="00B23A00"/>
    <w:rsid w:val="00B23AF1"/>
    <w:rsid w:val="00B23B35"/>
    <w:rsid w:val="00B23E7A"/>
    <w:rsid w:val="00B2456C"/>
    <w:rsid w:val="00B24961"/>
    <w:rsid w:val="00B26CA8"/>
    <w:rsid w:val="00B27096"/>
    <w:rsid w:val="00B276F7"/>
    <w:rsid w:val="00B309DC"/>
    <w:rsid w:val="00B309E5"/>
    <w:rsid w:val="00B32CF9"/>
    <w:rsid w:val="00B33DF2"/>
    <w:rsid w:val="00B33ED2"/>
    <w:rsid w:val="00B34180"/>
    <w:rsid w:val="00B34934"/>
    <w:rsid w:val="00B3637C"/>
    <w:rsid w:val="00B37B8A"/>
    <w:rsid w:val="00B40D0A"/>
    <w:rsid w:val="00B410AF"/>
    <w:rsid w:val="00B41475"/>
    <w:rsid w:val="00B418C2"/>
    <w:rsid w:val="00B424FA"/>
    <w:rsid w:val="00B4278A"/>
    <w:rsid w:val="00B445B5"/>
    <w:rsid w:val="00B46027"/>
    <w:rsid w:val="00B4717C"/>
    <w:rsid w:val="00B47954"/>
    <w:rsid w:val="00B47FC8"/>
    <w:rsid w:val="00B5059B"/>
    <w:rsid w:val="00B50A68"/>
    <w:rsid w:val="00B50BF8"/>
    <w:rsid w:val="00B51CA8"/>
    <w:rsid w:val="00B51EFC"/>
    <w:rsid w:val="00B5228E"/>
    <w:rsid w:val="00B52947"/>
    <w:rsid w:val="00B5295D"/>
    <w:rsid w:val="00B5298C"/>
    <w:rsid w:val="00B5449D"/>
    <w:rsid w:val="00B55048"/>
    <w:rsid w:val="00B55DA0"/>
    <w:rsid w:val="00B56B63"/>
    <w:rsid w:val="00B61D8D"/>
    <w:rsid w:val="00B620B9"/>
    <w:rsid w:val="00B62DD8"/>
    <w:rsid w:val="00B62F28"/>
    <w:rsid w:val="00B636CA"/>
    <w:rsid w:val="00B6592A"/>
    <w:rsid w:val="00B65B92"/>
    <w:rsid w:val="00B65EB6"/>
    <w:rsid w:val="00B66304"/>
    <w:rsid w:val="00B701FA"/>
    <w:rsid w:val="00B709CE"/>
    <w:rsid w:val="00B71B0D"/>
    <w:rsid w:val="00B71C54"/>
    <w:rsid w:val="00B71C6D"/>
    <w:rsid w:val="00B72103"/>
    <w:rsid w:val="00B72287"/>
    <w:rsid w:val="00B7271E"/>
    <w:rsid w:val="00B72A04"/>
    <w:rsid w:val="00B73DDE"/>
    <w:rsid w:val="00B7435C"/>
    <w:rsid w:val="00B743A1"/>
    <w:rsid w:val="00B76422"/>
    <w:rsid w:val="00B766A3"/>
    <w:rsid w:val="00B766D7"/>
    <w:rsid w:val="00B77377"/>
    <w:rsid w:val="00B77517"/>
    <w:rsid w:val="00B77627"/>
    <w:rsid w:val="00B77981"/>
    <w:rsid w:val="00B80C31"/>
    <w:rsid w:val="00B80C7A"/>
    <w:rsid w:val="00B8185B"/>
    <w:rsid w:val="00B81CA8"/>
    <w:rsid w:val="00B823E4"/>
    <w:rsid w:val="00B82F0D"/>
    <w:rsid w:val="00B83B19"/>
    <w:rsid w:val="00B83DD6"/>
    <w:rsid w:val="00B8415C"/>
    <w:rsid w:val="00B84499"/>
    <w:rsid w:val="00B84D94"/>
    <w:rsid w:val="00B84F08"/>
    <w:rsid w:val="00B850AC"/>
    <w:rsid w:val="00B858B1"/>
    <w:rsid w:val="00B85BB0"/>
    <w:rsid w:val="00B86ECD"/>
    <w:rsid w:val="00B87BFC"/>
    <w:rsid w:val="00B90238"/>
    <w:rsid w:val="00B90394"/>
    <w:rsid w:val="00B91887"/>
    <w:rsid w:val="00B930C6"/>
    <w:rsid w:val="00B943D8"/>
    <w:rsid w:val="00B9464F"/>
    <w:rsid w:val="00B949B5"/>
    <w:rsid w:val="00B94EC0"/>
    <w:rsid w:val="00B9503C"/>
    <w:rsid w:val="00B954C0"/>
    <w:rsid w:val="00B963A4"/>
    <w:rsid w:val="00B966ED"/>
    <w:rsid w:val="00B97541"/>
    <w:rsid w:val="00BA15BB"/>
    <w:rsid w:val="00BA18C5"/>
    <w:rsid w:val="00BA295B"/>
    <w:rsid w:val="00BA2D01"/>
    <w:rsid w:val="00BA42B1"/>
    <w:rsid w:val="00BA4BF0"/>
    <w:rsid w:val="00BA7B02"/>
    <w:rsid w:val="00BB0831"/>
    <w:rsid w:val="00BB0D89"/>
    <w:rsid w:val="00BB2DC6"/>
    <w:rsid w:val="00BB2F7B"/>
    <w:rsid w:val="00BB4002"/>
    <w:rsid w:val="00BB4CB6"/>
    <w:rsid w:val="00BB545A"/>
    <w:rsid w:val="00BB6C72"/>
    <w:rsid w:val="00BC0755"/>
    <w:rsid w:val="00BC0B5E"/>
    <w:rsid w:val="00BC0F2A"/>
    <w:rsid w:val="00BC1CA7"/>
    <w:rsid w:val="00BC369B"/>
    <w:rsid w:val="00BC3E9C"/>
    <w:rsid w:val="00BC4875"/>
    <w:rsid w:val="00BC4E99"/>
    <w:rsid w:val="00BC5120"/>
    <w:rsid w:val="00BC5ED3"/>
    <w:rsid w:val="00BD004A"/>
    <w:rsid w:val="00BD064E"/>
    <w:rsid w:val="00BD1F11"/>
    <w:rsid w:val="00BD2360"/>
    <w:rsid w:val="00BD24E9"/>
    <w:rsid w:val="00BD2849"/>
    <w:rsid w:val="00BD2A49"/>
    <w:rsid w:val="00BD4007"/>
    <w:rsid w:val="00BD560A"/>
    <w:rsid w:val="00BD5A7D"/>
    <w:rsid w:val="00BD63E2"/>
    <w:rsid w:val="00BD6470"/>
    <w:rsid w:val="00BD6562"/>
    <w:rsid w:val="00BD726A"/>
    <w:rsid w:val="00BE144F"/>
    <w:rsid w:val="00BE1DB2"/>
    <w:rsid w:val="00BE21CA"/>
    <w:rsid w:val="00BE251E"/>
    <w:rsid w:val="00BE26EF"/>
    <w:rsid w:val="00BE3367"/>
    <w:rsid w:val="00BE34F6"/>
    <w:rsid w:val="00BE4252"/>
    <w:rsid w:val="00BE46A7"/>
    <w:rsid w:val="00BE5E60"/>
    <w:rsid w:val="00BE5F70"/>
    <w:rsid w:val="00BE75EF"/>
    <w:rsid w:val="00BF0A06"/>
    <w:rsid w:val="00BF10B6"/>
    <w:rsid w:val="00BF14DE"/>
    <w:rsid w:val="00BF1757"/>
    <w:rsid w:val="00BF201B"/>
    <w:rsid w:val="00BF2F40"/>
    <w:rsid w:val="00BF3C4B"/>
    <w:rsid w:val="00BF3CAE"/>
    <w:rsid w:val="00BF4069"/>
    <w:rsid w:val="00BF4B51"/>
    <w:rsid w:val="00BF4EF3"/>
    <w:rsid w:val="00BF605D"/>
    <w:rsid w:val="00BF6682"/>
    <w:rsid w:val="00BF69A0"/>
    <w:rsid w:val="00BF6A3D"/>
    <w:rsid w:val="00C00353"/>
    <w:rsid w:val="00C00D28"/>
    <w:rsid w:val="00C01B37"/>
    <w:rsid w:val="00C02655"/>
    <w:rsid w:val="00C02B0D"/>
    <w:rsid w:val="00C03217"/>
    <w:rsid w:val="00C033C1"/>
    <w:rsid w:val="00C039FB"/>
    <w:rsid w:val="00C046FF"/>
    <w:rsid w:val="00C06E23"/>
    <w:rsid w:val="00C11DF4"/>
    <w:rsid w:val="00C12660"/>
    <w:rsid w:val="00C12A38"/>
    <w:rsid w:val="00C12B5B"/>
    <w:rsid w:val="00C133A1"/>
    <w:rsid w:val="00C1438C"/>
    <w:rsid w:val="00C14430"/>
    <w:rsid w:val="00C14651"/>
    <w:rsid w:val="00C147F0"/>
    <w:rsid w:val="00C14F77"/>
    <w:rsid w:val="00C15884"/>
    <w:rsid w:val="00C15CF8"/>
    <w:rsid w:val="00C160A3"/>
    <w:rsid w:val="00C16344"/>
    <w:rsid w:val="00C1681F"/>
    <w:rsid w:val="00C169DD"/>
    <w:rsid w:val="00C171CF"/>
    <w:rsid w:val="00C172C8"/>
    <w:rsid w:val="00C1790C"/>
    <w:rsid w:val="00C2027E"/>
    <w:rsid w:val="00C21D20"/>
    <w:rsid w:val="00C24296"/>
    <w:rsid w:val="00C2444A"/>
    <w:rsid w:val="00C2460A"/>
    <w:rsid w:val="00C2551D"/>
    <w:rsid w:val="00C25C42"/>
    <w:rsid w:val="00C26326"/>
    <w:rsid w:val="00C26D26"/>
    <w:rsid w:val="00C27F02"/>
    <w:rsid w:val="00C30326"/>
    <w:rsid w:val="00C30C8A"/>
    <w:rsid w:val="00C315A7"/>
    <w:rsid w:val="00C3183B"/>
    <w:rsid w:val="00C318B7"/>
    <w:rsid w:val="00C3244B"/>
    <w:rsid w:val="00C35A36"/>
    <w:rsid w:val="00C36BB1"/>
    <w:rsid w:val="00C36D52"/>
    <w:rsid w:val="00C37A37"/>
    <w:rsid w:val="00C37FDA"/>
    <w:rsid w:val="00C40BAD"/>
    <w:rsid w:val="00C42362"/>
    <w:rsid w:val="00C42A4E"/>
    <w:rsid w:val="00C42E27"/>
    <w:rsid w:val="00C44166"/>
    <w:rsid w:val="00C44FB5"/>
    <w:rsid w:val="00C45122"/>
    <w:rsid w:val="00C45222"/>
    <w:rsid w:val="00C452D9"/>
    <w:rsid w:val="00C4548C"/>
    <w:rsid w:val="00C45801"/>
    <w:rsid w:val="00C46A40"/>
    <w:rsid w:val="00C46FBA"/>
    <w:rsid w:val="00C475FD"/>
    <w:rsid w:val="00C479C7"/>
    <w:rsid w:val="00C47C7C"/>
    <w:rsid w:val="00C47D08"/>
    <w:rsid w:val="00C50DBA"/>
    <w:rsid w:val="00C5212E"/>
    <w:rsid w:val="00C521D8"/>
    <w:rsid w:val="00C52429"/>
    <w:rsid w:val="00C536A3"/>
    <w:rsid w:val="00C538F7"/>
    <w:rsid w:val="00C54D05"/>
    <w:rsid w:val="00C57065"/>
    <w:rsid w:val="00C572DA"/>
    <w:rsid w:val="00C574BA"/>
    <w:rsid w:val="00C57C4A"/>
    <w:rsid w:val="00C60412"/>
    <w:rsid w:val="00C616C2"/>
    <w:rsid w:val="00C61AAB"/>
    <w:rsid w:val="00C61F95"/>
    <w:rsid w:val="00C62C87"/>
    <w:rsid w:val="00C632E2"/>
    <w:rsid w:val="00C635C0"/>
    <w:rsid w:val="00C63632"/>
    <w:rsid w:val="00C63642"/>
    <w:rsid w:val="00C64A17"/>
    <w:rsid w:val="00C6557A"/>
    <w:rsid w:val="00C65C02"/>
    <w:rsid w:val="00C664CA"/>
    <w:rsid w:val="00C66774"/>
    <w:rsid w:val="00C667D5"/>
    <w:rsid w:val="00C67083"/>
    <w:rsid w:val="00C67755"/>
    <w:rsid w:val="00C67B1F"/>
    <w:rsid w:val="00C700AB"/>
    <w:rsid w:val="00C70988"/>
    <w:rsid w:val="00C709BC"/>
    <w:rsid w:val="00C70D06"/>
    <w:rsid w:val="00C71458"/>
    <w:rsid w:val="00C71611"/>
    <w:rsid w:val="00C71C5B"/>
    <w:rsid w:val="00C71D66"/>
    <w:rsid w:val="00C7235B"/>
    <w:rsid w:val="00C72AEF"/>
    <w:rsid w:val="00C731F0"/>
    <w:rsid w:val="00C73911"/>
    <w:rsid w:val="00C74B79"/>
    <w:rsid w:val="00C74F26"/>
    <w:rsid w:val="00C75025"/>
    <w:rsid w:val="00C7503E"/>
    <w:rsid w:val="00C755B1"/>
    <w:rsid w:val="00C75E36"/>
    <w:rsid w:val="00C76037"/>
    <w:rsid w:val="00C76A2B"/>
    <w:rsid w:val="00C771DE"/>
    <w:rsid w:val="00C776C4"/>
    <w:rsid w:val="00C814A3"/>
    <w:rsid w:val="00C81634"/>
    <w:rsid w:val="00C81879"/>
    <w:rsid w:val="00C82251"/>
    <w:rsid w:val="00C822A0"/>
    <w:rsid w:val="00C82E66"/>
    <w:rsid w:val="00C8489E"/>
    <w:rsid w:val="00C84D9E"/>
    <w:rsid w:val="00C85437"/>
    <w:rsid w:val="00C856CB"/>
    <w:rsid w:val="00C8595A"/>
    <w:rsid w:val="00C86972"/>
    <w:rsid w:val="00C9201A"/>
    <w:rsid w:val="00C920E7"/>
    <w:rsid w:val="00C9211E"/>
    <w:rsid w:val="00C9280B"/>
    <w:rsid w:val="00C953AF"/>
    <w:rsid w:val="00C96BF5"/>
    <w:rsid w:val="00C96E22"/>
    <w:rsid w:val="00C96F1E"/>
    <w:rsid w:val="00C97211"/>
    <w:rsid w:val="00C9726A"/>
    <w:rsid w:val="00C975AC"/>
    <w:rsid w:val="00C976B6"/>
    <w:rsid w:val="00CA0067"/>
    <w:rsid w:val="00CA08B3"/>
    <w:rsid w:val="00CA0929"/>
    <w:rsid w:val="00CA0C81"/>
    <w:rsid w:val="00CA0D6E"/>
    <w:rsid w:val="00CA0E22"/>
    <w:rsid w:val="00CA1FE3"/>
    <w:rsid w:val="00CA2AD7"/>
    <w:rsid w:val="00CA30FA"/>
    <w:rsid w:val="00CA31AA"/>
    <w:rsid w:val="00CA36B3"/>
    <w:rsid w:val="00CA3EA5"/>
    <w:rsid w:val="00CA4211"/>
    <w:rsid w:val="00CA4C49"/>
    <w:rsid w:val="00CA585D"/>
    <w:rsid w:val="00CA5B46"/>
    <w:rsid w:val="00CA5D16"/>
    <w:rsid w:val="00CA63EA"/>
    <w:rsid w:val="00CA74BD"/>
    <w:rsid w:val="00CA7E29"/>
    <w:rsid w:val="00CB05CE"/>
    <w:rsid w:val="00CB0746"/>
    <w:rsid w:val="00CB0923"/>
    <w:rsid w:val="00CB0FCD"/>
    <w:rsid w:val="00CB10A9"/>
    <w:rsid w:val="00CB1443"/>
    <w:rsid w:val="00CB175C"/>
    <w:rsid w:val="00CB217C"/>
    <w:rsid w:val="00CB26B1"/>
    <w:rsid w:val="00CB2BF5"/>
    <w:rsid w:val="00CB40B8"/>
    <w:rsid w:val="00CB4508"/>
    <w:rsid w:val="00CB5C22"/>
    <w:rsid w:val="00CB7D78"/>
    <w:rsid w:val="00CC0F0F"/>
    <w:rsid w:val="00CC1EEC"/>
    <w:rsid w:val="00CC25A1"/>
    <w:rsid w:val="00CC27A5"/>
    <w:rsid w:val="00CC319A"/>
    <w:rsid w:val="00CC35C9"/>
    <w:rsid w:val="00CC36CE"/>
    <w:rsid w:val="00CC383B"/>
    <w:rsid w:val="00CC3BCE"/>
    <w:rsid w:val="00CC3C11"/>
    <w:rsid w:val="00CC3CB7"/>
    <w:rsid w:val="00CC4036"/>
    <w:rsid w:val="00CC4C3C"/>
    <w:rsid w:val="00CC53FD"/>
    <w:rsid w:val="00CC5878"/>
    <w:rsid w:val="00CC612E"/>
    <w:rsid w:val="00CC6AB3"/>
    <w:rsid w:val="00CC7EEE"/>
    <w:rsid w:val="00CD1423"/>
    <w:rsid w:val="00CD1CEE"/>
    <w:rsid w:val="00CD277D"/>
    <w:rsid w:val="00CD299A"/>
    <w:rsid w:val="00CD2CEA"/>
    <w:rsid w:val="00CD4322"/>
    <w:rsid w:val="00CD5CE7"/>
    <w:rsid w:val="00CD5E2B"/>
    <w:rsid w:val="00CD6DFC"/>
    <w:rsid w:val="00CD78E1"/>
    <w:rsid w:val="00CE0301"/>
    <w:rsid w:val="00CE0613"/>
    <w:rsid w:val="00CE1231"/>
    <w:rsid w:val="00CE1F3A"/>
    <w:rsid w:val="00CE337A"/>
    <w:rsid w:val="00CE347A"/>
    <w:rsid w:val="00CE372B"/>
    <w:rsid w:val="00CE3A29"/>
    <w:rsid w:val="00CE74FD"/>
    <w:rsid w:val="00CE776B"/>
    <w:rsid w:val="00CE792B"/>
    <w:rsid w:val="00CE7E1D"/>
    <w:rsid w:val="00CE7EAC"/>
    <w:rsid w:val="00CF079B"/>
    <w:rsid w:val="00CF0ABD"/>
    <w:rsid w:val="00CF1430"/>
    <w:rsid w:val="00CF1628"/>
    <w:rsid w:val="00CF1D35"/>
    <w:rsid w:val="00CF27DD"/>
    <w:rsid w:val="00CF2C05"/>
    <w:rsid w:val="00CF3D35"/>
    <w:rsid w:val="00CF5B8F"/>
    <w:rsid w:val="00CF683C"/>
    <w:rsid w:val="00CF6A55"/>
    <w:rsid w:val="00CF6E58"/>
    <w:rsid w:val="00CF7842"/>
    <w:rsid w:val="00CF7E2E"/>
    <w:rsid w:val="00D0067D"/>
    <w:rsid w:val="00D00BB2"/>
    <w:rsid w:val="00D00D48"/>
    <w:rsid w:val="00D0107F"/>
    <w:rsid w:val="00D016C8"/>
    <w:rsid w:val="00D01C73"/>
    <w:rsid w:val="00D020C1"/>
    <w:rsid w:val="00D02B3C"/>
    <w:rsid w:val="00D04B87"/>
    <w:rsid w:val="00D05C99"/>
    <w:rsid w:val="00D06A71"/>
    <w:rsid w:val="00D07E9E"/>
    <w:rsid w:val="00D10060"/>
    <w:rsid w:val="00D11227"/>
    <w:rsid w:val="00D11F06"/>
    <w:rsid w:val="00D12FCB"/>
    <w:rsid w:val="00D13B13"/>
    <w:rsid w:val="00D13DD3"/>
    <w:rsid w:val="00D143D7"/>
    <w:rsid w:val="00D152DA"/>
    <w:rsid w:val="00D16257"/>
    <w:rsid w:val="00D167BB"/>
    <w:rsid w:val="00D16B63"/>
    <w:rsid w:val="00D17A09"/>
    <w:rsid w:val="00D202E6"/>
    <w:rsid w:val="00D205F6"/>
    <w:rsid w:val="00D20DDB"/>
    <w:rsid w:val="00D21E2C"/>
    <w:rsid w:val="00D23E8C"/>
    <w:rsid w:val="00D2481A"/>
    <w:rsid w:val="00D2488B"/>
    <w:rsid w:val="00D24E56"/>
    <w:rsid w:val="00D26358"/>
    <w:rsid w:val="00D26CD6"/>
    <w:rsid w:val="00D278B5"/>
    <w:rsid w:val="00D27ADF"/>
    <w:rsid w:val="00D300F7"/>
    <w:rsid w:val="00D30AA3"/>
    <w:rsid w:val="00D31135"/>
    <w:rsid w:val="00D31BCF"/>
    <w:rsid w:val="00D31E5C"/>
    <w:rsid w:val="00D326F3"/>
    <w:rsid w:val="00D3323E"/>
    <w:rsid w:val="00D341C4"/>
    <w:rsid w:val="00D3432D"/>
    <w:rsid w:val="00D361E1"/>
    <w:rsid w:val="00D3713C"/>
    <w:rsid w:val="00D37B5C"/>
    <w:rsid w:val="00D37BBD"/>
    <w:rsid w:val="00D40474"/>
    <w:rsid w:val="00D41340"/>
    <w:rsid w:val="00D413F7"/>
    <w:rsid w:val="00D4155B"/>
    <w:rsid w:val="00D42992"/>
    <w:rsid w:val="00D43EE7"/>
    <w:rsid w:val="00D44EAC"/>
    <w:rsid w:val="00D45063"/>
    <w:rsid w:val="00D45AB8"/>
    <w:rsid w:val="00D45E4E"/>
    <w:rsid w:val="00D46067"/>
    <w:rsid w:val="00D475C8"/>
    <w:rsid w:val="00D47BB3"/>
    <w:rsid w:val="00D51F29"/>
    <w:rsid w:val="00D520CE"/>
    <w:rsid w:val="00D5227C"/>
    <w:rsid w:val="00D533F1"/>
    <w:rsid w:val="00D54CD7"/>
    <w:rsid w:val="00D55FFB"/>
    <w:rsid w:val="00D6024D"/>
    <w:rsid w:val="00D6051F"/>
    <w:rsid w:val="00D61327"/>
    <w:rsid w:val="00D617BE"/>
    <w:rsid w:val="00D6181B"/>
    <w:rsid w:val="00D63329"/>
    <w:rsid w:val="00D6355C"/>
    <w:rsid w:val="00D63A1D"/>
    <w:rsid w:val="00D64838"/>
    <w:rsid w:val="00D64F8C"/>
    <w:rsid w:val="00D652F6"/>
    <w:rsid w:val="00D65414"/>
    <w:rsid w:val="00D668F6"/>
    <w:rsid w:val="00D706C7"/>
    <w:rsid w:val="00D70972"/>
    <w:rsid w:val="00D70AEC"/>
    <w:rsid w:val="00D72AE4"/>
    <w:rsid w:val="00D7325F"/>
    <w:rsid w:val="00D73765"/>
    <w:rsid w:val="00D742A4"/>
    <w:rsid w:val="00D744E8"/>
    <w:rsid w:val="00D74606"/>
    <w:rsid w:val="00D74C8E"/>
    <w:rsid w:val="00D75405"/>
    <w:rsid w:val="00D75CF0"/>
    <w:rsid w:val="00D76D98"/>
    <w:rsid w:val="00D80A14"/>
    <w:rsid w:val="00D80AAF"/>
    <w:rsid w:val="00D80C6F"/>
    <w:rsid w:val="00D81229"/>
    <w:rsid w:val="00D815E9"/>
    <w:rsid w:val="00D81FCF"/>
    <w:rsid w:val="00D82C08"/>
    <w:rsid w:val="00D83FC8"/>
    <w:rsid w:val="00D84386"/>
    <w:rsid w:val="00D848AB"/>
    <w:rsid w:val="00D84E46"/>
    <w:rsid w:val="00D86291"/>
    <w:rsid w:val="00D86C1E"/>
    <w:rsid w:val="00D872C3"/>
    <w:rsid w:val="00D91461"/>
    <w:rsid w:val="00D91860"/>
    <w:rsid w:val="00D934F8"/>
    <w:rsid w:val="00D946F8"/>
    <w:rsid w:val="00D94FB0"/>
    <w:rsid w:val="00D9550F"/>
    <w:rsid w:val="00D95887"/>
    <w:rsid w:val="00D9590C"/>
    <w:rsid w:val="00D95C89"/>
    <w:rsid w:val="00D96D1C"/>
    <w:rsid w:val="00D97225"/>
    <w:rsid w:val="00D97F9F"/>
    <w:rsid w:val="00DA06CC"/>
    <w:rsid w:val="00DA243B"/>
    <w:rsid w:val="00DA2597"/>
    <w:rsid w:val="00DA298D"/>
    <w:rsid w:val="00DA40DB"/>
    <w:rsid w:val="00DA60CC"/>
    <w:rsid w:val="00DA6BFB"/>
    <w:rsid w:val="00DA7766"/>
    <w:rsid w:val="00DB0574"/>
    <w:rsid w:val="00DB1BB6"/>
    <w:rsid w:val="00DB254D"/>
    <w:rsid w:val="00DB268C"/>
    <w:rsid w:val="00DB281E"/>
    <w:rsid w:val="00DB3B68"/>
    <w:rsid w:val="00DB4590"/>
    <w:rsid w:val="00DB4DFD"/>
    <w:rsid w:val="00DB50C7"/>
    <w:rsid w:val="00DB5DCB"/>
    <w:rsid w:val="00DB6A20"/>
    <w:rsid w:val="00DB6F43"/>
    <w:rsid w:val="00DC0826"/>
    <w:rsid w:val="00DC0A08"/>
    <w:rsid w:val="00DC0EB7"/>
    <w:rsid w:val="00DC157C"/>
    <w:rsid w:val="00DC15FF"/>
    <w:rsid w:val="00DC1F18"/>
    <w:rsid w:val="00DC1F8D"/>
    <w:rsid w:val="00DC2819"/>
    <w:rsid w:val="00DC447B"/>
    <w:rsid w:val="00DC4642"/>
    <w:rsid w:val="00DC4F01"/>
    <w:rsid w:val="00DC600C"/>
    <w:rsid w:val="00DC6642"/>
    <w:rsid w:val="00DC6AED"/>
    <w:rsid w:val="00DC6DA0"/>
    <w:rsid w:val="00DD0717"/>
    <w:rsid w:val="00DD0720"/>
    <w:rsid w:val="00DD19E1"/>
    <w:rsid w:val="00DD1D0C"/>
    <w:rsid w:val="00DD1D99"/>
    <w:rsid w:val="00DD1E33"/>
    <w:rsid w:val="00DD3BC4"/>
    <w:rsid w:val="00DD44A1"/>
    <w:rsid w:val="00DD44D0"/>
    <w:rsid w:val="00DD67FA"/>
    <w:rsid w:val="00DD79BD"/>
    <w:rsid w:val="00DE0047"/>
    <w:rsid w:val="00DE24F7"/>
    <w:rsid w:val="00DE33C8"/>
    <w:rsid w:val="00DE47C5"/>
    <w:rsid w:val="00DE4D3C"/>
    <w:rsid w:val="00DE63A4"/>
    <w:rsid w:val="00DE71C2"/>
    <w:rsid w:val="00DE7334"/>
    <w:rsid w:val="00DE7EB8"/>
    <w:rsid w:val="00DF020E"/>
    <w:rsid w:val="00DF0E42"/>
    <w:rsid w:val="00DF132C"/>
    <w:rsid w:val="00DF2553"/>
    <w:rsid w:val="00DF3E1D"/>
    <w:rsid w:val="00DF4519"/>
    <w:rsid w:val="00DF4701"/>
    <w:rsid w:val="00DF5528"/>
    <w:rsid w:val="00DF5896"/>
    <w:rsid w:val="00DF58D2"/>
    <w:rsid w:val="00DF6581"/>
    <w:rsid w:val="00DF6C43"/>
    <w:rsid w:val="00DF6DEC"/>
    <w:rsid w:val="00DF747E"/>
    <w:rsid w:val="00E003CD"/>
    <w:rsid w:val="00E0231A"/>
    <w:rsid w:val="00E026D8"/>
    <w:rsid w:val="00E02AD5"/>
    <w:rsid w:val="00E02FA7"/>
    <w:rsid w:val="00E03679"/>
    <w:rsid w:val="00E03BED"/>
    <w:rsid w:val="00E03C5E"/>
    <w:rsid w:val="00E04DC5"/>
    <w:rsid w:val="00E05578"/>
    <w:rsid w:val="00E07502"/>
    <w:rsid w:val="00E10BEA"/>
    <w:rsid w:val="00E10F2A"/>
    <w:rsid w:val="00E11363"/>
    <w:rsid w:val="00E12050"/>
    <w:rsid w:val="00E129E2"/>
    <w:rsid w:val="00E1337E"/>
    <w:rsid w:val="00E133A1"/>
    <w:rsid w:val="00E1360A"/>
    <w:rsid w:val="00E147A2"/>
    <w:rsid w:val="00E15C29"/>
    <w:rsid w:val="00E15DB3"/>
    <w:rsid w:val="00E16630"/>
    <w:rsid w:val="00E17D34"/>
    <w:rsid w:val="00E17FF3"/>
    <w:rsid w:val="00E2074A"/>
    <w:rsid w:val="00E20F3D"/>
    <w:rsid w:val="00E21079"/>
    <w:rsid w:val="00E215EC"/>
    <w:rsid w:val="00E21B6A"/>
    <w:rsid w:val="00E238DF"/>
    <w:rsid w:val="00E23E0E"/>
    <w:rsid w:val="00E244B3"/>
    <w:rsid w:val="00E245DC"/>
    <w:rsid w:val="00E254A4"/>
    <w:rsid w:val="00E264F5"/>
    <w:rsid w:val="00E272C6"/>
    <w:rsid w:val="00E274FC"/>
    <w:rsid w:val="00E27805"/>
    <w:rsid w:val="00E30001"/>
    <w:rsid w:val="00E302A8"/>
    <w:rsid w:val="00E304F9"/>
    <w:rsid w:val="00E3066A"/>
    <w:rsid w:val="00E308FB"/>
    <w:rsid w:val="00E321D2"/>
    <w:rsid w:val="00E32B17"/>
    <w:rsid w:val="00E3323F"/>
    <w:rsid w:val="00E33C11"/>
    <w:rsid w:val="00E34C89"/>
    <w:rsid w:val="00E35009"/>
    <w:rsid w:val="00E350AA"/>
    <w:rsid w:val="00E3548E"/>
    <w:rsid w:val="00E36ADE"/>
    <w:rsid w:val="00E36CCF"/>
    <w:rsid w:val="00E371AC"/>
    <w:rsid w:val="00E4092E"/>
    <w:rsid w:val="00E41983"/>
    <w:rsid w:val="00E41F8A"/>
    <w:rsid w:val="00E429B5"/>
    <w:rsid w:val="00E42E69"/>
    <w:rsid w:val="00E42F19"/>
    <w:rsid w:val="00E438FC"/>
    <w:rsid w:val="00E45516"/>
    <w:rsid w:val="00E45A95"/>
    <w:rsid w:val="00E46037"/>
    <w:rsid w:val="00E46CE2"/>
    <w:rsid w:val="00E46D9C"/>
    <w:rsid w:val="00E470A6"/>
    <w:rsid w:val="00E50403"/>
    <w:rsid w:val="00E50F34"/>
    <w:rsid w:val="00E50F48"/>
    <w:rsid w:val="00E515A2"/>
    <w:rsid w:val="00E51C30"/>
    <w:rsid w:val="00E524AA"/>
    <w:rsid w:val="00E53A87"/>
    <w:rsid w:val="00E5424C"/>
    <w:rsid w:val="00E54E2A"/>
    <w:rsid w:val="00E56250"/>
    <w:rsid w:val="00E5712F"/>
    <w:rsid w:val="00E57363"/>
    <w:rsid w:val="00E57A36"/>
    <w:rsid w:val="00E60649"/>
    <w:rsid w:val="00E60EB8"/>
    <w:rsid w:val="00E610B2"/>
    <w:rsid w:val="00E61433"/>
    <w:rsid w:val="00E615E9"/>
    <w:rsid w:val="00E61726"/>
    <w:rsid w:val="00E61C1F"/>
    <w:rsid w:val="00E623AE"/>
    <w:rsid w:val="00E6300F"/>
    <w:rsid w:val="00E63B4A"/>
    <w:rsid w:val="00E647BF"/>
    <w:rsid w:val="00E6496D"/>
    <w:rsid w:val="00E64AD8"/>
    <w:rsid w:val="00E70763"/>
    <w:rsid w:val="00E70C15"/>
    <w:rsid w:val="00E71378"/>
    <w:rsid w:val="00E7163A"/>
    <w:rsid w:val="00E723C8"/>
    <w:rsid w:val="00E729BC"/>
    <w:rsid w:val="00E72A88"/>
    <w:rsid w:val="00E72D35"/>
    <w:rsid w:val="00E75041"/>
    <w:rsid w:val="00E75710"/>
    <w:rsid w:val="00E75A6E"/>
    <w:rsid w:val="00E76463"/>
    <w:rsid w:val="00E773DF"/>
    <w:rsid w:val="00E77445"/>
    <w:rsid w:val="00E77788"/>
    <w:rsid w:val="00E80F10"/>
    <w:rsid w:val="00E81E3D"/>
    <w:rsid w:val="00E82770"/>
    <w:rsid w:val="00E84D2D"/>
    <w:rsid w:val="00E85D86"/>
    <w:rsid w:val="00E85DF1"/>
    <w:rsid w:val="00E86124"/>
    <w:rsid w:val="00E866FF"/>
    <w:rsid w:val="00E867BD"/>
    <w:rsid w:val="00E86F88"/>
    <w:rsid w:val="00E876CB"/>
    <w:rsid w:val="00E876E0"/>
    <w:rsid w:val="00E87A7E"/>
    <w:rsid w:val="00E9054A"/>
    <w:rsid w:val="00E90F34"/>
    <w:rsid w:val="00E91025"/>
    <w:rsid w:val="00E91CF3"/>
    <w:rsid w:val="00E934BD"/>
    <w:rsid w:val="00E9450C"/>
    <w:rsid w:val="00E956D5"/>
    <w:rsid w:val="00E9591E"/>
    <w:rsid w:val="00E95C7E"/>
    <w:rsid w:val="00E96DDA"/>
    <w:rsid w:val="00E97D40"/>
    <w:rsid w:val="00E97E61"/>
    <w:rsid w:val="00E97EEF"/>
    <w:rsid w:val="00EA02DF"/>
    <w:rsid w:val="00EA1476"/>
    <w:rsid w:val="00EA19DA"/>
    <w:rsid w:val="00EA19F1"/>
    <w:rsid w:val="00EA2581"/>
    <w:rsid w:val="00EA296F"/>
    <w:rsid w:val="00EA35C8"/>
    <w:rsid w:val="00EA4A24"/>
    <w:rsid w:val="00EA564A"/>
    <w:rsid w:val="00EA592B"/>
    <w:rsid w:val="00EA67E3"/>
    <w:rsid w:val="00EA77C0"/>
    <w:rsid w:val="00EB1647"/>
    <w:rsid w:val="00EB1AC9"/>
    <w:rsid w:val="00EB1EDE"/>
    <w:rsid w:val="00EB2065"/>
    <w:rsid w:val="00EB2A3A"/>
    <w:rsid w:val="00EB2B1B"/>
    <w:rsid w:val="00EB2C3E"/>
    <w:rsid w:val="00EB4696"/>
    <w:rsid w:val="00EB474B"/>
    <w:rsid w:val="00EB5A13"/>
    <w:rsid w:val="00EB6950"/>
    <w:rsid w:val="00EB6C1F"/>
    <w:rsid w:val="00EB7698"/>
    <w:rsid w:val="00EC06A0"/>
    <w:rsid w:val="00EC11DC"/>
    <w:rsid w:val="00EC1332"/>
    <w:rsid w:val="00EC2659"/>
    <w:rsid w:val="00EC29CC"/>
    <w:rsid w:val="00EC3FE8"/>
    <w:rsid w:val="00EC6953"/>
    <w:rsid w:val="00EC6BA5"/>
    <w:rsid w:val="00EC7E85"/>
    <w:rsid w:val="00ED0178"/>
    <w:rsid w:val="00ED1C6C"/>
    <w:rsid w:val="00ED403C"/>
    <w:rsid w:val="00ED4375"/>
    <w:rsid w:val="00ED43EE"/>
    <w:rsid w:val="00ED4C66"/>
    <w:rsid w:val="00ED51AD"/>
    <w:rsid w:val="00ED520F"/>
    <w:rsid w:val="00ED66C0"/>
    <w:rsid w:val="00ED6F63"/>
    <w:rsid w:val="00ED7379"/>
    <w:rsid w:val="00ED7676"/>
    <w:rsid w:val="00ED7746"/>
    <w:rsid w:val="00EE00F3"/>
    <w:rsid w:val="00EE1077"/>
    <w:rsid w:val="00EE164A"/>
    <w:rsid w:val="00EE19B4"/>
    <w:rsid w:val="00EE252A"/>
    <w:rsid w:val="00EE2DD1"/>
    <w:rsid w:val="00EE3917"/>
    <w:rsid w:val="00EE4E58"/>
    <w:rsid w:val="00EE4EFC"/>
    <w:rsid w:val="00EE5B6C"/>
    <w:rsid w:val="00EE5F51"/>
    <w:rsid w:val="00EE6398"/>
    <w:rsid w:val="00EF02B0"/>
    <w:rsid w:val="00EF03C9"/>
    <w:rsid w:val="00EF0F70"/>
    <w:rsid w:val="00EF15EF"/>
    <w:rsid w:val="00EF17BB"/>
    <w:rsid w:val="00EF2157"/>
    <w:rsid w:val="00EF2C25"/>
    <w:rsid w:val="00EF30D4"/>
    <w:rsid w:val="00EF340E"/>
    <w:rsid w:val="00EF3CDF"/>
    <w:rsid w:val="00EF47FF"/>
    <w:rsid w:val="00EF67DB"/>
    <w:rsid w:val="00EF73AB"/>
    <w:rsid w:val="00EF74E2"/>
    <w:rsid w:val="00F01092"/>
    <w:rsid w:val="00F0112F"/>
    <w:rsid w:val="00F01E64"/>
    <w:rsid w:val="00F024B0"/>
    <w:rsid w:val="00F028A0"/>
    <w:rsid w:val="00F02BC8"/>
    <w:rsid w:val="00F03CE8"/>
    <w:rsid w:val="00F04EF4"/>
    <w:rsid w:val="00F051CE"/>
    <w:rsid w:val="00F0548B"/>
    <w:rsid w:val="00F0555A"/>
    <w:rsid w:val="00F06C8C"/>
    <w:rsid w:val="00F10946"/>
    <w:rsid w:val="00F14978"/>
    <w:rsid w:val="00F14A87"/>
    <w:rsid w:val="00F14ED2"/>
    <w:rsid w:val="00F14FB5"/>
    <w:rsid w:val="00F159AF"/>
    <w:rsid w:val="00F200F8"/>
    <w:rsid w:val="00F20B79"/>
    <w:rsid w:val="00F20BE0"/>
    <w:rsid w:val="00F230D6"/>
    <w:rsid w:val="00F23582"/>
    <w:rsid w:val="00F24908"/>
    <w:rsid w:val="00F275EE"/>
    <w:rsid w:val="00F27CFB"/>
    <w:rsid w:val="00F301F8"/>
    <w:rsid w:val="00F3131C"/>
    <w:rsid w:val="00F31A4B"/>
    <w:rsid w:val="00F31CDD"/>
    <w:rsid w:val="00F32957"/>
    <w:rsid w:val="00F32E77"/>
    <w:rsid w:val="00F33FD6"/>
    <w:rsid w:val="00F34CB2"/>
    <w:rsid w:val="00F355CC"/>
    <w:rsid w:val="00F35B64"/>
    <w:rsid w:val="00F36E05"/>
    <w:rsid w:val="00F3709D"/>
    <w:rsid w:val="00F375BD"/>
    <w:rsid w:val="00F3763B"/>
    <w:rsid w:val="00F37868"/>
    <w:rsid w:val="00F37A54"/>
    <w:rsid w:val="00F400C3"/>
    <w:rsid w:val="00F403BD"/>
    <w:rsid w:val="00F41592"/>
    <w:rsid w:val="00F4172A"/>
    <w:rsid w:val="00F4209E"/>
    <w:rsid w:val="00F420E4"/>
    <w:rsid w:val="00F428E0"/>
    <w:rsid w:val="00F43385"/>
    <w:rsid w:val="00F44E79"/>
    <w:rsid w:val="00F44ED5"/>
    <w:rsid w:val="00F45EB3"/>
    <w:rsid w:val="00F46594"/>
    <w:rsid w:val="00F466F4"/>
    <w:rsid w:val="00F46D7B"/>
    <w:rsid w:val="00F47886"/>
    <w:rsid w:val="00F50181"/>
    <w:rsid w:val="00F505E5"/>
    <w:rsid w:val="00F508E6"/>
    <w:rsid w:val="00F50E18"/>
    <w:rsid w:val="00F50E5B"/>
    <w:rsid w:val="00F51C8A"/>
    <w:rsid w:val="00F528CE"/>
    <w:rsid w:val="00F5336E"/>
    <w:rsid w:val="00F53584"/>
    <w:rsid w:val="00F53A11"/>
    <w:rsid w:val="00F540CB"/>
    <w:rsid w:val="00F54215"/>
    <w:rsid w:val="00F54770"/>
    <w:rsid w:val="00F54830"/>
    <w:rsid w:val="00F55BD7"/>
    <w:rsid w:val="00F56EBC"/>
    <w:rsid w:val="00F57996"/>
    <w:rsid w:val="00F57E55"/>
    <w:rsid w:val="00F605B3"/>
    <w:rsid w:val="00F60C80"/>
    <w:rsid w:val="00F61D10"/>
    <w:rsid w:val="00F628E5"/>
    <w:rsid w:val="00F62D63"/>
    <w:rsid w:val="00F641A2"/>
    <w:rsid w:val="00F654D8"/>
    <w:rsid w:val="00F65642"/>
    <w:rsid w:val="00F6619B"/>
    <w:rsid w:val="00F66401"/>
    <w:rsid w:val="00F70774"/>
    <w:rsid w:val="00F71F74"/>
    <w:rsid w:val="00F722C0"/>
    <w:rsid w:val="00F723CE"/>
    <w:rsid w:val="00F72D28"/>
    <w:rsid w:val="00F74345"/>
    <w:rsid w:val="00F75D2A"/>
    <w:rsid w:val="00F768EB"/>
    <w:rsid w:val="00F77845"/>
    <w:rsid w:val="00F77BBC"/>
    <w:rsid w:val="00F8004A"/>
    <w:rsid w:val="00F80769"/>
    <w:rsid w:val="00F80B33"/>
    <w:rsid w:val="00F80B83"/>
    <w:rsid w:val="00F831C9"/>
    <w:rsid w:val="00F8340D"/>
    <w:rsid w:val="00F835BA"/>
    <w:rsid w:val="00F84435"/>
    <w:rsid w:val="00F84E15"/>
    <w:rsid w:val="00F85316"/>
    <w:rsid w:val="00F85B55"/>
    <w:rsid w:val="00F864A5"/>
    <w:rsid w:val="00F86EF1"/>
    <w:rsid w:val="00F86FFC"/>
    <w:rsid w:val="00F87268"/>
    <w:rsid w:val="00F8749A"/>
    <w:rsid w:val="00F90F08"/>
    <w:rsid w:val="00F90F69"/>
    <w:rsid w:val="00F91A18"/>
    <w:rsid w:val="00F92AB0"/>
    <w:rsid w:val="00F92FA0"/>
    <w:rsid w:val="00F9378E"/>
    <w:rsid w:val="00F9382B"/>
    <w:rsid w:val="00F93B9D"/>
    <w:rsid w:val="00F94922"/>
    <w:rsid w:val="00F964B6"/>
    <w:rsid w:val="00F968C9"/>
    <w:rsid w:val="00F96F0B"/>
    <w:rsid w:val="00F97CCD"/>
    <w:rsid w:val="00FA03EF"/>
    <w:rsid w:val="00FA09E1"/>
    <w:rsid w:val="00FA1003"/>
    <w:rsid w:val="00FA469C"/>
    <w:rsid w:val="00FA5411"/>
    <w:rsid w:val="00FA5474"/>
    <w:rsid w:val="00FA594E"/>
    <w:rsid w:val="00FA6946"/>
    <w:rsid w:val="00FA7679"/>
    <w:rsid w:val="00FA798D"/>
    <w:rsid w:val="00FB060F"/>
    <w:rsid w:val="00FB08F0"/>
    <w:rsid w:val="00FB211D"/>
    <w:rsid w:val="00FB2A39"/>
    <w:rsid w:val="00FB2F7B"/>
    <w:rsid w:val="00FB34D0"/>
    <w:rsid w:val="00FB4D01"/>
    <w:rsid w:val="00FB500C"/>
    <w:rsid w:val="00FB574A"/>
    <w:rsid w:val="00FB5995"/>
    <w:rsid w:val="00FB6202"/>
    <w:rsid w:val="00FB66FD"/>
    <w:rsid w:val="00FB684A"/>
    <w:rsid w:val="00FB6C8D"/>
    <w:rsid w:val="00FC09F4"/>
    <w:rsid w:val="00FC1181"/>
    <w:rsid w:val="00FC3422"/>
    <w:rsid w:val="00FC3DA6"/>
    <w:rsid w:val="00FC49DD"/>
    <w:rsid w:val="00FC5F08"/>
    <w:rsid w:val="00FC61B9"/>
    <w:rsid w:val="00FC6763"/>
    <w:rsid w:val="00FC69EC"/>
    <w:rsid w:val="00FC6EAA"/>
    <w:rsid w:val="00FC71FB"/>
    <w:rsid w:val="00FC7EFC"/>
    <w:rsid w:val="00FC7F24"/>
    <w:rsid w:val="00FD06BC"/>
    <w:rsid w:val="00FD11CE"/>
    <w:rsid w:val="00FD18E1"/>
    <w:rsid w:val="00FD2280"/>
    <w:rsid w:val="00FD22E8"/>
    <w:rsid w:val="00FD24F5"/>
    <w:rsid w:val="00FD2BAF"/>
    <w:rsid w:val="00FD38B0"/>
    <w:rsid w:val="00FD5DF0"/>
    <w:rsid w:val="00FD6012"/>
    <w:rsid w:val="00FD69DC"/>
    <w:rsid w:val="00FD7364"/>
    <w:rsid w:val="00FD7938"/>
    <w:rsid w:val="00FE0085"/>
    <w:rsid w:val="00FE1551"/>
    <w:rsid w:val="00FE1CCE"/>
    <w:rsid w:val="00FE1FB9"/>
    <w:rsid w:val="00FE3738"/>
    <w:rsid w:val="00FE41C1"/>
    <w:rsid w:val="00FE51BF"/>
    <w:rsid w:val="00FE54C5"/>
    <w:rsid w:val="00FE5508"/>
    <w:rsid w:val="00FE58BC"/>
    <w:rsid w:val="00FE6191"/>
    <w:rsid w:val="00FE6811"/>
    <w:rsid w:val="00FE6821"/>
    <w:rsid w:val="00FE71D3"/>
    <w:rsid w:val="00FE7EB1"/>
    <w:rsid w:val="00FF18E0"/>
    <w:rsid w:val="00FF1A6B"/>
    <w:rsid w:val="00FF2080"/>
    <w:rsid w:val="00FF24AF"/>
    <w:rsid w:val="00FF3634"/>
    <w:rsid w:val="00FF4140"/>
    <w:rsid w:val="00FF457D"/>
    <w:rsid w:val="00FF48A1"/>
    <w:rsid w:val="00FF57BC"/>
    <w:rsid w:val="00FF5DA0"/>
    <w:rsid w:val="00FF60CB"/>
    <w:rsid w:val="00FF7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5BA348"/>
  <w15:docId w15:val="{2E44356D-81C7-4B64-9C9C-AEDBF363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36178652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871499128">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9D583D237F3E46A070991F685A5A75" ma:contentTypeVersion="7" ma:contentTypeDescription="Create a new document." ma:contentTypeScope="" ma:versionID="496241cc0ab178c75d0fe8d1327ebe0f">
  <xsd:schema xmlns:xsd="http://www.w3.org/2001/XMLSchema" xmlns:xs="http://www.w3.org/2001/XMLSchema" xmlns:p="http://schemas.microsoft.com/office/2006/metadata/properties" xmlns:ns3="94e5b90b-18aa-415b-8139-cce567c7100a" xmlns:ns4="144dfb27-5cf0-482d-8832-85d384baf8ee" targetNamespace="http://schemas.microsoft.com/office/2006/metadata/properties" ma:root="true" ma:fieldsID="f8012b9fd9f90f5247d63e79c5b31286" ns3:_="" ns4:_="">
    <xsd:import namespace="94e5b90b-18aa-415b-8139-cce567c7100a"/>
    <xsd:import namespace="144dfb27-5cf0-482d-8832-85d384baf8e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5b90b-18aa-415b-8139-cce567c7100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4dfb27-5cf0-482d-8832-85d384baf8e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0B302-39F5-47C3-84AF-FB8DC1C0E2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9EEEA2-41F6-4AF3-B441-4C7DC074DC45}">
  <ds:schemaRefs>
    <ds:schemaRef ds:uri="http://schemas.microsoft.com/sharepoint/v3/contenttype/forms"/>
  </ds:schemaRefs>
</ds:datastoreItem>
</file>

<file path=customXml/itemProps3.xml><?xml version="1.0" encoding="utf-8"?>
<ds:datastoreItem xmlns:ds="http://schemas.openxmlformats.org/officeDocument/2006/customXml" ds:itemID="{5BE3A3EB-AA09-4E55-9B4A-2520E7E57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e5b90b-18aa-415b-8139-cce567c7100a"/>
    <ds:schemaRef ds:uri="144dfb27-5cf0-482d-8832-85d384baf8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6C71C8-3024-4E01-904A-A92DE2B13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6123</TotalTime>
  <Pages>19</Pages>
  <Words>7890</Words>
  <Characters>44975</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52760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Rose, Terra</cp:lastModifiedBy>
  <cp:revision>1746</cp:revision>
  <cp:lastPrinted>2019-10-31T00:00:00Z</cp:lastPrinted>
  <dcterms:created xsi:type="dcterms:W3CDTF">2019-10-11T22:55:00Z</dcterms:created>
  <dcterms:modified xsi:type="dcterms:W3CDTF">2019-11-01T00:42:00Z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0x010100539D583D237F3E46A070991F685A5A75</vt:lpwstr>
  </property>
</Properties>
</file>