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85" w:rsidRDefault="00B65F85" w:rsidP="00B65F85">
      <w:pPr>
        <w:pStyle w:val="Heading2"/>
        <w:jc w:val="center"/>
      </w:pPr>
      <w:r>
        <w:t>Waste-to Energy Studies Cost Comparison</w:t>
      </w:r>
    </w:p>
    <w:p w:rsidR="00B65F85" w:rsidRPr="00B65F85" w:rsidRDefault="00B65F85" w:rsidP="00B65F85">
      <w:pPr>
        <w:jc w:val="center"/>
      </w:pPr>
      <w:r>
        <w:t>October 24, 2019</w:t>
      </w:r>
    </w:p>
    <w:p w:rsidR="00B65F85" w:rsidRDefault="00B65F85" w:rsidP="00301859">
      <w:pPr>
        <w:pStyle w:val="Heading2"/>
      </w:pPr>
    </w:p>
    <w:p w:rsidR="00301859" w:rsidRDefault="00301859" w:rsidP="00301859">
      <w:pPr>
        <w:pStyle w:val="Heading2"/>
      </w:pPr>
      <w:r>
        <w:t>Introduction</w:t>
      </w:r>
    </w:p>
    <w:p w:rsidR="003065EE" w:rsidRDefault="00301859" w:rsidP="00301859">
      <w:r>
        <w:t>The purp</w:t>
      </w:r>
      <w:bookmarkStart w:id="0" w:name="_GoBack"/>
      <w:bookmarkEnd w:id="0"/>
      <w:r>
        <w:t xml:space="preserve">ose of this </w:t>
      </w:r>
      <w:r w:rsidR="00B65F85">
        <w:t>report</w:t>
      </w:r>
      <w:r>
        <w:t xml:space="preserve"> is to explain the differences </w:t>
      </w:r>
      <w:r w:rsidR="003065EE">
        <w:t xml:space="preserve">in financial impact results </w:t>
      </w:r>
      <w:r>
        <w:t xml:space="preserve">between </w:t>
      </w:r>
      <w:r w:rsidR="003065EE">
        <w:t xml:space="preserve">two recent </w:t>
      </w:r>
      <w:r w:rsidR="00B65F85">
        <w:t>studie</w:t>
      </w:r>
      <w:r w:rsidR="003065EE">
        <w:t>s that both covere</w:t>
      </w:r>
      <w:r w:rsidR="00347F66">
        <w:t xml:space="preserve">d the topic of Waste to Energy </w:t>
      </w:r>
      <w:r w:rsidR="00B21C1F">
        <w:t xml:space="preserve">(WTE) </w:t>
      </w:r>
      <w:r w:rsidR="00347F66">
        <w:t>f</w:t>
      </w:r>
      <w:r w:rsidR="003065EE">
        <w:t>easibility:</w:t>
      </w:r>
    </w:p>
    <w:p w:rsidR="003065EE" w:rsidRDefault="00347F66" w:rsidP="003065EE">
      <w:pPr>
        <w:pStyle w:val="ListParagraph"/>
        <w:numPr>
          <w:ilvl w:val="0"/>
          <w:numId w:val="1"/>
        </w:numPr>
        <w:ind w:left="360"/>
      </w:pPr>
      <w:r>
        <w:t>T</w:t>
      </w:r>
      <w:r w:rsidR="00301859">
        <w:t>he Waste to Energy Feasibility Study transmitted to the King County Council as required by Ordinance 18835, Section 19, Proviso P4</w:t>
      </w:r>
      <w:r w:rsidR="003065EE">
        <w:t xml:space="preserve"> on October 4, 2019</w:t>
      </w:r>
      <w:r w:rsidR="00FA63ED">
        <w:t xml:space="preserve">. This report was completed by Arcadis U.S. Inc, and is referred to as the 2019 Arcadis Study </w:t>
      </w:r>
      <w:r w:rsidR="00B6027A">
        <w:t>for the purposes of</w:t>
      </w:r>
      <w:r w:rsidR="00FA63ED">
        <w:t xml:space="preserve"> this </w:t>
      </w:r>
      <w:r w:rsidR="00B65F85">
        <w:t>report</w:t>
      </w:r>
      <w:r w:rsidR="00FA63ED">
        <w:t>.</w:t>
      </w:r>
    </w:p>
    <w:p w:rsidR="003110CE" w:rsidRDefault="00347F66" w:rsidP="003065EE">
      <w:pPr>
        <w:pStyle w:val="ListParagraph"/>
        <w:numPr>
          <w:ilvl w:val="0"/>
          <w:numId w:val="1"/>
        </w:numPr>
        <w:ind w:left="360"/>
      </w:pPr>
      <w:r>
        <w:t>T</w:t>
      </w:r>
      <w:r w:rsidR="002A1CE2">
        <w:t>he Waste to Energy Options and Solid Waste Export Considerations report dated September 28, 2017</w:t>
      </w:r>
      <w:r w:rsidR="003065EE">
        <w:t>, which Council was briefed about on November 1, 2017</w:t>
      </w:r>
      <w:r w:rsidR="003E79E7">
        <w:t xml:space="preserve">, and the results of which were used in the 2019 </w:t>
      </w:r>
      <w:r w:rsidR="009F5490">
        <w:t>Comprehensive Solid Waste Management Plan</w:t>
      </w:r>
      <w:r w:rsidR="003065EE">
        <w:t>.</w:t>
      </w:r>
      <w:r w:rsidR="00FA63ED">
        <w:t xml:space="preserve"> This report was completed by </w:t>
      </w:r>
      <w:proofErr w:type="spellStart"/>
      <w:r w:rsidR="00FA63ED">
        <w:t>Normandeau</w:t>
      </w:r>
      <w:proofErr w:type="spellEnd"/>
      <w:r w:rsidR="00FA63ED">
        <w:t xml:space="preserve"> Associates, Inc., and is referred to as the 2017 </w:t>
      </w:r>
      <w:proofErr w:type="spellStart"/>
      <w:r w:rsidR="00FA63ED">
        <w:t>Normandeau</w:t>
      </w:r>
      <w:proofErr w:type="spellEnd"/>
      <w:r w:rsidR="00FA63ED">
        <w:t xml:space="preserve"> Study </w:t>
      </w:r>
      <w:r w:rsidR="00B6027A">
        <w:t>for the purposes of</w:t>
      </w:r>
      <w:r w:rsidR="00FA63ED">
        <w:t xml:space="preserve"> this </w:t>
      </w:r>
      <w:r w:rsidR="00B65F85">
        <w:t>report</w:t>
      </w:r>
      <w:r w:rsidR="00FA63ED">
        <w:t>.</w:t>
      </w:r>
    </w:p>
    <w:p w:rsidR="00301859" w:rsidRDefault="003110CE" w:rsidP="003110CE">
      <w:pPr>
        <w:pStyle w:val="ListParagraph"/>
        <w:ind w:left="360"/>
      </w:pPr>
      <w:r>
        <w:t>The 2019 Comprehensive Solid Waste Management Plan also included an analysis of Waste Export by Rail (WEBR) costs, estimated by King County Solid Waste Division (KCSWD).</w:t>
      </w:r>
    </w:p>
    <w:p w:rsidR="00FD1BE6" w:rsidRDefault="00347F66" w:rsidP="003065EE">
      <w:r>
        <w:t xml:space="preserve">Each of these reports included an analysis of the cost per ton for implementing </w:t>
      </w:r>
      <w:r w:rsidR="0028442C">
        <w:t>WTE</w:t>
      </w:r>
      <w:r>
        <w:t xml:space="preserve"> as a disposal </w:t>
      </w:r>
      <w:r w:rsidR="003110CE">
        <w:t xml:space="preserve">option and </w:t>
      </w:r>
      <w:r w:rsidR="0028442C">
        <w:t>WEBR</w:t>
      </w:r>
      <w:r w:rsidR="00B21C1F">
        <w:t xml:space="preserve"> </w:t>
      </w:r>
      <w:r>
        <w:t>as a disposal option to manage the region’</w:t>
      </w:r>
      <w:r w:rsidR="00FD1BE6">
        <w:t>s solid waste in the future.</w:t>
      </w:r>
    </w:p>
    <w:p w:rsidR="003065EE" w:rsidRDefault="00FD1BE6" w:rsidP="003065EE">
      <w:r>
        <w:t xml:space="preserve">The resulting cost per ton estimates are different between the two studies, and this </w:t>
      </w:r>
      <w:r w:rsidR="00B65F85">
        <w:t>report</w:t>
      </w:r>
      <w:r>
        <w:t xml:space="preserve"> describes the assumptions and methodology differences between the two studies that resulted in </w:t>
      </w:r>
      <w:r w:rsidR="00D074A8">
        <w:t>each calculation</w:t>
      </w:r>
      <w:r>
        <w:t>.</w:t>
      </w:r>
    </w:p>
    <w:p w:rsidR="00FD1BE6" w:rsidRDefault="00FA5304" w:rsidP="00FD1BE6">
      <w:pPr>
        <w:pStyle w:val="Heading2"/>
      </w:pPr>
      <w:r>
        <w:t>Background</w:t>
      </w:r>
    </w:p>
    <w:p w:rsidR="002A678E" w:rsidRDefault="003110CE" w:rsidP="002A678E">
      <w:r>
        <w:t>KCSWD</w:t>
      </w:r>
      <w:r w:rsidR="002A678E">
        <w:t xml:space="preserve"> provides comprehensive municipal solid waste transfer, disposal, recycling, and waste prevention services for approximately 1.3 million residents and 660,000 employees in King County, Washington. The solid waste system serves unincorporated King County and 37 of the 39 cities within the county - all of the cities in the county except Seattle and Milton.  KCSWD provides waste disposal through landfilling at Cedar Hills Regional Landfill, which the County owns and operates. KCSWD’s interlocal agreements with its partner cities obligate the division to provide waste disposal through 2040. Cedar Hills Regional Landfill is estimated to reach capacity before 2040. Prior to reaching capacity, the County will need to identify an alternative waste disposal strategy.</w:t>
      </w:r>
    </w:p>
    <w:p w:rsidR="00FA5304" w:rsidRPr="00FA5304" w:rsidRDefault="002A678E" w:rsidP="002A678E">
      <w:r>
        <w:t xml:space="preserve">The two studies discussed above were both designed to analyze potential future alternatives for managing the region’s waste stream. The studies covered many </w:t>
      </w:r>
      <w:r w:rsidR="0030798B">
        <w:t>types of</w:t>
      </w:r>
      <w:r>
        <w:t xml:space="preserve"> impacts, including financial, environmental, </w:t>
      </w:r>
      <w:r w:rsidR="0030798B">
        <w:t xml:space="preserve">and operational considerations. This </w:t>
      </w:r>
      <w:r w:rsidR="00B65F85">
        <w:t>report</w:t>
      </w:r>
      <w:r w:rsidR="0030798B">
        <w:t xml:space="preserve"> only compares the results of the financial impact analysis.</w:t>
      </w:r>
    </w:p>
    <w:p w:rsidR="00FA5304" w:rsidRDefault="00FA5304" w:rsidP="00FA5304">
      <w:pPr>
        <w:pStyle w:val="Heading2"/>
      </w:pPr>
      <w:r>
        <w:t>Cost Per Ton Comparative Analysis</w:t>
      </w:r>
    </w:p>
    <w:p w:rsidR="00FA63ED" w:rsidRDefault="00587D9B" w:rsidP="00587D9B">
      <w:pPr>
        <w:pStyle w:val="Heading4"/>
      </w:pPr>
      <w:r>
        <w:t>Waste to Energy</w:t>
      </w:r>
    </w:p>
    <w:p w:rsidR="008C1985" w:rsidRDefault="00B21C1F" w:rsidP="00B21C1F">
      <w:r w:rsidRPr="00B21C1F">
        <w:t xml:space="preserve">The table below contains a high level comparison of the disposal cost per ton figures for a WTE plant between the </w:t>
      </w:r>
      <w:r>
        <w:t xml:space="preserve">2019 </w:t>
      </w:r>
      <w:proofErr w:type="spellStart"/>
      <w:r w:rsidRPr="00B21C1F">
        <w:t>Arcadis</w:t>
      </w:r>
      <w:proofErr w:type="spellEnd"/>
      <w:r w:rsidRPr="00B21C1F">
        <w:t xml:space="preserve"> and </w:t>
      </w:r>
      <w:r>
        <w:t xml:space="preserve">2017 </w:t>
      </w:r>
      <w:proofErr w:type="spellStart"/>
      <w:r w:rsidRPr="00B21C1F">
        <w:t>Normandeau</w:t>
      </w:r>
      <w:proofErr w:type="spellEnd"/>
      <w:r w:rsidRPr="00B21C1F">
        <w:t xml:space="preserve"> studies. The numbers below are based on </w:t>
      </w:r>
      <w:r>
        <w:t>a</w:t>
      </w:r>
      <w:r w:rsidRPr="00B21C1F">
        <w:t xml:space="preserve"> 4</w:t>
      </w:r>
      <w:r>
        <w:t xml:space="preserve">,000 tons per day scenario </w:t>
      </w:r>
      <w:r w:rsidRPr="00B21C1F">
        <w:t>and show costs in the year 2028.</w:t>
      </w:r>
    </w:p>
    <w:p w:rsidR="00B21C1F" w:rsidRDefault="008C47B0" w:rsidP="00B21C1F">
      <w:r>
        <w:t xml:space="preserve">The </w:t>
      </w:r>
      <w:proofErr w:type="spellStart"/>
      <w:r>
        <w:t>Normandeau</w:t>
      </w:r>
      <w:proofErr w:type="spellEnd"/>
      <w:r>
        <w:t xml:space="preserve"> Study estimated a cost per ton $24 higher than the Arcadis Study</w:t>
      </w:r>
      <w:r w:rsidR="006C6827">
        <w:t>:</w:t>
      </w:r>
    </w:p>
    <w:p w:rsidR="00215E12" w:rsidRPr="00AA02D5" w:rsidRDefault="00984FB6" w:rsidP="00B21C1F">
      <w:pPr>
        <w:rPr>
          <w:i/>
          <w:sz w:val="20"/>
        </w:rPr>
      </w:pPr>
      <w:r w:rsidRPr="00984FB6">
        <w:rPr>
          <w:noProof/>
        </w:rPr>
        <w:lastRenderedPageBreak/>
        <w:drawing>
          <wp:inline distT="0" distB="0" distL="0" distR="0">
            <wp:extent cx="5943600" cy="4027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27111"/>
                    </a:xfrm>
                    <a:prstGeom prst="rect">
                      <a:avLst/>
                    </a:prstGeom>
                    <a:noFill/>
                    <a:ln>
                      <a:noFill/>
                    </a:ln>
                  </pic:spPr>
                </pic:pic>
              </a:graphicData>
            </a:graphic>
          </wp:inline>
        </w:drawing>
      </w:r>
      <w:r w:rsidR="00AA02D5">
        <w:br/>
      </w:r>
      <w:r w:rsidR="00AA02D5" w:rsidRPr="00AA02D5">
        <w:rPr>
          <w:i/>
          <w:sz w:val="20"/>
          <w:vertAlign w:val="superscript"/>
        </w:rPr>
        <w:t xml:space="preserve">1 </w:t>
      </w:r>
      <w:r w:rsidR="006C6827">
        <w:rPr>
          <w:i/>
          <w:sz w:val="20"/>
        </w:rPr>
        <w:t xml:space="preserve">2028 was chosen as a comparison year because it is the earliest year that is present in both studies. Summary tables in each report focus on multiple different time periods. </w:t>
      </w:r>
      <w:r w:rsidR="00862CCE">
        <w:rPr>
          <w:i/>
          <w:sz w:val="20"/>
        </w:rPr>
        <w:t>N</w:t>
      </w:r>
      <w:r w:rsidR="006C6827">
        <w:rPr>
          <w:i/>
          <w:sz w:val="20"/>
        </w:rPr>
        <w:t>umbers for this analysis were taken from appendices or backup financial documentation</w:t>
      </w:r>
      <w:r w:rsidR="00AA02D5">
        <w:rPr>
          <w:i/>
          <w:sz w:val="20"/>
        </w:rPr>
        <w:t>.</w:t>
      </w:r>
    </w:p>
    <w:p w:rsidR="0028442C" w:rsidRDefault="0028442C">
      <w:pPr>
        <w:rPr>
          <w:rFonts w:asciiTheme="majorHAnsi" w:eastAsiaTheme="majorEastAsia" w:hAnsiTheme="majorHAnsi" w:cstheme="majorBidi"/>
          <w:i/>
          <w:iCs/>
          <w:color w:val="2E74B5" w:themeColor="accent1" w:themeShade="BF"/>
        </w:rPr>
      </w:pPr>
    </w:p>
    <w:p w:rsidR="00B65F85" w:rsidRDefault="00B65F85">
      <w:pPr>
        <w:rPr>
          <w:rFonts w:asciiTheme="majorHAnsi" w:eastAsiaTheme="majorEastAsia" w:hAnsiTheme="majorHAnsi" w:cstheme="majorBidi"/>
          <w:i/>
          <w:iCs/>
          <w:color w:val="2E74B5" w:themeColor="accent1" w:themeShade="BF"/>
        </w:rPr>
      </w:pPr>
      <w:r>
        <w:br w:type="page"/>
      </w:r>
    </w:p>
    <w:p w:rsidR="00587D9B" w:rsidRDefault="00587D9B" w:rsidP="00587D9B">
      <w:pPr>
        <w:pStyle w:val="Heading4"/>
      </w:pPr>
      <w:r>
        <w:lastRenderedPageBreak/>
        <w:t>Waste Export by Rail</w:t>
      </w:r>
    </w:p>
    <w:p w:rsidR="008C1985" w:rsidRDefault="003110CE" w:rsidP="003110CE">
      <w:r w:rsidRPr="003110CE">
        <w:t xml:space="preserve">The table below contains a high level comparison of the disposal cost per ton figures for Waste Export by Rail between the </w:t>
      </w:r>
      <w:r>
        <w:t xml:space="preserve">2019 </w:t>
      </w:r>
      <w:r w:rsidRPr="003110CE">
        <w:t xml:space="preserve">Arcadis </w:t>
      </w:r>
      <w:r>
        <w:t>Study</w:t>
      </w:r>
      <w:r w:rsidRPr="003110CE">
        <w:t xml:space="preserve"> and KCSWD</w:t>
      </w:r>
      <w:r>
        <w:t xml:space="preserve">’s Comprehensive </w:t>
      </w:r>
      <w:r w:rsidR="008C1985">
        <w:t>Plan analysis.</w:t>
      </w:r>
    </w:p>
    <w:p w:rsidR="003110CE" w:rsidRDefault="008C47B0" w:rsidP="003110CE">
      <w:r>
        <w:t>The Comprehensive Plan estimated a cost per ton $41 less than the Arcadis</w:t>
      </w:r>
      <w:r w:rsidR="0028442C">
        <w:t xml:space="preserve"> Study:</w:t>
      </w:r>
    </w:p>
    <w:p w:rsidR="008C47B0" w:rsidRPr="003110CE" w:rsidRDefault="008C47B0" w:rsidP="003110CE">
      <w:r w:rsidRPr="008C47B0">
        <w:rPr>
          <w:noProof/>
        </w:rPr>
        <w:drawing>
          <wp:inline distT="0" distB="0" distL="0" distR="0" wp14:anchorId="165856C4" wp14:editId="799E878E">
            <wp:extent cx="5943600"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43325"/>
                    </a:xfrm>
                    <a:prstGeom prst="rect">
                      <a:avLst/>
                    </a:prstGeom>
                  </pic:spPr>
                </pic:pic>
              </a:graphicData>
            </a:graphic>
          </wp:inline>
        </w:drawing>
      </w:r>
    </w:p>
    <w:p w:rsidR="008C1985" w:rsidRDefault="008C1985" w:rsidP="00587D9B">
      <w:pPr>
        <w:pStyle w:val="Heading2"/>
      </w:pPr>
    </w:p>
    <w:p w:rsidR="00587D9B" w:rsidRDefault="00587D9B" w:rsidP="00587D9B">
      <w:pPr>
        <w:pStyle w:val="Heading2"/>
      </w:pPr>
      <w:r>
        <w:t>Conclusion</w:t>
      </w:r>
    </w:p>
    <w:p w:rsidR="000E4D89" w:rsidRDefault="00D51C0B" w:rsidP="00D51C0B">
      <w:r>
        <w:t xml:space="preserve">The two studies compared in this </w:t>
      </w:r>
      <w:r w:rsidR="003C2B98">
        <w:t>report</w:t>
      </w:r>
      <w:r>
        <w:t xml:space="preserve"> were completed by independent consultants, and the differences in their analysis reflect </w:t>
      </w:r>
      <w:r w:rsidR="009E6A5E">
        <w:t>each company’s</w:t>
      </w:r>
      <w:r>
        <w:t xml:space="preserve"> professional judgment about the appropriate assumptions to use in the analyses with which they were tasked. There is an inherent amount of uncertainty in long-term projections of this type, </w:t>
      </w:r>
      <w:r w:rsidR="00265F90">
        <w:t>which necessitate making assumptions and projec</w:t>
      </w:r>
      <w:r w:rsidR="000E4D89">
        <w:t>tions on imperfect information.</w:t>
      </w:r>
    </w:p>
    <w:p w:rsidR="004F0207" w:rsidRDefault="004F0207" w:rsidP="004F0207"/>
    <w:p w:rsidR="003C2B98" w:rsidRPr="004F0207" w:rsidRDefault="003C2B98" w:rsidP="004F0207">
      <w:r>
        <w:t>Report prepared by King County Solid Waste Division and Office of Performance, Strategy and Budget.</w:t>
      </w:r>
    </w:p>
    <w:sectPr w:rsidR="003C2B98" w:rsidRPr="004F02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41" w:rsidRDefault="00F92441" w:rsidP="00F92441">
      <w:pPr>
        <w:spacing w:after="0" w:line="240" w:lineRule="auto"/>
      </w:pPr>
      <w:r>
        <w:separator/>
      </w:r>
    </w:p>
  </w:endnote>
  <w:endnote w:type="continuationSeparator" w:id="0">
    <w:p w:rsidR="00F92441" w:rsidRDefault="00F92441" w:rsidP="00F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46278"/>
      <w:docPartObj>
        <w:docPartGallery w:val="Page Numbers (Bottom of Page)"/>
        <w:docPartUnique/>
      </w:docPartObj>
    </w:sdtPr>
    <w:sdtEndPr>
      <w:rPr>
        <w:noProof/>
      </w:rPr>
    </w:sdtEndPr>
    <w:sdtContent>
      <w:p w:rsidR="00B65F85" w:rsidRDefault="00B65F85">
        <w:pPr>
          <w:pStyle w:val="Footer"/>
          <w:jc w:val="center"/>
        </w:pPr>
        <w:r>
          <w:fldChar w:fldCharType="begin"/>
        </w:r>
        <w:r>
          <w:instrText xml:space="preserve"> PAGE   \* MERGEFORMAT </w:instrText>
        </w:r>
        <w:r>
          <w:fldChar w:fldCharType="separate"/>
        </w:r>
        <w:r w:rsidR="009C6F98">
          <w:rPr>
            <w:noProof/>
          </w:rPr>
          <w:t>1</w:t>
        </w:r>
        <w:r>
          <w:rPr>
            <w:noProof/>
          </w:rPr>
          <w:fldChar w:fldCharType="end"/>
        </w:r>
      </w:p>
    </w:sdtContent>
  </w:sdt>
  <w:p w:rsidR="00F92441" w:rsidRDefault="00F9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41" w:rsidRDefault="00F92441" w:rsidP="00F92441">
      <w:pPr>
        <w:spacing w:after="0" w:line="240" w:lineRule="auto"/>
      </w:pPr>
      <w:r>
        <w:separator/>
      </w:r>
    </w:p>
  </w:footnote>
  <w:footnote w:type="continuationSeparator" w:id="0">
    <w:p w:rsidR="00F92441" w:rsidRDefault="00F92441" w:rsidP="00F9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98" w:rsidRDefault="009C6F98" w:rsidP="009C6F98">
    <w:pPr>
      <w:pStyle w:val="Header"/>
      <w:jc w:val="right"/>
    </w:pPr>
    <w: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758E"/>
    <w:multiLevelType w:val="hybridMultilevel"/>
    <w:tmpl w:val="21F6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07"/>
    <w:rsid w:val="00030153"/>
    <w:rsid w:val="000E4D89"/>
    <w:rsid w:val="00215E12"/>
    <w:rsid w:val="00265F90"/>
    <w:rsid w:val="0028442C"/>
    <w:rsid w:val="002A1CE2"/>
    <w:rsid w:val="002A5FA0"/>
    <w:rsid w:val="002A678E"/>
    <w:rsid w:val="00301859"/>
    <w:rsid w:val="003065EE"/>
    <w:rsid w:val="0030798B"/>
    <w:rsid w:val="003110CE"/>
    <w:rsid w:val="00347F66"/>
    <w:rsid w:val="003C2B98"/>
    <w:rsid w:val="003E79E7"/>
    <w:rsid w:val="004F0207"/>
    <w:rsid w:val="0051368B"/>
    <w:rsid w:val="00587D9B"/>
    <w:rsid w:val="005E4AEC"/>
    <w:rsid w:val="0066395B"/>
    <w:rsid w:val="00673EA9"/>
    <w:rsid w:val="006C6827"/>
    <w:rsid w:val="00860699"/>
    <w:rsid w:val="00862CCE"/>
    <w:rsid w:val="008C1985"/>
    <w:rsid w:val="008C47B0"/>
    <w:rsid w:val="00984FB6"/>
    <w:rsid w:val="009C6F98"/>
    <w:rsid w:val="009E6A5E"/>
    <w:rsid w:val="009F5490"/>
    <w:rsid w:val="00A93107"/>
    <w:rsid w:val="00AA02D5"/>
    <w:rsid w:val="00AF57AF"/>
    <w:rsid w:val="00B21C1F"/>
    <w:rsid w:val="00B6027A"/>
    <w:rsid w:val="00B65F85"/>
    <w:rsid w:val="00CF45BE"/>
    <w:rsid w:val="00D074A8"/>
    <w:rsid w:val="00D51C0B"/>
    <w:rsid w:val="00D66AA3"/>
    <w:rsid w:val="00DF5AC6"/>
    <w:rsid w:val="00EE57CB"/>
    <w:rsid w:val="00F92441"/>
    <w:rsid w:val="00FA5304"/>
    <w:rsid w:val="00FA63ED"/>
    <w:rsid w:val="00FB07C7"/>
    <w:rsid w:val="00FD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CE9B"/>
  <w15:chartTrackingRefBased/>
  <w15:docId w15:val="{075541AB-28FE-4DE2-ACA9-2778551F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1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7D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8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65EE"/>
    <w:pPr>
      <w:ind w:left="720"/>
      <w:contextualSpacing/>
    </w:pPr>
  </w:style>
  <w:style w:type="paragraph" w:styleId="Header">
    <w:name w:val="header"/>
    <w:basedOn w:val="Normal"/>
    <w:link w:val="HeaderChar"/>
    <w:uiPriority w:val="99"/>
    <w:unhideWhenUsed/>
    <w:rsid w:val="00F9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41"/>
  </w:style>
  <w:style w:type="paragraph" w:styleId="Footer">
    <w:name w:val="footer"/>
    <w:basedOn w:val="Normal"/>
    <w:link w:val="FooterChar"/>
    <w:uiPriority w:val="99"/>
    <w:unhideWhenUsed/>
    <w:rsid w:val="00F9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41"/>
  </w:style>
  <w:style w:type="character" w:customStyle="1" w:styleId="Heading3Char">
    <w:name w:val="Heading 3 Char"/>
    <w:basedOn w:val="DefaultParagraphFont"/>
    <w:link w:val="Heading3"/>
    <w:uiPriority w:val="9"/>
    <w:rsid w:val="00587D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87D9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Emmy</dc:creator>
  <cp:keywords/>
  <dc:description/>
  <cp:lastModifiedBy>Steadman, Marka</cp:lastModifiedBy>
  <cp:revision>3</cp:revision>
  <dcterms:created xsi:type="dcterms:W3CDTF">2019-10-24T23:24:00Z</dcterms:created>
  <dcterms:modified xsi:type="dcterms:W3CDTF">2019-10-31T18:26:00Z</dcterms:modified>
</cp:coreProperties>
</file>