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1" w:rsidRDefault="000B40F1" w:rsidP="00545353">
      <w:pPr>
        <w:jc w:val="center"/>
        <w:rPr>
          <w:b/>
        </w:rPr>
      </w:pPr>
      <w:r>
        <w:rPr>
          <w:b/>
        </w:rPr>
        <w:t>ATTACHMENT 7</w:t>
      </w:r>
    </w:p>
    <w:p w:rsidR="00D77942" w:rsidRDefault="00D77942" w:rsidP="00545353">
      <w:pPr>
        <w:jc w:val="center"/>
        <w:rPr>
          <w:b/>
        </w:rPr>
      </w:pPr>
    </w:p>
    <w:p w:rsidR="00545353" w:rsidRPr="00545353" w:rsidRDefault="00545353" w:rsidP="00545353">
      <w:pPr>
        <w:jc w:val="center"/>
        <w:rPr>
          <w:b/>
        </w:rPr>
      </w:pPr>
      <w:r>
        <w:rPr>
          <w:b/>
        </w:rPr>
        <w:t>Proposed Regional Homelessness Authority Funding from King County</w:t>
      </w:r>
      <w:r w:rsidR="008D5773">
        <w:rPr>
          <w:b/>
        </w:rPr>
        <w:t xml:space="preserve"> by 2019 Funding Source and Program</w:t>
      </w:r>
    </w:p>
    <w:p w:rsidR="00545353" w:rsidRDefault="00545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62"/>
        <w:gridCol w:w="1863"/>
        <w:gridCol w:w="1862"/>
        <w:gridCol w:w="1863"/>
        <w:gridCol w:w="1862"/>
        <w:gridCol w:w="1863"/>
        <w:gridCol w:w="1862"/>
        <w:gridCol w:w="1863"/>
        <w:gridCol w:w="1862"/>
        <w:gridCol w:w="1863"/>
      </w:tblGrid>
      <w:tr w:rsidR="00566C70" w:rsidTr="00566C70">
        <w:trPr>
          <w:trHeight w:val="269"/>
        </w:trPr>
        <w:tc>
          <w:tcPr>
            <w:tcW w:w="2965" w:type="dxa"/>
            <w:shd w:val="clear" w:color="auto" w:fill="AEAAAA" w:themeFill="background2" w:themeFillShade="BF"/>
          </w:tcPr>
          <w:p w:rsidR="00566C70" w:rsidRDefault="00566C70"/>
        </w:tc>
        <w:tc>
          <w:tcPr>
            <w:tcW w:w="1862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Continuum of Care</w:t>
            </w:r>
          </w:p>
        </w:tc>
        <w:tc>
          <w:tcPr>
            <w:tcW w:w="1863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Emergency Solutions Grant</w:t>
            </w:r>
          </w:p>
        </w:tc>
        <w:tc>
          <w:tcPr>
            <w:tcW w:w="1862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Community Development Block Grant</w:t>
            </w:r>
          </w:p>
        </w:tc>
        <w:tc>
          <w:tcPr>
            <w:tcW w:w="1863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State</w:t>
            </w:r>
          </w:p>
        </w:tc>
        <w:tc>
          <w:tcPr>
            <w:tcW w:w="1862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Document Recording Fee</w:t>
            </w:r>
          </w:p>
        </w:tc>
        <w:tc>
          <w:tcPr>
            <w:tcW w:w="1863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Regional Affordable Housing Program</w:t>
            </w:r>
          </w:p>
        </w:tc>
        <w:tc>
          <w:tcPr>
            <w:tcW w:w="1862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Mental Illness &amp; Drug Dependency</w:t>
            </w:r>
          </w:p>
        </w:tc>
        <w:tc>
          <w:tcPr>
            <w:tcW w:w="1863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Vets, Seniors, Human Services Levy</w:t>
            </w:r>
          </w:p>
        </w:tc>
        <w:tc>
          <w:tcPr>
            <w:tcW w:w="1862" w:type="dxa"/>
            <w:shd w:val="clear" w:color="auto" w:fill="AEAAAA" w:themeFill="background2" w:themeFillShade="BF"/>
          </w:tcPr>
          <w:p w:rsidR="00566C70" w:rsidRPr="00566C70" w:rsidRDefault="00566C70" w:rsidP="00566C70">
            <w:pPr>
              <w:jc w:val="center"/>
              <w:rPr>
                <w:b/>
              </w:rPr>
            </w:pPr>
            <w:r w:rsidRPr="00566C70">
              <w:rPr>
                <w:b/>
              </w:rPr>
              <w:t>United Way King County</w:t>
            </w:r>
          </w:p>
        </w:tc>
        <w:tc>
          <w:tcPr>
            <w:tcW w:w="1863" w:type="dxa"/>
            <w:shd w:val="clear" w:color="auto" w:fill="AEAAAA" w:themeFill="background2" w:themeFillShade="BF"/>
          </w:tcPr>
          <w:p w:rsidR="00566C70" w:rsidRPr="00E63A25" w:rsidRDefault="00566C70" w:rsidP="00566C70">
            <w:pPr>
              <w:jc w:val="center"/>
              <w:rPr>
                <w:b/>
                <w:i/>
              </w:rPr>
            </w:pPr>
            <w:r w:rsidRPr="00E63A25">
              <w:rPr>
                <w:b/>
                <w:i/>
              </w:rPr>
              <w:t>Total</w:t>
            </w:r>
          </w:p>
        </w:tc>
      </w:tr>
      <w:tr w:rsidR="00545353" w:rsidTr="00F04F6A">
        <w:trPr>
          <w:trHeight w:val="269"/>
        </w:trPr>
        <w:tc>
          <w:tcPr>
            <w:tcW w:w="21590" w:type="dxa"/>
            <w:gridSpan w:val="11"/>
          </w:tcPr>
          <w:p w:rsidR="00545353" w:rsidRDefault="00545353" w:rsidP="00545353">
            <w:r>
              <w:rPr>
                <w:b/>
              </w:rPr>
              <w:t>Service Contract Funding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Emergency Shelter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$187,844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$205,000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$1,068,343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$3,818,102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$472,222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$100,000</w:t>
            </w:r>
            <w:r w:rsidR="00325D9E">
              <w:rPr>
                <w:i/>
              </w:rPr>
              <w:t xml:space="preserve"> </w:t>
            </w:r>
            <w:r w:rsidR="00325D9E" w:rsidRPr="00325D9E">
              <w:rPr>
                <w:i/>
                <w:vertAlign w:val="superscript"/>
              </w:rPr>
              <w:t>1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$2,974,454</w:t>
            </w:r>
            <w:r w:rsidR="002018FC">
              <w:rPr>
                <w:i/>
              </w:rPr>
              <w:t xml:space="preserve"> </w:t>
            </w:r>
            <w:r w:rsidR="002018FC" w:rsidRPr="002018FC">
              <w:rPr>
                <w:i/>
                <w:vertAlign w:val="superscript"/>
              </w:rPr>
              <w:t>2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$8,825,965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Transitional Housing</w:t>
            </w:r>
          </w:p>
        </w:tc>
        <w:tc>
          <w:tcPr>
            <w:tcW w:w="1862" w:type="dxa"/>
          </w:tcPr>
          <w:p w:rsidR="00566C70" w:rsidRPr="00545353" w:rsidRDefault="00566C70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$431,840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$265,000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$270,000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$371,840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$1,338,680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Rapid Rehousing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$1,263,820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$105,038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$3,171,610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E63A25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$4,540,468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 w:rsidP="00566C70">
            <w:pPr>
              <w:rPr>
                <w:i/>
              </w:rPr>
            </w:pPr>
            <w:r w:rsidRPr="00545353">
              <w:rPr>
                <w:i/>
              </w:rPr>
              <w:t xml:space="preserve">   Permanent Supp. Housing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$12,504,329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$43,467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$1,408,372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$642,399</w:t>
            </w:r>
            <w:r w:rsidR="00325D9E">
              <w:rPr>
                <w:i/>
              </w:rPr>
              <w:t xml:space="preserve"> </w:t>
            </w:r>
            <w:r w:rsidR="00325D9E" w:rsidRPr="00325D9E">
              <w:rPr>
                <w:i/>
                <w:vertAlign w:val="superscript"/>
              </w:rPr>
              <w:t>1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$584,692</w:t>
            </w:r>
            <w:r w:rsidR="002018FC">
              <w:rPr>
                <w:i/>
              </w:rPr>
              <w:t xml:space="preserve"> </w:t>
            </w:r>
            <w:r w:rsidR="002018FC" w:rsidRPr="002018FC">
              <w:rPr>
                <w:i/>
                <w:vertAlign w:val="superscript"/>
              </w:rPr>
              <w:t>2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$15,183,259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 w:rsidP="00566C70">
            <w:pPr>
              <w:rPr>
                <w:i/>
              </w:rPr>
            </w:pPr>
            <w:r w:rsidRPr="00545353">
              <w:rPr>
                <w:i/>
              </w:rPr>
              <w:t xml:space="preserve">   Permanent Housing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$1,517,511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$202,451</w:t>
            </w:r>
            <w:r w:rsidR="002018FC">
              <w:rPr>
                <w:i/>
              </w:rPr>
              <w:t xml:space="preserve"> </w:t>
            </w:r>
            <w:r w:rsidR="002018FC" w:rsidRPr="002018FC">
              <w:rPr>
                <w:i/>
                <w:vertAlign w:val="superscript"/>
              </w:rPr>
              <w:t>2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$1,719,962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Housing Connector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$530,775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$265,000</w:t>
            </w:r>
            <w:r w:rsidR="002018FC">
              <w:rPr>
                <w:i/>
              </w:rPr>
              <w:t xml:space="preserve"> </w:t>
            </w:r>
            <w:r w:rsidR="002018FC">
              <w:rPr>
                <w:i/>
                <w:vertAlign w:val="superscript"/>
              </w:rPr>
              <w:t>3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$795,775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Street Outreach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$250,000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$100,000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$100,000</w:t>
            </w:r>
            <w:r w:rsidR="002018FC">
              <w:rPr>
                <w:i/>
              </w:rPr>
              <w:t xml:space="preserve"> </w:t>
            </w:r>
            <w:r w:rsidR="002018FC">
              <w:rPr>
                <w:i/>
                <w:vertAlign w:val="superscript"/>
              </w:rPr>
              <w:t>4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$450,000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>
            <w:pPr>
              <w:rPr>
                <w:i/>
              </w:rPr>
            </w:pPr>
            <w:r w:rsidRPr="00545353">
              <w:rPr>
                <w:i/>
              </w:rPr>
              <w:t xml:space="preserve">   Homelessness Prevention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$291,090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$300,000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$450,000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$780,000</w:t>
            </w:r>
            <w:r w:rsidR="002018FC">
              <w:rPr>
                <w:i/>
              </w:rPr>
              <w:t xml:space="preserve">  </w:t>
            </w:r>
            <w:r w:rsidR="002018FC">
              <w:rPr>
                <w:i/>
                <w:vertAlign w:val="superscript"/>
              </w:rPr>
              <w:t>5</w:t>
            </w:r>
            <w:r w:rsidR="002018FC">
              <w:rPr>
                <w:i/>
              </w:rPr>
              <w:t xml:space="preserve">  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$1,821,090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 w:rsidP="00566C70">
            <w:pPr>
              <w:rPr>
                <w:i/>
              </w:rPr>
            </w:pPr>
            <w:r w:rsidRPr="00545353">
              <w:rPr>
                <w:i/>
              </w:rPr>
              <w:t xml:space="preserve">   Housing &amp; Essential Needs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$10,963,976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$217,880</w:t>
            </w:r>
            <w:r w:rsidR="002018FC">
              <w:rPr>
                <w:i/>
              </w:rPr>
              <w:t xml:space="preserve">  </w:t>
            </w:r>
            <w:r w:rsidR="002018FC">
              <w:rPr>
                <w:i/>
                <w:vertAlign w:val="superscript"/>
              </w:rPr>
              <w:t>6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$11,181,856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45353" w:rsidRDefault="00566C70" w:rsidP="00566C70">
            <w:pPr>
              <w:ind w:left="162" w:hanging="162"/>
              <w:rPr>
                <w:i/>
              </w:rPr>
            </w:pPr>
            <w:r w:rsidRPr="00545353">
              <w:rPr>
                <w:i/>
              </w:rPr>
              <w:t xml:space="preserve">   Youth Homelessness  Demonstration Project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$2,617,804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$44,381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i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i/>
              </w:rPr>
            </w:pPr>
            <w:r w:rsidRPr="00545353">
              <w:rPr>
                <w:i/>
              </w:rPr>
              <w:t>$2,662,185</w:t>
            </w:r>
          </w:p>
        </w:tc>
      </w:tr>
      <w:tr w:rsidR="00545353" w:rsidTr="00566C70">
        <w:trPr>
          <w:trHeight w:val="269"/>
        </w:trPr>
        <w:tc>
          <w:tcPr>
            <w:tcW w:w="2965" w:type="dxa"/>
          </w:tcPr>
          <w:p w:rsidR="00545353" w:rsidRPr="00545353" w:rsidRDefault="00545353" w:rsidP="00545353">
            <w:pPr>
              <w:rPr>
                <w:b/>
              </w:rPr>
            </w:pPr>
            <w:r>
              <w:rPr>
                <w:b/>
              </w:rPr>
              <w:t>Service Contract Total</w:t>
            </w:r>
          </w:p>
        </w:tc>
        <w:tc>
          <w:tcPr>
            <w:tcW w:w="1862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$16,817,793</w:t>
            </w:r>
          </w:p>
        </w:tc>
        <w:tc>
          <w:tcPr>
            <w:tcW w:w="1863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$292,882</w:t>
            </w:r>
          </w:p>
        </w:tc>
        <w:tc>
          <w:tcPr>
            <w:tcW w:w="1862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$496,090</w:t>
            </w:r>
          </w:p>
        </w:tc>
        <w:tc>
          <w:tcPr>
            <w:tcW w:w="1863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$16,062,396</w:t>
            </w:r>
          </w:p>
        </w:tc>
        <w:tc>
          <w:tcPr>
            <w:tcW w:w="1862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$8,139,141</w:t>
            </w:r>
          </w:p>
        </w:tc>
        <w:tc>
          <w:tcPr>
            <w:tcW w:w="1863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$472,222</w:t>
            </w:r>
          </w:p>
        </w:tc>
        <w:tc>
          <w:tcPr>
            <w:tcW w:w="1862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$742,399</w:t>
            </w:r>
          </w:p>
        </w:tc>
        <w:tc>
          <w:tcPr>
            <w:tcW w:w="1863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$5,124,477</w:t>
            </w:r>
          </w:p>
        </w:tc>
        <w:tc>
          <w:tcPr>
            <w:tcW w:w="1862" w:type="dxa"/>
          </w:tcPr>
          <w:p w:rsidR="00545353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1863" w:type="dxa"/>
          </w:tcPr>
          <w:p w:rsidR="00545353" w:rsidRPr="00545353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$48,519,240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66C70" w:rsidRDefault="00566C70">
            <w:pPr>
              <w:rPr>
                <w:b/>
              </w:rPr>
            </w:pPr>
            <w:r w:rsidRPr="00566C70">
              <w:rPr>
                <w:b/>
              </w:rPr>
              <w:t>HMIS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$387,465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$591,900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66C70" w:rsidP="00566C70">
            <w:pPr>
              <w:jc w:val="right"/>
              <w:rPr>
                <w:b/>
              </w:rPr>
            </w:pP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$75,000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  <w:i/>
              </w:rPr>
            </w:pPr>
            <w:r w:rsidRPr="00545353">
              <w:rPr>
                <w:b/>
                <w:i/>
              </w:rPr>
              <w:t>$1,054,365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66C70" w:rsidRDefault="00566C70">
            <w:pPr>
              <w:rPr>
                <w:b/>
              </w:rPr>
            </w:pPr>
            <w:r w:rsidRPr="00566C70">
              <w:rPr>
                <w:b/>
              </w:rPr>
              <w:t>Coordinated Entry for All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$1,872,500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$637,000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$58,000</w:t>
            </w:r>
            <w:r w:rsidR="002018FC">
              <w:rPr>
                <w:b/>
              </w:rPr>
              <w:t xml:space="preserve"> </w:t>
            </w:r>
            <w:r w:rsidR="002018FC">
              <w:rPr>
                <w:i/>
              </w:rPr>
              <w:t xml:space="preserve"> </w:t>
            </w:r>
            <w:r w:rsidR="002018FC">
              <w:rPr>
                <w:i/>
                <w:vertAlign w:val="superscript"/>
              </w:rPr>
              <w:t>7</w:t>
            </w:r>
          </w:p>
        </w:tc>
        <w:tc>
          <w:tcPr>
            <w:tcW w:w="1862" w:type="dxa"/>
          </w:tcPr>
          <w:p w:rsidR="00566C70" w:rsidRPr="00545353" w:rsidRDefault="00566C70" w:rsidP="00566C70">
            <w:pPr>
              <w:jc w:val="right"/>
              <w:rPr>
                <w:b/>
              </w:rPr>
            </w:pP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  <w:i/>
              </w:rPr>
            </w:pPr>
            <w:r w:rsidRPr="00545353">
              <w:rPr>
                <w:b/>
                <w:i/>
              </w:rPr>
              <w:t>$2,567,500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66C70" w:rsidRDefault="00566C70">
            <w:pPr>
              <w:rPr>
                <w:b/>
              </w:rPr>
            </w:pPr>
            <w:r w:rsidRPr="00566C70">
              <w:rPr>
                <w:b/>
              </w:rPr>
              <w:t>All Home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$1,062,056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$455,182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566C70" w:rsidP="00566C70">
            <w:pPr>
              <w:jc w:val="right"/>
              <w:rPr>
                <w:b/>
              </w:rPr>
            </w:pP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b/>
              </w:rPr>
              <w:t>$544,373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  <w:i/>
              </w:rPr>
            </w:pPr>
            <w:r w:rsidRPr="00545353">
              <w:rPr>
                <w:b/>
                <w:i/>
              </w:rPr>
              <w:t>$2,061,611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566C70" w:rsidRDefault="00566C70">
            <w:pPr>
              <w:rPr>
                <w:b/>
              </w:rPr>
            </w:pPr>
            <w:r w:rsidRPr="00566C70">
              <w:rPr>
                <w:b/>
              </w:rPr>
              <w:t>Housing, Homelessness &amp; Community Development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$293,418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$21,202</w:t>
            </w:r>
          </w:p>
        </w:tc>
        <w:tc>
          <w:tcPr>
            <w:tcW w:w="1862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$248,025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$50,000</w:t>
            </w:r>
          </w:p>
        </w:tc>
        <w:tc>
          <w:tcPr>
            <w:tcW w:w="1863" w:type="dxa"/>
          </w:tcPr>
          <w:p w:rsidR="00566C70" w:rsidRPr="00545353" w:rsidRDefault="00545353" w:rsidP="00566C70">
            <w:pPr>
              <w:jc w:val="right"/>
              <w:rPr>
                <w:b/>
              </w:rPr>
            </w:pPr>
            <w:r>
              <w:rPr>
                <w:i/>
              </w:rPr>
              <w:t>--</w:t>
            </w:r>
          </w:p>
        </w:tc>
        <w:tc>
          <w:tcPr>
            <w:tcW w:w="1862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$15,000</w:t>
            </w:r>
            <w:r w:rsidR="00325D9E">
              <w:rPr>
                <w:b/>
              </w:rPr>
              <w:t xml:space="preserve"> </w:t>
            </w:r>
            <w:r w:rsidR="00325D9E" w:rsidRPr="00325D9E">
              <w:rPr>
                <w:i/>
                <w:vertAlign w:val="superscript"/>
              </w:rPr>
              <w:t>1</w:t>
            </w: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</w:rPr>
            </w:pPr>
            <w:r w:rsidRPr="00545353">
              <w:rPr>
                <w:b/>
              </w:rPr>
              <w:t>$21,000</w:t>
            </w:r>
            <w:r w:rsidR="002018FC">
              <w:rPr>
                <w:i/>
              </w:rPr>
              <w:t xml:space="preserve"> </w:t>
            </w:r>
            <w:r w:rsidR="002018FC" w:rsidRPr="002018FC">
              <w:rPr>
                <w:i/>
                <w:vertAlign w:val="superscript"/>
              </w:rPr>
              <w:t>2</w:t>
            </w:r>
          </w:p>
        </w:tc>
        <w:tc>
          <w:tcPr>
            <w:tcW w:w="1862" w:type="dxa"/>
          </w:tcPr>
          <w:p w:rsidR="00566C70" w:rsidRPr="00545353" w:rsidRDefault="00566C70" w:rsidP="00566C70">
            <w:pPr>
              <w:jc w:val="right"/>
              <w:rPr>
                <w:b/>
              </w:rPr>
            </w:pPr>
          </w:p>
        </w:tc>
        <w:tc>
          <w:tcPr>
            <w:tcW w:w="1863" w:type="dxa"/>
          </w:tcPr>
          <w:p w:rsidR="00566C70" w:rsidRPr="00545353" w:rsidRDefault="00E63A25" w:rsidP="00566C70">
            <w:pPr>
              <w:jc w:val="right"/>
              <w:rPr>
                <w:b/>
                <w:i/>
              </w:rPr>
            </w:pPr>
            <w:r w:rsidRPr="00545353">
              <w:rPr>
                <w:b/>
                <w:i/>
              </w:rPr>
              <w:t>$648,645</w:t>
            </w:r>
          </w:p>
        </w:tc>
      </w:tr>
      <w:tr w:rsidR="00566C70" w:rsidTr="00566C70">
        <w:trPr>
          <w:trHeight w:val="269"/>
        </w:trPr>
        <w:tc>
          <w:tcPr>
            <w:tcW w:w="2965" w:type="dxa"/>
          </w:tcPr>
          <w:p w:rsidR="00566C70" w:rsidRPr="00E63A25" w:rsidRDefault="00545353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862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$20,433,232</w:t>
            </w:r>
          </w:p>
        </w:tc>
        <w:tc>
          <w:tcPr>
            <w:tcW w:w="1863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$314,084</w:t>
            </w:r>
          </w:p>
        </w:tc>
        <w:tc>
          <w:tcPr>
            <w:tcW w:w="1862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$496,090</w:t>
            </w:r>
          </w:p>
        </w:tc>
        <w:tc>
          <w:tcPr>
            <w:tcW w:w="1863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$16,310,421</w:t>
            </w:r>
          </w:p>
        </w:tc>
        <w:tc>
          <w:tcPr>
            <w:tcW w:w="1862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$9,873,223</w:t>
            </w:r>
          </w:p>
        </w:tc>
        <w:tc>
          <w:tcPr>
            <w:tcW w:w="1863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$844,062</w:t>
            </w:r>
          </w:p>
        </w:tc>
        <w:tc>
          <w:tcPr>
            <w:tcW w:w="1862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$757,399</w:t>
            </w:r>
          </w:p>
        </w:tc>
        <w:tc>
          <w:tcPr>
            <w:tcW w:w="1863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$5,203,477</w:t>
            </w:r>
          </w:p>
        </w:tc>
        <w:tc>
          <w:tcPr>
            <w:tcW w:w="1862" w:type="dxa"/>
          </w:tcPr>
          <w:p w:rsidR="00566C70" w:rsidRPr="00E63A25" w:rsidRDefault="00545353" w:rsidP="00566C7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$619,373</w:t>
            </w:r>
          </w:p>
        </w:tc>
        <w:tc>
          <w:tcPr>
            <w:tcW w:w="1863" w:type="dxa"/>
          </w:tcPr>
          <w:p w:rsidR="00566C70" w:rsidRPr="00E63A25" w:rsidRDefault="00E63A25" w:rsidP="00566C70">
            <w:pPr>
              <w:jc w:val="right"/>
              <w:rPr>
                <w:b/>
                <w:i/>
              </w:rPr>
            </w:pPr>
            <w:r w:rsidRPr="00E63A25">
              <w:rPr>
                <w:b/>
                <w:i/>
              </w:rPr>
              <w:t>$54,851,361</w:t>
            </w:r>
          </w:p>
        </w:tc>
      </w:tr>
    </w:tbl>
    <w:p w:rsidR="00C97D2B" w:rsidRDefault="00C97D2B"/>
    <w:p w:rsidR="008D5773" w:rsidRDefault="008D5773" w:rsidP="008D5773">
      <w:pPr>
        <w:pStyle w:val="ListParagraph"/>
        <w:numPr>
          <w:ilvl w:val="0"/>
          <w:numId w:val="1"/>
        </w:numPr>
      </w:pPr>
      <w:r>
        <w:t>Continuum of Care:  U.S. Department of Housing and Urban Development (HUD) funding to promote the goal of ending homelessness</w:t>
      </w:r>
    </w:p>
    <w:p w:rsidR="008D5773" w:rsidRDefault="008D5773" w:rsidP="008D5773">
      <w:pPr>
        <w:pStyle w:val="ListParagraph"/>
        <w:numPr>
          <w:ilvl w:val="0"/>
          <w:numId w:val="1"/>
        </w:numPr>
      </w:pPr>
      <w:r>
        <w:t>Emergency Solutions Grant:  HUD funding that can only be used for emergency shelters and rapid rehousing</w:t>
      </w:r>
    </w:p>
    <w:p w:rsidR="008D5773" w:rsidRDefault="008D5773" w:rsidP="008D5773">
      <w:pPr>
        <w:pStyle w:val="ListParagraph"/>
        <w:numPr>
          <w:ilvl w:val="0"/>
          <w:numId w:val="1"/>
        </w:numPr>
      </w:pPr>
      <w:r>
        <w:t>Community Development Block Grant:  HUD funding for providing affordable housing, anti-poverty programs, and infrastructure development</w:t>
      </w:r>
    </w:p>
    <w:p w:rsidR="008D5773" w:rsidRDefault="008D5773" w:rsidP="008D5773">
      <w:pPr>
        <w:pStyle w:val="ListParagraph"/>
        <w:numPr>
          <w:ilvl w:val="0"/>
          <w:numId w:val="1"/>
        </w:numPr>
      </w:pPr>
      <w:r>
        <w:t xml:space="preserve">State:  Includes some of the state's allocation of Emergency Solutions Grant funds, some of the state's allocation of document recording fees, and </w:t>
      </w:r>
      <w:r w:rsidR="00325D9E">
        <w:t xml:space="preserve">state authorized </w:t>
      </w:r>
      <w:r>
        <w:t xml:space="preserve">Housing and Essential Needs </w:t>
      </w:r>
      <w:r w:rsidR="00325D9E">
        <w:t>funding for rent assistance and essential needs for those at risk of becoming homeless</w:t>
      </w:r>
    </w:p>
    <w:p w:rsidR="00325D9E" w:rsidRDefault="00325D9E" w:rsidP="008D5773">
      <w:pPr>
        <w:pStyle w:val="ListParagraph"/>
        <w:numPr>
          <w:ilvl w:val="0"/>
          <w:numId w:val="1"/>
        </w:numPr>
      </w:pPr>
      <w:r>
        <w:t>Document Recording Fees:  State authorized funding to support programs for people experiencing homelessness or at risk of becoming homeless and at 50% of area median income or less.</w:t>
      </w:r>
    </w:p>
    <w:p w:rsidR="00325D9E" w:rsidRDefault="00325D9E" w:rsidP="008D5773">
      <w:pPr>
        <w:pStyle w:val="ListParagraph"/>
        <w:numPr>
          <w:ilvl w:val="0"/>
          <w:numId w:val="1"/>
        </w:numPr>
      </w:pPr>
      <w:r>
        <w:t>United Way King County:  Includes support for HMIS and All Home</w:t>
      </w:r>
    </w:p>
    <w:p w:rsidR="008D5773" w:rsidRDefault="008D5773"/>
    <w:p w:rsidR="00325D9E" w:rsidRDefault="00325D9E"/>
    <w:p w:rsidR="00325D9E" w:rsidRDefault="00325D9E"/>
    <w:p w:rsidR="00325D9E" w:rsidRDefault="00325D9E"/>
    <w:p w:rsidR="00325D9E" w:rsidRDefault="00325D9E"/>
    <w:p w:rsidR="001E3559" w:rsidRPr="001E3559" w:rsidRDefault="001E35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D9E" w:rsidRDefault="00325D9E">
      <w:r w:rsidRPr="00325D9E">
        <w:rPr>
          <w:vertAlign w:val="superscript"/>
        </w:rPr>
        <w:t>1</w:t>
      </w:r>
      <w:r>
        <w:t xml:space="preserve"> MIDD </w:t>
      </w:r>
      <w:r w:rsidR="001D5C3A">
        <w:t>Strategy RR-01</w:t>
      </w:r>
      <w:r>
        <w:t xml:space="preserve"> Rapid Rehousing</w:t>
      </w:r>
      <w:r w:rsidR="007C6292">
        <w:t xml:space="preserve"> (Ordinance 15093)</w:t>
      </w:r>
    </w:p>
    <w:p w:rsidR="002018FC" w:rsidRDefault="002018FC">
      <w:r w:rsidRPr="002018FC">
        <w:rPr>
          <w:vertAlign w:val="superscript"/>
        </w:rPr>
        <w:t>2</w:t>
      </w:r>
      <w:r>
        <w:t xml:space="preserve"> VSHSL Strategy HS-1 Build, Preserve and Operate Affordable Housing and Navigation Centers</w:t>
      </w:r>
      <w:r w:rsidR="007C6292">
        <w:t xml:space="preserve"> (Ordinance 18768)</w:t>
      </w:r>
    </w:p>
    <w:p w:rsidR="002018FC" w:rsidRPr="002018FC" w:rsidRDefault="002018FC">
      <w:r w:rsidRPr="002018FC">
        <w:rPr>
          <w:vertAlign w:val="superscript"/>
        </w:rPr>
        <w:t>3</w:t>
      </w:r>
      <w:r>
        <w:t xml:space="preserve"> VSHSL Strategy 2018 Transition Plan HS-2A Master Leasing</w:t>
      </w:r>
      <w:r w:rsidR="007C6292">
        <w:t xml:space="preserve"> (Ordinance 18638)</w:t>
      </w:r>
    </w:p>
    <w:p w:rsidR="002018FC" w:rsidRDefault="002018FC">
      <w:r>
        <w:rPr>
          <w:vertAlign w:val="superscript"/>
        </w:rPr>
        <w:t>4</w:t>
      </w:r>
      <w:r>
        <w:t xml:space="preserve"> VSHSL Strategy SS-1F</w:t>
      </w:r>
      <w:r w:rsidR="001D5C3A">
        <w:t xml:space="preserve"> Persons Experiencing Unsheltered Homelessness</w:t>
      </w:r>
      <w:r w:rsidR="007C6292">
        <w:t xml:space="preserve"> (Ordinance 18768)</w:t>
      </w:r>
    </w:p>
    <w:p w:rsidR="002018FC" w:rsidRDefault="002018FC">
      <w:r>
        <w:rPr>
          <w:vertAlign w:val="superscript"/>
        </w:rPr>
        <w:t>5</w:t>
      </w:r>
      <w:r>
        <w:t xml:space="preserve"> VSHSL Strategies HS-5D </w:t>
      </w:r>
      <w:r w:rsidR="001D5C3A">
        <w:t xml:space="preserve">Housing Stability </w:t>
      </w:r>
      <w:r>
        <w:t>and SS-1F</w:t>
      </w:r>
      <w:r w:rsidR="001D5C3A">
        <w:t xml:space="preserve"> Persons Experiencing Unsheltered Homelessness</w:t>
      </w:r>
      <w:r w:rsidR="007C6292">
        <w:t xml:space="preserve"> (Ordinance 18768)</w:t>
      </w:r>
    </w:p>
    <w:p w:rsidR="002018FC" w:rsidRDefault="002018FC">
      <w:r>
        <w:rPr>
          <w:vertAlign w:val="superscript"/>
        </w:rPr>
        <w:t>6</w:t>
      </w:r>
      <w:r>
        <w:t xml:space="preserve"> VSHSL Strategy 2018 Transition Plan HS-2B</w:t>
      </w:r>
      <w:r w:rsidR="001D5C3A">
        <w:t xml:space="preserve"> Shallow Rent Subsidies</w:t>
      </w:r>
      <w:r w:rsidR="007C6292">
        <w:t xml:space="preserve"> (Ordinance 18638)</w:t>
      </w:r>
    </w:p>
    <w:p w:rsidR="00325D9E" w:rsidRDefault="002018FC">
      <w:r>
        <w:rPr>
          <w:vertAlign w:val="superscript"/>
        </w:rPr>
        <w:t>7</w:t>
      </w:r>
      <w:r>
        <w:t xml:space="preserve"> VSHSL Strategy HS-4</w:t>
      </w:r>
      <w:r w:rsidR="001D5C3A">
        <w:t xml:space="preserve"> Navigate Homeless Veterans to Housing</w:t>
      </w:r>
      <w:r w:rsidR="007C6292">
        <w:t xml:space="preserve"> (Ordinance 18768)</w:t>
      </w:r>
      <w:bookmarkStart w:id="0" w:name="_GoBack"/>
      <w:bookmarkEnd w:id="0"/>
    </w:p>
    <w:sectPr w:rsidR="00325D9E" w:rsidSect="00566C70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E" w:rsidRDefault="00325D9E" w:rsidP="00325D9E">
      <w:r>
        <w:separator/>
      </w:r>
    </w:p>
  </w:endnote>
  <w:endnote w:type="continuationSeparator" w:id="0">
    <w:p w:rsidR="00325D9E" w:rsidRDefault="00325D9E" w:rsidP="003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E" w:rsidRDefault="00325D9E" w:rsidP="00325D9E">
      <w:r>
        <w:separator/>
      </w:r>
    </w:p>
  </w:footnote>
  <w:footnote w:type="continuationSeparator" w:id="0">
    <w:p w:rsidR="00325D9E" w:rsidRDefault="00325D9E" w:rsidP="0032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976E4"/>
    <w:multiLevelType w:val="hybridMultilevel"/>
    <w:tmpl w:val="A2D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0"/>
    <w:rsid w:val="000949D1"/>
    <w:rsid w:val="000B40F1"/>
    <w:rsid w:val="001D5C3A"/>
    <w:rsid w:val="001E3559"/>
    <w:rsid w:val="002018FC"/>
    <w:rsid w:val="00260AA1"/>
    <w:rsid w:val="00325D9E"/>
    <w:rsid w:val="00545353"/>
    <w:rsid w:val="00566C70"/>
    <w:rsid w:val="007007FA"/>
    <w:rsid w:val="007C6292"/>
    <w:rsid w:val="008D5773"/>
    <w:rsid w:val="00C97D2B"/>
    <w:rsid w:val="00D77942"/>
    <w:rsid w:val="00E63A25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C7EA"/>
  <w15:chartTrackingRefBased/>
  <w15:docId w15:val="{123BBD72-C876-4685-A87E-E2D5D65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7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5D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5D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5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B8B6-22FD-4D61-BF85-618B963D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7</cp:revision>
  <dcterms:created xsi:type="dcterms:W3CDTF">2019-10-02T16:49:00Z</dcterms:created>
  <dcterms:modified xsi:type="dcterms:W3CDTF">2019-10-03T17:06:00Z</dcterms:modified>
</cp:coreProperties>
</file>