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17A3E" w14:textId="77777777" w:rsidR="00EB5A13" w:rsidRPr="00A46A5D" w:rsidRDefault="00EB5A13" w:rsidP="00432B00">
      <w:pPr>
        <w:pStyle w:val="Heading2"/>
        <w:jc w:val="left"/>
        <w:rPr>
          <w:b w:val="0"/>
          <w:sz w:val="24"/>
          <w:u w:val="none"/>
        </w:rPr>
      </w:pPr>
    </w:p>
    <w:p w14:paraId="46CB7C9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77734E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7C27164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334399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5910808" w14:textId="01E53E29" w:rsidR="00EB5A13" w:rsidRPr="009349D6" w:rsidRDefault="00F53C4A"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7EDCFA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9444C11" w14:textId="435C4626" w:rsidR="00AA36AD" w:rsidRPr="009349D6" w:rsidRDefault="003F0414" w:rsidP="00074A56">
            <w:pPr>
              <w:spacing w:before="40" w:after="40"/>
              <w:rPr>
                <w:rFonts w:ascii="Arial" w:hAnsi="Arial" w:cs="Arial"/>
              </w:rPr>
            </w:pPr>
            <w:r>
              <w:rPr>
                <w:rFonts w:ascii="Arial" w:hAnsi="Arial" w:cs="Arial"/>
              </w:rPr>
              <w:t xml:space="preserve"> </w:t>
            </w:r>
            <w:r w:rsidR="00D232A6">
              <w:rPr>
                <w:rFonts w:ascii="Arial" w:hAnsi="Arial" w:cs="Arial"/>
              </w:rPr>
              <w:t>Miranda Leskinen</w:t>
            </w:r>
          </w:p>
        </w:tc>
      </w:tr>
      <w:tr w:rsidR="00EB5A13" w:rsidRPr="009349D6" w14:paraId="5C7421E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8EB21C"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75389A7" w14:textId="2D6CE2D8" w:rsidR="00EB5A13" w:rsidRPr="009349D6" w:rsidRDefault="00AB123F" w:rsidP="00074A56">
            <w:pPr>
              <w:spacing w:before="40" w:after="40"/>
              <w:rPr>
                <w:rFonts w:ascii="Arial" w:hAnsi="Arial" w:cs="Arial"/>
              </w:rPr>
            </w:pPr>
            <w:r>
              <w:rPr>
                <w:rFonts w:ascii="Arial" w:hAnsi="Arial" w:cs="Arial"/>
              </w:rPr>
              <w:t xml:space="preserve"> </w:t>
            </w:r>
            <w:r w:rsidR="00D232A6">
              <w:rPr>
                <w:rFonts w:ascii="Arial" w:hAnsi="Arial" w:cs="Arial"/>
              </w:rPr>
              <w:t>2019-0281</w:t>
            </w:r>
          </w:p>
        </w:tc>
        <w:tc>
          <w:tcPr>
            <w:tcW w:w="1170" w:type="dxa"/>
            <w:tcBorders>
              <w:top w:val="single" w:sz="4" w:space="0" w:color="auto"/>
              <w:left w:val="single" w:sz="4" w:space="0" w:color="auto"/>
              <w:bottom w:val="single" w:sz="4" w:space="0" w:color="auto"/>
              <w:right w:val="single" w:sz="4" w:space="0" w:color="auto"/>
            </w:tcBorders>
            <w:vAlign w:val="center"/>
          </w:tcPr>
          <w:p w14:paraId="1AD4AF5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56E3F5" w14:textId="647FD963" w:rsidR="00EB5A13" w:rsidRPr="009349D6" w:rsidRDefault="000B4C41" w:rsidP="00074A56">
            <w:pPr>
              <w:spacing w:before="40" w:after="40"/>
              <w:rPr>
                <w:rFonts w:ascii="Arial" w:hAnsi="Arial" w:cs="Arial"/>
              </w:rPr>
            </w:pPr>
            <w:r>
              <w:rPr>
                <w:rFonts w:ascii="Arial" w:hAnsi="Arial" w:cs="Arial"/>
              </w:rPr>
              <w:t>July 30</w:t>
            </w:r>
            <w:r w:rsidR="00D232A6">
              <w:rPr>
                <w:rFonts w:ascii="Arial" w:hAnsi="Arial" w:cs="Arial"/>
              </w:rPr>
              <w:t>, 2019</w:t>
            </w:r>
          </w:p>
        </w:tc>
      </w:tr>
    </w:tbl>
    <w:p w14:paraId="6E460E35" w14:textId="77777777" w:rsidR="004349B7" w:rsidRDefault="004349B7" w:rsidP="00F31CDD">
      <w:pPr>
        <w:rPr>
          <w:rFonts w:ascii="Arial" w:hAnsi="Arial" w:cs="Arial"/>
          <w:b/>
          <w:smallCaps/>
          <w:szCs w:val="24"/>
          <w:u w:val="single"/>
        </w:rPr>
      </w:pPr>
    </w:p>
    <w:p w14:paraId="772D7265" w14:textId="52D890A2"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58A7691" w14:textId="77777777" w:rsidR="00266C01" w:rsidRDefault="00266C01" w:rsidP="005B478C">
      <w:pPr>
        <w:jc w:val="both"/>
        <w:rPr>
          <w:rFonts w:ascii="Arial" w:hAnsi="Arial" w:cs="Arial"/>
        </w:rPr>
      </w:pPr>
    </w:p>
    <w:p w14:paraId="4BF3657A" w14:textId="4F07BCFD" w:rsidR="00C65EB8" w:rsidRPr="00C75025" w:rsidRDefault="00BE7B9B" w:rsidP="00C65EB8">
      <w:pPr>
        <w:jc w:val="both"/>
        <w:rPr>
          <w:rFonts w:ascii="Arial" w:hAnsi="Arial" w:cs="Arial"/>
          <w:b/>
          <w:u w:val="single"/>
        </w:rPr>
      </w:pPr>
      <w:r>
        <w:rPr>
          <w:rFonts w:ascii="Arial" w:hAnsi="Arial" w:cs="Arial"/>
        </w:rPr>
        <w:t xml:space="preserve">A Motion </w:t>
      </w:r>
      <w:r w:rsidR="00DC0303">
        <w:rPr>
          <w:rFonts w:ascii="Arial" w:hAnsi="Arial" w:cs="Arial"/>
        </w:rPr>
        <w:t>approving a 2</w:t>
      </w:r>
      <w:r w:rsidR="000D5880">
        <w:rPr>
          <w:rFonts w:ascii="Arial" w:hAnsi="Arial" w:cs="Arial"/>
        </w:rPr>
        <w:t>018 outcomes report on Communities</w:t>
      </w:r>
      <w:r w:rsidR="00DC0303">
        <w:rPr>
          <w:rFonts w:ascii="Arial" w:hAnsi="Arial" w:cs="Arial"/>
        </w:rPr>
        <w:t xml:space="preserve"> of Opportunity original place-based sites.</w:t>
      </w:r>
    </w:p>
    <w:p w14:paraId="5388DA20" w14:textId="77777777" w:rsidR="00E541E9" w:rsidRDefault="00E541E9" w:rsidP="005B478C">
      <w:pPr>
        <w:jc w:val="both"/>
        <w:rPr>
          <w:rFonts w:ascii="Arial" w:hAnsi="Arial" w:cs="Arial"/>
          <w:b/>
          <w:smallCaps/>
          <w:szCs w:val="24"/>
          <w:u w:val="single"/>
        </w:rPr>
      </w:pPr>
    </w:p>
    <w:p w14:paraId="4424F18A"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585314E5" w14:textId="77777777" w:rsidR="00074A56" w:rsidRDefault="00074A56" w:rsidP="005B478C">
      <w:pPr>
        <w:jc w:val="both"/>
        <w:rPr>
          <w:rFonts w:ascii="Arial" w:hAnsi="Arial" w:cs="Arial"/>
        </w:rPr>
      </w:pPr>
    </w:p>
    <w:p w14:paraId="5AA56422" w14:textId="7CFD7184" w:rsidR="00997E09" w:rsidRPr="000515F7" w:rsidRDefault="00DC0303" w:rsidP="00997E09">
      <w:pPr>
        <w:jc w:val="both"/>
        <w:rPr>
          <w:rFonts w:ascii="Arial" w:hAnsi="Arial" w:cs="Arial"/>
          <w:szCs w:val="24"/>
        </w:rPr>
      </w:pPr>
      <w:r>
        <w:rPr>
          <w:rFonts w:ascii="Arial" w:hAnsi="Arial" w:cs="Arial"/>
        </w:rPr>
        <w:t>Proposed Motion 2019-0281 would approve a report on 2018 outcomes regarding Community of Opportunity’s original place-based sites of Rainier Valley, White Center and SeaTac/Tukwila, in compliance with a 2019-2020 biennial budget proviso (Ordinance 18835, Section 95, Proviso P1).</w:t>
      </w:r>
      <w:r w:rsidR="00CA3B82">
        <w:rPr>
          <w:rFonts w:ascii="Arial" w:hAnsi="Arial" w:cs="Arial"/>
        </w:rPr>
        <w:t xml:space="preserve"> </w:t>
      </w:r>
      <w:r w:rsidR="00AB3456">
        <w:rPr>
          <w:rFonts w:ascii="Arial" w:hAnsi="Arial" w:cs="Arial"/>
          <w:szCs w:val="24"/>
        </w:rPr>
        <w:t xml:space="preserve"> </w:t>
      </w:r>
      <w:r w:rsidR="00997E09">
        <w:rPr>
          <w:rFonts w:ascii="Arial" w:hAnsi="Arial" w:cs="Arial"/>
          <w:szCs w:val="24"/>
        </w:rPr>
        <w:t xml:space="preserve">The transmitted report generally meets the requirements of the proviso. </w:t>
      </w:r>
      <w:r w:rsidR="00997E09">
        <w:rPr>
          <w:rFonts w:ascii="Arial" w:hAnsi="Arial" w:cs="Arial"/>
        </w:rPr>
        <w:t>The proposed motion, if passed by Council, would approve</w:t>
      </w:r>
      <w:r w:rsidR="004C5E16">
        <w:rPr>
          <w:rFonts w:ascii="Arial" w:hAnsi="Arial" w:cs="Arial"/>
        </w:rPr>
        <w:t xml:space="preserve"> the report and </w:t>
      </w:r>
      <w:r w:rsidR="00DD0251">
        <w:rPr>
          <w:rFonts w:ascii="Arial" w:hAnsi="Arial" w:cs="Arial"/>
        </w:rPr>
        <w:t>authorize</w:t>
      </w:r>
      <w:r w:rsidR="004C5E16">
        <w:rPr>
          <w:rFonts w:ascii="Arial" w:hAnsi="Arial" w:cs="Arial"/>
        </w:rPr>
        <w:t xml:space="preserve"> $465,000 in </w:t>
      </w:r>
      <w:r w:rsidR="00997E09">
        <w:rPr>
          <w:rFonts w:ascii="Arial" w:hAnsi="Arial" w:cs="Arial"/>
        </w:rPr>
        <w:t xml:space="preserve">provisoed funds restricted by the proviso </w:t>
      </w:r>
      <w:r w:rsidR="00DD0251">
        <w:rPr>
          <w:rFonts w:ascii="Arial" w:hAnsi="Arial" w:cs="Arial"/>
        </w:rPr>
        <w:t>to be released</w:t>
      </w:r>
      <w:r w:rsidR="00997E09">
        <w:rPr>
          <w:rFonts w:ascii="Arial" w:hAnsi="Arial" w:cs="Arial"/>
        </w:rPr>
        <w:t xml:space="preserve"> </w:t>
      </w:r>
      <w:r w:rsidR="00DD0251">
        <w:rPr>
          <w:rFonts w:ascii="Arial" w:hAnsi="Arial" w:cs="Arial"/>
        </w:rPr>
        <w:t>to</w:t>
      </w:r>
      <w:r w:rsidR="00997E09">
        <w:rPr>
          <w:rFonts w:ascii="Arial" w:hAnsi="Arial" w:cs="Arial"/>
        </w:rPr>
        <w:t xml:space="preserve"> Public Health</w:t>
      </w:r>
      <w:r w:rsidR="00C83C86">
        <w:rPr>
          <w:rFonts w:ascii="Arial" w:hAnsi="Arial" w:cs="Arial"/>
        </w:rPr>
        <w:t>.</w:t>
      </w:r>
    </w:p>
    <w:p w14:paraId="5FA84132" w14:textId="77777777" w:rsidR="00997E09" w:rsidRDefault="00997E09" w:rsidP="005B478C">
      <w:pPr>
        <w:jc w:val="both"/>
        <w:rPr>
          <w:rFonts w:ascii="Arial" w:hAnsi="Arial" w:cs="Arial"/>
        </w:rPr>
      </w:pPr>
    </w:p>
    <w:p w14:paraId="5784F89E"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342A469" w14:textId="77777777" w:rsidR="00DE6BA7" w:rsidRDefault="00DE6BA7" w:rsidP="005B478C">
      <w:pPr>
        <w:jc w:val="both"/>
        <w:rPr>
          <w:rFonts w:ascii="Arial" w:hAnsi="Arial" w:cs="Arial"/>
        </w:rPr>
      </w:pPr>
    </w:p>
    <w:p w14:paraId="6E45A469" w14:textId="10E4C436" w:rsidR="00A845CF" w:rsidRPr="001D1FEA" w:rsidRDefault="00A845CF" w:rsidP="00A845CF">
      <w:pPr>
        <w:jc w:val="both"/>
        <w:rPr>
          <w:rFonts w:ascii="Arial" w:hAnsi="Arial" w:cs="Arial"/>
          <w:szCs w:val="24"/>
        </w:rPr>
      </w:pPr>
      <w:r w:rsidRPr="001D1FEA">
        <w:rPr>
          <w:rFonts w:ascii="Arial" w:hAnsi="Arial" w:cs="Arial"/>
          <w:b/>
        </w:rPr>
        <w:t xml:space="preserve">BSK Levy. </w:t>
      </w:r>
      <w:r w:rsidRPr="001D1FEA">
        <w:rPr>
          <w:rFonts w:ascii="Arial" w:hAnsi="Arial" w:cs="Arial"/>
          <w:szCs w:val="24"/>
        </w:rPr>
        <w:t>The Best Starts for Kids (BSK) levy that was approved by King County voters in November 2015 is a property tax levied at a rate of $0.14 per $1,000 of assessed valuation in 2016, with an increase of up to three percent for each of the five subsequent years of the levy—2017 through 2021.</w:t>
      </w:r>
      <w:r w:rsidRPr="001D1FEA">
        <w:rPr>
          <w:rStyle w:val="FootnoteReference"/>
          <w:rFonts w:ascii="Arial" w:hAnsi="Arial" w:cs="Arial"/>
          <w:szCs w:val="24"/>
        </w:rPr>
        <w:footnoteReference w:id="1"/>
      </w:r>
      <w:r w:rsidRPr="001D1FEA">
        <w:rPr>
          <w:rFonts w:ascii="Arial" w:hAnsi="Arial" w:cs="Arial"/>
          <w:szCs w:val="24"/>
        </w:rPr>
        <w:t xml:space="preserve"> </w:t>
      </w:r>
      <w:r w:rsidR="00C66292">
        <w:rPr>
          <w:rFonts w:ascii="Arial" w:hAnsi="Arial" w:cs="Arial"/>
          <w:szCs w:val="24"/>
        </w:rPr>
        <w:t>Levy proceeds fund prevention and early intervention strategies to improve</w:t>
      </w:r>
      <w:r w:rsidR="00D93E4C">
        <w:rPr>
          <w:rFonts w:ascii="Arial" w:hAnsi="Arial" w:cs="Arial"/>
          <w:szCs w:val="24"/>
        </w:rPr>
        <w:t xml:space="preserve"> the health and well-being of children, youth and their communities. </w:t>
      </w:r>
      <w:r w:rsidRPr="001D1FEA">
        <w:rPr>
          <w:rFonts w:ascii="Arial" w:hAnsi="Arial" w:cs="Arial"/>
          <w:szCs w:val="24"/>
        </w:rPr>
        <w:t xml:space="preserve">The </w:t>
      </w:r>
      <w:r w:rsidR="00C01BA4">
        <w:rPr>
          <w:rFonts w:ascii="Arial" w:hAnsi="Arial" w:cs="Arial"/>
          <w:szCs w:val="24"/>
        </w:rPr>
        <w:t>March 2019</w:t>
      </w:r>
      <w:r w:rsidRPr="001D1FEA">
        <w:rPr>
          <w:rFonts w:ascii="Arial" w:hAnsi="Arial" w:cs="Arial"/>
          <w:szCs w:val="24"/>
        </w:rPr>
        <w:t xml:space="preserve"> King County Office of Economic and Financial Analysis forecast project</w:t>
      </w:r>
      <w:r w:rsidR="00D93E4C">
        <w:rPr>
          <w:rFonts w:ascii="Arial" w:hAnsi="Arial" w:cs="Arial"/>
          <w:szCs w:val="24"/>
        </w:rPr>
        <w:t>s</w:t>
      </w:r>
      <w:r w:rsidRPr="001D1FEA">
        <w:rPr>
          <w:rFonts w:ascii="Arial" w:hAnsi="Arial" w:cs="Arial"/>
          <w:szCs w:val="24"/>
        </w:rPr>
        <w:t xml:space="preserve"> that the BSK levy will genera</w:t>
      </w:r>
      <w:r w:rsidR="00C01BA4">
        <w:rPr>
          <w:rFonts w:ascii="Arial" w:hAnsi="Arial" w:cs="Arial"/>
          <w:szCs w:val="24"/>
        </w:rPr>
        <w:t>te a total of approximately $404.5</w:t>
      </w:r>
      <w:r w:rsidRPr="001D1FEA">
        <w:rPr>
          <w:rFonts w:ascii="Arial" w:hAnsi="Arial" w:cs="Arial"/>
          <w:szCs w:val="24"/>
        </w:rPr>
        <w:t xml:space="preserve"> million in revenues over the six-year levy period.</w:t>
      </w:r>
      <w:r w:rsidRPr="001D1FEA">
        <w:rPr>
          <w:rStyle w:val="FootnoteReference"/>
          <w:rFonts w:ascii="Arial" w:hAnsi="Arial" w:cs="Arial"/>
          <w:szCs w:val="24"/>
        </w:rPr>
        <w:footnoteReference w:id="2"/>
      </w:r>
    </w:p>
    <w:p w14:paraId="00C1342E" w14:textId="77777777" w:rsidR="00A845CF" w:rsidRPr="001D1FEA" w:rsidRDefault="00A845CF" w:rsidP="00A845CF">
      <w:pPr>
        <w:jc w:val="both"/>
        <w:rPr>
          <w:rFonts w:ascii="Arial" w:hAnsi="Arial" w:cs="Arial"/>
          <w:szCs w:val="24"/>
        </w:rPr>
      </w:pPr>
    </w:p>
    <w:p w14:paraId="37B2A4EF" w14:textId="655DB545" w:rsidR="00A73E78" w:rsidRDefault="00A845CF" w:rsidP="00A845CF">
      <w:pPr>
        <w:pStyle w:val="Default"/>
        <w:jc w:val="both"/>
        <w:rPr>
          <w:color w:val="auto"/>
        </w:rPr>
      </w:pPr>
      <w:r w:rsidRPr="001D1FEA">
        <w:t xml:space="preserve">The BSK levy Ordinance 18088, directed that out of the first year's levy proceeds, $19 million be set aside to fund the Youth and Family Homelessness Prevention Initiative (YFHPI) as well as the amounts that were necessary to pay for election costs related to the levy. </w:t>
      </w:r>
      <w:r w:rsidRPr="001D1FEA">
        <w:rPr>
          <w:color w:val="auto"/>
        </w:rPr>
        <w:t>All remaining levy proceeds are to be disbursed as follows: 50 percent for the Invest Early Allocation (0-5 year olds); 35 percent for the Sustain the Gain Allocation (5-24 year olds); 10 percent for the Communities Matter Allocation (otherwise known as</w:t>
      </w:r>
      <w:r w:rsidR="00B564D8">
        <w:rPr>
          <w:color w:val="auto"/>
        </w:rPr>
        <w:t xml:space="preserve"> </w:t>
      </w:r>
      <w:r w:rsidRPr="001D1FEA">
        <w:rPr>
          <w:color w:val="auto"/>
        </w:rPr>
        <w:t>Communities of Opportunity); and 5 percent for the Outcomes-Focused and Data-Driven Allocation.</w:t>
      </w:r>
      <w:r w:rsidR="00A73E78">
        <w:rPr>
          <w:color w:val="auto"/>
        </w:rPr>
        <w:t xml:space="preserve"> </w:t>
      </w:r>
    </w:p>
    <w:p w14:paraId="08C34184" w14:textId="77777777" w:rsidR="000A4BE1" w:rsidRDefault="000A4BE1" w:rsidP="000A4BE1">
      <w:pPr>
        <w:pStyle w:val="Default"/>
        <w:jc w:val="both"/>
        <w:rPr>
          <w:color w:val="auto"/>
        </w:rPr>
      </w:pPr>
    </w:p>
    <w:p w14:paraId="5D762995" w14:textId="63ED9C11" w:rsidR="00171856" w:rsidRDefault="000A4BE1" w:rsidP="00AB3456">
      <w:pPr>
        <w:pStyle w:val="Default"/>
        <w:ind w:firstLine="720"/>
        <w:jc w:val="both"/>
        <w:rPr>
          <w:color w:val="auto"/>
        </w:rPr>
      </w:pPr>
      <w:r w:rsidRPr="00AB3456">
        <w:rPr>
          <w:b/>
          <w:color w:val="auto"/>
        </w:rPr>
        <w:lastRenderedPageBreak/>
        <w:t>BSK Implementation Plan</w:t>
      </w:r>
      <w:r>
        <w:rPr>
          <w:color w:val="auto"/>
        </w:rPr>
        <w:t xml:space="preserve"> Programs and services for the BSK Initiative are outlined in the BSK Implementation Plan, which was approved by Ordinance 18373. </w:t>
      </w:r>
      <w:r w:rsidR="00707699">
        <w:rPr>
          <w:color w:val="auto"/>
        </w:rPr>
        <w:t>The BSK Implementation Plan sets</w:t>
      </w:r>
      <w:r w:rsidRPr="001D1FEA">
        <w:rPr>
          <w:color w:val="auto"/>
        </w:rPr>
        <w:t xml:space="preserve"> out the principles for the BSK evaluation, including requirements for the BSK </w:t>
      </w:r>
      <w:r w:rsidRPr="00A845CF">
        <w:rPr>
          <w:color w:val="auto"/>
        </w:rPr>
        <w:t xml:space="preserve">Evaluation and Performance Measurement Plan </w:t>
      </w:r>
      <w:r w:rsidR="00040039">
        <w:rPr>
          <w:color w:val="auto"/>
        </w:rPr>
        <w:t xml:space="preserve">that was </w:t>
      </w:r>
      <w:r w:rsidRPr="00A845CF">
        <w:rPr>
          <w:color w:val="auto"/>
        </w:rPr>
        <w:t>accepted by Motion 14979.</w:t>
      </w:r>
      <w:r w:rsidR="00D31855">
        <w:rPr>
          <w:color w:val="auto"/>
        </w:rPr>
        <w:t xml:space="preserve"> </w:t>
      </w:r>
    </w:p>
    <w:p w14:paraId="69B76BF4" w14:textId="77777777" w:rsidR="00171856" w:rsidRDefault="00171856" w:rsidP="000A4BE1">
      <w:pPr>
        <w:pStyle w:val="Default"/>
        <w:jc w:val="both"/>
        <w:rPr>
          <w:color w:val="auto"/>
        </w:rPr>
      </w:pPr>
    </w:p>
    <w:p w14:paraId="3BBC9CDD" w14:textId="7850982C" w:rsidR="000A4BE1" w:rsidRDefault="00171856" w:rsidP="000A4BE1">
      <w:pPr>
        <w:pStyle w:val="Default"/>
        <w:jc w:val="both"/>
        <w:rPr>
          <w:color w:val="auto"/>
        </w:rPr>
      </w:pPr>
      <w:r>
        <w:rPr>
          <w:color w:val="auto"/>
        </w:rPr>
        <w:t xml:space="preserve">The BSK Implementation Plan provided three overarching results for the three larger BSK allocations (Invest Early, Sustain the Gain and COO), with the following overall result for COO: </w:t>
      </w:r>
      <w:r w:rsidRPr="00D31855">
        <w:rPr>
          <w:i/>
          <w:color w:val="auto"/>
        </w:rPr>
        <w:t xml:space="preserve">“Communities offer safe, welcoming and health environments that help improve </w:t>
      </w:r>
      <w:r w:rsidRPr="00A3110F">
        <w:rPr>
          <w:i/>
          <w:color w:val="auto"/>
        </w:rPr>
        <w:t xml:space="preserve">outcomes for all of King County’s children and families, regardless of where they live </w:t>
      </w:r>
      <w:r w:rsidRPr="00A3110F">
        <w:rPr>
          <w:i/>
        </w:rPr>
        <w:t>or of their race or ethnicity</w:t>
      </w:r>
      <w:r w:rsidRPr="00D31855">
        <w:rPr>
          <w:i/>
          <w:color w:val="auto"/>
        </w:rPr>
        <w:t>”.</w:t>
      </w:r>
      <w:r>
        <w:rPr>
          <w:i/>
          <w:color w:val="auto"/>
        </w:rPr>
        <w:t xml:space="preserve"> </w:t>
      </w:r>
      <w:r>
        <w:rPr>
          <w:color w:val="auto"/>
        </w:rPr>
        <w:t>This overarching result is linked to a set of headline, population-based, indicators (to which BSK is anticipated to contribute) and program performance measures</w:t>
      </w:r>
      <w:r w:rsidR="00B26E3D">
        <w:rPr>
          <w:rStyle w:val="FootnoteReference"/>
          <w:color w:val="auto"/>
        </w:rPr>
        <w:footnoteReference w:id="3"/>
      </w:r>
      <w:r>
        <w:rPr>
          <w:color w:val="auto"/>
        </w:rPr>
        <w:t xml:space="preserve"> (to which BSK will be accountable).</w:t>
      </w:r>
    </w:p>
    <w:p w14:paraId="4DDA8E05" w14:textId="77777777" w:rsidR="000A4BE1" w:rsidRDefault="000A4BE1" w:rsidP="000A4BE1">
      <w:pPr>
        <w:pStyle w:val="Default"/>
        <w:jc w:val="both"/>
        <w:rPr>
          <w:color w:val="auto"/>
        </w:rPr>
      </w:pPr>
    </w:p>
    <w:p w14:paraId="54873772" w14:textId="2D892739" w:rsidR="000A4BE1" w:rsidRDefault="00D31855" w:rsidP="00AB3456">
      <w:pPr>
        <w:pStyle w:val="Default"/>
        <w:ind w:firstLine="720"/>
        <w:jc w:val="both"/>
        <w:rPr>
          <w:color w:val="auto"/>
        </w:rPr>
      </w:pPr>
      <w:r w:rsidRPr="00AB3456">
        <w:rPr>
          <w:b/>
          <w:color w:val="auto"/>
        </w:rPr>
        <w:t>BSK Annual Reports</w:t>
      </w:r>
      <w:r>
        <w:rPr>
          <w:color w:val="auto"/>
        </w:rPr>
        <w:t xml:space="preserve"> </w:t>
      </w:r>
      <w:r w:rsidR="0006228D">
        <w:rPr>
          <w:color w:val="auto"/>
        </w:rPr>
        <w:t>Best Starts for Kids</w:t>
      </w:r>
      <w:r w:rsidR="000A4BE1">
        <w:rPr>
          <w:color w:val="auto"/>
        </w:rPr>
        <w:t xml:space="preserve"> </w:t>
      </w:r>
      <w:r w:rsidR="00E02E91">
        <w:rPr>
          <w:color w:val="auto"/>
        </w:rPr>
        <w:t xml:space="preserve">annual </w:t>
      </w:r>
      <w:r w:rsidR="000A4BE1">
        <w:rPr>
          <w:color w:val="auto"/>
        </w:rPr>
        <w:t xml:space="preserve">reports are transmitted to Council </w:t>
      </w:r>
      <w:r w:rsidR="00CA3B82">
        <w:rPr>
          <w:color w:val="auto"/>
        </w:rPr>
        <w:t>each year</w:t>
      </w:r>
      <w:r w:rsidR="00C01BA4">
        <w:rPr>
          <w:color w:val="auto"/>
        </w:rPr>
        <w:t xml:space="preserve"> </w:t>
      </w:r>
      <w:r w:rsidR="000A4BE1">
        <w:rPr>
          <w:color w:val="auto"/>
        </w:rPr>
        <w:t>by June 1</w:t>
      </w:r>
      <w:r w:rsidR="000A4BE1" w:rsidRPr="00A73E78">
        <w:rPr>
          <w:color w:val="auto"/>
          <w:vertAlign w:val="superscript"/>
        </w:rPr>
        <w:t>st</w:t>
      </w:r>
      <w:r w:rsidR="0006228D">
        <w:rPr>
          <w:color w:val="auto"/>
        </w:rPr>
        <w:t>, as required by the BSK Implementation Plan.</w:t>
      </w:r>
      <w:r w:rsidR="000A4BE1">
        <w:rPr>
          <w:color w:val="auto"/>
        </w:rPr>
        <w:t xml:space="preserve"> </w:t>
      </w:r>
      <w:r w:rsidR="0006228D">
        <w:rPr>
          <w:color w:val="auto"/>
        </w:rPr>
        <w:t>The</w:t>
      </w:r>
      <w:r w:rsidR="000A4BE1">
        <w:rPr>
          <w:color w:val="auto"/>
        </w:rPr>
        <w:t xml:space="preserve"> </w:t>
      </w:r>
      <w:r w:rsidR="00E02E91">
        <w:rPr>
          <w:color w:val="auto"/>
        </w:rPr>
        <w:t>2018 annual report (Proposed Motion 2019-0239)</w:t>
      </w:r>
      <w:r w:rsidR="000A4BE1">
        <w:rPr>
          <w:color w:val="auto"/>
        </w:rPr>
        <w:t xml:space="preserve"> </w:t>
      </w:r>
      <w:r w:rsidR="00E02E91">
        <w:rPr>
          <w:color w:val="auto"/>
        </w:rPr>
        <w:t>has</w:t>
      </w:r>
      <w:r w:rsidR="000A4BE1">
        <w:rPr>
          <w:color w:val="auto"/>
        </w:rPr>
        <w:t xml:space="preserve"> been </w:t>
      </w:r>
      <w:r w:rsidR="00E02E91">
        <w:rPr>
          <w:color w:val="auto"/>
        </w:rPr>
        <w:t xml:space="preserve">transmitted to Council and </w:t>
      </w:r>
      <w:r w:rsidR="000A4BE1">
        <w:rPr>
          <w:color w:val="auto"/>
        </w:rPr>
        <w:t xml:space="preserve">dually referred to the Regional Policy Committee and to the Health, Housing and Human Services Committee. </w:t>
      </w:r>
    </w:p>
    <w:p w14:paraId="1D8DC4B2" w14:textId="2A0B2FB0" w:rsidR="000D5880" w:rsidRDefault="000D5880" w:rsidP="00A845CF">
      <w:pPr>
        <w:pStyle w:val="Default"/>
        <w:jc w:val="both"/>
        <w:rPr>
          <w:color w:val="auto"/>
        </w:rPr>
      </w:pPr>
    </w:p>
    <w:p w14:paraId="60EF446C" w14:textId="4721D6D2" w:rsidR="00FC2233" w:rsidRDefault="000D5880" w:rsidP="000D5880">
      <w:pPr>
        <w:jc w:val="both"/>
        <w:rPr>
          <w:rFonts w:ascii="Arial" w:hAnsi="Arial" w:cs="Arial"/>
        </w:rPr>
      </w:pPr>
      <w:r w:rsidRPr="00171856">
        <w:rPr>
          <w:rFonts w:ascii="Arial" w:hAnsi="Arial" w:cs="Arial"/>
          <w:b/>
        </w:rPr>
        <w:t xml:space="preserve">Communities of Opportunity. </w:t>
      </w:r>
      <w:r w:rsidRPr="00171856">
        <w:rPr>
          <w:rFonts w:ascii="Arial" w:hAnsi="Arial" w:cs="Arial"/>
        </w:rPr>
        <w:t xml:space="preserve">Communities of Opportunity </w:t>
      </w:r>
      <w:r w:rsidR="00730B98" w:rsidRPr="00171856">
        <w:rPr>
          <w:rFonts w:ascii="Arial" w:hAnsi="Arial" w:cs="Arial"/>
        </w:rPr>
        <w:t xml:space="preserve">(COO) </w:t>
      </w:r>
      <w:r w:rsidRPr="00171856">
        <w:rPr>
          <w:rFonts w:ascii="Arial" w:hAnsi="Arial" w:cs="Arial"/>
        </w:rPr>
        <w:t xml:space="preserve">launched in 2014 </w:t>
      </w:r>
      <w:r w:rsidR="00A32488" w:rsidRPr="00171856">
        <w:rPr>
          <w:rFonts w:ascii="Arial" w:hAnsi="Arial" w:cs="Arial"/>
        </w:rPr>
        <w:t>through a public-private approach initiated by</w:t>
      </w:r>
      <w:r w:rsidRPr="00171856">
        <w:rPr>
          <w:rFonts w:ascii="Arial" w:hAnsi="Arial" w:cs="Arial"/>
        </w:rPr>
        <w:t xml:space="preserve"> King County and the Seattle Foundation to </w:t>
      </w:r>
      <w:r w:rsidR="000530EC" w:rsidRPr="00171856">
        <w:rPr>
          <w:rFonts w:ascii="Arial" w:hAnsi="Arial" w:cs="Arial"/>
        </w:rPr>
        <w:t>address inequities in the county in</w:t>
      </w:r>
      <w:r w:rsidRPr="00171856">
        <w:rPr>
          <w:rFonts w:ascii="Arial" w:hAnsi="Arial" w:cs="Arial"/>
        </w:rPr>
        <w:t xml:space="preserve"> health, socia</w:t>
      </w:r>
      <w:r w:rsidR="00A32488" w:rsidRPr="00171856">
        <w:rPr>
          <w:rFonts w:ascii="Arial" w:hAnsi="Arial" w:cs="Arial"/>
        </w:rPr>
        <w:t>l, racial</w:t>
      </w:r>
      <w:r w:rsidR="000530EC" w:rsidRPr="00171856">
        <w:rPr>
          <w:rFonts w:ascii="Arial" w:hAnsi="Arial" w:cs="Arial"/>
        </w:rPr>
        <w:t>, housing</w:t>
      </w:r>
      <w:r w:rsidR="00A32488" w:rsidRPr="00171856">
        <w:rPr>
          <w:rFonts w:ascii="Arial" w:hAnsi="Arial" w:cs="Arial"/>
        </w:rPr>
        <w:t xml:space="preserve"> and economic outcomes </w:t>
      </w:r>
      <w:r w:rsidRPr="00171856">
        <w:rPr>
          <w:rFonts w:ascii="Arial" w:hAnsi="Arial" w:cs="Arial"/>
        </w:rPr>
        <w:t xml:space="preserve">by focusing </w:t>
      </w:r>
      <w:r w:rsidR="00FC2233" w:rsidRPr="00171856">
        <w:rPr>
          <w:rFonts w:ascii="Arial" w:hAnsi="Arial" w:cs="Arial"/>
        </w:rPr>
        <w:t xml:space="preserve">on </w:t>
      </w:r>
      <w:r w:rsidRPr="00171856">
        <w:rPr>
          <w:rFonts w:ascii="Arial" w:hAnsi="Arial" w:cs="Arial"/>
        </w:rPr>
        <w:t>places</w:t>
      </w:r>
      <w:r w:rsidR="00E163BE" w:rsidRPr="00171856">
        <w:rPr>
          <w:rFonts w:ascii="Arial" w:hAnsi="Arial" w:cs="Arial"/>
        </w:rPr>
        <w:t xml:space="preserve">, </w:t>
      </w:r>
      <w:r w:rsidR="00482D40" w:rsidRPr="00171856">
        <w:rPr>
          <w:rFonts w:ascii="Arial" w:hAnsi="Arial" w:cs="Arial"/>
        </w:rPr>
        <w:t>learning community</w:t>
      </w:r>
      <w:r w:rsidR="00F92B05" w:rsidRPr="00171856">
        <w:rPr>
          <w:rFonts w:ascii="Arial" w:hAnsi="Arial" w:cs="Arial"/>
        </w:rPr>
        <w:t>, and policies and systems changes</w:t>
      </w:r>
      <w:r w:rsidR="00FC2233" w:rsidRPr="00171856">
        <w:rPr>
          <w:rFonts w:ascii="Arial" w:hAnsi="Arial" w:cs="Arial"/>
        </w:rPr>
        <w:t>.</w:t>
      </w:r>
      <w:r w:rsidR="00730B98" w:rsidRPr="00171856">
        <w:rPr>
          <w:rFonts w:ascii="Arial" w:hAnsi="Arial" w:cs="Arial"/>
        </w:rPr>
        <w:t xml:space="preserve"> </w:t>
      </w:r>
      <w:r w:rsidR="00FC2233" w:rsidRPr="00171856">
        <w:rPr>
          <w:rFonts w:ascii="Arial" w:hAnsi="Arial" w:cs="Arial"/>
        </w:rPr>
        <w:t xml:space="preserve">A summary of </w:t>
      </w:r>
      <w:r w:rsidR="00C3097C">
        <w:rPr>
          <w:rFonts w:ascii="Arial" w:hAnsi="Arial" w:cs="Arial"/>
        </w:rPr>
        <w:t>COO</w:t>
      </w:r>
      <w:r w:rsidR="00826851" w:rsidRPr="00171856">
        <w:rPr>
          <w:rFonts w:ascii="Arial" w:hAnsi="Arial" w:cs="Arial"/>
        </w:rPr>
        <w:t xml:space="preserve"> investment strategy </w:t>
      </w:r>
      <w:r w:rsidR="00C3097C">
        <w:rPr>
          <w:rFonts w:ascii="Arial" w:hAnsi="Arial" w:cs="Arial"/>
        </w:rPr>
        <w:t xml:space="preserve">and sub-strategy </w:t>
      </w:r>
      <w:r w:rsidR="00826851" w:rsidRPr="00171856">
        <w:rPr>
          <w:rFonts w:ascii="Arial" w:hAnsi="Arial" w:cs="Arial"/>
        </w:rPr>
        <w:t>areas</w:t>
      </w:r>
      <w:r w:rsidR="000F0886" w:rsidRPr="00171856">
        <w:rPr>
          <w:rFonts w:ascii="Arial" w:hAnsi="Arial" w:cs="Arial"/>
        </w:rPr>
        <w:t xml:space="preserve"> is provided</w:t>
      </w:r>
      <w:r w:rsidR="00FC2233" w:rsidRPr="00171856">
        <w:rPr>
          <w:rFonts w:ascii="Arial" w:hAnsi="Arial" w:cs="Arial"/>
        </w:rPr>
        <w:t xml:space="preserve"> </w:t>
      </w:r>
      <w:r w:rsidR="00832817">
        <w:rPr>
          <w:rFonts w:ascii="Arial" w:hAnsi="Arial" w:cs="Arial"/>
        </w:rPr>
        <w:t xml:space="preserve">in </w:t>
      </w:r>
      <w:r w:rsidR="00FC2233" w:rsidRPr="00171856">
        <w:rPr>
          <w:rFonts w:ascii="Arial" w:hAnsi="Arial" w:cs="Arial"/>
        </w:rPr>
        <w:t>Table 1</w:t>
      </w:r>
      <w:r w:rsidR="00832817">
        <w:rPr>
          <w:rFonts w:ascii="Arial" w:hAnsi="Arial" w:cs="Arial"/>
        </w:rPr>
        <w:t>.</w:t>
      </w:r>
      <w:r w:rsidR="0074062F">
        <w:rPr>
          <w:rStyle w:val="FootnoteReference"/>
          <w:rFonts w:ascii="Arial" w:hAnsi="Arial" w:cs="Arial"/>
        </w:rPr>
        <w:footnoteReference w:id="4"/>
      </w:r>
      <w:r w:rsidR="00FC2233" w:rsidRPr="00171856">
        <w:rPr>
          <w:rFonts w:ascii="Arial" w:hAnsi="Arial" w:cs="Arial"/>
        </w:rPr>
        <w:t xml:space="preserve"> </w:t>
      </w:r>
    </w:p>
    <w:p w14:paraId="230AF9A3" w14:textId="5716366B" w:rsidR="00FC2233" w:rsidRPr="001421BD" w:rsidRDefault="00FC2233" w:rsidP="001421BD">
      <w:pPr>
        <w:jc w:val="center"/>
        <w:rPr>
          <w:rFonts w:ascii="Arial" w:hAnsi="Arial" w:cs="Arial"/>
          <w:b/>
        </w:rPr>
      </w:pPr>
      <w:r w:rsidRPr="001421BD">
        <w:rPr>
          <w:rFonts w:ascii="Arial" w:hAnsi="Arial" w:cs="Arial"/>
          <w:b/>
        </w:rPr>
        <w:t xml:space="preserve">Table 1. COO </w:t>
      </w:r>
      <w:r w:rsidR="00826851" w:rsidRPr="001421BD">
        <w:rPr>
          <w:rFonts w:ascii="Arial" w:hAnsi="Arial" w:cs="Arial"/>
          <w:b/>
        </w:rPr>
        <w:t xml:space="preserve">Strategy </w:t>
      </w:r>
      <w:r w:rsidR="00E0397E">
        <w:rPr>
          <w:rFonts w:ascii="Arial" w:hAnsi="Arial" w:cs="Arial"/>
          <w:b/>
        </w:rPr>
        <w:t xml:space="preserve">and Sub-Strategy </w:t>
      </w:r>
      <w:r w:rsidR="00C147B4">
        <w:rPr>
          <w:rFonts w:ascii="Arial" w:hAnsi="Arial" w:cs="Arial"/>
          <w:b/>
        </w:rPr>
        <w:t xml:space="preserve">Investment </w:t>
      </w:r>
      <w:r w:rsidR="00E0397E">
        <w:rPr>
          <w:rFonts w:ascii="Arial" w:hAnsi="Arial" w:cs="Arial"/>
          <w:b/>
        </w:rPr>
        <w:t>Areas</w:t>
      </w:r>
      <w:r w:rsidR="00E0397E">
        <w:rPr>
          <w:rStyle w:val="FootnoteReference"/>
          <w:rFonts w:ascii="Arial" w:hAnsi="Arial" w:cs="Arial"/>
        </w:rPr>
        <w:footnoteReference w:id="5"/>
      </w:r>
    </w:p>
    <w:tbl>
      <w:tblPr>
        <w:tblStyle w:val="TableGrid1"/>
        <w:tblW w:w="9593" w:type="dxa"/>
        <w:jc w:val="center"/>
        <w:tblLook w:val="04A0" w:firstRow="1" w:lastRow="0" w:firstColumn="1" w:lastColumn="0" w:noHBand="0" w:noVBand="1"/>
      </w:tblPr>
      <w:tblGrid>
        <w:gridCol w:w="1647"/>
        <w:gridCol w:w="7946"/>
      </w:tblGrid>
      <w:tr w:rsidR="000F0886" w:rsidRPr="00992DBE" w14:paraId="73FC9EAE" w14:textId="77777777" w:rsidTr="00AB4197">
        <w:trPr>
          <w:trHeight w:val="278"/>
          <w:jc w:val="center"/>
        </w:trPr>
        <w:tc>
          <w:tcPr>
            <w:tcW w:w="9593" w:type="dxa"/>
            <w:gridSpan w:val="2"/>
            <w:shd w:val="clear" w:color="auto" w:fill="DAEEF3" w:themeFill="accent5" w:themeFillTint="33"/>
          </w:tcPr>
          <w:p w14:paraId="31DDFD81" w14:textId="1333665D"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One – Places: Awards to Community Partnerships</w:t>
            </w:r>
          </w:p>
        </w:tc>
      </w:tr>
      <w:tr w:rsidR="002E21C3" w:rsidRPr="00992DBE" w14:paraId="101D1E54" w14:textId="77777777" w:rsidTr="00AB4197">
        <w:trPr>
          <w:trHeight w:val="485"/>
          <w:jc w:val="center"/>
        </w:trPr>
        <w:tc>
          <w:tcPr>
            <w:tcW w:w="1647" w:type="dxa"/>
            <w:vMerge w:val="restart"/>
            <w:vAlign w:val="center"/>
          </w:tcPr>
          <w:p w14:paraId="3D606CD3" w14:textId="6DD8C63E" w:rsidR="002E21C3" w:rsidRPr="00AB4197" w:rsidRDefault="002E21C3" w:rsidP="002E21C3">
            <w:pPr>
              <w:rPr>
                <w:rFonts w:asciiTheme="minorHAnsi" w:hAnsiTheme="minorHAnsi" w:cstheme="minorHAnsi"/>
                <w:szCs w:val="24"/>
              </w:rPr>
            </w:pPr>
            <w:r w:rsidRPr="00AB4197">
              <w:rPr>
                <w:rFonts w:asciiTheme="minorHAnsi" w:hAnsiTheme="minorHAnsi" w:cstheme="minorHAnsi"/>
                <w:szCs w:val="24"/>
              </w:rPr>
              <w:t>Sub-strategies</w:t>
            </w:r>
          </w:p>
        </w:tc>
        <w:tc>
          <w:tcPr>
            <w:tcW w:w="7946" w:type="dxa"/>
          </w:tcPr>
          <w:p w14:paraId="373BBEFB" w14:textId="2CED598F"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Investments in original place-based sites </w:t>
            </w:r>
          </w:p>
          <w:p w14:paraId="0A1A8558"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(SeaTac/Tukwila, White Center, Rainier Valley)</w:t>
            </w:r>
          </w:p>
        </w:tc>
      </w:tr>
      <w:tr w:rsidR="002E21C3" w:rsidRPr="00992DBE" w14:paraId="45BE78C9" w14:textId="77777777" w:rsidTr="00AB4197">
        <w:trPr>
          <w:jc w:val="center"/>
        </w:trPr>
        <w:tc>
          <w:tcPr>
            <w:tcW w:w="1647" w:type="dxa"/>
            <w:vMerge/>
          </w:tcPr>
          <w:p w14:paraId="48212EB8" w14:textId="5840DF5C" w:rsidR="002E21C3" w:rsidRPr="00AB4197" w:rsidRDefault="002E21C3" w:rsidP="000F0886">
            <w:pPr>
              <w:rPr>
                <w:rFonts w:asciiTheme="minorHAnsi" w:hAnsiTheme="minorHAnsi" w:cstheme="minorHAnsi"/>
                <w:szCs w:val="24"/>
              </w:rPr>
            </w:pPr>
          </w:p>
        </w:tc>
        <w:tc>
          <w:tcPr>
            <w:tcW w:w="7946" w:type="dxa"/>
          </w:tcPr>
          <w:p w14:paraId="13A0993E"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Awards to other place-based sites </w:t>
            </w:r>
          </w:p>
          <w:p w14:paraId="3C0A1725" w14:textId="2B19B0CE"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(newly formed partnerships and well-formulated partnerships) </w:t>
            </w:r>
          </w:p>
        </w:tc>
      </w:tr>
      <w:tr w:rsidR="002E21C3" w:rsidRPr="00992DBE" w14:paraId="74415CBD" w14:textId="77777777" w:rsidTr="00AB4197">
        <w:trPr>
          <w:jc w:val="center"/>
        </w:trPr>
        <w:tc>
          <w:tcPr>
            <w:tcW w:w="1647" w:type="dxa"/>
            <w:vMerge/>
          </w:tcPr>
          <w:p w14:paraId="372C889E" w14:textId="44515AF8" w:rsidR="002E21C3" w:rsidRPr="00AB4197" w:rsidRDefault="002E21C3" w:rsidP="000F0886">
            <w:pPr>
              <w:rPr>
                <w:rFonts w:asciiTheme="minorHAnsi" w:hAnsiTheme="minorHAnsi" w:cstheme="minorHAnsi"/>
                <w:szCs w:val="24"/>
              </w:rPr>
            </w:pPr>
          </w:p>
        </w:tc>
        <w:tc>
          <w:tcPr>
            <w:tcW w:w="7946" w:type="dxa"/>
          </w:tcPr>
          <w:p w14:paraId="7F6169C9"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 xml:space="preserve">Awards to cultural communities, including rural communities  </w:t>
            </w:r>
          </w:p>
          <w:p w14:paraId="4281E7D2" w14:textId="463521E0"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(newly formed partnerships and well-formulated partnerships)</w:t>
            </w:r>
          </w:p>
        </w:tc>
      </w:tr>
      <w:tr w:rsidR="000F0886" w:rsidRPr="00992DBE" w14:paraId="7EFA86A6" w14:textId="77777777" w:rsidTr="00AB4197">
        <w:trPr>
          <w:jc w:val="center"/>
        </w:trPr>
        <w:tc>
          <w:tcPr>
            <w:tcW w:w="9593" w:type="dxa"/>
            <w:gridSpan w:val="2"/>
            <w:shd w:val="clear" w:color="auto" w:fill="DAEEF3" w:themeFill="accent5" w:themeFillTint="33"/>
          </w:tcPr>
          <w:p w14:paraId="43DCC12C" w14:textId="3FF49D49"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Two - Institutional, Systems and Policy Change</w:t>
            </w:r>
          </w:p>
        </w:tc>
      </w:tr>
      <w:tr w:rsidR="00826851" w:rsidRPr="00992DBE" w14:paraId="4A5FC5EE" w14:textId="77777777" w:rsidTr="00AB4197">
        <w:trPr>
          <w:jc w:val="center"/>
        </w:trPr>
        <w:tc>
          <w:tcPr>
            <w:tcW w:w="1647" w:type="dxa"/>
            <w:vAlign w:val="center"/>
          </w:tcPr>
          <w:p w14:paraId="6C0C9A7E" w14:textId="303A3A27" w:rsidR="00826851" w:rsidRPr="00AB4197" w:rsidRDefault="002E21C3" w:rsidP="00AB4197">
            <w:pPr>
              <w:rPr>
                <w:rFonts w:asciiTheme="minorHAnsi" w:hAnsiTheme="minorHAnsi" w:cstheme="minorHAnsi"/>
                <w:szCs w:val="24"/>
              </w:rPr>
            </w:pPr>
            <w:r w:rsidRPr="00AB4197">
              <w:rPr>
                <w:rFonts w:asciiTheme="minorHAnsi" w:hAnsiTheme="minorHAnsi" w:cstheme="minorHAnsi"/>
                <w:szCs w:val="24"/>
              </w:rPr>
              <w:t>Sub-strategy</w:t>
            </w:r>
          </w:p>
        </w:tc>
        <w:tc>
          <w:tcPr>
            <w:tcW w:w="7946" w:type="dxa"/>
          </w:tcPr>
          <w:p w14:paraId="3A8FCE48" w14:textId="77777777" w:rsidR="00826851" w:rsidRPr="00AB4197" w:rsidRDefault="00826851" w:rsidP="000F0886">
            <w:pPr>
              <w:rPr>
                <w:rFonts w:asciiTheme="minorHAnsi" w:hAnsiTheme="minorHAnsi" w:cstheme="minorHAnsi"/>
                <w:szCs w:val="24"/>
              </w:rPr>
            </w:pPr>
            <w:r w:rsidRPr="00AB4197">
              <w:rPr>
                <w:rFonts w:asciiTheme="minorHAnsi" w:hAnsiTheme="minorHAnsi" w:cstheme="minorHAnsi"/>
                <w:szCs w:val="24"/>
              </w:rPr>
              <w:t xml:space="preserve">Institutional, system and policy change awards </w:t>
            </w:r>
          </w:p>
        </w:tc>
      </w:tr>
      <w:tr w:rsidR="000F0886" w:rsidRPr="00992DBE" w14:paraId="7AE4EA62" w14:textId="77777777" w:rsidTr="00AB4197">
        <w:trPr>
          <w:jc w:val="center"/>
        </w:trPr>
        <w:tc>
          <w:tcPr>
            <w:tcW w:w="9593" w:type="dxa"/>
            <w:gridSpan w:val="2"/>
            <w:shd w:val="clear" w:color="auto" w:fill="DAEEF3" w:themeFill="accent5" w:themeFillTint="33"/>
          </w:tcPr>
          <w:p w14:paraId="439420EA" w14:textId="4BA4D4EC" w:rsidR="000F0886" w:rsidRPr="00AB4197" w:rsidRDefault="000F0886" w:rsidP="00AB4197">
            <w:pPr>
              <w:rPr>
                <w:rFonts w:asciiTheme="minorHAnsi" w:hAnsiTheme="minorHAnsi" w:cstheme="minorHAnsi"/>
                <w:b/>
                <w:bCs/>
              </w:rPr>
            </w:pPr>
            <w:r w:rsidRPr="00AB4197">
              <w:rPr>
                <w:rFonts w:asciiTheme="minorHAnsi" w:hAnsiTheme="minorHAnsi" w:cstheme="minorHAnsi"/>
                <w:b/>
                <w:bCs/>
              </w:rPr>
              <w:t>Strategy Area Three - Learning Community</w:t>
            </w:r>
          </w:p>
        </w:tc>
      </w:tr>
      <w:tr w:rsidR="002E21C3" w:rsidRPr="00992DBE" w14:paraId="01A49FAF" w14:textId="77777777" w:rsidTr="00AB4197">
        <w:trPr>
          <w:jc w:val="center"/>
        </w:trPr>
        <w:tc>
          <w:tcPr>
            <w:tcW w:w="1647" w:type="dxa"/>
            <w:vMerge w:val="restart"/>
            <w:vAlign w:val="center"/>
          </w:tcPr>
          <w:p w14:paraId="3B009961" w14:textId="758B90A9" w:rsidR="002E21C3" w:rsidRPr="00AB4197" w:rsidRDefault="002E21C3" w:rsidP="00AB4197">
            <w:pPr>
              <w:rPr>
                <w:rFonts w:asciiTheme="minorHAnsi" w:hAnsiTheme="minorHAnsi" w:cstheme="minorHAnsi"/>
                <w:szCs w:val="24"/>
              </w:rPr>
            </w:pPr>
            <w:r w:rsidRPr="00AB4197">
              <w:rPr>
                <w:rFonts w:asciiTheme="minorHAnsi" w:hAnsiTheme="minorHAnsi" w:cstheme="minorHAnsi"/>
                <w:szCs w:val="24"/>
              </w:rPr>
              <w:t>Sub-strategies</w:t>
            </w:r>
          </w:p>
        </w:tc>
        <w:tc>
          <w:tcPr>
            <w:tcW w:w="7946" w:type="dxa"/>
          </w:tcPr>
          <w:p w14:paraId="2108E7BF" w14:textId="77777777" w:rsidR="002E21C3" w:rsidRPr="00AB4197" w:rsidRDefault="002E21C3" w:rsidP="000F0886">
            <w:pPr>
              <w:rPr>
                <w:rFonts w:asciiTheme="minorHAnsi" w:hAnsiTheme="minorHAnsi" w:cstheme="minorHAnsi"/>
                <w:szCs w:val="24"/>
              </w:rPr>
            </w:pPr>
            <w:r w:rsidRPr="00AB4197">
              <w:rPr>
                <w:rFonts w:asciiTheme="minorHAnsi" w:hAnsiTheme="minorHAnsi" w:cstheme="minorHAnsi"/>
                <w:szCs w:val="24"/>
              </w:rPr>
              <w:t>Strategic Investments to Benefit COO Partners Broadly</w:t>
            </w:r>
            <w:r w:rsidRPr="00AB4197" w:rsidDel="00D2535E">
              <w:rPr>
                <w:rFonts w:asciiTheme="minorHAnsi" w:hAnsiTheme="minorHAnsi" w:cstheme="minorHAnsi"/>
                <w:szCs w:val="24"/>
              </w:rPr>
              <w:t xml:space="preserve"> </w:t>
            </w:r>
          </w:p>
        </w:tc>
      </w:tr>
      <w:tr w:rsidR="002E21C3" w:rsidRPr="00992DBE" w14:paraId="1DD68BD9" w14:textId="77777777" w:rsidTr="00AB4197">
        <w:trPr>
          <w:jc w:val="center"/>
        </w:trPr>
        <w:tc>
          <w:tcPr>
            <w:tcW w:w="1647" w:type="dxa"/>
            <w:vMerge/>
          </w:tcPr>
          <w:p w14:paraId="238E9AC6" w14:textId="11BEE413" w:rsidR="002E21C3" w:rsidRPr="00AB4197" w:rsidRDefault="002E21C3" w:rsidP="000F0886">
            <w:pPr>
              <w:jc w:val="both"/>
              <w:rPr>
                <w:rFonts w:asciiTheme="minorHAnsi" w:hAnsiTheme="minorHAnsi" w:cstheme="minorHAnsi"/>
                <w:szCs w:val="24"/>
              </w:rPr>
            </w:pPr>
          </w:p>
        </w:tc>
        <w:tc>
          <w:tcPr>
            <w:tcW w:w="7946" w:type="dxa"/>
          </w:tcPr>
          <w:p w14:paraId="30D45920" w14:textId="77777777" w:rsidR="002E21C3" w:rsidRPr="00AB4197" w:rsidRDefault="002E21C3" w:rsidP="000F0886">
            <w:pPr>
              <w:jc w:val="both"/>
              <w:rPr>
                <w:rFonts w:asciiTheme="minorHAnsi" w:hAnsiTheme="minorHAnsi" w:cstheme="minorHAnsi"/>
                <w:szCs w:val="24"/>
              </w:rPr>
            </w:pPr>
            <w:r w:rsidRPr="00AB4197">
              <w:rPr>
                <w:rFonts w:asciiTheme="minorHAnsi" w:hAnsiTheme="minorHAnsi" w:cstheme="minorHAnsi"/>
                <w:szCs w:val="24"/>
              </w:rPr>
              <w:t>Forums</w:t>
            </w:r>
          </w:p>
        </w:tc>
      </w:tr>
      <w:tr w:rsidR="002E21C3" w:rsidRPr="00992DBE" w14:paraId="508D33F7" w14:textId="77777777" w:rsidTr="00AB4197">
        <w:trPr>
          <w:jc w:val="center"/>
        </w:trPr>
        <w:tc>
          <w:tcPr>
            <w:tcW w:w="1647" w:type="dxa"/>
            <w:vMerge/>
          </w:tcPr>
          <w:p w14:paraId="4ABFC17F" w14:textId="3B9EF1E0" w:rsidR="002E21C3" w:rsidRPr="00AB4197" w:rsidRDefault="002E21C3" w:rsidP="000F0886">
            <w:pPr>
              <w:jc w:val="both"/>
              <w:rPr>
                <w:rFonts w:asciiTheme="minorHAnsi" w:hAnsiTheme="minorHAnsi" w:cstheme="minorHAnsi"/>
                <w:szCs w:val="24"/>
              </w:rPr>
            </w:pPr>
          </w:p>
        </w:tc>
        <w:tc>
          <w:tcPr>
            <w:tcW w:w="7946" w:type="dxa"/>
          </w:tcPr>
          <w:p w14:paraId="396F11C9" w14:textId="77777777" w:rsidR="002E21C3" w:rsidRPr="00AB4197" w:rsidRDefault="002E21C3" w:rsidP="000F0886">
            <w:pPr>
              <w:jc w:val="both"/>
              <w:rPr>
                <w:rFonts w:asciiTheme="minorHAnsi" w:hAnsiTheme="minorHAnsi" w:cstheme="minorHAnsi"/>
                <w:szCs w:val="24"/>
              </w:rPr>
            </w:pPr>
            <w:r w:rsidRPr="00AB4197">
              <w:rPr>
                <w:rFonts w:asciiTheme="minorHAnsi" w:hAnsiTheme="minorHAnsi" w:cstheme="minorHAnsi"/>
                <w:szCs w:val="24"/>
              </w:rPr>
              <w:t>Technical Assistance</w:t>
            </w:r>
          </w:p>
        </w:tc>
      </w:tr>
    </w:tbl>
    <w:p w14:paraId="02A241FE" w14:textId="77777777" w:rsidR="00BF0514" w:rsidRDefault="00BF0514" w:rsidP="00A73E78">
      <w:pPr>
        <w:jc w:val="both"/>
        <w:rPr>
          <w:rFonts w:ascii="Arial" w:hAnsi="Arial" w:cs="Arial"/>
        </w:rPr>
      </w:pPr>
    </w:p>
    <w:p w14:paraId="32F75832" w14:textId="7AEA1E88" w:rsidR="001E32E1" w:rsidRDefault="001E32E1" w:rsidP="00A73E78">
      <w:pPr>
        <w:jc w:val="both"/>
        <w:rPr>
          <w:rFonts w:ascii="Arial" w:hAnsi="Arial" w:cs="Arial"/>
        </w:rPr>
      </w:pPr>
      <w:r w:rsidRPr="00171856">
        <w:rPr>
          <w:rFonts w:ascii="Arial" w:hAnsi="Arial" w:cs="Arial"/>
        </w:rPr>
        <w:t xml:space="preserve">As indicated in the BSK Implementation Plan, the overarching COO Initiatives’ theory of change is based on the notion of </w:t>
      </w:r>
      <w:r w:rsidRPr="00171856">
        <w:rPr>
          <w:rFonts w:ascii="Arial" w:hAnsi="Arial" w:cs="Arial"/>
          <w:i/>
        </w:rPr>
        <w:t xml:space="preserve">collective impact </w:t>
      </w:r>
      <w:r w:rsidRPr="00171856">
        <w:rPr>
          <w:rFonts w:ascii="Arial" w:hAnsi="Arial" w:cs="Arial"/>
        </w:rPr>
        <w:t xml:space="preserve">which “seeks to deploy cross-sector </w:t>
      </w:r>
      <w:r w:rsidRPr="00171856">
        <w:rPr>
          <w:rFonts w:ascii="Arial" w:hAnsi="Arial" w:cs="Arial"/>
        </w:rPr>
        <w:lastRenderedPageBreak/>
        <w:t>partnerships to make bold and substantial positive change”. As indicated in the transmitted report, COO builds on existing community assets and catalyzes partnerships within communities that can work at the result area intersections of health, housing, community connection and economic opportunity.</w:t>
      </w:r>
    </w:p>
    <w:p w14:paraId="3D0F1AA9" w14:textId="77777777" w:rsidR="001E32E1" w:rsidRDefault="001E32E1" w:rsidP="00A73E78">
      <w:pPr>
        <w:jc w:val="both"/>
        <w:rPr>
          <w:rFonts w:ascii="Arial" w:hAnsi="Arial" w:cs="Arial"/>
        </w:rPr>
      </w:pPr>
    </w:p>
    <w:p w14:paraId="03802201" w14:textId="5819F497" w:rsidR="00FB1514" w:rsidRDefault="004E347F" w:rsidP="00A73E78">
      <w:pPr>
        <w:jc w:val="both"/>
        <w:rPr>
          <w:rFonts w:ascii="Arial" w:hAnsi="Arial" w:cs="Arial"/>
          <w:szCs w:val="24"/>
        </w:rPr>
      </w:pPr>
      <w:r>
        <w:rPr>
          <w:rFonts w:ascii="Arial" w:hAnsi="Arial" w:cs="Arial"/>
        </w:rPr>
        <w:t>Communities of Opportunity</w:t>
      </w:r>
      <w:r w:rsidR="000D5880" w:rsidRPr="00A73E78">
        <w:rPr>
          <w:rFonts w:ascii="Arial" w:hAnsi="Arial" w:cs="Arial"/>
        </w:rPr>
        <w:t xml:space="preserve"> is </w:t>
      </w:r>
      <w:r w:rsidR="00CA3B82">
        <w:rPr>
          <w:rFonts w:ascii="Arial" w:hAnsi="Arial" w:cs="Arial"/>
        </w:rPr>
        <w:t xml:space="preserve">primarily </w:t>
      </w:r>
      <w:r w:rsidR="000D5880" w:rsidRPr="00A73E78">
        <w:rPr>
          <w:rFonts w:ascii="Arial" w:hAnsi="Arial" w:cs="Arial"/>
        </w:rPr>
        <w:t>funded by King County (through the BSK Levy)</w:t>
      </w:r>
      <w:r w:rsidR="00CA3B82">
        <w:rPr>
          <w:rFonts w:ascii="Arial" w:hAnsi="Arial" w:cs="Arial"/>
        </w:rPr>
        <w:t xml:space="preserve"> and the </w:t>
      </w:r>
      <w:r w:rsidR="00CA3B82" w:rsidRPr="00A73E78">
        <w:rPr>
          <w:rFonts w:ascii="Arial" w:hAnsi="Arial" w:cs="Arial"/>
        </w:rPr>
        <w:t>Seattle Foundation</w:t>
      </w:r>
      <w:r w:rsidR="000D5880" w:rsidRPr="00A73E78">
        <w:rPr>
          <w:rFonts w:ascii="Arial" w:hAnsi="Arial" w:cs="Arial"/>
        </w:rPr>
        <w:t xml:space="preserve">. </w:t>
      </w:r>
      <w:r w:rsidR="00221214">
        <w:rPr>
          <w:rFonts w:ascii="Arial" w:hAnsi="Arial" w:cs="Arial"/>
        </w:rPr>
        <w:t>E</w:t>
      </w:r>
      <w:r w:rsidR="00A73E78" w:rsidRPr="00A73E78">
        <w:rPr>
          <w:rFonts w:ascii="Arial" w:hAnsi="Arial" w:cs="Arial"/>
        </w:rPr>
        <w:t>ach BSK annual report</w:t>
      </w:r>
      <w:r w:rsidR="00221214">
        <w:rPr>
          <w:rFonts w:ascii="Arial" w:hAnsi="Arial" w:cs="Arial"/>
        </w:rPr>
        <w:t xml:space="preserve"> provides a</w:t>
      </w:r>
      <w:r w:rsidR="00221214" w:rsidRPr="00A73E78">
        <w:rPr>
          <w:rFonts w:ascii="Arial" w:hAnsi="Arial" w:cs="Arial"/>
        </w:rPr>
        <w:t xml:space="preserve"> summary of COO awards </w:t>
      </w:r>
      <w:r w:rsidR="00221214">
        <w:rPr>
          <w:rFonts w:ascii="Arial" w:hAnsi="Arial" w:cs="Arial"/>
        </w:rPr>
        <w:t xml:space="preserve">made during the reporting cycle. </w:t>
      </w:r>
      <w:r w:rsidR="00221214">
        <w:rPr>
          <w:rFonts w:ascii="Arial" w:hAnsi="Arial" w:cs="Arial"/>
          <w:szCs w:val="24"/>
        </w:rPr>
        <w:t>I</w:t>
      </w:r>
      <w:r w:rsidR="00FB1514" w:rsidRPr="00A73E78">
        <w:rPr>
          <w:rFonts w:ascii="Arial" w:hAnsi="Arial" w:cs="Arial"/>
          <w:szCs w:val="24"/>
        </w:rPr>
        <w:t>f public funds are blended with other fund sources for Communities of Opportunity awards</w:t>
      </w:r>
      <w:r w:rsidR="00221214">
        <w:rPr>
          <w:rFonts w:ascii="Arial" w:hAnsi="Arial" w:cs="Arial"/>
          <w:szCs w:val="24"/>
        </w:rPr>
        <w:t xml:space="preserve">, </w:t>
      </w:r>
      <w:r w:rsidR="001E6375">
        <w:rPr>
          <w:rFonts w:ascii="Arial" w:hAnsi="Arial" w:cs="Arial"/>
          <w:szCs w:val="24"/>
        </w:rPr>
        <w:t>the report</w:t>
      </w:r>
      <w:r w:rsidR="00221214">
        <w:rPr>
          <w:rFonts w:ascii="Arial" w:hAnsi="Arial" w:cs="Arial"/>
          <w:szCs w:val="24"/>
        </w:rPr>
        <w:t xml:space="preserve"> </w:t>
      </w:r>
      <w:r w:rsidR="00CA3B82">
        <w:rPr>
          <w:rFonts w:ascii="Arial" w:hAnsi="Arial" w:cs="Arial"/>
          <w:szCs w:val="24"/>
        </w:rPr>
        <w:t>must include</w:t>
      </w:r>
      <w:r w:rsidR="00221214">
        <w:rPr>
          <w:rFonts w:ascii="Arial" w:hAnsi="Arial" w:cs="Arial"/>
          <w:szCs w:val="24"/>
        </w:rPr>
        <w:t xml:space="preserve"> </w:t>
      </w:r>
      <w:r w:rsidR="00221214" w:rsidRPr="00A73E78">
        <w:rPr>
          <w:rFonts w:ascii="Arial" w:hAnsi="Arial" w:cs="Arial"/>
        </w:rPr>
        <w:t xml:space="preserve">a summary </w:t>
      </w:r>
      <w:r w:rsidR="00221214" w:rsidRPr="00A73E78">
        <w:rPr>
          <w:rFonts w:ascii="Arial" w:hAnsi="Arial" w:cs="Arial"/>
          <w:szCs w:val="24"/>
        </w:rPr>
        <w:t xml:space="preserve">of awards </w:t>
      </w:r>
      <w:r w:rsidR="00221214">
        <w:rPr>
          <w:rFonts w:ascii="Arial" w:hAnsi="Arial" w:cs="Arial"/>
          <w:szCs w:val="24"/>
        </w:rPr>
        <w:t xml:space="preserve">identified </w:t>
      </w:r>
      <w:r w:rsidR="00221214" w:rsidRPr="00A73E78">
        <w:rPr>
          <w:rFonts w:ascii="Arial" w:hAnsi="Arial" w:cs="Arial"/>
          <w:szCs w:val="24"/>
        </w:rPr>
        <w:t>by multiple sources and the am</w:t>
      </w:r>
      <w:r w:rsidR="00221214">
        <w:rPr>
          <w:rFonts w:ascii="Arial" w:hAnsi="Arial" w:cs="Arial"/>
          <w:szCs w:val="24"/>
        </w:rPr>
        <w:t>ounts contributed by each source</w:t>
      </w:r>
      <w:r w:rsidR="00FB1514" w:rsidRPr="00A73E78">
        <w:rPr>
          <w:rFonts w:ascii="Arial" w:hAnsi="Arial" w:cs="Arial"/>
          <w:szCs w:val="24"/>
        </w:rPr>
        <w:t>.</w:t>
      </w:r>
    </w:p>
    <w:p w14:paraId="0B0F7315" w14:textId="087E5D8D" w:rsidR="00153121" w:rsidRPr="00704499" w:rsidRDefault="00153121" w:rsidP="00A73E78">
      <w:pPr>
        <w:jc w:val="both"/>
        <w:rPr>
          <w:rFonts w:ascii="Arial" w:hAnsi="Arial" w:cs="Arial"/>
          <w:szCs w:val="24"/>
        </w:rPr>
      </w:pPr>
    </w:p>
    <w:p w14:paraId="4EC55071" w14:textId="08DE3E75" w:rsidR="00153121" w:rsidRPr="00A73E78" w:rsidRDefault="00153121" w:rsidP="00A73E78">
      <w:pPr>
        <w:jc w:val="both"/>
        <w:rPr>
          <w:rFonts w:ascii="Arial" w:hAnsi="Arial" w:cs="Arial"/>
        </w:rPr>
      </w:pPr>
      <w:r>
        <w:rPr>
          <w:rFonts w:ascii="Arial" w:hAnsi="Arial" w:cs="Arial"/>
        </w:rPr>
        <w:t>The Communities of Opportunity-Best Starts for Kids Levy Advisory Board</w:t>
      </w:r>
      <w:r>
        <w:rPr>
          <w:rStyle w:val="FootnoteReference"/>
          <w:rFonts w:ascii="Arial" w:hAnsi="Arial" w:cs="Arial"/>
        </w:rPr>
        <w:footnoteReference w:id="6"/>
      </w:r>
      <w:r>
        <w:rPr>
          <w:rFonts w:ascii="Arial" w:hAnsi="Arial" w:cs="Arial"/>
        </w:rPr>
        <w:t xml:space="preserve"> is the advisory body for BSK levy proceeds set aside for the COO initiative. The Board’s membership criteria and duties are codified in KCC 2A.300.520.</w:t>
      </w:r>
      <w:r>
        <w:rPr>
          <w:rStyle w:val="FootnoteReference"/>
          <w:rFonts w:ascii="Arial" w:hAnsi="Arial" w:cs="Arial"/>
        </w:rPr>
        <w:footnoteReference w:id="7"/>
      </w:r>
      <w:r w:rsidR="005C5D5B">
        <w:rPr>
          <w:rFonts w:ascii="Arial" w:hAnsi="Arial" w:cs="Arial"/>
        </w:rPr>
        <w:t xml:space="preserve"> </w:t>
      </w:r>
      <w:r w:rsidR="005C5D5B">
        <w:rPr>
          <w:rStyle w:val="FootnoteReference"/>
          <w:rFonts w:ascii="Arial" w:hAnsi="Arial" w:cs="Arial"/>
        </w:rPr>
        <w:footnoteReference w:id="8"/>
      </w:r>
    </w:p>
    <w:p w14:paraId="0DD98FBF" w14:textId="2A577064" w:rsidR="00FB1514" w:rsidRDefault="00FB1514" w:rsidP="00A845CF">
      <w:pPr>
        <w:pStyle w:val="Default"/>
        <w:jc w:val="both"/>
        <w:rPr>
          <w:color w:val="auto"/>
        </w:rPr>
      </w:pPr>
    </w:p>
    <w:p w14:paraId="4EFAADEB" w14:textId="5CAC01B0" w:rsidR="00FA0844" w:rsidRDefault="00A73E78" w:rsidP="00AB3456">
      <w:pPr>
        <w:ind w:firstLine="720"/>
        <w:jc w:val="both"/>
        <w:rPr>
          <w:rFonts w:ascii="Arial" w:hAnsi="Arial" w:cs="Arial"/>
        </w:rPr>
      </w:pPr>
      <w:r w:rsidRPr="00AB3456">
        <w:rPr>
          <w:rFonts w:ascii="Arial" w:hAnsi="Arial" w:cs="Arial"/>
          <w:b/>
        </w:rPr>
        <w:t xml:space="preserve">COO Place-Based </w:t>
      </w:r>
      <w:r w:rsidR="00F92B05" w:rsidRPr="00AB3456">
        <w:rPr>
          <w:rFonts w:ascii="Arial" w:hAnsi="Arial" w:cs="Arial"/>
          <w:b/>
        </w:rPr>
        <w:t>Communities: Original COO Sites</w:t>
      </w:r>
      <w:r w:rsidRPr="007A5537">
        <w:rPr>
          <w:rFonts w:ascii="Arial" w:hAnsi="Arial" w:cs="Arial"/>
        </w:rPr>
        <w:t xml:space="preserve">. In 2015, three place-based sites, including White Center, SeaTac/Tukwila and Rainier Valley, were selected </w:t>
      </w:r>
      <w:r w:rsidR="00F92B05">
        <w:rPr>
          <w:rFonts w:ascii="Arial" w:hAnsi="Arial" w:cs="Arial"/>
        </w:rPr>
        <w:t xml:space="preserve">through a competitive process </w:t>
      </w:r>
      <w:r w:rsidRPr="007A5537">
        <w:rPr>
          <w:rFonts w:ascii="Arial" w:hAnsi="Arial" w:cs="Arial"/>
        </w:rPr>
        <w:t xml:space="preserve">to receive </w:t>
      </w:r>
      <w:r w:rsidR="004A13EA">
        <w:rPr>
          <w:rFonts w:ascii="Arial" w:hAnsi="Arial" w:cs="Arial"/>
        </w:rPr>
        <w:t xml:space="preserve">a </w:t>
      </w:r>
      <w:r w:rsidRPr="007A5537">
        <w:rPr>
          <w:rFonts w:ascii="Arial" w:hAnsi="Arial" w:cs="Arial"/>
        </w:rPr>
        <w:t xml:space="preserve">multiyear investment </w:t>
      </w:r>
      <w:r w:rsidR="00017863">
        <w:rPr>
          <w:rFonts w:ascii="Arial" w:hAnsi="Arial" w:cs="Arial"/>
        </w:rPr>
        <w:t>(backbone</w:t>
      </w:r>
      <w:r w:rsidR="00F92B05">
        <w:rPr>
          <w:rFonts w:ascii="Arial" w:hAnsi="Arial" w:cs="Arial"/>
        </w:rPr>
        <w:t xml:space="preserve"> resources</w:t>
      </w:r>
      <w:r w:rsidR="00017863">
        <w:rPr>
          <w:rStyle w:val="FootnoteReference"/>
          <w:rFonts w:ascii="Arial" w:hAnsi="Arial" w:cs="Arial"/>
        </w:rPr>
        <w:footnoteReference w:id="9"/>
      </w:r>
      <w:r w:rsidR="00F92B05">
        <w:rPr>
          <w:rFonts w:ascii="Arial" w:hAnsi="Arial" w:cs="Arial"/>
        </w:rPr>
        <w:t xml:space="preserve"> for a 5-year period) </w:t>
      </w:r>
      <w:r w:rsidRPr="007A5537">
        <w:rPr>
          <w:rFonts w:ascii="Arial" w:hAnsi="Arial" w:cs="Arial"/>
        </w:rPr>
        <w:t>to support their communities’ engagement in Communities of Opportunity</w:t>
      </w:r>
      <w:r w:rsidR="00415C24">
        <w:rPr>
          <w:rFonts w:ascii="Arial" w:hAnsi="Arial" w:cs="Arial"/>
        </w:rPr>
        <w:t>.</w:t>
      </w:r>
      <w:r w:rsidR="00634A21">
        <w:rPr>
          <w:rStyle w:val="FootnoteReference"/>
          <w:rFonts w:ascii="Arial" w:hAnsi="Arial" w:cs="Arial"/>
        </w:rPr>
        <w:footnoteReference w:id="10"/>
      </w:r>
      <w:r w:rsidR="00415C24">
        <w:rPr>
          <w:rFonts w:ascii="Arial" w:hAnsi="Arial" w:cs="Arial"/>
        </w:rPr>
        <w:t xml:space="preserve"> As</w:t>
      </w:r>
      <w:r w:rsidR="00F92B05">
        <w:rPr>
          <w:rFonts w:ascii="Arial" w:hAnsi="Arial" w:cs="Arial"/>
        </w:rPr>
        <w:t xml:space="preserve"> described in the BSK Implementation Plan, this goal was discussed by the COO founders to allow time to fully develop the community stakeholder tables and partnerships, develop solutions in partnerships with stakeholders and individuals in the communities and to deploy, test and refine proposed solutions in an adaptive mode. </w:t>
      </w:r>
      <w:r w:rsidR="001E32E1">
        <w:rPr>
          <w:rFonts w:ascii="Arial" w:hAnsi="Arial" w:cs="Arial"/>
        </w:rPr>
        <w:t>The initial goal of COO, according to the BSK Implementation Plan, is to see a ten percent improvement in health and well-being outcomes over ten years in the COO place-based sites (measured from baseline indicator measures, such as an increase in life expectancy). As further explained, the intent is to start in select places and build momentum and begin to close the gap in health and well-being outcomes for all communities with much to gain.</w:t>
      </w:r>
    </w:p>
    <w:p w14:paraId="212EA52E" w14:textId="65264A8A" w:rsidR="00FA0844" w:rsidRDefault="00FA0844" w:rsidP="00A73E78">
      <w:pPr>
        <w:jc w:val="both"/>
        <w:rPr>
          <w:rFonts w:ascii="Arial" w:hAnsi="Arial" w:cs="Arial"/>
        </w:rPr>
      </w:pPr>
    </w:p>
    <w:p w14:paraId="392CF4F5" w14:textId="09901FE5" w:rsidR="00A73E78" w:rsidRDefault="00656E0A" w:rsidP="00A73E78">
      <w:pPr>
        <w:jc w:val="both"/>
        <w:rPr>
          <w:rFonts w:ascii="Arial" w:hAnsi="Arial" w:cs="Arial"/>
          <w:color w:val="FF0000"/>
        </w:rPr>
      </w:pPr>
      <w:r>
        <w:rPr>
          <w:rFonts w:ascii="Arial" w:hAnsi="Arial" w:cs="Arial"/>
        </w:rPr>
        <w:t>Funding commitments were made to the three original place-based partnerships through service agreements with PHSKC (Public Health)</w:t>
      </w:r>
      <w:r w:rsidR="003456C1">
        <w:rPr>
          <w:rFonts w:ascii="Arial" w:hAnsi="Arial" w:cs="Arial"/>
        </w:rPr>
        <w:t xml:space="preserve"> for BSK levy proceeds allocated to COO in the 2017-2018 biennium</w:t>
      </w:r>
      <w:r>
        <w:rPr>
          <w:rFonts w:ascii="Arial" w:hAnsi="Arial" w:cs="Arial"/>
        </w:rPr>
        <w:t xml:space="preserve">. </w:t>
      </w:r>
      <w:r w:rsidR="00B636A9">
        <w:rPr>
          <w:rFonts w:ascii="Arial" w:hAnsi="Arial" w:cs="Arial"/>
        </w:rPr>
        <w:t>In 2018, the county had ten service agreements with organizations across the three original place-based partnerships, which are identified in Table 2</w:t>
      </w:r>
      <w:r w:rsidR="00750512">
        <w:rPr>
          <w:rFonts w:ascii="Arial" w:hAnsi="Arial" w:cs="Arial"/>
        </w:rPr>
        <w:t xml:space="preserve"> on the next page</w:t>
      </w:r>
      <w:r w:rsidR="00B636A9">
        <w:rPr>
          <w:rFonts w:ascii="Arial" w:hAnsi="Arial" w:cs="Arial"/>
        </w:rPr>
        <w:t>.</w:t>
      </w:r>
    </w:p>
    <w:p w14:paraId="20176FB6" w14:textId="60A382F2" w:rsidR="00580F86" w:rsidRDefault="00580F86" w:rsidP="00FF6E40">
      <w:pPr>
        <w:ind w:right="-270" w:hanging="270"/>
        <w:jc w:val="center"/>
        <w:rPr>
          <w:rFonts w:ascii="Arial" w:hAnsi="Arial" w:cs="Arial"/>
          <w:b/>
        </w:rPr>
      </w:pPr>
    </w:p>
    <w:p w14:paraId="47E03EF5" w14:textId="77777777" w:rsidR="00AB3456" w:rsidRDefault="00AB3456" w:rsidP="00FF6E40">
      <w:pPr>
        <w:ind w:right="-270" w:hanging="270"/>
        <w:jc w:val="center"/>
        <w:rPr>
          <w:rFonts w:ascii="Arial" w:hAnsi="Arial" w:cs="Arial"/>
          <w:b/>
        </w:rPr>
      </w:pPr>
    </w:p>
    <w:p w14:paraId="1614B1C4" w14:textId="77777777" w:rsidR="00AB3456" w:rsidRDefault="00AB3456" w:rsidP="00FF6E40">
      <w:pPr>
        <w:ind w:right="-270" w:hanging="270"/>
        <w:jc w:val="center"/>
        <w:rPr>
          <w:rFonts w:ascii="Arial" w:hAnsi="Arial" w:cs="Arial"/>
          <w:b/>
        </w:rPr>
      </w:pPr>
    </w:p>
    <w:p w14:paraId="53AE25E5" w14:textId="00DC14C0" w:rsidR="00576F38" w:rsidRPr="00576F38" w:rsidRDefault="00576F38" w:rsidP="00FF6E40">
      <w:pPr>
        <w:ind w:right="-270" w:hanging="270"/>
        <w:jc w:val="center"/>
        <w:rPr>
          <w:rFonts w:ascii="Arial" w:hAnsi="Arial" w:cs="Arial"/>
          <w:b/>
        </w:rPr>
      </w:pPr>
      <w:r>
        <w:rPr>
          <w:rFonts w:ascii="Arial" w:hAnsi="Arial" w:cs="Arial"/>
          <w:b/>
        </w:rPr>
        <w:lastRenderedPageBreak/>
        <w:t>Table 2</w:t>
      </w:r>
      <w:r w:rsidRPr="001421BD">
        <w:rPr>
          <w:rFonts w:ascii="Arial" w:hAnsi="Arial" w:cs="Arial"/>
          <w:b/>
        </w:rPr>
        <w:t xml:space="preserve">. </w:t>
      </w:r>
      <w:r>
        <w:rPr>
          <w:rFonts w:ascii="Arial" w:hAnsi="Arial" w:cs="Arial"/>
          <w:b/>
        </w:rPr>
        <w:t xml:space="preserve">Summary List of Service Agreements </w:t>
      </w:r>
      <w:r w:rsidR="00FF6E40">
        <w:rPr>
          <w:rFonts w:ascii="Arial" w:hAnsi="Arial" w:cs="Arial"/>
          <w:b/>
        </w:rPr>
        <w:t xml:space="preserve">in 2018 </w:t>
      </w:r>
      <w:r>
        <w:rPr>
          <w:rFonts w:ascii="Arial" w:hAnsi="Arial" w:cs="Arial"/>
          <w:b/>
        </w:rPr>
        <w:t>for Original Place-Based Sites</w:t>
      </w:r>
    </w:p>
    <w:tbl>
      <w:tblPr>
        <w:tblStyle w:val="TableGrid1"/>
        <w:tblW w:w="10464" w:type="dxa"/>
        <w:jc w:val="center"/>
        <w:tblLayout w:type="fixed"/>
        <w:tblLook w:val="04A0" w:firstRow="1" w:lastRow="0" w:firstColumn="1" w:lastColumn="0" w:noHBand="0" w:noVBand="1"/>
      </w:tblPr>
      <w:tblGrid>
        <w:gridCol w:w="2442"/>
        <w:gridCol w:w="8022"/>
      </w:tblGrid>
      <w:tr w:rsidR="00576F38" w:rsidRPr="003F0A9B" w14:paraId="138B3781" w14:textId="77777777" w:rsidTr="00FF6E40">
        <w:trPr>
          <w:trHeight w:val="3"/>
          <w:jc w:val="center"/>
        </w:trPr>
        <w:tc>
          <w:tcPr>
            <w:tcW w:w="2442" w:type="dxa"/>
            <w:shd w:val="clear" w:color="auto" w:fill="DAEEF3" w:themeFill="accent5" w:themeFillTint="33"/>
          </w:tcPr>
          <w:p w14:paraId="4B0A3267" w14:textId="7E626624" w:rsidR="00576F38" w:rsidRPr="00AB4197" w:rsidRDefault="00576F38" w:rsidP="00DD40DB">
            <w:pPr>
              <w:jc w:val="center"/>
              <w:rPr>
                <w:rFonts w:asciiTheme="minorHAnsi" w:hAnsiTheme="minorHAnsi" w:cstheme="minorHAnsi"/>
                <w:b/>
                <w:bCs/>
                <w:szCs w:val="24"/>
              </w:rPr>
            </w:pPr>
            <w:r w:rsidRPr="00AB4197">
              <w:rPr>
                <w:rFonts w:asciiTheme="minorHAnsi" w:hAnsiTheme="minorHAnsi" w:cstheme="minorHAnsi"/>
                <w:b/>
                <w:bCs/>
                <w:szCs w:val="24"/>
              </w:rPr>
              <w:t>Site</w:t>
            </w:r>
          </w:p>
        </w:tc>
        <w:tc>
          <w:tcPr>
            <w:tcW w:w="8022" w:type="dxa"/>
            <w:shd w:val="clear" w:color="auto" w:fill="DAEEF3" w:themeFill="accent5" w:themeFillTint="33"/>
          </w:tcPr>
          <w:p w14:paraId="4BF1D700" w14:textId="17D1EED9" w:rsidR="00DD40DB" w:rsidRPr="00AB4197" w:rsidRDefault="001711F9" w:rsidP="00DD40DB">
            <w:pPr>
              <w:jc w:val="center"/>
              <w:rPr>
                <w:rFonts w:asciiTheme="minorHAnsi" w:hAnsiTheme="minorHAnsi" w:cstheme="minorHAnsi"/>
                <w:b/>
                <w:bCs/>
                <w:szCs w:val="24"/>
              </w:rPr>
            </w:pPr>
            <w:r w:rsidRPr="00AB4197">
              <w:rPr>
                <w:rFonts w:asciiTheme="minorHAnsi" w:hAnsiTheme="minorHAnsi" w:cstheme="minorHAnsi"/>
                <w:b/>
                <w:bCs/>
                <w:szCs w:val="24"/>
              </w:rPr>
              <w:t xml:space="preserve">Lead Organizations and </w:t>
            </w:r>
            <w:r w:rsidR="00576F38" w:rsidRPr="00AB4197">
              <w:rPr>
                <w:rFonts w:asciiTheme="minorHAnsi" w:hAnsiTheme="minorHAnsi" w:cstheme="minorHAnsi"/>
                <w:b/>
                <w:bCs/>
                <w:szCs w:val="24"/>
              </w:rPr>
              <w:t>Partners</w:t>
            </w:r>
            <w:r w:rsidR="00DD40DB" w:rsidRPr="00AB4197">
              <w:rPr>
                <w:rFonts w:asciiTheme="minorHAnsi" w:hAnsiTheme="minorHAnsi" w:cstheme="minorHAnsi"/>
                <w:b/>
                <w:bCs/>
                <w:szCs w:val="24"/>
              </w:rPr>
              <w:t xml:space="preserve"> Providing Services</w:t>
            </w:r>
          </w:p>
          <w:p w14:paraId="4D5D68D3" w14:textId="417BF84F" w:rsidR="00576F38" w:rsidRPr="00AB4197" w:rsidRDefault="00DD40DB" w:rsidP="00DD40DB">
            <w:pPr>
              <w:jc w:val="center"/>
              <w:rPr>
                <w:rFonts w:asciiTheme="minorHAnsi" w:hAnsiTheme="minorHAnsi" w:cstheme="minorHAnsi"/>
                <w:b/>
                <w:bCs/>
                <w:szCs w:val="24"/>
              </w:rPr>
            </w:pPr>
            <w:r w:rsidRPr="00AB4197">
              <w:rPr>
                <w:rFonts w:asciiTheme="minorHAnsi" w:hAnsiTheme="minorHAnsi" w:cstheme="minorHAnsi"/>
                <w:b/>
                <w:bCs/>
                <w:szCs w:val="24"/>
              </w:rPr>
              <w:t>under King County Service Agreements</w:t>
            </w:r>
            <w:r w:rsidR="00744939" w:rsidRPr="00AB4197">
              <w:rPr>
                <w:rStyle w:val="FootnoteReference"/>
                <w:rFonts w:asciiTheme="minorHAnsi" w:hAnsiTheme="minorHAnsi" w:cstheme="minorHAnsi"/>
                <w:b/>
                <w:bCs/>
                <w:szCs w:val="24"/>
              </w:rPr>
              <w:footnoteReference w:id="11"/>
            </w:r>
          </w:p>
        </w:tc>
      </w:tr>
      <w:tr w:rsidR="001711F9" w:rsidRPr="003F0A9B" w14:paraId="1F51B34A" w14:textId="77777777" w:rsidTr="00FF6E40">
        <w:trPr>
          <w:trHeight w:val="69"/>
          <w:jc w:val="center"/>
        </w:trPr>
        <w:tc>
          <w:tcPr>
            <w:tcW w:w="2442" w:type="dxa"/>
          </w:tcPr>
          <w:p w14:paraId="1803CCD2" w14:textId="3601F1C7" w:rsidR="00576F38" w:rsidRPr="00AB4197" w:rsidRDefault="00576F38" w:rsidP="001711F9">
            <w:pPr>
              <w:rPr>
                <w:rFonts w:asciiTheme="minorHAnsi" w:hAnsiTheme="minorHAnsi" w:cstheme="minorHAnsi"/>
                <w:b/>
                <w:szCs w:val="24"/>
              </w:rPr>
            </w:pPr>
            <w:r w:rsidRPr="00AB4197">
              <w:rPr>
                <w:rFonts w:asciiTheme="minorHAnsi" w:hAnsiTheme="minorHAnsi" w:cstheme="minorHAnsi"/>
                <w:b/>
                <w:szCs w:val="24"/>
              </w:rPr>
              <w:t>White Center</w:t>
            </w:r>
            <w:r w:rsidR="00920FD7" w:rsidRPr="00AB4197">
              <w:rPr>
                <w:rFonts w:asciiTheme="minorHAnsi" w:hAnsiTheme="minorHAnsi" w:cstheme="minorHAnsi"/>
                <w:b/>
                <w:szCs w:val="24"/>
              </w:rPr>
              <w:t xml:space="preserve"> Partnership</w:t>
            </w:r>
          </w:p>
          <w:p w14:paraId="050175A8" w14:textId="77777777" w:rsidR="00576F38" w:rsidRPr="00AB4197" w:rsidRDefault="001711F9" w:rsidP="001711F9">
            <w:pPr>
              <w:rPr>
                <w:rFonts w:asciiTheme="minorHAnsi" w:hAnsiTheme="minorHAnsi" w:cstheme="minorHAnsi"/>
                <w:szCs w:val="24"/>
              </w:rPr>
            </w:pPr>
            <w:r w:rsidRPr="00AB4197">
              <w:rPr>
                <w:rFonts w:asciiTheme="minorHAnsi" w:hAnsiTheme="minorHAnsi" w:cstheme="minorHAnsi"/>
                <w:szCs w:val="24"/>
              </w:rPr>
              <w:t xml:space="preserve">5 </w:t>
            </w:r>
            <w:r w:rsidR="00576F38" w:rsidRPr="00AB4197">
              <w:rPr>
                <w:rFonts w:asciiTheme="minorHAnsi" w:hAnsiTheme="minorHAnsi" w:cstheme="minorHAnsi"/>
                <w:szCs w:val="24"/>
              </w:rPr>
              <w:t>Service Agreements</w:t>
            </w:r>
          </w:p>
          <w:p w14:paraId="7677B3F7" w14:textId="77777777" w:rsidR="00FF6E40" w:rsidRPr="00AB4197" w:rsidRDefault="00FF6E40" w:rsidP="001711F9">
            <w:pPr>
              <w:rPr>
                <w:rFonts w:asciiTheme="minorHAnsi" w:hAnsiTheme="minorHAnsi" w:cstheme="minorHAnsi"/>
                <w:szCs w:val="24"/>
              </w:rPr>
            </w:pPr>
          </w:p>
          <w:p w14:paraId="5EDD02F6" w14:textId="56D0CF37" w:rsidR="00FF6E40" w:rsidRPr="00AB4197" w:rsidRDefault="00FF6E40" w:rsidP="001711F9">
            <w:pPr>
              <w:rPr>
                <w:rFonts w:asciiTheme="minorHAnsi" w:hAnsiTheme="minorHAnsi" w:cstheme="minorHAnsi"/>
                <w:szCs w:val="24"/>
              </w:rPr>
            </w:pPr>
          </w:p>
        </w:tc>
        <w:tc>
          <w:tcPr>
            <w:tcW w:w="8022" w:type="dxa"/>
          </w:tcPr>
          <w:p w14:paraId="51F4984C" w14:textId="77777777" w:rsidR="001711F9" w:rsidRPr="00AB4197" w:rsidRDefault="00744939" w:rsidP="001711F9">
            <w:pPr>
              <w:pStyle w:val="ListParagraph0"/>
              <w:numPr>
                <w:ilvl w:val="0"/>
                <w:numId w:val="52"/>
              </w:numPr>
              <w:rPr>
                <w:rFonts w:asciiTheme="minorHAnsi" w:hAnsiTheme="minorHAnsi" w:cstheme="minorHAnsi"/>
              </w:rPr>
            </w:pPr>
            <w:r w:rsidRPr="00AB4197">
              <w:rPr>
                <w:rFonts w:asciiTheme="minorHAnsi" w:hAnsiTheme="minorHAnsi" w:cstheme="minorHAnsi"/>
              </w:rPr>
              <w:t xml:space="preserve">White Center CDA &amp; White Center Trusted Advocates </w:t>
            </w:r>
          </w:p>
          <w:p w14:paraId="429FF565" w14:textId="1D0B34C8" w:rsidR="00576F38" w:rsidRPr="00AB4197" w:rsidRDefault="00744939" w:rsidP="001711F9">
            <w:pPr>
              <w:pStyle w:val="ListParagraph0"/>
              <w:ind w:hanging="27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2C6C658F"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FEEST</w:t>
            </w:r>
          </w:p>
          <w:p w14:paraId="2EB2E170"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Southwest Youth &amp; Family Services</w:t>
            </w:r>
          </w:p>
          <w:p w14:paraId="7E1DF5DF"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White Center Food Bank</w:t>
            </w:r>
          </w:p>
          <w:p w14:paraId="065C55BC" w14:textId="100A2BC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YWCA</w:t>
            </w:r>
          </w:p>
        </w:tc>
      </w:tr>
      <w:tr w:rsidR="001711F9" w:rsidRPr="003F0A9B" w14:paraId="2AEA4AF9" w14:textId="77777777" w:rsidTr="00FF6E40">
        <w:trPr>
          <w:trHeight w:val="1"/>
          <w:jc w:val="center"/>
        </w:trPr>
        <w:tc>
          <w:tcPr>
            <w:tcW w:w="2442" w:type="dxa"/>
          </w:tcPr>
          <w:p w14:paraId="1425EB8E" w14:textId="03A52E92" w:rsidR="00576F38" w:rsidRPr="00AB4197" w:rsidRDefault="00744939" w:rsidP="001711F9">
            <w:pPr>
              <w:rPr>
                <w:rFonts w:asciiTheme="minorHAnsi" w:hAnsiTheme="minorHAnsi" w:cstheme="minorHAnsi"/>
                <w:b/>
                <w:szCs w:val="24"/>
              </w:rPr>
            </w:pPr>
            <w:r w:rsidRPr="00AB4197">
              <w:rPr>
                <w:rFonts w:asciiTheme="minorHAnsi" w:hAnsiTheme="minorHAnsi" w:cstheme="minorHAnsi"/>
                <w:b/>
                <w:szCs w:val="24"/>
              </w:rPr>
              <w:t>SeaTac/Tukwila</w:t>
            </w:r>
          </w:p>
          <w:p w14:paraId="72F85141" w14:textId="536F92B1" w:rsidR="00920FD7" w:rsidRPr="00AB4197" w:rsidRDefault="00920FD7" w:rsidP="001711F9">
            <w:pPr>
              <w:rPr>
                <w:rFonts w:asciiTheme="minorHAnsi" w:hAnsiTheme="minorHAnsi" w:cstheme="minorHAnsi"/>
                <w:b/>
                <w:szCs w:val="24"/>
              </w:rPr>
            </w:pPr>
            <w:r w:rsidRPr="00AB4197">
              <w:rPr>
                <w:rFonts w:asciiTheme="minorHAnsi" w:hAnsiTheme="minorHAnsi" w:cstheme="minorHAnsi"/>
                <w:b/>
                <w:szCs w:val="24"/>
              </w:rPr>
              <w:t>Partnership</w:t>
            </w:r>
          </w:p>
          <w:p w14:paraId="1C57D4E2" w14:textId="5330CEA3" w:rsidR="00FF6E40" w:rsidRPr="00AB4197" w:rsidRDefault="00744939" w:rsidP="001711F9">
            <w:pPr>
              <w:rPr>
                <w:rFonts w:asciiTheme="minorHAnsi" w:hAnsiTheme="minorHAnsi" w:cstheme="minorHAnsi"/>
                <w:szCs w:val="24"/>
              </w:rPr>
            </w:pPr>
            <w:r w:rsidRPr="00AB4197">
              <w:rPr>
                <w:rFonts w:asciiTheme="minorHAnsi" w:hAnsiTheme="minorHAnsi" w:cstheme="minorHAnsi"/>
                <w:szCs w:val="24"/>
              </w:rPr>
              <w:t>2 Service Agreements</w:t>
            </w:r>
          </w:p>
        </w:tc>
        <w:tc>
          <w:tcPr>
            <w:tcW w:w="8022" w:type="dxa"/>
          </w:tcPr>
          <w:p w14:paraId="35070326" w14:textId="6E1ACED7" w:rsidR="001711F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 xml:space="preserve">Global to Local (G2L) &amp; G2L/Food Innovation Network </w:t>
            </w:r>
            <w:r w:rsidR="00482BDD">
              <w:rPr>
                <w:rFonts w:asciiTheme="minorHAnsi" w:hAnsiTheme="minorHAnsi" w:cstheme="minorHAnsi"/>
              </w:rPr>
              <w:t xml:space="preserve"> (FIN)</w:t>
            </w:r>
          </w:p>
          <w:p w14:paraId="7CF76133" w14:textId="4B6D23E6" w:rsidR="00576F38" w:rsidRPr="00AB4197" w:rsidRDefault="00744939" w:rsidP="001711F9">
            <w:pPr>
              <w:pStyle w:val="ListParagraph0"/>
              <w:ind w:hanging="18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708EA203" w14:textId="4FE0D672"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Partner in Employment</w:t>
            </w:r>
            <w:r w:rsidR="00482BDD">
              <w:rPr>
                <w:rFonts w:asciiTheme="minorHAnsi" w:hAnsiTheme="minorHAnsi" w:cstheme="minorHAnsi"/>
              </w:rPr>
              <w:t xml:space="preserve"> (PIE)</w:t>
            </w:r>
          </w:p>
        </w:tc>
      </w:tr>
      <w:tr w:rsidR="001711F9" w:rsidRPr="003F0A9B" w14:paraId="0BB69FEF" w14:textId="77777777" w:rsidTr="00AB4197">
        <w:trPr>
          <w:trHeight w:val="809"/>
          <w:jc w:val="center"/>
        </w:trPr>
        <w:tc>
          <w:tcPr>
            <w:tcW w:w="2442" w:type="dxa"/>
          </w:tcPr>
          <w:p w14:paraId="57095B29" w14:textId="7A5B68F0" w:rsidR="00576F38" w:rsidRPr="00AB4197" w:rsidRDefault="00744939" w:rsidP="001711F9">
            <w:pPr>
              <w:rPr>
                <w:rFonts w:asciiTheme="minorHAnsi" w:hAnsiTheme="minorHAnsi" w:cstheme="minorHAnsi"/>
                <w:b/>
                <w:szCs w:val="24"/>
              </w:rPr>
            </w:pPr>
            <w:r w:rsidRPr="00AB4197">
              <w:rPr>
                <w:rFonts w:asciiTheme="minorHAnsi" w:hAnsiTheme="minorHAnsi" w:cstheme="minorHAnsi"/>
                <w:b/>
                <w:szCs w:val="24"/>
              </w:rPr>
              <w:t>Rainier Valley</w:t>
            </w:r>
          </w:p>
          <w:p w14:paraId="1FD5BAD2" w14:textId="31B1254B" w:rsidR="00920FD7" w:rsidRPr="00AB4197" w:rsidRDefault="00920FD7" w:rsidP="001711F9">
            <w:pPr>
              <w:rPr>
                <w:rFonts w:asciiTheme="minorHAnsi" w:hAnsiTheme="minorHAnsi" w:cstheme="minorHAnsi"/>
                <w:b/>
                <w:szCs w:val="24"/>
              </w:rPr>
            </w:pPr>
            <w:r w:rsidRPr="00AB4197">
              <w:rPr>
                <w:rFonts w:asciiTheme="minorHAnsi" w:hAnsiTheme="minorHAnsi" w:cstheme="minorHAnsi"/>
                <w:b/>
                <w:szCs w:val="24"/>
              </w:rPr>
              <w:t>Partnership</w:t>
            </w:r>
          </w:p>
          <w:p w14:paraId="2DEAA190" w14:textId="77777777" w:rsidR="00744939" w:rsidRPr="00AB4197" w:rsidRDefault="00744939" w:rsidP="001711F9">
            <w:pPr>
              <w:rPr>
                <w:rFonts w:asciiTheme="minorHAnsi" w:hAnsiTheme="minorHAnsi" w:cstheme="minorHAnsi"/>
                <w:szCs w:val="24"/>
              </w:rPr>
            </w:pPr>
            <w:r w:rsidRPr="00AB4197">
              <w:rPr>
                <w:rFonts w:asciiTheme="minorHAnsi" w:hAnsiTheme="minorHAnsi" w:cstheme="minorHAnsi"/>
                <w:szCs w:val="24"/>
              </w:rPr>
              <w:t>3 Service Agreements</w:t>
            </w:r>
          </w:p>
          <w:p w14:paraId="794AEBED" w14:textId="56018565" w:rsidR="00FF6E40" w:rsidRPr="00AB4197" w:rsidRDefault="00FF6E40" w:rsidP="001711F9">
            <w:pPr>
              <w:rPr>
                <w:rFonts w:asciiTheme="minorHAnsi" w:hAnsiTheme="minorHAnsi" w:cstheme="minorHAnsi"/>
                <w:szCs w:val="24"/>
              </w:rPr>
            </w:pPr>
          </w:p>
        </w:tc>
        <w:tc>
          <w:tcPr>
            <w:tcW w:w="8022" w:type="dxa"/>
          </w:tcPr>
          <w:p w14:paraId="13499145" w14:textId="77777777" w:rsidR="001711F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HomeSight, Multicultural Community Coalition, and On-Board Othello</w:t>
            </w:r>
          </w:p>
          <w:p w14:paraId="226FA57F" w14:textId="4AE37698" w:rsidR="00576F38" w:rsidRPr="00AB4197" w:rsidRDefault="00744939" w:rsidP="001711F9">
            <w:pPr>
              <w:pStyle w:val="ListParagraph0"/>
              <w:ind w:hanging="187"/>
              <w:rPr>
                <w:rFonts w:asciiTheme="minorHAnsi" w:hAnsiTheme="minorHAnsi" w:cstheme="minorHAnsi"/>
              </w:rPr>
            </w:pPr>
            <w:r w:rsidRPr="00AB4197">
              <w:rPr>
                <w:rFonts w:asciiTheme="minorHAnsi" w:hAnsiTheme="minorHAnsi" w:cstheme="minorHAnsi"/>
                <w:i/>
              </w:rPr>
              <w:t>(Lead organization</w:t>
            </w:r>
            <w:r w:rsidR="001711F9" w:rsidRPr="00AB4197">
              <w:rPr>
                <w:rFonts w:asciiTheme="minorHAnsi" w:hAnsiTheme="minorHAnsi" w:cstheme="minorHAnsi"/>
                <w:i/>
              </w:rPr>
              <w:t>-local convener for place-based work</w:t>
            </w:r>
            <w:r w:rsidRPr="00AB4197">
              <w:rPr>
                <w:rFonts w:asciiTheme="minorHAnsi" w:hAnsiTheme="minorHAnsi" w:cstheme="minorHAnsi"/>
                <w:i/>
              </w:rPr>
              <w:t>)</w:t>
            </w:r>
          </w:p>
          <w:p w14:paraId="467C5535" w14:textId="77777777"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Puget Sound Sage &amp; SouthCORE</w:t>
            </w:r>
          </w:p>
          <w:p w14:paraId="4A49C926" w14:textId="68197372" w:rsidR="00744939" w:rsidRPr="00AB4197" w:rsidRDefault="00744939" w:rsidP="00744939">
            <w:pPr>
              <w:pStyle w:val="ListParagraph0"/>
              <w:numPr>
                <w:ilvl w:val="0"/>
                <w:numId w:val="52"/>
              </w:numPr>
              <w:rPr>
                <w:rFonts w:asciiTheme="minorHAnsi" w:hAnsiTheme="minorHAnsi" w:cstheme="minorHAnsi"/>
              </w:rPr>
            </w:pPr>
            <w:r w:rsidRPr="00AB4197">
              <w:rPr>
                <w:rFonts w:asciiTheme="minorHAnsi" w:hAnsiTheme="minorHAnsi" w:cstheme="minorHAnsi"/>
              </w:rPr>
              <w:t>Rainier Beach Action Coalition</w:t>
            </w:r>
          </w:p>
        </w:tc>
      </w:tr>
    </w:tbl>
    <w:p w14:paraId="3508265D" w14:textId="6B589956" w:rsidR="008D7D3A" w:rsidRDefault="008D7D3A" w:rsidP="008D7D3A">
      <w:pPr>
        <w:pStyle w:val="Default"/>
        <w:jc w:val="both"/>
        <w:rPr>
          <w:color w:val="auto"/>
          <w:u w:val="single"/>
        </w:rPr>
      </w:pPr>
    </w:p>
    <w:p w14:paraId="63D7A31E" w14:textId="56174613" w:rsidR="00424A94" w:rsidRDefault="00424A94" w:rsidP="00424A94">
      <w:pPr>
        <w:jc w:val="both"/>
        <w:rPr>
          <w:rFonts w:ascii="Arial" w:hAnsi="Arial" w:cs="Arial"/>
        </w:rPr>
      </w:pPr>
      <w:r w:rsidRPr="00AB3456">
        <w:rPr>
          <w:rFonts w:ascii="Arial" w:hAnsi="Arial" w:cs="Arial"/>
          <w:b/>
        </w:rPr>
        <w:t>2019-2020 Budget proviso</w:t>
      </w:r>
      <w:r w:rsidR="00AB3456">
        <w:rPr>
          <w:rFonts w:ascii="Arial" w:hAnsi="Arial" w:cs="Arial"/>
        </w:rPr>
        <w:t xml:space="preserve">  </w:t>
      </w:r>
      <w:r>
        <w:rPr>
          <w:rFonts w:ascii="Arial" w:hAnsi="Arial" w:cs="Arial"/>
        </w:rPr>
        <w:t xml:space="preserve">As part of its deliberations on the 2019-2020 biennial budget ordinance (Ordinance 18835), the Council included a proviso on the Public Health budget (Section 95, Proviso P1) requiring the Executive to transmit a motion and 2018 outcomes </w:t>
      </w:r>
      <w:r w:rsidR="00016428">
        <w:rPr>
          <w:rFonts w:ascii="Arial" w:hAnsi="Arial" w:cs="Arial"/>
        </w:rPr>
        <w:t>report</w:t>
      </w:r>
      <w:r>
        <w:rPr>
          <w:rFonts w:ascii="Arial" w:hAnsi="Arial" w:cs="Arial"/>
        </w:rPr>
        <w:t xml:space="preserve"> </w:t>
      </w:r>
      <w:r w:rsidR="00016428">
        <w:rPr>
          <w:rFonts w:ascii="Arial" w:hAnsi="Arial" w:cs="Arial"/>
        </w:rPr>
        <w:t>on</w:t>
      </w:r>
      <w:r>
        <w:rPr>
          <w:rFonts w:ascii="Arial" w:hAnsi="Arial" w:cs="Arial"/>
        </w:rPr>
        <w:t xml:space="preserve"> the </w:t>
      </w:r>
      <w:r w:rsidR="008C5062">
        <w:rPr>
          <w:rFonts w:ascii="Arial" w:hAnsi="Arial" w:cs="Arial"/>
        </w:rPr>
        <w:t xml:space="preserve">three </w:t>
      </w:r>
      <w:r>
        <w:rPr>
          <w:rFonts w:ascii="Arial" w:hAnsi="Arial" w:cs="Arial"/>
        </w:rPr>
        <w:t>COO original</w:t>
      </w:r>
      <w:r w:rsidR="008C5062">
        <w:rPr>
          <w:rFonts w:ascii="Arial" w:hAnsi="Arial" w:cs="Arial"/>
        </w:rPr>
        <w:t xml:space="preserve"> place-based sites</w:t>
      </w:r>
      <w:r>
        <w:rPr>
          <w:rFonts w:ascii="Arial" w:hAnsi="Arial" w:cs="Arial"/>
        </w:rPr>
        <w:t>. The proviso states:</w:t>
      </w:r>
    </w:p>
    <w:p w14:paraId="1ACDD28E" w14:textId="77777777" w:rsidR="00AA280F" w:rsidRDefault="00AA280F" w:rsidP="00424A94">
      <w:pPr>
        <w:jc w:val="both"/>
        <w:rPr>
          <w:rFonts w:ascii="Arial" w:hAnsi="Arial" w:cs="Arial"/>
        </w:rPr>
      </w:pPr>
    </w:p>
    <w:p w14:paraId="071D7E91" w14:textId="3C5F4C3D" w:rsidR="00424A94" w:rsidRPr="00FA71BF" w:rsidRDefault="00424A94" w:rsidP="00AB3456">
      <w:pPr>
        <w:ind w:left="720" w:right="720"/>
        <w:jc w:val="both"/>
        <w:rPr>
          <w:rFonts w:ascii="Arial" w:hAnsi="Arial" w:cs="Arial"/>
        </w:rPr>
      </w:pPr>
      <w:r>
        <w:rPr>
          <w:rFonts w:ascii="Arial" w:hAnsi="Arial" w:cs="Arial"/>
        </w:rPr>
        <w:tab/>
      </w:r>
      <w:r w:rsidRPr="001421BD">
        <w:rPr>
          <w:i/>
          <w:szCs w:val="24"/>
        </w:rPr>
        <w:t>Of this appropriation, $465,000 shall not be expended or encumbered for the "Place-Based Communities: Original COO Sites" sub-strategy within the "</w:t>
      </w:r>
      <w:r w:rsidRPr="001421BD">
        <w:rPr>
          <w:rFonts w:ascii="CG Times" w:hAnsi="CG Times" w:cs="CG Times"/>
          <w:i/>
          <w:szCs w:val="24"/>
        </w:rPr>
        <w:t>Places: Awards to Community Partnerships"</w:t>
      </w:r>
      <w:r w:rsidRPr="001421BD">
        <w:rPr>
          <w:i/>
          <w:szCs w:val="24"/>
        </w:rPr>
        <w:t xml:space="preserve"> Communities of Opportunity strategy area as described in Section VII (Communities of Opportunity) of the Best Starts for Kids Implementation Plan, approved by Ordinance 18373, until the executive transmits a 2018 outcomes report on the original place-based sites, which are Rainier Valley, White Center and SeaTac/Tukwila, and a motion that should approve the report</w:t>
      </w:r>
      <w:r w:rsidRPr="001421BD">
        <w:rPr>
          <w:i/>
          <w:color w:val="FF0000"/>
          <w:szCs w:val="24"/>
        </w:rPr>
        <w:t xml:space="preserve"> </w:t>
      </w:r>
      <w:r w:rsidRPr="001421BD">
        <w:rPr>
          <w:i/>
          <w:szCs w:val="24"/>
        </w:rPr>
        <w:t>and reference the subject matter, the proviso's ordinance, ordinance section and proviso number in both the title and body of the motion, and a motion approving an outcomes report</w:t>
      </w:r>
      <w:r w:rsidRPr="001421BD">
        <w:rPr>
          <w:i/>
          <w:color w:val="FF0000"/>
          <w:szCs w:val="24"/>
        </w:rPr>
        <w:t xml:space="preserve"> </w:t>
      </w:r>
      <w:r w:rsidRPr="001421BD">
        <w:rPr>
          <w:i/>
          <w:szCs w:val="24"/>
        </w:rPr>
        <w:t>is passed by the council.</w:t>
      </w:r>
    </w:p>
    <w:p w14:paraId="118D308F"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The report shall include, but not be limited to:</w:t>
      </w:r>
    </w:p>
    <w:p w14:paraId="708C940B"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A.  A list of services provided through Communities of Opportunity King County service agreements by each of the three original place-based sites and their partners in 2018, as well as the number of persons served by each site or the site's partners.  The list should identify the services by the issue areas of housing, economic opportunity, health or community connections, as well as identify if the services were provided by the original place-based site or its partners;</w:t>
      </w:r>
    </w:p>
    <w:p w14:paraId="5C186FBE"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B.  A summary of the priority strategies developed by the place-based sites for 2018 and outcomes achieved in 2018 towards those priority strategies; and</w:t>
      </w:r>
    </w:p>
    <w:p w14:paraId="3083AEB5" w14:textId="77777777"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C.  A summary of any developed performance measures for the "Place-Based Communities: Original COO Sites" sub-strategy or performance measures monitoring methodology for tracking outcomes data.</w:t>
      </w:r>
    </w:p>
    <w:p w14:paraId="46D211B2" w14:textId="2D3971D4" w:rsidR="00424A94" w:rsidRPr="001421BD" w:rsidRDefault="00424A94" w:rsidP="00AB3456">
      <w:pPr>
        <w:widowControl w:val="0"/>
        <w:tabs>
          <w:tab w:val="left" w:pos="720"/>
        </w:tabs>
        <w:autoSpaceDE w:val="0"/>
        <w:autoSpaceDN w:val="0"/>
        <w:adjustRightInd w:val="0"/>
        <w:ind w:left="720" w:right="720"/>
        <w:rPr>
          <w:i/>
          <w:szCs w:val="24"/>
        </w:rPr>
      </w:pPr>
      <w:r w:rsidRPr="001421BD">
        <w:rPr>
          <w:i/>
          <w:szCs w:val="24"/>
        </w:rPr>
        <w:tab/>
        <w:t>The executive should file the</w:t>
      </w:r>
      <w:r w:rsidRPr="001421BD">
        <w:rPr>
          <w:i/>
          <w:color w:val="FF0000"/>
          <w:szCs w:val="24"/>
        </w:rPr>
        <w:t xml:space="preserve"> </w:t>
      </w:r>
      <w:r w:rsidRPr="001421BD">
        <w:rPr>
          <w:i/>
          <w:szCs w:val="24"/>
        </w:rPr>
        <w:t>report and the motion required by this proviso by</w:t>
      </w:r>
      <w:r w:rsidRPr="001421BD">
        <w:rPr>
          <w:i/>
          <w:color w:val="FF0000"/>
          <w:szCs w:val="24"/>
        </w:rPr>
        <w:t xml:space="preserve"> </w:t>
      </w:r>
      <w:r w:rsidRPr="001421BD">
        <w:rPr>
          <w:i/>
          <w:szCs w:val="24"/>
        </w:rPr>
        <w:t xml:space="preserve">June 30, 2019, in the form of a paper original and an electronic copy </w:t>
      </w:r>
      <w:r w:rsidRPr="001421BD">
        <w:rPr>
          <w:i/>
          <w:szCs w:val="24"/>
        </w:rPr>
        <w:lastRenderedPageBreak/>
        <w:t>with the clerk of the council, who shall retain the original and provide an electronic copy to all councilmembers, the council chief of staff and the lead staff for the health, housing and human services committee,</w:t>
      </w:r>
      <w:r w:rsidRPr="001421BD">
        <w:rPr>
          <w:i/>
          <w:color w:val="FF0000"/>
          <w:szCs w:val="24"/>
        </w:rPr>
        <w:t xml:space="preserve"> </w:t>
      </w:r>
      <w:r w:rsidRPr="001421BD">
        <w:rPr>
          <w:i/>
          <w:szCs w:val="24"/>
        </w:rPr>
        <w:t>or its</w:t>
      </w:r>
      <w:r w:rsidR="00FA71BF">
        <w:rPr>
          <w:i/>
          <w:szCs w:val="24"/>
        </w:rPr>
        <w:t xml:space="preserve"> </w:t>
      </w:r>
      <w:r w:rsidR="00AB3456">
        <w:rPr>
          <w:i/>
          <w:szCs w:val="24"/>
        </w:rPr>
        <w:t>successors.</w:t>
      </w:r>
    </w:p>
    <w:p w14:paraId="4E8F7995" w14:textId="77777777" w:rsidR="00AB3456" w:rsidRDefault="00AB3456" w:rsidP="005B478C">
      <w:pPr>
        <w:jc w:val="both"/>
        <w:rPr>
          <w:rFonts w:ascii="Arial" w:hAnsi="Arial" w:cs="Arial"/>
          <w:b/>
          <w:smallCaps/>
          <w:szCs w:val="24"/>
          <w:u w:val="single"/>
        </w:rPr>
      </w:pPr>
    </w:p>
    <w:p w14:paraId="11BA9DC9" w14:textId="0FD08BCA"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3F43E709" w14:textId="77777777" w:rsidR="00074A56" w:rsidRPr="009931DF" w:rsidRDefault="00074A56" w:rsidP="005B478C">
      <w:pPr>
        <w:jc w:val="both"/>
        <w:rPr>
          <w:rFonts w:ascii="Arial" w:hAnsi="Arial" w:cs="Arial"/>
          <w:color w:val="FF0000"/>
        </w:rPr>
      </w:pPr>
    </w:p>
    <w:p w14:paraId="7C407D81" w14:textId="23048605" w:rsidR="00F26423" w:rsidRDefault="00BF1920" w:rsidP="00DD0251">
      <w:pPr>
        <w:jc w:val="both"/>
        <w:rPr>
          <w:rFonts w:ascii="Arial" w:hAnsi="Arial" w:cs="Arial"/>
          <w:szCs w:val="24"/>
        </w:rPr>
      </w:pPr>
      <w:r>
        <w:rPr>
          <w:rFonts w:ascii="Arial" w:hAnsi="Arial" w:cs="Arial"/>
          <w:szCs w:val="24"/>
        </w:rPr>
        <w:t>The transmitted report</w:t>
      </w:r>
      <w:r w:rsidR="008943BB">
        <w:rPr>
          <w:rFonts w:ascii="Arial" w:hAnsi="Arial" w:cs="Arial"/>
          <w:szCs w:val="24"/>
        </w:rPr>
        <w:t>, in accordance with the requirements of the 2019-2020 biennial budget proviso (Ordinance 18835, Section 95, Proviso P1),</w:t>
      </w:r>
      <w:r>
        <w:rPr>
          <w:rFonts w:ascii="Arial" w:hAnsi="Arial" w:cs="Arial"/>
          <w:szCs w:val="24"/>
        </w:rPr>
        <w:t xml:space="preserve"> provides information </w:t>
      </w:r>
      <w:r w:rsidR="008943BB">
        <w:rPr>
          <w:rFonts w:ascii="Arial" w:hAnsi="Arial" w:cs="Arial"/>
          <w:szCs w:val="24"/>
        </w:rPr>
        <w:t>on</w:t>
      </w:r>
      <w:r>
        <w:rPr>
          <w:rFonts w:ascii="Arial" w:hAnsi="Arial" w:cs="Arial"/>
          <w:szCs w:val="24"/>
        </w:rPr>
        <w:t xml:space="preserve"> the three COO original place-based sites</w:t>
      </w:r>
      <w:r w:rsidR="008943BB">
        <w:rPr>
          <w:rFonts w:ascii="Arial" w:hAnsi="Arial" w:cs="Arial"/>
          <w:szCs w:val="24"/>
        </w:rPr>
        <w:t xml:space="preserve"> relating to services provided and </w:t>
      </w:r>
      <w:r w:rsidR="00626A16">
        <w:rPr>
          <w:rFonts w:ascii="Arial" w:hAnsi="Arial" w:cs="Arial"/>
          <w:szCs w:val="24"/>
        </w:rPr>
        <w:t xml:space="preserve">priority </w:t>
      </w:r>
      <w:r w:rsidR="008943BB">
        <w:rPr>
          <w:rFonts w:ascii="Arial" w:hAnsi="Arial" w:cs="Arial"/>
          <w:szCs w:val="24"/>
        </w:rPr>
        <w:t xml:space="preserve">strategies, outcomes and </w:t>
      </w:r>
      <w:r w:rsidR="00626A16">
        <w:rPr>
          <w:rFonts w:ascii="Arial" w:hAnsi="Arial" w:cs="Arial"/>
          <w:szCs w:val="24"/>
        </w:rPr>
        <w:t xml:space="preserve">developed </w:t>
      </w:r>
      <w:r w:rsidR="008943BB">
        <w:rPr>
          <w:rFonts w:ascii="Arial" w:hAnsi="Arial" w:cs="Arial"/>
          <w:szCs w:val="24"/>
        </w:rPr>
        <w:t>performance measures.</w:t>
      </w:r>
      <w:r w:rsidR="00626A16">
        <w:rPr>
          <w:rFonts w:ascii="Arial" w:hAnsi="Arial" w:cs="Arial"/>
          <w:szCs w:val="24"/>
        </w:rPr>
        <w:t xml:space="preserve"> </w:t>
      </w:r>
      <w:r w:rsidR="00536B7E">
        <w:rPr>
          <w:rFonts w:ascii="Arial" w:hAnsi="Arial" w:cs="Arial"/>
          <w:szCs w:val="24"/>
        </w:rPr>
        <w:t>In total, the</w:t>
      </w:r>
      <w:r w:rsidR="00626A16">
        <w:rPr>
          <w:rFonts w:ascii="Arial" w:hAnsi="Arial" w:cs="Arial"/>
          <w:szCs w:val="24"/>
        </w:rPr>
        <w:t xml:space="preserve"> report identifies that the original place-based site partnerships engaged </w:t>
      </w:r>
      <w:r w:rsidR="00A4101D">
        <w:rPr>
          <w:rFonts w:ascii="Arial" w:hAnsi="Arial" w:cs="Arial"/>
          <w:szCs w:val="24"/>
        </w:rPr>
        <w:t>17,295 people as part of their COO work in 2018</w:t>
      </w:r>
      <w:r w:rsidR="00A4101D">
        <w:rPr>
          <w:rStyle w:val="FootnoteReference"/>
          <w:rFonts w:ascii="Arial" w:hAnsi="Arial" w:cs="Arial"/>
          <w:szCs w:val="24"/>
        </w:rPr>
        <w:footnoteReference w:id="12"/>
      </w:r>
      <w:r w:rsidR="00A4101D">
        <w:rPr>
          <w:rFonts w:ascii="Arial" w:hAnsi="Arial" w:cs="Arial"/>
          <w:szCs w:val="24"/>
        </w:rPr>
        <w:t xml:space="preserve">, including </w:t>
      </w:r>
      <w:r w:rsidR="00626A16">
        <w:rPr>
          <w:rFonts w:ascii="Arial" w:hAnsi="Arial" w:cs="Arial"/>
          <w:szCs w:val="24"/>
        </w:rPr>
        <w:t>2,305 people through 140 capacity building events</w:t>
      </w:r>
      <w:r w:rsidR="00E869C3">
        <w:rPr>
          <w:rStyle w:val="FootnoteReference"/>
          <w:rFonts w:ascii="Arial" w:hAnsi="Arial" w:cs="Arial"/>
          <w:szCs w:val="24"/>
        </w:rPr>
        <w:footnoteReference w:id="13"/>
      </w:r>
      <w:r w:rsidR="00626A16">
        <w:rPr>
          <w:rFonts w:ascii="Arial" w:hAnsi="Arial" w:cs="Arial"/>
          <w:szCs w:val="24"/>
        </w:rPr>
        <w:t xml:space="preserve"> and 14,990 people in 187 community events.</w:t>
      </w:r>
      <w:r w:rsidR="00883CF4">
        <w:rPr>
          <w:rFonts w:ascii="Arial" w:hAnsi="Arial" w:cs="Arial"/>
          <w:szCs w:val="24"/>
        </w:rPr>
        <w:t xml:space="preserve"> </w:t>
      </w:r>
    </w:p>
    <w:p w14:paraId="2F41BDDB" w14:textId="77777777" w:rsidR="000F174B" w:rsidRDefault="000F174B" w:rsidP="00DD0251">
      <w:pPr>
        <w:jc w:val="both"/>
        <w:rPr>
          <w:rFonts w:ascii="Arial" w:hAnsi="Arial" w:cs="Arial"/>
          <w:szCs w:val="24"/>
        </w:rPr>
      </w:pPr>
    </w:p>
    <w:p w14:paraId="7F77E2F3" w14:textId="10F44998" w:rsidR="00A80C95" w:rsidRDefault="00704499" w:rsidP="00DD0251">
      <w:pPr>
        <w:jc w:val="both"/>
        <w:rPr>
          <w:rFonts w:ascii="Arial" w:hAnsi="Arial" w:cs="Arial"/>
          <w:szCs w:val="24"/>
        </w:rPr>
      </w:pPr>
      <w:r w:rsidRPr="00704499">
        <w:rPr>
          <w:rFonts w:ascii="Arial" w:hAnsi="Arial" w:cs="Arial"/>
          <w:b/>
          <w:szCs w:val="24"/>
        </w:rPr>
        <w:t>White Center Partnership.</w:t>
      </w:r>
      <w:r>
        <w:rPr>
          <w:rFonts w:ascii="Arial" w:hAnsi="Arial" w:cs="Arial"/>
          <w:b/>
          <w:szCs w:val="24"/>
        </w:rPr>
        <w:t xml:space="preserve"> </w:t>
      </w:r>
      <w:r w:rsidR="004318F4">
        <w:rPr>
          <w:rFonts w:ascii="Arial" w:hAnsi="Arial" w:cs="Arial"/>
          <w:szCs w:val="24"/>
        </w:rPr>
        <w:t xml:space="preserve">White Center, as described in the transmitted report, is home to </w:t>
      </w:r>
      <w:r w:rsidR="00A57E35">
        <w:rPr>
          <w:rFonts w:ascii="Arial" w:hAnsi="Arial" w:cs="Arial"/>
          <w:szCs w:val="24"/>
        </w:rPr>
        <w:t>robust</w:t>
      </w:r>
      <w:r w:rsidR="004318F4">
        <w:rPr>
          <w:rFonts w:ascii="Arial" w:hAnsi="Arial" w:cs="Arial"/>
          <w:szCs w:val="24"/>
        </w:rPr>
        <w:t xml:space="preserve"> immigrant and refugee communities, with about 31 percent of residents born outside of the United States (compared to approximately 22 p</w:t>
      </w:r>
      <w:r w:rsidR="007F135E">
        <w:rPr>
          <w:rFonts w:ascii="Arial" w:hAnsi="Arial" w:cs="Arial"/>
          <w:szCs w:val="24"/>
        </w:rPr>
        <w:t>ercent for all of King County)</w:t>
      </w:r>
      <w:r w:rsidR="00EB0273">
        <w:rPr>
          <w:rFonts w:ascii="Arial" w:hAnsi="Arial" w:cs="Arial"/>
          <w:szCs w:val="24"/>
        </w:rPr>
        <w:t xml:space="preserve">. </w:t>
      </w:r>
      <w:r w:rsidR="002B3C6E">
        <w:rPr>
          <w:rFonts w:ascii="Arial" w:hAnsi="Arial" w:cs="Arial"/>
          <w:szCs w:val="24"/>
        </w:rPr>
        <w:t xml:space="preserve">Approximately 39 percent of White Center households, as indicated in the 2018 BSK annual report, have household income below 200 percent of the federal poverty level (compared to 22 percent for the overall county), with approximately 43 percent of </w:t>
      </w:r>
      <w:r w:rsidR="00EB0273">
        <w:rPr>
          <w:rFonts w:ascii="Arial" w:hAnsi="Arial" w:cs="Arial"/>
          <w:szCs w:val="24"/>
        </w:rPr>
        <w:t xml:space="preserve">all </w:t>
      </w:r>
      <w:r w:rsidR="002B3C6E">
        <w:rPr>
          <w:rFonts w:ascii="Arial" w:hAnsi="Arial" w:cs="Arial"/>
          <w:szCs w:val="24"/>
        </w:rPr>
        <w:t>households paying over 30 percent of income on housing</w:t>
      </w:r>
      <w:r w:rsidR="001F1C67">
        <w:rPr>
          <w:rFonts w:ascii="Arial" w:hAnsi="Arial" w:cs="Arial"/>
          <w:szCs w:val="24"/>
        </w:rPr>
        <w:t xml:space="preserve"> (compared to 31 percent for the overall county)</w:t>
      </w:r>
      <w:r w:rsidR="00EB0273">
        <w:rPr>
          <w:rFonts w:ascii="Arial" w:hAnsi="Arial" w:cs="Arial"/>
          <w:szCs w:val="24"/>
        </w:rPr>
        <w:t>, and approximately 55 percent of communities of color paying at least 30 percent of household income on housing</w:t>
      </w:r>
      <w:r w:rsidR="00B55910">
        <w:rPr>
          <w:rFonts w:ascii="Arial" w:hAnsi="Arial" w:cs="Arial"/>
          <w:szCs w:val="24"/>
        </w:rPr>
        <w:t xml:space="preserve"> (as noted in the transmitted report)</w:t>
      </w:r>
      <w:r w:rsidR="002B3C6E">
        <w:rPr>
          <w:rFonts w:ascii="Arial" w:hAnsi="Arial" w:cs="Arial"/>
          <w:szCs w:val="24"/>
        </w:rPr>
        <w:t>.</w:t>
      </w:r>
      <w:r w:rsidR="002B3C6E">
        <w:rPr>
          <w:rStyle w:val="FootnoteReference"/>
          <w:rFonts w:ascii="Arial" w:hAnsi="Arial" w:cs="Arial"/>
          <w:szCs w:val="24"/>
        </w:rPr>
        <w:footnoteReference w:id="14"/>
      </w:r>
      <w:r w:rsidR="002B3C6E">
        <w:rPr>
          <w:rFonts w:ascii="Arial" w:hAnsi="Arial" w:cs="Arial"/>
          <w:szCs w:val="24"/>
        </w:rPr>
        <w:t xml:space="preserve"> </w:t>
      </w:r>
    </w:p>
    <w:p w14:paraId="542CA9D1" w14:textId="7DD10254" w:rsidR="001C6890" w:rsidRDefault="001C6890" w:rsidP="00DD0251">
      <w:pPr>
        <w:jc w:val="both"/>
        <w:rPr>
          <w:rFonts w:ascii="Arial" w:hAnsi="Arial" w:cs="Arial"/>
          <w:szCs w:val="24"/>
        </w:rPr>
      </w:pPr>
    </w:p>
    <w:p w14:paraId="50DA64B1" w14:textId="6F1FD5D1" w:rsidR="001E3129" w:rsidRDefault="00AD1C11" w:rsidP="00DD0251">
      <w:pPr>
        <w:jc w:val="both"/>
        <w:rPr>
          <w:rFonts w:ascii="Arial" w:hAnsi="Arial" w:cs="Arial"/>
          <w:szCs w:val="24"/>
        </w:rPr>
      </w:pPr>
      <w:r>
        <w:rPr>
          <w:rFonts w:ascii="Arial" w:hAnsi="Arial" w:cs="Arial"/>
          <w:szCs w:val="24"/>
        </w:rPr>
        <w:t xml:space="preserve">In 2018, </w:t>
      </w:r>
      <w:r w:rsidR="001C6890">
        <w:rPr>
          <w:rFonts w:ascii="Arial" w:hAnsi="Arial" w:cs="Arial"/>
          <w:szCs w:val="24"/>
        </w:rPr>
        <w:t>10,426</w:t>
      </w:r>
      <w:r w:rsidR="00636B5B">
        <w:rPr>
          <w:rFonts w:ascii="Arial" w:hAnsi="Arial" w:cs="Arial"/>
          <w:szCs w:val="24"/>
        </w:rPr>
        <w:t xml:space="preserve"> people</w:t>
      </w:r>
      <w:r w:rsidR="001C6890">
        <w:rPr>
          <w:rFonts w:ascii="Arial" w:hAnsi="Arial" w:cs="Arial"/>
          <w:szCs w:val="24"/>
        </w:rPr>
        <w:t xml:space="preserve"> were served or engaged with services through the White Center Partnership</w:t>
      </w:r>
      <w:r w:rsidR="00877DEC">
        <w:rPr>
          <w:rFonts w:ascii="Arial" w:hAnsi="Arial" w:cs="Arial"/>
          <w:szCs w:val="24"/>
        </w:rPr>
        <w:t>.</w:t>
      </w:r>
      <w:r w:rsidR="001E3092" w:rsidRPr="004A29EF">
        <w:rPr>
          <w:rStyle w:val="FootnoteReference"/>
          <w:rFonts w:ascii="Arial" w:hAnsi="Arial" w:cs="Arial"/>
          <w:szCs w:val="24"/>
        </w:rPr>
        <w:footnoteReference w:id="15"/>
      </w:r>
      <w:r w:rsidR="000624A8">
        <w:rPr>
          <w:rFonts w:ascii="Arial" w:hAnsi="Arial" w:cs="Arial"/>
          <w:szCs w:val="24"/>
        </w:rPr>
        <w:t xml:space="preserve"> </w:t>
      </w:r>
      <w:r w:rsidR="003B515D">
        <w:rPr>
          <w:rFonts w:ascii="Arial" w:hAnsi="Arial" w:cs="Arial"/>
          <w:szCs w:val="24"/>
        </w:rPr>
        <w:t>A</w:t>
      </w:r>
      <w:r w:rsidR="006412E1">
        <w:rPr>
          <w:rFonts w:ascii="Arial" w:hAnsi="Arial" w:cs="Arial"/>
          <w:szCs w:val="24"/>
        </w:rPr>
        <w:t xml:space="preserve">s </w:t>
      </w:r>
      <w:r w:rsidR="00636B5B">
        <w:rPr>
          <w:rFonts w:ascii="Arial" w:hAnsi="Arial" w:cs="Arial"/>
          <w:szCs w:val="24"/>
        </w:rPr>
        <w:t>described</w:t>
      </w:r>
      <w:r w:rsidR="003B515D">
        <w:rPr>
          <w:rFonts w:ascii="Arial" w:hAnsi="Arial" w:cs="Arial"/>
          <w:szCs w:val="24"/>
        </w:rPr>
        <w:t xml:space="preserve"> in the transmitted report, organizations in</w:t>
      </w:r>
      <w:r w:rsidR="00882467">
        <w:rPr>
          <w:rFonts w:ascii="Arial" w:hAnsi="Arial" w:cs="Arial"/>
          <w:szCs w:val="24"/>
        </w:rPr>
        <w:t>volved in the COO White Center P</w:t>
      </w:r>
      <w:r w:rsidR="003B515D">
        <w:rPr>
          <w:rFonts w:ascii="Arial" w:hAnsi="Arial" w:cs="Arial"/>
          <w:szCs w:val="24"/>
        </w:rPr>
        <w:t xml:space="preserve">artnership work are led </w:t>
      </w:r>
      <w:r w:rsidR="007D6BB0">
        <w:rPr>
          <w:rFonts w:ascii="Arial" w:hAnsi="Arial" w:cs="Arial"/>
          <w:szCs w:val="24"/>
        </w:rPr>
        <w:t xml:space="preserve">and staffed </w:t>
      </w:r>
      <w:r w:rsidR="003B515D">
        <w:rPr>
          <w:rFonts w:ascii="Arial" w:hAnsi="Arial" w:cs="Arial"/>
          <w:szCs w:val="24"/>
        </w:rPr>
        <w:t xml:space="preserve">by </w:t>
      </w:r>
      <w:r w:rsidR="007D6BB0">
        <w:rPr>
          <w:rFonts w:ascii="Arial" w:hAnsi="Arial" w:cs="Arial"/>
          <w:szCs w:val="24"/>
        </w:rPr>
        <w:t xml:space="preserve">persons </w:t>
      </w:r>
      <w:r w:rsidR="003B515D">
        <w:rPr>
          <w:rFonts w:ascii="Arial" w:hAnsi="Arial" w:cs="Arial"/>
          <w:szCs w:val="24"/>
        </w:rPr>
        <w:t>of color</w:t>
      </w:r>
      <w:r w:rsidR="00BA393C">
        <w:rPr>
          <w:rFonts w:ascii="Arial" w:hAnsi="Arial" w:cs="Arial"/>
          <w:szCs w:val="24"/>
        </w:rPr>
        <w:t>.</w:t>
      </w:r>
      <w:r w:rsidR="007D6BB0">
        <w:rPr>
          <w:rFonts w:ascii="Arial" w:hAnsi="Arial" w:cs="Arial"/>
          <w:szCs w:val="24"/>
        </w:rPr>
        <w:t xml:space="preserve"> Additionally, </w:t>
      </w:r>
      <w:r w:rsidR="00636B5B">
        <w:rPr>
          <w:rFonts w:ascii="Arial" w:hAnsi="Arial" w:cs="Arial"/>
          <w:szCs w:val="24"/>
        </w:rPr>
        <w:t xml:space="preserve">many </w:t>
      </w:r>
      <w:r w:rsidR="007D6BB0">
        <w:rPr>
          <w:rFonts w:ascii="Arial" w:hAnsi="Arial" w:cs="Arial"/>
          <w:szCs w:val="24"/>
        </w:rPr>
        <w:t xml:space="preserve">staff </w:t>
      </w:r>
      <w:r w:rsidR="00636B5B">
        <w:rPr>
          <w:rFonts w:ascii="Arial" w:hAnsi="Arial" w:cs="Arial"/>
          <w:szCs w:val="24"/>
        </w:rPr>
        <w:t xml:space="preserve">live </w:t>
      </w:r>
      <w:r w:rsidR="003B515D">
        <w:rPr>
          <w:rFonts w:ascii="Arial" w:hAnsi="Arial" w:cs="Arial"/>
          <w:szCs w:val="24"/>
        </w:rPr>
        <w:t>or work in White Center and have a deep understanding of the community at-large</w:t>
      </w:r>
      <w:r w:rsidR="00BA393C">
        <w:rPr>
          <w:rFonts w:ascii="Arial" w:hAnsi="Arial" w:cs="Arial"/>
          <w:szCs w:val="24"/>
        </w:rPr>
        <w:t>.</w:t>
      </w:r>
      <w:r w:rsidR="003B515D">
        <w:rPr>
          <w:rFonts w:ascii="Arial" w:hAnsi="Arial" w:cs="Arial"/>
          <w:szCs w:val="24"/>
        </w:rPr>
        <w:t xml:space="preserve"> </w:t>
      </w:r>
      <w:r w:rsidR="001C6890">
        <w:rPr>
          <w:rFonts w:ascii="Arial" w:hAnsi="Arial" w:cs="Arial"/>
          <w:szCs w:val="24"/>
        </w:rPr>
        <w:t xml:space="preserve">A summary of </w:t>
      </w:r>
      <w:r w:rsidR="009435E9">
        <w:rPr>
          <w:rFonts w:ascii="Arial" w:hAnsi="Arial" w:cs="Arial"/>
          <w:szCs w:val="24"/>
        </w:rPr>
        <w:t xml:space="preserve">primary project activities (services provided) </w:t>
      </w:r>
      <w:r w:rsidR="001C6890">
        <w:rPr>
          <w:rFonts w:ascii="Arial" w:hAnsi="Arial" w:cs="Arial"/>
          <w:szCs w:val="24"/>
        </w:rPr>
        <w:t xml:space="preserve">in 2018 </w:t>
      </w:r>
      <w:r w:rsidR="006412E1">
        <w:rPr>
          <w:rFonts w:ascii="Arial" w:hAnsi="Arial" w:cs="Arial"/>
          <w:szCs w:val="24"/>
        </w:rPr>
        <w:t>is included</w:t>
      </w:r>
      <w:r w:rsidR="00992DBE">
        <w:rPr>
          <w:rFonts w:ascii="Arial" w:hAnsi="Arial" w:cs="Arial"/>
          <w:szCs w:val="24"/>
        </w:rPr>
        <w:t xml:space="preserve"> in </w:t>
      </w:r>
      <w:r w:rsidR="001C6890">
        <w:rPr>
          <w:rFonts w:ascii="Arial" w:hAnsi="Arial" w:cs="Arial"/>
          <w:szCs w:val="24"/>
        </w:rPr>
        <w:t>Appendix A of the transmitted report.</w:t>
      </w:r>
      <w:r w:rsidR="001E3129">
        <w:rPr>
          <w:rFonts w:ascii="Arial" w:hAnsi="Arial" w:cs="Arial"/>
          <w:szCs w:val="24"/>
        </w:rPr>
        <w:t xml:space="preserve"> </w:t>
      </w:r>
    </w:p>
    <w:p w14:paraId="0A6AA7E8" w14:textId="551263B8" w:rsidR="00A80C95" w:rsidRDefault="00A80C95" w:rsidP="00DD0251">
      <w:pPr>
        <w:jc w:val="both"/>
        <w:rPr>
          <w:rFonts w:ascii="Arial" w:hAnsi="Arial" w:cs="Arial"/>
          <w:szCs w:val="24"/>
        </w:rPr>
      </w:pPr>
    </w:p>
    <w:p w14:paraId="3E9381C8" w14:textId="116F7D81" w:rsidR="00A52FCD" w:rsidRDefault="00A52FCD" w:rsidP="00AB3456">
      <w:pPr>
        <w:ind w:firstLine="720"/>
        <w:jc w:val="both"/>
        <w:rPr>
          <w:rFonts w:ascii="Arial" w:hAnsi="Arial" w:cs="Arial"/>
          <w:szCs w:val="24"/>
        </w:rPr>
      </w:pPr>
      <w:r w:rsidRPr="00AB3456">
        <w:rPr>
          <w:rFonts w:ascii="Arial" w:hAnsi="Arial" w:cs="Arial"/>
          <w:b/>
          <w:szCs w:val="24"/>
        </w:rPr>
        <w:t>2018 Priority Strategies and Outcomes Achieved in 2018</w:t>
      </w:r>
      <w:r w:rsidRPr="00AB4197">
        <w:rPr>
          <w:rFonts w:ascii="Arial" w:hAnsi="Arial" w:cs="Arial"/>
          <w:szCs w:val="24"/>
        </w:rPr>
        <w:t>.</w:t>
      </w:r>
      <w:r w:rsidR="00F26423">
        <w:rPr>
          <w:rFonts w:ascii="Arial" w:hAnsi="Arial" w:cs="Arial"/>
          <w:szCs w:val="24"/>
        </w:rPr>
        <w:t xml:space="preserve"> A high-</w:t>
      </w:r>
      <w:r w:rsidR="00882467">
        <w:rPr>
          <w:rFonts w:ascii="Arial" w:hAnsi="Arial" w:cs="Arial"/>
          <w:szCs w:val="24"/>
        </w:rPr>
        <w:t xml:space="preserve">level summary of </w:t>
      </w:r>
      <w:r w:rsidR="00400F57">
        <w:rPr>
          <w:rFonts w:ascii="Arial" w:hAnsi="Arial" w:cs="Arial"/>
          <w:szCs w:val="24"/>
        </w:rPr>
        <w:t xml:space="preserve">the three </w:t>
      </w:r>
      <w:r w:rsidR="00882467">
        <w:rPr>
          <w:rFonts w:ascii="Arial" w:hAnsi="Arial" w:cs="Arial"/>
          <w:szCs w:val="24"/>
        </w:rPr>
        <w:t>priority strategies developed for 2018 for the White Center Partnership</w:t>
      </w:r>
      <w:r w:rsidR="00D56ED1">
        <w:rPr>
          <w:rFonts w:ascii="Arial" w:hAnsi="Arial" w:cs="Arial"/>
          <w:szCs w:val="24"/>
        </w:rPr>
        <w:t>,</w:t>
      </w:r>
      <w:r w:rsidR="00882467">
        <w:rPr>
          <w:rFonts w:ascii="Arial" w:hAnsi="Arial" w:cs="Arial"/>
          <w:szCs w:val="24"/>
        </w:rPr>
        <w:t xml:space="preserve"> and outcomes achieved in 2018 towards those strategies</w:t>
      </w:r>
      <w:r w:rsidR="00D56ED1">
        <w:rPr>
          <w:rFonts w:ascii="Arial" w:hAnsi="Arial" w:cs="Arial"/>
          <w:szCs w:val="24"/>
        </w:rPr>
        <w:t>,</w:t>
      </w:r>
      <w:r w:rsidR="00882467">
        <w:rPr>
          <w:rFonts w:ascii="Arial" w:hAnsi="Arial" w:cs="Arial"/>
          <w:szCs w:val="24"/>
        </w:rPr>
        <w:t xml:space="preserve"> is provided in Table </w:t>
      </w:r>
      <w:r w:rsidR="005E6529">
        <w:rPr>
          <w:rFonts w:ascii="Arial" w:hAnsi="Arial" w:cs="Arial"/>
          <w:szCs w:val="24"/>
        </w:rPr>
        <w:t>3</w:t>
      </w:r>
      <w:r w:rsidR="00882467">
        <w:rPr>
          <w:rFonts w:ascii="Arial" w:hAnsi="Arial" w:cs="Arial"/>
          <w:szCs w:val="24"/>
        </w:rPr>
        <w:t>.</w:t>
      </w:r>
    </w:p>
    <w:p w14:paraId="195CD3FF" w14:textId="77777777" w:rsidR="00400F57" w:rsidRDefault="00400F57" w:rsidP="00882467">
      <w:pPr>
        <w:ind w:right="-270" w:hanging="270"/>
        <w:jc w:val="center"/>
        <w:rPr>
          <w:rFonts w:ascii="Arial" w:hAnsi="Arial" w:cs="Arial"/>
          <w:b/>
        </w:rPr>
      </w:pPr>
    </w:p>
    <w:p w14:paraId="22E6443E" w14:textId="7CC7D5AA" w:rsidR="009E6168" w:rsidRDefault="00882467" w:rsidP="00882467">
      <w:pPr>
        <w:ind w:right="-270" w:hanging="270"/>
        <w:jc w:val="center"/>
        <w:rPr>
          <w:rFonts w:ascii="Arial" w:hAnsi="Arial" w:cs="Arial"/>
          <w:b/>
          <w:szCs w:val="24"/>
        </w:rPr>
      </w:pPr>
      <w:r>
        <w:rPr>
          <w:rFonts w:ascii="Arial" w:hAnsi="Arial" w:cs="Arial"/>
          <w:b/>
        </w:rPr>
        <w:t xml:space="preserve">Table </w:t>
      </w:r>
      <w:r w:rsidR="005E6529">
        <w:rPr>
          <w:rFonts w:ascii="Arial" w:hAnsi="Arial" w:cs="Arial"/>
          <w:b/>
        </w:rPr>
        <w:t>3</w:t>
      </w:r>
      <w:r>
        <w:rPr>
          <w:rFonts w:ascii="Arial" w:hAnsi="Arial" w:cs="Arial"/>
          <w:b/>
        </w:rPr>
        <w:t xml:space="preserve">. </w:t>
      </w:r>
      <w:r w:rsidR="009E6168">
        <w:rPr>
          <w:rFonts w:ascii="Arial" w:hAnsi="Arial" w:cs="Arial"/>
          <w:b/>
        </w:rPr>
        <w:t xml:space="preserve">White Center Partnership: </w:t>
      </w:r>
      <w:r w:rsidR="00F26423">
        <w:rPr>
          <w:rFonts w:ascii="Arial" w:hAnsi="Arial" w:cs="Arial"/>
          <w:b/>
        </w:rPr>
        <w:t xml:space="preserve">High-level Summary of </w:t>
      </w:r>
      <w:r w:rsidRPr="00AB4197">
        <w:rPr>
          <w:rFonts w:ascii="Arial" w:hAnsi="Arial" w:cs="Arial"/>
          <w:b/>
          <w:szCs w:val="24"/>
        </w:rPr>
        <w:t xml:space="preserve">2018 </w:t>
      </w:r>
    </w:p>
    <w:p w14:paraId="36441B59" w14:textId="78EDB7A3" w:rsidR="00882467" w:rsidRPr="00AB4197" w:rsidRDefault="00882467" w:rsidP="00882467">
      <w:pPr>
        <w:ind w:right="-270" w:hanging="270"/>
        <w:jc w:val="center"/>
        <w:rPr>
          <w:rFonts w:ascii="Arial" w:hAnsi="Arial" w:cs="Arial"/>
          <w:b/>
          <w:szCs w:val="24"/>
        </w:rPr>
      </w:pPr>
      <w:r w:rsidRPr="00AB4197">
        <w:rPr>
          <w:rFonts w:ascii="Arial" w:hAnsi="Arial" w:cs="Arial"/>
          <w:b/>
          <w:szCs w:val="24"/>
        </w:rPr>
        <w:t>Priority Strategies and Outcomes Achieved</w:t>
      </w:r>
    </w:p>
    <w:tbl>
      <w:tblPr>
        <w:tblStyle w:val="TableGrid1"/>
        <w:tblW w:w="10205" w:type="dxa"/>
        <w:jc w:val="center"/>
        <w:tblLayout w:type="fixed"/>
        <w:tblLook w:val="04A0" w:firstRow="1" w:lastRow="0" w:firstColumn="1" w:lastColumn="0" w:noHBand="0" w:noVBand="1"/>
      </w:tblPr>
      <w:tblGrid>
        <w:gridCol w:w="1053"/>
        <w:gridCol w:w="1980"/>
        <w:gridCol w:w="7172"/>
      </w:tblGrid>
      <w:tr w:rsidR="00A300A6" w:rsidRPr="00AB4197" w14:paraId="34E49323" w14:textId="77777777" w:rsidTr="00400F57">
        <w:trPr>
          <w:trHeight w:val="175"/>
          <w:jc w:val="center"/>
        </w:trPr>
        <w:tc>
          <w:tcPr>
            <w:tcW w:w="1053" w:type="dxa"/>
            <w:shd w:val="clear" w:color="auto" w:fill="DAEEF3" w:themeFill="accent5" w:themeFillTint="33"/>
          </w:tcPr>
          <w:p w14:paraId="6DDA0563" w14:textId="5A8F69E2" w:rsidR="006A027E" w:rsidRPr="00AB4197" w:rsidRDefault="006A027E" w:rsidP="00084672">
            <w:pPr>
              <w:jc w:val="center"/>
              <w:rPr>
                <w:rFonts w:asciiTheme="minorHAnsi" w:hAnsiTheme="minorHAnsi" w:cstheme="minorHAnsi"/>
                <w:b/>
                <w:bCs/>
                <w:sz w:val="22"/>
              </w:rPr>
            </w:pPr>
            <w:r w:rsidRPr="00AB4197">
              <w:rPr>
                <w:rFonts w:asciiTheme="minorHAnsi" w:hAnsiTheme="minorHAnsi" w:cstheme="minorHAnsi"/>
                <w:b/>
                <w:bCs/>
                <w:sz w:val="22"/>
              </w:rPr>
              <w:t>Strategy</w:t>
            </w:r>
          </w:p>
        </w:tc>
        <w:tc>
          <w:tcPr>
            <w:tcW w:w="1980" w:type="dxa"/>
            <w:shd w:val="clear" w:color="auto" w:fill="DAEEF3" w:themeFill="accent5" w:themeFillTint="33"/>
          </w:tcPr>
          <w:p w14:paraId="600DA1EC" w14:textId="312F48FE" w:rsidR="006A027E" w:rsidRPr="00AB4197" w:rsidRDefault="006A027E" w:rsidP="00084672">
            <w:pPr>
              <w:jc w:val="center"/>
              <w:rPr>
                <w:rFonts w:asciiTheme="minorHAnsi" w:hAnsiTheme="minorHAnsi" w:cstheme="minorHAnsi"/>
                <w:b/>
                <w:bCs/>
                <w:sz w:val="22"/>
              </w:rPr>
            </w:pPr>
            <w:r w:rsidRPr="00AB4197">
              <w:rPr>
                <w:rFonts w:asciiTheme="minorHAnsi" w:hAnsiTheme="minorHAnsi" w:cstheme="minorHAnsi"/>
                <w:b/>
                <w:bCs/>
                <w:sz w:val="22"/>
              </w:rPr>
              <w:t>Brief Description</w:t>
            </w:r>
          </w:p>
        </w:tc>
        <w:tc>
          <w:tcPr>
            <w:tcW w:w="7172" w:type="dxa"/>
            <w:shd w:val="clear" w:color="auto" w:fill="DAEEF3" w:themeFill="accent5" w:themeFillTint="33"/>
          </w:tcPr>
          <w:p w14:paraId="0609B76D" w14:textId="25DCC908" w:rsidR="006A027E" w:rsidRPr="00AB4197" w:rsidRDefault="008F4AFA" w:rsidP="00AB4197">
            <w:pPr>
              <w:jc w:val="center"/>
              <w:rPr>
                <w:rFonts w:asciiTheme="minorHAnsi" w:hAnsiTheme="minorHAnsi" w:cstheme="minorHAnsi"/>
                <w:b/>
                <w:bCs/>
                <w:sz w:val="22"/>
              </w:rPr>
            </w:pPr>
            <w:r>
              <w:rPr>
                <w:rFonts w:asciiTheme="minorHAnsi" w:hAnsiTheme="minorHAnsi" w:cstheme="minorHAnsi"/>
                <w:b/>
                <w:bCs/>
                <w:sz w:val="22"/>
              </w:rPr>
              <w:t xml:space="preserve">2018 </w:t>
            </w:r>
            <w:r w:rsidR="006A027E" w:rsidRPr="00AB4197">
              <w:rPr>
                <w:rFonts w:asciiTheme="minorHAnsi" w:hAnsiTheme="minorHAnsi" w:cstheme="minorHAnsi"/>
                <w:b/>
                <w:bCs/>
                <w:sz w:val="22"/>
              </w:rPr>
              <w:t>Outcomes Achieved toward Strategy</w:t>
            </w:r>
          </w:p>
        </w:tc>
      </w:tr>
      <w:tr w:rsidR="00A300A6" w:rsidRPr="00AB4197" w14:paraId="22442285" w14:textId="77777777" w:rsidTr="00400F57">
        <w:trPr>
          <w:trHeight w:val="20"/>
          <w:jc w:val="center"/>
        </w:trPr>
        <w:tc>
          <w:tcPr>
            <w:tcW w:w="1053" w:type="dxa"/>
            <w:tcBorders>
              <w:bottom w:val="single" w:sz="4" w:space="0" w:color="auto"/>
            </w:tcBorders>
            <w:vAlign w:val="center"/>
          </w:tcPr>
          <w:p w14:paraId="3FED822D" w14:textId="7E338A30" w:rsidR="006A027E" w:rsidRPr="00AB4197" w:rsidRDefault="006A027E" w:rsidP="00AB4197">
            <w:pPr>
              <w:jc w:val="center"/>
              <w:rPr>
                <w:rFonts w:asciiTheme="minorHAnsi" w:hAnsiTheme="minorHAnsi" w:cstheme="minorHAnsi"/>
                <w:b/>
                <w:sz w:val="22"/>
              </w:rPr>
            </w:pPr>
            <w:r w:rsidRPr="00AB4197">
              <w:rPr>
                <w:rFonts w:asciiTheme="minorHAnsi" w:hAnsiTheme="minorHAnsi" w:cstheme="minorHAnsi"/>
                <w:b/>
                <w:sz w:val="22"/>
              </w:rPr>
              <w:t>1</w:t>
            </w:r>
          </w:p>
        </w:tc>
        <w:tc>
          <w:tcPr>
            <w:tcW w:w="1980" w:type="dxa"/>
            <w:tcBorders>
              <w:bottom w:val="single" w:sz="4" w:space="0" w:color="auto"/>
            </w:tcBorders>
            <w:vAlign w:val="center"/>
          </w:tcPr>
          <w:p w14:paraId="630C038A" w14:textId="0DD93682" w:rsidR="006A027E" w:rsidRPr="00AB4197" w:rsidRDefault="006A027E" w:rsidP="00AB4197">
            <w:pPr>
              <w:spacing w:after="60"/>
              <w:rPr>
                <w:rFonts w:asciiTheme="minorHAnsi" w:eastAsiaTheme="minorHAnsi" w:hAnsiTheme="minorHAnsi" w:cstheme="minorHAnsi"/>
                <w:b/>
                <w:sz w:val="22"/>
              </w:rPr>
            </w:pPr>
            <w:r w:rsidRPr="00AB4197">
              <w:rPr>
                <w:rFonts w:asciiTheme="minorHAnsi" w:eastAsiaTheme="minorHAnsi" w:hAnsiTheme="minorHAnsi" w:cstheme="minorHAnsi"/>
                <w:b/>
                <w:sz w:val="22"/>
              </w:rPr>
              <w:t xml:space="preserve">Expand affordable housing and multiple services </w:t>
            </w:r>
            <w:r w:rsidRPr="00AB4197">
              <w:rPr>
                <w:rFonts w:asciiTheme="minorHAnsi" w:eastAsiaTheme="minorHAnsi" w:hAnsiTheme="minorHAnsi" w:cstheme="minorHAnsi"/>
                <w:b/>
                <w:sz w:val="22"/>
              </w:rPr>
              <w:lastRenderedPageBreak/>
              <w:t>through White Center Hub</w:t>
            </w:r>
            <w:r w:rsidRPr="00AB4197">
              <w:rPr>
                <w:rStyle w:val="FootnoteReference"/>
                <w:rFonts w:asciiTheme="minorHAnsi" w:eastAsiaTheme="minorHAnsi" w:hAnsiTheme="minorHAnsi" w:cstheme="minorHAnsi"/>
                <w:b/>
                <w:sz w:val="22"/>
              </w:rPr>
              <w:footnoteReference w:id="16"/>
            </w:r>
          </w:p>
        </w:tc>
        <w:tc>
          <w:tcPr>
            <w:tcW w:w="7172" w:type="dxa"/>
            <w:tcBorders>
              <w:bottom w:val="single" w:sz="4" w:space="0" w:color="auto"/>
            </w:tcBorders>
          </w:tcPr>
          <w:p w14:paraId="65E0FA59" w14:textId="77777777" w:rsidR="00F26423" w:rsidRPr="00AB4197" w:rsidRDefault="00F9153D"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lastRenderedPageBreak/>
              <w:t>Developed Community Advisory Council</w:t>
            </w:r>
          </w:p>
          <w:p w14:paraId="36B6D9B3" w14:textId="7C4C5098" w:rsidR="00F26423" w:rsidRPr="00AB4197" w:rsidRDefault="00F26423"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“Rise Together” cross-neighborhood collaboration</w:t>
            </w:r>
            <w:r w:rsidR="00C53434" w:rsidRPr="00AB4197">
              <w:rPr>
                <w:rFonts w:asciiTheme="minorHAnsi" w:hAnsiTheme="minorHAnsi" w:cstheme="minorHAnsi"/>
                <w:sz w:val="22"/>
                <w:szCs w:val="22"/>
              </w:rPr>
              <w:t xml:space="preserve"> to address neighborhoods displacement</w:t>
            </w:r>
          </w:p>
          <w:p w14:paraId="5EF0A078" w14:textId="610CD564" w:rsidR="006A027E" w:rsidRPr="00AB4197" w:rsidRDefault="00F26423" w:rsidP="00AB4197">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lastRenderedPageBreak/>
              <w:t>Developed Youth Board</w:t>
            </w:r>
            <w:r w:rsidR="00C53434" w:rsidRPr="00AB4197">
              <w:rPr>
                <w:rFonts w:asciiTheme="minorHAnsi" w:hAnsiTheme="minorHAnsi" w:cstheme="minorHAnsi"/>
                <w:sz w:val="22"/>
                <w:szCs w:val="22"/>
              </w:rPr>
              <w:t xml:space="preserve"> to bring youth voice to planning for the Hub</w:t>
            </w:r>
          </w:p>
        </w:tc>
      </w:tr>
      <w:tr w:rsidR="00CF02DB" w:rsidRPr="00AB4197" w14:paraId="604CB845" w14:textId="77777777" w:rsidTr="002A0F22">
        <w:trPr>
          <w:trHeight w:val="20"/>
          <w:jc w:val="center"/>
        </w:trPr>
        <w:tc>
          <w:tcPr>
            <w:tcW w:w="10205" w:type="dxa"/>
            <w:gridSpan w:val="3"/>
            <w:tcBorders>
              <w:top w:val="single" w:sz="4" w:space="0" w:color="auto"/>
              <w:left w:val="nil"/>
              <w:bottom w:val="nil"/>
              <w:right w:val="nil"/>
            </w:tcBorders>
            <w:shd w:val="clear" w:color="auto" w:fill="auto"/>
            <w:vAlign w:val="center"/>
          </w:tcPr>
          <w:p w14:paraId="756FE262" w14:textId="3B4D7C6F" w:rsidR="00CF02DB" w:rsidRPr="00875042" w:rsidRDefault="00CF02DB" w:rsidP="00875042">
            <w:pPr>
              <w:pStyle w:val="ListParagraph0"/>
              <w:ind w:left="257"/>
              <w:jc w:val="center"/>
              <w:rPr>
                <w:rFonts w:asciiTheme="minorHAnsi" w:hAnsiTheme="minorHAnsi" w:cstheme="minorHAnsi"/>
                <w:b/>
                <w:sz w:val="22"/>
                <w:shd w:val="clear" w:color="auto" w:fill="DAEEF3" w:themeFill="accent5" w:themeFillTint="33"/>
              </w:rPr>
            </w:pPr>
          </w:p>
        </w:tc>
      </w:tr>
      <w:tr w:rsidR="00875042" w:rsidRPr="00AB4197" w14:paraId="4D12FD36" w14:textId="77777777" w:rsidTr="002A0F22">
        <w:trPr>
          <w:trHeight w:val="20"/>
          <w:jc w:val="center"/>
        </w:trPr>
        <w:tc>
          <w:tcPr>
            <w:tcW w:w="10205" w:type="dxa"/>
            <w:gridSpan w:val="3"/>
            <w:tcBorders>
              <w:top w:val="nil"/>
              <w:left w:val="nil"/>
              <w:right w:val="nil"/>
            </w:tcBorders>
            <w:shd w:val="clear" w:color="auto" w:fill="DAEEF3" w:themeFill="accent5" w:themeFillTint="33"/>
            <w:vAlign w:val="center"/>
          </w:tcPr>
          <w:p w14:paraId="05F61868" w14:textId="5E271BBF" w:rsidR="00875042" w:rsidRPr="00AB4197" w:rsidRDefault="00875042" w:rsidP="00875042">
            <w:pPr>
              <w:pStyle w:val="ListParagraph0"/>
              <w:ind w:left="257"/>
              <w:jc w:val="center"/>
              <w:rPr>
                <w:rFonts w:asciiTheme="minorHAnsi" w:hAnsiTheme="minorHAnsi" w:cstheme="minorHAnsi"/>
                <w:sz w:val="22"/>
                <w:szCs w:val="22"/>
              </w:rPr>
            </w:pPr>
            <w:r w:rsidRPr="00875042">
              <w:rPr>
                <w:rFonts w:asciiTheme="minorHAnsi" w:hAnsiTheme="minorHAnsi" w:cstheme="minorHAnsi"/>
                <w:b/>
                <w:sz w:val="22"/>
                <w:shd w:val="clear" w:color="auto" w:fill="DAEEF3" w:themeFill="accent5" w:themeFillTint="33"/>
              </w:rPr>
              <w:t>Table 3 Continued from Previous Page</w:t>
            </w:r>
          </w:p>
        </w:tc>
      </w:tr>
      <w:tr w:rsidR="00875042" w:rsidRPr="00AB4197" w14:paraId="359EC5C4" w14:textId="77777777" w:rsidTr="00400F57">
        <w:trPr>
          <w:trHeight w:val="20"/>
          <w:jc w:val="center"/>
        </w:trPr>
        <w:tc>
          <w:tcPr>
            <w:tcW w:w="1053" w:type="dxa"/>
            <w:tcBorders>
              <w:top w:val="single" w:sz="4" w:space="0" w:color="auto"/>
            </w:tcBorders>
            <w:vAlign w:val="center"/>
          </w:tcPr>
          <w:p w14:paraId="2AED1A5D" w14:textId="44635810" w:rsidR="00875042" w:rsidRPr="00AB4197" w:rsidRDefault="00875042" w:rsidP="00875042">
            <w:pPr>
              <w:jc w:val="center"/>
              <w:rPr>
                <w:rFonts w:asciiTheme="minorHAnsi" w:hAnsiTheme="minorHAnsi" w:cstheme="minorHAnsi"/>
                <w:b/>
                <w:sz w:val="22"/>
              </w:rPr>
            </w:pPr>
            <w:r w:rsidRPr="00AB4197">
              <w:rPr>
                <w:rFonts w:asciiTheme="minorHAnsi" w:hAnsiTheme="minorHAnsi" w:cstheme="minorHAnsi"/>
                <w:b/>
                <w:sz w:val="22"/>
              </w:rPr>
              <w:t>2</w:t>
            </w:r>
          </w:p>
        </w:tc>
        <w:tc>
          <w:tcPr>
            <w:tcW w:w="1980" w:type="dxa"/>
            <w:tcBorders>
              <w:top w:val="single" w:sz="4" w:space="0" w:color="auto"/>
            </w:tcBorders>
            <w:vAlign w:val="center"/>
          </w:tcPr>
          <w:p w14:paraId="1378E1A7" w14:textId="447B822D" w:rsidR="00875042" w:rsidRPr="00AB4197" w:rsidRDefault="00875042" w:rsidP="00875042">
            <w:pPr>
              <w:pStyle w:val="ListParagraph0"/>
              <w:spacing w:after="60"/>
              <w:ind w:left="0"/>
              <w:rPr>
                <w:rFonts w:asciiTheme="minorHAnsi" w:eastAsiaTheme="minorHAnsi" w:hAnsiTheme="minorHAnsi" w:cstheme="minorHAnsi"/>
                <w:b/>
                <w:sz w:val="22"/>
                <w:szCs w:val="22"/>
              </w:rPr>
            </w:pPr>
            <w:r w:rsidRPr="00AB4197">
              <w:rPr>
                <w:rFonts w:asciiTheme="minorHAnsi" w:eastAsiaTheme="minorHAnsi" w:hAnsiTheme="minorHAnsi" w:cstheme="minorHAnsi"/>
                <w:b/>
                <w:sz w:val="22"/>
                <w:szCs w:val="22"/>
              </w:rPr>
              <w:t>Increase access to healthy foods and nutrition education</w:t>
            </w:r>
          </w:p>
        </w:tc>
        <w:tc>
          <w:tcPr>
            <w:tcW w:w="7172" w:type="dxa"/>
            <w:tcBorders>
              <w:top w:val="single" w:sz="4" w:space="0" w:color="auto"/>
            </w:tcBorders>
          </w:tcPr>
          <w:p w14:paraId="6536C0D7"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roundtable of stakeholders to collectively identify key strategies to increase access to affordable, healthy food for the neighborhood</w:t>
            </w:r>
          </w:p>
          <w:p w14:paraId="440BF41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Established data-driven community priorities through community survey</w:t>
            </w:r>
          </w:p>
          <w:p w14:paraId="2069C89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Promoted youth leadership through workshops and community dinners</w:t>
            </w:r>
          </w:p>
          <w:p w14:paraId="1F75914C" w14:textId="513DCFCA"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Expanded access to food for low-income residents by removing barriers to help connect people to growing their own food and increase food security</w:t>
            </w:r>
          </w:p>
        </w:tc>
      </w:tr>
      <w:tr w:rsidR="00875042" w:rsidRPr="00AB4197" w14:paraId="0F77CB58" w14:textId="77777777" w:rsidTr="00400F57">
        <w:trPr>
          <w:trHeight w:val="20"/>
          <w:jc w:val="center"/>
        </w:trPr>
        <w:tc>
          <w:tcPr>
            <w:tcW w:w="1053" w:type="dxa"/>
            <w:vAlign w:val="center"/>
          </w:tcPr>
          <w:p w14:paraId="24542992" w14:textId="4B59513F" w:rsidR="00875042" w:rsidRPr="00AB4197" w:rsidRDefault="00875042" w:rsidP="00875042">
            <w:pPr>
              <w:jc w:val="center"/>
              <w:rPr>
                <w:rFonts w:asciiTheme="minorHAnsi" w:hAnsiTheme="minorHAnsi" w:cstheme="minorHAnsi"/>
                <w:b/>
                <w:sz w:val="22"/>
              </w:rPr>
            </w:pPr>
            <w:r w:rsidRPr="00AB4197">
              <w:rPr>
                <w:rFonts w:asciiTheme="minorHAnsi" w:hAnsiTheme="minorHAnsi" w:cstheme="minorHAnsi"/>
                <w:b/>
                <w:sz w:val="22"/>
              </w:rPr>
              <w:t>3</w:t>
            </w:r>
          </w:p>
        </w:tc>
        <w:tc>
          <w:tcPr>
            <w:tcW w:w="1980" w:type="dxa"/>
            <w:vAlign w:val="center"/>
          </w:tcPr>
          <w:p w14:paraId="0A95D26E" w14:textId="5D434C13" w:rsidR="00875042" w:rsidRPr="00AB4197" w:rsidRDefault="00875042" w:rsidP="00875042">
            <w:pPr>
              <w:pStyle w:val="ListParagraph0"/>
              <w:spacing w:after="60"/>
              <w:ind w:left="0"/>
              <w:rPr>
                <w:rFonts w:asciiTheme="minorHAnsi" w:eastAsiaTheme="minorHAnsi" w:hAnsiTheme="minorHAnsi" w:cstheme="minorHAnsi"/>
                <w:b/>
                <w:sz w:val="22"/>
                <w:szCs w:val="22"/>
              </w:rPr>
            </w:pPr>
            <w:r w:rsidRPr="00AB4197">
              <w:rPr>
                <w:rFonts w:asciiTheme="minorHAnsi" w:eastAsiaTheme="minorHAnsi" w:hAnsiTheme="minorHAnsi" w:cstheme="minorHAnsi"/>
                <w:b/>
                <w:sz w:val="22"/>
                <w:szCs w:val="22"/>
              </w:rPr>
              <w:t>Support neighborhood revitalization and economic opportunity</w:t>
            </w:r>
          </w:p>
        </w:tc>
        <w:tc>
          <w:tcPr>
            <w:tcW w:w="7172" w:type="dxa"/>
          </w:tcPr>
          <w:p w14:paraId="49082226" w14:textId="77777777"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Expanded employment and job readiness programs</w:t>
            </w:r>
          </w:p>
          <w:p w14:paraId="1291FB14" w14:textId="0559F7B3" w:rsidR="00875042" w:rsidRDefault="00875042" w:rsidP="00875042">
            <w:pPr>
              <w:pStyle w:val="ListParagraph0"/>
              <w:numPr>
                <w:ilvl w:val="0"/>
                <w:numId w:val="54"/>
              </w:numPr>
              <w:ind w:left="257" w:hanging="180"/>
              <w:rPr>
                <w:rFonts w:asciiTheme="minorHAnsi" w:hAnsiTheme="minorHAnsi" w:cstheme="minorHAnsi"/>
                <w:sz w:val="22"/>
                <w:szCs w:val="22"/>
              </w:rPr>
            </w:pPr>
            <w:r w:rsidRPr="00AB4197">
              <w:rPr>
                <w:rFonts w:asciiTheme="minorHAnsi" w:hAnsiTheme="minorHAnsi" w:cstheme="minorHAnsi"/>
                <w:sz w:val="22"/>
                <w:szCs w:val="22"/>
              </w:rPr>
              <w:t>Engaged youth in building s</w:t>
            </w:r>
            <w:r>
              <w:rPr>
                <w:rFonts w:asciiTheme="minorHAnsi" w:hAnsiTheme="minorHAnsi" w:cstheme="minorHAnsi"/>
                <w:sz w:val="22"/>
                <w:szCs w:val="22"/>
              </w:rPr>
              <w:t>k</w:t>
            </w:r>
            <w:r w:rsidRPr="00AB4197">
              <w:rPr>
                <w:rFonts w:asciiTheme="minorHAnsi" w:hAnsiTheme="minorHAnsi" w:cstheme="minorHAnsi"/>
                <w:sz w:val="22"/>
                <w:szCs w:val="22"/>
              </w:rPr>
              <w:t>ills to address displacement through youth internship program (White Center II White House)</w:t>
            </w:r>
          </w:p>
          <w:p w14:paraId="30B67864" w14:textId="3D7F9D6D" w:rsidR="00875042" w:rsidRPr="00AB4197" w:rsidRDefault="00875042" w:rsidP="0087504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Strengthened leadership development via engagement with over 100 residents from diverse racial and ethnic minority populations on leadership development, advocacy and community building</w:t>
            </w:r>
          </w:p>
        </w:tc>
      </w:tr>
    </w:tbl>
    <w:p w14:paraId="73DEF3D1" w14:textId="77777777" w:rsidR="00882467" w:rsidRPr="00AB4197" w:rsidRDefault="00882467" w:rsidP="00DD0251">
      <w:pPr>
        <w:jc w:val="both"/>
        <w:rPr>
          <w:rFonts w:ascii="Arial" w:hAnsi="Arial" w:cs="Arial"/>
          <w:szCs w:val="24"/>
          <w:u w:val="single"/>
        </w:rPr>
      </w:pPr>
    </w:p>
    <w:p w14:paraId="694ADF44" w14:textId="77777777" w:rsidR="00AB1ADD" w:rsidRDefault="00AB1ADD" w:rsidP="001B59E2">
      <w:pPr>
        <w:jc w:val="both"/>
        <w:rPr>
          <w:rFonts w:ascii="Arial" w:hAnsi="Arial" w:cs="Arial"/>
          <w:b/>
          <w:szCs w:val="24"/>
        </w:rPr>
      </w:pPr>
    </w:p>
    <w:p w14:paraId="7FFE4C6F" w14:textId="7F4D90A2" w:rsidR="00E42490" w:rsidRDefault="001E4C28" w:rsidP="001B59E2">
      <w:pPr>
        <w:jc w:val="both"/>
        <w:rPr>
          <w:rFonts w:ascii="Arial" w:hAnsi="Arial" w:cs="Arial"/>
          <w:szCs w:val="24"/>
        </w:rPr>
      </w:pPr>
      <w:r>
        <w:rPr>
          <w:rFonts w:ascii="Arial" w:hAnsi="Arial" w:cs="Arial"/>
          <w:b/>
          <w:szCs w:val="24"/>
        </w:rPr>
        <w:t>SeaTac/Tukwila</w:t>
      </w:r>
      <w:r w:rsidRPr="00704499">
        <w:rPr>
          <w:rFonts w:ascii="Arial" w:hAnsi="Arial" w:cs="Arial"/>
          <w:b/>
          <w:szCs w:val="24"/>
        </w:rPr>
        <w:t xml:space="preserve"> Partnership</w:t>
      </w:r>
      <w:r w:rsidR="00883CF4">
        <w:rPr>
          <w:rFonts w:ascii="Arial" w:hAnsi="Arial" w:cs="Arial"/>
          <w:b/>
          <w:szCs w:val="24"/>
        </w:rPr>
        <w:t>.</w:t>
      </w:r>
      <w:r w:rsidR="007A14E0">
        <w:rPr>
          <w:rFonts w:ascii="Arial" w:hAnsi="Arial" w:cs="Arial"/>
          <w:b/>
          <w:szCs w:val="24"/>
        </w:rPr>
        <w:t xml:space="preserve"> </w:t>
      </w:r>
      <w:r w:rsidR="00065E59">
        <w:rPr>
          <w:rFonts w:ascii="Arial" w:hAnsi="Arial" w:cs="Arial"/>
          <w:szCs w:val="24"/>
        </w:rPr>
        <w:t>As described in the transmitted report, the SeaTac/Tukwila site spans two municipalities and is home to one of the nation’s mos</w:t>
      </w:r>
      <w:r w:rsidR="002A184F">
        <w:rPr>
          <w:rFonts w:ascii="Arial" w:hAnsi="Arial" w:cs="Arial"/>
          <w:szCs w:val="24"/>
        </w:rPr>
        <w:t>t</w:t>
      </w:r>
      <w:r w:rsidR="00065E59">
        <w:rPr>
          <w:rFonts w:ascii="Arial" w:hAnsi="Arial" w:cs="Arial"/>
          <w:szCs w:val="24"/>
        </w:rPr>
        <w:t xml:space="preserve"> diverse international communities, with more than 70 distinct linguistic groups living in the area.</w:t>
      </w:r>
      <w:r w:rsidR="002B3C6E" w:rsidRPr="002B3C6E">
        <w:rPr>
          <w:rFonts w:ascii="Arial" w:hAnsi="Arial" w:cs="Arial"/>
          <w:szCs w:val="24"/>
        </w:rPr>
        <w:t xml:space="preserve"> </w:t>
      </w:r>
      <w:r w:rsidR="002B3C6E">
        <w:rPr>
          <w:rFonts w:ascii="Arial" w:hAnsi="Arial" w:cs="Arial"/>
          <w:szCs w:val="24"/>
        </w:rPr>
        <w:t xml:space="preserve">Approximately </w:t>
      </w:r>
      <w:r w:rsidR="00DD606F">
        <w:rPr>
          <w:rFonts w:ascii="Arial" w:hAnsi="Arial" w:cs="Arial"/>
          <w:szCs w:val="24"/>
        </w:rPr>
        <w:t>42</w:t>
      </w:r>
      <w:r w:rsidR="002B3C6E">
        <w:rPr>
          <w:rFonts w:ascii="Arial" w:hAnsi="Arial" w:cs="Arial"/>
          <w:szCs w:val="24"/>
        </w:rPr>
        <w:t xml:space="preserve"> percent of SeaTac/Tukwila households, as indicated in the 2018 BSK annual report, have household income below 200 percent of the federal poverty level (compared to 22 percent for the overall county), with approximately 46 percent of households paying over 30 percent of income on housing</w:t>
      </w:r>
      <w:r w:rsidR="001F1C67">
        <w:rPr>
          <w:rFonts w:ascii="Arial" w:hAnsi="Arial" w:cs="Arial"/>
          <w:szCs w:val="24"/>
        </w:rPr>
        <w:t xml:space="preserve"> (compared to 31 percent for the overall county).</w:t>
      </w:r>
      <w:r w:rsidR="002B3C6E">
        <w:rPr>
          <w:rStyle w:val="FootnoteReference"/>
          <w:rFonts w:ascii="Arial" w:hAnsi="Arial" w:cs="Arial"/>
          <w:szCs w:val="24"/>
        </w:rPr>
        <w:footnoteReference w:id="17"/>
      </w:r>
    </w:p>
    <w:p w14:paraId="7FB0BDCB" w14:textId="77777777" w:rsidR="00E42490" w:rsidRDefault="00E42490" w:rsidP="001B59E2">
      <w:pPr>
        <w:jc w:val="both"/>
        <w:rPr>
          <w:rFonts w:ascii="Arial" w:hAnsi="Arial" w:cs="Arial"/>
          <w:szCs w:val="24"/>
        </w:rPr>
      </w:pPr>
    </w:p>
    <w:p w14:paraId="4E42600E" w14:textId="5F5AC008" w:rsidR="00E42490" w:rsidRDefault="00E42490" w:rsidP="00E42490">
      <w:pPr>
        <w:jc w:val="both"/>
        <w:rPr>
          <w:rFonts w:ascii="Arial" w:hAnsi="Arial" w:cs="Arial"/>
          <w:szCs w:val="24"/>
        </w:rPr>
      </w:pPr>
      <w:r>
        <w:rPr>
          <w:rFonts w:ascii="Arial" w:hAnsi="Arial" w:cs="Arial"/>
          <w:szCs w:val="24"/>
        </w:rPr>
        <w:t>In 2018, 1,412</w:t>
      </w:r>
      <w:r w:rsidR="00F51AD7">
        <w:rPr>
          <w:rFonts w:ascii="Arial" w:hAnsi="Arial" w:cs="Arial"/>
          <w:szCs w:val="24"/>
        </w:rPr>
        <w:t xml:space="preserve"> </w:t>
      </w:r>
      <w:r>
        <w:rPr>
          <w:rFonts w:ascii="Arial" w:hAnsi="Arial" w:cs="Arial"/>
          <w:szCs w:val="24"/>
        </w:rPr>
        <w:t>people were served or engaged with services through the SeaTac/Tukwila Partnership.</w:t>
      </w:r>
      <w:r w:rsidR="00877DEC" w:rsidRPr="004A29EF">
        <w:rPr>
          <w:rStyle w:val="FootnoteReference"/>
          <w:rFonts w:ascii="Arial" w:hAnsi="Arial" w:cs="Arial"/>
          <w:szCs w:val="24"/>
        </w:rPr>
        <w:footnoteReference w:id="18"/>
      </w:r>
      <w:r>
        <w:rPr>
          <w:rFonts w:ascii="Arial" w:hAnsi="Arial" w:cs="Arial"/>
          <w:szCs w:val="24"/>
        </w:rPr>
        <w:t xml:space="preserve"> According to the transmitted report, all partners are locally-based organization</w:t>
      </w:r>
      <w:r w:rsidR="00F51AD7">
        <w:rPr>
          <w:rFonts w:ascii="Arial" w:hAnsi="Arial" w:cs="Arial"/>
          <w:szCs w:val="24"/>
        </w:rPr>
        <w:t>s whose</w:t>
      </w:r>
      <w:r>
        <w:rPr>
          <w:rFonts w:ascii="Arial" w:hAnsi="Arial" w:cs="Arial"/>
          <w:szCs w:val="24"/>
        </w:rPr>
        <w:t xml:space="preserve"> staff </w:t>
      </w:r>
      <w:r w:rsidR="00F51AD7">
        <w:rPr>
          <w:rFonts w:ascii="Arial" w:hAnsi="Arial" w:cs="Arial"/>
          <w:szCs w:val="24"/>
        </w:rPr>
        <w:t>largely</w:t>
      </w:r>
      <w:r>
        <w:rPr>
          <w:rFonts w:ascii="Arial" w:hAnsi="Arial" w:cs="Arial"/>
          <w:szCs w:val="24"/>
        </w:rPr>
        <w:t xml:space="preserve"> </w:t>
      </w:r>
      <w:r w:rsidR="00F51AD7">
        <w:rPr>
          <w:rFonts w:ascii="Arial" w:hAnsi="Arial" w:cs="Arial"/>
          <w:szCs w:val="24"/>
        </w:rPr>
        <w:t>live</w:t>
      </w:r>
      <w:r>
        <w:rPr>
          <w:rFonts w:ascii="Arial" w:hAnsi="Arial" w:cs="Arial"/>
          <w:szCs w:val="24"/>
        </w:rPr>
        <w:t xml:space="preserve"> or work in the </w:t>
      </w:r>
      <w:r w:rsidR="00F51AD7">
        <w:rPr>
          <w:rFonts w:ascii="Arial" w:hAnsi="Arial" w:cs="Arial"/>
          <w:szCs w:val="24"/>
        </w:rPr>
        <w:t xml:space="preserve">area. </w:t>
      </w:r>
      <w:r>
        <w:rPr>
          <w:rFonts w:ascii="Arial" w:hAnsi="Arial" w:cs="Arial"/>
          <w:szCs w:val="24"/>
        </w:rPr>
        <w:t xml:space="preserve">A summary of primary project activities (services provided) in 2018 is included in Appendix A of the transmitted report. </w:t>
      </w:r>
    </w:p>
    <w:p w14:paraId="636BE967" w14:textId="77777777" w:rsidR="00E42490" w:rsidRDefault="00E42490" w:rsidP="00E42490">
      <w:pPr>
        <w:jc w:val="both"/>
        <w:rPr>
          <w:rFonts w:ascii="Arial" w:hAnsi="Arial" w:cs="Arial"/>
          <w:szCs w:val="24"/>
        </w:rPr>
      </w:pPr>
    </w:p>
    <w:p w14:paraId="011863E9" w14:textId="7138219E" w:rsidR="001B59E2" w:rsidRDefault="00E42490" w:rsidP="00AB3456">
      <w:pPr>
        <w:ind w:firstLine="720"/>
        <w:jc w:val="both"/>
        <w:rPr>
          <w:rFonts w:ascii="Arial" w:hAnsi="Arial" w:cs="Arial"/>
          <w:szCs w:val="24"/>
        </w:rPr>
      </w:pPr>
      <w:r w:rsidRPr="00AB3456">
        <w:rPr>
          <w:rFonts w:ascii="Arial" w:hAnsi="Arial" w:cs="Arial"/>
          <w:b/>
          <w:szCs w:val="24"/>
        </w:rPr>
        <w:t>2018 Priority Strategies and Outcomes Achieved in 2018</w:t>
      </w:r>
      <w:r>
        <w:rPr>
          <w:rFonts w:ascii="Arial" w:hAnsi="Arial" w:cs="Arial"/>
          <w:szCs w:val="24"/>
        </w:rPr>
        <w:t xml:space="preserve"> A high-level summary of priority strategies developed for 2018 for the </w:t>
      </w:r>
      <w:r w:rsidR="00131347">
        <w:rPr>
          <w:rFonts w:ascii="Arial" w:hAnsi="Arial" w:cs="Arial"/>
          <w:szCs w:val="24"/>
        </w:rPr>
        <w:t xml:space="preserve">SeaTac/Tukwila </w:t>
      </w:r>
      <w:r>
        <w:rPr>
          <w:rFonts w:ascii="Arial" w:hAnsi="Arial" w:cs="Arial"/>
          <w:szCs w:val="24"/>
        </w:rPr>
        <w:t>Partnership and outcomes achieved in 2018 towards those s</w:t>
      </w:r>
      <w:r w:rsidR="00131347">
        <w:rPr>
          <w:rFonts w:ascii="Arial" w:hAnsi="Arial" w:cs="Arial"/>
          <w:szCs w:val="24"/>
        </w:rPr>
        <w:t xml:space="preserve">trategies is provided in Table </w:t>
      </w:r>
      <w:r w:rsidR="005E6529">
        <w:rPr>
          <w:rFonts w:ascii="Arial" w:hAnsi="Arial" w:cs="Arial"/>
          <w:szCs w:val="24"/>
        </w:rPr>
        <w:t>4</w:t>
      </w:r>
      <w:r>
        <w:rPr>
          <w:rFonts w:ascii="Arial" w:hAnsi="Arial" w:cs="Arial"/>
          <w:szCs w:val="24"/>
        </w:rPr>
        <w:t>.</w:t>
      </w:r>
    </w:p>
    <w:p w14:paraId="799AA6BE" w14:textId="0633C69C" w:rsidR="001678D9" w:rsidRDefault="001678D9" w:rsidP="00DD0251">
      <w:pPr>
        <w:jc w:val="both"/>
        <w:rPr>
          <w:rFonts w:ascii="Arial" w:hAnsi="Arial" w:cs="Arial"/>
          <w:szCs w:val="24"/>
        </w:rPr>
      </w:pPr>
    </w:p>
    <w:p w14:paraId="35B67F2B" w14:textId="5054CC8D" w:rsidR="00131347" w:rsidRDefault="00131347" w:rsidP="00131347">
      <w:pPr>
        <w:ind w:right="-270" w:hanging="270"/>
        <w:jc w:val="center"/>
        <w:rPr>
          <w:rFonts w:ascii="Arial" w:hAnsi="Arial" w:cs="Arial"/>
          <w:b/>
          <w:szCs w:val="24"/>
        </w:rPr>
      </w:pPr>
      <w:r>
        <w:rPr>
          <w:rFonts w:ascii="Arial" w:hAnsi="Arial" w:cs="Arial"/>
          <w:b/>
        </w:rPr>
        <w:t xml:space="preserve">Table </w:t>
      </w:r>
      <w:r w:rsidR="005E6529">
        <w:rPr>
          <w:rFonts w:ascii="Arial" w:hAnsi="Arial" w:cs="Arial"/>
          <w:b/>
        </w:rPr>
        <w:t>4</w:t>
      </w:r>
      <w:r>
        <w:rPr>
          <w:rFonts w:ascii="Arial" w:hAnsi="Arial" w:cs="Arial"/>
          <w:b/>
        </w:rPr>
        <w:t xml:space="preserve">. SeaTac/Tukwila Partnership: High-level Summary of </w:t>
      </w:r>
      <w:r w:rsidRPr="003D4A7A">
        <w:rPr>
          <w:rFonts w:ascii="Arial" w:hAnsi="Arial" w:cs="Arial"/>
          <w:b/>
          <w:szCs w:val="24"/>
        </w:rPr>
        <w:t xml:space="preserve">2018 </w:t>
      </w:r>
    </w:p>
    <w:p w14:paraId="35397534" w14:textId="77777777" w:rsidR="00131347" w:rsidRPr="003D4A7A" w:rsidRDefault="00131347" w:rsidP="00131347">
      <w:pPr>
        <w:ind w:right="-270" w:hanging="270"/>
        <w:jc w:val="center"/>
        <w:rPr>
          <w:rFonts w:ascii="Arial" w:hAnsi="Arial" w:cs="Arial"/>
          <w:b/>
          <w:szCs w:val="24"/>
        </w:rPr>
      </w:pPr>
      <w:r w:rsidRPr="003D4A7A">
        <w:rPr>
          <w:rFonts w:ascii="Arial" w:hAnsi="Arial" w:cs="Arial"/>
          <w:b/>
          <w:szCs w:val="24"/>
        </w:rPr>
        <w:t>Priority Strategies and Outcomes Achieved</w:t>
      </w:r>
    </w:p>
    <w:tbl>
      <w:tblPr>
        <w:tblStyle w:val="TableGrid1"/>
        <w:tblW w:w="10932" w:type="dxa"/>
        <w:jc w:val="center"/>
        <w:tblLayout w:type="fixed"/>
        <w:tblLook w:val="04A0" w:firstRow="1" w:lastRow="0" w:firstColumn="1" w:lastColumn="0" w:noHBand="0" w:noVBand="1"/>
      </w:tblPr>
      <w:tblGrid>
        <w:gridCol w:w="1053"/>
        <w:gridCol w:w="1893"/>
        <w:gridCol w:w="7986"/>
      </w:tblGrid>
      <w:tr w:rsidR="00131347" w:rsidRPr="003D4A7A" w14:paraId="1DF78E1E" w14:textId="77777777" w:rsidTr="002A0F22">
        <w:trPr>
          <w:trHeight w:val="175"/>
          <w:jc w:val="center"/>
        </w:trPr>
        <w:tc>
          <w:tcPr>
            <w:tcW w:w="1053" w:type="dxa"/>
            <w:shd w:val="clear" w:color="auto" w:fill="DAEEF3" w:themeFill="accent5" w:themeFillTint="33"/>
          </w:tcPr>
          <w:p w14:paraId="78522AE6" w14:textId="77777777" w:rsidR="00131347" w:rsidRPr="003D4A7A" w:rsidRDefault="00131347" w:rsidP="00084672">
            <w:pPr>
              <w:jc w:val="center"/>
              <w:rPr>
                <w:rFonts w:asciiTheme="minorHAnsi" w:hAnsiTheme="minorHAnsi" w:cstheme="minorHAnsi"/>
                <w:b/>
                <w:bCs/>
                <w:sz w:val="22"/>
              </w:rPr>
            </w:pPr>
            <w:r w:rsidRPr="003D4A7A">
              <w:rPr>
                <w:rFonts w:asciiTheme="minorHAnsi" w:hAnsiTheme="minorHAnsi" w:cstheme="minorHAnsi"/>
                <w:b/>
                <w:bCs/>
                <w:sz w:val="22"/>
              </w:rPr>
              <w:t>Strategy</w:t>
            </w:r>
          </w:p>
        </w:tc>
        <w:tc>
          <w:tcPr>
            <w:tcW w:w="1893" w:type="dxa"/>
            <w:shd w:val="clear" w:color="auto" w:fill="DAEEF3" w:themeFill="accent5" w:themeFillTint="33"/>
          </w:tcPr>
          <w:p w14:paraId="03449FB0" w14:textId="77777777" w:rsidR="00131347" w:rsidRPr="003D4A7A" w:rsidRDefault="00131347" w:rsidP="00084672">
            <w:pPr>
              <w:jc w:val="center"/>
              <w:rPr>
                <w:rFonts w:asciiTheme="minorHAnsi" w:hAnsiTheme="minorHAnsi" w:cstheme="minorHAnsi"/>
                <w:b/>
                <w:bCs/>
                <w:sz w:val="22"/>
              </w:rPr>
            </w:pPr>
            <w:r w:rsidRPr="003D4A7A">
              <w:rPr>
                <w:rFonts w:asciiTheme="minorHAnsi" w:hAnsiTheme="minorHAnsi" w:cstheme="minorHAnsi"/>
                <w:b/>
                <w:bCs/>
                <w:sz w:val="22"/>
              </w:rPr>
              <w:t>Brief Description</w:t>
            </w:r>
          </w:p>
        </w:tc>
        <w:tc>
          <w:tcPr>
            <w:tcW w:w="7986" w:type="dxa"/>
            <w:shd w:val="clear" w:color="auto" w:fill="DAEEF3" w:themeFill="accent5" w:themeFillTint="33"/>
          </w:tcPr>
          <w:p w14:paraId="7AAEC63A" w14:textId="18AA0178" w:rsidR="00131347" w:rsidRPr="003D4A7A" w:rsidRDefault="008F4AFA" w:rsidP="00084672">
            <w:pPr>
              <w:jc w:val="center"/>
              <w:rPr>
                <w:rFonts w:asciiTheme="minorHAnsi" w:hAnsiTheme="minorHAnsi" w:cstheme="minorHAnsi"/>
                <w:b/>
                <w:bCs/>
                <w:sz w:val="22"/>
              </w:rPr>
            </w:pPr>
            <w:r>
              <w:rPr>
                <w:rFonts w:asciiTheme="minorHAnsi" w:hAnsiTheme="minorHAnsi" w:cstheme="minorHAnsi"/>
                <w:b/>
                <w:bCs/>
                <w:sz w:val="22"/>
              </w:rPr>
              <w:t xml:space="preserve">2018 </w:t>
            </w:r>
            <w:r w:rsidR="00131347" w:rsidRPr="003D4A7A">
              <w:rPr>
                <w:rFonts w:asciiTheme="minorHAnsi" w:hAnsiTheme="minorHAnsi" w:cstheme="minorHAnsi"/>
                <w:b/>
                <w:bCs/>
                <w:sz w:val="22"/>
              </w:rPr>
              <w:t>Outcomes Achieved toward Strategy</w:t>
            </w:r>
          </w:p>
        </w:tc>
      </w:tr>
      <w:tr w:rsidR="00131347" w:rsidRPr="003D4A7A" w14:paraId="534111E5" w14:textId="77777777" w:rsidTr="002A0F22">
        <w:trPr>
          <w:trHeight w:val="20"/>
          <w:jc w:val="center"/>
        </w:trPr>
        <w:tc>
          <w:tcPr>
            <w:tcW w:w="1053" w:type="dxa"/>
            <w:tcBorders>
              <w:bottom w:val="single" w:sz="4" w:space="0" w:color="auto"/>
            </w:tcBorders>
            <w:vAlign w:val="center"/>
          </w:tcPr>
          <w:p w14:paraId="3D13E6CC"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1</w:t>
            </w:r>
          </w:p>
        </w:tc>
        <w:tc>
          <w:tcPr>
            <w:tcW w:w="1893" w:type="dxa"/>
            <w:tcBorders>
              <w:bottom w:val="single" w:sz="4" w:space="0" w:color="auto"/>
            </w:tcBorders>
            <w:vAlign w:val="center"/>
          </w:tcPr>
          <w:p w14:paraId="3F89E80A" w14:textId="285D0283" w:rsidR="00131347" w:rsidRPr="003D4A7A" w:rsidRDefault="008E5899" w:rsidP="00084672">
            <w:pPr>
              <w:spacing w:after="60"/>
              <w:rPr>
                <w:rFonts w:asciiTheme="minorHAnsi" w:eastAsiaTheme="minorHAnsi" w:hAnsiTheme="minorHAnsi" w:cstheme="minorHAnsi"/>
                <w:b/>
                <w:sz w:val="22"/>
              </w:rPr>
            </w:pPr>
            <w:r>
              <w:rPr>
                <w:rFonts w:asciiTheme="minorHAnsi" w:eastAsiaTheme="minorHAnsi" w:hAnsiTheme="minorHAnsi" w:cstheme="minorHAnsi"/>
                <w:b/>
                <w:sz w:val="22"/>
              </w:rPr>
              <w:t xml:space="preserve">Increasing access </w:t>
            </w:r>
            <w:r>
              <w:rPr>
                <w:rFonts w:asciiTheme="minorHAnsi" w:eastAsiaTheme="minorHAnsi" w:hAnsiTheme="minorHAnsi" w:cstheme="minorHAnsi"/>
                <w:b/>
                <w:sz w:val="22"/>
              </w:rPr>
              <w:lastRenderedPageBreak/>
              <w:t>to health and affordable food</w:t>
            </w:r>
          </w:p>
        </w:tc>
        <w:tc>
          <w:tcPr>
            <w:tcW w:w="7986" w:type="dxa"/>
            <w:tcBorders>
              <w:bottom w:val="single" w:sz="4" w:space="0" w:color="auto"/>
            </w:tcBorders>
          </w:tcPr>
          <w:p w14:paraId="68027BAD" w14:textId="27DDB594" w:rsidR="003170DD" w:rsidRDefault="003170D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lastRenderedPageBreak/>
              <w:t>Expanded health</w:t>
            </w:r>
            <w:r w:rsidR="00AB1ADD">
              <w:rPr>
                <w:rFonts w:asciiTheme="minorHAnsi" w:hAnsiTheme="minorHAnsi" w:cstheme="minorHAnsi"/>
                <w:sz w:val="22"/>
                <w:szCs w:val="22"/>
              </w:rPr>
              <w:t>y</w:t>
            </w:r>
            <w:r>
              <w:rPr>
                <w:rFonts w:asciiTheme="minorHAnsi" w:hAnsiTheme="minorHAnsi" w:cstheme="minorHAnsi"/>
                <w:sz w:val="22"/>
                <w:szCs w:val="22"/>
              </w:rPr>
              <w:t xml:space="preserve"> food </w:t>
            </w:r>
            <w:r w:rsidR="00AB1ADD">
              <w:rPr>
                <w:rFonts w:asciiTheme="minorHAnsi" w:hAnsiTheme="minorHAnsi" w:cstheme="minorHAnsi"/>
                <w:sz w:val="22"/>
                <w:szCs w:val="22"/>
              </w:rPr>
              <w:t xml:space="preserve">access </w:t>
            </w:r>
            <w:r>
              <w:rPr>
                <w:rFonts w:asciiTheme="minorHAnsi" w:hAnsiTheme="minorHAnsi" w:cstheme="minorHAnsi"/>
                <w:sz w:val="22"/>
                <w:szCs w:val="22"/>
              </w:rPr>
              <w:t xml:space="preserve">for low-income residents, including making locally </w:t>
            </w:r>
            <w:r>
              <w:rPr>
                <w:rFonts w:asciiTheme="minorHAnsi" w:hAnsiTheme="minorHAnsi" w:cstheme="minorHAnsi"/>
                <w:sz w:val="22"/>
                <w:szCs w:val="22"/>
              </w:rPr>
              <w:lastRenderedPageBreak/>
              <w:t>grown produce affordable and accessible for hundreds of customers, and sourcing a majority of farm stand vegetables from New Roots’ community gardeners</w:t>
            </w:r>
          </w:p>
          <w:p w14:paraId="322F14E3" w14:textId="73C9B2DF" w:rsidR="00131347" w:rsidRPr="003D4A7A" w:rsidRDefault="003170D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knowledge about food access</w:t>
            </w:r>
            <w:r w:rsidR="00014AA1">
              <w:rPr>
                <w:rFonts w:asciiTheme="minorHAnsi" w:hAnsiTheme="minorHAnsi" w:cstheme="minorHAnsi"/>
                <w:sz w:val="22"/>
                <w:szCs w:val="22"/>
              </w:rPr>
              <w:t xml:space="preserve"> through 39 food demonstrations reaching over 300 people, as well as Food Access workshop reaching more than 200 additional community members</w:t>
            </w:r>
          </w:p>
        </w:tc>
      </w:tr>
      <w:tr w:rsidR="00400F57" w:rsidRPr="003D4A7A" w14:paraId="0F50AF87" w14:textId="77777777" w:rsidTr="002A0F22">
        <w:trPr>
          <w:trHeight w:val="20"/>
          <w:jc w:val="center"/>
        </w:trPr>
        <w:tc>
          <w:tcPr>
            <w:tcW w:w="10932" w:type="dxa"/>
            <w:gridSpan w:val="3"/>
            <w:tcBorders>
              <w:top w:val="nil"/>
              <w:left w:val="nil"/>
              <w:bottom w:val="single" w:sz="4" w:space="0" w:color="auto"/>
              <w:right w:val="nil"/>
            </w:tcBorders>
            <w:shd w:val="clear" w:color="auto" w:fill="DAEEF3" w:themeFill="accent5" w:themeFillTint="33"/>
            <w:vAlign w:val="center"/>
          </w:tcPr>
          <w:p w14:paraId="40D39039" w14:textId="464F0EEB" w:rsidR="00400F57" w:rsidRPr="00400F57" w:rsidRDefault="00400F57" w:rsidP="00400F57">
            <w:pPr>
              <w:jc w:val="center"/>
              <w:rPr>
                <w:rFonts w:asciiTheme="minorHAnsi" w:hAnsiTheme="minorHAnsi" w:cstheme="minorHAnsi"/>
                <w:b/>
                <w:sz w:val="22"/>
              </w:rPr>
            </w:pPr>
            <w:r>
              <w:rPr>
                <w:rFonts w:asciiTheme="minorHAnsi" w:hAnsiTheme="minorHAnsi" w:cstheme="minorHAnsi"/>
                <w:b/>
                <w:sz w:val="22"/>
              </w:rPr>
              <w:lastRenderedPageBreak/>
              <w:t>Table 4 Continued from Previous Page</w:t>
            </w:r>
          </w:p>
        </w:tc>
      </w:tr>
      <w:tr w:rsidR="00131347" w:rsidRPr="003D4A7A" w14:paraId="193FB9F0" w14:textId="77777777" w:rsidTr="002A0F22">
        <w:trPr>
          <w:trHeight w:val="20"/>
          <w:jc w:val="center"/>
        </w:trPr>
        <w:tc>
          <w:tcPr>
            <w:tcW w:w="1053" w:type="dxa"/>
            <w:tcBorders>
              <w:top w:val="single" w:sz="4" w:space="0" w:color="auto"/>
            </w:tcBorders>
            <w:vAlign w:val="center"/>
          </w:tcPr>
          <w:p w14:paraId="02585856"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2</w:t>
            </w:r>
          </w:p>
        </w:tc>
        <w:tc>
          <w:tcPr>
            <w:tcW w:w="1893" w:type="dxa"/>
            <w:tcBorders>
              <w:top w:val="single" w:sz="4" w:space="0" w:color="auto"/>
            </w:tcBorders>
            <w:vAlign w:val="center"/>
          </w:tcPr>
          <w:p w14:paraId="12417C10" w14:textId="6052B9D2" w:rsidR="00131347" w:rsidRPr="003D4A7A" w:rsidRDefault="00014AA1"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Support emerging businesses working in the food industry</w:t>
            </w:r>
          </w:p>
        </w:tc>
        <w:tc>
          <w:tcPr>
            <w:tcW w:w="7986" w:type="dxa"/>
            <w:tcBorders>
              <w:top w:val="single" w:sz="4" w:space="0" w:color="auto"/>
            </w:tcBorders>
          </w:tcPr>
          <w:p w14:paraId="18BB4A41"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Created affordable kitchen space for food entrepreneurs through pilot kitchen incubator</w:t>
            </w:r>
          </w:p>
          <w:p w14:paraId="04E96016"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Supported launch of new businesses at pilot kitchen space</w:t>
            </w:r>
          </w:p>
          <w:p w14:paraId="295F0D14"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Trained new entrepreneurs, with 15 new entrepreneurs receiving support through business launch process and connection to market opportunities</w:t>
            </w:r>
          </w:p>
          <w:p w14:paraId="31EB21FE"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and delivered comprehensive business incubation programming, facilitating collaborative future programming design for the Tukwila Village Food Hall and Commercial Kitchen Incubator space</w:t>
            </w:r>
          </w:p>
          <w:p w14:paraId="2CDFCE16" w14:textId="77777777" w:rsidR="00D333DF"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Removed financial barriers to participation in farmers markets, working with PHSKC Environmental Health Division and obtaining an umbrella permit special permit for participating entrepreneurs to utilize at farmers markets and other events</w:t>
            </w:r>
          </w:p>
          <w:p w14:paraId="27483C58" w14:textId="7C766885" w:rsidR="00131347" w:rsidRPr="003D4A7A" w:rsidRDefault="00D333D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leadership development opportunities and trainings for Community Food Advocates, with core components (co-designed with Advocates) now incorporated into FIN’s onboarding process for new advocates</w:t>
            </w:r>
          </w:p>
        </w:tc>
      </w:tr>
      <w:tr w:rsidR="00131347" w:rsidRPr="003D4A7A" w14:paraId="2F2AE001" w14:textId="77777777" w:rsidTr="002A0F22">
        <w:trPr>
          <w:trHeight w:val="20"/>
          <w:jc w:val="center"/>
        </w:trPr>
        <w:tc>
          <w:tcPr>
            <w:tcW w:w="1053" w:type="dxa"/>
            <w:vAlign w:val="center"/>
          </w:tcPr>
          <w:p w14:paraId="3CCCE7FB" w14:textId="77777777" w:rsidR="00131347" w:rsidRPr="003D4A7A" w:rsidRDefault="00131347" w:rsidP="00084672">
            <w:pPr>
              <w:jc w:val="center"/>
              <w:rPr>
                <w:rFonts w:asciiTheme="minorHAnsi" w:hAnsiTheme="minorHAnsi" w:cstheme="minorHAnsi"/>
                <w:b/>
                <w:sz w:val="22"/>
              </w:rPr>
            </w:pPr>
            <w:r w:rsidRPr="003D4A7A">
              <w:rPr>
                <w:rFonts w:asciiTheme="minorHAnsi" w:hAnsiTheme="minorHAnsi" w:cstheme="minorHAnsi"/>
                <w:b/>
                <w:sz w:val="22"/>
              </w:rPr>
              <w:t>3</w:t>
            </w:r>
          </w:p>
        </w:tc>
        <w:tc>
          <w:tcPr>
            <w:tcW w:w="1893" w:type="dxa"/>
            <w:vAlign w:val="center"/>
          </w:tcPr>
          <w:p w14:paraId="1BEC6014" w14:textId="0AFDD436" w:rsidR="00131347" w:rsidRPr="003D4A7A" w:rsidRDefault="00CB1186"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Advance economic stability for residents</w:t>
            </w:r>
          </w:p>
        </w:tc>
        <w:tc>
          <w:tcPr>
            <w:tcW w:w="7986" w:type="dxa"/>
          </w:tcPr>
          <w:p w14:paraId="4371A01A" w14:textId="6DEED23B" w:rsidR="00193C92" w:rsidRDefault="00450AB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Enhanced economic stability through a Community Economic Development Incubator (CEDI</w:t>
            </w:r>
            <w:r w:rsidR="00193C92">
              <w:rPr>
                <w:rFonts w:asciiTheme="minorHAnsi" w:hAnsiTheme="minorHAnsi" w:cstheme="minorHAnsi"/>
                <w:sz w:val="22"/>
                <w:szCs w:val="22"/>
              </w:rPr>
              <w:t>)</w:t>
            </w:r>
            <w:r w:rsidR="008F4AFA">
              <w:rPr>
                <w:rFonts w:asciiTheme="minorHAnsi" w:hAnsiTheme="minorHAnsi" w:cstheme="minorHAnsi"/>
                <w:sz w:val="22"/>
                <w:szCs w:val="22"/>
              </w:rPr>
              <w:t>, reaching 117 people</w:t>
            </w:r>
            <w:r w:rsidR="00193C92">
              <w:rPr>
                <w:rFonts w:asciiTheme="minorHAnsi" w:hAnsiTheme="minorHAnsi" w:cstheme="minorHAnsi"/>
                <w:sz w:val="22"/>
                <w:szCs w:val="22"/>
              </w:rPr>
              <w:t>, to reduce employment barriers to living-wage jobs in demand industries</w:t>
            </w:r>
            <w:r w:rsidR="00020F4B">
              <w:rPr>
                <w:rFonts w:asciiTheme="minorHAnsi" w:hAnsiTheme="minorHAnsi" w:cstheme="minorHAnsi"/>
                <w:sz w:val="22"/>
                <w:szCs w:val="22"/>
              </w:rPr>
              <w:t xml:space="preserve">. </w:t>
            </w:r>
            <w:r w:rsidR="00193C92">
              <w:rPr>
                <w:rFonts w:asciiTheme="minorHAnsi" w:hAnsiTheme="minorHAnsi" w:cstheme="minorHAnsi"/>
                <w:sz w:val="22"/>
                <w:szCs w:val="22"/>
              </w:rPr>
              <w:t>The approach involved case management, system navigation, resource connections and job readiness.</w:t>
            </w:r>
          </w:p>
          <w:p w14:paraId="4B91B072" w14:textId="7A8A6957" w:rsidR="00131347" w:rsidRPr="003D4A7A" w:rsidRDefault="00193C92"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connections with youth by engaging youth/young adults in the IT field, leading to six young people entering the CEDI program in 2018.</w:t>
            </w:r>
          </w:p>
        </w:tc>
      </w:tr>
      <w:tr w:rsidR="003E2AD9" w:rsidRPr="003D4A7A" w14:paraId="722C500F" w14:textId="77777777" w:rsidTr="002A0F22">
        <w:trPr>
          <w:trHeight w:val="20"/>
          <w:jc w:val="center"/>
        </w:trPr>
        <w:tc>
          <w:tcPr>
            <w:tcW w:w="1053" w:type="dxa"/>
            <w:vAlign w:val="center"/>
          </w:tcPr>
          <w:p w14:paraId="4266A0AF" w14:textId="68FF4386" w:rsidR="003E2AD9" w:rsidRPr="003D4A7A" w:rsidRDefault="003E2AD9" w:rsidP="00084672">
            <w:pPr>
              <w:jc w:val="center"/>
              <w:rPr>
                <w:rFonts w:asciiTheme="minorHAnsi" w:hAnsiTheme="minorHAnsi" w:cstheme="minorHAnsi"/>
                <w:b/>
                <w:sz w:val="22"/>
              </w:rPr>
            </w:pPr>
            <w:r>
              <w:rPr>
                <w:rFonts w:asciiTheme="minorHAnsi" w:hAnsiTheme="minorHAnsi" w:cstheme="minorHAnsi"/>
                <w:b/>
                <w:sz w:val="22"/>
              </w:rPr>
              <w:t>4</w:t>
            </w:r>
          </w:p>
        </w:tc>
        <w:tc>
          <w:tcPr>
            <w:tcW w:w="1893" w:type="dxa"/>
            <w:vAlign w:val="center"/>
          </w:tcPr>
          <w:p w14:paraId="762F23AD" w14:textId="62A8CDFC" w:rsidR="003E2AD9" w:rsidRDefault="003E2AD9"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Improve physical health and financial well-being by integrating service delivery approaches</w:t>
            </w:r>
          </w:p>
        </w:tc>
        <w:tc>
          <w:tcPr>
            <w:tcW w:w="7986" w:type="dxa"/>
          </w:tcPr>
          <w:p w14:paraId="306B77DF" w14:textId="43DB7883" w:rsidR="00440198" w:rsidRPr="0018228B" w:rsidRDefault="00440198" w:rsidP="0018228B">
            <w:pPr>
              <w:pStyle w:val="ListParagraph0"/>
              <w:numPr>
                <w:ilvl w:val="0"/>
                <w:numId w:val="54"/>
              </w:numPr>
              <w:ind w:left="257" w:hanging="180"/>
              <w:rPr>
                <w:rFonts w:asciiTheme="minorHAnsi" w:hAnsiTheme="minorHAnsi" w:cstheme="minorHAnsi"/>
                <w:sz w:val="22"/>
              </w:rPr>
            </w:pPr>
            <w:r>
              <w:rPr>
                <w:rFonts w:asciiTheme="minorHAnsi" w:hAnsiTheme="minorHAnsi" w:cstheme="minorHAnsi"/>
                <w:sz w:val="22"/>
                <w:szCs w:val="22"/>
              </w:rPr>
              <w:t xml:space="preserve">Expanded the Connection Desk model </w:t>
            </w:r>
            <w:r w:rsidRPr="0018228B">
              <w:rPr>
                <w:rFonts w:asciiTheme="minorHAnsi" w:eastAsiaTheme="minorHAnsi" w:hAnsiTheme="minorHAnsi" w:cstheme="minorHAnsi"/>
                <w:sz w:val="22"/>
              </w:rPr>
              <w:t>(new location at Tukwila HealthPoint clinic) to increase connections between health care providers and community/social services</w:t>
            </w:r>
          </w:p>
          <w:p w14:paraId="09789657" w14:textId="0CBFDC20" w:rsidR="003E2AD9" w:rsidRPr="003D4A7A" w:rsidRDefault="00440198" w:rsidP="007A20F5">
            <w:pPr>
              <w:pStyle w:val="ListParagraph0"/>
              <w:numPr>
                <w:ilvl w:val="0"/>
                <w:numId w:val="54"/>
              </w:numPr>
              <w:ind w:left="257" w:hanging="180"/>
              <w:rPr>
                <w:rFonts w:asciiTheme="minorHAnsi" w:hAnsiTheme="minorHAnsi" w:cstheme="minorHAnsi"/>
                <w:sz w:val="22"/>
                <w:szCs w:val="22"/>
              </w:rPr>
            </w:pPr>
            <w:r>
              <w:rPr>
                <w:rFonts w:asciiTheme="minorHAnsi" w:eastAsiaTheme="minorHAnsi" w:hAnsiTheme="minorHAnsi" w:cstheme="minorHAnsi"/>
                <w:sz w:val="22"/>
              </w:rPr>
              <w:t>Increased connections between health, housing, and financial resiliency through Community Health Worker engagement with affordable housing residents, engaging with 43 residents.</w:t>
            </w:r>
          </w:p>
        </w:tc>
      </w:tr>
    </w:tbl>
    <w:p w14:paraId="0B56F7F6" w14:textId="77777777" w:rsidR="00131347" w:rsidRDefault="00131347" w:rsidP="00DD0251">
      <w:pPr>
        <w:jc w:val="both"/>
        <w:rPr>
          <w:rFonts w:ascii="Arial" w:hAnsi="Arial" w:cs="Arial"/>
          <w:szCs w:val="24"/>
        </w:rPr>
      </w:pPr>
    </w:p>
    <w:p w14:paraId="0AFB2715" w14:textId="77777777" w:rsidR="00AB1ADD" w:rsidRDefault="00AB1ADD" w:rsidP="00E141A0">
      <w:pPr>
        <w:jc w:val="both"/>
        <w:rPr>
          <w:rFonts w:ascii="Arial" w:hAnsi="Arial" w:cs="Arial"/>
          <w:b/>
          <w:szCs w:val="24"/>
        </w:rPr>
      </w:pPr>
    </w:p>
    <w:p w14:paraId="188260B6" w14:textId="3343F56B" w:rsidR="00DA7F2B" w:rsidRDefault="001678D9" w:rsidP="00E141A0">
      <w:pPr>
        <w:jc w:val="both"/>
        <w:rPr>
          <w:rFonts w:ascii="Arial" w:hAnsi="Arial" w:cs="Arial"/>
          <w:szCs w:val="24"/>
        </w:rPr>
      </w:pPr>
      <w:r>
        <w:rPr>
          <w:rFonts w:ascii="Arial" w:hAnsi="Arial" w:cs="Arial"/>
          <w:b/>
          <w:szCs w:val="24"/>
        </w:rPr>
        <w:t>Rainier Valley</w:t>
      </w:r>
      <w:r w:rsidRPr="00704499">
        <w:rPr>
          <w:rFonts w:ascii="Arial" w:hAnsi="Arial" w:cs="Arial"/>
          <w:b/>
          <w:szCs w:val="24"/>
        </w:rPr>
        <w:t xml:space="preserve"> Partnership</w:t>
      </w:r>
      <w:r>
        <w:rPr>
          <w:rFonts w:ascii="Arial" w:hAnsi="Arial" w:cs="Arial"/>
          <w:b/>
          <w:szCs w:val="24"/>
        </w:rPr>
        <w:t xml:space="preserve">. </w:t>
      </w:r>
      <w:r>
        <w:rPr>
          <w:rFonts w:ascii="Arial" w:hAnsi="Arial" w:cs="Arial"/>
          <w:szCs w:val="24"/>
        </w:rPr>
        <w:t>Geographically, the Rainier Valley neighborhood extends south from SoDo to the southern Seattle city limits, and east from I-5 to Lake Washington. As described in the transmitted report, Rainier Valley is a mosaic of immigrant communities with 40 distinct ethnic groups and 59 languages spoken.</w:t>
      </w:r>
      <w:r w:rsidR="00EB0273">
        <w:rPr>
          <w:rFonts w:ascii="Arial" w:hAnsi="Arial" w:cs="Arial"/>
          <w:szCs w:val="24"/>
        </w:rPr>
        <w:t xml:space="preserve"> </w:t>
      </w:r>
      <w:r w:rsidR="002B3C6E">
        <w:rPr>
          <w:rFonts w:ascii="Arial" w:hAnsi="Arial" w:cs="Arial"/>
          <w:szCs w:val="24"/>
        </w:rPr>
        <w:t xml:space="preserve">Approximately </w:t>
      </w:r>
      <w:r w:rsidR="00DD606F">
        <w:rPr>
          <w:rFonts w:ascii="Arial" w:hAnsi="Arial" w:cs="Arial"/>
          <w:szCs w:val="24"/>
        </w:rPr>
        <w:t>37</w:t>
      </w:r>
      <w:r w:rsidR="002B3C6E">
        <w:rPr>
          <w:rFonts w:ascii="Arial" w:hAnsi="Arial" w:cs="Arial"/>
          <w:szCs w:val="24"/>
        </w:rPr>
        <w:t xml:space="preserve"> percent of Rainier Valley households, as indicated in the 2018 BSK annual report, have household income below 200 percent of the federal poverty level (compared to 22 percent for the overall county), with approximately 42 percent of households paying over 30 percent of income on housing</w:t>
      </w:r>
      <w:r w:rsidR="001F1C67">
        <w:rPr>
          <w:rFonts w:ascii="Arial" w:hAnsi="Arial" w:cs="Arial"/>
          <w:szCs w:val="24"/>
        </w:rPr>
        <w:t xml:space="preserve"> (compared to 31 percent for </w:t>
      </w:r>
      <w:r w:rsidR="001F1C67">
        <w:rPr>
          <w:rFonts w:ascii="Arial" w:hAnsi="Arial" w:cs="Arial"/>
          <w:szCs w:val="24"/>
        </w:rPr>
        <w:lastRenderedPageBreak/>
        <w:t>the overall county)</w:t>
      </w:r>
      <w:r w:rsidR="002B3C6E">
        <w:rPr>
          <w:rFonts w:ascii="Arial" w:hAnsi="Arial" w:cs="Arial"/>
          <w:szCs w:val="24"/>
        </w:rPr>
        <w:t>.</w:t>
      </w:r>
      <w:r w:rsidR="002B3C6E">
        <w:rPr>
          <w:rStyle w:val="FootnoteReference"/>
          <w:rFonts w:ascii="Arial" w:hAnsi="Arial" w:cs="Arial"/>
          <w:szCs w:val="24"/>
        </w:rPr>
        <w:footnoteReference w:id="19"/>
      </w:r>
      <w:r w:rsidR="003F6BCD" w:rsidRPr="00BA393C">
        <w:rPr>
          <w:rStyle w:val="FootnoteReference"/>
          <w:rFonts w:ascii="Arial" w:hAnsi="Arial" w:cs="Arial"/>
          <w:szCs w:val="24"/>
        </w:rPr>
        <w:footnoteReference w:id="20"/>
      </w:r>
      <w:r w:rsidR="001B59E2" w:rsidRPr="00BA393C">
        <w:rPr>
          <w:rFonts w:ascii="Arial" w:hAnsi="Arial" w:cs="Arial"/>
          <w:szCs w:val="24"/>
        </w:rPr>
        <w:t xml:space="preserve"> </w:t>
      </w:r>
      <w:r w:rsidR="00E141A0" w:rsidRPr="00BA393C">
        <w:rPr>
          <w:rFonts w:ascii="Arial" w:hAnsi="Arial" w:cs="Arial"/>
          <w:szCs w:val="24"/>
        </w:rPr>
        <w:t xml:space="preserve">In 2018, </w:t>
      </w:r>
      <w:r w:rsidR="00BA393C" w:rsidRPr="00BA393C">
        <w:rPr>
          <w:rFonts w:ascii="Arial" w:hAnsi="Arial" w:cs="Arial"/>
          <w:szCs w:val="24"/>
        </w:rPr>
        <w:t>5,457</w:t>
      </w:r>
      <w:r w:rsidR="00E141A0" w:rsidRPr="00BA393C">
        <w:rPr>
          <w:rFonts w:ascii="Arial" w:hAnsi="Arial" w:cs="Arial"/>
          <w:szCs w:val="24"/>
        </w:rPr>
        <w:t xml:space="preserve"> people were served or engaged with services through the Rainier Valley Partnership</w:t>
      </w:r>
      <w:r w:rsidR="00877DEC">
        <w:rPr>
          <w:rFonts w:ascii="Arial" w:hAnsi="Arial" w:cs="Arial"/>
          <w:szCs w:val="24"/>
        </w:rPr>
        <w:t>.</w:t>
      </w:r>
      <w:r w:rsidR="00877DEC" w:rsidRPr="00877DEC">
        <w:rPr>
          <w:rStyle w:val="FootnoteReference"/>
          <w:rFonts w:ascii="Arial" w:hAnsi="Arial" w:cs="Arial"/>
          <w:szCs w:val="24"/>
        </w:rPr>
        <w:t xml:space="preserve"> </w:t>
      </w:r>
      <w:r w:rsidR="00877DEC" w:rsidRPr="004A29EF">
        <w:rPr>
          <w:rStyle w:val="FootnoteReference"/>
          <w:rFonts w:ascii="Arial" w:hAnsi="Arial" w:cs="Arial"/>
          <w:szCs w:val="24"/>
        </w:rPr>
        <w:footnoteReference w:id="21"/>
      </w:r>
      <w:r w:rsidR="00877DEC">
        <w:rPr>
          <w:rFonts w:ascii="Arial" w:hAnsi="Arial" w:cs="Arial"/>
          <w:szCs w:val="24"/>
        </w:rPr>
        <w:t xml:space="preserve">  </w:t>
      </w:r>
    </w:p>
    <w:p w14:paraId="5ACDA78F" w14:textId="77777777" w:rsidR="00AB3456" w:rsidRDefault="00AB3456" w:rsidP="00E141A0">
      <w:pPr>
        <w:jc w:val="both"/>
        <w:rPr>
          <w:rFonts w:ascii="Arial" w:hAnsi="Arial" w:cs="Arial"/>
          <w:szCs w:val="24"/>
        </w:rPr>
      </w:pPr>
    </w:p>
    <w:p w14:paraId="1CE9D9B3" w14:textId="116E9819" w:rsidR="00E141A0" w:rsidRDefault="00DA7F2B" w:rsidP="00E141A0">
      <w:pPr>
        <w:jc w:val="both"/>
        <w:rPr>
          <w:rFonts w:ascii="Arial" w:hAnsi="Arial" w:cs="Arial"/>
          <w:szCs w:val="24"/>
        </w:rPr>
      </w:pPr>
      <w:r>
        <w:rPr>
          <w:rFonts w:ascii="Arial" w:hAnsi="Arial" w:cs="Arial"/>
          <w:szCs w:val="24"/>
        </w:rPr>
        <w:t>The Rainier Valley COO Partnership, as explained in the transmitted report, consists of four coalitions including Multicultural Community Coalition, On Board Othello, Rainier Beach Action Coalition and South Communities Organizing for Racial Equity (SouthCORE), with more than</w:t>
      </w:r>
      <w:r w:rsidR="00BE40F3">
        <w:rPr>
          <w:rFonts w:ascii="Arial" w:hAnsi="Arial" w:cs="Arial"/>
          <w:szCs w:val="24"/>
        </w:rPr>
        <w:t xml:space="preserve"> 80 partner organizations collaborating across the coalitions. A steering committee was created by the coalitions, with HomeSight serving as the lead organization for the partnership. As described in the report, the steering committee members are employees and volunteers of the organ</w:t>
      </w:r>
      <w:r w:rsidR="00246E6C">
        <w:rPr>
          <w:rFonts w:ascii="Arial" w:hAnsi="Arial" w:cs="Arial"/>
          <w:szCs w:val="24"/>
        </w:rPr>
        <w:t>izations and communities they serve, and all four coalitions are led by persons of color.</w:t>
      </w:r>
    </w:p>
    <w:p w14:paraId="16EB0D22" w14:textId="77777777" w:rsidR="00E141A0" w:rsidRDefault="00E141A0" w:rsidP="00E141A0">
      <w:pPr>
        <w:jc w:val="both"/>
        <w:rPr>
          <w:rFonts w:ascii="Arial" w:hAnsi="Arial" w:cs="Arial"/>
          <w:szCs w:val="24"/>
        </w:rPr>
      </w:pPr>
    </w:p>
    <w:p w14:paraId="24CEF69B" w14:textId="0DE4DD40" w:rsidR="003D3D71" w:rsidRDefault="00E141A0" w:rsidP="00E141A0">
      <w:pPr>
        <w:jc w:val="both"/>
        <w:rPr>
          <w:rFonts w:ascii="Arial" w:hAnsi="Arial" w:cs="Arial"/>
          <w:szCs w:val="24"/>
        </w:rPr>
      </w:pPr>
      <w:r>
        <w:rPr>
          <w:rFonts w:ascii="Arial" w:hAnsi="Arial" w:cs="Arial"/>
          <w:szCs w:val="24"/>
        </w:rPr>
        <w:t xml:space="preserve">A summary of primary project activities (services provided) in 2018 is included in Appendix A of the transmitted report. </w:t>
      </w:r>
    </w:p>
    <w:p w14:paraId="20088F62" w14:textId="77777777" w:rsidR="00B878FF" w:rsidRDefault="00B878FF" w:rsidP="00E141A0">
      <w:pPr>
        <w:jc w:val="both"/>
        <w:rPr>
          <w:rFonts w:ascii="Arial" w:hAnsi="Arial" w:cs="Arial"/>
          <w:szCs w:val="24"/>
        </w:rPr>
      </w:pPr>
    </w:p>
    <w:p w14:paraId="47228D75" w14:textId="48EB7E86" w:rsidR="002B3C6E" w:rsidRDefault="00E141A0" w:rsidP="00AB3456">
      <w:pPr>
        <w:ind w:firstLine="720"/>
        <w:jc w:val="both"/>
        <w:rPr>
          <w:rFonts w:ascii="Arial" w:hAnsi="Arial" w:cs="Arial"/>
          <w:szCs w:val="24"/>
        </w:rPr>
      </w:pPr>
      <w:r w:rsidRPr="00AB3456">
        <w:rPr>
          <w:rFonts w:ascii="Arial" w:hAnsi="Arial" w:cs="Arial"/>
          <w:b/>
          <w:szCs w:val="24"/>
        </w:rPr>
        <w:t>2018 Priority Strategies and Outcomes Achieved in 2018</w:t>
      </w:r>
      <w:r>
        <w:rPr>
          <w:rFonts w:ascii="Arial" w:hAnsi="Arial" w:cs="Arial"/>
          <w:szCs w:val="24"/>
        </w:rPr>
        <w:t xml:space="preserve"> A high-level summary of priority strategies developed for 2018 for the Rainier Valley Partnership and outcomes achieved in 2018 towards those strategies is provided in Table </w:t>
      </w:r>
      <w:r w:rsidR="00FD0E98">
        <w:rPr>
          <w:rFonts w:ascii="Arial" w:hAnsi="Arial" w:cs="Arial"/>
          <w:szCs w:val="24"/>
        </w:rPr>
        <w:t>5</w:t>
      </w:r>
      <w:r>
        <w:rPr>
          <w:rFonts w:ascii="Arial" w:hAnsi="Arial" w:cs="Arial"/>
          <w:szCs w:val="24"/>
        </w:rPr>
        <w:t>.</w:t>
      </w:r>
    </w:p>
    <w:p w14:paraId="4C9B02B2" w14:textId="77777777" w:rsidR="002B3C6E" w:rsidRDefault="002B3C6E" w:rsidP="00E141A0">
      <w:pPr>
        <w:jc w:val="both"/>
        <w:rPr>
          <w:rFonts w:ascii="Arial" w:hAnsi="Arial" w:cs="Arial"/>
          <w:szCs w:val="24"/>
        </w:rPr>
      </w:pPr>
    </w:p>
    <w:p w14:paraId="617ACDDA" w14:textId="731ED7F9" w:rsidR="00E141A0" w:rsidRDefault="00E141A0" w:rsidP="00E141A0">
      <w:pPr>
        <w:ind w:right="-270" w:hanging="270"/>
        <w:jc w:val="center"/>
        <w:rPr>
          <w:rFonts w:ascii="Arial" w:hAnsi="Arial" w:cs="Arial"/>
          <w:b/>
          <w:szCs w:val="24"/>
        </w:rPr>
      </w:pPr>
      <w:r>
        <w:rPr>
          <w:rFonts w:ascii="Arial" w:hAnsi="Arial" w:cs="Arial"/>
          <w:b/>
        </w:rPr>
        <w:t xml:space="preserve">Table </w:t>
      </w:r>
      <w:r w:rsidR="00FD0E98">
        <w:rPr>
          <w:rFonts w:ascii="Arial" w:hAnsi="Arial" w:cs="Arial"/>
          <w:b/>
        </w:rPr>
        <w:t>5</w:t>
      </w:r>
      <w:r>
        <w:rPr>
          <w:rFonts w:ascii="Arial" w:hAnsi="Arial" w:cs="Arial"/>
          <w:b/>
        </w:rPr>
        <w:t xml:space="preserve">. Rainier Valley Partnership: High-level Summary of </w:t>
      </w:r>
      <w:r w:rsidRPr="003D4A7A">
        <w:rPr>
          <w:rFonts w:ascii="Arial" w:hAnsi="Arial" w:cs="Arial"/>
          <w:b/>
          <w:szCs w:val="24"/>
        </w:rPr>
        <w:t xml:space="preserve">2018 </w:t>
      </w:r>
    </w:p>
    <w:p w14:paraId="3F37FFAF" w14:textId="77777777" w:rsidR="00E141A0" w:rsidRPr="003D4A7A" w:rsidRDefault="00E141A0" w:rsidP="00E141A0">
      <w:pPr>
        <w:ind w:right="-270" w:hanging="270"/>
        <w:jc w:val="center"/>
        <w:rPr>
          <w:rFonts w:ascii="Arial" w:hAnsi="Arial" w:cs="Arial"/>
          <w:b/>
          <w:szCs w:val="24"/>
        </w:rPr>
      </w:pPr>
      <w:r w:rsidRPr="003D4A7A">
        <w:rPr>
          <w:rFonts w:ascii="Arial" w:hAnsi="Arial" w:cs="Arial"/>
          <w:b/>
          <w:szCs w:val="24"/>
        </w:rPr>
        <w:t>Priority Strategies and Outcomes Achieved</w:t>
      </w:r>
    </w:p>
    <w:tbl>
      <w:tblPr>
        <w:tblStyle w:val="TableGrid1"/>
        <w:tblW w:w="10932" w:type="dxa"/>
        <w:jc w:val="center"/>
        <w:tblLayout w:type="fixed"/>
        <w:tblLook w:val="04A0" w:firstRow="1" w:lastRow="0" w:firstColumn="1" w:lastColumn="0" w:noHBand="0" w:noVBand="1"/>
      </w:tblPr>
      <w:tblGrid>
        <w:gridCol w:w="1053"/>
        <w:gridCol w:w="2070"/>
        <w:gridCol w:w="7809"/>
      </w:tblGrid>
      <w:tr w:rsidR="00E141A0" w:rsidRPr="003D4A7A" w14:paraId="73B2D54F" w14:textId="77777777" w:rsidTr="00084672">
        <w:trPr>
          <w:trHeight w:val="175"/>
          <w:jc w:val="center"/>
        </w:trPr>
        <w:tc>
          <w:tcPr>
            <w:tcW w:w="1053" w:type="dxa"/>
            <w:shd w:val="clear" w:color="auto" w:fill="DAEEF3" w:themeFill="accent5" w:themeFillTint="33"/>
          </w:tcPr>
          <w:p w14:paraId="6258AE18" w14:textId="77777777" w:rsidR="00E141A0" w:rsidRPr="003D4A7A" w:rsidRDefault="00E141A0" w:rsidP="00084672">
            <w:pPr>
              <w:jc w:val="center"/>
              <w:rPr>
                <w:rFonts w:asciiTheme="minorHAnsi" w:hAnsiTheme="minorHAnsi" w:cstheme="minorHAnsi"/>
                <w:b/>
                <w:bCs/>
                <w:sz w:val="22"/>
              </w:rPr>
            </w:pPr>
            <w:r w:rsidRPr="003D4A7A">
              <w:rPr>
                <w:rFonts w:asciiTheme="minorHAnsi" w:hAnsiTheme="minorHAnsi" w:cstheme="minorHAnsi"/>
                <w:b/>
                <w:bCs/>
                <w:sz w:val="22"/>
              </w:rPr>
              <w:t>Strategy</w:t>
            </w:r>
          </w:p>
        </w:tc>
        <w:tc>
          <w:tcPr>
            <w:tcW w:w="2070" w:type="dxa"/>
            <w:shd w:val="clear" w:color="auto" w:fill="DAEEF3" w:themeFill="accent5" w:themeFillTint="33"/>
          </w:tcPr>
          <w:p w14:paraId="7F1BC088" w14:textId="77777777" w:rsidR="00E141A0" w:rsidRPr="003D4A7A" w:rsidRDefault="00E141A0" w:rsidP="00084672">
            <w:pPr>
              <w:jc w:val="center"/>
              <w:rPr>
                <w:rFonts w:asciiTheme="minorHAnsi" w:hAnsiTheme="minorHAnsi" w:cstheme="minorHAnsi"/>
                <w:b/>
                <w:bCs/>
                <w:sz w:val="22"/>
              </w:rPr>
            </w:pPr>
            <w:r w:rsidRPr="003D4A7A">
              <w:rPr>
                <w:rFonts w:asciiTheme="minorHAnsi" w:hAnsiTheme="minorHAnsi" w:cstheme="minorHAnsi"/>
                <w:b/>
                <w:bCs/>
                <w:sz w:val="22"/>
              </w:rPr>
              <w:t>Brief Description</w:t>
            </w:r>
          </w:p>
        </w:tc>
        <w:tc>
          <w:tcPr>
            <w:tcW w:w="7809" w:type="dxa"/>
            <w:shd w:val="clear" w:color="auto" w:fill="DAEEF3" w:themeFill="accent5" w:themeFillTint="33"/>
          </w:tcPr>
          <w:p w14:paraId="66B61E3C" w14:textId="4BBDC71E" w:rsidR="00E141A0" w:rsidRPr="003D4A7A" w:rsidRDefault="008F4AFA" w:rsidP="00084672">
            <w:pPr>
              <w:jc w:val="center"/>
              <w:rPr>
                <w:rFonts w:asciiTheme="minorHAnsi" w:hAnsiTheme="minorHAnsi" w:cstheme="minorHAnsi"/>
                <w:b/>
                <w:bCs/>
                <w:sz w:val="22"/>
              </w:rPr>
            </w:pPr>
            <w:r>
              <w:rPr>
                <w:rFonts w:asciiTheme="minorHAnsi" w:hAnsiTheme="minorHAnsi" w:cstheme="minorHAnsi"/>
                <w:b/>
                <w:bCs/>
                <w:sz w:val="22"/>
              </w:rPr>
              <w:t xml:space="preserve">2018 </w:t>
            </w:r>
            <w:r w:rsidR="00E141A0" w:rsidRPr="003D4A7A">
              <w:rPr>
                <w:rFonts w:asciiTheme="minorHAnsi" w:hAnsiTheme="minorHAnsi" w:cstheme="minorHAnsi"/>
                <w:b/>
                <w:bCs/>
                <w:sz w:val="22"/>
              </w:rPr>
              <w:t>Outcomes Achieved toward Strategy</w:t>
            </w:r>
          </w:p>
        </w:tc>
      </w:tr>
      <w:tr w:rsidR="00E141A0" w:rsidRPr="003D4A7A" w14:paraId="69BC2F7D" w14:textId="77777777" w:rsidTr="00084672">
        <w:trPr>
          <w:trHeight w:val="20"/>
          <w:jc w:val="center"/>
        </w:trPr>
        <w:tc>
          <w:tcPr>
            <w:tcW w:w="1053" w:type="dxa"/>
            <w:vAlign w:val="center"/>
          </w:tcPr>
          <w:p w14:paraId="2EAE3F05"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t>1</w:t>
            </w:r>
          </w:p>
        </w:tc>
        <w:tc>
          <w:tcPr>
            <w:tcW w:w="2070" w:type="dxa"/>
            <w:vAlign w:val="center"/>
          </w:tcPr>
          <w:p w14:paraId="6DB47E74" w14:textId="4448B88D" w:rsidR="00E141A0" w:rsidRPr="003D4A7A" w:rsidRDefault="00C053CD" w:rsidP="00084672">
            <w:pPr>
              <w:spacing w:after="60"/>
              <w:rPr>
                <w:rFonts w:asciiTheme="minorHAnsi" w:eastAsiaTheme="minorHAnsi" w:hAnsiTheme="minorHAnsi" w:cstheme="minorHAnsi"/>
                <w:b/>
                <w:sz w:val="22"/>
              </w:rPr>
            </w:pPr>
            <w:r>
              <w:rPr>
                <w:rFonts w:asciiTheme="minorHAnsi" w:eastAsiaTheme="minorHAnsi" w:hAnsiTheme="minorHAnsi" w:cstheme="minorHAnsi"/>
                <w:b/>
                <w:sz w:val="22"/>
              </w:rPr>
              <w:t>Develop Othello Square</w:t>
            </w:r>
            <w:r w:rsidR="00CB32CE">
              <w:rPr>
                <w:rStyle w:val="FootnoteReference"/>
                <w:rFonts w:asciiTheme="minorHAnsi" w:eastAsiaTheme="minorHAnsi" w:hAnsiTheme="minorHAnsi" w:cstheme="minorHAnsi"/>
                <w:b/>
                <w:sz w:val="22"/>
              </w:rPr>
              <w:footnoteReference w:id="22"/>
            </w:r>
            <w:r>
              <w:rPr>
                <w:rFonts w:asciiTheme="minorHAnsi" w:eastAsiaTheme="minorHAnsi" w:hAnsiTheme="minorHAnsi" w:cstheme="minorHAnsi"/>
                <w:b/>
                <w:sz w:val="22"/>
              </w:rPr>
              <w:t xml:space="preserve"> </w:t>
            </w:r>
            <w:r w:rsidRPr="0018228B">
              <w:rPr>
                <w:rFonts w:asciiTheme="minorHAnsi" w:eastAsiaTheme="minorHAnsi" w:hAnsiTheme="minorHAnsi" w:cstheme="minorHAnsi"/>
                <w:sz w:val="22"/>
              </w:rPr>
              <w:t>(formerly known as Southeast Economic Opportunity Center)</w:t>
            </w:r>
          </w:p>
        </w:tc>
        <w:tc>
          <w:tcPr>
            <w:tcW w:w="7809" w:type="dxa"/>
          </w:tcPr>
          <w:p w14:paraId="2345F3AB" w14:textId="59628D5E" w:rsidR="00CB32CE" w:rsidRDefault="00CB32CE"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Secured site control after years of community planning for project: COO provides funding to support HomeSight Othello Square Integration Manager (oversees coordination and implementation of campus, including developing interagency activity plans and a community-centered service model)</w:t>
            </w:r>
          </w:p>
          <w:p w14:paraId="6EC4ECEA" w14:textId="77777777" w:rsidR="00E141A0" w:rsidRDefault="00CB32CE"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Collaboratively developed project capital campaign strategy, including message and donor development in order to collectively raise funds for the community building, which will be completed in 2022</w:t>
            </w:r>
            <w:r>
              <w:rPr>
                <w:rStyle w:val="FootnoteReference"/>
                <w:rFonts w:asciiTheme="minorHAnsi" w:hAnsiTheme="minorHAnsi" w:cstheme="minorHAnsi"/>
                <w:sz w:val="22"/>
                <w:szCs w:val="22"/>
              </w:rPr>
              <w:footnoteReference w:id="23"/>
            </w:r>
          </w:p>
          <w:p w14:paraId="31A4560F" w14:textId="77777777" w:rsidR="006C2FEF" w:rsidRDefault="006C2FEF"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capacity to collect data and integrate resources</w:t>
            </w:r>
          </w:p>
          <w:p w14:paraId="5884624E" w14:textId="75EFE8F7" w:rsidR="006C2FEF" w:rsidRPr="003D4A7A" w:rsidRDefault="006C2FEF" w:rsidP="002A0F2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Secured strong relationships with key external partners and convened community stakeholder subcommittees</w:t>
            </w:r>
          </w:p>
        </w:tc>
      </w:tr>
      <w:tr w:rsidR="00E141A0" w:rsidRPr="003D4A7A" w14:paraId="5FCB526F" w14:textId="77777777" w:rsidTr="00875042">
        <w:trPr>
          <w:trHeight w:val="20"/>
          <w:jc w:val="center"/>
        </w:trPr>
        <w:tc>
          <w:tcPr>
            <w:tcW w:w="1053" w:type="dxa"/>
            <w:tcBorders>
              <w:bottom w:val="single" w:sz="4" w:space="0" w:color="auto"/>
            </w:tcBorders>
            <w:vAlign w:val="center"/>
          </w:tcPr>
          <w:p w14:paraId="7376B07D"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t>2</w:t>
            </w:r>
          </w:p>
        </w:tc>
        <w:tc>
          <w:tcPr>
            <w:tcW w:w="2070" w:type="dxa"/>
            <w:tcBorders>
              <w:bottom w:val="single" w:sz="4" w:space="0" w:color="auto"/>
            </w:tcBorders>
            <w:vAlign w:val="center"/>
          </w:tcPr>
          <w:p w14:paraId="2B5DA2B3" w14:textId="64662EE2" w:rsidR="00E141A0" w:rsidRPr="003D4A7A" w:rsidRDefault="006C2FEF"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Create a shared multicultural </w:t>
            </w:r>
            <w:r>
              <w:rPr>
                <w:rFonts w:asciiTheme="minorHAnsi" w:eastAsiaTheme="minorHAnsi" w:hAnsiTheme="minorHAnsi" w:cstheme="minorHAnsi"/>
                <w:b/>
                <w:sz w:val="22"/>
                <w:szCs w:val="22"/>
              </w:rPr>
              <w:lastRenderedPageBreak/>
              <w:t>community center</w:t>
            </w:r>
            <w:r w:rsidR="001D037B">
              <w:rPr>
                <w:rFonts w:asciiTheme="minorHAnsi" w:eastAsiaTheme="minorHAnsi" w:hAnsiTheme="minorHAnsi" w:cstheme="minorHAnsi"/>
                <w:b/>
                <w:sz w:val="22"/>
                <w:szCs w:val="22"/>
              </w:rPr>
              <w:t xml:space="preserve"> (MCC)</w:t>
            </w:r>
            <w:r>
              <w:rPr>
                <w:rStyle w:val="FootnoteReference"/>
                <w:rFonts w:asciiTheme="minorHAnsi" w:eastAsiaTheme="minorHAnsi" w:hAnsiTheme="minorHAnsi" w:cstheme="minorHAnsi"/>
                <w:b/>
                <w:sz w:val="22"/>
                <w:szCs w:val="22"/>
              </w:rPr>
              <w:footnoteReference w:id="24"/>
            </w:r>
          </w:p>
        </w:tc>
        <w:tc>
          <w:tcPr>
            <w:tcW w:w="7809" w:type="dxa"/>
            <w:tcBorders>
              <w:bottom w:val="single" w:sz="4" w:space="0" w:color="auto"/>
            </w:tcBorders>
          </w:tcPr>
          <w:p w14:paraId="6788CCC3" w14:textId="77777777" w:rsidR="001D037B"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lastRenderedPageBreak/>
              <w:t>Organized community and advocated for site control for the Othello Square project</w:t>
            </w:r>
          </w:p>
          <w:p w14:paraId="088CEC27" w14:textId="77777777" w:rsidR="001D037B"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lastRenderedPageBreak/>
              <w:t>Developed shared governance structures</w:t>
            </w:r>
          </w:p>
          <w:p w14:paraId="562C4DE5" w14:textId="77777777" w:rsidR="00E141A0" w:rsidRDefault="001D037B"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knowledge on real estate acquisition through a series of work sessions with MCC members</w:t>
            </w:r>
          </w:p>
          <w:p w14:paraId="11540833" w14:textId="1F9D97E0" w:rsidR="00500FEB" w:rsidRPr="003D4A7A" w:rsidRDefault="00500FEB"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Developed a mandatory three-day equity training for Othello Square partners, which resulted in an Equity Framework of guiding principles that partners are using for shared narratives, common definitions and decision-making</w:t>
            </w:r>
          </w:p>
        </w:tc>
      </w:tr>
      <w:tr w:rsidR="00BA0DBA" w:rsidRPr="003D4A7A" w14:paraId="76E06ED4" w14:textId="77777777" w:rsidTr="002A0F22">
        <w:trPr>
          <w:trHeight w:val="20"/>
          <w:jc w:val="center"/>
        </w:trPr>
        <w:tc>
          <w:tcPr>
            <w:tcW w:w="10932" w:type="dxa"/>
            <w:gridSpan w:val="3"/>
            <w:tcBorders>
              <w:top w:val="single" w:sz="4" w:space="0" w:color="auto"/>
              <w:left w:val="nil"/>
              <w:bottom w:val="nil"/>
              <w:right w:val="nil"/>
            </w:tcBorders>
            <w:shd w:val="clear" w:color="auto" w:fill="auto"/>
            <w:vAlign w:val="center"/>
          </w:tcPr>
          <w:p w14:paraId="4F7C83FD" w14:textId="77777777" w:rsidR="00BA0DBA" w:rsidRDefault="00BA0DBA" w:rsidP="00875042">
            <w:pPr>
              <w:jc w:val="center"/>
              <w:rPr>
                <w:rFonts w:asciiTheme="minorHAnsi" w:hAnsiTheme="minorHAnsi" w:cstheme="minorHAnsi"/>
                <w:b/>
                <w:sz w:val="22"/>
              </w:rPr>
            </w:pPr>
          </w:p>
        </w:tc>
      </w:tr>
      <w:tr w:rsidR="00875042" w:rsidRPr="003D4A7A" w14:paraId="37043980" w14:textId="77777777" w:rsidTr="002A0F22">
        <w:trPr>
          <w:trHeight w:val="20"/>
          <w:jc w:val="center"/>
        </w:trPr>
        <w:tc>
          <w:tcPr>
            <w:tcW w:w="10932" w:type="dxa"/>
            <w:gridSpan w:val="3"/>
            <w:tcBorders>
              <w:top w:val="nil"/>
              <w:left w:val="nil"/>
              <w:right w:val="nil"/>
            </w:tcBorders>
            <w:shd w:val="clear" w:color="auto" w:fill="DAEEF3" w:themeFill="accent5" w:themeFillTint="33"/>
            <w:vAlign w:val="center"/>
          </w:tcPr>
          <w:p w14:paraId="0A13DCA4" w14:textId="155AF1B3" w:rsidR="00875042" w:rsidRPr="00875042" w:rsidRDefault="00875042" w:rsidP="00AB3456">
            <w:pPr>
              <w:rPr>
                <w:rFonts w:asciiTheme="minorHAnsi" w:hAnsiTheme="minorHAnsi" w:cstheme="minorHAnsi"/>
                <w:b/>
                <w:sz w:val="22"/>
              </w:rPr>
            </w:pPr>
          </w:p>
        </w:tc>
      </w:tr>
      <w:tr w:rsidR="00E141A0" w:rsidRPr="003D4A7A" w14:paraId="1332EB4A" w14:textId="77777777" w:rsidTr="00084672">
        <w:trPr>
          <w:trHeight w:val="20"/>
          <w:jc w:val="center"/>
        </w:trPr>
        <w:tc>
          <w:tcPr>
            <w:tcW w:w="1053" w:type="dxa"/>
            <w:vAlign w:val="center"/>
          </w:tcPr>
          <w:p w14:paraId="16265839" w14:textId="77777777" w:rsidR="00E141A0" w:rsidRPr="003D4A7A" w:rsidRDefault="00E141A0" w:rsidP="00084672">
            <w:pPr>
              <w:jc w:val="center"/>
              <w:rPr>
                <w:rFonts w:asciiTheme="minorHAnsi" w:hAnsiTheme="minorHAnsi" w:cstheme="minorHAnsi"/>
                <w:b/>
                <w:sz w:val="22"/>
              </w:rPr>
            </w:pPr>
            <w:r w:rsidRPr="003D4A7A">
              <w:rPr>
                <w:rFonts w:asciiTheme="minorHAnsi" w:hAnsiTheme="minorHAnsi" w:cstheme="minorHAnsi"/>
                <w:b/>
                <w:sz w:val="22"/>
              </w:rPr>
              <w:t>3</w:t>
            </w:r>
          </w:p>
        </w:tc>
        <w:tc>
          <w:tcPr>
            <w:tcW w:w="2070" w:type="dxa"/>
            <w:vAlign w:val="center"/>
          </w:tcPr>
          <w:p w14:paraId="58134BC3" w14:textId="4252D5B7" w:rsidR="00E141A0" w:rsidRPr="003D4A7A" w:rsidRDefault="00500FEB"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Create a food innovation center</w:t>
            </w:r>
            <w:r w:rsidR="00D666E2">
              <w:rPr>
                <w:rStyle w:val="FootnoteReference"/>
                <w:rFonts w:asciiTheme="minorHAnsi" w:eastAsiaTheme="minorHAnsi" w:hAnsiTheme="minorHAnsi" w:cstheme="minorHAnsi"/>
                <w:b/>
                <w:sz w:val="22"/>
                <w:szCs w:val="22"/>
              </w:rPr>
              <w:footnoteReference w:id="25"/>
            </w:r>
            <w:r>
              <w:rPr>
                <w:rFonts w:asciiTheme="minorHAnsi" w:eastAsiaTheme="minorHAnsi" w:hAnsiTheme="minorHAnsi" w:cstheme="minorHAnsi"/>
                <w:b/>
                <w:sz w:val="22"/>
                <w:szCs w:val="22"/>
              </w:rPr>
              <w:t xml:space="preserve"> in Rainier Beach</w:t>
            </w:r>
          </w:p>
        </w:tc>
        <w:tc>
          <w:tcPr>
            <w:tcW w:w="7809" w:type="dxa"/>
          </w:tcPr>
          <w:p w14:paraId="603B2069" w14:textId="09C634A3" w:rsidR="008F4AFA" w:rsidRDefault="008F4AFA"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Engaged community in Food Innovation Center (more than 1,000 residents) and created connections with stakeholders (e.g. farmers and food stands)</w:t>
            </w:r>
          </w:p>
          <w:p w14:paraId="0313BF78" w14:textId="77777777" w:rsidR="00E141A0" w:rsidRDefault="008F4AFA"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Launched a seasonal neighborhood Farm Stand in Rainier Beach </w:t>
            </w:r>
            <w:r w:rsidR="007356FA">
              <w:rPr>
                <w:rFonts w:asciiTheme="minorHAnsi" w:hAnsiTheme="minorHAnsi" w:cstheme="minorHAnsi"/>
                <w:sz w:val="22"/>
                <w:szCs w:val="22"/>
              </w:rPr>
              <w:t xml:space="preserve">(Ethiopian Community Center host site) </w:t>
            </w:r>
            <w:r>
              <w:rPr>
                <w:rFonts w:asciiTheme="minorHAnsi" w:hAnsiTheme="minorHAnsi" w:cstheme="minorHAnsi"/>
                <w:sz w:val="22"/>
                <w:szCs w:val="22"/>
              </w:rPr>
              <w:t>following extensive collaborative planning process that was open 18 consecutive summer Saturdays and served over 500 resident</w:t>
            </w:r>
            <w:r w:rsidR="007356FA">
              <w:rPr>
                <w:rFonts w:asciiTheme="minorHAnsi" w:hAnsiTheme="minorHAnsi" w:cstheme="minorHAnsi"/>
                <w:sz w:val="22"/>
                <w:szCs w:val="22"/>
              </w:rPr>
              <w:t>s</w:t>
            </w:r>
          </w:p>
          <w:p w14:paraId="774E557F" w14:textId="55368D47" w:rsidR="00857502" w:rsidRPr="003D4A7A" w:rsidRDefault="00857502" w:rsidP="00503419">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community kitchen access and associated cooking classes at neighborhood community centers, with participation from over ten local chefs and 400 residents</w:t>
            </w:r>
          </w:p>
        </w:tc>
      </w:tr>
      <w:tr w:rsidR="00E141A0" w:rsidRPr="003D4A7A" w14:paraId="76C8FF98" w14:textId="77777777" w:rsidTr="00084672">
        <w:trPr>
          <w:trHeight w:val="20"/>
          <w:jc w:val="center"/>
        </w:trPr>
        <w:tc>
          <w:tcPr>
            <w:tcW w:w="1053" w:type="dxa"/>
            <w:vAlign w:val="center"/>
          </w:tcPr>
          <w:p w14:paraId="23793CFE" w14:textId="77777777" w:rsidR="00E141A0" w:rsidRPr="003D4A7A" w:rsidRDefault="00E141A0" w:rsidP="00084672">
            <w:pPr>
              <w:jc w:val="center"/>
              <w:rPr>
                <w:rFonts w:asciiTheme="minorHAnsi" w:hAnsiTheme="minorHAnsi" w:cstheme="minorHAnsi"/>
                <w:b/>
                <w:sz w:val="22"/>
              </w:rPr>
            </w:pPr>
            <w:r>
              <w:rPr>
                <w:rFonts w:asciiTheme="minorHAnsi" w:hAnsiTheme="minorHAnsi" w:cstheme="minorHAnsi"/>
                <w:b/>
                <w:sz w:val="22"/>
              </w:rPr>
              <w:t>4</w:t>
            </w:r>
          </w:p>
        </w:tc>
        <w:tc>
          <w:tcPr>
            <w:tcW w:w="2070" w:type="dxa"/>
            <w:vAlign w:val="center"/>
          </w:tcPr>
          <w:p w14:paraId="7D259E35" w14:textId="40D57C29" w:rsidR="00E141A0" w:rsidRDefault="00857502"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Promote safety and reduce environmental causes of crime</w:t>
            </w:r>
          </w:p>
        </w:tc>
        <w:tc>
          <w:tcPr>
            <w:tcW w:w="7809" w:type="dxa"/>
          </w:tcPr>
          <w:p w14:paraId="2269BC09" w14:textId="4D5F68A2" w:rsidR="00857502" w:rsidRDefault="00857502"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Identified safety hot spot locations and recommended solutions located in the Othello neighborhood, resulting in 30 percent crime reduction through engagement with Rainier Beach community and other community-based organizations, businesses and schools</w:t>
            </w:r>
            <w:r>
              <w:rPr>
                <w:rStyle w:val="FootnoteReference"/>
                <w:rFonts w:asciiTheme="minorHAnsi" w:hAnsiTheme="minorHAnsi" w:cstheme="minorHAnsi"/>
                <w:sz w:val="22"/>
                <w:szCs w:val="22"/>
              </w:rPr>
              <w:footnoteReference w:id="26"/>
            </w:r>
          </w:p>
          <w:p w14:paraId="599D8CC1" w14:textId="28FA576C" w:rsidR="000F510D" w:rsidRDefault="000F510D"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Provided training and activities for neighbors and businesses to </w:t>
            </w:r>
            <w:r w:rsidR="000C08C8">
              <w:rPr>
                <w:rFonts w:asciiTheme="minorHAnsi" w:hAnsiTheme="minorHAnsi" w:cstheme="minorHAnsi"/>
                <w:sz w:val="22"/>
                <w:szCs w:val="22"/>
              </w:rPr>
              <w:t>identify and reduce environmental causes of crime</w:t>
            </w:r>
          </w:p>
          <w:p w14:paraId="3D51C92B" w14:textId="54003231" w:rsidR="000C08C8" w:rsidRPr="007A20F5" w:rsidRDefault="000C08C8"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Expanded neighborhood improvements through collaborative projects, such as a community mural and Unity trail improvements</w:t>
            </w:r>
          </w:p>
          <w:p w14:paraId="27335177" w14:textId="32D07055" w:rsidR="00D74220" w:rsidRPr="007A20F5" w:rsidRDefault="000C08C8" w:rsidP="0018228B">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Increased capacity of youth leaders to address crime, such as through the Corner Greeters project</w:t>
            </w:r>
            <w:r>
              <w:rPr>
                <w:rStyle w:val="FootnoteReference"/>
                <w:rFonts w:asciiTheme="minorHAnsi" w:hAnsiTheme="minorHAnsi" w:cstheme="minorHAnsi"/>
                <w:sz w:val="22"/>
                <w:szCs w:val="22"/>
              </w:rPr>
              <w:footnoteReference w:id="27"/>
            </w:r>
          </w:p>
        </w:tc>
      </w:tr>
      <w:tr w:rsidR="00D74220" w:rsidRPr="003D4A7A" w14:paraId="28AFA7BD" w14:textId="77777777" w:rsidTr="00084672">
        <w:trPr>
          <w:trHeight w:val="20"/>
          <w:jc w:val="center"/>
        </w:trPr>
        <w:tc>
          <w:tcPr>
            <w:tcW w:w="1053" w:type="dxa"/>
            <w:vAlign w:val="center"/>
          </w:tcPr>
          <w:p w14:paraId="044774AC" w14:textId="7DFE1057" w:rsidR="00D74220" w:rsidRDefault="00D74220" w:rsidP="00084672">
            <w:pPr>
              <w:jc w:val="center"/>
              <w:rPr>
                <w:rFonts w:asciiTheme="minorHAnsi" w:hAnsiTheme="minorHAnsi" w:cstheme="minorHAnsi"/>
                <w:b/>
                <w:sz w:val="22"/>
              </w:rPr>
            </w:pPr>
            <w:r>
              <w:rPr>
                <w:rFonts w:asciiTheme="minorHAnsi" w:hAnsiTheme="minorHAnsi" w:cstheme="minorHAnsi"/>
                <w:b/>
                <w:sz w:val="22"/>
              </w:rPr>
              <w:t>5</w:t>
            </w:r>
          </w:p>
        </w:tc>
        <w:tc>
          <w:tcPr>
            <w:tcW w:w="2070" w:type="dxa"/>
            <w:vAlign w:val="center"/>
          </w:tcPr>
          <w:p w14:paraId="4453969E" w14:textId="5C7B4C56" w:rsidR="00D74220" w:rsidRDefault="00D74220"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Advance anti-displacement policies and approaches</w:t>
            </w:r>
          </w:p>
        </w:tc>
        <w:tc>
          <w:tcPr>
            <w:tcW w:w="7809" w:type="dxa"/>
          </w:tcPr>
          <w:p w14:paraId="1F7EB3FD" w14:textId="6C725410" w:rsidR="00D74220" w:rsidRPr="0018228B" w:rsidRDefault="00D74220" w:rsidP="00D74220">
            <w:pPr>
              <w:pStyle w:val="ListParagraph0"/>
              <w:numPr>
                <w:ilvl w:val="0"/>
                <w:numId w:val="54"/>
              </w:numPr>
              <w:ind w:left="257" w:hanging="180"/>
              <w:rPr>
                <w:rFonts w:asciiTheme="minorHAnsi" w:eastAsia="Times New Roman" w:hAnsiTheme="minorHAnsi" w:cstheme="minorHAnsi"/>
                <w:sz w:val="22"/>
                <w:szCs w:val="22"/>
              </w:rPr>
            </w:pPr>
            <w:r>
              <w:rPr>
                <w:rFonts w:asciiTheme="minorHAnsi" w:eastAsia="Times New Roman" w:hAnsiTheme="minorHAnsi" w:cstheme="minorHAnsi"/>
                <w:sz w:val="22"/>
                <w:szCs w:val="22"/>
              </w:rPr>
              <w:t>Engaged communities in shaping Seattle Mandatory Housing Affordability rezone in their communities</w:t>
            </w:r>
          </w:p>
          <w:p w14:paraId="55C604B6" w14:textId="1F0654D3" w:rsidR="00D74220" w:rsidRPr="0018228B" w:rsidRDefault="00D74220" w:rsidP="007A20F5">
            <w:pPr>
              <w:pStyle w:val="ListParagraph0"/>
              <w:numPr>
                <w:ilvl w:val="0"/>
                <w:numId w:val="54"/>
              </w:numPr>
              <w:ind w:left="257" w:hanging="180"/>
              <w:rPr>
                <w:rFonts w:asciiTheme="minorHAnsi" w:eastAsia="Times New Roman" w:hAnsiTheme="minorHAnsi" w:cstheme="minorHAnsi"/>
                <w:sz w:val="22"/>
                <w:szCs w:val="22"/>
              </w:rPr>
            </w:pPr>
            <w:r>
              <w:rPr>
                <w:rFonts w:asciiTheme="minorHAnsi" w:hAnsiTheme="minorHAnsi" w:cstheme="minorHAnsi"/>
                <w:sz w:val="22"/>
                <w:szCs w:val="22"/>
              </w:rPr>
              <w:t>Activated the vacant corner of MLK &amp; Othello to provide food and nutrition educational programming and community gathering space</w:t>
            </w:r>
          </w:p>
        </w:tc>
      </w:tr>
      <w:tr w:rsidR="00D74220" w:rsidRPr="003D4A7A" w14:paraId="21B9A8F8" w14:textId="77777777" w:rsidTr="00084672">
        <w:trPr>
          <w:trHeight w:val="20"/>
          <w:jc w:val="center"/>
        </w:trPr>
        <w:tc>
          <w:tcPr>
            <w:tcW w:w="1053" w:type="dxa"/>
            <w:vAlign w:val="center"/>
          </w:tcPr>
          <w:p w14:paraId="582B0426" w14:textId="50F0E603" w:rsidR="00D74220" w:rsidRDefault="00D74220" w:rsidP="00084672">
            <w:pPr>
              <w:jc w:val="center"/>
              <w:rPr>
                <w:rFonts w:asciiTheme="minorHAnsi" w:hAnsiTheme="minorHAnsi" w:cstheme="minorHAnsi"/>
                <w:b/>
                <w:sz w:val="22"/>
              </w:rPr>
            </w:pPr>
            <w:r>
              <w:rPr>
                <w:rFonts w:asciiTheme="minorHAnsi" w:hAnsiTheme="minorHAnsi" w:cstheme="minorHAnsi"/>
                <w:b/>
                <w:sz w:val="22"/>
              </w:rPr>
              <w:t>6</w:t>
            </w:r>
          </w:p>
        </w:tc>
        <w:tc>
          <w:tcPr>
            <w:tcW w:w="2070" w:type="dxa"/>
            <w:vAlign w:val="center"/>
          </w:tcPr>
          <w:p w14:paraId="054B1693" w14:textId="1903CEEE" w:rsidR="00D74220" w:rsidRDefault="00D74220" w:rsidP="00084672">
            <w:pPr>
              <w:pStyle w:val="ListParagraph0"/>
              <w:spacing w:after="60"/>
              <w:ind w:left="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Ensure equitable transit-oriented development at Link Light Rail’s planned Graham </w:t>
            </w:r>
            <w:r>
              <w:rPr>
                <w:rFonts w:asciiTheme="minorHAnsi" w:eastAsiaTheme="minorHAnsi" w:hAnsiTheme="minorHAnsi" w:cstheme="minorHAnsi"/>
                <w:b/>
                <w:sz w:val="22"/>
                <w:szCs w:val="22"/>
              </w:rPr>
              <w:lastRenderedPageBreak/>
              <w:t>Street Infill Station</w:t>
            </w:r>
            <w:r w:rsidR="00541E14">
              <w:rPr>
                <w:rStyle w:val="FootnoteReference"/>
                <w:rFonts w:asciiTheme="minorHAnsi" w:eastAsiaTheme="minorHAnsi" w:hAnsiTheme="minorHAnsi" w:cstheme="minorHAnsi"/>
                <w:b/>
                <w:sz w:val="22"/>
                <w:szCs w:val="22"/>
              </w:rPr>
              <w:footnoteReference w:id="28"/>
            </w:r>
          </w:p>
        </w:tc>
        <w:tc>
          <w:tcPr>
            <w:tcW w:w="7809" w:type="dxa"/>
          </w:tcPr>
          <w:p w14:paraId="4569B1E8" w14:textId="77777777" w:rsidR="00D74220" w:rsidRDefault="00541E14"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lastRenderedPageBreak/>
              <w:t>Engaged with stakeholders, engaging directly with 500 stakeholders through community planning meetings and listening sessions, and door-to-door surveys</w:t>
            </w:r>
          </w:p>
          <w:p w14:paraId="1F96B475" w14:textId="77777777" w:rsidR="00BB5756" w:rsidRDefault="00BB5756" w:rsidP="00084672">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Leadership development, including recruiting new members to join SouthCORE to advocate for equitable development</w:t>
            </w:r>
          </w:p>
          <w:p w14:paraId="2CADC70B" w14:textId="4EC5A8A4" w:rsidR="00BB5756" w:rsidRDefault="00BB5756" w:rsidP="007A20F5">
            <w:pPr>
              <w:pStyle w:val="ListParagraph0"/>
              <w:numPr>
                <w:ilvl w:val="0"/>
                <w:numId w:val="54"/>
              </w:numPr>
              <w:ind w:left="257" w:hanging="180"/>
              <w:rPr>
                <w:rFonts w:asciiTheme="minorHAnsi" w:hAnsiTheme="minorHAnsi" w:cstheme="minorHAnsi"/>
                <w:sz w:val="22"/>
                <w:szCs w:val="22"/>
              </w:rPr>
            </w:pPr>
            <w:r>
              <w:rPr>
                <w:rFonts w:asciiTheme="minorHAnsi" w:hAnsiTheme="minorHAnsi" w:cstheme="minorHAnsi"/>
                <w:sz w:val="22"/>
                <w:szCs w:val="22"/>
              </w:rPr>
              <w:t xml:space="preserve">Leveraged funding from foundations to advance Graham Street work during the </w:t>
            </w:r>
            <w:r>
              <w:rPr>
                <w:rFonts w:asciiTheme="minorHAnsi" w:hAnsiTheme="minorHAnsi" w:cstheme="minorHAnsi"/>
                <w:sz w:val="22"/>
                <w:szCs w:val="22"/>
              </w:rPr>
              <w:lastRenderedPageBreak/>
              <w:t>COO place-based funding period</w:t>
            </w:r>
          </w:p>
        </w:tc>
      </w:tr>
    </w:tbl>
    <w:p w14:paraId="22497181" w14:textId="77777777" w:rsidR="00E141A0" w:rsidRPr="007B3A38" w:rsidRDefault="00E141A0" w:rsidP="00DD0251">
      <w:pPr>
        <w:jc w:val="both"/>
        <w:rPr>
          <w:rFonts w:ascii="Arial" w:hAnsi="Arial" w:cs="Arial"/>
          <w:szCs w:val="24"/>
        </w:rPr>
      </w:pPr>
    </w:p>
    <w:p w14:paraId="762218F3" w14:textId="76204023" w:rsidR="002B3C6E" w:rsidRPr="001F1C67" w:rsidRDefault="003B0207" w:rsidP="001F1C67">
      <w:pPr>
        <w:pStyle w:val="Default"/>
        <w:jc w:val="both"/>
      </w:pPr>
      <w:r w:rsidRPr="003B0207">
        <w:rPr>
          <w:b/>
        </w:rPr>
        <w:t xml:space="preserve">COO </w:t>
      </w:r>
      <w:r w:rsidR="003D075C">
        <w:rPr>
          <w:b/>
        </w:rPr>
        <w:t>Evaluation Framework</w:t>
      </w:r>
      <w:r w:rsidR="00F42734">
        <w:rPr>
          <w:b/>
        </w:rPr>
        <w:t xml:space="preserve">, </w:t>
      </w:r>
      <w:r>
        <w:rPr>
          <w:b/>
        </w:rPr>
        <w:t>Performance Measures</w:t>
      </w:r>
      <w:r w:rsidR="004C6F3A">
        <w:rPr>
          <w:b/>
        </w:rPr>
        <w:t xml:space="preserve"> and Monitoring</w:t>
      </w:r>
      <w:r w:rsidR="003D075C">
        <w:rPr>
          <w:b/>
        </w:rPr>
        <w:t xml:space="preserve">. </w:t>
      </w:r>
      <w:r w:rsidR="001235FD">
        <w:t>As indicated in the transmitted report, t</w:t>
      </w:r>
      <w:r w:rsidR="00084672">
        <w:t>argeted COO investments and activities over a short-term period (3-5 years) are expected to result in increased capacity for more equitable policies, sy</w:t>
      </w:r>
      <w:r w:rsidR="00BB20C2">
        <w:t xml:space="preserve">stems and community conditions, as </w:t>
      </w:r>
      <w:r w:rsidR="001E0961">
        <w:t xml:space="preserve">identified </w:t>
      </w:r>
      <w:r w:rsidR="00A8056E">
        <w:t xml:space="preserve">in the </w:t>
      </w:r>
      <w:r w:rsidR="008D3267">
        <w:t>middle column</w:t>
      </w:r>
      <w:r w:rsidR="00A8056E">
        <w:t xml:space="preserve"> </w:t>
      </w:r>
      <w:r w:rsidR="008D3267">
        <w:t>of</w:t>
      </w:r>
      <w:r w:rsidR="00084672">
        <w:t xml:space="preserve"> Figure 1. </w:t>
      </w:r>
    </w:p>
    <w:p w14:paraId="0C8EDABB" w14:textId="77777777" w:rsidR="00AB3456" w:rsidRDefault="00AB3456" w:rsidP="00DD0251">
      <w:pPr>
        <w:jc w:val="both"/>
        <w:rPr>
          <w:rFonts w:ascii="Arial" w:hAnsi="Arial" w:cs="Arial"/>
          <w:b/>
          <w:szCs w:val="24"/>
        </w:rPr>
      </w:pPr>
    </w:p>
    <w:p w14:paraId="146B285C" w14:textId="5CF70BDC" w:rsidR="00084672" w:rsidRPr="00084672" w:rsidRDefault="00084672" w:rsidP="00AB3456">
      <w:pPr>
        <w:jc w:val="center"/>
        <w:rPr>
          <w:rFonts w:ascii="Arial" w:hAnsi="Arial" w:cs="Arial"/>
          <w:b/>
          <w:szCs w:val="24"/>
        </w:rPr>
      </w:pPr>
      <w:r>
        <w:rPr>
          <w:rFonts w:ascii="Arial" w:hAnsi="Arial" w:cs="Arial"/>
          <w:b/>
          <w:szCs w:val="24"/>
        </w:rPr>
        <w:t>Figure 1. COO Framework</w:t>
      </w:r>
    </w:p>
    <w:p w14:paraId="79691009" w14:textId="45D0ABE9" w:rsidR="00084672" w:rsidRDefault="00084672" w:rsidP="00DD0251">
      <w:pPr>
        <w:jc w:val="both"/>
        <w:rPr>
          <w:rFonts w:ascii="Arial" w:hAnsi="Arial" w:cs="Arial"/>
          <w:b/>
          <w:szCs w:val="24"/>
        </w:rPr>
      </w:pPr>
      <w:r>
        <w:rPr>
          <w:noProof/>
        </w:rPr>
        <w:drawing>
          <wp:inline distT="0" distB="0" distL="0" distR="0" wp14:anchorId="715FE1C2" wp14:editId="6776FB55">
            <wp:extent cx="5943600" cy="23495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598301" w14:textId="132BDE45" w:rsidR="00A472FE" w:rsidRDefault="008D3267" w:rsidP="0035321D">
      <w:pPr>
        <w:jc w:val="both"/>
        <w:rPr>
          <w:rFonts w:ascii="Arial" w:hAnsi="Arial" w:cs="Arial"/>
          <w:szCs w:val="24"/>
        </w:rPr>
      </w:pPr>
      <w:r>
        <w:rPr>
          <w:rFonts w:ascii="Arial" w:hAnsi="Arial" w:cs="Arial"/>
          <w:szCs w:val="24"/>
        </w:rPr>
        <w:t>P</w:t>
      </w:r>
      <w:r w:rsidR="0035321D">
        <w:rPr>
          <w:rFonts w:ascii="Arial" w:hAnsi="Arial" w:cs="Arial"/>
          <w:szCs w:val="24"/>
        </w:rPr>
        <w:t xml:space="preserve">erformance measures, as indicated in the report, are designed to help track shorter-term outcomes. </w:t>
      </w:r>
      <w:r w:rsidR="00392D6D">
        <w:rPr>
          <w:rFonts w:ascii="Arial" w:hAnsi="Arial" w:cs="Arial"/>
          <w:szCs w:val="24"/>
        </w:rPr>
        <w:t>Enclosed below is a</w:t>
      </w:r>
      <w:r w:rsidR="0035321D">
        <w:rPr>
          <w:rFonts w:ascii="Arial" w:hAnsi="Arial" w:cs="Arial"/>
          <w:szCs w:val="24"/>
        </w:rPr>
        <w:t xml:space="preserve"> </w:t>
      </w:r>
      <w:r w:rsidR="00042D90">
        <w:rPr>
          <w:rFonts w:ascii="Arial" w:hAnsi="Arial" w:cs="Arial"/>
          <w:szCs w:val="24"/>
        </w:rPr>
        <w:t xml:space="preserve">data </w:t>
      </w:r>
      <w:r w:rsidR="0035321D">
        <w:rPr>
          <w:rFonts w:ascii="Arial" w:hAnsi="Arial" w:cs="Arial"/>
          <w:szCs w:val="24"/>
        </w:rPr>
        <w:t>summary</w:t>
      </w:r>
      <w:r w:rsidR="00A472FE">
        <w:rPr>
          <w:rFonts w:ascii="Arial" w:hAnsi="Arial" w:cs="Arial"/>
          <w:szCs w:val="24"/>
        </w:rPr>
        <w:t xml:space="preserve"> of </w:t>
      </w:r>
      <w:r w:rsidR="00392D6D">
        <w:rPr>
          <w:rFonts w:ascii="Arial" w:hAnsi="Arial" w:cs="Arial"/>
          <w:szCs w:val="24"/>
        </w:rPr>
        <w:t xml:space="preserve">the </w:t>
      </w:r>
      <w:r w:rsidR="00A472FE">
        <w:rPr>
          <w:rFonts w:ascii="Arial" w:hAnsi="Arial" w:cs="Arial"/>
          <w:szCs w:val="24"/>
        </w:rPr>
        <w:t xml:space="preserve">five key performance measures </w:t>
      </w:r>
      <w:r w:rsidR="00042D90">
        <w:rPr>
          <w:rFonts w:ascii="Arial" w:hAnsi="Arial" w:cs="Arial"/>
          <w:szCs w:val="24"/>
        </w:rPr>
        <w:t>from</w:t>
      </w:r>
      <w:r w:rsidR="00A472FE">
        <w:rPr>
          <w:rFonts w:ascii="Arial" w:hAnsi="Arial" w:cs="Arial"/>
          <w:szCs w:val="24"/>
        </w:rPr>
        <w:t xml:space="preserve"> across the three partnership</w:t>
      </w:r>
      <w:r>
        <w:rPr>
          <w:rFonts w:ascii="Arial" w:hAnsi="Arial" w:cs="Arial"/>
          <w:szCs w:val="24"/>
        </w:rPr>
        <w:t>s</w:t>
      </w:r>
      <w:r w:rsidR="00392D6D">
        <w:rPr>
          <w:rFonts w:ascii="Arial" w:hAnsi="Arial" w:cs="Arial"/>
          <w:szCs w:val="24"/>
        </w:rPr>
        <w:t xml:space="preserve"> in 2018</w:t>
      </w:r>
      <w:r w:rsidR="00A472FE">
        <w:rPr>
          <w:rFonts w:ascii="Arial" w:hAnsi="Arial" w:cs="Arial"/>
          <w:szCs w:val="24"/>
        </w:rPr>
        <w:t>:</w:t>
      </w:r>
    </w:p>
    <w:p w14:paraId="1F2847EB" w14:textId="77777777" w:rsidR="00A472FE" w:rsidRDefault="00A472FE" w:rsidP="0035321D">
      <w:pPr>
        <w:jc w:val="both"/>
        <w:rPr>
          <w:rFonts w:ascii="Arial" w:hAnsi="Arial" w:cs="Arial"/>
          <w:szCs w:val="24"/>
        </w:rPr>
      </w:pPr>
    </w:p>
    <w:p w14:paraId="444DB827" w14:textId="6F60BE56" w:rsidR="00A472FE" w:rsidRDefault="003B0E9A" w:rsidP="00A472FE">
      <w:pPr>
        <w:pStyle w:val="ListParagraph0"/>
        <w:numPr>
          <w:ilvl w:val="0"/>
          <w:numId w:val="52"/>
        </w:numPr>
        <w:jc w:val="both"/>
        <w:rPr>
          <w:rFonts w:ascii="Arial" w:hAnsi="Arial" w:cs="Arial"/>
        </w:rPr>
      </w:pPr>
      <w:r w:rsidRPr="004231D8">
        <w:rPr>
          <w:rFonts w:ascii="Arial" w:hAnsi="Arial" w:cs="Arial"/>
          <w:b/>
        </w:rPr>
        <w:t xml:space="preserve">Capacity Building </w:t>
      </w:r>
      <w:r w:rsidR="004231D8">
        <w:rPr>
          <w:rFonts w:ascii="Arial" w:hAnsi="Arial" w:cs="Arial"/>
          <w:b/>
        </w:rPr>
        <w:t>-- Number</w:t>
      </w:r>
      <w:r w:rsidRPr="004231D8">
        <w:rPr>
          <w:rFonts w:ascii="Arial" w:hAnsi="Arial" w:cs="Arial"/>
          <w:b/>
        </w:rPr>
        <w:t xml:space="preserve"> of Events and Participants:</w:t>
      </w:r>
      <w:r>
        <w:rPr>
          <w:rFonts w:ascii="Arial" w:hAnsi="Arial" w:cs="Arial"/>
        </w:rPr>
        <w:t xml:space="preserve"> </w:t>
      </w:r>
      <w:r w:rsidR="00A472FE">
        <w:rPr>
          <w:rFonts w:ascii="Arial" w:hAnsi="Arial" w:cs="Arial"/>
        </w:rPr>
        <w:t>140 capacity building events held, reaching 2,305 people</w:t>
      </w:r>
    </w:p>
    <w:p w14:paraId="5A1A1004" w14:textId="24D1DBAF" w:rsidR="00A472FE" w:rsidRDefault="004231D8" w:rsidP="00A472FE">
      <w:pPr>
        <w:pStyle w:val="ListParagraph0"/>
        <w:numPr>
          <w:ilvl w:val="0"/>
          <w:numId w:val="52"/>
        </w:numPr>
        <w:jc w:val="both"/>
        <w:rPr>
          <w:rFonts w:ascii="Arial" w:hAnsi="Arial" w:cs="Arial"/>
        </w:rPr>
      </w:pPr>
      <w:r w:rsidRPr="004231D8">
        <w:rPr>
          <w:rFonts w:ascii="Arial" w:hAnsi="Arial" w:cs="Arial"/>
          <w:b/>
        </w:rPr>
        <w:t xml:space="preserve">Community Events </w:t>
      </w:r>
      <w:r>
        <w:rPr>
          <w:rFonts w:ascii="Arial" w:hAnsi="Arial" w:cs="Arial"/>
          <w:b/>
        </w:rPr>
        <w:t>-- Number</w:t>
      </w:r>
      <w:r w:rsidRPr="004231D8">
        <w:rPr>
          <w:rFonts w:ascii="Arial" w:hAnsi="Arial" w:cs="Arial"/>
          <w:b/>
        </w:rPr>
        <w:t xml:space="preserve"> of Events and Participants:</w:t>
      </w:r>
      <w:r>
        <w:rPr>
          <w:rFonts w:ascii="Arial" w:hAnsi="Arial" w:cs="Arial"/>
        </w:rPr>
        <w:t xml:space="preserve"> </w:t>
      </w:r>
      <w:r w:rsidR="00A472FE">
        <w:rPr>
          <w:rFonts w:ascii="Arial" w:hAnsi="Arial" w:cs="Arial"/>
        </w:rPr>
        <w:t>187 community events held, reaching almost 15,000 people</w:t>
      </w:r>
    </w:p>
    <w:p w14:paraId="1C301D80" w14:textId="126E3057" w:rsidR="00A472FE" w:rsidRDefault="004231D8" w:rsidP="00A472FE">
      <w:pPr>
        <w:pStyle w:val="ListParagraph0"/>
        <w:numPr>
          <w:ilvl w:val="0"/>
          <w:numId w:val="52"/>
        </w:numPr>
        <w:jc w:val="both"/>
        <w:rPr>
          <w:rFonts w:ascii="Arial" w:hAnsi="Arial" w:cs="Arial"/>
        </w:rPr>
      </w:pPr>
      <w:r>
        <w:rPr>
          <w:rFonts w:ascii="Arial" w:hAnsi="Arial" w:cs="Arial"/>
          <w:b/>
        </w:rPr>
        <w:t xml:space="preserve">Residents in Leadership Roles: </w:t>
      </w:r>
      <w:r w:rsidR="00A472FE">
        <w:rPr>
          <w:rFonts w:ascii="Arial" w:hAnsi="Arial" w:cs="Arial"/>
        </w:rPr>
        <w:t>115 youth and young adults supported in taking on leadership positions within their communities and region</w:t>
      </w:r>
    </w:p>
    <w:p w14:paraId="46228A34" w14:textId="0E41721C" w:rsidR="00A85E42" w:rsidRPr="004231D8" w:rsidRDefault="004231D8" w:rsidP="004231D8">
      <w:pPr>
        <w:pStyle w:val="ListParagraph0"/>
        <w:numPr>
          <w:ilvl w:val="0"/>
          <w:numId w:val="52"/>
        </w:numPr>
        <w:jc w:val="both"/>
        <w:rPr>
          <w:rFonts w:ascii="Arial" w:hAnsi="Arial" w:cs="Arial"/>
        </w:rPr>
      </w:pPr>
      <w:r>
        <w:rPr>
          <w:rFonts w:ascii="Arial" w:hAnsi="Arial" w:cs="Arial"/>
          <w:b/>
        </w:rPr>
        <w:t xml:space="preserve">New Organizational Relationships Developed: </w:t>
      </w:r>
      <w:r w:rsidRPr="004231D8">
        <w:rPr>
          <w:rFonts w:ascii="Arial" w:hAnsi="Arial" w:cs="Arial"/>
        </w:rPr>
        <w:t>67</w:t>
      </w:r>
      <w:r>
        <w:rPr>
          <w:rFonts w:ascii="Arial" w:hAnsi="Arial" w:cs="Arial"/>
        </w:rPr>
        <w:t xml:space="preserve"> new organizational relationships developed</w:t>
      </w:r>
    </w:p>
    <w:p w14:paraId="6A1F8C6F" w14:textId="7FC34468" w:rsidR="00A85E42" w:rsidRDefault="004231D8" w:rsidP="004231D8">
      <w:pPr>
        <w:pStyle w:val="ListParagraph0"/>
        <w:numPr>
          <w:ilvl w:val="0"/>
          <w:numId w:val="52"/>
        </w:numPr>
        <w:jc w:val="both"/>
        <w:rPr>
          <w:rFonts w:ascii="Arial" w:hAnsi="Arial" w:cs="Arial"/>
        </w:rPr>
      </w:pPr>
      <w:r>
        <w:rPr>
          <w:rFonts w:ascii="Arial" w:hAnsi="Arial" w:cs="Arial"/>
          <w:b/>
        </w:rPr>
        <w:t xml:space="preserve">Organizational Relationships Strengthened: </w:t>
      </w:r>
      <w:r>
        <w:rPr>
          <w:rFonts w:ascii="Arial" w:hAnsi="Arial" w:cs="Arial"/>
        </w:rPr>
        <w:t>97 organizational relationships supported</w:t>
      </w:r>
    </w:p>
    <w:p w14:paraId="6593989C" w14:textId="77777777" w:rsidR="004231D8" w:rsidRDefault="004231D8" w:rsidP="0035321D">
      <w:pPr>
        <w:jc w:val="both"/>
        <w:rPr>
          <w:rFonts w:ascii="Arial" w:hAnsi="Arial" w:cs="Arial"/>
          <w:szCs w:val="24"/>
        </w:rPr>
      </w:pPr>
    </w:p>
    <w:p w14:paraId="379EA6A8" w14:textId="3E120E10" w:rsidR="0035321D" w:rsidRDefault="00A85E42" w:rsidP="0035321D">
      <w:pPr>
        <w:jc w:val="both"/>
        <w:rPr>
          <w:rFonts w:ascii="Arial" w:hAnsi="Arial" w:cs="Arial"/>
          <w:szCs w:val="24"/>
        </w:rPr>
      </w:pPr>
      <w:r>
        <w:rPr>
          <w:rFonts w:ascii="Arial" w:hAnsi="Arial" w:cs="Arial"/>
          <w:szCs w:val="24"/>
        </w:rPr>
        <w:t>As noted in the transmitted report, additional</w:t>
      </w:r>
      <w:r w:rsidR="009B1DC4">
        <w:rPr>
          <w:rFonts w:ascii="Arial" w:hAnsi="Arial" w:cs="Arial"/>
          <w:szCs w:val="24"/>
        </w:rPr>
        <w:t xml:space="preserve"> </w:t>
      </w:r>
      <w:r w:rsidR="00CA25BA">
        <w:rPr>
          <w:rFonts w:ascii="Arial" w:hAnsi="Arial" w:cs="Arial"/>
          <w:szCs w:val="24"/>
        </w:rPr>
        <w:t xml:space="preserve">common </w:t>
      </w:r>
      <w:r w:rsidR="009B1DC4">
        <w:rPr>
          <w:rFonts w:ascii="Arial" w:hAnsi="Arial" w:cs="Arial"/>
          <w:szCs w:val="24"/>
        </w:rPr>
        <w:t xml:space="preserve">performance measures </w:t>
      </w:r>
      <w:r>
        <w:rPr>
          <w:rFonts w:ascii="Arial" w:hAnsi="Arial" w:cs="Arial"/>
          <w:szCs w:val="24"/>
        </w:rPr>
        <w:t xml:space="preserve">have been </w:t>
      </w:r>
      <w:r w:rsidR="009B1DC4">
        <w:rPr>
          <w:rFonts w:ascii="Arial" w:hAnsi="Arial" w:cs="Arial"/>
          <w:szCs w:val="24"/>
        </w:rPr>
        <w:t xml:space="preserve">developed </w:t>
      </w:r>
      <w:r w:rsidR="0035321D">
        <w:rPr>
          <w:rFonts w:ascii="Arial" w:hAnsi="Arial" w:cs="Arial"/>
          <w:szCs w:val="24"/>
        </w:rPr>
        <w:t>for reporting activities in 2019-2020</w:t>
      </w:r>
      <w:r w:rsidR="009B1DC4">
        <w:rPr>
          <w:rStyle w:val="FootnoteReference"/>
          <w:rFonts w:ascii="Arial" w:hAnsi="Arial" w:cs="Arial"/>
          <w:szCs w:val="24"/>
        </w:rPr>
        <w:footnoteReference w:id="29"/>
      </w:r>
      <w:r w:rsidR="00BA2D35">
        <w:rPr>
          <w:rFonts w:ascii="Arial" w:hAnsi="Arial" w:cs="Arial"/>
          <w:szCs w:val="24"/>
        </w:rPr>
        <w:t xml:space="preserve">, a list of which </w:t>
      </w:r>
      <w:r>
        <w:rPr>
          <w:rFonts w:ascii="Arial" w:hAnsi="Arial" w:cs="Arial"/>
          <w:szCs w:val="24"/>
        </w:rPr>
        <w:t>is provided on page 31 of the transmitted report.</w:t>
      </w:r>
      <w:r w:rsidR="009B1DC4">
        <w:rPr>
          <w:rFonts w:ascii="Arial" w:hAnsi="Arial" w:cs="Arial"/>
          <w:szCs w:val="24"/>
        </w:rPr>
        <w:t xml:space="preserve"> </w:t>
      </w:r>
      <w:r w:rsidR="00BA2D35">
        <w:rPr>
          <w:rFonts w:ascii="Arial" w:hAnsi="Arial" w:cs="Arial"/>
          <w:szCs w:val="24"/>
        </w:rPr>
        <w:t>Additionally</w:t>
      </w:r>
      <w:r w:rsidR="0035321D">
        <w:rPr>
          <w:rFonts w:ascii="Arial" w:hAnsi="Arial" w:cs="Arial"/>
          <w:szCs w:val="24"/>
        </w:rPr>
        <w:t>,</w:t>
      </w:r>
      <w:r w:rsidR="009B1DC4">
        <w:rPr>
          <w:rFonts w:ascii="Arial" w:hAnsi="Arial" w:cs="Arial"/>
          <w:szCs w:val="24"/>
        </w:rPr>
        <w:t xml:space="preserve"> the report indicates that</w:t>
      </w:r>
      <w:r w:rsidR="0035321D">
        <w:rPr>
          <w:rFonts w:ascii="Arial" w:hAnsi="Arial" w:cs="Arial"/>
          <w:szCs w:val="24"/>
        </w:rPr>
        <w:t xml:space="preserve"> COO also plans to track additional, project-specific performance measures (currently being finalized). </w:t>
      </w:r>
    </w:p>
    <w:p w14:paraId="1BB89B9B" w14:textId="568C1849" w:rsidR="002E798A" w:rsidRDefault="002E798A" w:rsidP="0007200F">
      <w:pPr>
        <w:jc w:val="both"/>
        <w:rPr>
          <w:rFonts w:ascii="Arial" w:hAnsi="Arial" w:cs="Arial"/>
          <w:szCs w:val="24"/>
          <w:u w:val="single"/>
        </w:rPr>
      </w:pPr>
    </w:p>
    <w:p w14:paraId="42E25F6B" w14:textId="740FB51E" w:rsidR="0007200F" w:rsidRDefault="0007200F" w:rsidP="0007200F">
      <w:pPr>
        <w:jc w:val="both"/>
        <w:rPr>
          <w:rFonts w:ascii="Arial" w:hAnsi="Arial" w:cs="Arial"/>
        </w:rPr>
      </w:pPr>
      <w:r w:rsidRPr="00AB3456">
        <w:rPr>
          <w:rFonts w:ascii="Arial" w:hAnsi="Arial" w:cs="Arial"/>
          <w:b/>
          <w:szCs w:val="24"/>
        </w:rPr>
        <w:lastRenderedPageBreak/>
        <w:t>Baseline Evaluation</w:t>
      </w:r>
      <w:r w:rsidR="00E135F1" w:rsidRPr="00AB3456">
        <w:rPr>
          <w:rFonts w:ascii="Arial" w:hAnsi="Arial" w:cs="Arial"/>
          <w:b/>
          <w:szCs w:val="24"/>
        </w:rPr>
        <w:t xml:space="preserve"> and Performance Monitoring</w:t>
      </w:r>
      <w:r w:rsidRPr="0007200F">
        <w:rPr>
          <w:rFonts w:ascii="Arial" w:hAnsi="Arial" w:cs="Arial"/>
          <w:szCs w:val="24"/>
        </w:rPr>
        <w:t xml:space="preserve"> Communities of Opportunity launched a baseline evaluation in 2018 to, in part, assess progress on performance measures, conducted by a multidisciplinary evaluation team working closely with community partners.</w:t>
      </w:r>
      <w:r w:rsidR="002D5F09" w:rsidRPr="0007200F">
        <w:rPr>
          <w:rFonts w:ascii="Arial" w:hAnsi="Arial" w:cs="Arial"/>
          <w:szCs w:val="24"/>
        </w:rPr>
        <w:t xml:space="preserve"> </w:t>
      </w:r>
      <w:r w:rsidRPr="0007200F">
        <w:rPr>
          <w:rFonts w:ascii="Arial" w:hAnsi="Arial" w:cs="Arial"/>
          <w:szCs w:val="24"/>
        </w:rPr>
        <w:t>Additionally, an Evaluation Advisory Group was created, consisting of representatives from across the COO strategy areas 1 and 2 (Table 1), to advise COO throughout th</w:t>
      </w:r>
      <w:r w:rsidR="0014364E">
        <w:rPr>
          <w:rFonts w:ascii="Arial" w:hAnsi="Arial" w:cs="Arial"/>
          <w:szCs w:val="24"/>
        </w:rPr>
        <w:t>e baseline evaluation process. Of note, a</w:t>
      </w:r>
      <w:r w:rsidRPr="0007200F">
        <w:rPr>
          <w:rFonts w:ascii="Arial" w:hAnsi="Arial" w:cs="Arial"/>
          <w:szCs w:val="24"/>
        </w:rPr>
        <w:t xml:space="preserve"> complete summary </w:t>
      </w:r>
      <w:r w:rsidR="00F35D5C">
        <w:rPr>
          <w:rFonts w:ascii="Arial" w:hAnsi="Arial" w:cs="Arial"/>
          <w:szCs w:val="24"/>
        </w:rPr>
        <w:t>of</w:t>
      </w:r>
      <w:r w:rsidRPr="0007200F">
        <w:rPr>
          <w:rFonts w:ascii="Arial" w:hAnsi="Arial" w:cs="Arial"/>
          <w:szCs w:val="24"/>
        </w:rPr>
        <w:t xml:space="preserve"> baseline evaluation findi</w:t>
      </w:r>
      <w:r>
        <w:rPr>
          <w:rFonts w:ascii="Arial" w:hAnsi="Arial" w:cs="Arial"/>
          <w:szCs w:val="24"/>
        </w:rPr>
        <w:t xml:space="preserve">ngs, including population-level </w:t>
      </w:r>
      <w:r w:rsidRPr="0007200F">
        <w:rPr>
          <w:rFonts w:ascii="Arial" w:hAnsi="Arial" w:cs="Arial"/>
          <w:szCs w:val="24"/>
        </w:rPr>
        <w:t xml:space="preserve">metrics </w:t>
      </w:r>
      <w:r w:rsidR="00943005">
        <w:rPr>
          <w:rFonts w:ascii="Arial" w:hAnsi="Arial" w:cs="Arial"/>
          <w:szCs w:val="24"/>
        </w:rPr>
        <w:t>(headline indicators</w:t>
      </w:r>
      <w:r w:rsidR="00943005">
        <w:rPr>
          <w:rStyle w:val="FootnoteReference"/>
          <w:rFonts w:ascii="Arial" w:hAnsi="Arial" w:cs="Arial"/>
          <w:szCs w:val="24"/>
        </w:rPr>
        <w:footnoteReference w:id="30"/>
      </w:r>
      <w:r w:rsidR="00943005">
        <w:rPr>
          <w:rFonts w:ascii="Arial" w:hAnsi="Arial" w:cs="Arial"/>
          <w:szCs w:val="24"/>
        </w:rPr>
        <w:t xml:space="preserve">) </w:t>
      </w:r>
      <w:r w:rsidRPr="0007200F">
        <w:rPr>
          <w:rFonts w:ascii="Arial" w:hAnsi="Arial" w:cs="Arial"/>
          <w:szCs w:val="24"/>
        </w:rPr>
        <w:t xml:space="preserve">and partner-level findings, is available online at </w:t>
      </w:r>
      <w:hyperlink r:id="rId13" w:history="1">
        <w:r w:rsidRPr="0007200F">
          <w:rPr>
            <w:rStyle w:val="Hyperlink"/>
            <w:rFonts w:ascii="Arial" w:eastAsiaTheme="minorHAnsi" w:hAnsi="Arial" w:cs="Arial"/>
          </w:rPr>
          <w:t>www.COOpartnerships.org/impact</w:t>
        </w:r>
      </w:hyperlink>
      <w:r w:rsidRPr="0007200F">
        <w:rPr>
          <w:rFonts w:ascii="Arial" w:hAnsi="Arial" w:cs="Arial"/>
        </w:rPr>
        <w:t>.</w:t>
      </w:r>
      <w:r>
        <w:rPr>
          <w:rFonts w:ascii="Arial" w:hAnsi="Arial" w:cs="Arial"/>
        </w:rPr>
        <w:t xml:space="preserve"> </w:t>
      </w:r>
    </w:p>
    <w:p w14:paraId="2311408A" w14:textId="37960DCB" w:rsidR="00943005" w:rsidRPr="00A87D08" w:rsidRDefault="00A87D08" w:rsidP="00943005">
      <w:pPr>
        <w:jc w:val="both"/>
        <w:rPr>
          <w:rFonts w:ascii="Arial" w:hAnsi="Arial" w:cs="Arial"/>
          <w:szCs w:val="24"/>
        </w:rPr>
      </w:pPr>
      <w:r w:rsidRPr="00A87D08">
        <w:rPr>
          <w:rFonts w:ascii="Arial" w:hAnsi="Arial" w:cs="Arial"/>
          <w:szCs w:val="24"/>
        </w:rPr>
        <w:t>In addition to</w:t>
      </w:r>
      <w:r w:rsidR="00943005" w:rsidRPr="00A87D08">
        <w:rPr>
          <w:rFonts w:ascii="Arial" w:hAnsi="Arial" w:cs="Arial"/>
          <w:szCs w:val="24"/>
        </w:rPr>
        <w:t xml:space="preserve"> ongoing performance measure</w:t>
      </w:r>
      <w:r w:rsidR="00E135F1" w:rsidRPr="00A87D08">
        <w:rPr>
          <w:rFonts w:ascii="Arial" w:hAnsi="Arial" w:cs="Arial"/>
          <w:szCs w:val="24"/>
        </w:rPr>
        <w:t>s</w:t>
      </w:r>
      <w:r w:rsidR="00943005" w:rsidRPr="00A87D08">
        <w:rPr>
          <w:rFonts w:ascii="Arial" w:hAnsi="Arial" w:cs="Arial"/>
          <w:szCs w:val="24"/>
        </w:rPr>
        <w:t xml:space="preserve"> monitoring, the transmitted report indicates that COO synthesizes information from grantees’ mid-year annual reports. As further indicated, these reports, in addition to regular check-ins between COO grantees and their contract monitors, will provide COO with contextual, qualitative data about contributing factors to success of the grantees’ work and any barriers or challenges encountered, as well as how any encountered challenges have been overcome.</w:t>
      </w:r>
    </w:p>
    <w:p w14:paraId="5EFA138B" w14:textId="4DB190E7" w:rsidR="00D0698F" w:rsidRPr="00943005" w:rsidRDefault="00D0698F" w:rsidP="00DD0251">
      <w:pPr>
        <w:jc w:val="both"/>
        <w:rPr>
          <w:rFonts w:ascii="Arial" w:hAnsi="Arial" w:cs="Arial"/>
          <w:color w:val="FF0000"/>
          <w:szCs w:val="24"/>
        </w:rPr>
      </w:pPr>
    </w:p>
    <w:p w14:paraId="3489465E" w14:textId="2E8B0EF1" w:rsidR="00DD0251" w:rsidRPr="000515F7" w:rsidRDefault="003514EF" w:rsidP="00DD0251">
      <w:pPr>
        <w:jc w:val="both"/>
        <w:rPr>
          <w:rFonts w:ascii="Arial" w:hAnsi="Arial" w:cs="Arial"/>
          <w:szCs w:val="24"/>
        </w:rPr>
      </w:pPr>
      <w:r>
        <w:rPr>
          <w:rFonts w:ascii="Arial" w:hAnsi="Arial" w:cs="Arial"/>
          <w:szCs w:val="24"/>
        </w:rPr>
        <w:t>The transmitted</w:t>
      </w:r>
      <w:r w:rsidR="00DD0251">
        <w:rPr>
          <w:rFonts w:ascii="Arial" w:hAnsi="Arial" w:cs="Arial"/>
          <w:szCs w:val="24"/>
        </w:rPr>
        <w:t xml:space="preserve"> report generally meets the requirements of the proviso. </w:t>
      </w:r>
      <w:r w:rsidR="00DD0251">
        <w:rPr>
          <w:rFonts w:ascii="Arial" w:hAnsi="Arial" w:cs="Arial"/>
        </w:rPr>
        <w:t>The proposed motion, if passed by Council, would approve the report and authorize $465,000 in provisoed funds restricted by the proviso to be released to Public Health.</w:t>
      </w:r>
      <w:r w:rsidR="00E869C3">
        <w:rPr>
          <w:rFonts w:ascii="Arial" w:hAnsi="Arial" w:cs="Arial"/>
        </w:rPr>
        <w:t xml:space="preserve"> </w:t>
      </w:r>
    </w:p>
    <w:p w14:paraId="2771CFE0" w14:textId="170191D0" w:rsidR="00575B03" w:rsidRPr="001C4B19" w:rsidRDefault="00575B03" w:rsidP="005B478C">
      <w:pPr>
        <w:pStyle w:val="BodyText"/>
        <w:jc w:val="both"/>
        <w:rPr>
          <w:rFonts w:ascii="Arial" w:hAnsi="Arial" w:cs="Arial"/>
          <w:i w:val="0"/>
          <w:szCs w:val="24"/>
        </w:rPr>
      </w:pPr>
    </w:p>
    <w:p w14:paraId="5D6EFA52" w14:textId="77777777" w:rsidR="00C65EB8" w:rsidRPr="001C4B19" w:rsidRDefault="00C65EB8" w:rsidP="005B478C">
      <w:pPr>
        <w:pStyle w:val="BodyText"/>
        <w:jc w:val="both"/>
        <w:rPr>
          <w:rFonts w:ascii="Arial" w:hAnsi="Arial" w:cs="Arial"/>
          <w:b/>
          <w:i w:val="0"/>
          <w:szCs w:val="24"/>
          <w:u w:val="single"/>
        </w:rPr>
      </w:pPr>
    </w:p>
    <w:p w14:paraId="058600B9"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0D66006" w14:textId="77777777" w:rsidR="00734F2E" w:rsidRPr="001C4B19" w:rsidRDefault="00734F2E" w:rsidP="005B478C">
      <w:pPr>
        <w:jc w:val="both"/>
        <w:rPr>
          <w:rFonts w:ascii="Arial" w:hAnsi="Arial" w:cs="Arial"/>
          <w:szCs w:val="24"/>
        </w:rPr>
      </w:pPr>
    </w:p>
    <w:p w14:paraId="3B2E7D1A" w14:textId="7F347216" w:rsidR="001C4B19" w:rsidRDefault="00BF6BD5" w:rsidP="002A0F22">
      <w:pPr>
        <w:pStyle w:val="ListParagraph0"/>
        <w:numPr>
          <w:ilvl w:val="0"/>
          <w:numId w:val="47"/>
        </w:numPr>
        <w:rPr>
          <w:rFonts w:ascii="Arial" w:hAnsi="Arial" w:cs="Arial"/>
          <w:bCs/>
          <w:iCs/>
        </w:rPr>
      </w:pPr>
      <w:r w:rsidRPr="002A0F22">
        <w:rPr>
          <w:rFonts w:ascii="Arial" w:hAnsi="Arial" w:cs="Arial"/>
          <w:bCs/>
          <w:iCs/>
        </w:rPr>
        <w:t>Andréa Akita, Director, Communities of Opportunity</w:t>
      </w:r>
    </w:p>
    <w:p w14:paraId="1A09BF90" w14:textId="42F865BA" w:rsidR="00AB3456" w:rsidRDefault="00AB3456" w:rsidP="00AB3456">
      <w:pPr>
        <w:rPr>
          <w:rFonts w:ascii="Arial" w:hAnsi="Arial" w:cs="Arial"/>
          <w:bCs/>
          <w:iCs/>
        </w:rPr>
      </w:pPr>
    </w:p>
    <w:p w14:paraId="57B3C748" w14:textId="77777777" w:rsidR="00AB3456" w:rsidRDefault="00AB3456" w:rsidP="00AB3456">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6F0EB1A" w14:textId="77777777" w:rsidR="00AB3456" w:rsidRDefault="00AB3456" w:rsidP="00AB3456">
      <w:pPr>
        <w:pStyle w:val="BodyText"/>
        <w:jc w:val="both"/>
        <w:rPr>
          <w:rFonts w:ascii="Arial" w:hAnsi="Arial" w:cs="Arial"/>
          <w:b/>
          <w:i w:val="0"/>
          <w:szCs w:val="24"/>
          <w:u w:val="single"/>
        </w:rPr>
      </w:pPr>
    </w:p>
    <w:p w14:paraId="0378050A" w14:textId="77777777" w:rsidR="00AB3456" w:rsidRDefault="00AB3456" w:rsidP="00AB3456">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 2019-0281</w:t>
      </w:r>
    </w:p>
    <w:p w14:paraId="2E65F3C7" w14:textId="77777777" w:rsidR="00AB3456" w:rsidRPr="001C4B19" w:rsidRDefault="00AB3456" w:rsidP="00AB3456">
      <w:pPr>
        <w:pStyle w:val="BodyText"/>
        <w:numPr>
          <w:ilvl w:val="0"/>
          <w:numId w:val="48"/>
        </w:numPr>
        <w:jc w:val="both"/>
        <w:rPr>
          <w:rFonts w:ascii="Arial" w:hAnsi="Arial" w:cs="Arial"/>
          <w:i w:val="0"/>
          <w:szCs w:val="24"/>
        </w:rPr>
      </w:pPr>
      <w:r>
        <w:rPr>
          <w:rFonts w:ascii="Arial" w:hAnsi="Arial" w:cs="Arial"/>
          <w:i w:val="0"/>
          <w:szCs w:val="24"/>
        </w:rPr>
        <w:t>Communities of Opportunity 2018 Outcomes Report on the Original Place-Based Sites: Rainier Valley, White Center and SeaTac/Tukwila</w:t>
      </w:r>
    </w:p>
    <w:p w14:paraId="1845D40A" w14:textId="77777777" w:rsidR="00AB3456" w:rsidRDefault="00AB3456" w:rsidP="00AB3456">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49E446B1" w14:textId="77777777" w:rsidR="00AB3456" w:rsidRPr="00D232A6" w:rsidRDefault="00AB3456" w:rsidP="00AB3456">
      <w:pPr>
        <w:pStyle w:val="BodyText"/>
        <w:numPr>
          <w:ilvl w:val="0"/>
          <w:numId w:val="35"/>
        </w:numPr>
        <w:jc w:val="both"/>
        <w:rPr>
          <w:rFonts w:ascii="Arial" w:hAnsi="Arial" w:cs="Arial"/>
          <w:i w:val="0"/>
          <w:szCs w:val="24"/>
        </w:rPr>
      </w:pPr>
      <w:r>
        <w:rPr>
          <w:rFonts w:ascii="Arial" w:hAnsi="Arial" w:cs="Arial"/>
          <w:i w:val="0"/>
          <w:szCs w:val="24"/>
        </w:rPr>
        <w:t>PowerPoint Presentation, dated July 30, 2019</w:t>
      </w:r>
    </w:p>
    <w:p w14:paraId="4E636F5B" w14:textId="77777777" w:rsidR="00AB3456" w:rsidRPr="00AB3456" w:rsidRDefault="00AB3456" w:rsidP="00AB3456">
      <w:pPr>
        <w:rPr>
          <w:rFonts w:ascii="Arial" w:hAnsi="Arial" w:cs="Arial"/>
          <w:bCs/>
          <w:iCs/>
        </w:rPr>
      </w:pPr>
      <w:bookmarkStart w:id="0" w:name="_GoBack"/>
      <w:bookmarkEnd w:id="0"/>
    </w:p>
    <w:sectPr w:rsidR="00AB3456" w:rsidRPr="00AB3456" w:rsidSect="00AB1AD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0" w:right="1440" w:bottom="54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7636" w14:textId="77777777" w:rsidR="00084672" w:rsidRDefault="00084672">
      <w:r>
        <w:separator/>
      </w:r>
    </w:p>
  </w:endnote>
  <w:endnote w:type="continuationSeparator" w:id="0">
    <w:p w14:paraId="096E9EC5" w14:textId="77777777" w:rsidR="00084672" w:rsidRDefault="0008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6F76" w14:textId="77777777" w:rsidR="00084672" w:rsidRDefault="0008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7826" w14:textId="77777777" w:rsidR="00084672" w:rsidRDefault="00084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1C52" w14:textId="77777777" w:rsidR="00084672" w:rsidRDefault="0008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2DC2" w14:textId="77777777" w:rsidR="00084672" w:rsidRDefault="00084672">
      <w:r>
        <w:separator/>
      </w:r>
    </w:p>
  </w:footnote>
  <w:footnote w:type="continuationSeparator" w:id="0">
    <w:p w14:paraId="0C07116D" w14:textId="77777777" w:rsidR="00084672" w:rsidRDefault="00084672">
      <w:r>
        <w:continuationSeparator/>
      </w:r>
    </w:p>
  </w:footnote>
  <w:footnote w:id="1">
    <w:p w14:paraId="42105574" w14:textId="77777777" w:rsidR="00084672" w:rsidRPr="000C1C22" w:rsidRDefault="00084672" w:rsidP="00A845CF">
      <w:pPr>
        <w:pStyle w:val="FootnoteText"/>
        <w:rPr>
          <w:rFonts w:ascii="Arial" w:hAnsi="Arial" w:cs="Arial"/>
        </w:rPr>
      </w:pPr>
      <w:r w:rsidRPr="000C1C22">
        <w:rPr>
          <w:rStyle w:val="FootnoteReference"/>
          <w:rFonts w:ascii="Arial" w:hAnsi="Arial" w:cs="Arial"/>
        </w:rPr>
        <w:footnoteRef/>
      </w:r>
      <w:r w:rsidRPr="000C1C22">
        <w:rPr>
          <w:rFonts w:ascii="Arial" w:hAnsi="Arial" w:cs="Arial"/>
        </w:rPr>
        <w:t xml:space="preserve"> Ordinance 18088 and Motion 14673.</w:t>
      </w:r>
    </w:p>
  </w:footnote>
  <w:footnote w:id="2">
    <w:p w14:paraId="07AB2779" w14:textId="2344C930" w:rsidR="00084672" w:rsidRPr="00DB129F" w:rsidRDefault="00084672" w:rsidP="00A845CF">
      <w:pPr>
        <w:pStyle w:val="FootnoteText"/>
        <w:rPr>
          <w:rFonts w:cs="Arial"/>
        </w:rPr>
      </w:pPr>
      <w:r w:rsidRPr="000C1C22">
        <w:rPr>
          <w:rStyle w:val="FootnoteReference"/>
          <w:rFonts w:ascii="Arial" w:hAnsi="Arial" w:cs="Arial"/>
        </w:rPr>
        <w:footnoteRef/>
      </w:r>
      <w:r w:rsidRPr="000C1C22">
        <w:rPr>
          <w:rFonts w:ascii="Arial" w:hAnsi="Arial" w:cs="Arial"/>
        </w:rPr>
        <w:t xml:space="preserve"> Earlier projections estimated approximately $392.3 m</w:t>
      </w:r>
      <w:r>
        <w:rPr>
          <w:rFonts w:ascii="Arial" w:hAnsi="Arial" w:cs="Arial"/>
        </w:rPr>
        <w:t>illion in revenues over the six-</w:t>
      </w:r>
      <w:r w:rsidRPr="000C1C22">
        <w:rPr>
          <w:rFonts w:ascii="Arial" w:hAnsi="Arial" w:cs="Arial"/>
        </w:rPr>
        <w:t>year levy period.</w:t>
      </w:r>
    </w:p>
  </w:footnote>
  <w:footnote w:id="3">
    <w:p w14:paraId="46EAD07C" w14:textId="277BA639" w:rsidR="00B26E3D" w:rsidRPr="00B26E3D" w:rsidRDefault="00B26E3D">
      <w:pPr>
        <w:pStyle w:val="FootnoteText"/>
        <w:rPr>
          <w:rFonts w:ascii="Arial" w:hAnsi="Arial" w:cs="Arial"/>
        </w:rPr>
      </w:pPr>
      <w:r w:rsidRPr="00B26E3D">
        <w:rPr>
          <w:rStyle w:val="FootnoteReference"/>
          <w:rFonts w:ascii="Arial" w:hAnsi="Arial" w:cs="Arial"/>
        </w:rPr>
        <w:footnoteRef/>
      </w:r>
      <w:r w:rsidRPr="00B26E3D">
        <w:rPr>
          <w:rFonts w:ascii="Arial" w:hAnsi="Arial" w:cs="Arial"/>
        </w:rPr>
        <w:t xml:space="preserve"> All programs, per the BSK Implementation Plan, will have performance metrics to track progress toward implementation milestones including: </w:t>
      </w:r>
      <w:r w:rsidRPr="006B23EB">
        <w:rPr>
          <w:rFonts w:ascii="Arial" w:hAnsi="Arial" w:cs="Arial"/>
          <w:i/>
        </w:rPr>
        <w:t>How much was done?</w:t>
      </w:r>
      <w:r w:rsidRPr="00B26E3D">
        <w:rPr>
          <w:rFonts w:ascii="Arial" w:hAnsi="Arial" w:cs="Arial"/>
        </w:rPr>
        <w:t xml:space="preserve"> </w:t>
      </w:r>
      <w:r w:rsidRPr="006B23EB">
        <w:rPr>
          <w:rFonts w:ascii="Arial" w:hAnsi="Arial" w:cs="Arial"/>
          <w:i/>
        </w:rPr>
        <w:t>How well was it done?</w:t>
      </w:r>
      <w:r w:rsidRPr="00B26E3D">
        <w:rPr>
          <w:rFonts w:ascii="Arial" w:hAnsi="Arial" w:cs="Arial"/>
        </w:rPr>
        <w:t xml:space="preserve"> and </w:t>
      </w:r>
      <w:r w:rsidRPr="006B23EB">
        <w:rPr>
          <w:rFonts w:ascii="Arial" w:hAnsi="Arial" w:cs="Arial"/>
          <w:i/>
        </w:rPr>
        <w:t>Is anyone better off?</w:t>
      </w:r>
    </w:p>
  </w:footnote>
  <w:footnote w:id="4">
    <w:p w14:paraId="5613AF33" w14:textId="28A13748" w:rsidR="0074062F" w:rsidRPr="0074062F" w:rsidRDefault="0074062F">
      <w:pPr>
        <w:pStyle w:val="FootnoteText"/>
        <w:rPr>
          <w:rFonts w:ascii="Arial" w:hAnsi="Arial" w:cs="Arial"/>
        </w:rPr>
      </w:pPr>
      <w:r w:rsidRPr="0074062F">
        <w:rPr>
          <w:rStyle w:val="FootnoteReference"/>
          <w:rFonts w:ascii="Arial" w:hAnsi="Arial" w:cs="Arial"/>
        </w:rPr>
        <w:footnoteRef/>
      </w:r>
      <w:r w:rsidRPr="0074062F">
        <w:rPr>
          <w:rFonts w:ascii="Arial" w:hAnsi="Arial" w:cs="Arial"/>
        </w:rPr>
        <w:t xml:space="preserve"> Information on 2018</w:t>
      </w:r>
      <w:r>
        <w:rPr>
          <w:rFonts w:ascii="Arial" w:hAnsi="Arial" w:cs="Arial"/>
        </w:rPr>
        <w:t xml:space="preserve"> investments in each COO str</w:t>
      </w:r>
      <w:r w:rsidR="00017071">
        <w:rPr>
          <w:rFonts w:ascii="Arial" w:hAnsi="Arial" w:cs="Arial"/>
        </w:rPr>
        <w:t>ategy area</w:t>
      </w:r>
      <w:r>
        <w:rPr>
          <w:rFonts w:ascii="Arial" w:hAnsi="Arial" w:cs="Arial"/>
        </w:rPr>
        <w:t xml:space="preserve"> is</w:t>
      </w:r>
      <w:r w:rsidRPr="0074062F">
        <w:rPr>
          <w:rFonts w:ascii="Arial" w:hAnsi="Arial" w:cs="Arial"/>
        </w:rPr>
        <w:t xml:space="preserve"> included in the 2018 BSK Annual Report (Attachmen</w:t>
      </w:r>
      <w:r w:rsidR="00017071">
        <w:rPr>
          <w:rFonts w:ascii="Arial" w:hAnsi="Arial" w:cs="Arial"/>
        </w:rPr>
        <w:t>t A to Proposed Motion 2019-0239</w:t>
      </w:r>
      <w:r w:rsidRPr="0074062F">
        <w:rPr>
          <w:rFonts w:ascii="Arial" w:hAnsi="Arial" w:cs="Arial"/>
        </w:rPr>
        <w:t>).</w:t>
      </w:r>
    </w:p>
  </w:footnote>
  <w:footnote w:id="5">
    <w:p w14:paraId="2FE1CC58" w14:textId="728C5AE5" w:rsidR="00084672" w:rsidRPr="000515F7" w:rsidRDefault="00084672" w:rsidP="00E0397E">
      <w:pPr>
        <w:pStyle w:val="FootnoteText"/>
        <w:rPr>
          <w:rFonts w:ascii="Arial" w:hAnsi="Arial" w:cs="Arial"/>
        </w:rPr>
      </w:pPr>
      <w:r w:rsidRPr="000515F7">
        <w:rPr>
          <w:rStyle w:val="FootnoteReference"/>
          <w:rFonts w:ascii="Arial" w:hAnsi="Arial" w:cs="Arial"/>
        </w:rPr>
        <w:footnoteRef/>
      </w:r>
      <w:r w:rsidRPr="000515F7">
        <w:rPr>
          <w:rFonts w:ascii="Arial" w:hAnsi="Arial" w:cs="Arial"/>
        </w:rPr>
        <w:t xml:space="preserve"> </w:t>
      </w:r>
      <w:r w:rsidR="00B26E3D">
        <w:rPr>
          <w:rFonts w:ascii="Arial" w:hAnsi="Arial" w:cs="Arial"/>
        </w:rPr>
        <w:t xml:space="preserve">According to the </w:t>
      </w:r>
      <w:r w:rsidRPr="000515F7">
        <w:rPr>
          <w:rFonts w:ascii="Arial" w:hAnsi="Arial" w:cs="Arial"/>
        </w:rPr>
        <w:t>BSK Implementation Plan, COO will fund three investment strategy areas with one to three sub-strategies in each area.</w:t>
      </w:r>
    </w:p>
  </w:footnote>
  <w:footnote w:id="6">
    <w:p w14:paraId="37D5EEE9" w14:textId="5CAC2700" w:rsidR="00084672" w:rsidRPr="00CA2C7F" w:rsidRDefault="00084672" w:rsidP="00153121">
      <w:pPr>
        <w:pStyle w:val="FootnoteText"/>
        <w:rPr>
          <w:rFonts w:ascii="Arial" w:hAnsi="Arial" w:cs="Arial"/>
        </w:rPr>
      </w:pPr>
      <w:r w:rsidRPr="00CA2C7F">
        <w:rPr>
          <w:rStyle w:val="FootnoteReference"/>
          <w:rFonts w:ascii="Arial" w:hAnsi="Arial" w:cs="Arial"/>
        </w:rPr>
        <w:footnoteRef/>
      </w:r>
      <w:r w:rsidRPr="00CA2C7F">
        <w:rPr>
          <w:rFonts w:ascii="Arial" w:hAnsi="Arial" w:cs="Arial"/>
        </w:rPr>
        <w:t xml:space="preserve"> The COO-BSK Levy Advisory Board is the successor group to the Communities of Opportunity Interim Governance Group.</w:t>
      </w:r>
      <w:r w:rsidR="001F759A">
        <w:rPr>
          <w:rFonts w:ascii="Arial" w:hAnsi="Arial" w:cs="Arial"/>
        </w:rPr>
        <w:t xml:space="preserve"> </w:t>
      </w:r>
    </w:p>
  </w:footnote>
  <w:footnote w:id="7">
    <w:p w14:paraId="253B44AD" w14:textId="77777777" w:rsidR="00084672" w:rsidRPr="00CA2C7F" w:rsidRDefault="00084672" w:rsidP="00153121">
      <w:pPr>
        <w:pStyle w:val="FootnoteText"/>
        <w:rPr>
          <w:rFonts w:ascii="Arial" w:hAnsi="Arial" w:cs="Arial"/>
        </w:rPr>
      </w:pPr>
      <w:r w:rsidRPr="00CA2C7F">
        <w:rPr>
          <w:rStyle w:val="FootnoteReference"/>
          <w:rFonts w:ascii="Arial" w:hAnsi="Arial" w:cs="Arial"/>
        </w:rPr>
        <w:footnoteRef/>
      </w:r>
      <w:r w:rsidRPr="00CA2C7F">
        <w:rPr>
          <w:rFonts w:ascii="Arial" w:hAnsi="Arial" w:cs="Arial"/>
        </w:rPr>
        <w:t xml:space="preserve"> The Best Start for Kids Implementation plan, adopted by Ordinance 18373, describes additional participation requirements of the COO-BSK Advisory Board in deliverables such as the Performance and Evaluation Measurement Plan and Annual Reporting.</w:t>
      </w:r>
    </w:p>
  </w:footnote>
  <w:footnote w:id="8">
    <w:p w14:paraId="510ECAE5" w14:textId="3601FA9B" w:rsidR="005C5D5B" w:rsidRPr="005C5D5B" w:rsidRDefault="005C5D5B">
      <w:pPr>
        <w:pStyle w:val="FootnoteText"/>
        <w:rPr>
          <w:rFonts w:ascii="Arial" w:hAnsi="Arial" w:cs="Arial"/>
        </w:rPr>
      </w:pPr>
      <w:r w:rsidRPr="005C5D5B">
        <w:rPr>
          <w:rStyle w:val="FootnoteReference"/>
          <w:rFonts w:ascii="Arial" w:hAnsi="Arial" w:cs="Arial"/>
        </w:rPr>
        <w:footnoteRef/>
      </w:r>
      <w:r w:rsidRPr="005C5D5B">
        <w:rPr>
          <w:rFonts w:ascii="Arial" w:hAnsi="Arial" w:cs="Arial"/>
        </w:rPr>
        <w:t xml:space="preserve"> Proposed legislation to confirm a number of appointments to the Board, including Proposed Ordinance 2019-</w:t>
      </w:r>
      <w:r w:rsidR="00C30CDA">
        <w:rPr>
          <w:rFonts w:ascii="Arial" w:hAnsi="Arial" w:cs="Arial"/>
        </w:rPr>
        <w:t>0232</w:t>
      </w:r>
      <w:r w:rsidRPr="005C5D5B">
        <w:rPr>
          <w:rFonts w:ascii="Arial" w:hAnsi="Arial" w:cs="Arial"/>
        </w:rPr>
        <w:t xml:space="preserve"> and Proposed Motions 2019-0187 and 0189, have been introduced and referred to the HHHS Committee.</w:t>
      </w:r>
    </w:p>
  </w:footnote>
  <w:footnote w:id="9">
    <w:p w14:paraId="2BCAF179" w14:textId="53844C38" w:rsidR="00084672" w:rsidRPr="001421BD" w:rsidRDefault="00084672">
      <w:pPr>
        <w:pStyle w:val="FootnoteText"/>
        <w:rPr>
          <w:rFonts w:ascii="Arial" w:hAnsi="Arial" w:cs="Arial"/>
        </w:rPr>
      </w:pPr>
      <w:r w:rsidRPr="001421BD">
        <w:rPr>
          <w:rStyle w:val="FootnoteReference"/>
          <w:rFonts w:ascii="Arial" w:hAnsi="Arial" w:cs="Arial"/>
        </w:rPr>
        <w:footnoteRef/>
      </w:r>
      <w:r w:rsidRPr="001421BD">
        <w:rPr>
          <w:rFonts w:ascii="Arial" w:hAnsi="Arial" w:cs="Arial"/>
        </w:rPr>
        <w:t xml:space="preserve"> Backbone resources, as described in the transmitted report, includes support for dedicated staffing to carry out project management activities, data support, facilitation, cross-community learning and communication.</w:t>
      </w:r>
    </w:p>
  </w:footnote>
  <w:footnote w:id="10">
    <w:p w14:paraId="060F59E6" w14:textId="3FCE02D6" w:rsidR="00084672" w:rsidRPr="001421BD" w:rsidRDefault="00084672">
      <w:pPr>
        <w:pStyle w:val="FootnoteText"/>
        <w:rPr>
          <w:rFonts w:ascii="Arial" w:hAnsi="Arial" w:cs="Arial"/>
        </w:rPr>
      </w:pPr>
      <w:r w:rsidRPr="001421BD">
        <w:rPr>
          <w:rStyle w:val="FootnoteReference"/>
          <w:rFonts w:ascii="Arial" w:hAnsi="Arial" w:cs="Arial"/>
        </w:rPr>
        <w:footnoteRef/>
      </w:r>
      <w:r w:rsidRPr="001421BD">
        <w:rPr>
          <w:rFonts w:ascii="Arial" w:hAnsi="Arial" w:cs="Arial"/>
        </w:rPr>
        <w:t xml:space="preserve"> Of note, COO accepted proposals only from organizations working in areas that ranked in the lowest percentiles (20</w:t>
      </w:r>
      <w:r w:rsidRPr="001421BD">
        <w:rPr>
          <w:rFonts w:ascii="Arial" w:hAnsi="Arial" w:cs="Arial"/>
          <w:vertAlign w:val="superscript"/>
        </w:rPr>
        <w:t>th</w:t>
      </w:r>
      <w:r w:rsidRPr="001421BD">
        <w:rPr>
          <w:rFonts w:ascii="Arial" w:hAnsi="Arial" w:cs="Arial"/>
        </w:rPr>
        <w:t xml:space="preserve"> or below) of health and well-being indicators (such as life expectancy, household income and unemployment) in order to target efforts to areas with the most need.</w:t>
      </w:r>
    </w:p>
  </w:footnote>
  <w:footnote w:id="11">
    <w:p w14:paraId="3AA5DE06" w14:textId="0AA4869B" w:rsidR="00084672" w:rsidRPr="001711F9" w:rsidRDefault="00084672">
      <w:pPr>
        <w:pStyle w:val="FootnoteText"/>
        <w:rPr>
          <w:rFonts w:ascii="Arial" w:hAnsi="Arial" w:cs="Arial"/>
        </w:rPr>
      </w:pPr>
      <w:r w:rsidRPr="001711F9">
        <w:rPr>
          <w:rStyle w:val="FootnoteReference"/>
          <w:rFonts w:ascii="Arial" w:hAnsi="Arial" w:cs="Arial"/>
        </w:rPr>
        <w:footnoteRef/>
      </w:r>
      <w:r w:rsidRPr="001711F9">
        <w:rPr>
          <w:rFonts w:ascii="Arial" w:hAnsi="Arial" w:cs="Arial"/>
        </w:rPr>
        <w:t xml:space="preserve"> Lead organizations, as indicated in the transmitted report, demonstrated that they were trusted, credible entities that could bring together diverse stakeholders to reduce equity gaps in low-income communities and communities of color in King County. </w:t>
      </w:r>
    </w:p>
  </w:footnote>
  <w:footnote w:id="12">
    <w:p w14:paraId="27CD23FB" w14:textId="77777777" w:rsidR="00084672" w:rsidRPr="00E34477" w:rsidRDefault="00084672" w:rsidP="00A4101D">
      <w:pPr>
        <w:pStyle w:val="FootnoteText"/>
        <w:rPr>
          <w:rFonts w:ascii="Arial" w:hAnsi="Arial" w:cs="Arial"/>
        </w:rPr>
      </w:pPr>
      <w:r w:rsidRPr="00E34477">
        <w:rPr>
          <w:rStyle w:val="FootnoteReference"/>
          <w:rFonts w:ascii="Arial" w:hAnsi="Arial" w:cs="Arial"/>
        </w:rPr>
        <w:footnoteRef/>
      </w:r>
      <w:r w:rsidRPr="00E34477">
        <w:rPr>
          <w:rFonts w:ascii="Arial" w:hAnsi="Arial" w:cs="Arial"/>
        </w:rPr>
        <w:t xml:space="preserve"> Total number of participants in events may include duplicates.</w:t>
      </w:r>
    </w:p>
  </w:footnote>
  <w:footnote w:id="13">
    <w:p w14:paraId="57554A03" w14:textId="32FF04AE" w:rsidR="00084672" w:rsidRDefault="00084672">
      <w:pPr>
        <w:pStyle w:val="FootnoteText"/>
      </w:pPr>
      <w:r>
        <w:rPr>
          <w:rStyle w:val="FootnoteReference"/>
        </w:rPr>
        <w:footnoteRef/>
      </w:r>
      <w:r>
        <w:t xml:space="preserve"> </w:t>
      </w:r>
      <w:r w:rsidRPr="00E869C3">
        <w:rPr>
          <w:rFonts w:ascii="Arial" w:hAnsi="Arial" w:cs="Arial"/>
        </w:rPr>
        <w:t>Includes courses, workshops, trainings and seminars.</w:t>
      </w:r>
    </w:p>
  </w:footnote>
  <w:footnote w:id="14">
    <w:p w14:paraId="2257B3D6" w14:textId="63C39DF2" w:rsidR="002B3C6E" w:rsidRPr="001F1C67" w:rsidRDefault="002B3C6E">
      <w:pPr>
        <w:pStyle w:val="FootnoteText"/>
        <w:rPr>
          <w:rFonts w:ascii="Arial" w:hAnsi="Arial" w:cs="Arial"/>
        </w:rPr>
      </w:pPr>
      <w:r w:rsidRPr="001F1C67">
        <w:rPr>
          <w:rStyle w:val="FootnoteReference"/>
          <w:rFonts w:ascii="Arial" w:hAnsi="Arial" w:cs="Arial"/>
        </w:rPr>
        <w:footnoteRef/>
      </w:r>
      <w:r w:rsidRPr="001F1C67">
        <w:rPr>
          <w:rFonts w:ascii="Arial" w:hAnsi="Arial" w:cs="Arial"/>
        </w:rPr>
        <w:t xml:space="preserve"> For 2017, reflecting data averaged from 2013-2017. </w:t>
      </w:r>
      <w:r w:rsidR="00050F89">
        <w:rPr>
          <w:rFonts w:ascii="Arial" w:hAnsi="Arial" w:cs="Arial"/>
        </w:rPr>
        <w:t xml:space="preserve">Source: </w:t>
      </w:r>
      <w:r w:rsidRPr="001F1C67">
        <w:rPr>
          <w:rFonts w:ascii="Arial" w:hAnsi="Arial" w:cs="Arial"/>
        </w:rPr>
        <w:t>BSK 2018 Annual Report, page 58.</w:t>
      </w:r>
    </w:p>
  </w:footnote>
  <w:footnote w:id="15">
    <w:p w14:paraId="22AAF45A" w14:textId="5C59D3DF" w:rsidR="001E3092" w:rsidRPr="001E3092" w:rsidRDefault="001E3092">
      <w:pPr>
        <w:pStyle w:val="FootnoteText"/>
        <w:rPr>
          <w:rFonts w:ascii="Arial" w:hAnsi="Arial" w:cs="Arial"/>
        </w:rPr>
      </w:pPr>
      <w:r w:rsidRPr="001E3092">
        <w:rPr>
          <w:rStyle w:val="FootnoteReference"/>
          <w:rFonts w:ascii="Arial" w:hAnsi="Arial" w:cs="Arial"/>
        </w:rPr>
        <w:footnoteRef/>
      </w:r>
      <w:r w:rsidRPr="001E3092">
        <w:rPr>
          <w:rFonts w:ascii="Arial" w:hAnsi="Arial" w:cs="Arial"/>
        </w:rPr>
        <w:t xml:space="preserve"> </w:t>
      </w:r>
      <w:r w:rsidR="00750512">
        <w:rPr>
          <w:rFonts w:ascii="Arial" w:hAnsi="Arial" w:cs="Arial"/>
        </w:rPr>
        <w:t xml:space="preserve">Total </w:t>
      </w:r>
      <w:r w:rsidR="00877DEC">
        <w:rPr>
          <w:rFonts w:ascii="Arial" w:hAnsi="Arial" w:cs="Arial"/>
        </w:rPr>
        <w:t xml:space="preserve">COO </w:t>
      </w:r>
      <w:r w:rsidR="00750512">
        <w:rPr>
          <w:rFonts w:ascii="Arial" w:hAnsi="Arial" w:cs="Arial"/>
        </w:rPr>
        <w:t>financial support in 2018 for the White Center Partnership, as indicated by Executive staff, was $749,427 ($150,000 provided by the Seattle Foundation and $599,427 provided by BSK levy proceeds) and includes evaluation funding. The amount of $887,484 cited in the report</w:t>
      </w:r>
      <w:r w:rsidR="00750512" w:rsidRPr="001E3092">
        <w:rPr>
          <w:rFonts w:ascii="Arial" w:hAnsi="Arial" w:cs="Arial"/>
        </w:rPr>
        <w:t xml:space="preserve"> </w:t>
      </w:r>
      <w:r w:rsidRPr="001E3092">
        <w:rPr>
          <w:rFonts w:ascii="Arial" w:hAnsi="Arial" w:cs="Arial"/>
        </w:rPr>
        <w:t xml:space="preserve">reflects </w:t>
      </w:r>
      <w:r w:rsidR="00750512">
        <w:rPr>
          <w:rFonts w:ascii="Arial" w:hAnsi="Arial" w:cs="Arial"/>
        </w:rPr>
        <w:t xml:space="preserve">a </w:t>
      </w:r>
      <w:r w:rsidRPr="001E3092">
        <w:rPr>
          <w:rFonts w:ascii="Arial" w:hAnsi="Arial" w:cs="Arial"/>
        </w:rPr>
        <w:t>service agreement term from September/October 2017 through December 2018.</w:t>
      </w:r>
    </w:p>
  </w:footnote>
  <w:footnote w:id="16">
    <w:p w14:paraId="5791021A" w14:textId="0180221B" w:rsidR="00084672" w:rsidRPr="00AB4197" w:rsidRDefault="00084672">
      <w:pPr>
        <w:pStyle w:val="FootnoteText"/>
        <w:rPr>
          <w:rFonts w:ascii="Arial" w:hAnsi="Arial" w:cs="Arial"/>
        </w:rPr>
      </w:pPr>
      <w:r w:rsidRPr="00AB4197">
        <w:rPr>
          <w:rStyle w:val="FootnoteReference"/>
          <w:rFonts w:ascii="Arial" w:hAnsi="Arial" w:cs="Arial"/>
        </w:rPr>
        <w:footnoteRef/>
      </w:r>
      <w:r w:rsidRPr="00AB4197">
        <w:rPr>
          <w:rFonts w:ascii="Arial" w:hAnsi="Arial" w:cs="Arial"/>
        </w:rPr>
        <w:t xml:space="preserve"> </w:t>
      </w:r>
      <w:r w:rsidRPr="00AB4197">
        <w:rPr>
          <w:rFonts w:ascii="Arial" w:eastAsiaTheme="minorHAnsi" w:hAnsi="Arial" w:cs="Arial"/>
        </w:rPr>
        <w:t>The White Center Hub project is planned to include affordable housing, community center for job sourcing, access to education, case management, and family advocacy adjacent to a park.</w:t>
      </w:r>
      <w:r w:rsidR="00B22E13">
        <w:rPr>
          <w:rFonts w:ascii="Arial" w:eastAsiaTheme="minorHAnsi" w:hAnsi="Arial" w:cs="Arial"/>
        </w:rPr>
        <w:t xml:space="preserve"> The White Center Community HUB grand opening is currently estimated for Q1 2023.</w:t>
      </w:r>
    </w:p>
  </w:footnote>
  <w:footnote w:id="17">
    <w:p w14:paraId="255F0661" w14:textId="5F106CDC" w:rsidR="002B3C6E" w:rsidRPr="00B74CE7" w:rsidRDefault="002B3C6E" w:rsidP="002B3C6E">
      <w:pPr>
        <w:pStyle w:val="FootnoteText"/>
        <w:rPr>
          <w:rFonts w:ascii="Arial" w:hAnsi="Arial" w:cs="Arial"/>
        </w:rPr>
      </w:pPr>
      <w:r w:rsidRPr="00B74CE7">
        <w:rPr>
          <w:rStyle w:val="FootnoteReference"/>
          <w:rFonts w:ascii="Arial" w:hAnsi="Arial" w:cs="Arial"/>
        </w:rPr>
        <w:footnoteRef/>
      </w:r>
      <w:r w:rsidRPr="00B74CE7">
        <w:rPr>
          <w:rFonts w:ascii="Arial" w:hAnsi="Arial" w:cs="Arial"/>
        </w:rPr>
        <w:t xml:space="preserve"> For 2017, reflecting data averaged from 2013-2017. </w:t>
      </w:r>
      <w:r w:rsidR="006F325C">
        <w:rPr>
          <w:rFonts w:ascii="Arial" w:hAnsi="Arial" w:cs="Arial"/>
        </w:rPr>
        <w:t xml:space="preserve">Source: </w:t>
      </w:r>
      <w:r w:rsidRPr="00B74CE7">
        <w:rPr>
          <w:rFonts w:ascii="Arial" w:hAnsi="Arial" w:cs="Arial"/>
        </w:rPr>
        <w:t>BSK 2018 Annual Report, page 58.</w:t>
      </w:r>
    </w:p>
  </w:footnote>
  <w:footnote w:id="18">
    <w:p w14:paraId="4D4F3773" w14:textId="65EEDD0F" w:rsidR="00877DEC" w:rsidRPr="001E3092" w:rsidRDefault="00877DEC" w:rsidP="00877DEC">
      <w:pPr>
        <w:pStyle w:val="FootnoteText"/>
        <w:rPr>
          <w:rFonts w:ascii="Arial" w:hAnsi="Arial" w:cs="Arial"/>
        </w:rPr>
      </w:pPr>
      <w:r w:rsidRPr="001E3092">
        <w:rPr>
          <w:rStyle w:val="FootnoteReference"/>
          <w:rFonts w:ascii="Arial" w:hAnsi="Arial" w:cs="Arial"/>
        </w:rPr>
        <w:footnoteRef/>
      </w:r>
      <w:r w:rsidRPr="001E3092">
        <w:rPr>
          <w:rFonts w:ascii="Arial" w:hAnsi="Arial" w:cs="Arial"/>
        </w:rPr>
        <w:t xml:space="preserve"> </w:t>
      </w:r>
      <w:r>
        <w:rPr>
          <w:rFonts w:ascii="Arial" w:hAnsi="Arial" w:cs="Arial"/>
        </w:rPr>
        <w:t>Total COO financial support in 2018 for the SeaTac/Tukwila Partnership, as indicated by Executive staff, was $724,824 ($150,000 provided by the Seattle Foundation and $574,824 provided by BSK levy proceeds) and includes evaluation funding. The amount of $912,000 cited in the report</w:t>
      </w:r>
      <w:r w:rsidRPr="001E3092">
        <w:rPr>
          <w:rFonts w:ascii="Arial" w:hAnsi="Arial" w:cs="Arial"/>
        </w:rPr>
        <w:t xml:space="preserve"> reflects </w:t>
      </w:r>
      <w:r>
        <w:rPr>
          <w:rFonts w:ascii="Arial" w:hAnsi="Arial" w:cs="Arial"/>
        </w:rPr>
        <w:t xml:space="preserve">a </w:t>
      </w:r>
      <w:r w:rsidRPr="001E3092">
        <w:rPr>
          <w:rFonts w:ascii="Arial" w:hAnsi="Arial" w:cs="Arial"/>
        </w:rPr>
        <w:t>service agreement term from September/October 2017 through December 2018.</w:t>
      </w:r>
    </w:p>
  </w:footnote>
  <w:footnote w:id="19">
    <w:p w14:paraId="5DDB01A2" w14:textId="6A16CE66" w:rsidR="002B3C6E" w:rsidRPr="00B74CE7" w:rsidRDefault="002B3C6E" w:rsidP="002B3C6E">
      <w:pPr>
        <w:pStyle w:val="FootnoteText"/>
        <w:rPr>
          <w:rFonts w:ascii="Arial" w:hAnsi="Arial" w:cs="Arial"/>
        </w:rPr>
      </w:pPr>
      <w:r w:rsidRPr="00B74CE7">
        <w:rPr>
          <w:rStyle w:val="FootnoteReference"/>
          <w:rFonts w:ascii="Arial" w:hAnsi="Arial" w:cs="Arial"/>
        </w:rPr>
        <w:footnoteRef/>
      </w:r>
      <w:r w:rsidRPr="00B74CE7">
        <w:rPr>
          <w:rFonts w:ascii="Arial" w:hAnsi="Arial" w:cs="Arial"/>
        </w:rPr>
        <w:t xml:space="preserve"> For 2017, reflecting data averaged from 2013-2017. </w:t>
      </w:r>
      <w:r w:rsidR="006F325C">
        <w:rPr>
          <w:rFonts w:ascii="Arial" w:hAnsi="Arial" w:cs="Arial"/>
        </w:rPr>
        <w:t xml:space="preserve">Source: </w:t>
      </w:r>
      <w:r w:rsidRPr="00B74CE7">
        <w:rPr>
          <w:rFonts w:ascii="Arial" w:hAnsi="Arial" w:cs="Arial"/>
        </w:rPr>
        <w:t>BSK 2018 Annual Report, page 58.</w:t>
      </w:r>
    </w:p>
  </w:footnote>
  <w:footnote w:id="20">
    <w:p w14:paraId="78EC0355" w14:textId="73A300B7" w:rsidR="00084672" w:rsidRPr="007B3A38" w:rsidRDefault="00084672">
      <w:pPr>
        <w:pStyle w:val="FootnoteText"/>
        <w:rPr>
          <w:rFonts w:ascii="Arial" w:hAnsi="Arial" w:cs="Arial"/>
        </w:rPr>
      </w:pPr>
      <w:r w:rsidRPr="00AB4197">
        <w:rPr>
          <w:rStyle w:val="FootnoteReference"/>
          <w:rFonts w:ascii="Arial" w:hAnsi="Arial" w:cs="Arial"/>
        </w:rPr>
        <w:footnoteRef/>
      </w:r>
      <w:r w:rsidRPr="00AB4197">
        <w:rPr>
          <w:rFonts w:ascii="Arial" w:hAnsi="Arial" w:cs="Arial"/>
        </w:rPr>
        <w:t xml:space="preserve"> U.S. Census Bureau, 2013-2017 American Community Survey 5-year estimates, accessed 7/9/19.</w:t>
      </w:r>
    </w:p>
  </w:footnote>
  <w:footnote w:id="21">
    <w:p w14:paraId="4D5AD586" w14:textId="467FB399" w:rsidR="00877DEC" w:rsidRPr="002A0F22" w:rsidRDefault="00877DEC" w:rsidP="00877DEC">
      <w:pPr>
        <w:pStyle w:val="FootnoteText"/>
        <w:rPr>
          <w:rFonts w:ascii="Arial" w:hAnsi="Arial" w:cs="Arial"/>
        </w:rPr>
      </w:pPr>
      <w:r w:rsidRPr="002A0F22">
        <w:rPr>
          <w:rStyle w:val="FootnoteReference"/>
          <w:rFonts w:ascii="Arial" w:hAnsi="Arial" w:cs="Arial"/>
        </w:rPr>
        <w:footnoteRef/>
      </w:r>
      <w:r w:rsidRPr="002A0F22">
        <w:rPr>
          <w:rFonts w:ascii="Arial" w:hAnsi="Arial" w:cs="Arial"/>
        </w:rPr>
        <w:t xml:space="preserve"> Total COO financial support in 2018 for the Rainier Valley Partnership, as indicated by Executive staff, was $1,058,807 ($150,000 provided by the Seattle Foundation and $908,807 provided by BSK levy proceeds) and includes evaluation funding. The amount of $1,426,500 cited in the report reflects a service agreement term from September/October 2017 through December 2018.</w:t>
      </w:r>
      <w:r w:rsidR="00AB1ADD" w:rsidRPr="002A0F22">
        <w:rPr>
          <w:rFonts w:ascii="Arial" w:hAnsi="Arial" w:cs="Arial"/>
        </w:rPr>
        <w:t xml:space="preserve"> As noted in the report, </w:t>
      </w:r>
      <w:r w:rsidR="00AB1ADD" w:rsidRPr="002A0F22">
        <w:rPr>
          <w:rFonts w:ascii="Arial" w:hAnsi="Arial" w:cs="Arial"/>
          <w:szCs w:val="24"/>
        </w:rPr>
        <w:t>the partnership successfully leveraged their COO investments to secure additional funding of $25 million for their projects.</w:t>
      </w:r>
    </w:p>
  </w:footnote>
  <w:footnote w:id="22">
    <w:p w14:paraId="34DCD084" w14:textId="39EEAF60"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Othello Square, as described in the report, has multiple components including a Multicultural Community Center, a business assistance collaborative, a community gathering hall and postsecondary education. As further described, it will also offer mixed-income housing, Rainier Valley Leadership Academy (a public, tuition-free college preparatory charter school), community health clinic and multilingual early childhood education center.</w:t>
      </w:r>
    </w:p>
  </w:footnote>
  <w:footnote w:id="23">
    <w:p w14:paraId="6B8E526B" w14:textId="775E2CE2"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Includes leveraging $3 million through WA Department of Commerce Building Communities Fund for facility construction.</w:t>
      </w:r>
    </w:p>
  </w:footnote>
  <w:footnote w:id="24">
    <w:p w14:paraId="1BADFF56" w14:textId="72F000EA" w:rsidR="00084672" w:rsidRPr="0018228B" w:rsidRDefault="00084672">
      <w:pPr>
        <w:pStyle w:val="FootnoteText"/>
        <w:rPr>
          <w:rFonts w:ascii="Arial" w:hAnsi="Arial" w:cs="Arial"/>
        </w:rPr>
      </w:pPr>
      <w:r w:rsidRPr="0018228B">
        <w:rPr>
          <w:rStyle w:val="FootnoteReference"/>
          <w:rFonts w:ascii="Arial" w:hAnsi="Arial" w:cs="Arial"/>
        </w:rPr>
        <w:footnoteRef/>
      </w:r>
      <w:r w:rsidRPr="007A20F5">
        <w:rPr>
          <w:rFonts w:ascii="Arial" w:hAnsi="Arial" w:cs="Arial"/>
        </w:rPr>
        <w:t xml:space="preserve"> The MCC, which is </w:t>
      </w:r>
      <w:r w:rsidRPr="0018228B">
        <w:rPr>
          <w:rFonts w:ascii="Arial" w:hAnsi="Arial" w:cs="Arial"/>
        </w:rPr>
        <w:t xml:space="preserve">led by eight community organizations, will serve as a cultural home and vital service center for over 10,000 immigrants, refugees, people of color and other communities in Rainier Valley. According to the </w:t>
      </w:r>
      <w:r>
        <w:rPr>
          <w:rFonts w:ascii="Arial" w:hAnsi="Arial" w:cs="Arial"/>
        </w:rPr>
        <w:t xml:space="preserve">transmitted </w:t>
      </w:r>
      <w:r w:rsidRPr="0018228B">
        <w:rPr>
          <w:rFonts w:ascii="Arial" w:hAnsi="Arial" w:cs="Arial"/>
        </w:rPr>
        <w:t>report, the MCC is creating organizational and operational structures, building leadership capacity and developing shared cross-cultural programming to prepare for shared co-working space and a Cultural Innovation Center at Othello Square.</w:t>
      </w:r>
    </w:p>
  </w:footnote>
  <w:footnote w:id="25">
    <w:p w14:paraId="7EDDA55E" w14:textId="65C8BA9B"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Food innovation centers</w:t>
      </w:r>
      <w:r>
        <w:rPr>
          <w:rFonts w:ascii="Arial" w:hAnsi="Arial" w:cs="Arial"/>
        </w:rPr>
        <w:t>, as described in the transmitted report,</w:t>
      </w:r>
      <w:r w:rsidRPr="0018228B">
        <w:rPr>
          <w:rFonts w:ascii="Arial" w:hAnsi="Arial" w:cs="Arial"/>
        </w:rPr>
        <w:t xml:space="preserve"> are natural places for food aggregation, production and distribution and other attractions, and for public outreach and services (e.g. cooking and nutrition classes).</w:t>
      </w:r>
    </w:p>
  </w:footnote>
  <w:footnote w:id="26">
    <w:p w14:paraId="603DE4A5" w14:textId="485C3021"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Engagement was led by two organizations, Health Othello Safer Through Environmental Design (HOSTED) and Rainier Beach: </w:t>
      </w:r>
      <w:r w:rsidR="00A56564">
        <w:rPr>
          <w:rFonts w:ascii="Arial" w:hAnsi="Arial" w:cs="Arial"/>
        </w:rPr>
        <w:t xml:space="preserve">A </w:t>
      </w:r>
      <w:r w:rsidRPr="0018228B">
        <w:rPr>
          <w:rFonts w:ascii="Arial" w:hAnsi="Arial" w:cs="Arial"/>
        </w:rPr>
        <w:t>Beautiful Safe Place for Youth, with COO support. These organizations, as described in the transmitted report, are working on place-based causes of youth victimization and crime at five focus locations, knows as “hot spots”, in the Rainier Beach neighborhood.</w:t>
      </w:r>
    </w:p>
  </w:footnote>
  <w:footnote w:id="27">
    <w:p w14:paraId="2598BDB1" w14:textId="36AA1729"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This project, as described in the transmitted report, hires member</w:t>
      </w:r>
      <w:r w:rsidR="003B6EF9">
        <w:rPr>
          <w:rFonts w:ascii="Arial" w:hAnsi="Arial" w:cs="Arial"/>
        </w:rPr>
        <w:t>s</w:t>
      </w:r>
      <w:r w:rsidRPr="0018228B">
        <w:rPr>
          <w:rFonts w:ascii="Arial" w:hAnsi="Arial" w:cs="Arial"/>
        </w:rPr>
        <w:t xml:space="preserve"> of Rainier Beach as greeters. The greeters host pop-up st</w:t>
      </w:r>
      <w:r w:rsidRPr="007A20F5">
        <w:rPr>
          <w:rFonts w:ascii="Arial" w:hAnsi="Arial" w:cs="Arial"/>
        </w:rPr>
        <w:t>yle community-building events and services</w:t>
      </w:r>
      <w:r w:rsidRPr="0018228B">
        <w:rPr>
          <w:rFonts w:ascii="Arial" w:hAnsi="Arial" w:cs="Arial"/>
        </w:rPr>
        <w:t>.</w:t>
      </w:r>
    </w:p>
  </w:footnote>
  <w:footnote w:id="28">
    <w:p w14:paraId="422637C2" w14:textId="6F74AF12" w:rsidR="00084672" w:rsidRPr="0018228B" w:rsidRDefault="00084672">
      <w:pPr>
        <w:pStyle w:val="FootnoteText"/>
        <w:rPr>
          <w:rFonts w:ascii="Arial" w:hAnsi="Arial" w:cs="Arial"/>
        </w:rPr>
      </w:pPr>
      <w:r w:rsidRPr="0018228B">
        <w:rPr>
          <w:rStyle w:val="FootnoteReference"/>
          <w:rFonts w:ascii="Arial" w:hAnsi="Arial" w:cs="Arial"/>
        </w:rPr>
        <w:footnoteRef/>
      </w:r>
      <w:r w:rsidRPr="0018228B">
        <w:rPr>
          <w:rFonts w:ascii="Arial" w:hAnsi="Arial" w:cs="Arial"/>
        </w:rPr>
        <w:t xml:space="preserve"> Includes working with community stakeholders to create a shared vision for equitable transit-oriented development in the Graham Street Station area. The transmitted report notes the formation of a Community Action Team composed of local leaders, businesses and institutions committed to preserving and growing the community.</w:t>
      </w:r>
    </w:p>
  </w:footnote>
  <w:footnote w:id="29">
    <w:p w14:paraId="607CF9CA" w14:textId="592A4D18" w:rsidR="009B1DC4" w:rsidRPr="009B1DC4" w:rsidRDefault="009B1DC4">
      <w:pPr>
        <w:pStyle w:val="FootnoteText"/>
        <w:rPr>
          <w:rFonts w:ascii="Arial" w:hAnsi="Arial" w:cs="Arial"/>
        </w:rPr>
      </w:pPr>
      <w:r w:rsidRPr="009B1DC4">
        <w:rPr>
          <w:rStyle w:val="FootnoteReference"/>
          <w:rFonts w:ascii="Arial" w:hAnsi="Arial" w:cs="Arial"/>
        </w:rPr>
        <w:footnoteRef/>
      </w:r>
      <w:r w:rsidRPr="009B1DC4">
        <w:rPr>
          <w:rFonts w:ascii="Arial" w:hAnsi="Arial" w:cs="Arial"/>
        </w:rPr>
        <w:t xml:space="preserve"> These additional performance measures were developed based on a review of the partners’ respective scopes of work for 2019 and 2020.</w:t>
      </w:r>
    </w:p>
  </w:footnote>
  <w:footnote w:id="30">
    <w:p w14:paraId="5726B54A" w14:textId="021D6B4F" w:rsidR="00943005" w:rsidRPr="00943005" w:rsidRDefault="00943005" w:rsidP="00943005">
      <w:pPr>
        <w:jc w:val="both"/>
        <w:rPr>
          <w:rFonts w:ascii="Arial" w:hAnsi="Arial" w:cs="Arial"/>
          <w:sz w:val="20"/>
        </w:rPr>
      </w:pPr>
      <w:r w:rsidRPr="00943005">
        <w:rPr>
          <w:rStyle w:val="FootnoteReference"/>
          <w:rFonts w:ascii="Arial" w:hAnsi="Arial" w:cs="Arial"/>
          <w:sz w:val="20"/>
        </w:rPr>
        <w:footnoteRef/>
      </w:r>
      <w:r w:rsidRPr="00943005">
        <w:rPr>
          <w:rFonts w:ascii="Arial" w:hAnsi="Arial" w:cs="Arial"/>
          <w:sz w:val="20"/>
        </w:rPr>
        <w:t xml:space="preserve"> </w:t>
      </w:r>
      <w:r>
        <w:rPr>
          <w:rFonts w:ascii="Arial" w:hAnsi="Arial" w:cs="Arial"/>
          <w:sz w:val="20"/>
        </w:rPr>
        <w:t>COO h</w:t>
      </w:r>
      <w:r w:rsidRPr="00943005">
        <w:rPr>
          <w:rFonts w:ascii="Arial" w:hAnsi="Arial" w:cs="Arial"/>
          <w:sz w:val="20"/>
        </w:rPr>
        <w:t>eadline indicators and a composite measure (index</w:t>
      </w:r>
      <w:r w:rsidRPr="00943005">
        <w:rPr>
          <w:rStyle w:val="FootnoteReference"/>
          <w:rFonts w:ascii="Arial" w:hAnsi="Arial" w:cs="Arial"/>
          <w:sz w:val="20"/>
        </w:rPr>
        <w:footnoteRef/>
      </w:r>
      <w:r w:rsidRPr="00943005">
        <w:rPr>
          <w:rFonts w:ascii="Arial" w:hAnsi="Arial" w:cs="Arial"/>
          <w:sz w:val="20"/>
        </w:rPr>
        <w:t xml:space="preserve">) of health and well-being have been developed to assess long-term change. </w:t>
      </w:r>
      <w:r w:rsidR="00171856">
        <w:rPr>
          <w:rFonts w:ascii="Arial" w:hAnsi="Arial" w:cs="Arial"/>
          <w:sz w:val="20"/>
        </w:rPr>
        <w:t xml:space="preserve">Of note, </w:t>
      </w:r>
      <w:r w:rsidRPr="00943005">
        <w:rPr>
          <w:rFonts w:ascii="Arial" w:hAnsi="Arial" w:cs="Arial"/>
          <w:sz w:val="20"/>
        </w:rPr>
        <w:t>The COO index ranks the health and well-being of residents from highest to lowest percentiles, group</w:t>
      </w:r>
      <w:r w:rsidR="000A0D1D">
        <w:rPr>
          <w:rFonts w:ascii="Arial" w:hAnsi="Arial" w:cs="Arial"/>
          <w:sz w:val="20"/>
        </w:rPr>
        <w:t>ed</w:t>
      </w:r>
      <w:r w:rsidRPr="00943005">
        <w:rPr>
          <w:rFonts w:ascii="Arial" w:hAnsi="Arial" w:cs="Arial"/>
          <w:sz w:val="20"/>
        </w:rPr>
        <w:t xml:space="preserve"> by deciles. As described in the transmitted report, the index is a composite, including life expectancy, rates of diabetes, obesity, smoking, unemployment, poor housing conditions and living below 200 percent of the federal poverty level. </w:t>
      </w:r>
      <w:r w:rsidR="00C450D4">
        <w:rPr>
          <w:rFonts w:ascii="Arial" w:hAnsi="Arial" w:cs="Arial"/>
          <w:sz w:val="20"/>
        </w:rPr>
        <w:t>D</w:t>
      </w:r>
      <w:r w:rsidR="001E3092">
        <w:rPr>
          <w:rFonts w:ascii="Arial" w:hAnsi="Arial" w:cs="Arial"/>
          <w:sz w:val="20"/>
        </w:rPr>
        <w:t xml:space="preserve">ata </w:t>
      </w:r>
      <w:r w:rsidR="00C450D4">
        <w:rPr>
          <w:rFonts w:ascii="Arial" w:hAnsi="Arial" w:cs="Arial"/>
          <w:sz w:val="20"/>
        </w:rPr>
        <w:t xml:space="preserve">for 2018 </w:t>
      </w:r>
      <w:r w:rsidR="001E3092">
        <w:rPr>
          <w:rFonts w:ascii="Arial" w:hAnsi="Arial" w:cs="Arial"/>
          <w:sz w:val="20"/>
        </w:rPr>
        <w:t>are provided on page 58 of the 2018 BSK Annual Report (Attachmen</w:t>
      </w:r>
      <w:r w:rsidR="0017651B">
        <w:rPr>
          <w:rFonts w:ascii="Arial" w:hAnsi="Arial" w:cs="Arial"/>
          <w:sz w:val="20"/>
        </w:rPr>
        <w:t>t A to Proposed Motion 2019-0239</w:t>
      </w:r>
      <w:r w:rsidR="001E3092">
        <w:rPr>
          <w:rFonts w:ascii="Arial" w:hAnsi="Arial" w:cs="Arial"/>
          <w:sz w:val="20"/>
        </w:rPr>
        <w:t xml:space="preserve">). </w:t>
      </w:r>
      <w:r w:rsidR="00D4194B">
        <w:rPr>
          <w:rFonts w:ascii="Arial" w:hAnsi="Arial" w:cs="Arial"/>
          <w:sz w:val="20"/>
        </w:rPr>
        <w:t xml:space="preserve">The </w:t>
      </w:r>
      <w:r w:rsidRPr="00943005">
        <w:rPr>
          <w:rFonts w:ascii="Arial" w:hAnsi="Arial" w:cs="Arial"/>
          <w:sz w:val="20"/>
        </w:rPr>
        <w:t>original place-based sites</w:t>
      </w:r>
      <w:r w:rsidR="00D4194B">
        <w:rPr>
          <w:rFonts w:ascii="Arial" w:hAnsi="Arial" w:cs="Arial"/>
          <w:sz w:val="20"/>
        </w:rPr>
        <w:t>, as previously noted,</w:t>
      </w:r>
      <w:r w:rsidRPr="00943005">
        <w:rPr>
          <w:rFonts w:ascii="Arial" w:hAnsi="Arial" w:cs="Arial"/>
          <w:sz w:val="20"/>
        </w:rPr>
        <w:t xml:space="preserve"> were located in area</w:t>
      </w:r>
      <w:r w:rsidR="000F174B">
        <w:rPr>
          <w:rFonts w:ascii="Arial" w:hAnsi="Arial" w:cs="Arial"/>
          <w:sz w:val="20"/>
        </w:rPr>
        <w:t>s that ranked in or below the 2</w:t>
      </w:r>
      <w:r w:rsidRPr="00943005">
        <w:rPr>
          <w:rFonts w:ascii="Arial" w:hAnsi="Arial" w:cs="Arial"/>
          <w:sz w:val="20"/>
        </w:rPr>
        <w:t>0</w:t>
      </w:r>
      <w:r w:rsidRPr="00943005">
        <w:rPr>
          <w:rFonts w:ascii="Arial" w:hAnsi="Arial" w:cs="Arial"/>
          <w:sz w:val="20"/>
          <w:vertAlign w:val="superscript"/>
        </w:rPr>
        <w:t>th</w:t>
      </w:r>
      <w:r w:rsidRPr="00943005">
        <w:rPr>
          <w:rFonts w:ascii="Arial" w:hAnsi="Arial" w:cs="Arial"/>
          <w:sz w:val="20"/>
        </w:rPr>
        <w:t xml:space="preserve"> percentile of health and well-being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154F" w14:textId="4E6E540F" w:rsidR="00084672" w:rsidRDefault="0008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650C" w14:textId="799BA5C0" w:rsidR="00084672" w:rsidRDefault="0008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FB1E" w14:textId="64633ED5" w:rsidR="00084672" w:rsidRDefault="00084672" w:rsidP="00C75025">
    <w:pPr>
      <w:jc w:val="center"/>
    </w:pPr>
    <w:r>
      <w:rPr>
        <w:noProof/>
      </w:rPr>
      <w:drawing>
        <wp:inline distT="0" distB="0" distL="0" distR="0" wp14:anchorId="4AA007E4" wp14:editId="785B92BC">
          <wp:extent cx="1009650" cy="714375"/>
          <wp:effectExtent l="0" t="0" r="0" b="9525"/>
          <wp:docPr id="20" name="Picture 20"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A275815" w14:textId="77777777" w:rsidR="00084672" w:rsidRPr="003B03EF" w:rsidRDefault="00084672" w:rsidP="00C75025">
    <w:pPr>
      <w:jc w:val="center"/>
      <w:rPr>
        <w:rFonts w:ascii="Arial" w:hAnsi="Arial"/>
        <w:szCs w:val="22"/>
      </w:rPr>
    </w:pPr>
  </w:p>
  <w:p w14:paraId="626B0195" w14:textId="77777777" w:rsidR="00084672" w:rsidRDefault="00084672" w:rsidP="00C75025">
    <w:pPr>
      <w:jc w:val="center"/>
      <w:rPr>
        <w:rFonts w:ascii="Verdana" w:hAnsi="Verdana"/>
        <w:b/>
        <w:sz w:val="28"/>
        <w:szCs w:val="28"/>
      </w:rPr>
    </w:pPr>
    <w:r>
      <w:rPr>
        <w:rFonts w:ascii="Verdana" w:hAnsi="Verdana"/>
        <w:b/>
        <w:sz w:val="28"/>
        <w:szCs w:val="28"/>
      </w:rPr>
      <w:t>Metropolitan King County Council</w:t>
    </w:r>
  </w:p>
  <w:p w14:paraId="3E2896CF" w14:textId="77777777" w:rsidR="00084672" w:rsidRPr="004A1D48" w:rsidRDefault="00084672"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7"/>
    <w:multiLevelType w:val="hybridMultilevel"/>
    <w:tmpl w:val="040A478E"/>
    <w:lvl w:ilvl="0" w:tplc="117E9642">
      <w:start w:val="2019"/>
      <w:numFmt w:val="bullet"/>
      <w:lvlText w:val="-"/>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031875"/>
    <w:multiLevelType w:val="hybridMultilevel"/>
    <w:tmpl w:val="61CC626E"/>
    <w:lvl w:ilvl="0" w:tplc="10A87888">
      <w:start w:val="20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8F015E"/>
    <w:multiLevelType w:val="hybridMultilevel"/>
    <w:tmpl w:val="11703E28"/>
    <w:lvl w:ilvl="0" w:tplc="CCB011E0">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3465AE"/>
    <w:multiLevelType w:val="hybridMultilevel"/>
    <w:tmpl w:val="418C09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C4858"/>
    <w:multiLevelType w:val="hybridMultilevel"/>
    <w:tmpl w:val="E0A6BC60"/>
    <w:lvl w:ilvl="0" w:tplc="117E9642">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C0349"/>
    <w:multiLevelType w:val="hybridMultilevel"/>
    <w:tmpl w:val="68A26C1E"/>
    <w:lvl w:ilvl="0" w:tplc="A0929B32">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089"/>
    <w:multiLevelType w:val="hybridMultilevel"/>
    <w:tmpl w:val="8AEC0004"/>
    <w:lvl w:ilvl="0" w:tplc="E514E1D6">
      <w:start w:val="20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C420E3"/>
    <w:multiLevelType w:val="hybridMultilevel"/>
    <w:tmpl w:val="B40EF992"/>
    <w:lvl w:ilvl="0" w:tplc="08027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B8267B"/>
    <w:multiLevelType w:val="hybridMultilevel"/>
    <w:tmpl w:val="0FAA5E72"/>
    <w:lvl w:ilvl="0" w:tplc="E514E1D6">
      <w:start w:val="20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B60E5"/>
    <w:multiLevelType w:val="hybridMultilevel"/>
    <w:tmpl w:val="3A10E9E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BF11A86"/>
    <w:multiLevelType w:val="hybridMultilevel"/>
    <w:tmpl w:val="8CECBD62"/>
    <w:lvl w:ilvl="0" w:tplc="E514E1D6">
      <w:start w:val="2016"/>
      <w:numFmt w:val="bullet"/>
      <w:lvlText w:val=""/>
      <w:lvlJc w:val="left"/>
      <w:pPr>
        <w:ind w:left="1806" w:hanging="360"/>
      </w:pPr>
      <w:rPr>
        <w:rFonts w:ascii="Symbol" w:eastAsia="Times New Roman" w:hAnsi="Symbol" w:cs="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62090"/>
    <w:multiLevelType w:val="hybridMultilevel"/>
    <w:tmpl w:val="F7A06C0E"/>
    <w:lvl w:ilvl="0" w:tplc="E4425854">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4"/>
  </w:num>
  <w:num w:numId="3">
    <w:abstractNumId w:val="14"/>
  </w:num>
  <w:num w:numId="4">
    <w:abstractNumId w:val="54"/>
  </w:num>
  <w:num w:numId="5">
    <w:abstractNumId w:val="50"/>
  </w:num>
  <w:num w:numId="6">
    <w:abstractNumId w:val="15"/>
  </w:num>
  <w:num w:numId="7">
    <w:abstractNumId w:val="51"/>
  </w:num>
  <w:num w:numId="8">
    <w:abstractNumId w:val="17"/>
  </w:num>
  <w:num w:numId="9">
    <w:abstractNumId w:val="4"/>
  </w:num>
  <w:num w:numId="10">
    <w:abstractNumId w:val="52"/>
  </w:num>
  <w:num w:numId="11">
    <w:abstractNumId w:val="3"/>
  </w:num>
  <w:num w:numId="12">
    <w:abstractNumId w:val="20"/>
  </w:num>
  <w:num w:numId="13">
    <w:abstractNumId w:val="24"/>
  </w:num>
  <w:num w:numId="14">
    <w:abstractNumId w:val="19"/>
  </w:num>
  <w:num w:numId="15">
    <w:abstractNumId w:val="26"/>
  </w:num>
  <w:num w:numId="16">
    <w:abstractNumId w:val="18"/>
  </w:num>
  <w:num w:numId="17">
    <w:abstractNumId w:val="44"/>
  </w:num>
  <w:num w:numId="18">
    <w:abstractNumId w:val="25"/>
  </w:num>
  <w:num w:numId="19">
    <w:abstractNumId w:val="39"/>
  </w:num>
  <w:num w:numId="20">
    <w:abstractNumId w:val="27"/>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3"/>
  </w:num>
  <w:num w:numId="28">
    <w:abstractNumId w:val="11"/>
  </w:num>
  <w:num w:numId="29">
    <w:abstractNumId w:val="30"/>
  </w:num>
  <w:num w:numId="30">
    <w:abstractNumId w:val="2"/>
  </w:num>
  <w:num w:numId="31">
    <w:abstractNumId w:val="41"/>
  </w:num>
  <w:num w:numId="32">
    <w:abstractNumId w:val="45"/>
  </w:num>
  <w:num w:numId="33">
    <w:abstractNumId w:val="16"/>
  </w:num>
  <w:num w:numId="34">
    <w:abstractNumId w:val="12"/>
  </w:num>
  <w:num w:numId="35">
    <w:abstractNumId w:val="8"/>
  </w:num>
  <w:num w:numId="36">
    <w:abstractNumId w:val="29"/>
  </w:num>
  <w:num w:numId="37">
    <w:abstractNumId w:val="47"/>
  </w:num>
  <w:num w:numId="38">
    <w:abstractNumId w:val="22"/>
  </w:num>
  <w:num w:numId="39">
    <w:abstractNumId w:val="40"/>
  </w:num>
  <w:num w:numId="40">
    <w:abstractNumId w:val="31"/>
  </w:num>
  <w:num w:numId="41">
    <w:abstractNumId w:val="48"/>
  </w:num>
  <w:num w:numId="42">
    <w:abstractNumId w:val="37"/>
  </w:num>
  <w:num w:numId="43">
    <w:abstractNumId w:val="43"/>
  </w:num>
  <w:num w:numId="44">
    <w:abstractNumId w:val="53"/>
  </w:num>
  <w:num w:numId="45">
    <w:abstractNumId w:val="21"/>
  </w:num>
  <w:num w:numId="46">
    <w:abstractNumId w:val="35"/>
  </w:num>
  <w:num w:numId="47">
    <w:abstractNumId w:val="13"/>
  </w:num>
  <w:num w:numId="48">
    <w:abstractNumId w:val="38"/>
  </w:num>
  <w:num w:numId="49">
    <w:abstractNumId w:val="42"/>
  </w:num>
  <w:num w:numId="50">
    <w:abstractNumId w:val="55"/>
  </w:num>
  <w:num w:numId="51">
    <w:abstractNumId w:val="33"/>
  </w:num>
  <w:num w:numId="52">
    <w:abstractNumId w:val="28"/>
  </w:num>
  <w:num w:numId="53">
    <w:abstractNumId w:val="36"/>
  </w:num>
  <w:num w:numId="54">
    <w:abstractNumId w:val="1"/>
  </w:num>
  <w:num w:numId="55">
    <w:abstractNumId w:val="32"/>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CB9"/>
    <w:rsid w:val="00006AAA"/>
    <w:rsid w:val="00007170"/>
    <w:rsid w:val="000079A1"/>
    <w:rsid w:val="0001098B"/>
    <w:rsid w:val="00011320"/>
    <w:rsid w:val="00011563"/>
    <w:rsid w:val="00012770"/>
    <w:rsid w:val="00014584"/>
    <w:rsid w:val="00014AA1"/>
    <w:rsid w:val="00016428"/>
    <w:rsid w:val="00016751"/>
    <w:rsid w:val="00017071"/>
    <w:rsid w:val="000172AB"/>
    <w:rsid w:val="0001760A"/>
    <w:rsid w:val="00017863"/>
    <w:rsid w:val="000178B0"/>
    <w:rsid w:val="000179BF"/>
    <w:rsid w:val="00020A63"/>
    <w:rsid w:val="00020C96"/>
    <w:rsid w:val="00020F4B"/>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0039"/>
    <w:rsid w:val="00042D90"/>
    <w:rsid w:val="0004549A"/>
    <w:rsid w:val="00045502"/>
    <w:rsid w:val="00045BD7"/>
    <w:rsid w:val="00046824"/>
    <w:rsid w:val="000470FF"/>
    <w:rsid w:val="00050F89"/>
    <w:rsid w:val="0005201B"/>
    <w:rsid w:val="000530EC"/>
    <w:rsid w:val="000533AF"/>
    <w:rsid w:val="000550D9"/>
    <w:rsid w:val="000553F5"/>
    <w:rsid w:val="00055B9A"/>
    <w:rsid w:val="00056C81"/>
    <w:rsid w:val="000577A3"/>
    <w:rsid w:val="00060235"/>
    <w:rsid w:val="00060D99"/>
    <w:rsid w:val="0006124B"/>
    <w:rsid w:val="00061676"/>
    <w:rsid w:val="00062056"/>
    <w:rsid w:val="0006228D"/>
    <w:rsid w:val="000624A8"/>
    <w:rsid w:val="00062D01"/>
    <w:rsid w:val="00063E46"/>
    <w:rsid w:val="00065E59"/>
    <w:rsid w:val="00066CEA"/>
    <w:rsid w:val="0007200F"/>
    <w:rsid w:val="0007221A"/>
    <w:rsid w:val="000722EA"/>
    <w:rsid w:val="000736F6"/>
    <w:rsid w:val="000746B6"/>
    <w:rsid w:val="00074A56"/>
    <w:rsid w:val="00074FF4"/>
    <w:rsid w:val="000761B9"/>
    <w:rsid w:val="000766A2"/>
    <w:rsid w:val="00076F58"/>
    <w:rsid w:val="00080295"/>
    <w:rsid w:val="00081382"/>
    <w:rsid w:val="000818AA"/>
    <w:rsid w:val="00082009"/>
    <w:rsid w:val="0008325A"/>
    <w:rsid w:val="00084672"/>
    <w:rsid w:val="00086A9B"/>
    <w:rsid w:val="00087BF6"/>
    <w:rsid w:val="000913B6"/>
    <w:rsid w:val="00093E2E"/>
    <w:rsid w:val="000940FB"/>
    <w:rsid w:val="000956D8"/>
    <w:rsid w:val="00095A14"/>
    <w:rsid w:val="000967D1"/>
    <w:rsid w:val="000976A4"/>
    <w:rsid w:val="00097FCF"/>
    <w:rsid w:val="000A0800"/>
    <w:rsid w:val="000A0835"/>
    <w:rsid w:val="000A0A31"/>
    <w:rsid w:val="000A0D1D"/>
    <w:rsid w:val="000A26BF"/>
    <w:rsid w:val="000A4A4E"/>
    <w:rsid w:val="000A4BE1"/>
    <w:rsid w:val="000A4CB2"/>
    <w:rsid w:val="000A5F9C"/>
    <w:rsid w:val="000A5FD0"/>
    <w:rsid w:val="000A714D"/>
    <w:rsid w:val="000A73BE"/>
    <w:rsid w:val="000A78D8"/>
    <w:rsid w:val="000A7CCC"/>
    <w:rsid w:val="000A7E01"/>
    <w:rsid w:val="000B0291"/>
    <w:rsid w:val="000B19DD"/>
    <w:rsid w:val="000B3172"/>
    <w:rsid w:val="000B4C41"/>
    <w:rsid w:val="000B650C"/>
    <w:rsid w:val="000B70C3"/>
    <w:rsid w:val="000C08C8"/>
    <w:rsid w:val="000C1C22"/>
    <w:rsid w:val="000C20E2"/>
    <w:rsid w:val="000C299B"/>
    <w:rsid w:val="000C2E67"/>
    <w:rsid w:val="000C311D"/>
    <w:rsid w:val="000C44B1"/>
    <w:rsid w:val="000C4BA4"/>
    <w:rsid w:val="000C4E99"/>
    <w:rsid w:val="000C4E9C"/>
    <w:rsid w:val="000C604A"/>
    <w:rsid w:val="000C6442"/>
    <w:rsid w:val="000C6F99"/>
    <w:rsid w:val="000D077F"/>
    <w:rsid w:val="000D097E"/>
    <w:rsid w:val="000D0F7A"/>
    <w:rsid w:val="000D353E"/>
    <w:rsid w:val="000D4A15"/>
    <w:rsid w:val="000D5202"/>
    <w:rsid w:val="000D5880"/>
    <w:rsid w:val="000D6835"/>
    <w:rsid w:val="000D6C72"/>
    <w:rsid w:val="000E0684"/>
    <w:rsid w:val="000E1BAB"/>
    <w:rsid w:val="000E1CD3"/>
    <w:rsid w:val="000E4781"/>
    <w:rsid w:val="000E7EFC"/>
    <w:rsid w:val="000F0886"/>
    <w:rsid w:val="000F174B"/>
    <w:rsid w:val="000F29F5"/>
    <w:rsid w:val="000F4DCA"/>
    <w:rsid w:val="000F510D"/>
    <w:rsid w:val="000F5BB3"/>
    <w:rsid w:val="000F5E4A"/>
    <w:rsid w:val="001004F5"/>
    <w:rsid w:val="00103094"/>
    <w:rsid w:val="001033F3"/>
    <w:rsid w:val="00105382"/>
    <w:rsid w:val="0010576B"/>
    <w:rsid w:val="00106179"/>
    <w:rsid w:val="001062E7"/>
    <w:rsid w:val="001074C3"/>
    <w:rsid w:val="001078DB"/>
    <w:rsid w:val="00110AC4"/>
    <w:rsid w:val="00111799"/>
    <w:rsid w:val="0011201E"/>
    <w:rsid w:val="00113B09"/>
    <w:rsid w:val="00117D3D"/>
    <w:rsid w:val="00121D0A"/>
    <w:rsid w:val="001235FD"/>
    <w:rsid w:val="0012573D"/>
    <w:rsid w:val="00126322"/>
    <w:rsid w:val="00131347"/>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1BD"/>
    <w:rsid w:val="001426ED"/>
    <w:rsid w:val="00142F7E"/>
    <w:rsid w:val="0014364E"/>
    <w:rsid w:val="001440C8"/>
    <w:rsid w:val="001440E6"/>
    <w:rsid w:val="001463CF"/>
    <w:rsid w:val="001509B2"/>
    <w:rsid w:val="00150BB9"/>
    <w:rsid w:val="0015229A"/>
    <w:rsid w:val="00152D09"/>
    <w:rsid w:val="00153121"/>
    <w:rsid w:val="00154E2E"/>
    <w:rsid w:val="00156EDE"/>
    <w:rsid w:val="00157334"/>
    <w:rsid w:val="00163DEF"/>
    <w:rsid w:val="0016552E"/>
    <w:rsid w:val="00166774"/>
    <w:rsid w:val="001678D9"/>
    <w:rsid w:val="001702C8"/>
    <w:rsid w:val="001711F9"/>
    <w:rsid w:val="00171856"/>
    <w:rsid w:val="001718C9"/>
    <w:rsid w:val="00171FE0"/>
    <w:rsid w:val="001738AC"/>
    <w:rsid w:val="00173D99"/>
    <w:rsid w:val="00174080"/>
    <w:rsid w:val="00174BB6"/>
    <w:rsid w:val="00174FEE"/>
    <w:rsid w:val="0017651B"/>
    <w:rsid w:val="00177734"/>
    <w:rsid w:val="0018228B"/>
    <w:rsid w:val="001835BD"/>
    <w:rsid w:val="00183E8C"/>
    <w:rsid w:val="00183EAB"/>
    <w:rsid w:val="0018563A"/>
    <w:rsid w:val="00185A69"/>
    <w:rsid w:val="00185D38"/>
    <w:rsid w:val="00185D47"/>
    <w:rsid w:val="00185F51"/>
    <w:rsid w:val="001860B7"/>
    <w:rsid w:val="00187B62"/>
    <w:rsid w:val="00187ECE"/>
    <w:rsid w:val="0019001E"/>
    <w:rsid w:val="00190D5A"/>
    <w:rsid w:val="00191047"/>
    <w:rsid w:val="001913AD"/>
    <w:rsid w:val="00192737"/>
    <w:rsid w:val="00193C92"/>
    <w:rsid w:val="0019414B"/>
    <w:rsid w:val="00194359"/>
    <w:rsid w:val="001949A6"/>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610"/>
    <w:rsid w:val="001B4E6F"/>
    <w:rsid w:val="001B59E2"/>
    <w:rsid w:val="001B65A3"/>
    <w:rsid w:val="001B6C67"/>
    <w:rsid w:val="001B7023"/>
    <w:rsid w:val="001C0CD3"/>
    <w:rsid w:val="001C254D"/>
    <w:rsid w:val="001C4B19"/>
    <w:rsid w:val="001C4EAE"/>
    <w:rsid w:val="001C6890"/>
    <w:rsid w:val="001D0111"/>
    <w:rsid w:val="001D037B"/>
    <w:rsid w:val="001D15FF"/>
    <w:rsid w:val="001D2DDB"/>
    <w:rsid w:val="001D396A"/>
    <w:rsid w:val="001D525A"/>
    <w:rsid w:val="001D6FB9"/>
    <w:rsid w:val="001D7004"/>
    <w:rsid w:val="001D718E"/>
    <w:rsid w:val="001E0961"/>
    <w:rsid w:val="001E0DD3"/>
    <w:rsid w:val="001E0E59"/>
    <w:rsid w:val="001E1042"/>
    <w:rsid w:val="001E2BAC"/>
    <w:rsid w:val="001E3092"/>
    <w:rsid w:val="001E3129"/>
    <w:rsid w:val="001E32E1"/>
    <w:rsid w:val="001E45BF"/>
    <w:rsid w:val="001E4C28"/>
    <w:rsid w:val="001E5D41"/>
    <w:rsid w:val="001E6331"/>
    <w:rsid w:val="001E6375"/>
    <w:rsid w:val="001E6DFB"/>
    <w:rsid w:val="001E7A70"/>
    <w:rsid w:val="001F018C"/>
    <w:rsid w:val="001F1B21"/>
    <w:rsid w:val="001F1C67"/>
    <w:rsid w:val="001F3766"/>
    <w:rsid w:val="001F3996"/>
    <w:rsid w:val="001F447F"/>
    <w:rsid w:val="001F4FC3"/>
    <w:rsid w:val="001F5169"/>
    <w:rsid w:val="001F6119"/>
    <w:rsid w:val="001F624F"/>
    <w:rsid w:val="001F759A"/>
    <w:rsid w:val="002005DF"/>
    <w:rsid w:val="00201498"/>
    <w:rsid w:val="002054F9"/>
    <w:rsid w:val="002072C9"/>
    <w:rsid w:val="0020735A"/>
    <w:rsid w:val="00210E29"/>
    <w:rsid w:val="00212C08"/>
    <w:rsid w:val="00215732"/>
    <w:rsid w:val="00220282"/>
    <w:rsid w:val="00221214"/>
    <w:rsid w:val="0022209F"/>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6E6C"/>
    <w:rsid w:val="00247353"/>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01"/>
    <w:rsid w:val="00270412"/>
    <w:rsid w:val="00270739"/>
    <w:rsid w:val="002720F5"/>
    <w:rsid w:val="00272475"/>
    <w:rsid w:val="00275B58"/>
    <w:rsid w:val="00276EE4"/>
    <w:rsid w:val="00276FDA"/>
    <w:rsid w:val="0028252E"/>
    <w:rsid w:val="00283483"/>
    <w:rsid w:val="00283B58"/>
    <w:rsid w:val="002859EF"/>
    <w:rsid w:val="00285AF1"/>
    <w:rsid w:val="0029050E"/>
    <w:rsid w:val="00292696"/>
    <w:rsid w:val="00292DEC"/>
    <w:rsid w:val="00293B99"/>
    <w:rsid w:val="00293D02"/>
    <w:rsid w:val="00294222"/>
    <w:rsid w:val="00296690"/>
    <w:rsid w:val="002A0F22"/>
    <w:rsid w:val="002A1127"/>
    <w:rsid w:val="002A1228"/>
    <w:rsid w:val="002A184F"/>
    <w:rsid w:val="002A2420"/>
    <w:rsid w:val="002A6326"/>
    <w:rsid w:val="002A740E"/>
    <w:rsid w:val="002B0E1F"/>
    <w:rsid w:val="002B376D"/>
    <w:rsid w:val="002B3C6E"/>
    <w:rsid w:val="002B5F5E"/>
    <w:rsid w:val="002B76A4"/>
    <w:rsid w:val="002B7D72"/>
    <w:rsid w:val="002C13D3"/>
    <w:rsid w:val="002C1543"/>
    <w:rsid w:val="002C42B2"/>
    <w:rsid w:val="002C4D38"/>
    <w:rsid w:val="002D1993"/>
    <w:rsid w:val="002D5F09"/>
    <w:rsid w:val="002D6D64"/>
    <w:rsid w:val="002E0EBA"/>
    <w:rsid w:val="002E21C3"/>
    <w:rsid w:val="002E4150"/>
    <w:rsid w:val="002E6164"/>
    <w:rsid w:val="002E61CB"/>
    <w:rsid w:val="002E6554"/>
    <w:rsid w:val="002E6838"/>
    <w:rsid w:val="002E71BD"/>
    <w:rsid w:val="002E798A"/>
    <w:rsid w:val="002F034E"/>
    <w:rsid w:val="002F3DFD"/>
    <w:rsid w:val="002F6129"/>
    <w:rsid w:val="003002EE"/>
    <w:rsid w:val="00301EF5"/>
    <w:rsid w:val="00302F3E"/>
    <w:rsid w:val="00303D74"/>
    <w:rsid w:val="0030553B"/>
    <w:rsid w:val="00306680"/>
    <w:rsid w:val="0030711A"/>
    <w:rsid w:val="00307D40"/>
    <w:rsid w:val="003110A1"/>
    <w:rsid w:val="00311CD5"/>
    <w:rsid w:val="00311E00"/>
    <w:rsid w:val="003149CE"/>
    <w:rsid w:val="0031514F"/>
    <w:rsid w:val="0031593D"/>
    <w:rsid w:val="003170DD"/>
    <w:rsid w:val="00317C18"/>
    <w:rsid w:val="00321185"/>
    <w:rsid w:val="00321882"/>
    <w:rsid w:val="003218B9"/>
    <w:rsid w:val="00321CDB"/>
    <w:rsid w:val="00322AA8"/>
    <w:rsid w:val="003260D6"/>
    <w:rsid w:val="00326BD7"/>
    <w:rsid w:val="00327189"/>
    <w:rsid w:val="0032788E"/>
    <w:rsid w:val="00330976"/>
    <w:rsid w:val="00332D92"/>
    <w:rsid w:val="0033618F"/>
    <w:rsid w:val="00336FF7"/>
    <w:rsid w:val="003377D3"/>
    <w:rsid w:val="003406EB"/>
    <w:rsid w:val="0034168A"/>
    <w:rsid w:val="003416A6"/>
    <w:rsid w:val="00342043"/>
    <w:rsid w:val="0034292C"/>
    <w:rsid w:val="00343549"/>
    <w:rsid w:val="00343A9E"/>
    <w:rsid w:val="00344898"/>
    <w:rsid w:val="00345580"/>
    <w:rsid w:val="003456C1"/>
    <w:rsid w:val="0034627D"/>
    <w:rsid w:val="00347DD1"/>
    <w:rsid w:val="00347F7B"/>
    <w:rsid w:val="003514EF"/>
    <w:rsid w:val="00352E55"/>
    <w:rsid w:val="003531FC"/>
    <w:rsid w:val="0035321D"/>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D6D"/>
    <w:rsid w:val="00392EE9"/>
    <w:rsid w:val="00393627"/>
    <w:rsid w:val="003967B7"/>
    <w:rsid w:val="003A0E1D"/>
    <w:rsid w:val="003A12AE"/>
    <w:rsid w:val="003A213C"/>
    <w:rsid w:val="003A2203"/>
    <w:rsid w:val="003A24D6"/>
    <w:rsid w:val="003A2766"/>
    <w:rsid w:val="003A374B"/>
    <w:rsid w:val="003A6408"/>
    <w:rsid w:val="003B0207"/>
    <w:rsid w:val="003B0446"/>
    <w:rsid w:val="003B09C1"/>
    <w:rsid w:val="003B0E9A"/>
    <w:rsid w:val="003B184F"/>
    <w:rsid w:val="003B1B3D"/>
    <w:rsid w:val="003B1C80"/>
    <w:rsid w:val="003B2D4C"/>
    <w:rsid w:val="003B3318"/>
    <w:rsid w:val="003B3572"/>
    <w:rsid w:val="003B4653"/>
    <w:rsid w:val="003B49DF"/>
    <w:rsid w:val="003B515D"/>
    <w:rsid w:val="003B52A7"/>
    <w:rsid w:val="003B6EF9"/>
    <w:rsid w:val="003C027F"/>
    <w:rsid w:val="003C3117"/>
    <w:rsid w:val="003C31C2"/>
    <w:rsid w:val="003C3AE8"/>
    <w:rsid w:val="003C3F29"/>
    <w:rsid w:val="003C6B62"/>
    <w:rsid w:val="003C7596"/>
    <w:rsid w:val="003C78B5"/>
    <w:rsid w:val="003D06D2"/>
    <w:rsid w:val="003D075C"/>
    <w:rsid w:val="003D24A2"/>
    <w:rsid w:val="003D3D71"/>
    <w:rsid w:val="003D3E56"/>
    <w:rsid w:val="003D7347"/>
    <w:rsid w:val="003E0A75"/>
    <w:rsid w:val="003E2957"/>
    <w:rsid w:val="003E2AD9"/>
    <w:rsid w:val="003E32E3"/>
    <w:rsid w:val="003E52FC"/>
    <w:rsid w:val="003E54B1"/>
    <w:rsid w:val="003E7074"/>
    <w:rsid w:val="003F0414"/>
    <w:rsid w:val="003F0A9B"/>
    <w:rsid w:val="003F252B"/>
    <w:rsid w:val="003F3805"/>
    <w:rsid w:val="003F635B"/>
    <w:rsid w:val="003F6BCD"/>
    <w:rsid w:val="003F7F18"/>
    <w:rsid w:val="004004FE"/>
    <w:rsid w:val="00400A17"/>
    <w:rsid w:val="00400C1C"/>
    <w:rsid w:val="00400F57"/>
    <w:rsid w:val="00401E29"/>
    <w:rsid w:val="00402D08"/>
    <w:rsid w:val="00403695"/>
    <w:rsid w:val="00404F31"/>
    <w:rsid w:val="00405402"/>
    <w:rsid w:val="004079CC"/>
    <w:rsid w:val="00413BB8"/>
    <w:rsid w:val="0041435C"/>
    <w:rsid w:val="00415029"/>
    <w:rsid w:val="00415C24"/>
    <w:rsid w:val="00415C99"/>
    <w:rsid w:val="004164CB"/>
    <w:rsid w:val="00416EC1"/>
    <w:rsid w:val="00421A90"/>
    <w:rsid w:val="00421B59"/>
    <w:rsid w:val="00421D84"/>
    <w:rsid w:val="00422570"/>
    <w:rsid w:val="00422ED9"/>
    <w:rsid w:val="004231D8"/>
    <w:rsid w:val="00423F29"/>
    <w:rsid w:val="00424662"/>
    <w:rsid w:val="00424A94"/>
    <w:rsid w:val="00426722"/>
    <w:rsid w:val="004318F4"/>
    <w:rsid w:val="00431EEF"/>
    <w:rsid w:val="00432B00"/>
    <w:rsid w:val="00433E5C"/>
    <w:rsid w:val="004349B7"/>
    <w:rsid w:val="0043694F"/>
    <w:rsid w:val="00436DD2"/>
    <w:rsid w:val="0043717B"/>
    <w:rsid w:val="00437287"/>
    <w:rsid w:val="00440198"/>
    <w:rsid w:val="004412EB"/>
    <w:rsid w:val="00446B6F"/>
    <w:rsid w:val="00447B01"/>
    <w:rsid w:val="00450155"/>
    <w:rsid w:val="00450ABD"/>
    <w:rsid w:val="0045274D"/>
    <w:rsid w:val="00452DA1"/>
    <w:rsid w:val="00453237"/>
    <w:rsid w:val="00453DE9"/>
    <w:rsid w:val="00455FE6"/>
    <w:rsid w:val="00456257"/>
    <w:rsid w:val="004611A4"/>
    <w:rsid w:val="00461BF0"/>
    <w:rsid w:val="0046321B"/>
    <w:rsid w:val="004633C9"/>
    <w:rsid w:val="0046597E"/>
    <w:rsid w:val="00465E3F"/>
    <w:rsid w:val="0046635A"/>
    <w:rsid w:val="00470549"/>
    <w:rsid w:val="0047090B"/>
    <w:rsid w:val="0047220A"/>
    <w:rsid w:val="0047262B"/>
    <w:rsid w:val="00472A96"/>
    <w:rsid w:val="00472E21"/>
    <w:rsid w:val="0047355F"/>
    <w:rsid w:val="00473BE5"/>
    <w:rsid w:val="00473BEB"/>
    <w:rsid w:val="00474DBF"/>
    <w:rsid w:val="0048143B"/>
    <w:rsid w:val="00482087"/>
    <w:rsid w:val="004821C0"/>
    <w:rsid w:val="00482BDD"/>
    <w:rsid w:val="00482D40"/>
    <w:rsid w:val="00483D6A"/>
    <w:rsid w:val="00483F1A"/>
    <w:rsid w:val="0048608E"/>
    <w:rsid w:val="0048657D"/>
    <w:rsid w:val="00486B52"/>
    <w:rsid w:val="0048715C"/>
    <w:rsid w:val="00487295"/>
    <w:rsid w:val="00490068"/>
    <w:rsid w:val="004900A4"/>
    <w:rsid w:val="00490B18"/>
    <w:rsid w:val="004919C6"/>
    <w:rsid w:val="004927DD"/>
    <w:rsid w:val="00494B53"/>
    <w:rsid w:val="00495152"/>
    <w:rsid w:val="004959A2"/>
    <w:rsid w:val="004973DF"/>
    <w:rsid w:val="004A139B"/>
    <w:rsid w:val="004A13EA"/>
    <w:rsid w:val="004A1529"/>
    <w:rsid w:val="004A16D6"/>
    <w:rsid w:val="004A1F75"/>
    <w:rsid w:val="004A29EF"/>
    <w:rsid w:val="004A3EEF"/>
    <w:rsid w:val="004A56A4"/>
    <w:rsid w:val="004A59B3"/>
    <w:rsid w:val="004A764A"/>
    <w:rsid w:val="004B0159"/>
    <w:rsid w:val="004B0325"/>
    <w:rsid w:val="004B0743"/>
    <w:rsid w:val="004B0F80"/>
    <w:rsid w:val="004B1859"/>
    <w:rsid w:val="004B21CD"/>
    <w:rsid w:val="004B5D19"/>
    <w:rsid w:val="004B6046"/>
    <w:rsid w:val="004B6167"/>
    <w:rsid w:val="004B74B3"/>
    <w:rsid w:val="004C083D"/>
    <w:rsid w:val="004C20B1"/>
    <w:rsid w:val="004C241A"/>
    <w:rsid w:val="004C2642"/>
    <w:rsid w:val="004C2A6B"/>
    <w:rsid w:val="004C3D3A"/>
    <w:rsid w:val="004C4AA8"/>
    <w:rsid w:val="004C4F9F"/>
    <w:rsid w:val="004C570A"/>
    <w:rsid w:val="004C5E16"/>
    <w:rsid w:val="004C6F3A"/>
    <w:rsid w:val="004C76FB"/>
    <w:rsid w:val="004D160D"/>
    <w:rsid w:val="004D2FE8"/>
    <w:rsid w:val="004D30D7"/>
    <w:rsid w:val="004D31B6"/>
    <w:rsid w:val="004D3E48"/>
    <w:rsid w:val="004D4AF9"/>
    <w:rsid w:val="004D5297"/>
    <w:rsid w:val="004D6102"/>
    <w:rsid w:val="004E03AF"/>
    <w:rsid w:val="004E0E02"/>
    <w:rsid w:val="004E25F6"/>
    <w:rsid w:val="004E347F"/>
    <w:rsid w:val="004E48AE"/>
    <w:rsid w:val="004E646C"/>
    <w:rsid w:val="004E6D1D"/>
    <w:rsid w:val="004F0FCB"/>
    <w:rsid w:val="004F3DC1"/>
    <w:rsid w:val="004F400E"/>
    <w:rsid w:val="004F504F"/>
    <w:rsid w:val="004F57F7"/>
    <w:rsid w:val="004F59B8"/>
    <w:rsid w:val="004F70E1"/>
    <w:rsid w:val="00500714"/>
    <w:rsid w:val="00500D13"/>
    <w:rsid w:val="00500FEB"/>
    <w:rsid w:val="00501362"/>
    <w:rsid w:val="00502028"/>
    <w:rsid w:val="00503419"/>
    <w:rsid w:val="0050458D"/>
    <w:rsid w:val="00506014"/>
    <w:rsid w:val="0050612C"/>
    <w:rsid w:val="0050732B"/>
    <w:rsid w:val="00507D97"/>
    <w:rsid w:val="00510434"/>
    <w:rsid w:val="005110FE"/>
    <w:rsid w:val="00511CC0"/>
    <w:rsid w:val="00512D34"/>
    <w:rsid w:val="00512F16"/>
    <w:rsid w:val="00515150"/>
    <w:rsid w:val="00515368"/>
    <w:rsid w:val="005161FC"/>
    <w:rsid w:val="00516686"/>
    <w:rsid w:val="0052089C"/>
    <w:rsid w:val="005218F6"/>
    <w:rsid w:val="00522D68"/>
    <w:rsid w:val="00523CC7"/>
    <w:rsid w:val="00527709"/>
    <w:rsid w:val="00532184"/>
    <w:rsid w:val="0053306D"/>
    <w:rsid w:val="00536B7E"/>
    <w:rsid w:val="00536BF6"/>
    <w:rsid w:val="00537A1F"/>
    <w:rsid w:val="00537B98"/>
    <w:rsid w:val="00541E14"/>
    <w:rsid w:val="00541E71"/>
    <w:rsid w:val="005461D9"/>
    <w:rsid w:val="0054640A"/>
    <w:rsid w:val="0054685E"/>
    <w:rsid w:val="00547D83"/>
    <w:rsid w:val="00547FA2"/>
    <w:rsid w:val="00550611"/>
    <w:rsid w:val="00551D64"/>
    <w:rsid w:val="00554CE6"/>
    <w:rsid w:val="00554DD2"/>
    <w:rsid w:val="00554E38"/>
    <w:rsid w:val="005568C4"/>
    <w:rsid w:val="005572A4"/>
    <w:rsid w:val="00557EA9"/>
    <w:rsid w:val="0056091F"/>
    <w:rsid w:val="00560D50"/>
    <w:rsid w:val="00561804"/>
    <w:rsid w:val="00561E7C"/>
    <w:rsid w:val="005621CF"/>
    <w:rsid w:val="0056311F"/>
    <w:rsid w:val="00564B10"/>
    <w:rsid w:val="00564DEE"/>
    <w:rsid w:val="00565716"/>
    <w:rsid w:val="005670E3"/>
    <w:rsid w:val="00567665"/>
    <w:rsid w:val="005676A9"/>
    <w:rsid w:val="00567752"/>
    <w:rsid w:val="0057198B"/>
    <w:rsid w:val="00571FF0"/>
    <w:rsid w:val="005748DF"/>
    <w:rsid w:val="00575B03"/>
    <w:rsid w:val="00576BCE"/>
    <w:rsid w:val="00576F38"/>
    <w:rsid w:val="00580F86"/>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B88"/>
    <w:rsid w:val="005B478C"/>
    <w:rsid w:val="005B7D1A"/>
    <w:rsid w:val="005C16E2"/>
    <w:rsid w:val="005C44C6"/>
    <w:rsid w:val="005C4BCC"/>
    <w:rsid w:val="005C5D5B"/>
    <w:rsid w:val="005C624B"/>
    <w:rsid w:val="005D056C"/>
    <w:rsid w:val="005E440F"/>
    <w:rsid w:val="005E59DE"/>
    <w:rsid w:val="005E611A"/>
    <w:rsid w:val="005E6529"/>
    <w:rsid w:val="005E7CF0"/>
    <w:rsid w:val="005E7D1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B8D"/>
    <w:rsid w:val="00606970"/>
    <w:rsid w:val="00606A00"/>
    <w:rsid w:val="00607026"/>
    <w:rsid w:val="00610EE1"/>
    <w:rsid w:val="006131AB"/>
    <w:rsid w:val="00615547"/>
    <w:rsid w:val="00616C01"/>
    <w:rsid w:val="006201B7"/>
    <w:rsid w:val="0062055D"/>
    <w:rsid w:val="00622445"/>
    <w:rsid w:val="00623245"/>
    <w:rsid w:val="006233C8"/>
    <w:rsid w:val="00623E0D"/>
    <w:rsid w:val="00626066"/>
    <w:rsid w:val="00626A16"/>
    <w:rsid w:val="006270DE"/>
    <w:rsid w:val="006315D7"/>
    <w:rsid w:val="006317CD"/>
    <w:rsid w:val="0063186B"/>
    <w:rsid w:val="00632319"/>
    <w:rsid w:val="00632ED8"/>
    <w:rsid w:val="00634A21"/>
    <w:rsid w:val="00636B5B"/>
    <w:rsid w:val="006412E1"/>
    <w:rsid w:val="00641390"/>
    <w:rsid w:val="006425FE"/>
    <w:rsid w:val="00643BA7"/>
    <w:rsid w:val="00643DFB"/>
    <w:rsid w:val="00643E28"/>
    <w:rsid w:val="00645C5A"/>
    <w:rsid w:val="00650F7C"/>
    <w:rsid w:val="0065437B"/>
    <w:rsid w:val="0065437F"/>
    <w:rsid w:val="00656699"/>
    <w:rsid w:val="00656E0A"/>
    <w:rsid w:val="006577DB"/>
    <w:rsid w:val="00657A7A"/>
    <w:rsid w:val="0066056A"/>
    <w:rsid w:val="0066097C"/>
    <w:rsid w:val="0066130C"/>
    <w:rsid w:val="006620F2"/>
    <w:rsid w:val="0066224F"/>
    <w:rsid w:val="0066257C"/>
    <w:rsid w:val="00662E15"/>
    <w:rsid w:val="00664288"/>
    <w:rsid w:val="00664648"/>
    <w:rsid w:val="00665939"/>
    <w:rsid w:val="006664C0"/>
    <w:rsid w:val="00666B12"/>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27E"/>
    <w:rsid w:val="006A047D"/>
    <w:rsid w:val="006A1123"/>
    <w:rsid w:val="006A18DE"/>
    <w:rsid w:val="006A1DFC"/>
    <w:rsid w:val="006A1E5F"/>
    <w:rsid w:val="006A4253"/>
    <w:rsid w:val="006A58EF"/>
    <w:rsid w:val="006A5FDA"/>
    <w:rsid w:val="006A60EE"/>
    <w:rsid w:val="006A76F1"/>
    <w:rsid w:val="006A77A8"/>
    <w:rsid w:val="006B134E"/>
    <w:rsid w:val="006B23EB"/>
    <w:rsid w:val="006B3473"/>
    <w:rsid w:val="006B42A5"/>
    <w:rsid w:val="006B4615"/>
    <w:rsid w:val="006B4D79"/>
    <w:rsid w:val="006B4E42"/>
    <w:rsid w:val="006B552F"/>
    <w:rsid w:val="006B577E"/>
    <w:rsid w:val="006B6B31"/>
    <w:rsid w:val="006B7D68"/>
    <w:rsid w:val="006B7DA0"/>
    <w:rsid w:val="006C0C61"/>
    <w:rsid w:val="006C1861"/>
    <w:rsid w:val="006C2FEF"/>
    <w:rsid w:val="006C67EA"/>
    <w:rsid w:val="006C7139"/>
    <w:rsid w:val="006C71C9"/>
    <w:rsid w:val="006D1FAB"/>
    <w:rsid w:val="006D3174"/>
    <w:rsid w:val="006D4A90"/>
    <w:rsid w:val="006D5B17"/>
    <w:rsid w:val="006D6BEA"/>
    <w:rsid w:val="006D6C04"/>
    <w:rsid w:val="006D7272"/>
    <w:rsid w:val="006E1DED"/>
    <w:rsid w:val="006E3EC7"/>
    <w:rsid w:val="006E7771"/>
    <w:rsid w:val="006F129F"/>
    <w:rsid w:val="006F17A5"/>
    <w:rsid w:val="006F2F96"/>
    <w:rsid w:val="006F325C"/>
    <w:rsid w:val="006F4099"/>
    <w:rsid w:val="006F4AD3"/>
    <w:rsid w:val="006F5E92"/>
    <w:rsid w:val="006F62F4"/>
    <w:rsid w:val="006F7148"/>
    <w:rsid w:val="006F715B"/>
    <w:rsid w:val="006F74E7"/>
    <w:rsid w:val="007014C3"/>
    <w:rsid w:val="0070235C"/>
    <w:rsid w:val="00702BD2"/>
    <w:rsid w:val="00703B2A"/>
    <w:rsid w:val="00704499"/>
    <w:rsid w:val="0070539F"/>
    <w:rsid w:val="00705D32"/>
    <w:rsid w:val="00706E67"/>
    <w:rsid w:val="00707699"/>
    <w:rsid w:val="007100C0"/>
    <w:rsid w:val="00711A85"/>
    <w:rsid w:val="00711DBF"/>
    <w:rsid w:val="007167A6"/>
    <w:rsid w:val="00716FDD"/>
    <w:rsid w:val="007216BF"/>
    <w:rsid w:val="007219D8"/>
    <w:rsid w:val="00722569"/>
    <w:rsid w:val="007244A4"/>
    <w:rsid w:val="00724D34"/>
    <w:rsid w:val="007260A1"/>
    <w:rsid w:val="00727962"/>
    <w:rsid w:val="00727A3F"/>
    <w:rsid w:val="0073043C"/>
    <w:rsid w:val="007305FA"/>
    <w:rsid w:val="00730621"/>
    <w:rsid w:val="00730B98"/>
    <w:rsid w:val="00731CC6"/>
    <w:rsid w:val="007335BD"/>
    <w:rsid w:val="00734103"/>
    <w:rsid w:val="0073475E"/>
    <w:rsid w:val="00734CFE"/>
    <w:rsid w:val="00734F1B"/>
    <w:rsid w:val="00734F2E"/>
    <w:rsid w:val="007356FA"/>
    <w:rsid w:val="007362F4"/>
    <w:rsid w:val="007400E3"/>
    <w:rsid w:val="007404DF"/>
    <w:rsid w:val="0074062F"/>
    <w:rsid w:val="00744939"/>
    <w:rsid w:val="007470ED"/>
    <w:rsid w:val="00750388"/>
    <w:rsid w:val="00750512"/>
    <w:rsid w:val="007506B8"/>
    <w:rsid w:val="007532A9"/>
    <w:rsid w:val="00753E84"/>
    <w:rsid w:val="00754135"/>
    <w:rsid w:val="00755A77"/>
    <w:rsid w:val="00755B13"/>
    <w:rsid w:val="00755C37"/>
    <w:rsid w:val="00756DB3"/>
    <w:rsid w:val="007570B7"/>
    <w:rsid w:val="007574DF"/>
    <w:rsid w:val="007607D5"/>
    <w:rsid w:val="007614A7"/>
    <w:rsid w:val="007635B2"/>
    <w:rsid w:val="0076386D"/>
    <w:rsid w:val="00765137"/>
    <w:rsid w:val="00765EB5"/>
    <w:rsid w:val="0076606D"/>
    <w:rsid w:val="00767B3E"/>
    <w:rsid w:val="00771486"/>
    <w:rsid w:val="00772135"/>
    <w:rsid w:val="00772261"/>
    <w:rsid w:val="00773139"/>
    <w:rsid w:val="00773149"/>
    <w:rsid w:val="00774989"/>
    <w:rsid w:val="00774CF8"/>
    <w:rsid w:val="007814FF"/>
    <w:rsid w:val="0078206A"/>
    <w:rsid w:val="00782F7C"/>
    <w:rsid w:val="007836C0"/>
    <w:rsid w:val="00783856"/>
    <w:rsid w:val="0078388F"/>
    <w:rsid w:val="00784160"/>
    <w:rsid w:val="00790106"/>
    <w:rsid w:val="00790D5F"/>
    <w:rsid w:val="00791045"/>
    <w:rsid w:val="00795056"/>
    <w:rsid w:val="00797DDB"/>
    <w:rsid w:val="007A0645"/>
    <w:rsid w:val="007A0F27"/>
    <w:rsid w:val="007A14E0"/>
    <w:rsid w:val="007A20F5"/>
    <w:rsid w:val="007A21CD"/>
    <w:rsid w:val="007A5537"/>
    <w:rsid w:val="007B1136"/>
    <w:rsid w:val="007B3A38"/>
    <w:rsid w:val="007B3A44"/>
    <w:rsid w:val="007B4108"/>
    <w:rsid w:val="007B5ED6"/>
    <w:rsid w:val="007B63B1"/>
    <w:rsid w:val="007B688B"/>
    <w:rsid w:val="007B76B3"/>
    <w:rsid w:val="007C20EE"/>
    <w:rsid w:val="007C6564"/>
    <w:rsid w:val="007C6843"/>
    <w:rsid w:val="007C7530"/>
    <w:rsid w:val="007C7BDF"/>
    <w:rsid w:val="007D178B"/>
    <w:rsid w:val="007D17ED"/>
    <w:rsid w:val="007D2C57"/>
    <w:rsid w:val="007D6BB0"/>
    <w:rsid w:val="007D72EC"/>
    <w:rsid w:val="007D78E8"/>
    <w:rsid w:val="007D7D5A"/>
    <w:rsid w:val="007E3231"/>
    <w:rsid w:val="007F0F9A"/>
    <w:rsid w:val="007F135E"/>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6851"/>
    <w:rsid w:val="008276D2"/>
    <w:rsid w:val="00827831"/>
    <w:rsid w:val="00830BB1"/>
    <w:rsid w:val="008327CE"/>
    <w:rsid w:val="00832817"/>
    <w:rsid w:val="00833D81"/>
    <w:rsid w:val="0083560B"/>
    <w:rsid w:val="00836694"/>
    <w:rsid w:val="008376FD"/>
    <w:rsid w:val="008444FD"/>
    <w:rsid w:val="008455FA"/>
    <w:rsid w:val="0084565D"/>
    <w:rsid w:val="008462F0"/>
    <w:rsid w:val="00846649"/>
    <w:rsid w:val="00855067"/>
    <w:rsid w:val="00855EED"/>
    <w:rsid w:val="00857502"/>
    <w:rsid w:val="00860271"/>
    <w:rsid w:val="008603C3"/>
    <w:rsid w:val="00864C8A"/>
    <w:rsid w:val="00867662"/>
    <w:rsid w:val="00867DEB"/>
    <w:rsid w:val="00870615"/>
    <w:rsid w:val="008707CB"/>
    <w:rsid w:val="00870E5A"/>
    <w:rsid w:val="00871392"/>
    <w:rsid w:val="00871C55"/>
    <w:rsid w:val="00871EF8"/>
    <w:rsid w:val="00871F91"/>
    <w:rsid w:val="0087285C"/>
    <w:rsid w:val="00872B93"/>
    <w:rsid w:val="00874089"/>
    <w:rsid w:val="00874FC0"/>
    <w:rsid w:val="00875042"/>
    <w:rsid w:val="00875841"/>
    <w:rsid w:val="00877DEC"/>
    <w:rsid w:val="00881630"/>
    <w:rsid w:val="00881F37"/>
    <w:rsid w:val="00882407"/>
    <w:rsid w:val="00882467"/>
    <w:rsid w:val="00882B75"/>
    <w:rsid w:val="00882C72"/>
    <w:rsid w:val="0088380C"/>
    <w:rsid w:val="00883A48"/>
    <w:rsid w:val="00883CF4"/>
    <w:rsid w:val="008848DC"/>
    <w:rsid w:val="00884B11"/>
    <w:rsid w:val="00885C43"/>
    <w:rsid w:val="00886402"/>
    <w:rsid w:val="00887986"/>
    <w:rsid w:val="00887B5C"/>
    <w:rsid w:val="00892075"/>
    <w:rsid w:val="00892A2F"/>
    <w:rsid w:val="0089377A"/>
    <w:rsid w:val="008943BB"/>
    <w:rsid w:val="00894CDD"/>
    <w:rsid w:val="00897140"/>
    <w:rsid w:val="008A1766"/>
    <w:rsid w:val="008A2B57"/>
    <w:rsid w:val="008A5B27"/>
    <w:rsid w:val="008A706A"/>
    <w:rsid w:val="008B19C2"/>
    <w:rsid w:val="008B35EE"/>
    <w:rsid w:val="008B37BF"/>
    <w:rsid w:val="008B3E7C"/>
    <w:rsid w:val="008B4033"/>
    <w:rsid w:val="008B405B"/>
    <w:rsid w:val="008B44E8"/>
    <w:rsid w:val="008B49E0"/>
    <w:rsid w:val="008B556D"/>
    <w:rsid w:val="008B7A46"/>
    <w:rsid w:val="008C01D4"/>
    <w:rsid w:val="008C0B85"/>
    <w:rsid w:val="008C18F6"/>
    <w:rsid w:val="008C197F"/>
    <w:rsid w:val="008C33F8"/>
    <w:rsid w:val="008C468E"/>
    <w:rsid w:val="008C5062"/>
    <w:rsid w:val="008C6271"/>
    <w:rsid w:val="008C6FBE"/>
    <w:rsid w:val="008C7211"/>
    <w:rsid w:val="008D07F4"/>
    <w:rsid w:val="008D125C"/>
    <w:rsid w:val="008D2884"/>
    <w:rsid w:val="008D2E17"/>
    <w:rsid w:val="008D3267"/>
    <w:rsid w:val="008D460A"/>
    <w:rsid w:val="008D6D5B"/>
    <w:rsid w:val="008D79B2"/>
    <w:rsid w:val="008D7D3A"/>
    <w:rsid w:val="008D7ED0"/>
    <w:rsid w:val="008E24BF"/>
    <w:rsid w:val="008E2972"/>
    <w:rsid w:val="008E30E9"/>
    <w:rsid w:val="008E5899"/>
    <w:rsid w:val="008E5F44"/>
    <w:rsid w:val="008F18D1"/>
    <w:rsid w:val="008F3077"/>
    <w:rsid w:val="008F4AFA"/>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0FD7"/>
    <w:rsid w:val="0092110D"/>
    <w:rsid w:val="009211DA"/>
    <w:rsid w:val="00923832"/>
    <w:rsid w:val="00923F1E"/>
    <w:rsid w:val="00924047"/>
    <w:rsid w:val="00924A5F"/>
    <w:rsid w:val="00924F91"/>
    <w:rsid w:val="00925702"/>
    <w:rsid w:val="00925828"/>
    <w:rsid w:val="0092633C"/>
    <w:rsid w:val="00926D1F"/>
    <w:rsid w:val="00930C01"/>
    <w:rsid w:val="00930CB7"/>
    <w:rsid w:val="00930CE2"/>
    <w:rsid w:val="00932CEB"/>
    <w:rsid w:val="00932EF0"/>
    <w:rsid w:val="00935AB2"/>
    <w:rsid w:val="00935F95"/>
    <w:rsid w:val="00941D80"/>
    <w:rsid w:val="00943005"/>
    <w:rsid w:val="009435E9"/>
    <w:rsid w:val="00943E7A"/>
    <w:rsid w:val="0094499D"/>
    <w:rsid w:val="009456E6"/>
    <w:rsid w:val="00945FF7"/>
    <w:rsid w:val="0094628E"/>
    <w:rsid w:val="00946942"/>
    <w:rsid w:val="00947F58"/>
    <w:rsid w:val="0095041F"/>
    <w:rsid w:val="00951A06"/>
    <w:rsid w:val="009526CD"/>
    <w:rsid w:val="009532E2"/>
    <w:rsid w:val="009535B1"/>
    <w:rsid w:val="00954BC9"/>
    <w:rsid w:val="00955248"/>
    <w:rsid w:val="0096284C"/>
    <w:rsid w:val="0096425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094"/>
    <w:rsid w:val="009864F8"/>
    <w:rsid w:val="00986BAF"/>
    <w:rsid w:val="009879E6"/>
    <w:rsid w:val="009904BB"/>
    <w:rsid w:val="0099121E"/>
    <w:rsid w:val="00991B8E"/>
    <w:rsid w:val="00992DBE"/>
    <w:rsid w:val="009931DF"/>
    <w:rsid w:val="00994872"/>
    <w:rsid w:val="00995A87"/>
    <w:rsid w:val="00997DD6"/>
    <w:rsid w:val="00997E09"/>
    <w:rsid w:val="009A11A6"/>
    <w:rsid w:val="009A2222"/>
    <w:rsid w:val="009A504B"/>
    <w:rsid w:val="009A52E8"/>
    <w:rsid w:val="009A5B2B"/>
    <w:rsid w:val="009A672D"/>
    <w:rsid w:val="009A6A73"/>
    <w:rsid w:val="009B0304"/>
    <w:rsid w:val="009B0F66"/>
    <w:rsid w:val="009B17E9"/>
    <w:rsid w:val="009B1DC4"/>
    <w:rsid w:val="009B29D4"/>
    <w:rsid w:val="009B2F8B"/>
    <w:rsid w:val="009B3570"/>
    <w:rsid w:val="009B3672"/>
    <w:rsid w:val="009B4DBC"/>
    <w:rsid w:val="009B50B9"/>
    <w:rsid w:val="009B56EA"/>
    <w:rsid w:val="009B6861"/>
    <w:rsid w:val="009C0CBB"/>
    <w:rsid w:val="009C245A"/>
    <w:rsid w:val="009C3B05"/>
    <w:rsid w:val="009C4CC9"/>
    <w:rsid w:val="009C516E"/>
    <w:rsid w:val="009C597F"/>
    <w:rsid w:val="009C69CB"/>
    <w:rsid w:val="009C7DC6"/>
    <w:rsid w:val="009D2DE6"/>
    <w:rsid w:val="009D2F72"/>
    <w:rsid w:val="009D48A1"/>
    <w:rsid w:val="009D48CE"/>
    <w:rsid w:val="009D4FCF"/>
    <w:rsid w:val="009D55BB"/>
    <w:rsid w:val="009E3F80"/>
    <w:rsid w:val="009E3FF6"/>
    <w:rsid w:val="009E6168"/>
    <w:rsid w:val="009E652E"/>
    <w:rsid w:val="009F356D"/>
    <w:rsid w:val="009F5577"/>
    <w:rsid w:val="00A02216"/>
    <w:rsid w:val="00A0380E"/>
    <w:rsid w:val="00A06458"/>
    <w:rsid w:val="00A06776"/>
    <w:rsid w:val="00A07959"/>
    <w:rsid w:val="00A124BC"/>
    <w:rsid w:val="00A13877"/>
    <w:rsid w:val="00A15161"/>
    <w:rsid w:val="00A1689C"/>
    <w:rsid w:val="00A17F55"/>
    <w:rsid w:val="00A20459"/>
    <w:rsid w:val="00A21507"/>
    <w:rsid w:val="00A23355"/>
    <w:rsid w:val="00A25BEF"/>
    <w:rsid w:val="00A25DEB"/>
    <w:rsid w:val="00A26B99"/>
    <w:rsid w:val="00A300A6"/>
    <w:rsid w:val="00A30A51"/>
    <w:rsid w:val="00A3110F"/>
    <w:rsid w:val="00A3188A"/>
    <w:rsid w:val="00A31CF0"/>
    <w:rsid w:val="00A320D2"/>
    <w:rsid w:val="00A32488"/>
    <w:rsid w:val="00A32FF8"/>
    <w:rsid w:val="00A34277"/>
    <w:rsid w:val="00A347A7"/>
    <w:rsid w:val="00A35E0F"/>
    <w:rsid w:val="00A3643F"/>
    <w:rsid w:val="00A40E9F"/>
    <w:rsid w:val="00A4101D"/>
    <w:rsid w:val="00A415A9"/>
    <w:rsid w:val="00A41967"/>
    <w:rsid w:val="00A42F0C"/>
    <w:rsid w:val="00A43CDB"/>
    <w:rsid w:val="00A4406D"/>
    <w:rsid w:val="00A46752"/>
    <w:rsid w:val="00A46A47"/>
    <w:rsid w:val="00A472FE"/>
    <w:rsid w:val="00A5174B"/>
    <w:rsid w:val="00A52FCD"/>
    <w:rsid w:val="00A531D2"/>
    <w:rsid w:val="00A55AAD"/>
    <w:rsid w:val="00A56564"/>
    <w:rsid w:val="00A567DC"/>
    <w:rsid w:val="00A57E35"/>
    <w:rsid w:val="00A57E80"/>
    <w:rsid w:val="00A602E9"/>
    <w:rsid w:val="00A623C2"/>
    <w:rsid w:val="00A62920"/>
    <w:rsid w:val="00A6349A"/>
    <w:rsid w:val="00A64D19"/>
    <w:rsid w:val="00A66C92"/>
    <w:rsid w:val="00A67B23"/>
    <w:rsid w:val="00A70F08"/>
    <w:rsid w:val="00A70F2D"/>
    <w:rsid w:val="00A7120C"/>
    <w:rsid w:val="00A730FE"/>
    <w:rsid w:val="00A7326B"/>
    <w:rsid w:val="00A73E78"/>
    <w:rsid w:val="00A7463A"/>
    <w:rsid w:val="00A75483"/>
    <w:rsid w:val="00A77CB9"/>
    <w:rsid w:val="00A8056E"/>
    <w:rsid w:val="00A80C95"/>
    <w:rsid w:val="00A810B0"/>
    <w:rsid w:val="00A81830"/>
    <w:rsid w:val="00A8219B"/>
    <w:rsid w:val="00A8300F"/>
    <w:rsid w:val="00A845CF"/>
    <w:rsid w:val="00A85E42"/>
    <w:rsid w:val="00A8690E"/>
    <w:rsid w:val="00A871D1"/>
    <w:rsid w:val="00A87D08"/>
    <w:rsid w:val="00A90FF6"/>
    <w:rsid w:val="00A914CD"/>
    <w:rsid w:val="00A93095"/>
    <w:rsid w:val="00A94108"/>
    <w:rsid w:val="00A95CCF"/>
    <w:rsid w:val="00AA01C6"/>
    <w:rsid w:val="00AA280F"/>
    <w:rsid w:val="00AA29A0"/>
    <w:rsid w:val="00AA36AD"/>
    <w:rsid w:val="00AA3737"/>
    <w:rsid w:val="00AA38AF"/>
    <w:rsid w:val="00AA74D0"/>
    <w:rsid w:val="00AA78B7"/>
    <w:rsid w:val="00AA78FE"/>
    <w:rsid w:val="00AA7ACA"/>
    <w:rsid w:val="00AB0385"/>
    <w:rsid w:val="00AB0779"/>
    <w:rsid w:val="00AB123F"/>
    <w:rsid w:val="00AB1ADD"/>
    <w:rsid w:val="00AB2549"/>
    <w:rsid w:val="00AB2B46"/>
    <w:rsid w:val="00AB3456"/>
    <w:rsid w:val="00AB4197"/>
    <w:rsid w:val="00AB546C"/>
    <w:rsid w:val="00AB5D11"/>
    <w:rsid w:val="00AB62CD"/>
    <w:rsid w:val="00AB745F"/>
    <w:rsid w:val="00AB7EDB"/>
    <w:rsid w:val="00AC1CD2"/>
    <w:rsid w:val="00AC515D"/>
    <w:rsid w:val="00AC79F6"/>
    <w:rsid w:val="00AC7D17"/>
    <w:rsid w:val="00AD04A9"/>
    <w:rsid w:val="00AD04B2"/>
    <w:rsid w:val="00AD1C11"/>
    <w:rsid w:val="00AD234A"/>
    <w:rsid w:val="00AD2CDA"/>
    <w:rsid w:val="00AD3A0E"/>
    <w:rsid w:val="00AD3B91"/>
    <w:rsid w:val="00AD41FD"/>
    <w:rsid w:val="00AD4C01"/>
    <w:rsid w:val="00AD704E"/>
    <w:rsid w:val="00AE080A"/>
    <w:rsid w:val="00AE12EC"/>
    <w:rsid w:val="00AE1BE8"/>
    <w:rsid w:val="00AE1F16"/>
    <w:rsid w:val="00AE24B0"/>
    <w:rsid w:val="00AE34D3"/>
    <w:rsid w:val="00AE436F"/>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4AD6"/>
    <w:rsid w:val="00B051C0"/>
    <w:rsid w:val="00B07BB9"/>
    <w:rsid w:val="00B10483"/>
    <w:rsid w:val="00B1061E"/>
    <w:rsid w:val="00B12020"/>
    <w:rsid w:val="00B12B60"/>
    <w:rsid w:val="00B12F4B"/>
    <w:rsid w:val="00B13156"/>
    <w:rsid w:val="00B13D04"/>
    <w:rsid w:val="00B15DFA"/>
    <w:rsid w:val="00B16296"/>
    <w:rsid w:val="00B17CA7"/>
    <w:rsid w:val="00B17CEA"/>
    <w:rsid w:val="00B2043E"/>
    <w:rsid w:val="00B21EA6"/>
    <w:rsid w:val="00B22E13"/>
    <w:rsid w:val="00B23613"/>
    <w:rsid w:val="00B23B35"/>
    <w:rsid w:val="00B23E7A"/>
    <w:rsid w:val="00B2456C"/>
    <w:rsid w:val="00B24961"/>
    <w:rsid w:val="00B26E3D"/>
    <w:rsid w:val="00B2733E"/>
    <w:rsid w:val="00B276F7"/>
    <w:rsid w:val="00B32CF9"/>
    <w:rsid w:val="00B33ED2"/>
    <w:rsid w:val="00B34180"/>
    <w:rsid w:val="00B37B8A"/>
    <w:rsid w:val="00B410AF"/>
    <w:rsid w:val="00B418C2"/>
    <w:rsid w:val="00B418FD"/>
    <w:rsid w:val="00B424FA"/>
    <w:rsid w:val="00B431CA"/>
    <w:rsid w:val="00B445B5"/>
    <w:rsid w:val="00B46027"/>
    <w:rsid w:val="00B47954"/>
    <w:rsid w:val="00B5059B"/>
    <w:rsid w:val="00B51CA8"/>
    <w:rsid w:val="00B51EFC"/>
    <w:rsid w:val="00B5298C"/>
    <w:rsid w:val="00B55910"/>
    <w:rsid w:val="00B564D8"/>
    <w:rsid w:val="00B636A9"/>
    <w:rsid w:val="00B65EB6"/>
    <w:rsid w:val="00B65EFD"/>
    <w:rsid w:val="00B66304"/>
    <w:rsid w:val="00B67AF1"/>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78FF"/>
    <w:rsid w:val="00B90238"/>
    <w:rsid w:val="00B943D8"/>
    <w:rsid w:val="00B94EC0"/>
    <w:rsid w:val="00B954C0"/>
    <w:rsid w:val="00B97541"/>
    <w:rsid w:val="00BA0DBA"/>
    <w:rsid w:val="00BA295B"/>
    <w:rsid w:val="00BA2D35"/>
    <w:rsid w:val="00BA393C"/>
    <w:rsid w:val="00BA42B1"/>
    <w:rsid w:val="00BA4BF0"/>
    <w:rsid w:val="00BA7B02"/>
    <w:rsid w:val="00BB0831"/>
    <w:rsid w:val="00BB0D89"/>
    <w:rsid w:val="00BB20C2"/>
    <w:rsid w:val="00BB2F7B"/>
    <w:rsid w:val="00BB4CB6"/>
    <w:rsid w:val="00BB575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0F3"/>
    <w:rsid w:val="00BE4252"/>
    <w:rsid w:val="00BE46A7"/>
    <w:rsid w:val="00BE5F70"/>
    <w:rsid w:val="00BE7B9B"/>
    <w:rsid w:val="00BF0514"/>
    <w:rsid w:val="00BF0A06"/>
    <w:rsid w:val="00BF14DE"/>
    <w:rsid w:val="00BF1920"/>
    <w:rsid w:val="00BF201B"/>
    <w:rsid w:val="00BF2564"/>
    <w:rsid w:val="00BF2F40"/>
    <w:rsid w:val="00BF6682"/>
    <w:rsid w:val="00BF69A0"/>
    <w:rsid w:val="00BF6BD5"/>
    <w:rsid w:val="00BF74C9"/>
    <w:rsid w:val="00C00353"/>
    <w:rsid w:val="00C01B37"/>
    <w:rsid w:val="00C01BA4"/>
    <w:rsid w:val="00C02B0D"/>
    <w:rsid w:val="00C039FB"/>
    <w:rsid w:val="00C04F0D"/>
    <w:rsid w:val="00C053CD"/>
    <w:rsid w:val="00C06B18"/>
    <w:rsid w:val="00C06E23"/>
    <w:rsid w:val="00C11DF4"/>
    <w:rsid w:val="00C12B5B"/>
    <w:rsid w:val="00C133A1"/>
    <w:rsid w:val="00C1438C"/>
    <w:rsid w:val="00C147B4"/>
    <w:rsid w:val="00C147F0"/>
    <w:rsid w:val="00C14F77"/>
    <w:rsid w:val="00C160A3"/>
    <w:rsid w:val="00C1790C"/>
    <w:rsid w:val="00C2027E"/>
    <w:rsid w:val="00C219CC"/>
    <w:rsid w:val="00C21D20"/>
    <w:rsid w:val="00C24296"/>
    <w:rsid w:val="00C2460A"/>
    <w:rsid w:val="00C2551D"/>
    <w:rsid w:val="00C26326"/>
    <w:rsid w:val="00C26D26"/>
    <w:rsid w:val="00C27F02"/>
    <w:rsid w:val="00C3097C"/>
    <w:rsid w:val="00C30C8A"/>
    <w:rsid w:val="00C30CDA"/>
    <w:rsid w:val="00C315A7"/>
    <w:rsid w:val="00C3183B"/>
    <w:rsid w:val="00C3244B"/>
    <w:rsid w:val="00C35A36"/>
    <w:rsid w:val="00C36D52"/>
    <w:rsid w:val="00C37A37"/>
    <w:rsid w:val="00C40BAD"/>
    <w:rsid w:val="00C42A4E"/>
    <w:rsid w:val="00C44166"/>
    <w:rsid w:val="00C44FB5"/>
    <w:rsid w:val="00C450D4"/>
    <w:rsid w:val="00C45222"/>
    <w:rsid w:val="00C4548C"/>
    <w:rsid w:val="00C45801"/>
    <w:rsid w:val="00C46A40"/>
    <w:rsid w:val="00C46FBA"/>
    <w:rsid w:val="00C475FD"/>
    <w:rsid w:val="00C479C7"/>
    <w:rsid w:val="00C47D08"/>
    <w:rsid w:val="00C50DBA"/>
    <w:rsid w:val="00C5212E"/>
    <w:rsid w:val="00C521D8"/>
    <w:rsid w:val="00C53434"/>
    <w:rsid w:val="00C536D5"/>
    <w:rsid w:val="00C538F7"/>
    <w:rsid w:val="00C546C1"/>
    <w:rsid w:val="00C54D05"/>
    <w:rsid w:val="00C57065"/>
    <w:rsid w:val="00C574BA"/>
    <w:rsid w:val="00C57C4A"/>
    <w:rsid w:val="00C62C87"/>
    <w:rsid w:val="00C635C0"/>
    <w:rsid w:val="00C64A17"/>
    <w:rsid w:val="00C65EB8"/>
    <w:rsid w:val="00C66292"/>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C86"/>
    <w:rsid w:val="00C8489E"/>
    <w:rsid w:val="00C8498B"/>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5BA"/>
    <w:rsid w:val="00CA2C7F"/>
    <w:rsid w:val="00CA31AA"/>
    <w:rsid w:val="00CA3B82"/>
    <w:rsid w:val="00CA4211"/>
    <w:rsid w:val="00CA4C49"/>
    <w:rsid w:val="00CA585D"/>
    <w:rsid w:val="00CA7112"/>
    <w:rsid w:val="00CA74BD"/>
    <w:rsid w:val="00CB0923"/>
    <w:rsid w:val="00CB1186"/>
    <w:rsid w:val="00CB1443"/>
    <w:rsid w:val="00CB175C"/>
    <w:rsid w:val="00CB2BF5"/>
    <w:rsid w:val="00CB2CC3"/>
    <w:rsid w:val="00CB32CE"/>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919"/>
    <w:rsid w:val="00CE0613"/>
    <w:rsid w:val="00CE1231"/>
    <w:rsid w:val="00CE1F3A"/>
    <w:rsid w:val="00CE3A29"/>
    <w:rsid w:val="00CE74FD"/>
    <w:rsid w:val="00CE792B"/>
    <w:rsid w:val="00CE7E1D"/>
    <w:rsid w:val="00CF02DB"/>
    <w:rsid w:val="00CF079B"/>
    <w:rsid w:val="00CF1D35"/>
    <w:rsid w:val="00CF6A55"/>
    <w:rsid w:val="00CF7E2E"/>
    <w:rsid w:val="00D00BB2"/>
    <w:rsid w:val="00D0107F"/>
    <w:rsid w:val="00D016C8"/>
    <w:rsid w:val="00D01C73"/>
    <w:rsid w:val="00D020C1"/>
    <w:rsid w:val="00D04B87"/>
    <w:rsid w:val="00D0698F"/>
    <w:rsid w:val="00D12FCB"/>
    <w:rsid w:val="00D13B13"/>
    <w:rsid w:val="00D13DD3"/>
    <w:rsid w:val="00D143D7"/>
    <w:rsid w:val="00D16257"/>
    <w:rsid w:val="00D167BB"/>
    <w:rsid w:val="00D16B63"/>
    <w:rsid w:val="00D17A09"/>
    <w:rsid w:val="00D20DDB"/>
    <w:rsid w:val="00D213D4"/>
    <w:rsid w:val="00D232A6"/>
    <w:rsid w:val="00D2488B"/>
    <w:rsid w:val="00D24E56"/>
    <w:rsid w:val="00D26358"/>
    <w:rsid w:val="00D278B5"/>
    <w:rsid w:val="00D27C94"/>
    <w:rsid w:val="00D31855"/>
    <w:rsid w:val="00D31BCF"/>
    <w:rsid w:val="00D3323E"/>
    <w:rsid w:val="00D333DF"/>
    <w:rsid w:val="00D341C4"/>
    <w:rsid w:val="00D361E1"/>
    <w:rsid w:val="00D37B5C"/>
    <w:rsid w:val="00D37BBD"/>
    <w:rsid w:val="00D40474"/>
    <w:rsid w:val="00D41340"/>
    <w:rsid w:val="00D413F7"/>
    <w:rsid w:val="00D4155B"/>
    <w:rsid w:val="00D4194B"/>
    <w:rsid w:val="00D45063"/>
    <w:rsid w:val="00D475C8"/>
    <w:rsid w:val="00D56ED1"/>
    <w:rsid w:val="00D6024D"/>
    <w:rsid w:val="00D61327"/>
    <w:rsid w:val="00D6181B"/>
    <w:rsid w:val="00D63329"/>
    <w:rsid w:val="00D63A1D"/>
    <w:rsid w:val="00D64838"/>
    <w:rsid w:val="00D652F6"/>
    <w:rsid w:val="00D65414"/>
    <w:rsid w:val="00D666E2"/>
    <w:rsid w:val="00D706C7"/>
    <w:rsid w:val="00D70AEC"/>
    <w:rsid w:val="00D72AE4"/>
    <w:rsid w:val="00D74220"/>
    <w:rsid w:val="00D742A4"/>
    <w:rsid w:val="00D744E8"/>
    <w:rsid w:val="00D75405"/>
    <w:rsid w:val="00D76D98"/>
    <w:rsid w:val="00D77EAF"/>
    <w:rsid w:val="00D8081A"/>
    <w:rsid w:val="00D80A14"/>
    <w:rsid w:val="00D80AAF"/>
    <w:rsid w:val="00D81229"/>
    <w:rsid w:val="00D83FC8"/>
    <w:rsid w:val="00D84386"/>
    <w:rsid w:val="00D848AB"/>
    <w:rsid w:val="00D91860"/>
    <w:rsid w:val="00D934F8"/>
    <w:rsid w:val="00D93E4C"/>
    <w:rsid w:val="00D946F8"/>
    <w:rsid w:val="00D94FB0"/>
    <w:rsid w:val="00D95887"/>
    <w:rsid w:val="00D9590C"/>
    <w:rsid w:val="00D96D1C"/>
    <w:rsid w:val="00D97225"/>
    <w:rsid w:val="00DA06CC"/>
    <w:rsid w:val="00DA243B"/>
    <w:rsid w:val="00DA2597"/>
    <w:rsid w:val="00DA298D"/>
    <w:rsid w:val="00DA60CC"/>
    <w:rsid w:val="00DA6BFB"/>
    <w:rsid w:val="00DA7766"/>
    <w:rsid w:val="00DA7F2B"/>
    <w:rsid w:val="00DB0574"/>
    <w:rsid w:val="00DB254D"/>
    <w:rsid w:val="00DB268C"/>
    <w:rsid w:val="00DB3B68"/>
    <w:rsid w:val="00DB4590"/>
    <w:rsid w:val="00DB4DFD"/>
    <w:rsid w:val="00DB50C7"/>
    <w:rsid w:val="00DB6A20"/>
    <w:rsid w:val="00DC0303"/>
    <w:rsid w:val="00DC0EB7"/>
    <w:rsid w:val="00DC15FF"/>
    <w:rsid w:val="00DC1F18"/>
    <w:rsid w:val="00DC1F8D"/>
    <w:rsid w:val="00DC33FA"/>
    <w:rsid w:val="00DC4642"/>
    <w:rsid w:val="00DC4F01"/>
    <w:rsid w:val="00DC600C"/>
    <w:rsid w:val="00DC6642"/>
    <w:rsid w:val="00DC6AED"/>
    <w:rsid w:val="00DD0251"/>
    <w:rsid w:val="00DD0717"/>
    <w:rsid w:val="00DD1379"/>
    <w:rsid w:val="00DD19E1"/>
    <w:rsid w:val="00DD1D0C"/>
    <w:rsid w:val="00DD1D99"/>
    <w:rsid w:val="00DD1E33"/>
    <w:rsid w:val="00DD3BC4"/>
    <w:rsid w:val="00DD40DB"/>
    <w:rsid w:val="00DD606F"/>
    <w:rsid w:val="00DE33C8"/>
    <w:rsid w:val="00DE47C5"/>
    <w:rsid w:val="00DE4D3C"/>
    <w:rsid w:val="00DE63A4"/>
    <w:rsid w:val="00DE6BA7"/>
    <w:rsid w:val="00DE71C2"/>
    <w:rsid w:val="00DE7334"/>
    <w:rsid w:val="00DE7EB8"/>
    <w:rsid w:val="00DF020E"/>
    <w:rsid w:val="00DF132C"/>
    <w:rsid w:val="00DF4519"/>
    <w:rsid w:val="00DF5528"/>
    <w:rsid w:val="00DF58D2"/>
    <w:rsid w:val="00DF747E"/>
    <w:rsid w:val="00E003CD"/>
    <w:rsid w:val="00E02E91"/>
    <w:rsid w:val="00E03679"/>
    <w:rsid w:val="00E0397E"/>
    <w:rsid w:val="00E03BED"/>
    <w:rsid w:val="00E044D8"/>
    <w:rsid w:val="00E04DC5"/>
    <w:rsid w:val="00E05578"/>
    <w:rsid w:val="00E07502"/>
    <w:rsid w:val="00E10C80"/>
    <w:rsid w:val="00E1337E"/>
    <w:rsid w:val="00E135F1"/>
    <w:rsid w:val="00E141A0"/>
    <w:rsid w:val="00E147A2"/>
    <w:rsid w:val="00E15C29"/>
    <w:rsid w:val="00E15DB3"/>
    <w:rsid w:val="00E163BE"/>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4477"/>
    <w:rsid w:val="00E35009"/>
    <w:rsid w:val="00E350AA"/>
    <w:rsid w:val="00E36CCF"/>
    <w:rsid w:val="00E4092E"/>
    <w:rsid w:val="00E41F8A"/>
    <w:rsid w:val="00E423F4"/>
    <w:rsid w:val="00E42490"/>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2F8"/>
    <w:rsid w:val="00E7163A"/>
    <w:rsid w:val="00E723C8"/>
    <w:rsid w:val="00E75041"/>
    <w:rsid w:val="00E75710"/>
    <w:rsid w:val="00E75A6E"/>
    <w:rsid w:val="00E770D6"/>
    <w:rsid w:val="00E773DF"/>
    <w:rsid w:val="00E77788"/>
    <w:rsid w:val="00E85DF1"/>
    <w:rsid w:val="00E86124"/>
    <w:rsid w:val="00E8622E"/>
    <w:rsid w:val="00E866FF"/>
    <w:rsid w:val="00E867BD"/>
    <w:rsid w:val="00E869C3"/>
    <w:rsid w:val="00E9054A"/>
    <w:rsid w:val="00E91025"/>
    <w:rsid w:val="00E91CF3"/>
    <w:rsid w:val="00E9450C"/>
    <w:rsid w:val="00E9591E"/>
    <w:rsid w:val="00E96DDA"/>
    <w:rsid w:val="00E97815"/>
    <w:rsid w:val="00EA2581"/>
    <w:rsid w:val="00EA4A24"/>
    <w:rsid w:val="00EA564A"/>
    <w:rsid w:val="00EB0273"/>
    <w:rsid w:val="00EB1647"/>
    <w:rsid w:val="00EB1EDE"/>
    <w:rsid w:val="00EB2C3E"/>
    <w:rsid w:val="00EB474B"/>
    <w:rsid w:val="00EB49DE"/>
    <w:rsid w:val="00EB5A13"/>
    <w:rsid w:val="00EB7E8B"/>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3679"/>
    <w:rsid w:val="00EF47FF"/>
    <w:rsid w:val="00EF73AB"/>
    <w:rsid w:val="00EF74E2"/>
    <w:rsid w:val="00F01092"/>
    <w:rsid w:val="00F028A0"/>
    <w:rsid w:val="00F02BC8"/>
    <w:rsid w:val="00F051CE"/>
    <w:rsid w:val="00F06444"/>
    <w:rsid w:val="00F06C8C"/>
    <w:rsid w:val="00F101E6"/>
    <w:rsid w:val="00F11E32"/>
    <w:rsid w:val="00F14ED2"/>
    <w:rsid w:val="00F20B79"/>
    <w:rsid w:val="00F20BE0"/>
    <w:rsid w:val="00F230D6"/>
    <w:rsid w:val="00F236B7"/>
    <w:rsid w:val="00F26423"/>
    <w:rsid w:val="00F275EE"/>
    <w:rsid w:val="00F27CFB"/>
    <w:rsid w:val="00F301F8"/>
    <w:rsid w:val="00F31CDD"/>
    <w:rsid w:val="00F32E77"/>
    <w:rsid w:val="00F35D5C"/>
    <w:rsid w:val="00F3709D"/>
    <w:rsid w:val="00F3763B"/>
    <w:rsid w:val="00F420E4"/>
    <w:rsid w:val="00F42734"/>
    <w:rsid w:val="00F44ED5"/>
    <w:rsid w:val="00F45EB3"/>
    <w:rsid w:val="00F466F4"/>
    <w:rsid w:val="00F50181"/>
    <w:rsid w:val="00F51AD7"/>
    <w:rsid w:val="00F51C8A"/>
    <w:rsid w:val="00F53584"/>
    <w:rsid w:val="00F53C4A"/>
    <w:rsid w:val="00F540CB"/>
    <w:rsid w:val="00F54215"/>
    <w:rsid w:val="00F54770"/>
    <w:rsid w:val="00F55BD7"/>
    <w:rsid w:val="00F56EBC"/>
    <w:rsid w:val="00F57996"/>
    <w:rsid w:val="00F57E55"/>
    <w:rsid w:val="00F604AA"/>
    <w:rsid w:val="00F60C80"/>
    <w:rsid w:val="00F628E5"/>
    <w:rsid w:val="00F62D63"/>
    <w:rsid w:val="00F65642"/>
    <w:rsid w:val="00F6619B"/>
    <w:rsid w:val="00F66401"/>
    <w:rsid w:val="00F731E8"/>
    <w:rsid w:val="00F768EB"/>
    <w:rsid w:val="00F77845"/>
    <w:rsid w:val="00F8004A"/>
    <w:rsid w:val="00F80769"/>
    <w:rsid w:val="00F80B33"/>
    <w:rsid w:val="00F814D2"/>
    <w:rsid w:val="00F82E21"/>
    <w:rsid w:val="00F8340D"/>
    <w:rsid w:val="00F835BA"/>
    <w:rsid w:val="00F846C3"/>
    <w:rsid w:val="00F85B55"/>
    <w:rsid w:val="00F864A5"/>
    <w:rsid w:val="00F8749A"/>
    <w:rsid w:val="00F90F69"/>
    <w:rsid w:val="00F9153D"/>
    <w:rsid w:val="00F91E5C"/>
    <w:rsid w:val="00F92AB0"/>
    <w:rsid w:val="00F92B05"/>
    <w:rsid w:val="00F92FA0"/>
    <w:rsid w:val="00F94922"/>
    <w:rsid w:val="00F964B6"/>
    <w:rsid w:val="00F968C9"/>
    <w:rsid w:val="00F96A53"/>
    <w:rsid w:val="00F97CCD"/>
    <w:rsid w:val="00FA01D2"/>
    <w:rsid w:val="00FA0844"/>
    <w:rsid w:val="00FA09E1"/>
    <w:rsid w:val="00FA594E"/>
    <w:rsid w:val="00FA71BF"/>
    <w:rsid w:val="00FA7679"/>
    <w:rsid w:val="00FB1514"/>
    <w:rsid w:val="00FB2A39"/>
    <w:rsid w:val="00FB4D01"/>
    <w:rsid w:val="00FB500C"/>
    <w:rsid w:val="00FB574A"/>
    <w:rsid w:val="00FB66FD"/>
    <w:rsid w:val="00FB684A"/>
    <w:rsid w:val="00FC09F4"/>
    <w:rsid w:val="00FC2233"/>
    <w:rsid w:val="00FC3DA6"/>
    <w:rsid w:val="00FC5A10"/>
    <w:rsid w:val="00FC69EC"/>
    <w:rsid w:val="00FC71FB"/>
    <w:rsid w:val="00FC7EFC"/>
    <w:rsid w:val="00FD0E98"/>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7C8"/>
    <w:rsid w:val="00FF18E0"/>
    <w:rsid w:val="00FF24AF"/>
    <w:rsid w:val="00FF48A1"/>
    <w:rsid w:val="00FF57BC"/>
    <w:rsid w:val="00FF5DA0"/>
    <w:rsid w:val="00FF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A58EBB"/>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F3D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EB7E8B"/>
  </w:style>
  <w:style w:type="character" w:customStyle="1" w:styleId="apple-converted-space">
    <w:name w:val="apple-converted-space"/>
    <w:basedOn w:val="DefaultParagraphFont"/>
    <w:rsid w:val="00A17F55"/>
  </w:style>
  <w:style w:type="character" w:customStyle="1" w:styleId="Heading1Char">
    <w:name w:val="Heading 1 Char"/>
    <w:basedOn w:val="DefaultParagraphFont"/>
    <w:link w:val="Heading1"/>
    <w:uiPriority w:val="9"/>
    <w:rsid w:val="004F3D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F3DC1"/>
    <w:pPr>
      <w:spacing w:line="259" w:lineRule="auto"/>
      <w:outlineLvl w:val="9"/>
    </w:pPr>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sChild>
        <w:div w:id="503401090">
          <w:marLeft w:val="0"/>
          <w:marRight w:val="0"/>
          <w:marTop w:val="0"/>
          <w:marBottom w:val="0"/>
          <w:divBdr>
            <w:top w:val="none" w:sz="0" w:space="0" w:color="auto"/>
            <w:left w:val="none" w:sz="0" w:space="0" w:color="auto"/>
            <w:bottom w:val="none" w:sz="0" w:space="0" w:color="auto"/>
            <w:right w:val="none" w:sz="0" w:space="0" w:color="auto"/>
          </w:divBdr>
          <w:divsChild>
            <w:div w:id="875388932">
              <w:marLeft w:val="0"/>
              <w:marRight w:val="0"/>
              <w:marTop w:val="0"/>
              <w:marBottom w:val="0"/>
              <w:divBdr>
                <w:top w:val="none" w:sz="0" w:space="0" w:color="auto"/>
                <w:left w:val="none" w:sz="0" w:space="0" w:color="auto"/>
                <w:bottom w:val="none" w:sz="0" w:space="0" w:color="auto"/>
                <w:right w:val="none" w:sz="0" w:space="0" w:color="auto"/>
              </w:divBdr>
              <w:divsChild>
                <w:div w:id="111705792">
                  <w:marLeft w:val="0"/>
                  <w:marRight w:val="0"/>
                  <w:marTop w:val="0"/>
                  <w:marBottom w:val="0"/>
                  <w:divBdr>
                    <w:top w:val="none" w:sz="0" w:space="0" w:color="auto"/>
                    <w:left w:val="none" w:sz="0" w:space="0" w:color="auto"/>
                    <w:bottom w:val="none" w:sz="0" w:space="0" w:color="auto"/>
                    <w:right w:val="none" w:sz="0" w:space="0" w:color="auto"/>
                  </w:divBdr>
                  <w:divsChild>
                    <w:div w:id="2049718630">
                      <w:marLeft w:val="0"/>
                      <w:marRight w:val="0"/>
                      <w:marTop w:val="0"/>
                      <w:marBottom w:val="0"/>
                      <w:divBdr>
                        <w:top w:val="none" w:sz="0" w:space="0" w:color="auto"/>
                        <w:left w:val="none" w:sz="0" w:space="0" w:color="auto"/>
                        <w:bottom w:val="none" w:sz="0" w:space="0" w:color="auto"/>
                        <w:right w:val="none" w:sz="0" w:space="0" w:color="auto"/>
                      </w:divBdr>
                      <w:divsChild>
                        <w:div w:id="390809028">
                          <w:marLeft w:val="0"/>
                          <w:marRight w:val="0"/>
                          <w:marTop w:val="0"/>
                          <w:marBottom w:val="0"/>
                          <w:divBdr>
                            <w:top w:val="none" w:sz="0" w:space="0" w:color="auto"/>
                            <w:left w:val="none" w:sz="0" w:space="0" w:color="auto"/>
                            <w:bottom w:val="none" w:sz="0" w:space="0" w:color="auto"/>
                            <w:right w:val="none" w:sz="0" w:space="0" w:color="auto"/>
                          </w:divBdr>
                          <w:divsChild>
                            <w:div w:id="57154769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29200436">
      <w:bodyDiv w:val="1"/>
      <w:marLeft w:val="0"/>
      <w:marRight w:val="0"/>
      <w:marTop w:val="0"/>
      <w:marBottom w:val="0"/>
      <w:divBdr>
        <w:top w:val="none" w:sz="0" w:space="0" w:color="auto"/>
        <w:left w:val="none" w:sz="0" w:space="0" w:color="auto"/>
        <w:bottom w:val="none" w:sz="0" w:space="0" w:color="auto"/>
        <w:right w:val="none" w:sz="0" w:space="0" w:color="auto"/>
      </w:divBdr>
    </w:div>
    <w:div w:id="935792348">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1452102">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OOpartnerships.org/impa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7BD399-944D-4784-B350-70050D52E19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A4C498A9-E3DC-423D-B9EF-97C5C4AA112C}">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3DE28CF8-6248-44B5-BB63-E99C87975347}" type="parTrans" cxnId="{9AED5A48-EF05-47E6-AA44-7C5583B5B06F}">
      <dgm:prSet/>
      <dgm:spPr/>
      <dgm:t>
        <a:bodyPr/>
        <a:lstStyle/>
        <a:p>
          <a:endParaRPr lang="en-US"/>
        </a:p>
      </dgm:t>
    </dgm:pt>
    <dgm:pt modelId="{3E8C7575-87A2-4621-8451-84FE0CCA8285}" type="sibTrans" cxnId="{9AED5A48-EF05-47E6-AA44-7C5583B5B06F}">
      <dgm:prSet/>
      <dgm:spPr/>
      <dgm:t>
        <a:bodyPr/>
        <a:lstStyle/>
        <a:p>
          <a:endParaRPr lang="en-US"/>
        </a:p>
      </dgm:t>
    </dgm:pt>
    <dgm:pt modelId="{589617F0-E656-4844-B266-5CFCA8AFFFF5}">
      <dgm:prSet phldrT="[Text]"/>
      <dgm:spPr>
        <a:xfrm>
          <a:off x="3174147" y="142336"/>
          <a:ext cx="1973254" cy="1107817"/>
        </a:xfr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Will lead to increased capacity for more equitable policies, systems, and community conditions</a:t>
          </a:r>
        </a:p>
      </dgm:t>
    </dgm:pt>
    <dgm:pt modelId="{13FA7F4A-47C7-4DAC-8954-9F93AEE79842}" type="parTrans" cxnId="{2D4CA9B0-3307-4597-8B7B-727656A30AC1}">
      <dgm:prSet/>
      <dgm:spPr/>
      <dgm:t>
        <a:bodyPr/>
        <a:lstStyle/>
        <a:p>
          <a:endParaRPr lang="en-US"/>
        </a:p>
      </dgm:t>
    </dgm:pt>
    <dgm:pt modelId="{5ABFA2A4-8273-4446-B82F-4F325DA2A6E8}" type="sibTrans" cxnId="{2D4CA9B0-3307-4597-8B7B-727656A30AC1}">
      <dgm:prSet/>
      <dgm:spPr>
        <a:xfrm>
          <a:off x="5446540" y="265967"/>
          <a:ext cx="634173" cy="49128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F76A5618-7AA6-4296-8A4D-6FB1C6203580}">
      <dgm:prSet phldrT="[Tex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Mobilization and engagement of residents </a:t>
          </a:r>
        </a:p>
      </dgm:t>
    </dgm:pt>
    <dgm:pt modelId="{31B1A0F9-94D1-4D5D-8F74-625370018B97}" type="parTrans" cxnId="{9C5B04D6-7E9F-4AD5-913C-DA2DC83C39F8}">
      <dgm:prSet/>
      <dgm:spPr/>
      <dgm:t>
        <a:bodyPr/>
        <a:lstStyle/>
        <a:p>
          <a:endParaRPr lang="en-US"/>
        </a:p>
      </dgm:t>
    </dgm:pt>
    <dgm:pt modelId="{E6B91752-2432-4F53-A9CF-3F995DDFF3FD}" type="sibTrans" cxnId="{9C5B04D6-7E9F-4AD5-913C-DA2DC83C39F8}">
      <dgm:prSet/>
      <dgm:spPr/>
      <dgm:t>
        <a:bodyPr/>
        <a:lstStyle/>
        <a:p>
          <a:endParaRPr lang="en-US"/>
        </a:p>
      </dgm:t>
    </dgm:pt>
    <dgm:pt modelId="{C1771785-362D-463B-9961-E5A3BC83DE3A}">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healthy </a:t>
          </a:r>
        </a:p>
      </dgm:t>
    </dgm:pt>
    <dgm:pt modelId="{7A80D61A-C3AA-4520-B326-7AEDB7721893}" type="sibTrans" cxnId="{EB579079-B8FE-4D3E-929D-091F3E3D77C5}">
      <dgm:prSet/>
      <dgm:spPr/>
      <dgm:t>
        <a:bodyPr/>
        <a:lstStyle/>
        <a:p>
          <a:endParaRPr lang="en-US"/>
        </a:p>
      </dgm:t>
    </dgm:pt>
    <dgm:pt modelId="{D53C22A7-C1FD-4B7F-A719-50BFEBC8C01D}" type="parTrans" cxnId="{EB579079-B8FE-4D3E-929D-091F3E3D77C5}">
      <dgm:prSet/>
      <dgm:spPr/>
      <dgm:t>
        <a:bodyPr/>
        <a:lstStyle/>
        <a:p>
          <a:endParaRPr lang="en-US"/>
        </a:p>
      </dgm:t>
    </dgm:pt>
    <dgm:pt modelId="{37CF4617-1DB4-4943-BFFF-4E5C7E0E783D}">
      <dgm:prSet phldrT="[Text]"/>
      <dgm:spPr>
        <a:xfrm>
          <a:off x="6343955" y="142336"/>
          <a:ext cx="1973254" cy="1107817"/>
        </a:xfrm>
        <a:solidFill>
          <a:srgbClr val="7030A0"/>
        </a:solidFill>
        <a:ln w="12700" cap="flat" cmpd="sng" algn="ctr">
          <a:solidFill>
            <a:srgbClr val="7030A0"/>
          </a:solidFill>
          <a:prstDash val="solid"/>
          <a:miter lim="800000"/>
        </a:ln>
        <a:effectLst/>
      </dgm:spPr>
      <dgm:t>
        <a:bodyPr/>
        <a:lstStyle/>
        <a:p>
          <a:r>
            <a:rPr lang="en-US">
              <a:solidFill>
                <a:sysClr val="window" lastClr="FFFFFF"/>
              </a:solidFill>
              <a:latin typeface="Calibri" panose="020F0502020204030204"/>
              <a:ea typeface="+mn-ea"/>
              <a:cs typeface="+mn-cs"/>
            </a:rPr>
            <a:t>And strengthen community connections and increase housing, health, and economic equity in King County </a:t>
          </a:r>
        </a:p>
      </dgm:t>
    </dgm:pt>
    <dgm:pt modelId="{C9BD6358-062C-4D02-A36F-7FFC76B6BFFF}" type="sibTrans" cxnId="{3F66BDC4-1797-487C-9487-C9B8C3C8A04F}">
      <dgm:prSet/>
      <dgm:spPr/>
      <dgm:t>
        <a:bodyPr/>
        <a:lstStyle/>
        <a:p>
          <a:endParaRPr lang="en-US"/>
        </a:p>
      </dgm:t>
    </dgm:pt>
    <dgm:pt modelId="{D81423CB-6CC5-4AC7-A484-205062244F89}" type="parTrans" cxnId="{3F66BDC4-1797-487C-9487-C9B8C3C8A04F}">
      <dgm:prSet/>
      <dgm:spPr/>
      <dgm:t>
        <a:bodyPr/>
        <a:lstStyle/>
        <a:p>
          <a:endParaRPr lang="en-US"/>
        </a:p>
      </dgm:t>
    </dgm:pt>
    <dgm:pt modelId="{12A8266C-939D-4D68-80EC-59F04FC4FA3D}">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Systems and Policy Change</a:t>
          </a:r>
        </a:p>
      </dgm:t>
    </dgm:pt>
    <dgm:pt modelId="{86B879FC-847E-4092-BA28-541572DBEA6F}" type="parTrans" cxnId="{7006ECBD-4899-4107-B0B3-D171CCCC3468}">
      <dgm:prSet/>
      <dgm:spPr/>
      <dgm:t>
        <a:bodyPr/>
        <a:lstStyle/>
        <a:p>
          <a:endParaRPr lang="en-US"/>
        </a:p>
      </dgm:t>
    </dgm:pt>
    <dgm:pt modelId="{353AC6AB-312C-4AA7-A0CE-FC2993647D26}" type="sibTrans" cxnId="{7006ECBD-4899-4107-B0B3-D171CCCC3468}">
      <dgm:prSet/>
      <dgm:spPr/>
      <dgm:t>
        <a:bodyPr/>
        <a:lstStyle/>
        <a:p>
          <a:endParaRPr lang="en-US"/>
        </a:p>
      </dgm:t>
    </dgm:pt>
    <dgm:pt modelId="{3BBCDF33-AF23-421B-91F6-9A1A1F032691}">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Learning Community: Catalysts, Technical Assistance, and Capacity Building</a:t>
          </a:r>
        </a:p>
      </dgm:t>
    </dgm:pt>
    <dgm:pt modelId="{8DB953F0-AC73-4D69-AF11-AE02567D01BD}" type="parTrans" cxnId="{EB517BF4-2CFF-4D7C-9A22-8E7FF991B050}">
      <dgm:prSet/>
      <dgm:spPr/>
      <dgm:t>
        <a:bodyPr/>
        <a:lstStyle/>
        <a:p>
          <a:endParaRPr lang="en-US"/>
        </a:p>
      </dgm:t>
    </dgm:pt>
    <dgm:pt modelId="{A40EFBB2-8F44-4B69-8F07-DF80550F8F2E}" type="sibTrans" cxnId="{EB517BF4-2CFF-4D7C-9A22-8E7FF991B050}">
      <dgm:prSet/>
      <dgm:spPr/>
      <dgm:t>
        <a:bodyPr/>
        <a:lstStyle/>
        <a:p>
          <a:endParaRPr lang="en-US"/>
        </a:p>
      </dgm:t>
    </dgm:pt>
    <dgm:pt modelId="{AF8428A2-BD28-4555-A3F9-3C5AD2BEC05E}">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Increase in knowledge and skills</a:t>
          </a:r>
        </a:p>
      </dgm:t>
    </dgm:pt>
    <dgm:pt modelId="{408604DF-EDB9-41AD-A380-31A4E350AA35}" type="parTrans" cxnId="{CE76DD30-F92E-44B6-99D1-47C8B2A31D67}">
      <dgm:prSet/>
      <dgm:spPr/>
      <dgm:t>
        <a:bodyPr/>
        <a:lstStyle/>
        <a:p>
          <a:endParaRPr lang="en-US"/>
        </a:p>
      </dgm:t>
    </dgm:pt>
    <dgm:pt modelId="{DE522501-6A27-47EA-838E-E10CDBB46FAF}" type="sibTrans" cxnId="{CE76DD30-F92E-44B6-99D1-47C8B2A31D67}">
      <dgm:prSet/>
      <dgm:spPr/>
      <dgm:t>
        <a:bodyPr/>
        <a:lstStyle/>
        <a:p>
          <a:endParaRPr lang="en-US"/>
        </a:p>
      </dgm:t>
    </dgm:pt>
    <dgm:pt modelId="{F1B4AB6C-BB6D-4FA5-A64F-9B5FBA94FD30}">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Strengthened relationships</a:t>
          </a:r>
        </a:p>
      </dgm:t>
    </dgm:pt>
    <dgm:pt modelId="{4BAB1E55-0E17-4294-BA56-8D7863AB542C}" type="parTrans" cxnId="{F1011430-5D9C-4934-BBFC-9246C58D600F}">
      <dgm:prSet/>
      <dgm:spPr/>
      <dgm:t>
        <a:bodyPr/>
        <a:lstStyle/>
        <a:p>
          <a:endParaRPr lang="en-US"/>
        </a:p>
      </dgm:t>
    </dgm:pt>
    <dgm:pt modelId="{16797BFF-13C9-4EF2-85C5-E2E0A7DCE4F2}" type="sibTrans" cxnId="{F1011430-5D9C-4934-BBFC-9246C58D600F}">
      <dgm:prSet/>
      <dgm:spPr/>
      <dgm:t>
        <a:bodyPr/>
        <a:lstStyle/>
        <a:p>
          <a:endParaRPr lang="en-US"/>
        </a:p>
      </dgm:t>
    </dgm:pt>
    <dgm:pt modelId="{86BDC321-5A2D-4615-8AA2-46FEA0C96280}">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Commitments of new funding/partners</a:t>
          </a:r>
        </a:p>
      </dgm:t>
    </dgm:pt>
    <dgm:pt modelId="{015E8BC4-63EE-4570-A1AA-8988D4AD6BD8}" type="parTrans" cxnId="{F611B52E-49E8-434A-AEFD-E93E7EC58BE7}">
      <dgm:prSet/>
      <dgm:spPr/>
      <dgm:t>
        <a:bodyPr/>
        <a:lstStyle/>
        <a:p>
          <a:endParaRPr lang="en-US"/>
        </a:p>
      </dgm:t>
    </dgm:pt>
    <dgm:pt modelId="{E9699C2D-7E5F-4097-A179-85F9A6ADCE6C}" type="sibTrans" cxnId="{F611B52E-49E8-434A-AEFD-E93E7EC58BE7}">
      <dgm:prSet/>
      <dgm:spPr/>
      <dgm:t>
        <a:bodyPr/>
        <a:lstStyle/>
        <a:p>
          <a:endParaRPr lang="en-US"/>
        </a:p>
      </dgm:t>
    </dgm:pt>
    <dgm:pt modelId="{C5951A71-9115-4480-91CB-5F4970A91FF3}">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Development of shared policy agenda</a:t>
          </a:r>
        </a:p>
      </dgm:t>
    </dgm:pt>
    <dgm:pt modelId="{2615EC56-BBDB-462E-B461-AF2CB0839767}" type="parTrans" cxnId="{59F82563-BC96-4481-A797-F464C7A4FA31}">
      <dgm:prSet/>
      <dgm:spPr/>
      <dgm:t>
        <a:bodyPr/>
        <a:lstStyle/>
        <a:p>
          <a:endParaRPr lang="en-US"/>
        </a:p>
      </dgm:t>
    </dgm:pt>
    <dgm:pt modelId="{615A46DF-6F0C-4C75-ADB7-426447496091}" type="sibTrans" cxnId="{59F82563-BC96-4481-A797-F464C7A4FA31}">
      <dgm:prSet/>
      <dgm:spPr/>
      <dgm:t>
        <a:bodyPr/>
        <a:lstStyle/>
        <a:p>
          <a:endParaRPr lang="en-US"/>
        </a:p>
      </dgm:t>
    </dgm:pt>
    <dgm:pt modelId="{C7D07EFD-A423-4C60-B458-CE91D4F5FB31}">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More equitable policies and systems reaching residents</a:t>
          </a:r>
        </a:p>
      </dgm:t>
    </dgm:pt>
    <dgm:pt modelId="{127D29AA-C6CB-4728-8705-E3F06F2F9CCF}" type="parTrans" cxnId="{8143165B-7F99-4A88-A600-B0CCFD1E0EBC}">
      <dgm:prSet/>
      <dgm:spPr/>
      <dgm:t>
        <a:bodyPr/>
        <a:lstStyle/>
        <a:p>
          <a:endParaRPr lang="en-US"/>
        </a:p>
      </dgm:t>
    </dgm:pt>
    <dgm:pt modelId="{1E332A12-F694-4A59-AD90-2A54976D79B3}" type="sibTrans" cxnId="{8143165B-7F99-4A88-A600-B0CCFD1E0EBC}">
      <dgm:prSet/>
      <dgm:spPr/>
      <dgm:t>
        <a:bodyPr/>
        <a:lstStyle/>
        <a:p>
          <a:endParaRPr lang="en-US"/>
        </a:p>
      </dgm:t>
    </dgm:pt>
    <dgm:pt modelId="{531F2146-0C57-4B8E-9362-919340AF1C26}">
      <dgm:prSet/>
      <dgm:spPr>
        <a:xfrm>
          <a:off x="3578308" y="880881"/>
          <a:ext cx="1973254" cy="2426737"/>
        </a:xfrm>
        <a:solidFill>
          <a:sysClr val="window" lastClr="FFFFFF">
            <a:alpha val="90000"/>
            <a:hueOff val="0"/>
            <a:satOff val="0"/>
            <a:lumOff val="0"/>
            <a:alphaOff val="0"/>
          </a:sysClr>
        </a:solidFill>
        <a:ln w="12700" cap="flat" cmpd="sng" algn="ctr">
          <a:solidFill>
            <a:srgbClr val="70AD47"/>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More equitable types of capital investments </a:t>
          </a:r>
        </a:p>
      </dgm:t>
    </dgm:pt>
    <dgm:pt modelId="{CD5056E8-68FA-4836-8A85-262C16FD1EC8}" type="parTrans" cxnId="{99FE6A59-6216-4A50-BA97-311105F33F4C}">
      <dgm:prSet/>
      <dgm:spPr/>
      <dgm:t>
        <a:bodyPr/>
        <a:lstStyle/>
        <a:p>
          <a:endParaRPr lang="en-US"/>
        </a:p>
      </dgm:t>
    </dgm:pt>
    <dgm:pt modelId="{8937E66E-9C41-414C-A908-254CB3CF2B8F}" type="sibTrans" cxnId="{99FE6A59-6216-4A50-BA97-311105F33F4C}">
      <dgm:prSet/>
      <dgm:spPr/>
      <dgm:t>
        <a:bodyPr/>
        <a:lstStyle/>
        <a:p>
          <a:endParaRPr lang="en-US"/>
        </a:p>
      </dgm:t>
    </dgm:pt>
    <dgm:pt modelId="{B7C8AA8C-D5E1-4C5A-883C-76233740F0D9}">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have access to safe and affordable housing</a:t>
          </a:r>
        </a:p>
      </dgm:t>
    </dgm:pt>
    <dgm:pt modelId="{F64BB05A-BC74-457E-89AE-430641791900}" type="parTrans" cxnId="{37A7251E-D8EC-4386-BBBD-180EB3CC832A}">
      <dgm:prSet/>
      <dgm:spPr/>
      <dgm:t>
        <a:bodyPr/>
        <a:lstStyle/>
        <a:p>
          <a:endParaRPr lang="en-US"/>
        </a:p>
      </dgm:t>
    </dgm:pt>
    <dgm:pt modelId="{379CFE24-C6C2-444F-AAAE-32060ADE33B9}" type="sibTrans" cxnId="{37A7251E-D8EC-4386-BBBD-180EB3CC832A}">
      <dgm:prSet/>
      <dgm:spPr/>
      <dgm:t>
        <a:bodyPr/>
        <a:lstStyle/>
        <a:p>
          <a:endParaRPr lang="en-US"/>
        </a:p>
      </dgm:t>
    </dgm:pt>
    <dgm:pt modelId="{9E223B36-9970-4961-8AE1-F1ABA491B17F}">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thriving economically</a:t>
          </a:r>
        </a:p>
      </dgm:t>
    </dgm:pt>
    <dgm:pt modelId="{178CAFF2-B83C-4263-B805-D7E82BBFF36E}" type="parTrans" cxnId="{1B16DB67-570D-471D-A330-B79C78C295A8}">
      <dgm:prSet/>
      <dgm:spPr/>
      <dgm:t>
        <a:bodyPr/>
        <a:lstStyle/>
        <a:p>
          <a:endParaRPr lang="en-US"/>
        </a:p>
      </dgm:t>
    </dgm:pt>
    <dgm:pt modelId="{EED6AEEF-4C6F-4559-8385-094945689765}" type="sibTrans" cxnId="{1B16DB67-570D-471D-A330-B79C78C295A8}">
      <dgm:prSet/>
      <dgm:spPr/>
      <dgm:t>
        <a:bodyPr/>
        <a:lstStyle/>
        <a:p>
          <a:endParaRPr lang="en-US"/>
        </a:p>
      </dgm:t>
    </dgm:pt>
    <dgm:pt modelId="{7EAADB5C-8B99-4143-BAD6-DB24D0407A0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All people are connected to community</a:t>
          </a:r>
        </a:p>
      </dgm:t>
    </dgm:pt>
    <dgm:pt modelId="{33062F09-9D5D-4AD2-BA24-1816D0E90598}" type="parTrans" cxnId="{7BD90F78-E915-49E6-B517-56FD37DAB399}">
      <dgm:prSet/>
      <dgm:spPr/>
      <dgm:t>
        <a:bodyPr/>
        <a:lstStyle/>
        <a:p>
          <a:endParaRPr lang="en-US"/>
        </a:p>
      </dgm:t>
    </dgm:pt>
    <dgm:pt modelId="{61FE9689-419A-4C8B-87AA-E9D8E1DC14F9}" type="sibTrans" cxnId="{7BD90F78-E915-49E6-B517-56FD37DAB399}">
      <dgm:prSet/>
      <dgm:spPr/>
      <dgm:t>
        <a:bodyPr/>
        <a:lstStyle/>
        <a:p>
          <a:endParaRPr lang="en-US"/>
        </a:p>
      </dgm:t>
    </dgm:pt>
    <dgm:pt modelId="{FF3742A0-1DA2-4F4F-B68A-4560A7C783F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F3511B79-D14F-48B9-9AD4-2B54D9D07086}" type="parTrans" cxnId="{ACB10059-F770-454F-A803-65B743BB7741}">
      <dgm:prSet/>
      <dgm:spPr/>
      <dgm:t>
        <a:bodyPr/>
        <a:lstStyle/>
        <a:p>
          <a:endParaRPr lang="en-US"/>
        </a:p>
      </dgm:t>
    </dgm:pt>
    <dgm:pt modelId="{FC390078-2D6A-4C06-8AA0-0E46AC2D3450}" type="sibTrans" cxnId="{ACB10059-F770-454F-A803-65B743BB7741}">
      <dgm:prSet/>
      <dgm:spPr/>
      <dgm:t>
        <a:bodyPr/>
        <a:lstStyle/>
        <a:p>
          <a:endParaRPr lang="en-US"/>
        </a:p>
      </dgm:t>
    </dgm:pt>
    <dgm:pt modelId="{F38EAEB0-A284-4251-B93E-A219EA8EAB47}">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C48C212-600D-40BC-8FAE-57E1876B7744}" type="parTrans" cxnId="{BC5DC9EE-220A-4B26-B1A8-CDBDF15680B8}">
      <dgm:prSet/>
      <dgm:spPr/>
      <dgm:t>
        <a:bodyPr/>
        <a:lstStyle/>
        <a:p>
          <a:endParaRPr lang="en-US"/>
        </a:p>
      </dgm:t>
    </dgm:pt>
    <dgm:pt modelId="{7BA5F99A-4790-4E53-B2AB-65FFF5E02FCC}" type="sibTrans" cxnId="{BC5DC9EE-220A-4B26-B1A8-CDBDF15680B8}">
      <dgm:prSet/>
      <dgm:spPr/>
      <dgm:t>
        <a:bodyPr/>
        <a:lstStyle/>
        <a:p>
          <a:endParaRPr lang="en-US"/>
        </a:p>
      </dgm:t>
    </dgm:pt>
    <dgm:pt modelId="{FE957BDB-B37E-408D-B043-08076B853B66}">
      <dgm:prSet phldrT="[Text]"/>
      <dgm:spPr>
        <a:xfrm>
          <a:off x="6748116" y="880881"/>
          <a:ext cx="1973254" cy="2426737"/>
        </a:xfrm>
        <a:solidFill>
          <a:sysClr val="window" lastClr="FFFFFF">
            <a:alpha val="90000"/>
            <a:hueOff val="0"/>
            <a:satOff val="0"/>
            <a:lumOff val="0"/>
            <a:alphaOff val="0"/>
          </a:sysClr>
        </a:solidFill>
        <a:ln w="12700" cap="flat" cmpd="sng" algn="ctr">
          <a:solidFill>
            <a:srgbClr val="7030A0"/>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A636EBB7-3BAE-4992-920C-DF3F4CC87A64}" type="parTrans" cxnId="{165B8EB6-ECF4-4B48-A7DE-721C1922F4FA}">
      <dgm:prSet/>
      <dgm:spPr/>
      <dgm:t>
        <a:bodyPr/>
        <a:lstStyle/>
        <a:p>
          <a:endParaRPr lang="en-US"/>
        </a:p>
      </dgm:t>
    </dgm:pt>
    <dgm:pt modelId="{FE54DF93-1DC4-41E8-A012-E73EF571DDA7}" type="sibTrans" cxnId="{165B8EB6-ECF4-4B48-A7DE-721C1922F4FA}">
      <dgm:prSet/>
      <dgm:spPr/>
      <dgm:t>
        <a:bodyPr/>
        <a:lstStyle/>
        <a:p>
          <a:endParaRPr lang="en-US"/>
        </a:p>
      </dgm:t>
    </dgm:pt>
    <dgm:pt modelId="{4B457A3D-C657-4A81-ACC7-EB3F2A9CE221}">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Community Partnerships: Place Based and Cultural Communities</a:t>
          </a:r>
        </a:p>
      </dgm:t>
    </dgm:pt>
    <dgm:pt modelId="{2983AFEE-247A-412B-A469-6513488B2821}" type="parTrans" cxnId="{BDA00607-9A22-42BB-8E9A-9578A9D6CE7D}">
      <dgm:prSet/>
      <dgm:spPr/>
      <dgm:t>
        <a:bodyPr/>
        <a:lstStyle/>
        <a:p>
          <a:endParaRPr lang="en-US"/>
        </a:p>
      </dgm:t>
    </dgm:pt>
    <dgm:pt modelId="{7C8A1EB1-2288-4DEF-998F-901096681778}" type="sibTrans" cxnId="{BDA00607-9A22-42BB-8E9A-9578A9D6CE7D}">
      <dgm:prSet/>
      <dgm:spPr/>
      <dgm:t>
        <a:bodyPr/>
        <a:lstStyle/>
        <a:p>
          <a:endParaRPr lang="en-US"/>
        </a:p>
      </dgm:t>
    </dgm:pt>
    <dgm:pt modelId="{860895DE-E32D-4883-ACB1-DD9A41A59739}">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461EFB5C-8326-48A7-A69B-8F741FFA72AA}" type="parTrans" cxnId="{FC28639F-41AB-49FC-BEF8-025B335D4311}">
      <dgm:prSet/>
      <dgm:spPr/>
      <dgm:t>
        <a:bodyPr/>
        <a:lstStyle/>
        <a:p>
          <a:endParaRPr lang="en-US"/>
        </a:p>
      </dgm:t>
    </dgm:pt>
    <dgm:pt modelId="{3EE4AF8F-95EE-45E8-81AF-E48D35D55EAE}" type="sibTrans" cxnId="{FC28639F-41AB-49FC-BEF8-025B335D4311}">
      <dgm:prSet/>
      <dgm:spPr/>
      <dgm:t>
        <a:bodyPr/>
        <a:lstStyle/>
        <a:p>
          <a:endParaRPr lang="en-US"/>
        </a:p>
      </dgm:t>
    </dgm:pt>
    <dgm:pt modelId="{6DEF3FE0-CCDA-48E0-940F-3553363E0AD7}">
      <dgm:prSet phldrT="[Text]"/>
      <dgm:spPr>
        <a:xfrm>
          <a:off x="408500" y="880881"/>
          <a:ext cx="1973254" cy="242673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C20CB0B-BA5C-4146-9F36-6D6C110F6AA7}" type="parTrans" cxnId="{2D8D63D9-2B18-4612-B4FC-2D4F68EBEB10}">
      <dgm:prSet/>
      <dgm:spPr/>
      <dgm:t>
        <a:bodyPr/>
        <a:lstStyle/>
        <a:p>
          <a:endParaRPr lang="en-US"/>
        </a:p>
      </dgm:t>
    </dgm:pt>
    <dgm:pt modelId="{1AF20F16-810D-4EAA-8B54-8DBE9E7FF584}" type="sibTrans" cxnId="{2D8D63D9-2B18-4612-B4FC-2D4F68EBEB10}">
      <dgm:prSet/>
      <dgm:spPr/>
      <dgm:t>
        <a:bodyPr/>
        <a:lstStyle/>
        <a:p>
          <a:endParaRPr lang="en-US"/>
        </a:p>
      </dgm:t>
    </dgm:pt>
    <dgm:pt modelId="{F8735E9E-1B84-4F92-B52D-DF2FA0FD4B01}">
      <dgm:prSet phldrT="[Text]"/>
      <dgm:spPr>
        <a:xfrm>
          <a:off x="4339" y="142336"/>
          <a:ext cx="1973254" cy="11078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solidFill>
              <a:sysClr val="window" lastClr="FFFFFF"/>
            </a:solidFill>
            <a:latin typeface="Calibri" panose="020F0502020204030204"/>
            <a:ea typeface="+mn-ea"/>
            <a:cs typeface="+mn-cs"/>
          </a:endParaRPr>
        </a:p>
        <a:p>
          <a:r>
            <a:rPr lang="en-US">
              <a:solidFill>
                <a:sysClr val="window" lastClr="FFFFFF"/>
              </a:solidFill>
              <a:latin typeface="Calibri" panose="020F0502020204030204"/>
              <a:ea typeface="+mn-ea"/>
              <a:cs typeface="+mn-cs"/>
            </a:rPr>
            <a:t>COO Investments and Activities	</a:t>
          </a:r>
        </a:p>
      </dgm:t>
    </dgm:pt>
    <dgm:pt modelId="{12E6657E-6893-4913-BD9D-E2022508E7FC}" type="parTrans" cxnId="{D3661D89-5AEF-4582-9EB3-DF661F4CE854}">
      <dgm:prSet/>
      <dgm:spPr/>
      <dgm:t>
        <a:bodyPr/>
        <a:lstStyle/>
        <a:p>
          <a:endParaRPr lang="en-US"/>
        </a:p>
      </dgm:t>
    </dgm:pt>
    <dgm:pt modelId="{F0626DC5-8285-4B30-980E-304EE5820EB9}" type="sibTrans" cxnId="{D3661D89-5AEF-4582-9EB3-DF661F4CE854}">
      <dgm:prSet/>
      <dgm:spPr>
        <a:xfrm>
          <a:off x="2276732" y="265967"/>
          <a:ext cx="634173" cy="49128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9A29D4D-7DD9-431A-9790-8FA422B6136B}" type="pres">
      <dgm:prSet presAssocID="{A57BD399-944D-4784-B350-70050D52E197}" presName="linearFlow" presStyleCnt="0">
        <dgm:presLayoutVars>
          <dgm:dir/>
          <dgm:animLvl val="lvl"/>
          <dgm:resizeHandles val="exact"/>
        </dgm:presLayoutVars>
      </dgm:prSet>
      <dgm:spPr/>
      <dgm:t>
        <a:bodyPr/>
        <a:lstStyle/>
        <a:p>
          <a:endParaRPr lang="en-US"/>
        </a:p>
      </dgm:t>
    </dgm:pt>
    <dgm:pt modelId="{7E230042-4DC0-4E63-8A08-5E2C0CCBE33C}" type="pres">
      <dgm:prSet presAssocID="{F8735E9E-1B84-4F92-B52D-DF2FA0FD4B01}" presName="composite" presStyleCnt="0"/>
      <dgm:spPr/>
    </dgm:pt>
    <dgm:pt modelId="{D3CCD21E-E066-470C-9BAE-85F07C324886}" type="pres">
      <dgm:prSet presAssocID="{F8735E9E-1B84-4F92-B52D-DF2FA0FD4B01}"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US"/>
        </a:p>
      </dgm:t>
    </dgm:pt>
    <dgm:pt modelId="{2B69CC14-9930-4C8A-B344-4922DE984BD8}" type="pres">
      <dgm:prSet presAssocID="{F8735E9E-1B84-4F92-B52D-DF2FA0FD4B01}" presName="parSh" presStyleLbl="node1" presStyleIdx="0" presStyleCnt="3"/>
      <dgm:spPr/>
      <dgm:t>
        <a:bodyPr/>
        <a:lstStyle/>
        <a:p>
          <a:endParaRPr lang="en-US"/>
        </a:p>
      </dgm:t>
    </dgm:pt>
    <dgm:pt modelId="{A507AD94-DC63-4BEE-B052-D34C51ED6EFE}" type="pres">
      <dgm:prSet presAssocID="{F8735E9E-1B84-4F92-B52D-DF2FA0FD4B01}" presName="desTx" presStyleLbl="fgAcc1" presStyleIdx="0" presStyleCnt="3">
        <dgm:presLayoutVars>
          <dgm:bulletEnabled val="1"/>
        </dgm:presLayoutVars>
      </dgm:prSet>
      <dgm:spPr>
        <a:prstGeom prst="roundRect">
          <a:avLst>
            <a:gd name="adj" fmla="val 10000"/>
          </a:avLst>
        </a:prstGeom>
      </dgm:spPr>
      <dgm:t>
        <a:bodyPr/>
        <a:lstStyle/>
        <a:p>
          <a:endParaRPr lang="en-US"/>
        </a:p>
      </dgm:t>
    </dgm:pt>
    <dgm:pt modelId="{6BB3CCE9-4AEA-49D8-902B-3D07BF13B124}" type="pres">
      <dgm:prSet presAssocID="{F0626DC5-8285-4B30-980E-304EE5820EB9}" presName="sibTrans" presStyleLbl="sibTrans2D1" presStyleIdx="0" presStyleCnt="2"/>
      <dgm:spPr>
        <a:prstGeom prst="rightArrow">
          <a:avLst>
            <a:gd name="adj1" fmla="val 60000"/>
            <a:gd name="adj2" fmla="val 50000"/>
          </a:avLst>
        </a:prstGeom>
      </dgm:spPr>
      <dgm:t>
        <a:bodyPr/>
        <a:lstStyle/>
        <a:p>
          <a:endParaRPr lang="en-US"/>
        </a:p>
      </dgm:t>
    </dgm:pt>
    <dgm:pt modelId="{515E21DB-58D7-49EB-A3CC-A2D20802EE0F}" type="pres">
      <dgm:prSet presAssocID="{F0626DC5-8285-4B30-980E-304EE5820EB9}" presName="connTx" presStyleLbl="sibTrans2D1" presStyleIdx="0" presStyleCnt="2"/>
      <dgm:spPr/>
      <dgm:t>
        <a:bodyPr/>
        <a:lstStyle/>
        <a:p>
          <a:endParaRPr lang="en-US"/>
        </a:p>
      </dgm:t>
    </dgm:pt>
    <dgm:pt modelId="{B90A0225-85D7-4B7E-AD3F-D394DA167B64}" type="pres">
      <dgm:prSet presAssocID="{589617F0-E656-4844-B266-5CFCA8AFFFF5}" presName="composite" presStyleCnt="0"/>
      <dgm:spPr/>
    </dgm:pt>
    <dgm:pt modelId="{907894F5-E2C6-41D4-B7A5-AE1C447DCF8B}" type="pres">
      <dgm:prSet presAssocID="{589617F0-E656-4844-B266-5CFCA8AFFFF5}"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US"/>
        </a:p>
      </dgm:t>
    </dgm:pt>
    <dgm:pt modelId="{89F9AC86-8B25-4C58-85DB-4B84A1872DD6}" type="pres">
      <dgm:prSet presAssocID="{589617F0-E656-4844-B266-5CFCA8AFFFF5}" presName="parSh" presStyleLbl="node1" presStyleIdx="1" presStyleCnt="3"/>
      <dgm:spPr/>
      <dgm:t>
        <a:bodyPr/>
        <a:lstStyle/>
        <a:p>
          <a:endParaRPr lang="en-US"/>
        </a:p>
      </dgm:t>
    </dgm:pt>
    <dgm:pt modelId="{165D11A8-66EE-43CF-A4C8-307CDDCD80D2}" type="pres">
      <dgm:prSet presAssocID="{589617F0-E656-4844-B266-5CFCA8AFFFF5}" presName="desTx" presStyleLbl="fgAcc1" presStyleIdx="1" presStyleCnt="3">
        <dgm:presLayoutVars>
          <dgm:bulletEnabled val="1"/>
        </dgm:presLayoutVars>
      </dgm:prSet>
      <dgm:spPr>
        <a:prstGeom prst="roundRect">
          <a:avLst>
            <a:gd name="adj" fmla="val 10000"/>
          </a:avLst>
        </a:prstGeom>
      </dgm:spPr>
      <dgm:t>
        <a:bodyPr/>
        <a:lstStyle/>
        <a:p>
          <a:endParaRPr lang="en-US"/>
        </a:p>
      </dgm:t>
    </dgm:pt>
    <dgm:pt modelId="{059D2059-0359-45FC-B149-90469237E090}" type="pres">
      <dgm:prSet presAssocID="{5ABFA2A4-8273-4446-B82F-4F325DA2A6E8}" presName="sibTrans" presStyleLbl="sibTrans2D1" presStyleIdx="1" presStyleCnt="2"/>
      <dgm:spPr>
        <a:prstGeom prst="rightArrow">
          <a:avLst>
            <a:gd name="adj1" fmla="val 60000"/>
            <a:gd name="adj2" fmla="val 50000"/>
          </a:avLst>
        </a:prstGeom>
      </dgm:spPr>
      <dgm:t>
        <a:bodyPr/>
        <a:lstStyle/>
        <a:p>
          <a:endParaRPr lang="en-US"/>
        </a:p>
      </dgm:t>
    </dgm:pt>
    <dgm:pt modelId="{4875E1E8-5C9D-4715-8A83-21CB0C151247}" type="pres">
      <dgm:prSet presAssocID="{5ABFA2A4-8273-4446-B82F-4F325DA2A6E8}" presName="connTx" presStyleLbl="sibTrans2D1" presStyleIdx="1" presStyleCnt="2"/>
      <dgm:spPr/>
      <dgm:t>
        <a:bodyPr/>
        <a:lstStyle/>
        <a:p>
          <a:endParaRPr lang="en-US"/>
        </a:p>
      </dgm:t>
    </dgm:pt>
    <dgm:pt modelId="{0A963869-0F76-4161-A31B-DDB692152A1D}" type="pres">
      <dgm:prSet presAssocID="{37CF4617-1DB4-4943-BFFF-4E5C7E0E783D}" presName="composite" presStyleCnt="0"/>
      <dgm:spPr/>
    </dgm:pt>
    <dgm:pt modelId="{1D8A6FA7-0DB1-42C9-A668-341C3EFB8EE3}" type="pres">
      <dgm:prSet presAssocID="{37CF4617-1DB4-4943-BFFF-4E5C7E0E783D}"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en-US"/>
        </a:p>
      </dgm:t>
    </dgm:pt>
    <dgm:pt modelId="{9BA5DFCE-8818-416A-9576-E759D9810223}" type="pres">
      <dgm:prSet presAssocID="{37CF4617-1DB4-4943-BFFF-4E5C7E0E783D}" presName="parSh" presStyleLbl="node1" presStyleIdx="2" presStyleCnt="3"/>
      <dgm:spPr/>
      <dgm:t>
        <a:bodyPr/>
        <a:lstStyle/>
        <a:p>
          <a:endParaRPr lang="en-US"/>
        </a:p>
      </dgm:t>
    </dgm:pt>
    <dgm:pt modelId="{AAB854B8-FC85-448D-83EF-56BDE60E41B8}" type="pres">
      <dgm:prSet presAssocID="{37CF4617-1DB4-4943-BFFF-4E5C7E0E783D}" presName="desTx" presStyleLbl="fgAcc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D3661D89-5AEF-4582-9EB3-DF661F4CE854}" srcId="{A57BD399-944D-4784-B350-70050D52E197}" destId="{F8735E9E-1B84-4F92-B52D-DF2FA0FD4B01}" srcOrd="0" destOrd="0" parTransId="{12E6657E-6893-4913-BD9D-E2022508E7FC}" sibTransId="{F0626DC5-8285-4B30-980E-304EE5820EB9}"/>
    <dgm:cxn modelId="{59AFDB2B-E170-4297-BBE8-392397554BA6}" type="presOf" srcId="{37CF4617-1DB4-4943-BFFF-4E5C7E0E783D}" destId="{1D8A6FA7-0DB1-42C9-A668-341C3EFB8EE3}" srcOrd="0" destOrd="0" presId="urn:microsoft.com/office/officeart/2005/8/layout/process3"/>
    <dgm:cxn modelId="{99B93597-AB26-4BBF-BCD8-6702CDC11E94}" type="presOf" srcId="{86BDC321-5A2D-4615-8AA2-46FEA0C96280}" destId="{165D11A8-66EE-43CF-A4C8-307CDDCD80D2}" srcOrd="0" destOrd="3" presId="urn:microsoft.com/office/officeart/2005/8/layout/process3"/>
    <dgm:cxn modelId="{8587DB53-029B-42C3-91B8-66F52D518B0C}" type="presOf" srcId="{F0626DC5-8285-4B30-980E-304EE5820EB9}" destId="{515E21DB-58D7-49EB-A3CC-A2D20802EE0F}" srcOrd="1" destOrd="0" presId="urn:microsoft.com/office/officeart/2005/8/layout/process3"/>
    <dgm:cxn modelId="{7BD90F78-E915-49E6-B517-56FD37DAB399}" srcId="{37CF4617-1DB4-4943-BFFF-4E5C7E0E783D}" destId="{7EAADB5C-8B99-4143-BAD6-DB24D0407A06}" srcOrd="6" destOrd="0" parTransId="{33062F09-9D5D-4AD2-BA24-1816D0E90598}" sibTransId="{61FE9689-419A-4C8B-87AA-E9D8E1DC14F9}"/>
    <dgm:cxn modelId="{BE016702-291A-4765-B18B-8EDA042535D4}" type="presOf" srcId="{7EAADB5C-8B99-4143-BAD6-DB24D0407A06}" destId="{AAB854B8-FC85-448D-83EF-56BDE60E41B8}" srcOrd="0" destOrd="6" presId="urn:microsoft.com/office/officeart/2005/8/layout/process3"/>
    <dgm:cxn modelId="{6A672637-A0F3-4C89-8472-0D78AC73BA4B}" type="presOf" srcId="{C1771785-362D-463B-9961-E5A3BC83DE3A}" destId="{AAB854B8-FC85-448D-83EF-56BDE60E41B8}" srcOrd="0" destOrd="0" presId="urn:microsoft.com/office/officeart/2005/8/layout/process3"/>
    <dgm:cxn modelId="{8143165B-7F99-4A88-A600-B0CCFD1E0EBC}" srcId="{589617F0-E656-4844-B266-5CFCA8AFFFF5}" destId="{C7D07EFD-A423-4C60-B458-CE91D4F5FB31}" srcOrd="5" destOrd="0" parTransId="{127D29AA-C6CB-4728-8705-E3F06F2F9CCF}" sibTransId="{1E332A12-F694-4A59-AD90-2A54976D79B3}"/>
    <dgm:cxn modelId="{291E943D-B087-4133-A8FA-655A0C2EC841}" type="presOf" srcId="{860895DE-E32D-4883-ACB1-DD9A41A59739}" destId="{A507AD94-DC63-4BEE-B052-D34C51ED6EFE}" srcOrd="0" destOrd="2" presId="urn:microsoft.com/office/officeart/2005/8/layout/process3"/>
    <dgm:cxn modelId="{AD5944DA-603B-4985-825B-A758C79525B2}" type="presOf" srcId="{5ABFA2A4-8273-4446-B82F-4F325DA2A6E8}" destId="{4875E1E8-5C9D-4715-8A83-21CB0C151247}" srcOrd="1" destOrd="0" presId="urn:microsoft.com/office/officeart/2005/8/layout/process3"/>
    <dgm:cxn modelId="{13B1BBCC-B5FA-40AE-90D8-64202FEAC993}" type="presOf" srcId="{F76A5618-7AA6-4296-8A4D-6FB1C6203580}" destId="{165D11A8-66EE-43CF-A4C8-307CDDCD80D2}" srcOrd="0" destOrd="0" presId="urn:microsoft.com/office/officeart/2005/8/layout/process3"/>
    <dgm:cxn modelId="{C43045E7-545E-4F16-80EA-5258DB5F4DAB}" type="presOf" srcId="{F0626DC5-8285-4B30-980E-304EE5820EB9}" destId="{6BB3CCE9-4AEA-49D8-902B-3D07BF13B124}" srcOrd="0" destOrd="0" presId="urn:microsoft.com/office/officeart/2005/8/layout/process3"/>
    <dgm:cxn modelId="{825FC947-D726-431C-8EAA-98E859F1299A}" type="presOf" srcId="{589617F0-E656-4844-B266-5CFCA8AFFFF5}" destId="{907894F5-E2C6-41D4-B7A5-AE1C447DCF8B}" srcOrd="0" destOrd="0" presId="urn:microsoft.com/office/officeart/2005/8/layout/process3"/>
    <dgm:cxn modelId="{97D2B06B-BCCC-4CE3-9021-9F6DA49D9762}" type="presOf" srcId="{5ABFA2A4-8273-4446-B82F-4F325DA2A6E8}" destId="{059D2059-0359-45FC-B149-90469237E090}" srcOrd="0" destOrd="0" presId="urn:microsoft.com/office/officeart/2005/8/layout/process3"/>
    <dgm:cxn modelId="{CE76DD30-F92E-44B6-99D1-47C8B2A31D67}" srcId="{589617F0-E656-4844-B266-5CFCA8AFFFF5}" destId="{AF8428A2-BD28-4555-A3F9-3C5AD2BEC05E}" srcOrd="1" destOrd="0" parTransId="{408604DF-EDB9-41AD-A380-31A4E350AA35}" sibTransId="{DE522501-6A27-47EA-838E-E10CDBB46FAF}"/>
    <dgm:cxn modelId="{B52342CD-8467-4CEE-8B36-D30DF86D1C3A}" type="presOf" srcId="{AF8428A2-BD28-4555-A3F9-3C5AD2BEC05E}" destId="{165D11A8-66EE-43CF-A4C8-307CDDCD80D2}" srcOrd="0" destOrd="1" presId="urn:microsoft.com/office/officeart/2005/8/layout/process3"/>
    <dgm:cxn modelId="{17806E31-5AB5-482B-A90C-F4F61E8E471B}" type="presOf" srcId="{F8735E9E-1B84-4F92-B52D-DF2FA0FD4B01}" destId="{2B69CC14-9930-4C8A-B344-4922DE984BD8}" srcOrd="1" destOrd="0" presId="urn:microsoft.com/office/officeart/2005/8/layout/process3"/>
    <dgm:cxn modelId="{7006ECBD-4899-4107-B0B3-D171CCCC3468}" srcId="{F8735E9E-1B84-4F92-B52D-DF2FA0FD4B01}" destId="{12A8266C-939D-4D68-80EC-59F04FC4FA3D}" srcOrd="3" destOrd="0" parTransId="{86B879FC-847E-4092-BA28-541572DBEA6F}" sibTransId="{353AC6AB-312C-4AA7-A0CE-FC2993647D26}"/>
    <dgm:cxn modelId="{25D9508D-312A-48B0-ABB2-2BE761E54CF1}" type="presOf" srcId="{531F2146-0C57-4B8E-9362-919340AF1C26}" destId="{165D11A8-66EE-43CF-A4C8-307CDDCD80D2}" srcOrd="0" destOrd="6" presId="urn:microsoft.com/office/officeart/2005/8/layout/process3"/>
    <dgm:cxn modelId="{D165905B-6EDA-428A-B6CB-3370BC36689C}" type="presOf" srcId="{3BBCDF33-AF23-421B-91F6-9A1A1F032691}" destId="{A507AD94-DC63-4BEE-B052-D34C51ED6EFE}" srcOrd="0" destOrd="5" presId="urn:microsoft.com/office/officeart/2005/8/layout/process3"/>
    <dgm:cxn modelId="{FC28639F-41AB-49FC-BEF8-025B335D4311}" srcId="{F8735E9E-1B84-4F92-B52D-DF2FA0FD4B01}" destId="{860895DE-E32D-4883-ACB1-DD9A41A59739}" srcOrd="2" destOrd="0" parTransId="{461EFB5C-8326-48A7-A69B-8F741FFA72AA}" sibTransId="{3EE4AF8F-95EE-45E8-81AF-E48D35D55EAE}"/>
    <dgm:cxn modelId="{2D4CA9B0-3307-4597-8B7B-727656A30AC1}" srcId="{A57BD399-944D-4784-B350-70050D52E197}" destId="{589617F0-E656-4844-B266-5CFCA8AFFFF5}" srcOrd="1" destOrd="0" parTransId="{13FA7F4A-47C7-4DAC-8954-9F93AEE79842}" sibTransId="{5ABFA2A4-8273-4446-B82F-4F325DA2A6E8}"/>
    <dgm:cxn modelId="{C2868523-6867-4614-A43D-8AF89BB337F6}" type="presOf" srcId="{9E223B36-9970-4961-8AE1-F1ABA491B17F}" destId="{AAB854B8-FC85-448D-83EF-56BDE60E41B8}" srcOrd="0" destOrd="4" presId="urn:microsoft.com/office/officeart/2005/8/layout/process3"/>
    <dgm:cxn modelId="{3F66BDC4-1797-487C-9487-C9B8C3C8A04F}" srcId="{A57BD399-944D-4784-B350-70050D52E197}" destId="{37CF4617-1DB4-4943-BFFF-4E5C7E0E783D}" srcOrd="2" destOrd="0" parTransId="{D81423CB-6CC5-4AC7-A484-205062244F89}" sibTransId="{C9BD6358-062C-4D02-A36F-7FFC76B6BFFF}"/>
    <dgm:cxn modelId="{9AED5A48-EF05-47E6-AA44-7C5583B5B06F}" srcId="{F8735E9E-1B84-4F92-B52D-DF2FA0FD4B01}" destId="{A4C498A9-E3DC-423D-B9EF-97C5C4AA112C}" srcOrd="0" destOrd="0" parTransId="{3DE28CF8-6248-44B5-BB63-E99C87975347}" sibTransId="{3E8C7575-87A2-4621-8451-84FE0CCA8285}"/>
    <dgm:cxn modelId="{8665CB44-0555-4BB0-9737-E530673FDE77}" type="presOf" srcId="{A57BD399-944D-4784-B350-70050D52E197}" destId="{89A29D4D-7DD9-431A-9790-8FA422B6136B}" srcOrd="0" destOrd="0" presId="urn:microsoft.com/office/officeart/2005/8/layout/process3"/>
    <dgm:cxn modelId="{5811F422-9C81-498B-B7FA-57C9D8F9EBAB}" type="presOf" srcId="{37CF4617-1DB4-4943-BFFF-4E5C7E0E783D}" destId="{9BA5DFCE-8818-416A-9576-E759D9810223}" srcOrd="1" destOrd="0" presId="urn:microsoft.com/office/officeart/2005/8/layout/process3"/>
    <dgm:cxn modelId="{EB517BF4-2CFF-4D7C-9A22-8E7FF991B050}" srcId="{F8735E9E-1B84-4F92-B52D-DF2FA0FD4B01}" destId="{3BBCDF33-AF23-421B-91F6-9A1A1F032691}" srcOrd="5" destOrd="0" parTransId="{8DB953F0-AC73-4D69-AF11-AE02567D01BD}" sibTransId="{A40EFBB2-8F44-4B69-8F07-DF80550F8F2E}"/>
    <dgm:cxn modelId="{EB579079-B8FE-4D3E-929D-091F3E3D77C5}" srcId="{37CF4617-1DB4-4943-BFFF-4E5C7E0E783D}" destId="{C1771785-362D-463B-9961-E5A3BC83DE3A}" srcOrd="0" destOrd="0" parTransId="{D53C22A7-C1FD-4B7F-A719-50BFEBC8C01D}" sibTransId="{7A80D61A-C3AA-4520-B326-7AEDB7721893}"/>
    <dgm:cxn modelId="{59F82563-BC96-4481-A797-F464C7A4FA31}" srcId="{589617F0-E656-4844-B266-5CFCA8AFFFF5}" destId="{C5951A71-9115-4480-91CB-5F4970A91FF3}" srcOrd="4" destOrd="0" parTransId="{2615EC56-BBDB-462E-B461-AF2CB0839767}" sibTransId="{615A46DF-6F0C-4C75-ADB7-426447496091}"/>
    <dgm:cxn modelId="{ACB10059-F770-454F-A803-65B743BB7741}" srcId="{37CF4617-1DB4-4943-BFFF-4E5C7E0E783D}" destId="{FF3742A0-1DA2-4F4F-B68A-4560A7C783F6}" srcOrd="1" destOrd="0" parTransId="{F3511B79-D14F-48B9-9AD4-2B54D9D07086}" sibTransId="{FC390078-2D6A-4C06-8AA0-0E46AC2D3450}"/>
    <dgm:cxn modelId="{37A7251E-D8EC-4386-BBBD-180EB3CC832A}" srcId="{37CF4617-1DB4-4943-BFFF-4E5C7E0E783D}" destId="{B7C8AA8C-D5E1-4C5A-883C-76233740F0D9}" srcOrd="2" destOrd="0" parTransId="{F64BB05A-BC74-457E-89AE-430641791900}" sibTransId="{379CFE24-C6C2-444F-AAAE-32060ADE33B9}"/>
    <dgm:cxn modelId="{C1FB5420-C615-411B-A792-596E39C790F2}" type="presOf" srcId="{A4C498A9-E3DC-423D-B9EF-97C5C4AA112C}" destId="{A507AD94-DC63-4BEE-B052-D34C51ED6EFE}" srcOrd="0" destOrd="0" presId="urn:microsoft.com/office/officeart/2005/8/layout/process3"/>
    <dgm:cxn modelId="{BC5DC9EE-220A-4B26-B1A8-CDBDF15680B8}" srcId="{37CF4617-1DB4-4943-BFFF-4E5C7E0E783D}" destId="{F38EAEB0-A284-4251-B93E-A219EA8EAB47}" srcOrd="3" destOrd="0" parTransId="{CC48C212-600D-40BC-8FAE-57E1876B7744}" sibTransId="{7BA5F99A-4790-4E53-B2AB-65FFF5E02FCC}"/>
    <dgm:cxn modelId="{50A98455-5508-446E-A606-2E94EE66E4F2}" type="presOf" srcId="{12A8266C-939D-4D68-80EC-59F04FC4FA3D}" destId="{A507AD94-DC63-4BEE-B052-D34C51ED6EFE}" srcOrd="0" destOrd="3" presId="urn:microsoft.com/office/officeart/2005/8/layout/process3"/>
    <dgm:cxn modelId="{337FC89C-7016-41D7-9C54-471A5427813F}" type="presOf" srcId="{C5951A71-9115-4480-91CB-5F4970A91FF3}" destId="{165D11A8-66EE-43CF-A4C8-307CDDCD80D2}" srcOrd="0" destOrd="4" presId="urn:microsoft.com/office/officeart/2005/8/layout/process3"/>
    <dgm:cxn modelId="{17F4C44A-1B10-4770-A661-C5ACD8F707DC}" type="presOf" srcId="{F8735E9E-1B84-4F92-B52D-DF2FA0FD4B01}" destId="{D3CCD21E-E066-470C-9BAE-85F07C324886}" srcOrd="0" destOrd="0" presId="urn:microsoft.com/office/officeart/2005/8/layout/process3"/>
    <dgm:cxn modelId="{89F363FF-7538-46A4-BA8C-F5C1AE265A1A}" type="presOf" srcId="{F1B4AB6C-BB6D-4FA5-A64F-9B5FBA94FD30}" destId="{165D11A8-66EE-43CF-A4C8-307CDDCD80D2}" srcOrd="0" destOrd="2" presId="urn:microsoft.com/office/officeart/2005/8/layout/process3"/>
    <dgm:cxn modelId="{165B8EB6-ECF4-4B48-A7DE-721C1922F4FA}" srcId="{37CF4617-1DB4-4943-BFFF-4E5C7E0E783D}" destId="{FE957BDB-B37E-408D-B043-08076B853B66}" srcOrd="5" destOrd="0" parTransId="{A636EBB7-3BAE-4992-920C-DF3F4CC87A64}" sibTransId="{FE54DF93-1DC4-41E8-A012-E73EF571DDA7}"/>
    <dgm:cxn modelId="{1B16DB67-570D-471D-A330-B79C78C295A8}" srcId="{37CF4617-1DB4-4943-BFFF-4E5C7E0E783D}" destId="{9E223B36-9970-4961-8AE1-F1ABA491B17F}" srcOrd="4" destOrd="0" parTransId="{178CAFF2-B83C-4263-B805-D7E82BBFF36E}" sibTransId="{EED6AEEF-4C6F-4559-8385-094945689765}"/>
    <dgm:cxn modelId="{2385EB9C-05C0-407A-89FE-A2F610F9F673}" type="presOf" srcId="{FE957BDB-B37E-408D-B043-08076B853B66}" destId="{AAB854B8-FC85-448D-83EF-56BDE60E41B8}" srcOrd="0" destOrd="5" presId="urn:microsoft.com/office/officeart/2005/8/layout/process3"/>
    <dgm:cxn modelId="{E14519CB-3DC3-4FE5-A468-1D7BF8D90D9B}" type="presOf" srcId="{B7C8AA8C-D5E1-4C5A-883C-76233740F0D9}" destId="{AAB854B8-FC85-448D-83EF-56BDE60E41B8}" srcOrd="0" destOrd="2" presId="urn:microsoft.com/office/officeart/2005/8/layout/process3"/>
    <dgm:cxn modelId="{56FD6703-9CA5-435F-8B67-9C04F14CD258}" type="presOf" srcId="{589617F0-E656-4844-B266-5CFCA8AFFFF5}" destId="{89F9AC86-8B25-4C58-85DB-4B84A1872DD6}" srcOrd="1" destOrd="0" presId="urn:microsoft.com/office/officeart/2005/8/layout/process3"/>
    <dgm:cxn modelId="{8760E260-6686-40DC-83F7-EC5BFCB1A22E}" type="presOf" srcId="{C7D07EFD-A423-4C60-B458-CE91D4F5FB31}" destId="{165D11A8-66EE-43CF-A4C8-307CDDCD80D2}" srcOrd="0" destOrd="5" presId="urn:microsoft.com/office/officeart/2005/8/layout/process3"/>
    <dgm:cxn modelId="{99FE6A59-6216-4A50-BA97-311105F33F4C}" srcId="{589617F0-E656-4844-B266-5CFCA8AFFFF5}" destId="{531F2146-0C57-4B8E-9362-919340AF1C26}" srcOrd="6" destOrd="0" parTransId="{CD5056E8-68FA-4836-8A85-262C16FD1EC8}" sibTransId="{8937E66E-9C41-414C-A908-254CB3CF2B8F}"/>
    <dgm:cxn modelId="{AC465C64-807E-4355-9971-BCA20AF0643A}" type="presOf" srcId="{4B457A3D-C657-4A81-ACC7-EB3F2A9CE221}" destId="{A507AD94-DC63-4BEE-B052-D34C51ED6EFE}" srcOrd="0" destOrd="1" presId="urn:microsoft.com/office/officeart/2005/8/layout/process3"/>
    <dgm:cxn modelId="{F1011430-5D9C-4934-BBFC-9246C58D600F}" srcId="{589617F0-E656-4844-B266-5CFCA8AFFFF5}" destId="{F1B4AB6C-BB6D-4FA5-A64F-9B5FBA94FD30}" srcOrd="2" destOrd="0" parTransId="{4BAB1E55-0E17-4294-BA56-8D7863AB542C}" sibTransId="{16797BFF-13C9-4EF2-85C5-E2E0A7DCE4F2}"/>
    <dgm:cxn modelId="{A4FDD98E-8205-44B9-9632-2C897D4C4866}" type="presOf" srcId="{6DEF3FE0-CCDA-48E0-940F-3553363E0AD7}" destId="{A507AD94-DC63-4BEE-B052-D34C51ED6EFE}" srcOrd="0" destOrd="4" presId="urn:microsoft.com/office/officeart/2005/8/layout/process3"/>
    <dgm:cxn modelId="{F611B52E-49E8-434A-AEFD-E93E7EC58BE7}" srcId="{589617F0-E656-4844-B266-5CFCA8AFFFF5}" destId="{86BDC321-5A2D-4615-8AA2-46FEA0C96280}" srcOrd="3" destOrd="0" parTransId="{015E8BC4-63EE-4570-A1AA-8988D4AD6BD8}" sibTransId="{E9699C2D-7E5F-4097-A179-85F9A6ADCE6C}"/>
    <dgm:cxn modelId="{BDA00607-9A22-42BB-8E9A-9578A9D6CE7D}" srcId="{F8735E9E-1B84-4F92-B52D-DF2FA0FD4B01}" destId="{4B457A3D-C657-4A81-ACC7-EB3F2A9CE221}" srcOrd="1" destOrd="0" parTransId="{2983AFEE-247A-412B-A469-6513488B2821}" sibTransId="{7C8A1EB1-2288-4DEF-998F-901096681778}"/>
    <dgm:cxn modelId="{2D8D63D9-2B18-4612-B4FC-2D4F68EBEB10}" srcId="{F8735E9E-1B84-4F92-B52D-DF2FA0FD4B01}" destId="{6DEF3FE0-CCDA-48E0-940F-3553363E0AD7}" srcOrd="4" destOrd="0" parTransId="{EC20CB0B-BA5C-4146-9F36-6D6C110F6AA7}" sibTransId="{1AF20F16-810D-4EAA-8B54-8DBE9E7FF584}"/>
    <dgm:cxn modelId="{07BCD2F1-BD5F-4A30-A42F-F269C666CDF4}" type="presOf" srcId="{F38EAEB0-A284-4251-B93E-A219EA8EAB47}" destId="{AAB854B8-FC85-448D-83EF-56BDE60E41B8}" srcOrd="0" destOrd="3" presId="urn:microsoft.com/office/officeart/2005/8/layout/process3"/>
    <dgm:cxn modelId="{E534C07A-7BFB-45D4-98FD-69B61755D304}" type="presOf" srcId="{FF3742A0-1DA2-4F4F-B68A-4560A7C783F6}" destId="{AAB854B8-FC85-448D-83EF-56BDE60E41B8}" srcOrd="0" destOrd="1" presId="urn:microsoft.com/office/officeart/2005/8/layout/process3"/>
    <dgm:cxn modelId="{9C5B04D6-7E9F-4AD5-913C-DA2DC83C39F8}" srcId="{589617F0-E656-4844-B266-5CFCA8AFFFF5}" destId="{F76A5618-7AA6-4296-8A4D-6FB1C6203580}" srcOrd="0" destOrd="0" parTransId="{31B1A0F9-94D1-4D5D-8F74-625370018B97}" sibTransId="{E6B91752-2432-4F53-A9CF-3F995DDFF3FD}"/>
    <dgm:cxn modelId="{8FCAAD9E-5523-4382-87E8-7173E5B19A42}" type="presParOf" srcId="{89A29D4D-7DD9-431A-9790-8FA422B6136B}" destId="{7E230042-4DC0-4E63-8A08-5E2C0CCBE33C}" srcOrd="0" destOrd="0" presId="urn:microsoft.com/office/officeart/2005/8/layout/process3"/>
    <dgm:cxn modelId="{0A37E11D-3A95-4268-BF96-B89754FAA17F}" type="presParOf" srcId="{7E230042-4DC0-4E63-8A08-5E2C0CCBE33C}" destId="{D3CCD21E-E066-470C-9BAE-85F07C324886}" srcOrd="0" destOrd="0" presId="urn:microsoft.com/office/officeart/2005/8/layout/process3"/>
    <dgm:cxn modelId="{936CE287-DD38-4709-85A2-CB3D565792D4}" type="presParOf" srcId="{7E230042-4DC0-4E63-8A08-5E2C0CCBE33C}" destId="{2B69CC14-9930-4C8A-B344-4922DE984BD8}" srcOrd="1" destOrd="0" presId="urn:microsoft.com/office/officeart/2005/8/layout/process3"/>
    <dgm:cxn modelId="{65E60C14-1DBC-449D-B90F-83127EA2759B}" type="presParOf" srcId="{7E230042-4DC0-4E63-8A08-5E2C0CCBE33C}" destId="{A507AD94-DC63-4BEE-B052-D34C51ED6EFE}" srcOrd="2" destOrd="0" presId="urn:microsoft.com/office/officeart/2005/8/layout/process3"/>
    <dgm:cxn modelId="{1ABAE1F9-203E-4E57-9C40-6B9BEB8E95D9}" type="presParOf" srcId="{89A29D4D-7DD9-431A-9790-8FA422B6136B}" destId="{6BB3CCE9-4AEA-49D8-902B-3D07BF13B124}" srcOrd="1" destOrd="0" presId="urn:microsoft.com/office/officeart/2005/8/layout/process3"/>
    <dgm:cxn modelId="{700B7BA9-48AF-4950-A405-B792D4988BBA}" type="presParOf" srcId="{6BB3CCE9-4AEA-49D8-902B-3D07BF13B124}" destId="{515E21DB-58D7-49EB-A3CC-A2D20802EE0F}" srcOrd="0" destOrd="0" presId="urn:microsoft.com/office/officeart/2005/8/layout/process3"/>
    <dgm:cxn modelId="{35B2B295-EF07-4E3E-92F4-48FC6258A50F}" type="presParOf" srcId="{89A29D4D-7DD9-431A-9790-8FA422B6136B}" destId="{B90A0225-85D7-4B7E-AD3F-D394DA167B64}" srcOrd="2" destOrd="0" presId="urn:microsoft.com/office/officeart/2005/8/layout/process3"/>
    <dgm:cxn modelId="{4A5FA9FA-5A25-46F2-8806-77F86AF4E99C}" type="presParOf" srcId="{B90A0225-85D7-4B7E-AD3F-D394DA167B64}" destId="{907894F5-E2C6-41D4-B7A5-AE1C447DCF8B}" srcOrd="0" destOrd="0" presId="urn:microsoft.com/office/officeart/2005/8/layout/process3"/>
    <dgm:cxn modelId="{DDB23A4C-8796-446B-9C6E-9C2FDE2BBD04}" type="presParOf" srcId="{B90A0225-85D7-4B7E-AD3F-D394DA167B64}" destId="{89F9AC86-8B25-4C58-85DB-4B84A1872DD6}" srcOrd="1" destOrd="0" presId="urn:microsoft.com/office/officeart/2005/8/layout/process3"/>
    <dgm:cxn modelId="{7F3FE3E4-224B-459F-9F2A-4A67E6FDF9B8}" type="presParOf" srcId="{B90A0225-85D7-4B7E-AD3F-D394DA167B64}" destId="{165D11A8-66EE-43CF-A4C8-307CDDCD80D2}" srcOrd="2" destOrd="0" presId="urn:microsoft.com/office/officeart/2005/8/layout/process3"/>
    <dgm:cxn modelId="{980503F9-259E-49B2-99A2-105D17121F9F}" type="presParOf" srcId="{89A29D4D-7DD9-431A-9790-8FA422B6136B}" destId="{059D2059-0359-45FC-B149-90469237E090}" srcOrd="3" destOrd="0" presId="urn:microsoft.com/office/officeart/2005/8/layout/process3"/>
    <dgm:cxn modelId="{8BA12F20-0F25-4558-859D-96B63DCD3D4F}" type="presParOf" srcId="{059D2059-0359-45FC-B149-90469237E090}" destId="{4875E1E8-5C9D-4715-8A83-21CB0C151247}" srcOrd="0" destOrd="0" presId="urn:microsoft.com/office/officeart/2005/8/layout/process3"/>
    <dgm:cxn modelId="{6E690EAD-EAAF-45FD-81C8-2FA68A71BE0B}" type="presParOf" srcId="{89A29D4D-7DD9-431A-9790-8FA422B6136B}" destId="{0A963869-0F76-4161-A31B-DDB692152A1D}" srcOrd="4" destOrd="0" presId="urn:microsoft.com/office/officeart/2005/8/layout/process3"/>
    <dgm:cxn modelId="{1C952F3A-596E-44DE-B6DB-64E62D87FDB0}" type="presParOf" srcId="{0A963869-0F76-4161-A31B-DDB692152A1D}" destId="{1D8A6FA7-0DB1-42C9-A668-341C3EFB8EE3}" srcOrd="0" destOrd="0" presId="urn:microsoft.com/office/officeart/2005/8/layout/process3"/>
    <dgm:cxn modelId="{4611E3E0-7C5D-4E5B-A9BD-D355AFE11C6B}" type="presParOf" srcId="{0A963869-0F76-4161-A31B-DDB692152A1D}" destId="{9BA5DFCE-8818-416A-9576-E759D9810223}" srcOrd="1" destOrd="0" presId="urn:microsoft.com/office/officeart/2005/8/layout/process3"/>
    <dgm:cxn modelId="{54A425C9-3C5B-43A4-96AD-8164DABA89B4}" type="presParOf" srcId="{0A963869-0F76-4161-A31B-DDB692152A1D}" destId="{AAB854B8-FC85-448D-83EF-56BDE60E41B8}" srcOrd="2" destOrd="0" presId="urn:microsoft.com/office/officeart/2005/8/layout/process3"/>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9CC14-9930-4C8A-B344-4922DE984BD8}">
      <dsp:nvSpPr>
        <dsp:cNvPr id="0" name=""/>
        <dsp:cNvSpPr/>
      </dsp:nvSpPr>
      <dsp:spPr>
        <a:xfrm>
          <a:off x="2956" y="133591"/>
          <a:ext cx="1344101" cy="74443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endParaRPr lang="en-US" sz="700" kern="1200">
            <a:solidFill>
              <a:sysClr val="window" lastClr="FFFFFF"/>
            </a:solidFill>
            <a:latin typeface="Calibri" panose="020F0502020204030204"/>
            <a:ea typeface="+mn-ea"/>
            <a:cs typeface="+mn-cs"/>
          </a:endParaRPr>
        </a:p>
        <a:p>
          <a:pPr lvl="0" algn="l"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COO Investments and Activities	</a:t>
          </a:r>
        </a:p>
      </dsp:txBody>
      <dsp:txXfrm>
        <a:off x="17492" y="148127"/>
        <a:ext cx="1315029" cy="467219"/>
      </dsp:txXfrm>
    </dsp:sp>
    <dsp:sp modelId="{A507AD94-DC63-4BEE-B052-D34C51ED6EFE}">
      <dsp:nvSpPr>
        <dsp:cNvPr id="0" name=""/>
        <dsp:cNvSpPr/>
      </dsp:nvSpPr>
      <dsp:spPr>
        <a:xfrm>
          <a:off x="278253"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Community Partnerships: Place Based and Cultural Communities</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Systems and Policy Change</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Learning Community: Catalysts, Technical Assistance, and Capacity Building</a:t>
          </a:r>
        </a:p>
      </dsp:txBody>
      <dsp:txXfrm>
        <a:off x="317620" y="669250"/>
        <a:ext cx="1265367" cy="1507291"/>
      </dsp:txXfrm>
    </dsp:sp>
    <dsp:sp modelId="{6BB3CCE9-4AEA-49D8-902B-3D07BF13B124}">
      <dsp:nvSpPr>
        <dsp:cNvPr id="0" name=""/>
        <dsp:cNvSpPr/>
      </dsp:nvSpPr>
      <dsp:spPr>
        <a:xfrm>
          <a:off x="1550818" y="214416"/>
          <a:ext cx="431973" cy="3346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1550818" y="281344"/>
        <a:ext cx="331580" cy="200786"/>
      </dsp:txXfrm>
    </dsp:sp>
    <dsp:sp modelId="{89F9AC86-8B25-4C58-85DB-4B84A1872DD6}">
      <dsp:nvSpPr>
        <dsp:cNvPr id="0" name=""/>
        <dsp:cNvSpPr/>
      </dsp:nvSpPr>
      <dsp:spPr>
        <a:xfrm>
          <a:off x="2162100" y="133591"/>
          <a:ext cx="1344101" cy="744437"/>
        </a:xfrm>
        <a:prstGeom prst="roundRect">
          <a:avLst>
            <a:gd name="adj" fmla="val 10000"/>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Will lead to increased capacity for more equitable policies, systems, and community conditions</a:t>
          </a:r>
        </a:p>
      </dsp:txBody>
      <dsp:txXfrm>
        <a:off x="2176636" y="148127"/>
        <a:ext cx="1315029" cy="467219"/>
      </dsp:txXfrm>
    </dsp:sp>
    <dsp:sp modelId="{165D11A8-66EE-43CF-A4C8-307CDDCD80D2}">
      <dsp:nvSpPr>
        <dsp:cNvPr id="0" name=""/>
        <dsp:cNvSpPr/>
      </dsp:nvSpPr>
      <dsp:spPr>
        <a:xfrm>
          <a:off x="2437398"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70AD47"/>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Mobilization and engagement of residents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Increase in knowledge and skills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Strengthened relationships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Commitments of new funding/partners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Development of shared policy agenda</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More equitable policies and systems reaching residents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More equitable types of capital investments </a:t>
          </a:r>
        </a:p>
      </dsp:txBody>
      <dsp:txXfrm>
        <a:off x="2476765" y="669250"/>
        <a:ext cx="1265367" cy="1507291"/>
      </dsp:txXfrm>
    </dsp:sp>
    <dsp:sp modelId="{059D2059-0359-45FC-B149-90469237E090}">
      <dsp:nvSpPr>
        <dsp:cNvPr id="0" name=""/>
        <dsp:cNvSpPr/>
      </dsp:nvSpPr>
      <dsp:spPr>
        <a:xfrm>
          <a:off x="3709962" y="214416"/>
          <a:ext cx="431973" cy="33464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3709962" y="281344"/>
        <a:ext cx="331580" cy="200786"/>
      </dsp:txXfrm>
    </dsp:sp>
    <dsp:sp modelId="{9BA5DFCE-8818-416A-9576-E759D9810223}">
      <dsp:nvSpPr>
        <dsp:cNvPr id="0" name=""/>
        <dsp:cNvSpPr/>
      </dsp:nvSpPr>
      <dsp:spPr>
        <a:xfrm>
          <a:off x="4321245" y="133591"/>
          <a:ext cx="1344101" cy="744437"/>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And strengthen community connections and increase housing, health, and economic equity in King County </a:t>
          </a:r>
        </a:p>
      </dsp:txBody>
      <dsp:txXfrm>
        <a:off x="4335781" y="148127"/>
        <a:ext cx="1315029" cy="467219"/>
      </dsp:txXfrm>
    </dsp:sp>
    <dsp:sp modelId="{AAB854B8-FC85-448D-83EF-56BDE60E41B8}">
      <dsp:nvSpPr>
        <dsp:cNvPr id="0" name=""/>
        <dsp:cNvSpPr/>
      </dsp:nvSpPr>
      <dsp:spPr>
        <a:xfrm>
          <a:off x="4596542" y="629883"/>
          <a:ext cx="1344101" cy="1586025"/>
        </a:xfrm>
        <a:prstGeom prst="roundRect">
          <a:avLst>
            <a:gd name="adj" fmla="val 10000"/>
          </a:avLst>
        </a:prstGeom>
        <a:solidFill>
          <a:sysClr val="window" lastClr="FFFFFF">
            <a:alpha val="90000"/>
            <a:hueOff val="0"/>
            <a:satOff val="0"/>
            <a:lumOff val="0"/>
            <a:alphaOff val="0"/>
          </a:sys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healthy </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have access to safe and affordable housing</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thriving economically</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All people are connected to community</a:t>
          </a:r>
        </a:p>
      </dsp:txBody>
      <dsp:txXfrm>
        <a:off x="4635909" y="669250"/>
        <a:ext cx="1265367" cy="150729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24D1-439C-4937-9B12-5BF81A53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Curry, Clifton</cp:lastModifiedBy>
  <cp:revision>5</cp:revision>
  <cp:lastPrinted>2019-07-24T15:48:00Z</cp:lastPrinted>
  <dcterms:created xsi:type="dcterms:W3CDTF">2019-07-25T17:30:00Z</dcterms:created>
  <dcterms:modified xsi:type="dcterms:W3CDTF">2019-07-26T17:27:00Z</dcterms:modified>
</cp:coreProperties>
</file>