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340"/>
        <w:gridCol w:w="2862"/>
      </w:tblGrid>
      <w:tr w:rsidR="00F70E3D" w:rsidRPr="004803E1" w14:paraId="1D17CB3B" w14:textId="77777777">
        <w:tc>
          <w:tcPr>
            <w:tcW w:w="3798" w:type="dxa"/>
          </w:tcPr>
          <w:p w14:paraId="49B023C1" w14:textId="2D85C497" w:rsidR="00F70E3D" w:rsidRPr="004803E1" w:rsidRDefault="00C15D12" w:rsidP="00ED79C3">
            <w:pPr>
              <w:pStyle w:val="Flush1CS1"/>
              <w:tabs>
                <w:tab w:val="right" w:pos="9000"/>
              </w:tabs>
              <w:spacing w:line="240" w:lineRule="auto"/>
            </w:pPr>
            <w:r>
              <w:t>5/30</w:t>
            </w:r>
            <w:r w:rsidR="00743373">
              <w:t>/1</w:t>
            </w:r>
            <w:r w:rsidR="00962C17">
              <w:t>8</w:t>
            </w:r>
          </w:p>
        </w:tc>
        <w:tc>
          <w:tcPr>
            <w:tcW w:w="2340" w:type="dxa"/>
          </w:tcPr>
          <w:p w14:paraId="05588F9D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  <w:ind w:left="-378" w:firstLine="378"/>
            </w:pPr>
          </w:p>
        </w:tc>
        <w:tc>
          <w:tcPr>
            <w:tcW w:w="2862" w:type="dxa"/>
          </w:tcPr>
          <w:p w14:paraId="318A2E1D" w14:textId="45A5C18A" w:rsidR="00F70E3D" w:rsidRPr="00345C69" w:rsidRDefault="0098210A" w:rsidP="00ED79C3">
            <w:pPr>
              <w:pStyle w:val="Flush1CS1"/>
              <w:tabs>
                <w:tab w:val="right" w:pos="900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Attachment A</w:t>
            </w:r>
            <w:bookmarkStart w:id="0" w:name="_GoBack"/>
            <w:bookmarkEnd w:id="0"/>
          </w:p>
        </w:tc>
      </w:tr>
      <w:tr w:rsidR="00F70E3D" w:rsidRPr="004803E1" w14:paraId="28F0628A" w14:textId="77777777">
        <w:tc>
          <w:tcPr>
            <w:tcW w:w="3798" w:type="dxa"/>
          </w:tcPr>
          <w:p w14:paraId="34DC4EDB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</w:pPr>
          </w:p>
        </w:tc>
        <w:tc>
          <w:tcPr>
            <w:tcW w:w="2340" w:type="dxa"/>
          </w:tcPr>
          <w:p w14:paraId="02C9F8C9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  <w:ind w:left="-378" w:firstLine="378"/>
            </w:pPr>
          </w:p>
        </w:tc>
        <w:tc>
          <w:tcPr>
            <w:tcW w:w="2862" w:type="dxa"/>
          </w:tcPr>
          <w:p w14:paraId="1959E69A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</w:pPr>
          </w:p>
        </w:tc>
      </w:tr>
      <w:tr w:rsidR="00F70E3D" w:rsidRPr="004803E1" w14:paraId="3EDFE7B2" w14:textId="77777777">
        <w:tc>
          <w:tcPr>
            <w:tcW w:w="3798" w:type="dxa"/>
          </w:tcPr>
          <w:p w14:paraId="29010247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</w:pPr>
          </w:p>
        </w:tc>
        <w:tc>
          <w:tcPr>
            <w:tcW w:w="2340" w:type="dxa"/>
          </w:tcPr>
          <w:p w14:paraId="26C135D6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  <w:ind w:left="-378" w:firstLine="378"/>
            </w:pPr>
          </w:p>
        </w:tc>
        <w:tc>
          <w:tcPr>
            <w:tcW w:w="2862" w:type="dxa"/>
          </w:tcPr>
          <w:p w14:paraId="5D3B16A0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</w:pPr>
          </w:p>
        </w:tc>
      </w:tr>
      <w:tr w:rsidR="00F70E3D" w:rsidRPr="004803E1" w14:paraId="671D135B" w14:textId="77777777">
        <w:tc>
          <w:tcPr>
            <w:tcW w:w="3798" w:type="dxa"/>
          </w:tcPr>
          <w:p w14:paraId="2EC85CE6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</w:pPr>
          </w:p>
        </w:tc>
        <w:tc>
          <w:tcPr>
            <w:tcW w:w="2340" w:type="dxa"/>
          </w:tcPr>
          <w:p w14:paraId="57A0B719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  <w:ind w:left="-378" w:firstLine="378"/>
            </w:pPr>
            <w:r w:rsidRPr="004803E1">
              <w:t>Sponsored By:</w:t>
            </w:r>
          </w:p>
        </w:tc>
        <w:tc>
          <w:tcPr>
            <w:tcW w:w="2862" w:type="dxa"/>
          </w:tcPr>
          <w:p w14:paraId="4B9D283A" w14:textId="77777777" w:rsidR="00F70E3D" w:rsidRPr="004803E1" w:rsidRDefault="00F70E3D" w:rsidP="00ED79C3">
            <w:pPr>
              <w:spacing w:line="240" w:lineRule="auto"/>
            </w:pPr>
            <w:r>
              <w:t>Executive Committee</w:t>
            </w:r>
          </w:p>
        </w:tc>
      </w:tr>
      <w:tr w:rsidR="00F70E3D" w:rsidRPr="004803E1" w14:paraId="53118A23" w14:textId="77777777">
        <w:tc>
          <w:tcPr>
            <w:tcW w:w="3798" w:type="dxa"/>
          </w:tcPr>
          <w:p w14:paraId="617C858A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</w:pPr>
          </w:p>
        </w:tc>
        <w:tc>
          <w:tcPr>
            <w:tcW w:w="2340" w:type="dxa"/>
          </w:tcPr>
          <w:p w14:paraId="011BE62A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  <w:ind w:left="-378" w:firstLine="378"/>
            </w:pPr>
          </w:p>
        </w:tc>
        <w:tc>
          <w:tcPr>
            <w:tcW w:w="2862" w:type="dxa"/>
            <w:tcBorders>
              <w:top w:val="single" w:sz="6" w:space="0" w:color="auto"/>
            </w:tcBorders>
          </w:tcPr>
          <w:p w14:paraId="2659835F" w14:textId="77777777" w:rsidR="00F70E3D" w:rsidRPr="004803E1" w:rsidRDefault="00F70E3D" w:rsidP="00ED79C3">
            <w:pPr>
              <w:spacing w:line="240" w:lineRule="auto"/>
            </w:pPr>
          </w:p>
        </w:tc>
      </w:tr>
      <w:tr w:rsidR="00F70E3D" w:rsidRPr="004803E1" w14:paraId="2E9585ED" w14:textId="77777777">
        <w:tc>
          <w:tcPr>
            <w:tcW w:w="3798" w:type="dxa"/>
          </w:tcPr>
          <w:p w14:paraId="62ED2FA6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</w:pPr>
          </w:p>
        </w:tc>
        <w:tc>
          <w:tcPr>
            <w:tcW w:w="2340" w:type="dxa"/>
          </w:tcPr>
          <w:p w14:paraId="4049EE0A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  <w:ind w:left="-378" w:firstLine="378"/>
            </w:pPr>
          </w:p>
        </w:tc>
        <w:tc>
          <w:tcPr>
            <w:tcW w:w="2862" w:type="dxa"/>
          </w:tcPr>
          <w:p w14:paraId="6F3DBD56" w14:textId="77777777" w:rsidR="00F70E3D" w:rsidRPr="004803E1" w:rsidRDefault="00F70E3D" w:rsidP="00ED79C3">
            <w:pPr>
              <w:pStyle w:val="Flush1CS1"/>
              <w:tabs>
                <w:tab w:val="right" w:pos="9000"/>
              </w:tabs>
              <w:spacing w:line="240" w:lineRule="auto"/>
            </w:pPr>
          </w:p>
        </w:tc>
      </w:tr>
    </w:tbl>
    <w:p w14:paraId="393FAE57" w14:textId="77777777" w:rsidR="00F70E3D" w:rsidRPr="004803E1" w:rsidRDefault="00F70E3D" w:rsidP="006C2359"/>
    <w:p w14:paraId="5B0FFFE5" w14:textId="07473155" w:rsidR="00F70E3D" w:rsidRDefault="0050657F" w:rsidP="006C2359">
      <w:pPr>
        <w:jc w:val="center"/>
        <w:rPr>
          <w:b/>
          <w:bCs/>
        </w:rPr>
      </w:pPr>
      <w:r>
        <w:rPr>
          <w:b/>
          <w:bCs/>
        </w:rPr>
        <w:t xml:space="preserve">GMPC </w:t>
      </w:r>
      <w:r w:rsidR="00F70E3D">
        <w:rPr>
          <w:b/>
          <w:bCs/>
        </w:rPr>
        <w:t xml:space="preserve">MOTION NO.  </w:t>
      </w:r>
      <w:r w:rsidR="00C06FC6">
        <w:rPr>
          <w:b/>
          <w:bCs/>
        </w:rPr>
        <w:t>1</w:t>
      </w:r>
      <w:r w:rsidR="00962C17">
        <w:rPr>
          <w:b/>
          <w:bCs/>
        </w:rPr>
        <w:t>8</w:t>
      </w:r>
      <w:r w:rsidR="00C06FC6">
        <w:rPr>
          <w:b/>
          <w:bCs/>
        </w:rPr>
        <w:t>-1</w:t>
      </w:r>
    </w:p>
    <w:p w14:paraId="0FD8C830" w14:textId="34B55AA5" w:rsidR="00F70E3D" w:rsidRDefault="00F70E3D" w:rsidP="00ED79C3">
      <w:pPr>
        <w:spacing w:line="240" w:lineRule="auto"/>
        <w:ind w:left="806" w:right="1584"/>
        <w:jc w:val="both"/>
      </w:pPr>
      <w:r w:rsidRPr="004803E1">
        <w:t>A MOTION</w:t>
      </w:r>
      <w:r w:rsidR="00C55A5F">
        <w:t xml:space="preserve"> </w:t>
      </w:r>
      <w:r w:rsidR="00743373">
        <w:t xml:space="preserve">outlining </w:t>
      </w:r>
      <w:r w:rsidR="00CD297F">
        <w:t>actions</w:t>
      </w:r>
      <w:r w:rsidR="00743373">
        <w:t xml:space="preserve"> jurisdictions </w:t>
      </w:r>
      <w:r w:rsidR="00CD297F">
        <w:t xml:space="preserve">can take </w:t>
      </w:r>
      <w:r w:rsidR="00743373">
        <w:t xml:space="preserve">to </w:t>
      </w:r>
      <w:r w:rsidR="00962C17">
        <w:t>facilitate the development and renovation of public schools</w:t>
      </w:r>
      <w:r w:rsidR="00743373">
        <w:t xml:space="preserve"> within the </w:t>
      </w:r>
      <w:r w:rsidR="00ED79C3">
        <w:t>Urban Growth Area</w:t>
      </w:r>
      <w:r w:rsidRPr="001F0FFF">
        <w:t>.</w:t>
      </w:r>
      <w:r>
        <w:t xml:space="preserve"> </w:t>
      </w:r>
    </w:p>
    <w:p w14:paraId="0A84A4AB" w14:textId="77777777" w:rsidR="00ED79C3" w:rsidRDefault="00ED79C3" w:rsidP="0050657F">
      <w:pPr>
        <w:ind w:firstLine="720"/>
      </w:pPr>
    </w:p>
    <w:p w14:paraId="1DADF5B0" w14:textId="77777777" w:rsidR="00F70E3D" w:rsidRPr="00DB10F9" w:rsidRDefault="00F70E3D" w:rsidP="0050657F">
      <w:pPr>
        <w:ind w:firstLine="720"/>
      </w:pPr>
      <w:r w:rsidRPr="00DB10F9">
        <w:t>WHEREAS</w:t>
      </w:r>
      <w:r w:rsidR="0030625D">
        <w:t xml:space="preserve"> the Growth Management Planning Council (GMP</w:t>
      </w:r>
      <w:r w:rsidR="00960F2A">
        <w:t>C) convened the School Siting T</w:t>
      </w:r>
      <w:r w:rsidR="0030625D">
        <w:t>ask Force in 2011 to address the issue of whether public school</w:t>
      </w:r>
      <w:r w:rsidR="005327F4">
        <w:t>s</w:t>
      </w:r>
      <w:r w:rsidR="0030625D">
        <w:t xml:space="preserve"> serving primarily urban populations should be sited in rural areas</w:t>
      </w:r>
      <w:r w:rsidR="00D52E63">
        <w:t>; and</w:t>
      </w:r>
    </w:p>
    <w:p w14:paraId="35B711F1" w14:textId="77777777" w:rsidR="00F70E3D" w:rsidRDefault="004704A5" w:rsidP="0050657F">
      <w:pPr>
        <w:ind w:firstLine="720"/>
      </w:pPr>
      <w:r>
        <w:t>WHEREAS,</w:t>
      </w:r>
      <w:r w:rsidR="00F70E3D" w:rsidRPr="00DB10F9">
        <w:t xml:space="preserve"> </w:t>
      </w:r>
      <w:r w:rsidR="0030625D">
        <w:t xml:space="preserve">the Task Force completed their work on March 31, 2012, issuing a </w:t>
      </w:r>
      <w:proofErr w:type="gramStart"/>
      <w:r w:rsidR="0030625D">
        <w:t>report</w:t>
      </w:r>
      <w:proofErr w:type="gramEnd"/>
      <w:r w:rsidR="0030625D">
        <w:t xml:space="preserve"> and final recommendations to the King County Executive</w:t>
      </w:r>
      <w:r w:rsidR="00D52E63">
        <w:t xml:space="preserve">; and </w:t>
      </w:r>
    </w:p>
    <w:p w14:paraId="4B381C72" w14:textId="77777777" w:rsidR="00F70E3D" w:rsidRDefault="00F70E3D" w:rsidP="0050657F">
      <w:pPr>
        <w:ind w:firstLine="720"/>
      </w:pPr>
      <w:r w:rsidRPr="00DB10F9">
        <w:t xml:space="preserve">WHEREAS, </w:t>
      </w:r>
      <w:r w:rsidR="0030625D">
        <w:t xml:space="preserve">as a result of the work of the Task Force, </w:t>
      </w:r>
      <w:r w:rsidR="004C7512">
        <w:t>three</w:t>
      </w:r>
      <w:r w:rsidR="0030625D">
        <w:t xml:space="preserve"> new policies were added to the 2012 King County Countywide Planning Policies (CPPs) – PF-18</w:t>
      </w:r>
      <w:r w:rsidR="004C7512">
        <w:t>,</w:t>
      </w:r>
      <w:r w:rsidR="0030625D">
        <w:t xml:space="preserve"> PF-19</w:t>
      </w:r>
      <w:r w:rsidR="004C7512">
        <w:t>, and PF-19A</w:t>
      </w:r>
      <w:r w:rsidR="00563A1E">
        <w:t>; and</w:t>
      </w:r>
    </w:p>
    <w:p w14:paraId="42A82FB5" w14:textId="273BEE94" w:rsidR="00BD7DCA" w:rsidRDefault="00BD7DCA" w:rsidP="001C7C05">
      <w:pPr>
        <w:ind w:firstLine="720"/>
      </w:pPr>
      <w:r>
        <w:t>WHEREAS, student enrollments at school districts in King County are rapidly increasing causing a push to build more schools</w:t>
      </w:r>
      <w:r w:rsidR="00847A4C">
        <w:t xml:space="preserve"> and school facilities</w:t>
      </w:r>
      <w:r>
        <w:t xml:space="preserve"> and expand existing ones; and</w:t>
      </w:r>
    </w:p>
    <w:p w14:paraId="493B1AFB" w14:textId="77777777" w:rsidR="00BD7DCA" w:rsidRDefault="00BD7DCA" w:rsidP="001C7C05">
      <w:pPr>
        <w:ind w:firstLine="720"/>
      </w:pPr>
      <w:r>
        <w:t xml:space="preserve">WHEREAS, </w:t>
      </w:r>
      <w:r w:rsidR="00ED79C3">
        <w:t xml:space="preserve">the school districts that have both urban and rural territory are focusing their efforts on building within the </w:t>
      </w:r>
      <w:r w:rsidR="005327F4">
        <w:t>Urban Growth Area (</w:t>
      </w:r>
      <w:r w:rsidR="00ED79C3">
        <w:t>UGA</w:t>
      </w:r>
      <w:r w:rsidR="005327F4">
        <w:t>)</w:t>
      </w:r>
      <w:r w:rsidR="00ED79C3">
        <w:t xml:space="preserve"> consistent with the CPPs; and</w:t>
      </w:r>
    </w:p>
    <w:p w14:paraId="7B86DC0F" w14:textId="77777777" w:rsidR="00FB374D" w:rsidRDefault="00ED79C3" w:rsidP="001C7C05">
      <w:pPr>
        <w:ind w:firstLine="720"/>
      </w:pPr>
      <w:r>
        <w:t>WHEREAS, land sufficient for schools is scarce within the UGA and the regulatory structure can pose barriers to building quality schools</w:t>
      </w:r>
      <w:r w:rsidR="00FB374D">
        <w:t>; and</w:t>
      </w:r>
    </w:p>
    <w:p w14:paraId="7FB51339" w14:textId="77777777" w:rsidR="00FB374D" w:rsidRDefault="00FB374D" w:rsidP="001C7C05">
      <w:pPr>
        <w:ind w:firstLine="720"/>
      </w:pPr>
      <w:r>
        <w:lastRenderedPageBreak/>
        <w:t>WHEREAS, the challenges with school siting affect both school districts with urban and rural territory and school districts with entirely urban territory; and</w:t>
      </w:r>
    </w:p>
    <w:p w14:paraId="60AF6193" w14:textId="7812B135" w:rsidR="00F60CE4" w:rsidRDefault="00FB374D" w:rsidP="001C7C05">
      <w:pPr>
        <w:ind w:firstLine="720"/>
      </w:pPr>
      <w:r>
        <w:t>WHEREAS, school districts, cities, and King County collectively hold an interest in providing</w:t>
      </w:r>
      <w:r w:rsidR="004C7512">
        <w:t xml:space="preserve"> residents</w:t>
      </w:r>
      <w:r>
        <w:t xml:space="preserve"> with needed school capacity</w:t>
      </w:r>
      <w:r w:rsidR="004C7512">
        <w:t xml:space="preserve"> within the </w:t>
      </w:r>
      <w:r w:rsidR="00146EC9">
        <w:t>UGA</w:t>
      </w:r>
      <w:r>
        <w:t xml:space="preserve"> in a timely manner that makes best use of limited taxpayer resources</w:t>
      </w:r>
      <w:r w:rsidR="00F60CE4">
        <w:t xml:space="preserve">; and </w:t>
      </w:r>
    </w:p>
    <w:p w14:paraId="433F2596" w14:textId="0B7160E6" w:rsidR="00ED79C3" w:rsidRDefault="00F60CE4" w:rsidP="001C7C05">
      <w:pPr>
        <w:ind w:firstLine="720"/>
      </w:pPr>
      <w:r>
        <w:t>WHEREAS, school districts operate with limited financial resources and both the districts and general-purpose governments recognize an obligation to be responsible stewards of public funds;</w:t>
      </w:r>
    </w:p>
    <w:p w14:paraId="6891B585" w14:textId="08350B65" w:rsidR="00ED79C3" w:rsidRDefault="00ED79C3" w:rsidP="001C7C05">
      <w:pPr>
        <w:ind w:firstLine="720"/>
      </w:pPr>
      <w:r>
        <w:t xml:space="preserve">THEREFORE, the King County GMPC </w:t>
      </w:r>
      <w:r w:rsidR="00C65939">
        <w:t xml:space="preserve">endorses the following best practices for cities and the county working together with school districts to build new schools </w:t>
      </w:r>
      <w:r w:rsidR="006A4547">
        <w:t xml:space="preserve">and school facilities </w:t>
      </w:r>
      <w:r w:rsidR="00C65939">
        <w:t xml:space="preserve">within the </w:t>
      </w:r>
      <w:r w:rsidR="006A4547">
        <w:t>UGA</w:t>
      </w:r>
      <w:r w:rsidR="00C65939">
        <w:t>:</w:t>
      </w:r>
    </w:p>
    <w:p w14:paraId="38ED9AD7" w14:textId="77777777" w:rsidR="00FF00A4" w:rsidRDefault="00FF00A4" w:rsidP="00F061F7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surplus </w:t>
      </w:r>
      <w:r w:rsidR="004C7512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properties that could work as new school sites.</w:t>
      </w:r>
    </w:p>
    <w:p w14:paraId="0E59F6AF" w14:textId="261D63A0" w:rsidR="004C7512" w:rsidRDefault="004C7512" w:rsidP="00F061F7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identifying private properties that could be available for new school sites.</w:t>
      </w:r>
    </w:p>
    <w:p w14:paraId="2C59637A" w14:textId="164F8161" w:rsidR="0078722D" w:rsidRDefault="0078722D" w:rsidP="00F061F7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opportunities for shared use of buildings, fields, parking </w:t>
      </w:r>
      <w:r w:rsidR="00E76C7C">
        <w:rPr>
          <w:rFonts w:ascii="Times New Roman" w:hAnsi="Times New Roman" w:cs="Times New Roman"/>
          <w:sz w:val="24"/>
          <w:szCs w:val="24"/>
        </w:rPr>
        <w:t xml:space="preserve">and other </w:t>
      </w:r>
      <w:r>
        <w:rPr>
          <w:rFonts w:ascii="Times New Roman" w:hAnsi="Times New Roman" w:cs="Times New Roman"/>
          <w:sz w:val="24"/>
          <w:szCs w:val="24"/>
        </w:rPr>
        <w:t>facilities between the city or county and the school district.</w:t>
      </w:r>
    </w:p>
    <w:p w14:paraId="7C4A193B" w14:textId="61E3A8D4" w:rsidR="0078722D" w:rsidRDefault="0079303E" w:rsidP="00F061F7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options and zoning </w:t>
      </w:r>
      <w:r w:rsidR="0078722D">
        <w:rPr>
          <w:rFonts w:ascii="Times New Roman" w:hAnsi="Times New Roman" w:cs="Times New Roman"/>
          <w:sz w:val="24"/>
          <w:szCs w:val="24"/>
        </w:rPr>
        <w:t>for mixed-use development that could accommodate a school.</w:t>
      </w:r>
    </w:p>
    <w:p w14:paraId="41B6EB70" w14:textId="4F29F0EE" w:rsidR="00BD7DCA" w:rsidRPr="0028657D" w:rsidRDefault="00C65939" w:rsidP="00F061F7">
      <w:pPr>
        <w:pStyle w:val="ListParagraph"/>
        <w:numPr>
          <w:ilvl w:val="0"/>
          <w:numId w:val="27"/>
        </w:numPr>
        <w:tabs>
          <w:tab w:val="left" w:pos="1800"/>
        </w:tabs>
        <w:spacing w:before="240" w:line="48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65939">
        <w:rPr>
          <w:rFonts w:ascii="Times New Roman" w:hAnsi="Times New Roman" w:cs="Times New Roman"/>
          <w:sz w:val="24"/>
          <w:szCs w:val="24"/>
        </w:rPr>
        <w:t xml:space="preserve">Investigate how </w:t>
      </w:r>
      <w:r>
        <w:rPr>
          <w:rFonts w:ascii="Times New Roman" w:hAnsi="Times New Roman" w:cs="Times New Roman"/>
          <w:sz w:val="24"/>
          <w:szCs w:val="24"/>
        </w:rPr>
        <w:t>reg</w:t>
      </w:r>
      <w:r w:rsidR="002C5D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lations </w:t>
      </w:r>
      <w:r w:rsidR="00E16A3A">
        <w:rPr>
          <w:rFonts w:ascii="Times New Roman" w:hAnsi="Times New Roman" w:cs="Times New Roman"/>
          <w:sz w:val="24"/>
          <w:szCs w:val="24"/>
        </w:rPr>
        <w:t xml:space="preserve">and processes </w:t>
      </w:r>
      <w:r>
        <w:rPr>
          <w:rFonts w:ascii="Times New Roman" w:hAnsi="Times New Roman" w:cs="Times New Roman"/>
          <w:sz w:val="24"/>
          <w:szCs w:val="24"/>
        </w:rPr>
        <w:t>can be modified to make challenging sites work for new</w:t>
      </w:r>
      <w:r w:rsidR="00E76C7C">
        <w:rPr>
          <w:rFonts w:ascii="Times New Roman" w:hAnsi="Times New Roman" w:cs="Times New Roman"/>
          <w:sz w:val="24"/>
          <w:szCs w:val="24"/>
        </w:rPr>
        <w:t>, expanded</w:t>
      </w:r>
      <w:r w:rsidR="00E16A3A">
        <w:rPr>
          <w:rFonts w:ascii="Times New Roman" w:hAnsi="Times New Roman" w:cs="Times New Roman"/>
          <w:sz w:val="24"/>
          <w:szCs w:val="24"/>
        </w:rPr>
        <w:t>,</w:t>
      </w:r>
      <w:r w:rsidR="00E76C7C">
        <w:rPr>
          <w:rFonts w:ascii="Times New Roman" w:hAnsi="Times New Roman" w:cs="Times New Roman"/>
          <w:sz w:val="24"/>
          <w:szCs w:val="24"/>
        </w:rPr>
        <w:t xml:space="preserve"> and renovated </w:t>
      </w:r>
      <w:r w:rsidR="00E16A3A">
        <w:rPr>
          <w:rFonts w:ascii="Times New Roman" w:hAnsi="Times New Roman" w:cs="Times New Roman"/>
          <w:sz w:val="24"/>
          <w:szCs w:val="24"/>
        </w:rPr>
        <w:t xml:space="preserve">school </w:t>
      </w:r>
      <w:r w:rsidR="00E76C7C">
        <w:rPr>
          <w:rFonts w:ascii="Times New Roman" w:hAnsi="Times New Roman" w:cs="Times New Roman"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A3A">
        <w:rPr>
          <w:rFonts w:ascii="Times New Roman" w:hAnsi="Times New Roman" w:cs="Times New Roman"/>
          <w:sz w:val="24"/>
          <w:szCs w:val="24"/>
        </w:rPr>
        <w:t xml:space="preserve">(such as </w:t>
      </w:r>
      <w:r w:rsidR="00213C33">
        <w:rPr>
          <w:rFonts w:ascii="Times New Roman" w:hAnsi="Times New Roman" w:cs="Times New Roman"/>
          <w:sz w:val="24"/>
          <w:szCs w:val="24"/>
        </w:rPr>
        <w:t xml:space="preserve">providing flexible application of development regulations for </w:t>
      </w:r>
      <w:r w:rsidR="00E16A3A">
        <w:rPr>
          <w:rFonts w:ascii="Times New Roman" w:hAnsi="Times New Roman" w:cs="Times New Roman"/>
          <w:sz w:val="24"/>
          <w:szCs w:val="24"/>
        </w:rPr>
        <w:t xml:space="preserve">height restrictions, maximum lot coverage, </w:t>
      </w:r>
      <w:r w:rsidR="00213C33">
        <w:rPr>
          <w:rFonts w:ascii="Times New Roman" w:hAnsi="Times New Roman" w:cs="Times New Roman"/>
          <w:sz w:val="24"/>
          <w:szCs w:val="24"/>
        </w:rPr>
        <w:t xml:space="preserve">and </w:t>
      </w:r>
      <w:r w:rsidR="00E16A3A">
        <w:rPr>
          <w:rFonts w:ascii="Times New Roman" w:hAnsi="Times New Roman" w:cs="Times New Roman"/>
          <w:sz w:val="24"/>
          <w:szCs w:val="24"/>
        </w:rPr>
        <w:t>parking standards</w:t>
      </w:r>
      <w:r w:rsidR="0028657D">
        <w:rPr>
          <w:rFonts w:ascii="Times New Roman" w:hAnsi="Times New Roman" w:cs="Times New Roman"/>
          <w:sz w:val="24"/>
          <w:szCs w:val="24"/>
        </w:rPr>
        <w:t>)</w:t>
      </w:r>
      <w:r w:rsidR="00C15D12">
        <w:rPr>
          <w:rFonts w:ascii="Times New Roman" w:hAnsi="Times New Roman" w:cs="Times New Roman"/>
          <w:sz w:val="24"/>
          <w:szCs w:val="24"/>
        </w:rPr>
        <w:t xml:space="preserve"> </w:t>
      </w:r>
      <w:r w:rsidR="00C15D12" w:rsidRPr="0028657D">
        <w:rPr>
          <w:rFonts w:ascii="Times New Roman" w:hAnsi="Times New Roman" w:cs="Times New Roman"/>
          <w:sz w:val="24"/>
          <w:szCs w:val="24"/>
        </w:rPr>
        <w:t xml:space="preserve">and </w:t>
      </w:r>
      <w:r w:rsidR="0028657D" w:rsidRPr="0028657D">
        <w:rPr>
          <w:rFonts w:ascii="Times New Roman" w:hAnsi="Times New Roman" w:cs="Times New Roman"/>
          <w:sz w:val="24"/>
          <w:szCs w:val="24"/>
        </w:rPr>
        <w:t>consider</w:t>
      </w:r>
      <w:r w:rsidR="00C15D12" w:rsidRPr="0028657D">
        <w:rPr>
          <w:rFonts w:ascii="Times New Roman" w:hAnsi="Times New Roman" w:cs="Times New Roman"/>
          <w:sz w:val="24"/>
          <w:szCs w:val="24"/>
        </w:rPr>
        <w:t xml:space="preserve"> the feasibility of </w:t>
      </w:r>
      <w:r w:rsidR="0028657D" w:rsidRPr="0028657D">
        <w:rPr>
          <w:rFonts w:ascii="Times New Roman" w:hAnsi="Times New Roman" w:cs="Times New Roman"/>
          <w:sz w:val="24"/>
          <w:szCs w:val="24"/>
        </w:rPr>
        <w:t>allowing</w:t>
      </w:r>
      <w:r w:rsidR="00C15D12" w:rsidRPr="0028657D">
        <w:rPr>
          <w:rFonts w:ascii="Times New Roman" w:hAnsi="Times New Roman" w:cs="Times New Roman"/>
          <w:sz w:val="24"/>
          <w:szCs w:val="24"/>
        </w:rPr>
        <w:t xml:space="preserve"> playfields in the Rural Area</w:t>
      </w:r>
      <w:r w:rsidR="0028657D" w:rsidRPr="0028657D">
        <w:rPr>
          <w:rFonts w:ascii="Times New Roman" w:hAnsi="Times New Roman" w:cs="Times New Roman"/>
          <w:sz w:val="24"/>
          <w:szCs w:val="24"/>
        </w:rPr>
        <w:t xml:space="preserve"> adjacent to schools located in the UGA and</w:t>
      </w:r>
      <w:r w:rsidR="00C15D12" w:rsidRPr="0028657D">
        <w:rPr>
          <w:rFonts w:ascii="Times New Roman" w:hAnsi="Times New Roman" w:cs="Times New Roman"/>
          <w:sz w:val="24"/>
          <w:szCs w:val="24"/>
        </w:rPr>
        <w:t xml:space="preserve"> with direct access from the UGA</w:t>
      </w:r>
      <w:r w:rsidR="00E16A3A" w:rsidRPr="0028657D">
        <w:rPr>
          <w:rFonts w:ascii="Times New Roman" w:hAnsi="Times New Roman" w:cs="Times New Roman"/>
          <w:sz w:val="24"/>
          <w:szCs w:val="24"/>
        </w:rPr>
        <w:t>.</w:t>
      </w:r>
    </w:p>
    <w:p w14:paraId="5361F179" w14:textId="1CE069E4" w:rsidR="002C5D44" w:rsidRDefault="002C5D44" w:rsidP="00F061F7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Broaden the number of zone classification</w:t>
      </w:r>
      <w:r w:rsidR="002B22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within which school</w:t>
      </w:r>
      <w:r w:rsidR="00D53F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84">
        <w:rPr>
          <w:rFonts w:ascii="Times New Roman" w:hAnsi="Times New Roman" w:cs="Times New Roman"/>
          <w:sz w:val="24"/>
          <w:szCs w:val="24"/>
        </w:rPr>
        <w:t>are permitted to</w:t>
      </w:r>
      <w:r>
        <w:rPr>
          <w:rFonts w:ascii="Times New Roman" w:hAnsi="Times New Roman" w:cs="Times New Roman"/>
          <w:sz w:val="24"/>
          <w:szCs w:val="24"/>
        </w:rPr>
        <w:t xml:space="preserve"> locate.</w:t>
      </w:r>
    </w:p>
    <w:p w14:paraId="6F79996D" w14:textId="209F7AF3" w:rsidR="002C5D44" w:rsidRDefault="004C7512" w:rsidP="00F061F7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the permit review process </w:t>
      </w:r>
      <w:r w:rsidR="002C5D44">
        <w:rPr>
          <w:rFonts w:ascii="Times New Roman" w:hAnsi="Times New Roman" w:cs="Times New Roman"/>
          <w:sz w:val="24"/>
          <w:szCs w:val="24"/>
        </w:rPr>
        <w:t>to improve certainty for school district</w:t>
      </w:r>
      <w:r w:rsidR="00D53F84">
        <w:rPr>
          <w:rFonts w:ascii="Times New Roman" w:hAnsi="Times New Roman" w:cs="Times New Roman"/>
          <w:sz w:val="24"/>
          <w:szCs w:val="24"/>
        </w:rPr>
        <w:t>s</w:t>
      </w:r>
      <w:r w:rsidR="002C5D44">
        <w:rPr>
          <w:rFonts w:ascii="Times New Roman" w:hAnsi="Times New Roman" w:cs="Times New Roman"/>
          <w:sz w:val="24"/>
          <w:szCs w:val="24"/>
        </w:rPr>
        <w:t xml:space="preserve"> and to shorten the permitting process time</w:t>
      </w:r>
      <w:r>
        <w:rPr>
          <w:rFonts w:ascii="Times New Roman" w:hAnsi="Times New Roman" w:cs="Times New Roman"/>
          <w:sz w:val="24"/>
          <w:szCs w:val="24"/>
        </w:rPr>
        <w:t xml:space="preserve"> (using priority permitting as </w:t>
      </w:r>
      <w:r w:rsidR="00F60CE4"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5D44">
        <w:rPr>
          <w:rFonts w:ascii="Times New Roman" w:hAnsi="Times New Roman" w:cs="Times New Roman"/>
          <w:sz w:val="24"/>
          <w:szCs w:val="24"/>
        </w:rPr>
        <w:t>.</w:t>
      </w:r>
    </w:p>
    <w:p w14:paraId="26FFEF13" w14:textId="23BFB16A" w:rsidR="00FF00A4" w:rsidRDefault="00FF00A4" w:rsidP="00634B3C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a phased review of </w:t>
      </w:r>
      <w:r w:rsidR="00D53F84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 xml:space="preserve">development so the school </w:t>
      </w:r>
      <w:r w:rsidR="004C7512">
        <w:rPr>
          <w:rFonts w:ascii="Times New Roman" w:hAnsi="Times New Roman" w:cs="Times New Roman"/>
          <w:sz w:val="24"/>
          <w:szCs w:val="24"/>
        </w:rPr>
        <w:t xml:space="preserve">site </w:t>
      </w:r>
      <w:r w:rsidR="00D53F84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4C7512">
        <w:rPr>
          <w:rFonts w:ascii="Times New Roman" w:hAnsi="Times New Roman" w:cs="Times New Roman"/>
          <w:sz w:val="24"/>
          <w:szCs w:val="24"/>
        </w:rPr>
        <w:t>modified as needed over time</w:t>
      </w:r>
      <w:r w:rsidR="00FB374D">
        <w:rPr>
          <w:rFonts w:ascii="Times New Roman" w:hAnsi="Times New Roman" w:cs="Times New Roman"/>
          <w:sz w:val="24"/>
          <w:szCs w:val="24"/>
        </w:rPr>
        <w:t xml:space="preserve"> and so portable facilities may be sited and/or replaced in an efficient manner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8364C6" w14:textId="4D3442D4" w:rsidR="002C5D44" w:rsidRPr="0078722D" w:rsidRDefault="002B2264" w:rsidP="00F061F7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78722D">
        <w:rPr>
          <w:rFonts w:ascii="Times New Roman" w:hAnsi="Times New Roman" w:cs="Times New Roman"/>
          <w:sz w:val="24"/>
          <w:szCs w:val="24"/>
        </w:rPr>
        <w:t>Work with school district</w:t>
      </w:r>
      <w:r w:rsidR="00C56CEA">
        <w:rPr>
          <w:rFonts w:ascii="Times New Roman" w:hAnsi="Times New Roman" w:cs="Times New Roman"/>
          <w:sz w:val="24"/>
          <w:szCs w:val="24"/>
        </w:rPr>
        <w:t>s</w:t>
      </w:r>
      <w:r w:rsidRPr="0078722D">
        <w:rPr>
          <w:rFonts w:ascii="Times New Roman" w:hAnsi="Times New Roman" w:cs="Times New Roman"/>
          <w:sz w:val="24"/>
          <w:szCs w:val="24"/>
        </w:rPr>
        <w:t>, to e</w:t>
      </w:r>
      <w:r w:rsidR="002C5D44" w:rsidRPr="0078722D">
        <w:rPr>
          <w:rFonts w:ascii="Times New Roman" w:hAnsi="Times New Roman" w:cs="Times New Roman"/>
          <w:sz w:val="24"/>
          <w:szCs w:val="24"/>
        </w:rPr>
        <w:t xml:space="preserve">stablish </w:t>
      </w:r>
      <w:r w:rsidRPr="0078722D">
        <w:rPr>
          <w:rFonts w:ascii="Times New Roman" w:hAnsi="Times New Roman" w:cs="Times New Roman"/>
          <w:sz w:val="24"/>
          <w:szCs w:val="24"/>
        </w:rPr>
        <w:t>site-specific</w:t>
      </w:r>
      <w:r w:rsidR="00B46177" w:rsidRPr="0078722D">
        <w:rPr>
          <w:rFonts w:ascii="Times New Roman" w:hAnsi="Times New Roman" w:cs="Times New Roman"/>
          <w:sz w:val="24"/>
          <w:szCs w:val="24"/>
        </w:rPr>
        <w:t xml:space="preserve"> </w:t>
      </w:r>
      <w:r w:rsidR="002C5D44" w:rsidRPr="0078722D">
        <w:rPr>
          <w:rFonts w:ascii="Times New Roman" w:hAnsi="Times New Roman" w:cs="Times New Roman"/>
          <w:sz w:val="24"/>
          <w:szCs w:val="24"/>
        </w:rPr>
        <w:t>Transportation Demand Management (TDM) protocols to encourage more walking, biking, and transit ridership to reduce the need for parking.</w:t>
      </w:r>
    </w:p>
    <w:p w14:paraId="22BDD49A" w14:textId="68F49B8D" w:rsidR="002C5D44" w:rsidRDefault="0079303E" w:rsidP="00634B3C">
      <w:pPr>
        <w:pStyle w:val="ListParagraph"/>
        <w:numPr>
          <w:ilvl w:val="0"/>
          <w:numId w:val="27"/>
        </w:numPr>
        <w:tabs>
          <w:tab w:val="left" w:pos="1800"/>
        </w:tabs>
        <w:spacing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with school district</w:t>
      </w:r>
      <w:r w:rsidR="00C56C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planning and financing</w:t>
      </w:r>
      <w:r w:rsidR="0078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needed </w:t>
      </w:r>
      <w:r w:rsidR="002B2264">
        <w:rPr>
          <w:rFonts w:ascii="Times New Roman" w:hAnsi="Times New Roman" w:cs="Times New Roman"/>
          <w:sz w:val="24"/>
          <w:szCs w:val="24"/>
        </w:rPr>
        <w:t>to i</w:t>
      </w:r>
      <w:r w:rsidR="002C5D44">
        <w:rPr>
          <w:rFonts w:ascii="Times New Roman" w:hAnsi="Times New Roman" w:cs="Times New Roman"/>
          <w:sz w:val="24"/>
          <w:szCs w:val="24"/>
        </w:rPr>
        <w:t>mprove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appropriate based on topography and surrounding neighborhood characteristics,</w:t>
      </w:r>
      <w:r w:rsidR="002C5D44">
        <w:rPr>
          <w:rFonts w:ascii="Times New Roman" w:hAnsi="Times New Roman" w:cs="Times New Roman"/>
          <w:sz w:val="24"/>
          <w:szCs w:val="24"/>
        </w:rPr>
        <w:t xml:space="preserve"> walking and biking routes to the school.</w:t>
      </w:r>
    </w:p>
    <w:p w14:paraId="600C744B" w14:textId="77777777" w:rsidR="00C15D12" w:rsidRDefault="00C15D12" w:rsidP="006C2359"/>
    <w:p w14:paraId="6791D529" w14:textId="77777777" w:rsidR="00F70E3D" w:rsidRPr="00634763" w:rsidRDefault="00F70E3D" w:rsidP="006C2359">
      <w:r w:rsidRPr="00C65939">
        <w:tab/>
      </w:r>
      <w:r w:rsidRPr="00C65939">
        <w:tab/>
      </w:r>
      <w:r w:rsidRPr="00C65939">
        <w:tab/>
        <w:t>____</w:t>
      </w:r>
      <w:r w:rsidRPr="00634763">
        <w:t>_____________________________________</w:t>
      </w:r>
      <w:r w:rsidRPr="00634763">
        <w:br/>
      </w:r>
      <w:r w:rsidRPr="00634763">
        <w:tab/>
      </w:r>
      <w:r w:rsidRPr="00634763">
        <w:tab/>
      </w:r>
      <w:r w:rsidRPr="00634763">
        <w:tab/>
        <w:t>Dow Constantine, Chair, Growth Management Planning Council</w:t>
      </w:r>
    </w:p>
    <w:sectPr w:rsidR="00F70E3D" w:rsidRPr="00634763" w:rsidSect="00ED7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08" w:bottom="1440" w:left="2448" w:header="1080" w:footer="720" w:gutter="0"/>
      <w:paperSrc w:first="7" w:other="7"/>
      <w:lnNumType w:countBy="1" w:distance="648" w:restart="continuous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7541D" w16cid:durableId="1E365989"/>
  <w16cid:commentId w16cid:paraId="7969B9BA" w16cid:durableId="1E365A6D"/>
  <w16cid:commentId w16cid:paraId="2BD1C675" w16cid:durableId="1E317393"/>
  <w16cid:commentId w16cid:paraId="4D7E3E2D" w16cid:durableId="1E3658AF"/>
  <w16cid:commentId w16cid:paraId="5A3DDAEA" w16cid:durableId="1E3658B0"/>
  <w16cid:commentId w16cid:paraId="35765A5B" w16cid:durableId="1E365A88"/>
  <w16cid:commentId w16cid:paraId="08996CBA" w16cid:durableId="1E3658B1"/>
  <w16cid:commentId w16cid:paraId="5AC89B16" w16cid:durableId="1E3658B2"/>
  <w16cid:commentId w16cid:paraId="29B74F12" w16cid:durableId="1E317142"/>
  <w16cid:commentId w16cid:paraId="153935CB" w16cid:durableId="1E3658B4"/>
  <w16cid:commentId w16cid:paraId="7E7340D6" w16cid:durableId="1E3658B5"/>
  <w16cid:commentId w16cid:paraId="1A61D559" w16cid:durableId="1E3658B6"/>
  <w16cid:commentId w16cid:paraId="0455F273" w16cid:durableId="1E3658B7"/>
  <w16cid:commentId w16cid:paraId="516DB382" w16cid:durableId="1E3658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5861B" w14:textId="77777777" w:rsidR="00C138CB" w:rsidRDefault="00C138CB" w:rsidP="001D12C0">
      <w:r>
        <w:separator/>
      </w:r>
    </w:p>
  </w:endnote>
  <w:endnote w:type="continuationSeparator" w:id="0">
    <w:p w14:paraId="4E6F67D5" w14:textId="77777777" w:rsidR="00C138CB" w:rsidRDefault="00C138CB" w:rsidP="001D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E097" w14:textId="77777777" w:rsidR="00A577B9" w:rsidRDefault="00A57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A4E5" w14:textId="77777777" w:rsidR="00A43219" w:rsidRDefault="00A43219">
    <w:pPr>
      <w:framePr w:w="29" w:h="17856" w:hRule="exact" w:hSpace="187" w:wrap="around" w:vAnchor="page" w:hAnchor="page" w:x="11593" w:y="1297" w:anchorLock="1"/>
      <w:pBdr>
        <w:left w:val="single" w:sz="12" w:space="1" w:color="auto"/>
      </w:pBdr>
    </w:pPr>
  </w:p>
  <w:p w14:paraId="1A65E818" w14:textId="77777777" w:rsidR="00A43219" w:rsidRDefault="00A43219" w:rsidP="00335790">
    <w:pPr>
      <w:pStyle w:val="Foo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D2B7" w14:textId="77777777" w:rsidR="00A577B9" w:rsidRDefault="00A57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AC01" w14:textId="77777777" w:rsidR="00C138CB" w:rsidRDefault="00C138CB" w:rsidP="001D12C0">
      <w:r>
        <w:separator/>
      </w:r>
    </w:p>
  </w:footnote>
  <w:footnote w:type="continuationSeparator" w:id="0">
    <w:p w14:paraId="2F92D2FC" w14:textId="77777777" w:rsidR="00C138CB" w:rsidRDefault="00C138CB" w:rsidP="001D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1AE2" w14:textId="77777777" w:rsidR="00A577B9" w:rsidRDefault="00A57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01EB6" w14:textId="6F8DC5A4" w:rsidR="00A43219" w:rsidRDefault="00A43219">
    <w:pPr>
      <w:pStyle w:val="Header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FE1B" w14:textId="77777777" w:rsidR="00A577B9" w:rsidRDefault="00A57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B78"/>
    <w:multiLevelType w:val="singleLevel"/>
    <w:tmpl w:val="7A4C12C0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</w:abstractNum>
  <w:abstractNum w:abstractNumId="1" w15:restartNumberingAfterBreak="0">
    <w:nsid w:val="18593C59"/>
    <w:multiLevelType w:val="singleLevel"/>
    <w:tmpl w:val="D884BCC0"/>
    <w:lvl w:ilvl="0">
      <w:start w:val="1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</w:abstractNum>
  <w:abstractNum w:abstractNumId="2" w15:restartNumberingAfterBreak="0">
    <w:nsid w:val="294576D8"/>
    <w:multiLevelType w:val="hybridMultilevel"/>
    <w:tmpl w:val="2548C1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7451D"/>
    <w:multiLevelType w:val="singleLevel"/>
    <w:tmpl w:val="C50E422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</w:abstractNum>
  <w:abstractNum w:abstractNumId="4" w15:restartNumberingAfterBreak="0">
    <w:nsid w:val="2E9D0A54"/>
    <w:multiLevelType w:val="hybridMultilevel"/>
    <w:tmpl w:val="C49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946E30"/>
    <w:multiLevelType w:val="hybridMultilevel"/>
    <w:tmpl w:val="F48AD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BE678F"/>
    <w:multiLevelType w:val="singleLevel"/>
    <w:tmpl w:val="599C4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38B06CD0"/>
    <w:multiLevelType w:val="singleLevel"/>
    <w:tmpl w:val="744E7872"/>
    <w:lvl w:ilvl="0">
      <w:start w:val="2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</w:abstractNum>
  <w:abstractNum w:abstractNumId="8" w15:restartNumberingAfterBreak="0">
    <w:nsid w:val="39A53D11"/>
    <w:multiLevelType w:val="hybridMultilevel"/>
    <w:tmpl w:val="E31EB048"/>
    <w:lvl w:ilvl="0" w:tplc="BE94A50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0B4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E054A49"/>
    <w:multiLevelType w:val="singleLevel"/>
    <w:tmpl w:val="A8B8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1" w15:restartNumberingAfterBreak="0">
    <w:nsid w:val="4F890A58"/>
    <w:multiLevelType w:val="hybridMultilevel"/>
    <w:tmpl w:val="29A85BF8"/>
    <w:lvl w:ilvl="0" w:tplc="D9E60128">
      <w:start w:val="2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D2249C"/>
    <w:multiLevelType w:val="singleLevel"/>
    <w:tmpl w:val="FF6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AD450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9286500"/>
    <w:multiLevelType w:val="hybridMultilevel"/>
    <w:tmpl w:val="151E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07D4"/>
    <w:multiLevelType w:val="singleLevel"/>
    <w:tmpl w:val="E8C69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789113F2"/>
    <w:multiLevelType w:val="singleLevel"/>
    <w:tmpl w:val="CD7EE734"/>
    <w:lvl w:ilvl="0">
      <w:start w:val="1"/>
      <w:numFmt w:val="lowerLetter"/>
      <w:lvlText w:val="%1."/>
      <w:lvlJc w:val="left"/>
      <w:pPr>
        <w:tabs>
          <w:tab w:val="num" w:pos="1443"/>
        </w:tabs>
        <w:ind w:left="1443" w:hanging="435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16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13"/>
    <w:lvlOverride w:ilvl="0">
      <w:startOverride w:val="1"/>
    </w:lvlOverride>
  </w:num>
  <w:num w:numId="20">
    <w:abstractNumId w:val="7"/>
    <w:lvlOverride w:ilvl="0">
      <w:startOverride w:val="2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6B"/>
    <w:rsid w:val="00001638"/>
    <w:rsid w:val="0000215D"/>
    <w:rsid w:val="00004206"/>
    <w:rsid w:val="000110C7"/>
    <w:rsid w:val="00023BD9"/>
    <w:rsid w:val="000530C4"/>
    <w:rsid w:val="0007431E"/>
    <w:rsid w:val="000810FF"/>
    <w:rsid w:val="000B674B"/>
    <w:rsid w:val="000C2355"/>
    <w:rsid w:val="000C4EF7"/>
    <w:rsid w:val="000C52A2"/>
    <w:rsid w:val="000D058F"/>
    <w:rsid w:val="000D190C"/>
    <w:rsid w:val="000D30C3"/>
    <w:rsid w:val="000E4C0A"/>
    <w:rsid w:val="000E7A06"/>
    <w:rsid w:val="000F3561"/>
    <w:rsid w:val="000F4847"/>
    <w:rsid w:val="001074C8"/>
    <w:rsid w:val="00111405"/>
    <w:rsid w:val="00131F0E"/>
    <w:rsid w:val="00136741"/>
    <w:rsid w:val="00146EC9"/>
    <w:rsid w:val="00165A2B"/>
    <w:rsid w:val="00180BEF"/>
    <w:rsid w:val="001A5D6D"/>
    <w:rsid w:val="001A6619"/>
    <w:rsid w:val="001C7468"/>
    <w:rsid w:val="001C7700"/>
    <w:rsid w:val="001C7C05"/>
    <w:rsid w:val="001D12C0"/>
    <w:rsid w:val="001D6683"/>
    <w:rsid w:val="001E6F97"/>
    <w:rsid w:val="001F0FFF"/>
    <w:rsid w:val="00213C33"/>
    <w:rsid w:val="00222085"/>
    <w:rsid w:val="00234673"/>
    <w:rsid w:val="002421DD"/>
    <w:rsid w:val="002539B3"/>
    <w:rsid w:val="0027193D"/>
    <w:rsid w:val="0028657D"/>
    <w:rsid w:val="00296E0D"/>
    <w:rsid w:val="002B2264"/>
    <w:rsid w:val="002C5D44"/>
    <w:rsid w:val="002C7431"/>
    <w:rsid w:val="002E7E43"/>
    <w:rsid w:val="0030625D"/>
    <w:rsid w:val="003216C6"/>
    <w:rsid w:val="0032685D"/>
    <w:rsid w:val="00335790"/>
    <w:rsid w:val="003366D5"/>
    <w:rsid w:val="00345C69"/>
    <w:rsid w:val="00357E41"/>
    <w:rsid w:val="003614B2"/>
    <w:rsid w:val="0039166C"/>
    <w:rsid w:val="003951DE"/>
    <w:rsid w:val="00396DD6"/>
    <w:rsid w:val="003A571A"/>
    <w:rsid w:val="003C5AEC"/>
    <w:rsid w:val="003E25E6"/>
    <w:rsid w:val="003E3D15"/>
    <w:rsid w:val="00430D79"/>
    <w:rsid w:val="004620A2"/>
    <w:rsid w:val="004704A5"/>
    <w:rsid w:val="004778CD"/>
    <w:rsid w:val="004803E1"/>
    <w:rsid w:val="00487993"/>
    <w:rsid w:val="00494B7D"/>
    <w:rsid w:val="004A135A"/>
    <w:rsid w:val="004A2D07"/>
    <w:rsid w:val="004B06C5"/>
    <w:rsid w:val="004B1187"/>
    <w:rsid w:val="004C7512"/>
    <w:rsid w:val="0050657F"/>
    <w:rsid w:val="00507197"/>
    <w:rsid w:val="005325BB"/>
    <w:rsid w:val="005327F4"/>
    <w:rsid w:val="005566E2"/>
    <w:rsid w:val="00563A1E"/>
    <w:rsid w:val="00563FE2"/>
    <w:rsid w:val="00591713"/>
    <w:rsid w:val="005A3BDD"/>
    <w:rsid w:val="005C6DD3"/>
    <w:rsid w:val="005E4B17"/>
    <w:rsid w:val="005F6181"/>
    <w:rsid w:val="00612749"/>
    <w:rsid w:val="006161E7"/>
    <w:rsid w:val="00620248"/>
    <w:rsid w:val="006253A6"/>
    <w:rsid w:val="00625B9E"/>
    <w:rsid w:val="00634763"/>
    <w:rsid w:val="00634B3C"/>
    <w:rsid w:val="00651A18"/>
    <w:rsid w:val="006523FD"/>
    <w:rsid w:val="00661ACC"/>
    <w:rsid w:val="006728A8"/>
    <w:rsid w:val="0067751D"/>
    <w:rsid w:val="00677AA9"/>
    <w:rsid w:val="00685711"/>
    <w:rsid w:val="00686DF9"/>
    <w:rsid w:val="006A4547"/>
    <w:rsid w:val="006C2359"/>
    <w:rsid w:val="006C241F"/>
    <w:rsid w:val="006D3321"/>
    <w:rsid w:val="006E3FD8"/>
    <w:rsid w:val="00707395"/>
    <w:rsid w:val="00743373"/>
    <w:rsid w:val="0078722D"/>
    <w:rsid w:val="0079303E"/>
    <w:rsid w:val="007971D4"/>
    <w:rsid w:val="007B4AD7"/>
    <w:rsid w:val="007B52DD"/>
    <w:rsid w:val="007B74E7"/>
    <w:rsid w:val="007E1A0A"/>
    <w:rsid w:val="00813623"/>
    <w:rsid w:val="00832356"/>
    <w:rsid w:val="008465F3"/>
    <w:rsid w:val="00847A4C"/>
    <w:rsid w:val="00871403"/>
    <w:rsid w:val="00883E1C"/>
    <w:rsid w:val="00885EA5"/>
    <w:rsid w:val="008A3889"/>
    <w:rsid w:val="008B6065"/>
    <w:rsid w:val="008D3A0D"/>
    <w:rsid w:val="00914ED2"/>
    <w:rsid w:val="00931562"/>
    <w:rsid w:val="00955E85"/>
    <w:rsid w:val="0095657C"/>
    <w:rsid w:val="00960F2A"/>
    <w:rsid w:val="00962C17"/>
    <w:rsid w:val="0098210A"/>
    <w:rsid w:val="00993D73"/>
    <w:rsid w:val="009A492F"/>
    <w:rsid w:val="009B4B87"/>
    <w:rsid w:val="009B70B2"/>
    <w:rsid w:val="009C1D88"/>
    <w:rsid w:val="009C2C27"/>
    <w:rsid w:val="009C38C8"/>
    <w:rsid w:val="009F0C18"/>
    <w:rsid w:val="00A03ED1"/>
    <w:rsid w:val="00A040BC"/>
    <w:rsid w:val="00A1099D"/>
    <w:rsid w:val="00A13566"/>
    <w:rsid w:val="00A13DB3"/>
    <w:rsid w:val="00A3401D"/>
    <w:rsid w:val="00A43219"/>
    <w:rsid w:val="00A50D20"/>
    <w:rsid w:val="00A530F1"/>
    <w:rsid w:val="00A577B9"/>
    <w:rsid w:val="00A8502B"/>
    <w:rsid w:val="00A9205D"/>
    <w:rsid w:val="00AB000B"/>
    <w:rsid w:val="00AB4FA6"/>
    <w:rsid w:val="00AB58CC"/>
    <w:rsid w:val="00AB5C06"/>
    <w:rsid w:val="00AC22C8"/>
    <w:rsid w:val="00AC6160"/>
    <w:rsid w:val="00AD04B6"/>
    <w:rsid w:val="00AD0DCE"/>
    <w:rsid w:val="00B2578D"/>
    <w:rsid w:val="00B46177"/>
    <w:rsid w:val="00B70518"/>
    <w:rsid w:val="00B903FB"/>
    <w:rsid w:val="00BC5681"/>
    <w:rsid w:val="00BD4E68"/>
    <w:rsid w:val="00BD7DCA"/>
    <w:rsid w:val="00BE0B06"/>
    <w:rsid w:val="00C06FC6"/>
    <w:rsid w:val="00C138CB"/>
    <w:rsid w:val="00C15D12"/>
    <w:rsid w:val="00C2794E"/>
    <w:rsid w:val="00C3389E"/>
    <w:rsid w:val="00C459EC"/>
    <w:rsid w:val="00C478F5"/>
    <w:rsid w:val="00C5049D"/>
    <w:rsid w:val="00C55A5F"/>
    <w:rsid w:val="00C56CEA"/>
    <w:rsid w:val="00C65939"/>
    <w:rsid w:val="00C817D4"/>
    <w:rsid w:val="00CA02F5"/>
    <w:rsid w:val="00CD08B1"/>
    <w:rsid w:val="00CD297F"/>
    <w:rsid w:val="00CD3F21"/>
    <w:rsid w:val="00CE1BBD"/>
    <w:rsid w:val="00CE5ED5"/>
    <w:rsid w:val="00D155BD"/>
    <w:rsid w:val="00D27356"/>
    <w:rsid w:val="00D364E0"/>
    <w:rsid w:val="00D52E63"/>
    <w:rsid w:val="00D53F84"/>
    <w:rsid w:val="00D61B5E"/>
    <w:rsid w:val="00D74DFD"/>
    <w:rsid w:val="00D75398"/>
    <w:rsid w:val="00D7651C"/>
    <w:rsid w:val="00D84AD7"/>
    <w:rsid w:val="00D86612"/>
    <w:rsid w:val="00DA5B4E"/>
    <w:rsid w:val="00DB056F"/>
    <w:rsid w:val="00DB10F9"/>
    <w:rsid w:val="00DC3B31"/>
    <w:rsid w:val="00DD4679"/>
    <w:rsid w:val="00E007E9"/>
    <w:rsid w:val="00E04C8C"/>
    <w:rsid w:val="00E16A3A"/>
    <w:rsid w:val="00E516F5"/>
    <w:rsid w:val="00E5664A"/>
    <w:rsid w:val="00E76C7C"/>
    <w:rsid w:val="00ED2B30"/>
    <w:rsid w:val="00ED7637"/>
    <w:rsid w:val="00ED79C3"/>
    <w:rsid w:val="00EE1270"/>
    <w:rsid w:val="00EE1EC4"/>
    <w:rsid w:val="00EF3C9C"/>
    <w:rsid w:val="00EF7E11"/>
    <w:rsid w:val="00F0545B"/>
    <w:rsid w:val="00F061F7"/>
    <w:rsid w:val="00F21710"/>
    <w:rsid w:val="00F34328"/>
    <w:rsid w:val="00F35A20"/>
    <w:rsid w:val="00F4106B"/>
    <w:rsid w:val="00F60CE4"/>
    <w:rsid w:val="00F70E3D"/>
    <w:rsid w:val="00F82AB1"/>
    <w:rsid w:val="00FA777F"/>
    <w:rsid w:val="00FB374D"/>
    <w:rsid w:val="00FC792E"/>
    <w:rsid w:val="00FF00A4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D638CF"/>
  <w15:docId w15:val="{BBEB5A8E-4BD8-475B-9FEE-7CC31CD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C3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51D"/>
    <w:pPr>
      <w:spacing w:after="180"/>
      <w:outlineLvl w:val="0"/>
    </w:pPr>
    <w:rPr>
      <w:b/>
      <w:bCs/>
      <w:spacing w:val="80"/>
      <w:sz w:val="26"/>
      <w:szCs w:val="26"/>
      <w:u w:val="word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51D"/>
    <w:pPr>
      <w:spacing w:after="180"/>
      <w:outlineLvl w:val="1"/>
    </w:pPr>
    <w:rPr>
      <w:b/>
      <w:bCs/>
      <w:i/>
      <w:iCs/>
      <w:spacing w:val="40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67751D"/>
    <w:pPr>
      <w:spacing w:after="180"/>
      <w:outlineLvl w:val="2"/>
    </w:pPr>
    <w:rPr>
      <w:i/>
      <w:iCs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F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3F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3FE2"/>
    <w:rPr>
      <w:rFonts w:ascii="Cambria" w:hAnsi="Cambria" w:cs="Times New Roman"/>
      <w:b/>
      <w:bCs/>
      <w:sz w:val="26"/>
      <w:szCs w:val="26"/>
    </w:rPr>
  </w:style>
  <w:style w:type="paragraph" w:styleId="NormalIndent">
    <w:name w:val="Normal Indent"/>
    <w:basedOn w:val="Normal"/>
    <w:uiPriority w:val="99"/>
    <w:rsid w:val="0067751D"/>
    <w:pPr>
      <w:ind w:left="504"/>
    </w:pPr>
  </w:style>
  <w:style w:type="paragraph" w:styleId="Footer">
    <w:name w:val="footer"/>
    <w:basedOn w:val="Normal"/>
    <w:link w:val="FooterChar"/>
    <w:uiPriority w:val="99"/>
    <w:rsid w:val="00677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751D"/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7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paragraph" w:customStyle="1" w:styleId="EnvelopeReturn1">
    <w:name w:val="Envelope Return1"/>
    <w:basedOn w:val="Normal"/>
    <w:uiPriority w:val="99"/>
    <w:rsid w:val="0067751D"/>
    <w:rPr>
      <w:sz w:val="20"/>
      <w:szCs w:val="20"/>
    </w:rPr>
  </w:style>
  <w:style w:type="paragraph" w:customStyle="1" w:styleId="EnvelopeAddress1">
    <w:name w:val="Envelope Address1"/>
    <w:basedOn w:val="Normal"/>
    <w:uiPriority w:val="99"/>
    <w:rsid w:val="0067751D"/>
    <w:pPr>
      <w:framePr w:w="7920" w:h="1980" w:hRule="exact" w:hSpace="180" w:wrap="auto" w:hAnchor="text" w:xAlign="center" w:yAlign="bottom"/>
      <w:ind w:left="2880"/>
    </w:pPr>
  </w:style>
  <w:style w:type="paragraph" w:styleId="EnvelopeAddress">
    <w:name w:val="envelope address"/>
    <w:basedOn w:val="Normal"/>
    <w:uiPriority w:val="99"/>
    <w:rsid w:val="0067751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67751D"/>
    <w:rPr>
      <w:sz w:val="20"/>
      <w:szCs w:val="20"/>
    </w:rPr>
  </w:style>
  <w:style w:type="paragraph" w:customStyle="1" w:styleId="Flush1CS1">
    <w:name w:val="Flush 1 &lt;CS 1&gt;"/>
    <w:basedOn w:val="Normal"/>
    <w:uiPriority w:val="99"/>
    <w:rsid w:val="0067751D"/>
  </w:style>
  <w:style w:type="paragraph" w:customStyle="1" w:styleId="Courier10">
    <w:name w:val="Courier 10"/>
    <w:basedOn w:val="Normal"/>
    <w:uiPriority w:val="99"/>
    <w:rsid w:val="0067751D"/>
    <w:rPr>
      <w:rFonts w:ascii="Courier New" w:hAnsi="Courier New" w:cs="Courier New"/>
      <w:sz w:val="20"/>
      <w:szCs w:val="20"/>
    </w:rPr>
  </w:style>
  <w:style w:type="paragraph" w:customStyle="1" w:styleId="Courier12">
    <w:name w:val="Courier 12"/>
    <w:basedOn w:val="Normal"/>
    <w:uiPriority w:val="99"/>
    <w:rsid w:val="0067751D"/>
    <w:rPr>
      <w:rFonts w:ascii="Courier New" w:hAnsi="Courier New" w:cs="Courier New"/>
    </w:rPr>
  </w:style>
  <w:style w:type="paragraph" w:customStyle="1" w:styleId="CGTimes11">
    <w:name w:val="CG Times 11"/>
    <w:basedOn w:val="Normal"/>
    <w:uiPriority w:val="99"/>
    <w:rsid w:val="0067751D"/>
    <w:rPr>
      <w:rFonts w:ascii="CG Times" w:hAnsi="CG Times" w:cs="CG Times"/>
      <w:sz w:val="22"/>
      <w:szCs w:val="22"/>
    </w:rPr>
  </w:style>
  <w:style w:type="paragraph" w:customStyle="1" w:styleId="Flush4CS4">
    <w:name w:val="Flush 4 &lt;CS 4&gt;"/>
    <w:uiPriority w:val="99"/>
    <w:rsid w:val="0067751D"/>
    <w:pPr>
      <w:tabs>
        <w:tab w:val="left" w:pos="2016"/>
        <w:tab w:val="right" w:pos="6960"/>
        <w:tab w:val="right" w:pos="8400"/>
      </w:tabs>
      <w:spacing w:after="240" w:line="260" w:lineRule="exact"/>
      <w:ind w:left="1512"/>
    </w:pPr>
    <w:rPr>
      <w:rFonts w:cs="CG Times (WN)"/>
      <w:sz w:val="24"/>
      <w:szCs w:val="24"/>
    </w:rPr>
  </w:style>
  <w:style w:type="character" w:styleId="LineNumber">
    <w:name w:val="line number"/>
    <w:basedOn w:val="DefaultParagraphFont"/>
    <w:uiPriority w:val="99"/>
    <w:rsid w:val="0067751D"/>
    <w:rPr>
      <w:rFonts w:ascii="Times New Roman" w:hAnsi="Times New Roman" w:cs="Times New Roman"/>
      <w:sz w:val="24"/>
      <w:szCs w:val="24"/>
    </w:rPr>
  </w:style>
  <w:style w:type="paragraph" w:customStyle="1" w:styleId="Font-Arial-11">
    <w:name w:val="Font-Arial-11"/>
    <w:basedOn w:val="Normal"/>
    <w:uiPriority w:val="99"/>
    <w:rsid w:val="00BE0B06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96E0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96E0D"/>
    <w:pPr>
      <w:spacing w:after="120"/>
      <w:ind w:left="36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paragraph" w:customStyle="1" w:styleId="policy">
    <w:name w:val="policy"/>
    <w:basedOn w:val="BodyText"/>
    <w:uiPriority w:val="99"/>
    <w:rsid w:val="00296E0D"/>
    <w:pPr>
      <w:tabs>
        <w:tab w:val="left" w:pos="1008"/>
      </w:tabs>
      <w:ind w:left="1008" w:hanging="1008"/>
    </w:pPr>
  </w:style>
  <w:style w:type="paragraph" w:customStyle="1" w:styleId="Sub-policy">
    <w:name w:val="Sub-policy"/>
    <w:basedOn w:val="BodyText"/>
    <w:uiPriority w:val="99"/>
    <w:rsid w:val="00296E0D"/>
    <w:pPr>
      <w:ind w:left="1368" w:hanging="360"/>
    </w:pPr>
  </w:style>
  <w:style w:type="paragraph" w:customStyle="1" w:styleId="sub-sub-policy">
    <w:name w:val="sub-sub-policy"/>
    <w:basedOn w:val="BodyText"/>
    <w:uiPriority w:val="99"/>
    <w:rsid w:val="00296E0D"/>
    <w:pPr>
      <w:ind w:left="1728" w:hanging="360"/>
    </w:pPr>
  </w:style>
  <w:style w:type="paragraph" w:styleId="BodyTextIndent2">
    <w:name w:val="Body Text Indent 2"/>
    <w:basedOn w:val="Normal"/>
    <w:link w:val="BodyTextIndent2Char"/>
    <w:uiPriority w:val="99"/>
    <w:rsid w:val="00296E0D"/>
    <w:pPr>
      <w:ind w:left="1440" w:hanging="435"/>
    </w:pPr>
    <w:rPr>
      <w:rFonts w:ascii="Arial" w:hAnsi="Arial" w:cs="Arial"/>
      <w:b/>
      <w:bCs/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96E0D"/>
    <w:pPr>
      <w:ind w:left="990" w:hanging="99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3FE2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9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FE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C23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93156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C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E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B0D9-712F-4DDE-A69D-5FBC30C1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Template</vt:lpstr>
    </vt:vector>
  </TitlesOfParts>
  <Company>ORPP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Template</dc:title>
  <dc:creator>Kamuron Gurol</dc:creator>
  <cp:lastModifiedBy>Wolf, Karen</cp:lastModifiedBy>
  <cp:revision>2</cp:revision>
  <cp:lastPrinted>2018-02-21T22:42:00Z</cp:lastPrinted>
  <dcterms:created xsi:type="dcterms:W3CDTF">2018-10-03T21:24:00Z</dcterms:created>
  <dcterms:modified xsi:type="dcterms:W3CDTF">2018-10-03T21:24:00Z</dcterms:modified>
</cp:coreProperties>
</file>