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D277" w14:textId="77777777" w:rsidR="003843B5" w:rsidRDefault="000F1BAC" w:rsidP="00104062">
      <w:pPr>
        <w:pStyle w:val="4Header"/>
        <w:spacing w:line="240" w:lineRule="atLeast"/>
        <w:rPr>
          <w:rStyle w:val="4Subheadbody"/>
          <w:rFonts w:ascii="Avenir LT Std 65 Medium" w:hAnsi="Avenir LT Std 65 Medium"/>
          <w:caps/>
          <w:spacing w:val="10"/>
          <w:sz w:val="34"/>
        </w:rPr>
      </w:pPr>
      <w:bookmarkStart w:id="0" w:name="_GoBack"/>
      <w:bookmarkEnd w:id="0"/>
      <w:r>
        <w:rPr>
          <w:rStyle w:val="4Subheadbody"/>
          <w:rFonts w:ascii="Avenir LT Std 65 Medium" w:hAnsi="Avenir LT Std 65 Medium"/>
          <w:caps/>
          <w:spacing w:val="10"/>
          <w:sz w:val="34"/>
        </w:rPr>
        <w:t>MEMO</w:t>
      </w:r>
    </w:p>
    <w:p w14:paraId="6909E177" w14:textId="77777777" w:rsidR="003843B5" w:rsidRDefault="003843B5">
      <w:pPr>
        <w:pStyle w:val="4Header"/>
        <w:rPr>
          <w:rStyle w:val="4Subheadbody"/>
          <w:rFonts w:ascii="Avenir LT Std 65 Medium" w:hAnsi="Avenir LT Std 65 Medium"/>
          <w:caps/>
          <w:spacing w:val="10"/>
          <w:sz w:val="3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16"/>
        <w:gridCol w:w="6300"/>
      </w:tblGrid>
      <w:tr w:rsidR="000F1BAC" w14:paraId="40E47915" w14:textId="77777777" w:rsidTr="007F6833">
        <w:trPr>
          <w:trHeight w:val="288"/>
        </w:trPr>
        <w:tc>
          <w:tcPr>
            <w:tcW w:w="1316" w:type="dxa"/>
            <w:vAlign w:val="center"/>
          </w:tcPr>
          <w:p w14:paraId="3B1B81F3" w14:textId="77777777" w:rsidR="000F1BAC" w:rsidRDefault="000F1BAC" w:rsidP="009C2144">
            <w:pPr>
              <w:rPr>
                <w:rFonts w:ascii="Avenir LT Std 65 Medium" w:hAnsi="Avenir LT Std 65 Medium"/>
                <w:caps/>
                <w:spacing w:val="10"/>
                <w:sz w:val="20"/>
              </w:rPr>
            </w:pPr>
            <w:r>
              <w:rPr>
                <w:rFonts w:ascii="Avenir LT Std 65 Medium" w:hAnsi="Avenir LT Std 65 Medium"/>
                <w:caps/>
                <w:spacing w:val="10"/>
                <w:sz w:val="20"/>
              </w:rPr>
              <w:t>date</w:t>
            </w:r>
          </w:p>
        </w:tc>
        <w:tc>
          <w:tcPr>
            <w:tcW w:w="6300" w:type="dxa"/>
            <w:vAlign w:val="center"/>
          </w:tcPr>
          <w:p w14:paraId="29551A73" w14:textId="257E02E2" w:rsidR="000F1BAC" w:rsidRDefault="00026C9D" w:rsidP="009C2144">
            <w:pPr>
              <w:rPr>
                <w:rFonts w:ascii="Adobe Garamond Pro" w:hAnsi="Adobe Garamond Pro"/>
                <w:sz w:val="22"/>
              </w:rPr>
            </w:pPr>
            <w:r>
              <w:rPr>
                <w:rFonts w:ascii="Adobe Garamond Pro" w:hAnsi="Adobe Garamond Pro"/>
                <w:sz w:val="22"/>
              </w:rPr>
              <w:t>June 1</w:t>
            </w:r>
            <w:r w:rsidR="00B762BA">
              <w:rPr>
                <w:rFonts w:ascii="Adobe Garamond Pro" w:hAnsi="Adobe Garamond Pro"/>
                <w:sz w:val="22"/>
              </w:rPr>
              <w:t>4</w:t>
            </w:r>
            <w:r>
              <w:rPr>
                <w:rFonts w:ascii="Adobe Garamond Pro" w:hAnsi="Adobe Garamond Pro"/>
                <w:sz w:val="22"/>
              </w:rPr>
              <w:t>, 2019</w:t>
            </w:r>
          </w:p>
        </w:tc>
      </w:tr>
      <w:tr w:rsidR="000F1BAC" w14:paraId="326AD66E" w14:textId="77777777" w:rsidTr="007F6833">
        <w:trPr>
          <w:trHeight w:val="288"/>
        </w:trPr>
        <w:tc>
          <w:tcPr>
            <w:tcW w:w="1316" w:type="dxa"/>
            <w:vAlign w:val="center"/>
          </w:tcPr>
          <w:p w14:paraId="1805E32A" w14:textId="77777777" w:rsidR="000F1BAC" w:rsidRDefault="000F1BAC" w:rsidP="009C2144">
            <w:pPr>
              <w:rPr>
                <w:rFonts w:ascii="Avenir LT Std 65 Medium" w:hAnsi="Avenir LT Std 65 Medium"/>
                <w:sz w:val="20"/>
              </w:rPr>
            </w:pPr>
            <w:r>
              <w:rPr>
                <w:rFonts w:ascii="Avenir LT Std 65 Medium" w:hAnsi="Avenir LT Std 65 Medium"/>
                <w:caps/>
                <w:spacing w:val="10"/>
                <w:sz w:val="20"/>
              </w:rPr>
              <w:t>TO</w:t>
            </w:r>
          </w:p>
        </w:tc>
        <w:tc>
          <w:tcPr>
            <w:tcW w:w="6300" w:type="dxa"/>
            <w:vAlign w:val="center"/>
          </w:tcPr>
          <w:p w14:paraId="34E86F24" w14:textId="5AD7B49B" w:rsidR="000F1BAC" w:rsidRDefault="00B762BA" w:rsidP="007F6833">
            <w:pPr>
              <w:rPr>
                <w:rFonts w:ascii="Avenir LT Std 65 Medium" w:hAnsi="Avenir LT Std 65 Medium"/>
                <w:sz w:val="20"/>
              </w:rPr>
            </w:pPr>
            <w:r>
              <w:rPr>
                <w:rFonts w:ascii="Adobe Garamond Pro" w:hAnsi="Adobe Garamond Pro"/>
                <w:sz w:val="22"/>
              </w:rPr>
              <w:t xml:space="preserve">King County Council </w:t>
            </w:r>
          </w:p>
        </w:tc>
      </w:tr>
      <w:tr w:rsidR="000F1BAC" w14:paraId="61B93A03" w14:textId="77777777" w:rsidTr="007F6833">
        <w:trPr>
          <w:trHeight w:val="288"/>
        </w:trPr>
        <w:tc>
          <w:tcPr>
            <w:tcW w:w="1316" w:type="dxa"/>
            <w:vAlign w:val="center"/>
          </w:tcPr>
          <w:p w14:paraId="47B108B6" w14:textId="77777777" w:rsidR="000F1BAC" w:rsidRDefault="000F1BAC" w:rsidP="009C2144">
            <w:pPr>
              <w:rPr>
                <w:rFonts w:ascii="Avenir LT Std 65 Medium" w:hAnsi="Avenir LT Std 65 Medium"/>
                <w:caps/>
                <w:spacing w:val="12"/>
                <w:sz w:val="20"/>
              </w:rPr>
            </w:pPr>
            <w:r>
              <w:rPr>
                <w:rFonts w:ascii="Avenir LT Std 65 Medium" w:hAnsi="Avenir LT Std 65 Medium"/>
                <w:caps/>
                <w:spacing w:val="10"/>
                <w:sz w:val="20"/>
              </w:rPr>
              <w:t>FROM</w:t>
            </w:r>
          </w:p>
        </w:tc>
        <w:tc>
          <w:tcPr>
            <w:tcW w:w="6300" w:type="dxa"/>
            <w:vAlign w:val="center"/>
          </w:tcPr>
          <w:p w14:paraId="6DA80448" w14:textId="77777777" w:rsidR="000F1BAC" w:rsidRDefault="007F6833" w:rsidP="009C2144">
            <w:pPr>
              <w:rPr>
                <w:rFonts w:ascii="Avenir LT Std 65 Medium" w:hAnsi="Avenir LT Std 65 Medium"/>
                <w:caps/>
                <w:sz w:val="20"/>
              </w:rPr>
            </w:pPr>
            <w:r>
              <w:rPr>
                <w:rFonts w:ascii="Adobe Garamond Pro" w:hAnsi="Adobe Garamond Pro"/>
                <w:sz w:val="22"/>
              </w:rPr>
              <w:t xml:space="preserve">Brian </w:t>
            </w:r>
            <w:r w:rsidR="00D150C6">
              <w:rPr>
                <w:rFonts w:ascii="Adobe Garamond Pro" w:hAnsi="Adobe Garamond Pro"/>
                <w:sz w:val="22"/>
              </w:rPr>
              <w:t xml:space="preserve">J. </w:t>
            </w:r>
            <w:r>
              <w:rPr>
                <w:rFonts w:ascii="Adobe Garamond Pro" w:hAnsi="Adobe Garamond Pro"/>
                <w:sz w:val="22"/>
              </w:rPr>
              <w:t>Carter</w:t>
            </w:r>
          </w:p>
        </w:tc>
      </w:tr>
      <w:tr w:rsidR="000F1BAC" w14:paraId="0D02C09D" w14:textId="77777777" w:rsidTr="007F6833">
        <w:trPr>
          <w:trHeight w:val="288"/>
        </w:trPr>
        <w:tc>
          <w:tcPr>
            <w:tcW w:w="1316" w:type="dxa"/>
            <w:vAlign w:val="center"/>
          </w:tcPr>
          <w:p w14:paraId="19F368AC" w14:textId="67F9F631" w:rsidR="000F1BAC" w:rsidRDefault="000F1BAC" w:rsidP="009C2144">
            <w:pPr>
              <w:rPr>
                <w:rFonts w:ascii="Avenir LT Std 65 Medium" w:hAnsi="Avenir LT Std 65 Medium"/>
                <w:caps/>
                <w:spacing w:val="12"/>
                <w:sz w:val="20"/>
              </w:rPr>
            </w:pPr>
            <w:r>
              <w:rPr>
                <w:rFonts w:ascii="Avenir LT Std 65 Medium" w:hAnsi="Avenir LT Std 65 Medium"/>
                <w:caps/>
                <w:spacing w:val="10"/>
                <w:sz w:val="20"/>
              </w:rPr>
              <w:t>TEL</w:t>
            </w:r>
          </w:p>
        </w:tc>
        <w:tc>
          <w:tcPr>
            <w:tcW w:w="6300" w:type="dxa"/>
            <w:vAlign w:val="center"/>
          </w:tcPr>
          <w:p w14:paraId="2A035152" w14:textId="5ADC1A50" w:rsidR="000F1BAC" w:rsidRDefault="00B762BA" w:rsidP="009C2144">
            <w:pPr>
              <w:rPr>
                <w:rFonts w:ascii="Avenir LT Std 65 Medium" w:hAnsi="Avenir LT Std 65 Medium"/>
                <w:caps/>
                <w:sz w:val="20"/>
              </w:rPr>
            </w:pPr>
            <w:r>
              <w:rPr>
                <w:rFonts w:ascii="Adobe Garamond Pro" w:hAnsi="Adobe Garamond Pro"/>
                <w:sz w:val="22"/>
              </w:rPr>
              <w:t>206.263.3725</w:t>
            </w:r>
          </w:p>
        </w:tc>
      </w:tr>
      <w:tr w:rsidR="000F1BAC" w14:paraId="6BE84191" w14:textId="77777777" w:rsidTr="007F6833">
        <w:trPr>
          <w:trHeight w:val="288"/>
        </w:trPr>
        <w:tc>
          <w:tcPr>
            <w:tcW w:w="1316" w:type="dxa"/>
            <w:vAlign w:val="center"/>
          </w:tcPr>
          <w:p w14:paraId="3DA3EEF9" w14:textId="77777777" w:rsidR="000F1BAC" w:rsidRDefault="000F1BAC" w:rsidP="009C2144">
            <w:pPr>
              <w:rPr>
                <w:rFonts w:ascii="Avenir LT Std 65 Medium" w:hAnsi="Avenir LT Std 65 Medium"/>
                <w:caps/>
                <w:spacing w:val="12"/>
                <w:sz w:val="20"/>
              </w:rPr>
            </w:pPr>
            <w:r>
              <w:rPr>
                <w:rFonts w:ascii="Avenir LT Std 65 Medium" w:hAnsi="Avenir LT Std 65 Medium"/>
                <w:caps/>
                <w:spacing w:val="10"/>
                <w:sz w:val="20"/>
              </w:rPr>
              <w:t>RE</w:t>
            </w:r>
          </w:p>
        </w:tc>
        <w:tc>
          <w:tcPr>
            <w:tcW w:w="6300" w:type="dxa"/>
            <w:vAlign w:val="center"/>
          </w:tcPr>
          <w:p w14:paraId="5513992D" w14:textId="77777777" w:rsidR="000F1BAC" w:rsidRDefault="007F6833" w:rsidP="009C2144">
            <w:pPr>
              <w:rPr>
                <w:rFonts w:ascii="Avenir LT Std 65 Medium" w:hAnsi="Avenir LT Std 65 Medium"/>
                <w:caps/>
                <w:sz w:val="20"/>
              </w:rPr>
            </w:pPr>
            <w:r>
              <w:rPr>
                <w:rFonts w:ascii="Adobe Garamond Pro" w:hAnsi="Adobe Garamond Pro"/>
                <w:sz w:val="22"/>
              </w:rPr>
              <w:t>Building 4Equity Program</w:t>
            </w:r>
            <w:r w:rsidR="00833C3F">
              <w:rPr>
                <w:rFonts w:ascii="Adobe Garamond Pro" w:hAnsi="Adobe Garamond Pro"/>
                <w:sz w:val="22"/>
              </w:rPr>
              <w:t xml:space="preserve"> Design</w:t>
            </w:r>
          </w:p>
        </w:tc>
      </w:tr>
    </w:tbl>
    <w:p w14:paraId="482838EF" w14:textId="77777777" w:rsidR="003843B5" w:rsidRDefault="003843B5">
      <w:pPr>
        <w:pStyle w:val="4Header"/>
      </w:pPr>
    </w:p>
    <w:p w14:paraId="4A1CF9F9" w14:textId="77777777" w:rsidR="003843B5" w:rsidRDefault="00071A85" w:rsidP="00104062">
      <w:pPr>
        <w:pStyle w:val="4Subhead"/>
        <w:rPr>
          <w:rFonts w:ascii="Adobe Garamond Pro" w:hAnsi="Adobe Garamond Pro"/>
          <w:b w:val="0"/>
          <w:bCs/>
          <w:caps w:val="0"/>
          <w:sz w:val="22"/>
        </w:rPr>
      </w:pPr>
      <w:r>
        <w:rPr>
          <w:rFonts w:ascii="Adobe Garamond Pro" w:hAnsi="Adobe Garamond Pro"/>
          <w:b w:val="0"/>
          <w:bCs/>
          <w:caps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697C9" wp14:editId="1279C8D9">
                <wp:simplePos x="0" y="0"/>
                <wp:positionH relativeFrom="page">
                  <wp:posOffset>6096000</wp:posOffset>
                </wp:positionH>
                <wp:positionV relativeFrom="page">
                  <wp:posOffset>609600</wp:posOffset>
                </wp:positionV>
                <wp:extent cx="1125855" cy="2133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44AAE" w14:textId="77777777" w:rsidR="003843B5" w:rsidRDefault="00071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6E5BF" wp14:editId="22A8970C">
                                  <wp:extent cx="1081888" cy="188691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1_address_hea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88" cy="188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697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0pt;margin-top:48pt;width:88.6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" filled="f" stroked="f">
                <v:textbox inset="0,0,0,0">
                  <w:txbxContent>
                    <w:p w14:paraId="67744AAE" w14:textId="77777777" w:rsidR="003843B5" w:rsidRDefault="00071A85">
                      <w:r>
                        <w:rPr>
                          <w:noProof/>
                        </w:rPr>
                        <w:drawing>
                          <wp:inline distT="0" distB="0" distL="0" distR="0" wp14:anchorId="0B06E5BF" wp14:editId="22A8970C">
                            <wp:extent cx="1081888" cy="188691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1_address_hea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88" cy="188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61F33D" w14:textId="515AD83E" w:rsidR="00833C3F" w:rsidRPr="00833C3F" w:rsidRDefault="008D7BFF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 w:rsidRPr="00833C3F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Dear </w:t>
      </w:r>
      <w:r w:rsidR="00B762BA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King County Councilmembers,</w:t>
      </w:r>
    </w:p>
    <w:p w14:paraId="0FBD58EF" w14:textId="77777777" w:rsidR="00026C9D" w:rsidRDefault="00026C9D" w:rsidP="00104062">
      <w:pPr>
        <w:pStyle w:val="4Subhead"/>
        <w:rPr>
          <w:rFonts w:ascii="Adobe Garamond Pro" w:hAnsi="Adobe Garamond Pro"/>
          <w:sz w:val="22"/>
        </w:rPr>
      </w:pPr>
    </w:p>
    <w:p w14:paraId="6E098058" w14:textId="77777777" w:rsidR="003D47DE" w:rsidRDefault="003D47DE" w:rsidP="00A6498F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I offer you the following memo to augment the Building 4Equity program description on pages 417-419 of the Staff Report from the BFM meeting on June 11, 2019 (agenda items 8-11). Please contact me if you have further questions or would like to meet to discuss. </w:t>
      </w:r>
    </w:p>
    <w:p w14:paraId="7D8DA0A8" w14:textId="77777777" w:rsidR="003D47DE" w:rsidRDefault="003D47DE" w:rsidP="00A6498F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p w14:paraId="3D59546D" w14:textId="77777777" w:rsidR="00833C3F" w:rsidRDefault="00833C3F" w:rsidP="00A6498F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Building 4Equity, a large-scale cultural facilities program developed by 4Culture in collaboration with the King County Council and </w:t>
      </w:r>
      <w:r w:rsidR="00A6498F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the King County Executive, was designed to address the following priorities: </w:t>
      </w:r>
    </w:p>
    <w:p w14:paraId="2708BC21" w14:textId="77777777" w:rsidR="00A6498F" w:rsidRDefault="00A6498F" w:rsidP="00A6498F">
      <w:pPr>
        <w:pStyle w:val="4Subhead"/>
        <w:numPr>
          <w:ilvl w:val="0"/>
          <w:numId w:val="9"/>
        </w:numP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Unanticipated </w:t>
      </w:r>
      <w:r w:rsidR="00177E9F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construction 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costs preventing cultural organizations from </w:t>
      </w:r>
      <w:r w:rsidR="00177E9F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closing out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urgent projects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.</w:t>
      </w:r>
    </w:p>
    <w:p w14:paraId="1526125C" w14:textId="77777777" w:rsidR="00A6498F" w:rsidRDefault="00A6498F" w:rsidP="00A6498F">
      <w:pPr>
        <w:pStyle w:val="4Subhead"/>
        <w:numPr>
          <w:ilvl w:val="0"/>
          <w:numId w:val="9"/>
        </w:numP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New opportunities to align cultural facilities with other countywide priorities, e.g. transit-oriented develop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ment</w:t>
      </w:r>
      <w:r w:rsidR="00D5010E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, seismic reinforcement for public spaces, etc.</w:t>
      </w:r>
    </w:p>
    <w:p w14:paraId="709B1B20" w14:textId="3F7F9215" w:rsidR="00177E9F" w:rsidRDefault="00CD64D1" w:rsidP="00A6498F">
      <w:pPr>
        <w:pStyle w:val="4Subhead"/>
        <w:numPr>
          <w:ilvl w:val="0"/>
          <w:numId w:val="9"/>
        </w:numP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Greater emphasis on equity in </w:t>
      </w:r>
      <w:r w:rsidR="006F40F4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the funding of 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cultural facility </w:t>
      </w:r>
      <w:r w:rsidR="006F40F4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creation</w:t>
      </w:r>
      <w:r w:rsidR="00B762BA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, renovation, expansion,</w:t>
      </w:r>
      <w:r w:rsidR="006F40F4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and preservation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.</w:t>
      </w:r>
    </w:p>
    <w:p w14:paraId="258273F1" w14:textId="77777777" w:rsidR="002656C6" w:rsidRDefault="002656C6" w:rsidP="002656C6">
      <w:pPr>
        <w:pStyle w:val="4Subhead"/>
        <w:ind w:left="720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p w14:paraId="18A6A4D8" w14:textId="77777777" w:rsidR="00D91D53" w:rsidRDefault="00CD64D1" w:rsidP="00CD64D1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To carry out this work, 4Culture </w:t>
      </w:r>
      <w:r w:rsidR="00D91D53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structured the program into two 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phases</w:t>
      </w:r>
      <w:r w:rsidR="003D47DE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.</w:t>
      </w:r>
    </w:p>
    <w:p w14:paraId="4C0EA01A" w14:textId="77777777" w:rsidR="003D47DE" w:rsidRDefault="003D47DE" w:rsidP="00CD64D1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8"/>
        <w:gridCol w:w="2959"/>
      </w:tblGrid>
      <w:tr w:rsidR="00D91D53" w14:paraId="7F4C887C" w14:textId="77777777" w:rsidTr="003D47DE">
        <w:tc>
          <w:tcPr>
            <w:tcW w:w="2958" w:type="dxa"/>
            <w:shd w:val="clear" w:color="auto" w:fill="000000" w:themeFill="text1"/>
          </w:tcPr>
          <w:p w14:paraId="6820D0AC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Program Phase</w:t>
            </w:r>
          </w:p>
        </w:tc>
        <w:tc>
          <w:tcPr>
            <w:tcW w:w="2958" w:type="dxa"/>
            <w:shd w:val="clear" w:color="auto" w:fill="000000" w:themeFill="text1"/>
          </w:tcPr>
          <w:p w14:paraId="4DF23E69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Description</w:t>
            </w:r>
          </w:p>
        </w:tc>
        <w:tc>
          <w:tcPr>
            <w:tcW w:w="2959" w:type="dxa"/>
            <w:shd w:val="clear" w:color="auto" w:fill="000000" w:themeFill="text1"/>
          </w:tcPr>
          <w:p w14:paraId="61511982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Funding Allocation</w:t>
            </w:r>
          </w:p>
        </w:tc>
      </w:tr>
      <w:tr w:rsidR="00D91D53" w14:paraId="32194D64" w14:textId="77777777" w:rsidTr="00D91D53">
        <w:tc>
          <w:tcPr>
            <w:tcW w:w="2958" w:type="dxa"/>
            <w:vMerge w:val="restart"/>
            <w:vAlign w:val="center"/>
          </w:tcPr>
          <w:p w14:paraId="361CEB58" w14:textId="77777777" w:rsidR="00D91D53" w:rsidRDefault="00D91D53" w:rsidP="00D91D53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Phase I</w:t>
            </w:r>
          </w:p>
        </w:tc>
        <w:tc>
          <w:tcPr>
            <w:tcW w:w="2958" w:type="dxa"/>
          </w:tcPr>
          <w:p w14:paraId="0E7D50D6" w14:textId="77777777" w:rsidR="00D91D53" w:rsidRDefault="00D91D53" w:rsidP="00D91D53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Responding to applicants with immediate needs to complete construction projects</w:t>
            </w:r>
          </w:p>
        </w:tc>
        <w:tc>
          <w:tcPr>
            <w:tcW w:w="2959" w:type="dxa"/>
          </w:tcPr>
          <w:p w14:paraId="7892C841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$7 million</w:t>
            </w:r>
          </w:p>
        </w:tc>
      </w:tr>
      <w:tr w:rsidR="00D91D53" w14:paraId="0C21933E" w14:textId="77777777" w:rsidTr="00D91D53">
        <w:tc>
          <w:tcPr>
            <w:tcW w:w="2958" w:type="dxa"/>
            <w:vMerge/>
          </w:tcPr>
          <w:p w14:paraId="0FBABED6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A37D27D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Preservation Action Fund Allocation</w:t>
            </w:r>
          </w:p>
        </w:tc>
        <w:tc>
          <w:tcPr>
            <w:tcW w:w="2959" w:type="dxa"/>
          </w:tcPr>
          <w:p w14:paraId="1A92C879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$1 million</w:t>
            </w:r>
          </w:p>
        </w:tc>
      </w:tr>
      <w:tr w:rsidR="00D91D53" w14:paraId="57582FB2" w14:textId="77777777" w:rsidTr="00D91D53">
        <w:tc>
          <w:tcPr>
            <w:tcW w:w="2958" w:type="dxa"/>
            <w:vMerge/>
          </w:tcPr>
          <w:p w14:paraId="7F1A575C" w14:textId="77777777" w:rsidR="00D91D53" w:rsidRDefault="00D91D53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0965A36" w14:textId="77777777" w:rsidR="00D91D53" w:rsidRDefault="002656C6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 xml:space="preserve">Capital Projects </w:t>
            </w:r>
            <w:r w:rsidR="00D91D53"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Ramp-Up Initiative</w:t>
            </w:r>
          </w:p>
        </w:tc>
        <w:tc>
          <w:tcPr>
            <w:tcW w:w="2959" w:type="dxa"/>
          </w:tcPr>
          <w:p w14:paraId="130F91C7" w14:textId="77777777" w:rsidR="00D91D53" w:rsidRDefault="002656C6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$2 million</w:t>
            </w:r>
          </w:p>
        </w:tc>
      </w:tr>
      <w:tr w:rsidR="00D91D53" w14:paraId="0F208668" w14:textId="77777777" w:rsidTr="00D91D53">
        <w:tc>
          <w:tcPr>
            <w:tcW w:w="2958" w:type="dxa"/>
          </w:tcPr>
          <w:p w14:paraId="6D2AA68A" w14:textId="77777777" w:rsidR="00D91D53" w:rsidRDefault="002656C6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Phase II</w:t>
            </w:r>
          </w:p>
        </w:tc>
        <w:tc>
          <w:tcPr>
            <w:tcW w:w="2958" w:type="dxa"/>
          </w:tcPr>
          <w:p w14:paraId="1843E509" w14:textId="77777777" w:rsidR="00D91D53" w:rsidRDefault="002656C6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Facilities Grant Program</w:t>
            </w:r>
          </w:p>
        </w:tc>
        <w:tc>
          <w:tcPr>
            <w:tcW w:w="2959" w:type="dxa"/>
          </w:tcPr>
          <w:p w14:paraId="7FB64921" w14:textId="77777777" w:rsidR="00D91D53" w:rsidRDefault="002656C6" w:rsidP="00CD64D1">
            <w:pPr>
              <w:pStyle w:val="4Subhead"/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$</w:t>
            </w:r>
            <w:r w:rsidR="003B40C7">
              <w:rPr>
                <w:rFonts w:ascii="Times New Roman" w:eastAsia="Times New Roman" w:hAnsi="Times New Roman"/>
                <w:b w:val="0"/>
                <w:caps w:val="0"/>
                <w:spacing w:val="0"/>
                <w:sz w:val="24"/>
                <w:szCs w:val="24"/>
              </w:rPr>
              <w:t>10 million</w:t>
            </w:r>
          </w:p>
        </w:tc>
      </w:tr>
    </w:tbl>
    <w:p w14:paraId="6DD0EA5E" w14:textId="34483660" w:rsidR="007F6833" w:rsidRDefault="006F40F4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lastRenderedPageBreak/>
        <w:t xml:space="preserve">Phase I includes applicants </w:t>
      </w:r>
      <w:r w:rsidR="00D150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that 1) originally sought funding through 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the 2018 Cultural Facilities Program</w:t>
      </w:r>
      <w:r w:rsidR="00D150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, </w:t>
      </w:r>
      <w:r w:rsidR="00B762BA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or</w:t>
      </w:r>
      <w:r w:rsidR="00D150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2) received funding through the 2015 Building for Culture program to create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new cultural space in King County and had unanticipated construction costs.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</w:t>
      </w:r>
      <w:r w:rsidR="00E720D1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Notably, t</w:t>
      </w:r>
      <w:r w:rsidR="002656C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his phase also establishes two equity-focused components of the program: a cultural space contribution requirement and a capital projects ramp-up initiative. </w:t>
      </w:r>
      <w:r w:rsidR="00E720D1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For larger grant recipients ($250,000 and above), </w:t>
      </w:r>
      <w:r w:rsidR="00123AB3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organizations will provide cultural space to groups and/or individuals serving marginalized communities. </w:t>
      </w:r>
      <w:r w:rsidR="00BC7C43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4Culture can provide assistance to organizations who do not have existing relationships to meet this requirement. </w:t>
      </w:r>
      <w:r w:rsidR="0008028D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All award recipients will complete an MOU outlining the details of their arrangement with their </w:t>
      </w:r>
      <w:r w:rsidR="00FD5E4D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community partner(s).</w:t>
      </w:r>
    </w:p>
    <w:p w14:paraId="02BC06E6" w14:textId="77777777" w:rsidR="0008028D" w:rsidRDefault="0008028D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p w14:paraId="026144A7" w14:textId="77777777" w:rsidR="0008028D" w:rsidRDefault="0008028D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The Capital Projects Ramp-Up Initiative </w:t>
      </w:r>
      <w:r w:rsidR="00FD5E4D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is an 18-month capacity-building program for cultural organizations and groups serving marginalized communities. A robust outreach, engagement, and marketing plan will precede the initiative</w:t>
      </w:r>
      <w:r w:rsidR="00386BF1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with a goal to reach community groups </w:t>
      </w:r>
      <w:r w:rsidR="00B36A4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new </w:t>
      </w:r>
      <w:r w:rsidR="00386BF1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to 4Culture</w:t>
      </w:r>
      <w:r w:rsidR="00B36A46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or underrepresented in 4Culture funding. </w:t>
      </w:r>
    </w:p>
    <w:p w14:paraId="68937CC1" w14:textId="77777777" w:rsidR="002A561E" w:rsidRDefault="002A561E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p w14:paraId="7D25F0E4" w14:textId="77777777" w:rsidR="002A561E" w:rsidRDefault="002A561E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Phase II makes additional funds available for facilities grants and uses an updated, equity-focused application and review process to prioritize organizations that serve marginalized communities, including those who participated in the Capital Projects Ramp-Up Initiative.</w:t>
      </w:r>
    </w:p>
    <w:p w14:paraId="33974BE5" w14:textId="77777777" w:rsidR="00456429" w:rsidRDefault="00456429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</w:p>
    <w:p w14:paraId="4E476DC7" w14:textId="77777777" w:rsidR="00456429" w:rsidRPr="002656C6" w:rsidRDefault="00FA7259" w:rsidP="00104062">
      <w:pPr>
        <w:pStyle w:val="4Subhead"/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By leveraging multiple equity strategies, b</w:t>
      </w:r>
      <w:r w:rsidR="00456429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oth phases I and II are designed to </w:t>
      </w:r>
      <w:r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build space and capacity in the entire cultural community, resulting </w:t>
      </w:r>
      <w:r w:rsidR="00456429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>in more equitable outcomes for historically marginalized individuals, groups, and institutions.</w:t>
      </w:r>
      <w:r w:rsidR="006671B8">
        <w:rPr>
          <w:rFonts w:ascii="Times New Roman" w:eastAsia="Times New Roman" w:hAnsi="Times New Roman"/>
          <w:b w:val="0"/>
          <w:caps w:val="0"/>
          <w:spacing w:val="0"/>
          <w:sz w:val="24"/>
          <w:szCs w:val="24"/>
        </w:rPr>
        <w:t xml:space="preserve"> </w:t>
      </w:r>
    </w:p>
    <w:sectPr w:rsidR="00456429" w:rsidRPr="002656C6">
      <w:type w:val="continuous"/>
      <w:pgSz w:w="12240" w:h="15840"/>
      <w:pgMar w:top="2923" w:right="2160" w:bottom="1440" w:left="1195" w:header="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8DA9" w14:textId="77777777" w:rsidR="00441A13" w:rsidRDefault="00441A13">
      <w:r>
        <w:separator/>
      </w:r>
    </w:p>
  </w:endnote>
  <w:endnote w:type="continuationSeparator" w:id="0">
    <w:p w14:paraId="68304410" w14:textId="77777777" w:rsidR="00441A13" w:rsidRDefault="004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56FB" w14:textId="77777777" w:rsidR="00441A13" w:rsidRDefault="00441A13">
      <w:r>
        <w:separator/>
      </w:r>
    </w:p>
  </w:footnote>
  <w:footnote w:type="continuationSeparator" w:id="0">
    <w:p w14:paraId="3050CE0D" w14:textId="77777777" w:rsidR="00441A13" w:rsidRDefault="004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706"/>
    <w:multiLevelType w:val="hybridMultilevel"/>
    <w:tmpl w:val="5D5E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8FB"/>
    <w:multiLevelType w:val="hybridMultilevel"/>
    <w:tmpl w:val="5C3276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C161E"/>
    <w:multiLevelType w:val="hybridMultilevel"/>
    <w:tmpl w:val="E4AE8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74A"/>
    <w:multiLevelType w:val="hybridMultilevel"/>
    <w:tmpl w:val="40E4ED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12477"/>
    <w:multiLevelType w:val="hybridMultilevel"/>
    <w:tmpl w:val="41EED5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55D07"/>
    <w:multiLevelType w:val="hybridMultilevel"/>
    <w:tmpl w:val="285CAD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62BD1"/>
    <w:multiLevelType w:val="hybridMultilevel"/>
    <w:tmpl w:val="6E44C8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45869"/>
    <w:multiLevelType w:val="hybridMultilevel"/>
    <w:tmpl w:val="139C9E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8"/>
    <w:rsid w:val="00026C9D"/>
    <w:rsid w:val="00071A85"/>
    <w:rsid w:val="0008028D"/>
    <w:rsid w:val="00083F98"/>
    <w:rsid w:val="000F1BAC"/>
    <w:rsid w:val="00104062"/>
    <w:rsid w:val="00123AB3"/>
    <w:rsid w:val="00177E9F"/>
    <w:rsid w:val="002656C6"/>
    <w:rsid w:val="00296585"/>
    <w:rsid w:val="002A561E"/>
    <w:rsid w:val="003843B5"/>
    <w:rsid w:val="00386BF1"/>
    <w:rsid w:val="003B40C7"/>
    <w:rsid w:val="003D47DE"/>
    <w:rsid w:val="00441A13"/>
    <w:rsid w:val="00456429"/>
    <w:rsid w:val="00573B3B"/>
    <w:rsid w:val="00657093"/>
    <w:rsid w:val="006671B8"/>
    <w:rsid w:val="006F40F4"/>
    <w:rsid w:val="007569C7"/>
    <w:rsid w:val="007F6833"/>
    <w:rsid w:val="00833C3F"/>
    <w:rsid w:val="008D7BFF"/>
    <w:rsid w:val="00985533"/>
    <w:rsid w:val="009927DF"/>
    <w:rsid w:val="00A6498F"/>
    <w:rsid w:val="00AF64A5"/>
    <w:rsid w:val="00B36A46"/>
    <w:rsid w:val="00B762BA"/>
    <w:rsid w:val="00BC7C43"/>
    <w:rsid w:val="00C60ECC"/>
    <w:rsid w:val="00CD64D1"/>
    <w:rsid w:val="00D150C6"/>
    <w:rsid w:val="00D5010E"/>
    <w:rsid w:val="00D86BAD"/>
    <w:rsid w:val="00D91D53"/>
    <w:rsid w:val="00E0326D"/>
    <w:rsid w:val="00E720D1"/>
    <w:rsid w:val="00FA7259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B2267"/>
  <w15:chartTrackingRefBased/>
  <w15:docId w15:val="{F7C70C3D-C271-4D38-89DF-DB2F948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Subhead">
    <w:name w:val="4 Subhead"/>
    <w:basedOn w:val="Normal"/>
    <w:pPr>
      <w:spacing w:line="300" w:lineRule="exact"/>
    </w:pPr>
    <w:rPr>
      <w:rFonts w:ascii="Avenir LT Std 65 Medium" w:eastAsia="Times" w:hAnsi="Avenir LT Std 65 Medium"/>
      <w:b/>
      <w:caps/>
      <w:spacing w:val="8"/>
      <w:sz w:val="16"/>
      <w:szCs w:val="20"/>
    </w:rPr>
  </w:style>
  <w:style w:type="character" w:customStyle="1" w:styleId="4Subheadbody">
    <w:name w:val="4 Subhead body"/>
    <w:rPr>
      <w:rFonts w:ascii="Avenir LT Std 35 Light" w:hAnsi="Avenir LT Std 35 Light"/>
      <w:caps/>
      <w:sz w:val="16"/>
    </w:rPr>
  </w:style>
  <w:style w:type="paragraph" w:customStyle="1" w:styleId="4Header">
    <w:name w:val="4 Header"/>
    <w:basedOn w:val="Normal"/>
    <w:pPr>
      <w:spacing w:line="400" w:lineRule="exact"/>
    </w:pPr>
    <w:rPr>
      <w:rFonts w:ascii="Avenir LT Std 65 Medium" w:eastAsia="Times" w:hAnsi="Avenir LT Std 65 Medium"/>
      <w:b/>
      <w:caps/>
      <w:spacing w:val="8"/>
      <w:position w:val="8"/>
      <w:sz w:val="34"/>
      <w:szCs w:val="20"/>
    </w:rPr>
  </w:style>
  <w:style w:type="paragraph" w:customStyle="1" w:styleId="4Body">
    <w:name w:val="4 Body"/>
    <w:basedOn w:val="Normal"/>
    <w:autoRedefine/>
    <w:pPr>
      <w:spacing w:line="300" w:lineRule="exact"/>
    </w:pPr>
    <w:rPr>
      <w:rFonts w:ascii="Adobe Garamond Pro" w:hAnsi="Adobe Garamond Pro"/>
      <w:sz w:val="22"/>
    </w:rPr>
  </w:style>
  <w:style w:type="paragraph" w:customStyle="1" w:styleId="4Agenda">
    <w:name w:val="4 Agenda"/>
    <w:basedOn w:val="4Subhead"/>
    <w:pPr>
      <w:spacing w:line="260" w:lineRule="exact"/>
    </w:pPr>
    <w:rPr>
      <w:b w:val="0"/>
      <w:caps w:val="0"/>
      <w:sz w:val="22"/>
    </w:rPr>
  </w:style>
  <w:style w:type="paragraph" w:customStyle="1" w:styleId="4BodyBullet">
    <w:name w:val="4 Body Bullet"/>
    <w:basedOn w:val="4Body"/>
    <w:pPr>
      <w:ind w:left="533" w:hanging="245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F6833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D9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15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50C6"/>
  </w:style>
  <w:style w:type="paragraph" w:styleId="CommentSubject">
    <w:name w:val="annotation subject"/>
    <w:basedOn w:val="CommentText"/>
    <w:next w:val="CommentText"/>
    <w:link w:val="CommentSubjectChar"/>
    <w:rsid w:val="00D15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0C6"/>
    <w:rPr>
      <w:b/>
      <w:bCs/>
    </w:rPr>
  </w:style>
  <w:style w:type="paragraph" w:styleId="BalloonText">
    <w:name w:val="Balloon Text"/>
    <w:basedOn w:val="Normal"/>
    <w:link w:val="BalloonTextChar"/>
    <w:rsid w:val="00D1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4Culture_Word_Templates\4C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4C_Memo</Template>
  <TotalTime>0</TotalTime>
  <Pages>2</Pages>
  <Words>423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4Culture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Miccio, Claire</dc:creator>
  <cp:keywords/>
  <dc:description/>
  <cp:lastModifiedBy>Krekel-Zoppi, Leah</cp:lastModifiedBy>
  <cp:revision>2</cp:revision>
  <cp:lastPrinted>2014-03-10T19:35:00Z</cp:lastPrinted>
  <dcterms:created xsi:type="dcterms:W3CDTF">2019-06-20T15:57:00Z</dcterms:created>
  <dcterms:modified xsi:type="dcterms:W3CDTF">2019-06-20T15:57:00Z</dcterms:modified>
</cp:coreProperties>
</file>