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330" w:type="dxa"/>
        <w:tblInd w:w="-275" w:type="dxa"/>
        <w:tblLook w:val="04A0" w:firstRow="1" w:lastRow="0" w:firstColumn="1" w:lastColumn="0" w:noHBand="0" w:noVBand="1"/>
      </w:tblPr>
      <w:tblGrid>
        <w:gridCol w:w="4695"/>
        <w:gridCol w:w="987"/>
        <w:gridCol w:w="5480"/>
        <w:gridCol w:w="1143"/>
        <w:gridCol w:w="9025"/>
      </w:tblGrid>
      <w:tr w:rsidR="007C6E84" w:rsidTr="00AC336A">
        <w:trPr>
          <w:trHeight w:val="377"/>
          <w:tblHeader/>
        </w:trPr>
        <w:tc>
          <w:tcPr>
            <w:tcW w:w="4695" w:type="dxa"/>
            <w:tcBorders>
              <w:top w:val="single" w:sz="12" w:space="0" w:color="auto"/>
              <w:bottom w:val="single" w:sz="18" w:space="0" w:color="auto"/>
            </w:tcBorders>
            <w:vAlign w:val="center"/>
          </w:tcPr>
          <w:p w:rsidR="007C6E84" w:rsidRPr="007E3F27" w:rsidRDefault="007C6E84" w:rsidP="007E3F27">
            <w:pPr>
              <w:rPr>
                <w:b/>
                <w:sz w:val="24"/>
              </w:rPr>
            </w:pPr>
            <w:bookmarkStart w:id="0" w:name="_GoBack" w:colFirst="4" w:colLast="4"/>
            <w:r w:rsidRPr="007E3F27">
              <w:rPr>
                <w:b/>
                <w:sz w:val="24"/>
              </w:rPr>
              <w:t>SCAP Action</w:t>
            </w:r>
          </w:p>
        </w:tc>
        <w:tc>
          <w:tcPr>
            <w:tcW w:w="987" w:type="dxa"/>
            <w:tcBorders>
              <w:top w:val="single" w:sz="12" w:space="0" w:color="auto"/>
              <w:bottom w:val="single" w:sz="18" w:space="0" w:color="auto"/>
            </w:tcBorders>
            <w:vAlign w:val="center"/>
          </w:tcPr>
          <w:p w:rsidR="007C6E84" w:rsidRPr="007E3F27" w:rsidRDefault="007C6E84" w:rsidP="00876940">
            <w:pPr>
              <w:rPr>
                <w:b/>
                <w:sz w:val="24"/>
              </w:rPr>
            </w:pPr>
            <w:r>
              <w:rPr>
                <w:b/>
                <w:sz w:val="24"/>
              </w:rPr>
              <w:t>Dec 2017</w:t>
            </w:r>
            <w:r w:rsidRPr="007E3F27">
              <w:rPr>
                <w:b/>
                <w:sz w:val="24"/>
              </w:rPr>
              <w:t xml:space="preserve"> Status</w:t>
            </w:r>
          </w:p>
        </w:tc>
        <w:tc>
          <w:tcPr>
            <w:tcW w:w="5480" w:type="dxa"/>
            <w:tcBorders>
              <w:top w:val="single" w:sz="12" w:space="0" w:color="auto"/>
              <w:bottom w:val="single" w:sz="18" w:space="0" w:color="auto"/>
            </w:tcBorders>
            <w:vAlign w:val="center"/>
          </w:tcPr>
          <w:p w:rsidR="007C6E84" w:rsidRPr="007E3F27" w:rsidRDefault="007C6E84" w:rsidP="00883E60">
            <w:pPr>
              <w:rPr>
                <w:b/>
                <w:sz w:val="24"/>
              </w:rPr>
            </w:pPr>
            <w:r>
              <w:rPr>
                <w:b/>
                <w:sz w:val="24"/>
              </w:rPr>
              <w:t>Details</w:t>
            </w:r>
          </w:p>
        </w:tc>
        <w:tc>
          <w:tcPr>
            <w:tcW w:w="1143" w:type="dxa"/>
            <w:tcBorders>
              <w:top w:val="single" w:sz="12" w:space="0" w:color="auto"/>
              <w:bottom w:val="single" w:sz="18" w:space="0" w:color="auto"/>
            </w:tcBorders>
            <w:vAlign w:val="center"/>
          </w:tcPr>
          <w:p w:rsidR="007C6E84" w:rsidRPr="007E3F27" w:rsidRDefault="007C6E84" w:rsidP="00883E60">
            <w:pPr>
              <w:rPr>
                <w:b/>
                <w:sz w:val="24"/>
              </w:rPr>
            </w:pPr>
            <w:r w:rsidRPr="007E3F27">
              <w:rPr>
                <w:b/>
                <w:sz w:val="24"/>
              </w:rPr>
              <w:t>April 2019 Status</w:t>
            </w:r>
          </w:p>
        </w:tc>
        <w:tc>
          <w:tcPr>
            <w:tcW w:w="9025" w:type="dxa"/>
            <w:tcBorders>
              <w:top w:val="single" w:sz="12" w:space="0" w:color="auto"/>
              <w:bottom w:val="single" w:sz="18" w:space="0" w:color="auto"/>
            </w:tcBorders>
            <w:vAlign w:val="center"/>
          </w:tcPr>
          <w:p w:rsidR="007C6E84" w:rsidRPr="007E3F27" w:rsidRDefault="007C6E84" w:rsidP="00883E60">
            <w:pPr>
              <w:rPr>
                <w:b/>
                <w:sz w:val="24"/>
              </w:rPr>
            </w:pPr>
            <w:r>
              <w:rPr>
                <w:b/>
                <w:sz w:val="24"/>
              </w:rPr>
              <w:t>D</w:t>
            </w:r>
            <w:r w:rsidRPr="007E3F27">
              <w:rPr>
                <w:b/>
                <w:sz w:val="24"/>
              </w:rPr>
              <w:t>etails</w:t>
            </w:r>
            <w:r w:rsidR="00CF008C">
              <w:rPr>
                <w:b/>
                <w:sz w:val="24"/>
              </w:rPr>
              <w:t xml:space="preserve">  </w:t>
            </w:r>
          </w:p>
        </w:tc>
      </w:tr>
      <w:tr w:rsidR="007C6E84" w:rsidTr="00AC336A">
        <w:trPr>
          <w:trHeight w:val="368"/>
        </w:trPr>
        <w:tc>
          <w:tcPr>
            <w:tcW w:w="21330" w:type="dxa"/>
            <w:gridSpan w:val="5"/>
            <w:tcBorders>
              <w:top w:val="single" w:sz="18" w:space="0" w:color="auto"/>
            </w:tcBorders>
            <w:shd w:val="clear" w:color="auto" w:fill="404040" w:themeFill="text1" w:themeFillTint="BF"/>
            <w:vAlign w:val="center"/>
          </w:tcPr>
          <w:p w:rsidR="007C6E84" w:rsidRDefault="007C6E84" w:rsidP="00DE50C5">
            <w:r w:rsidRPr="007E3F27">
              <w:rPr>
                <w:b/>
                <w:color w:val="FFFFFF" w:themeColor="background1"/>
              </w:rPr>
              <w:t>Increase our capacity to address the risks associated with more extreme precipitation</w:t>
            </w:r>
          </w:p>
        </w:tc>
      </w:tr>
      <w:tr w:rsidR="007C6E84" w:rsidTr="00AC336A">
        <w:trPr>
          <w:trHeight w:val="2357"/>
        </w:trPr>
        <w:tc>
          <w:tcPr>
            <w:tcW w:w="4695" w:type="dxa"/>
          </w:tcPr>
          <w:p w:rsidR="007C6E84" w:rsidRDefault="007C6E84" w:rsidP="006A7A06">
            <w:pPr>
              <w:rPr>
                <w:b/>
              </w:rPr>
            </w:pPr>
            <w:r w:rsidRPr="006A7A06">
              <w:rPr>
                <w:b/>
              </w:rPr>
              <w:t>Assess climate impacts on rainfall patterns.</w:t>
            </w:r>
            <w:r>
              <w:t xml:space="preserve"> The Water and Land Resources Division (WLRD), in cooperation with the Wastewater Treatment Division (WTD) and partially supported by a grant from the Washington State Department of Ecology, will implement a study in collaboration with the University of Washington (UW) to assess climate change impacts on local rainfall patterns.</w:t>
            </w:r>
          </w:p>
        </w:tc>
        <w:tc>
          <w:tcPr>
            <w:tcW w:w="987" w:type="dxa"/>
            <w:shd w:val="clear" w:color="auto" w:fill="FFF2CC" w:themeFill="accent4" w:themeFillTint="33"/>
          </w:tcPr>
          <w:p w:rsidR="007C6E84" w:rsidRPr="00480E4F" w:rsidRDefault="007C6E84">
            <w:r>
              <w:t xml:space="preserve">In progress </w:t>
            </w:r>
          </w:p>
        </w:tc>
        <w:tc>
          <w:tcPr>
            <w:tcW w:w="5480" w:type="dxa"/>
            <w:shd w:val="clear" w:color="auto" w:fill="auto"/>
          </w:tcPr>
          <w:p w:rsidR="007C6E84" w:rsidRPr="00DE50C5" w:rsidRDefault="007C6E84" w:rsidP="00883E60">
            <w:pPr>
              <w:pStyle w:val="ListParagraph"/>
              <w:numPr>
                <w:ilvl w:val="0"/>
                <w:numId w:val="3"/>
              </w:numPr>
            </w:pPr>
            <w:r w:rsidRPr="00DE50C5">
              <w:t>Draft regional climate model runs for extreme precipitation</w:t>
            </w:r>
            <w:r>
              <w:t xml:space="preserve"> </w:t>
            </w:r>
            <w:r w:rsidRPr="00DE50C5">
              <w:t>were completed by UW in 2017. Results were</w:t>
            </w:r>
            <w:r>
              <w:t xml:space="preserve"> </w:t>
            </w:r>
            <w:r w:rsidRPr="00DE50C5">
              <w:t>bias-corrected at the individual rain-gauge level in King</w:t>
            </w:r>
            <w:r>
              <w:t xml:space="preserve"> </w:t>
            </w:r>
            <w:r w:rsidRPr="00DE50C5">
              <w:t>County, Snohomish County, and the City of Seattle.</w:t>
            </w:r>
          </w:p>
          <w:p w:rsidR="007C6E84" w:rsidRPr="00736E92" w:rsidRDefault="007C6E84" w:rsidP="00883E60">
            <w:pPr>
              <w:pStyle w:val="ListParagraph"/>
              <w:numPr>
                <w:ilvl w:val="0"/>
                <w:numId w:val="3"/>
              </w:numPr>
            </w:pPr>
            <w:r w:rsidRPr="00DE50C5">
              <w:t>A peer-review journal article based on the modeling was</w:t>
            </w:r>
            <w:r>
              <w:t xml:space="preserve"> </w:t>
            </w:r>
            <w:r w:rsidRPr="00DE50C5">
              <w:t>submitted for publication.</w:t>
            </w:r>
          </w:p>
        </w:tc>
        <w:tc>
          <w:tcPr>
            <w:tcW w:w="1143" w:type="dxa"/>
            <w:shd w:val="clear" w:color="auto" w:fill="E2EFD9" w:themeFill="accent6" w:themeFillTint="33"/>
          </w:tcPr>
          <w:p w:rsidR="007C6E84" w:rsidRPr="00736E92" w:rsidRDefault="007C6E84" w:rsidP="00E70A0E">
            <w:r w:rsidRPr="00736E92">
              <w:t>Complete</w:t>
            </w:r>
            <w:r>
              <w:t>; ongoing</w:t>
            </w:r>
          </w:p>
        </w:tc>
        <w:tc>
          <w:tcPr>
            <w:tcW w:w="9025" w:type="dxa"/>
          </w:tcPr>
          <w:p w:rsidR="00AA7C47" w:rsidRDefault="00AA7C47" w:rsidP="00AA7C47">
            <w:pPr>
              <w:pStyle w:val="ListParagraph"/>
              <w:numPr>
                <w:ilvl w:val="0"/>
                <w:numId w:val="3"/>
              </w:numPr>
            </w:pPr>
            <w:r>
              <w:t>Precipitation analysis using two regional climate model scenarios (RCP 4.5, RCP 8.5) completed in summer 2018.</w:t>
            </w:r>
          </w:p>
          <w:p w:rsidR="007C6E84" w:rsidRPr="000A1A4A" w:rsidRDefault="00AA7C47" w:rsidP="00AA7C47">
            <w:pPr>
              <w:pStyle w:val="ListParagraph"/>
              <w:numPr>
                <w:ilvl w:val="0"/>
                <w:numId w:val="3"/>
              </w:numPr>
              <w:rPr>
                <w:b/>
              </w:rPr>
            </w:pPr>
            <w:r>
              <w:t>WTD is funding analysis of 4-5 additional regional climate model scenarios (all RCP 8.5); data should be available for County use by fall 2019.</w:t>
            </w:r>
          </w:p>
        </w:tc>
      </w:tr>
      <w:tr w:rsidR="007C6E84" w:rsidTr="00AC336A">
        <w:tc>
          <w:tcPr>
            <w:tcW w:w="4695" w:type="dxa"/>
          </w:tcPr>
          <w:p w:rsidR="007C6E84" w:rsidRPr="009126B4" w:rsidRDefault="007C6E84" w:rsidP="00A26988">
            <w:pPr>
              <w:autoSpaceDE w:val="0"/>
              <w:autoSpaceDN w:val="0"/>
              <w:adjustRightInd w:val="0"/>
            </w:pPr>
            <w:r w:rsidRPr="00A26988">
              <w:rPr>
                <w:b/>
              </w:rPr>
              <w:t>Assess climate impacts on flood sizes and frequencies.</w:t>
            </w:r>
            <w:r>
              <w:t xml:space="preserve"> WLRD will build on local rainfall research to model river flows under climate change conditions. This effort will quantify likely impacts of climate change on flood sizes and frequencies in King County rivers. Results from this study will be </w:t>
            </w:r>
            <w:r w:rsidRPr="00A26988">
              <w:t>incorporated into future updates of</w:t>
            </w:r>
            <w:r>
              <w:t xml:space="preserve"> </w:t>
            </w:r>
            <w:r w:rsidRPr="00A26988">
              <w:t>the King County Flood Hazard</w:t>
            </w:r>
            <w:r>
              <w:t xml:space="preserve"> </w:t>
            </w:r>
            <w:r w:rsidRPr="00A26988">
              <w:t>Mitigation Plan.</w:t>
            </w:r>
          </w:p>
        </w:tc>
        <w:tc>
          <w:tcPr>
            <w:tcW w:w="987" w:type="dxa"/>
            <w:shd w:val="clear" w:color="auto" w:fill="F79B89"/>
          </w:tcPr>
          <w:p w:rsidR="007C6E84" w:rsidRPr="009126B4" w:rsidRDefault="007C6E84">
            <w:r>
              <w:t>Needs action</w:t>
            </w:r>
          </w:p>
        </w:tc>
        <w:tc>
          <w:tcPr>
            <w:tcW w:w="5480" w:type="dxa"/>
            <w:shd w:val="clear" w:color="auto" w:fill="auto"/>
          </w:tcPr>
          <w:p w:rsidR="007C6E84" w:rsidRDefault="007C6E84" w:rsidP="007C6E84">
            <w:pPr>
              <w:pStyle w:val="ListParagraph"/>
              <w:numPr>
                <w:ilvl w:val="0"/>
                <w:numId w:val="6"/>
              </w:numPr>
            </w:pPr>
            <w:r>
              <w:t>Modeled changes in extreme precipitation from one (of two) UW regional climate model scenarios were used to assess projected changes in flood flows for the Snoqualmie and Green rivers. Analyses of the second regional climate model scenario and a final project report are due in 2018.</w:t>
            </w:r>
          </w:p>
          <w:p w:rsidR="007C6E84" w:rsidRDefault="007C6E84" w:rsidP="007C6E84">
            <w:pPr>
              <w:pStyle w:val="ListParagraph"/>
              <w:numPr>
                <w:ilvl w:val="0"/>
                <w:numId w:val="6"/>
              </w:numPr>
            </w:pPr>
            <w:r>
              <w:t xml:space="preserve"> Resources are needed to model additional climate scenarios for the Snoqualmie and Green rivers, and to extend the analysis to the </w:t>
            </w:r>
            <w:proofErr w:type="spellStart"/>
            <w:r>
              <w:t>Tolt</w:t>
            </w:r>
            <w:proofErr w:type="spellEnd"/>
            <w:r>
              <w:t xml:space="preserve">, White, Cedar, and Sammamish Rivers. </w:t>
            </w:r>
          </w:p>
        </w:tc>
        <w:tc>
          <w:tcPr>
            <w:tcW w:w="1143" w:type="dxa"/>
            <w:shd w:val="clear" w:color="auto" w:fill="FFF2CC" w:themeFill="accent4" w:themeFillTint="33"/>
          </w:tcPr>
          <w:p w:rsidR="007C6E84" w:rsidRPr="009126B4" w:rsidRDefault="007C6E84" w:rsidP="007141D1">
            <w:r>
              <w:t xml:space="preserve">In progress </w:t>
            </w:r>
          </w:p>
        </w:tc>
        <w:tc>
          <w:tcPr>
            <w:tcW w:w="9025" w:type="dxa"/>
          </w:tcPr>
          <w:p w:rsidR="007141D1" w:rsidRPr="007141D1" w:rsidRDefault="007141D1" w:rsidP="007141D1">
            <w:pPr>
              <w:pStyle w:val="ListParagraph"/>
              <w:numPr>
                <w:ilvl w:val="0"/>
                <w:numId w:val="6"/>
              </w:numPr>
            </w:pPr>
            <w:r w:rsidRPr="007141D1">
              <w:t>Preliminary flood projections for the Snoqualmie, Green, and S. Fork Skykomish were completed in June 2018, and refinements are scheduled to be complete by 2020.</w:t>
            </w:r>
          </w:p>
          <w:p w:rsidR="007141D1" w:rsidRPr="007141D1" w:rsidRDefault="007141D1" w:rsidP="007141D1">
            <w:pPr>
              <w:pStyle w:val="ListParagraph"/>
              <w:numPr>
                <w:ilvl w:val="0"/>
                <w:numId w:val="6"/>
              </w:numPr>
            </w:pPr>
            <w:r w:rsidRPr="007141D1">
              <w:t>Flood analyses for the Cedar and the White Rivers are being considered</w:t>
            </w:r>
          </w:p>
          <w:p w:rsidR="00194347" w:rsidRPr="006D3748" w:rsidRDefault="00194347" w:rsidP="00194347">
            <w:pPr>
              <w:rPr>
                <w:i/>
                <w:color w:val="FF0000"/>
              </w:rPr>
            </w:pPr>
          </w:p>
        </w:tc>
      </w:tr>
      <w:tr w:rsidR="007C6E84" w:rsidTr="00AC336A">
        <w:tc>
          <w:tcPr>
            <w:tcW w:w="4695" w:type="dxa"/>
          </w:tcPr>
          <w:p w:rsidR="007C6E84" w:rsidRDefault="007C6E84" w:rsidP="006A00FA">
            <w:r w:rsidRPr="006A00FA">
              <w:rPr>
                <w:b/>
              </w:rPr>
              <w:t>Expand and</w:t>
            </w:r>
            <w:r w:rsidR="006A00FA" w:rsidRPr="006A00FA">
              <w:rPr>
                <w:b/>
              </w:rPr>
              <w:t xml:space="preserve"> </w:t>
            </w:r>
            <w:r w:rsidRPr="006A00FA">
              <w:rPr>
                <w:b/>
              </w:rPr>
              <w:t>fund public health</w:t>
            </w:r>
            <w:r w:rsidR="006A00FA" w:rsidRPr="006A00FA">
              <w:rPr>
                <w:b/>
              </w:rPr>
              <w:t xml:space="preserve"> </w:t>
            </w:r>
            <w:r w:rsidRPr="006A00FA">
              <w:rPr>
                <w:b/>
              </w:rPr>
              <w:t>preparedness</w:t>
            </w:r>
            <w:r w:rsidR="006A00FA" w:rsidRPr="006A00FA">
              <w:rPr>
                <w:b/>
              </w:rPr>
              <w:t xml:space="preserve"> </w:t>
            </w:r>
            <w:r w:rsidRPr="006A00FA">
              <w:rPr>
                <w:b/>
              </w:rPr>
              <w:t>and responses</w:t>
            </w:r>
            <w:r w:rsidR="006A00FA" w:rsidRPr="006A00FA">
              <w:rPr>
                <w:b/>
              </w:rPr>
              <w:t>.</w:t>
            </w:r>
            <w:r w:rsidR="006A00FA">
              <w:t xml:space="preserve">  Public Health will seek new funding to implement a comprehensive public health and climate change program.</w:t>
            </w:r>
          </w:p>
        </w:tc>
        <w:tc>
          <w:tcPr>
            <w:tcW w:w="987" w:type="dxa"/>
            <w:shd w:val="clear" w:color="auto" w:fill="FFA893"/>
          </w:tcPr>
          <w:p w:rsidR="007C6E84" w:rsidRDefault="007C6E84">
            <w:r>
              <w:t>Needs action</w:t>
            </w:r>
          </w:p>
        </w:tc>
        <w:tc>
          <w:tcPr>
            <w:tcW w:w="5480" w:type="dxa"/>
            <w:shd w:val="clear" w:color="auto" w:fill="auto"/>
          </w:tcPr>
          <w:p w:rsidR="006A00FA" w:rsidRDefault="006A00FA" w:rsidP="006A00FA">
            <w:pPr>
              <w:pStyle w:val="ListParagraph"/>
              <w:numPr>
                <w:ilvl w:val="0"/>
                <w:numId w:val="4"/>
              </w:numPr>
            </w:pPr>
            <w:r>
              <w:t>Leveraging grant funding and technical support from the Public Health Institute and the Kresge Foundation, Public Health began work on a Climate Change and Health Blueprint to guide Public Health’s work on climate change, health, and equity.</w:t>
            </w:r>
          </w:p>
          <w:p w:rsidR="006A00FA" w:rsidRDefault="006A00FA" w:rsidP="006A00FA">
            <w:pPr>
              <w:pStyle w:val="ListParagraph"/>
              <w:numPr>
                <w:ilvl w:val="0"/>
                <w:numId w:val="4"/>
              </w:numPr>
            </w:pPr>
            <w:r>
              <w:t>The Blueprint, available in summer 2018, was developed in consultation with King County Climate Program staff and climate justice partners.</w:t>
            </w:r>
          </w:p>
          <w:p w:rsidR="007C6E84" w:rsidRDefault="006A00FA" w:rsidP="006A00FA">
            <w:pPr>
              <w:pStyle w:val="ListParagraph"/>
              <w:numPr>
                <w:ilvl w:val="0"/>
                <w:numId w:val="4"/>
              </w:numPr>
            </w:pPr>
            <w:r>
              <w:t>Resources are needed to implement the Blueprint and support Public Health preparedness efforts.</w:t>
            </w:r>
          </w:p>
        </w:tc>
        <w:tc>
          <w:tcPr>
            <w:tcW w:w="1143" w:type="dxa"/>
            <w:shd w:val="clear" w:color="auto" w:fill="FFF2CC" w:themeFill="accent4" w:themeFillTint="33"/>
          </w:tcPr>
          <w:p w:rsidR="007C6E84" w:rsidRDefault="00A148B3" w:rsidP="00B75700">
            <w:r>
              <w:t>In progress</w:t>
            </w:r>
          </w:p>
        </w:tc>
        <w:tc>
          <w:tcPr>
            <w:tcW w:w="9025" w:type="dxa"/>
          </w:tcPr>
          <w:p w:rsidR="00AC336A" w:rsidRDefault="00AC336A" w:rsidP="00AC336A">
            <w:pPr>
              <w:pStyle w:val="ListParagraph"/>
              <w:numPr>
                <w:ilvl w:val="0"/>
                <w:numId w:val="10"/>
              </w:numPr>
              <w:spacing w:line="252" w:lineRule="auto"/>
            </w:pPr>
            <w:r>
              <w:t>Climate Change and Health Blueprint released in December 2018</w:t>
            </w:r>
          </w:p>
          <w:p w:rsidR="00AC336A" w:rsidRDefault="00AC336A" w:rsidP="00AC336A">
            <w:pPr>
              <w:pStyle w:val="ListParagraph"/>
              <w:numPr>
                <w:ilvl w:val="0"/>
                <w:numId w:val="10"/>
              </w:numPr>
              <w:spacing w:line="252" w:lineRule="auto"/>
            </w:pPr>
            <w:r>
              <w:t>Public Health completed two climate change and health public education comics, one focused on extreme heat events and one on a variety of climate change and health impacts.</w:t>
            </w:r>
          </w:p>
          <w:p w:rsidR="00AC336A" w:rsidRDefault="00AC336A" w:rsidP="00AC336A">
            <w:pPr>
              <w:pStyle w:val="ListParagraph"/>
              <w:numPr>
                <w:ilvl w:val="0"/>
                <w:numId w:val="10"/>
              </w:numPr>
              <w:spacing w:line="252" w:lineRule="auto"/>
            </w:pPr>
            <w:r>
              <w:t>Public Health’s Climate Health Action Team hosted four cross-departmental workshops discussing the connections between climate change, public health, and county programs.</w:t>
            </w:r>
          </w:p>
          <w:p w:rsidR="00AC336A" w:rsidRDefault="00AC336A" w:rsidP="00AC336A">
            <w:pPr>
              <w:pStyle w:val="ListParagraph"/>
              <w:numPr>
                <w:ilvl w:val="0"/>
                <w:numId w:val="10"/>
              </w:numPr>
              <w:spacing w:line="252" w:lineRule="auto"/>
            </w:pPr>
            <w:r>
              <w:t>Public Health partnered with the Community Health Board Coalition (CHBC) on a grant application to the Kresge Foundation to address climate change, health and equity.  If awarded, the CHBC will be funded to conduct a community asset/needs assessment related to climate change.</w:t>
            </w:r>
          </w:p>
          <w:p w:rsidR="007C6E84" w:rsidRPr="00A148B3" w:rsidRDefault="00AC336A" w:rsidP="00AC336A">
            <w:pPr>
              <w:pStyle w:val="ListParagraph"/>
              <w:numPr>
                <w:ilvl w:val="0"/>
                <w:numId w:val="10"/>
              </w:numPr>
              <w:spacing w:line="252" w:lineRule="auto"/>
              <w:rPr>
                <w:strike/>
              </w:rPr>
            </w:pPr>
            <w:r>
              <w:t>As a General Fund agency, funding limitations have made it difficult to implement the Blueprint recommendations. Resources are still needed.</w:t>
            </w:r>
          </w:p>
        </w:tc>
      </w:tr>
    </w:tbl>
    <w:bookmarkEnd w:id="0"/>
    <w:p w:rsidR="002E79F3" w:rsidRDefault="00456E54">
      <w:r>
        <w:rPr>
          <w:b/>
        </w:rPr>
        <w:t xml:space="preserve"> </w:t>
      </w:r>
      <w:r>
        <w:t xml:space="preserve"> </w:t>
      </w:r>
    </w:p>
    <w:sectPr w:rsidR="002E79F3" w:rsidSect="00AC336A">
      <w:headerReference w:type="default" r:id="rId7"/>
      <w:headerReference w:type="first" r:id="rId8"/>
      <w:pgSz w:w="24480" w:h="15840" w:orient="landscape" w:code="17"/>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00" w:rsidRDefault="00FC6000">
      <w:pPr>
        <w:spacing w:line="240" w:lineRule="auto"/>
      </w:pPr>
      <w:r>
        <w:separator/>
      </w:r>
    </w:p>
  </w:endnote>
  <w:endnote w:type="continuationSeparator" w:id="0">
    <w:p w:rsidR="00FC6000" w:rsidRDefault="00FC6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00" w:rsidRDefault="00FC6000">
      <w:pPr>
        <w:spacing w:line="240" w:lineRule="auto"/>
      </w:pPr>
      <w:r>
        <w:separator/>
      </w:r>
    </w:p>
  </w:footnote>
  <w:footnote w:type="continuationSeparator" w:id="0">
    <w:p w:rsidR="00FC6000" w:rsidRDefault="00FC6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6A" w:rsidRPr="00AC336A" w:rsidRDefault="00AC336A" w:rsidP="00AC336A">
    <w:pPr>
      <w:ind w:left="-270"/>
    </w:pPr>
    <w:r>
      <w:rPr>
        <w:b/>
        <w:sz w:val="24"/>
      </w:rPr>
      <w:t xml:space="preserve">SCAP 2015 actions that have changed status </w:t>
    </w:r>
    <w:r w:rsidRPr="00876940">
      <w:rPr>
        <w:b/>
        <w:sz w:val="24"/>
      </w:rPr>
      <w:t xml:space="preserve">(since June 2018 report to Council for 2016-17)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1E" w:rsidRPr="00125042" w:rsidRDefault="00876940" w:rsidP="00DC591E">
    <w:pPr>
      <w:jc w:val="center"/>
      <w:rPr>
        <w:b/>
        <w:sz w:val="28"/>
        <w:szCs w:val="40"/>
      </w:rPr>
    </w:pPr>
    <w:r>
      <w:tab/>
    </w:r>
    <w:r w:rsidRPr="00125042">
      <w:rPr>
        <w:b/>
        <w:sz w:val="28"/>
        <w:szCs w:val="40"/>
      </w:rPr>
      <w:t>DRAFT AGENDA</w:t>
    </w:r>
    <w:r>
      <w:rPr>
        <w:b/>
        <w:sz w:val="28"/>
        <w:szCs w:val="40"/>
      </w:rPr>
      <w:t xml:space="preserve"> (v2)</w:t>
    </w:r>
  </w:p>
  <w:p w:rsidR="00DC591E" w:rsidRDefault="00DC591E" w:rsidP="00DC591E">
    <w:pPr>
      <w:pStyle w:val="Header"/>
      <w:tabs>
        <w:tab w:val="clear" w:pos="4680"/>
        <w:tab w:val="clear" w:pos="9360"/>
        <w:tab w:val="left" w:pos="533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149"/>
    <w:multiLevelType w:val="hybridMultilevel"/>
    <w:tmpl w:val="96ACE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569F4"/>
    <w:multiLevelType w:val="hybridMultilevel"/>
    <w:tmpl w:val="206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2580B"/>
    <w:multiLevelType w:val="hybridMultilevel"/>
    <w:tmpl w:val="FF16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2954CD"/>
    <w:multiLevelType w:val="hybridMultilevel"/>
    <w:tmpl w:val="E226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C6210"/>
    <w:multiLevelType w:val="hybridMultilevel"/>
    <w:tmpl w:val="8BA4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D5B53"/>
    <w:multiLevelType w:val="hybridMultilevel"/>
    <w:tmpl w:val="8CC2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A678CA"/>
    <w:multiLevelType w:val="hybridMultilevel"/>
    <w:tmpl w:val="5CB6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0523B5"/>
    <w:multiLevelType w:val="hybridMultilevel"/>
    <w:tmpl w:val="15F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D5787"/>
    <w:multiLevelType w:val="hybridMultilevel"/>
    <w:tmpl w:val="2FEC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8"/>
  </w:num>
  <w:num w:numId="6">
    <w:abstractNumId w:val="6"/>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98C3CB-2B36-41E2-ACB7-0B5FDE61D859}"/>
    <w:docVar w:name="dgnword-eventsink" w:val="280425216"/>
  </w:docVars>
  <w:rsids>
    <w:rsidRoot w:val="002E79F3"/>
    <w:rsid w:val="00053C19"/>
    <w:rsid w:val="00087206"/>
    <w:rsid w:val="000A1A4A"/>
    <w:rsid w:val="000B718C"/>
    <w:rsid w:val="000D3E5F"/>
    <w:rsid w:val="00183D44"/>
    <w:rsid w:val="00184BD2"/>
    <w:rsid w:val="00194347"/>
    <w:rsid w:val="001A7BD7"/>
    <w:rsid w:val="001D2841"/>
    <w:rsid w:val="00223866"/>
    <w:rsid w:val="00223DBD"/>
    <w:rsid w:val="0029710D"/>
    <w:rsid w:val="002D36E1"/>
    <w:rsid w:val="002E79F3"/>
    <w:rsid w:val="0034028F"/>
    <w:rsid w:val="003964CA"/>
    <w:rsid w:val="00456E54"/>
    <w:rsid w:val="004611D5"/>
    <w:rsid w:val="0046615A"/>
    <w:rsid w:val="00480E4F"/>
    <w:rsid w:val="0048424B"/>
    <w:rsid w:val="00510D13"/>
    <w:rsid w:val="00582725"/>
    <w:rsid w:val="005B0C60"/>
    <w:rsid w:val="005B2753"/>
    <w:rsid w:val="005E12CB"/>
    <w:rsid w:val="006459E9"/>
    <w:rsid w:val="006550FE"/>
    <w:rsid w:val="006651D7"/>
    <w:rsid w:val="0067474B"/>
    <w:rsid w:val="006803ED"/>
    <w:rsid w:val="006808BD"/>
    <w:rsid w:val="00693390"/>
    <w:rsid w:val="006A00FA"/>
    <w:rsid w:val="006A7A06"/>
    <w:rsid w:val="006D3748"/>
    <w:rsid w:val="006D4D1B"/>
    <w:rsid w:val="007141D1"/>
    <w:rsid w:val="00736E92"/>
    <w:rsid w:val="00792E4E"/>
    <w:rsid w:val="007C2635"/>
    <w:rsid w:val="007C6E84"/>
    <w:rsid w:val="007E3F27"/>
    <w:rsid w:val="0084133F"/>
    <w:rsid w:val="00876940"/>
    <w:rsid w:val="00883E60"/>
    <w:rsid w:val="00894D68"/>
    <w:rsid w:val="009126B4"/>
    <w:rsid w:val="00920D0B"/>
    <w:rsid w:val="00934F53"/>
    <w:rsid w:val="009A3225"/>
    <w:rsid w:val="009B403F"/>
    <w:rsid w:val="00A148B3"/>
    <w:rsid w:val="00A15F14"/>
    <w:rsid w:val="00A26988"/>
    <w:rsid w:val="00AA7C47"/>
    <w:rsid w:val="00AC336A"/>
    <w:rsid w:val="00AD1C37"/>
    <w:rsid w:val="00AE1F9C"/>
    <w:rsid w:val="00AF3490"/>
    <w:rsid w:val="00B031B4"/>
    <w:rsid w:val="00B75700"/>
    <w:rsid w:val="00BD03B8"/>
    <w:rsid w:val="00C01E2C"/>
    <w:rsid w:val="00C66FAF"/>
    <w:rsid w:val="00CB73D4"/>
    <w:rsid w:val="00CF008C"/>
    <w:rsid w:val="00DC591E"/>
    <w:rsid w:val="00DE50C5"/>
    <w:rsid w:val="00E20811"/>
    <w:rsid w:val="00E226DB"/>
    <w:rsid w:val="00E55DFB"/>
    <w:rsid w:val="00E70A0E"/>
    <w:rsid w:val="00EB40C5"/>
    <w:rsid w:val="00FA5FF6"/>
    <w:rsid w:val="00FC6000"/>
    <w:rsid w:val="00FF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6F93B-A8EB-4D11-9155-03080354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B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41"/>
    <w:pPr>
      <w:spacing w:after="200"/>
      <w:ind w:left="720"/>
      <w:contextualSpacing/>
    </w:pPr>
  </w:style>
  <w:style w:type="paragraph" w:styleId="Header">
    <w:name w:val="header"/>
    <w:basedOn w:val="Normal"/>
    <w:link w:val="HeaderChar"/>
    <w:uiPriority w:val="99"/>
    <w:unhideWhenUsed/>
    <w:rsid w:val="002E79F3"/>
    <w:pPr>
      <w:tabs>
        <w:tab w:val="center" w:pos="4680"/>
        <w:tab w:val="right" w:pos="9360"/>
      </w:tabs>
      <w:spacing w:line="240" w:lineRule="auto"/>
    </w:pPr>
  </w:style>
  <w:style w:type="character" w:customStyle="1" w:styleId="HeaderChar">
    <w:name w:val="Header Char"/>
    <w:basedOn w:val="DefaultParagraphFont"/>
    <w:link w:val="Header"/>
    <w:uiPriority w:val="99"/>
    <w:rsid w:val="002E79F3"/>
  </w:style>
  <w:style w:type="table" w:styleId="TableGrid">
    <w:name w:val="Table Grid"/>
    <w:basedOn w:val="TableNormal"/>
    <w:uiPriority w:val="39"/>
    <w:rsid w:val="0048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336A"/>
    <w:pPr>
      <w:tabs>
        <w:tab w:val="center" w:pos="4680"/>
        <w:tab w:val="right" w:pos="9360"/>
      </w:tabs>
      <w:spacing w:line="240" w:lineRule="auto"/>
    </w:pPr>
  </w:style>
  <w:style w:type="character" w:customStyle="1" w:styleId="FooterChar">
    <w:name w:val="Footer Char"/>
    <w:basedOn w:val="DefaultParagraphFont"/>
    <w:link w:val="Footer"/>
    <w:uiPriority w:val="99"/>
    <w:rsid w:val="00AC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0779">
      <w:bodyDiv w:val="1"/>
      <w:marLeft w:val="0"/>
      <w:marRight w:val="0"/>
      <w:marTop w:val="0"/>
      <w:marBottom w:val="0"/>
      <w:divBdr>
        <w:top w:val="none" w:sz="0" w:space="0" w:color="auto"/>
        <w:left w:val="none" w:sz="0" w:space="0" w:color="auto"/>
        <w:bottom w:val="none" w:sz="0" w:space="0" w:color="auto"/>
        <w:right w:val="none" w:sz="0" w:space="0" w:color="auto"/>
      </w:divBdr>
    </w:div>
    <w:div w:id="15222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Whitely Binder, Lara</dc:creator>
  <cp:keywords/>
  <dc:description/>
  <cp:lastModifiedBy>Giambattista, Jennifer</cp:lastModifiedBy>
  <cp:revision>2</cp:revision>
  <dcterms:created xsi:type="dcterms:W3CDTF">2019-04-12T16:27:00Z</dcterms:created>
  <dcterms:modified xsi:type="dcterms:W3CDTF">2019-04-12T16:27:00Z</dcterms:modified>
</cp:coreProperties>
</file>