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F725" w14:textId="77777777" w:rsidR="00EB5A13" w:rsidRPr="00A46A5D" w:rsidRDefault="00EB5A13" w:rsidP="00EB5A13">
      <w:pPr>
        <w:pStyle w:val="Heading2"/>
        <w:rPr>
          <w:b w:val="0"/>
          <w:sz w:val="24"/>
          <w:u w:val="none"/>
        </w:rPr>
      </w:pPr>
    </w:p>
    <w:p w14:paraId="5472F72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472F72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472F72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472F72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472F729" w14:textId="020BC3AB" w:rsidR="00EB5A13" w:rsidRPr="009349D6" w:rsidRDefault="007A5E3B"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5472F72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472F72B" w14:textId="46316AFA" w:rsidR="00EB5A13" w:rsidRPr="009349D6" w:rsidRDefault="002F7C7C" w:rsidP="00074A56">
            <w:pPr>
              <w:spacing w:before="40" w:after="40"/>
              <w:rPr>
                <w:rFonts w:ascii="Arial" w:hAnsi="Arial" w:cs="Arial"/>
              </w:rPr>
            </w:pPr>
            <w:r>
              <w:rPr>
                <w:rFonts w:ascii="Arial" w:hAnsi="Arial" w:cs="Arial"/>
              </w:rPr>
              <w:t>Sahar Fathi</w:t>
            </w:r>
          </w:p>
        </w:tc>
      </w:tr>
      <w:tr w:rsidR="00EB5A13" w:rsidRPr="009349D6" w14:paraId="5472F73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472F72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472F72E" w14:textId="7AEAD327" w:rsidR="00EB5A13" w:rsidRPr="009349D6" w:rsidRDefault="002F7C7C" w:rsidP="005D03CB">
            <w:pPr>
              <w:spacing w:before="40" w:after="40"/>
              <w:rPr>
                <w:rFonts w:ascii="Arial" w:hAnsi="Arial" w:cs="Arial"/>
              </w:rPr>
            </w:pPr>
            <w:r>
              <w:rPr>
                <w:rFonts w:ascii="Arial" w:hAnsi="Arial" w:cs="Arial"/>
              </w:rPr>
              <w:t>2019-0051</w:t>
            </w:r>
          </w:p>
        </w:tc>
        <w:tc>
          <w:tcPr>
            <w:tcW w:w="1170" w:type="dxa"/>
            <w:tcBorders>
              <w:top w:val="single" w:sz="4" w:space="0" w:color="auto"/>
              <w:left w:val="single" w:sz="4" w:space="0" w:color="auto"/>
              <w:bottom w:val="single" w:sz="4" w:space="0" w:color="auto"/>
              <w:right w:val="single" w:sz="4" w:space="0" w:color="auto"/>
            </w:tcBorders>
            <w:vAlign w:val="center"/>
          </w:tcPr>
          <w:p w14:paraId="5472F72F"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472F730" w14:textId="034B523E" w:rsidR="00EB5A13" w:rsidRPr="009349D6" w:rsidRDefault="002F7C7C" w:rsidP="00074A56">
            <w:pPr>
              <w:spacing w:before="40" w:after="40"/>
              <w:rPr>
                <w:rFonts w:ascii="Arial" w:hAnsi="Arial" w:cs="Arial"/>
              </w:rPr>
            </w:pPr>
            <w:r>
              <w:rPr>
                <w:rFonts w:ascii="Arial" w:hAnsi="Arial" w:cs="Arial"/>
              </w:rPr>
              <w:t>February 12, 2019</w:t>
            </w:r>
          </w:p>
        </w:tc>
      </w:tr>
    </w:tbl>
    <w:p w14:paraId="5472F733" w14:textId="684EDF38" w:rsidR="00C95318" w:rsidRDefault="00C95318" w:rsidP="005B478C">
      <w:pPr>
        <w:jc w:val="both"/>
        <w:rPr>
          <w:rFonts w:ascii="Arial" w:hAnsi="Arial" w:cs="Arial"/>
          <w:color w:val="FF0000"/>
          <w:sz w:val="22"/>
          <w:szCs w:val="22"/>
        </w:rPr>
      </w:pPr>
    </w:p>
    <w:p w14:paraId="34D65FE8" w14:textId="77777777" w:rsidR="00F76F6C" w:rsidRPr="00F76F6C" w:rsidRDefault="00F76F6C" w:rsidP="005B478C">
      <w:pPr>
        <w:jc w:val="both"/>
        <w:rPr>
          <w:rFonts w:ascii="Arial" w:hAnsi="Arial" w:cs="Arial"/>
          <w:b/>
          <w:u w:val="single"/>
        </w:rPr>
      </w:pPr>
    </w:p>
    <w:p w14:paraId="5472F73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472F735" w14:textId="77777777" w:rsidR="00074A56" w:rsidRDefault="00074A56" w:rsidP="005B478C">
      <w:pPr>
        <w:jc w:val="both"/>
        <w:rPr>
          <w:rFonts w:ascii="Arial" w:hAnsi="Arial" w:cs="Arial"/>
        </w:rPr>
      </w:pPr>
    </w:p>
    <w:p w14:paraId="4BE52858" w14:textId="7C0E9465" w:rsidR="00F76F6C" w:rsidRDefault="00F76F6C" w:rsidP="00F76F6C">
      <w:pPr>
        <w:jc w:val="both"/>
        <w:rPr>
          <w:rFonts w:ascii="Arial" w:hAnsi="Arial" w:cs="Arial"/>
        </w:rPr>
      </w:pPr>
      <w:r>
        <w:rPr>
          <w:rFonts w:ascii="Arial" w:hAnsi="Arial" w:cs="Arial"/>
        </w:rPr>
        <w:t>Proposed Ordina</w:t>
      </w:r>
      <w:r w:rsidR="00124FE2">
        <w:rPr>
          <w:rFonts w:ascii="Arial" w:hAnsi="Arial" w:cs="Arial"/>
        </w:rPr>
        <w:t>nce 20</w:t>
      </w:r>
      <w:r w:rsidR="00DC1B4A">
        <w:rPr>
          <w:rFonts w:ascii="Arial" w:hAnsi="Arial" w:cs="Arial"/>
        </w:rPr>
        <w:t>19-0051</w:t>
      </w:r>
      <w:r>
        <w:rPr>
          <w:rFonts w:ascii="Arial" w:hAnsi="Arial" w:cs="Arial"/>
        </w:rPr>
        <w:t xml:space="preserve"> would</w:t>
      </w:r>
      <w:r w:rsidRPr="00082A61">
        <w:rPr>
          <w:rFonts w:ascii="Arial" w:hAnsi="Arial" w:cs="Arial"/>
        </w:rPr>
        <w:t xml:space="preserve"> adopt the </w:t>
      </w:r>
      <w:r>
        <w:rPr>
          <w:rFonts w:ascii="Arial" w:hAnsi="Arial" w:cs="Arial"/>
        </w:rPr>
        <w:t>alteration</w:t>
      </w:r>
      <w:r w:rsidRPr="00082A61">
        <w:rPr>
          <w:rFonts w:ascii="Arial" w:hAnsi="Arial" w:cs="Arial"/>
        </w:rPr>
        <w:t xml:space="preserve"> of voting precincts </w:t>
      </w:r>
      <w:r w:rsidR="00DC1B4A">
        <w:rPr>
          <w:rFonts w:ascii="Arial" w:hAnsi="Arial" w:cs="Arial"/>
        </w:rPr>
        <w:t>for 2019</w:t>
      </w:r>
      <w:r w:rsidRPr="00082A61">
        <w:rPr>
          <w:rFonts w:ascii="Arial" w:hAnsi="Arial" w:cs="Arial"/>
        </w:rPr>
        <w:t>.</w:t>
      </w:r>
    </w:p>
    <w:p w14:paraId="5472F737" w14:textId="77777777" w:rsidR="00C75025" w:rsidRDefault="00C75025" w:rsidP="005B478C">
      <w:pPr>
        <w:jc w:val="both"/>
        <w:rPr>
          <w:rFonts w:ascii="Arial" w:hAnsi="Arial" w:cs="Arial"/>
          <w:b/>
          <w:smallCaps/>
          <w:szCs w:val="24"/>
          <w:u w:val="single"/>
        </w:rPr>
      </w:pPr>
    </w:p>
    <w:p w14:paraId="5472F738"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472F739" w14:textId="77777777" w:rsidR="00074A56" w:rsidRDefault="00074A56" w:rsidP="005B478C">
      <w:pPr>
        <w:jc w:val="both"/>
        <w:rPr>
          <w:rFonts w:ascii="Arial" w:hAnsi="Arial" w:cs="Arial"/>
        </w:rPr>
      </w:pPr>
    </w:p>
    <w:p w14:paraId="74794D88" w14:textId="70176967" w:rsidR="00B67B91" w:rsidRDefault="00B67B91" w:rsidP="00B67B91">
      <w:pPr>
        <w:jc w:val="both"/>
        <w:rPr>
          <w:rFonts w:ascii="Arial" w:hAnsi="Arial" w:cs="Arial"/>
        </w:rPr>
      </w:pPr>
      <w:r>
        <w:rPr>
          <w:rFonts w:ascii="Arial" w:hAnsi="Arial" w:cs="Arial"/>
        </w:rPr>
        <w:t xml:space="preserve">Proposed Ordinance </w:t>
      </w:r>
      <w:r w:rsidR="00DC1B4A">
        <w:rPr>
          <w:rFonts w:ascii="Arial" w:hAnsi="Arial" w:cs="Arial"/>
        </w:rPr>
        <w:t>2019-0051</w:t>
      </w:r>
      <w:r>
        <w:rPr>
          <w:rFonts w:ascii="Arial" w:hAnsi="Arial" w:cs="Arial"/>
        </w:rPr>
        <w:t xml:space="preserve"> would adopt boundary revisions to King County’s voting precincts for</w:t>
      </w:r>
      <w:r w:rsidR="00DC1B4A">
        <w:rPr>
          <w:rFonts w:ascii="Arial" w:hAnsi="Arial" w:cs="Arial"/>
        </w:rPr>
        <w:t xml:space="preserve"> 2019</w:t>
      </w:r>
      <w:r>
        <w:rPr>
          <w:rFonts w:ascii="Arial" w:hAnsi="Arial" w:cs="Arial"/>
        </w:rPr>
        <w:t xml:space="preserve">. The proposed alterations would comply with State law and County Code to equalize precinct populations, reflect annexation activity, and ease election administration.  </w:t>
      </w:r>
    </w:p>
    <w:p w14:paraId="3D058ECC" w14:textId="03297171" w:rsidR="00B67B91" w:rsidRDefault="00B67B91" w:rsidP="00B67B91">
      <w:pPr>
        <w:jc w:val="both"/>
        <w:rPr>
          <w:rFonts w:ascii="Arial" w:hAnsi="Arial" w:cs="Arial"/>
        </w:rPr>
      </w:pPr>
    </w:p>
    <w:p w14:paraId="194409F8" w14:textId="79312E0F" w:rsidR="00B67B91" w:rsidRDefault="00B67B91" w:rsidP="00B67B91">
      <w:pPr>
        <w:jc w:val="both"/>
        <w:rPr>
          <w:rFonts w:ascii="Arial" w:hAnsi="Arial" w:cs="Arial"/>
        </w:rPr>
      </w:pPr>
      <w:r>
        <w:rPr>
          <w:rFonts w:ascii="Arial" w:hAnsi="Arial" w:cs="Arial"/>
        </w:rPr>
        <w:t>The proposed changes for 201</w:t>
      </w:r>
      <w:r w:rsidR="00DC1B4A">
        <w:rPr>
          <w:rFonts w:ascii="Arial" w:hAnsi="Arial" w:cs="Arial"/>
        </w:rPr>
        <w:t>9</w:t>
      </w:r>
      <w:r>
        <w:rPr>
          <w:rFonts w:ascii="Arial" w:hAnsi="Arial" w:cs="Arial"/>
        </w:rPr>
        <w:t xml:space="preserve"> would alter </w:t>
      </w:r>
      <w:r w:rsidR="00535645">
        <w:rPr>
          <w:rFonts w:ascii="Arial" w:hAnsi="Arial" w:cs="Arial"/>
        </w:rPr>
        <w:t>49</w:t>
      </w:r>
      <w:r>
        <w:rPr>
          <w:rFonts w:ascii="Arial" w:hAnsi="Arial" w:cs="Arial"/>
        </w:rPr>
        <w:t xml:space="preserve"> of the existing </w:t>
      </w:r>
      <w:r w:rsidR="00AA6FCB">
        <w:rPr>
          <w:rFonts w:ascii="Arial" w:hAnsi="Arial" w:cs="Arial"/>
        </w:rPr>
        <w:t>2,603</w:t>
      </w:r>
      <w:r>
        <w:rPr>
          <w:rFonts w:ascii="Arial" w:hAnsi="Arial" w:cs="Arial"/>
        </w:rPr>
        <w:t xml:space="preserve"> precincts countywide (</w:t>
      </w:r>
      <w:r w:rsidR="00AA6FCB">
        <w:rPr>
          <w:rFonts w:ascii="Arial" w:hAnsi="Arial" w:cs="Arial"/>
        </w:rPr>
        <w:t>1.8</w:t>
      </w:r>
      <w:r>
        <w:rPr>
          <w:rFonts w:ascii="Arial" w:hAnsi="Arial" w:cs="Arial"/>
        </w:rPr>
        <w:t xml:space="preserve"> percent of all</w:t>
      </w:r>
      <w:r w:rsidR="00124FE2">
        <w:rPr>
          <w:rFonts w:ascii="Arial" w:hAnsi="Arial" w:cs="Arial"/>
        </w:rPr>
        <w:t xml:space="preserve"> existing</w:t>
      </w:r>
      <w:r>
        <w:rPr>
          <w:rFonts w:ascii="Arial" w:hAnsi="Arial" w:cs="Arial"/>
        </w:rPr>
        <w:t xml:space="preserve"> prec</w:t>
      </w:r>
      <w:r w:rsidR="00535645">
        <w:rPr>
          <w:rFonts w:ascii="Arial" w:hAnsi="Arial" w:cs="Arial"/>
        </w:rPr>
        <w:t>incts). The changes would add 11</w:t>
      </w:r>
      <w:r>
        <w:rPr>
          <w:rFonts w:ascii="Arial" w:hAnsi="Arial" w:cs="Arial"/>
        </w:rPr>
        <w:t xml:space="preserve"> pre</w:t>
      </w:r>
      <w:r w:rsidR="00535645">
        <w:rPr>
          <w:rFonts w:ascii="Arial" w:hAnsi="Arial" w:cs="Arial"/>
        </w:rPr>
        <w:t>cincts and abolish four, for a net gain of 7</w:t>
      </w:r>
      <w:r>
        <w:rPr>
          <w:rFonts w:ascii="Arial" w:hAnsi="Arial" w:cs="Arial"/>
        </w:rPr>
        <w:t xml:space="preserve"> precincts. The proposed changes would result in a total of </w:t>
      </w:r>
      <w:r w:rsidR="00AA6FCB">
        <w:rPr>
          <w:rFonts w:ascii="Arial" w:hAnsi="Arial" w:cs="Arial"/>
        </w:rPr>
        <w:t>2,610</w:t>
      </w:r>
      <w:r>
        <w:rPr>
          <w:rFonts w:ascii="Arial" w:hAnsi="Arial" w:cs="Arial"/>
        </w:rPr>
        <w:t xml:space="preserve"> precincts countywide. </w:t>
      </w:r>
    </w:p>
    <w:p w14:paraId="623F2B1C" w14:textId="77777777" w:rsidR="00B67B91" w:rsidRDefault="00B67B91" w:rsidP="00B67B91">
      <w:pPr>
        <w:jc w:val="both"/>
        <w:rPr>
          <w:rFonts w:ascii="Arial" w:hAnsi="Arial" w:cs="Arial"/>
        </w:rPr>
      </w:pPr>
    </w:p>
    <w:p w14:paraId="2C65BDF8" w14:textId="61E23E91" w:rsidR="00B67B91" w:rsidRDefault="00B67B91" w:rsidP="00B67B91">
      <w:pPr>
        <w:jc w:val="both"/>
        <w:rPr>
          <w:rFonts w:ascii="Arial" w:hAnsi="Arial" w:cs="Arial"/>
        </w:rPr>
      </w:pPr>
      <w:r>
        <w:rPr>
          <w:rFonts w:ascii="Arial" w:hAnsi="Arial" w:cs="Arial"/>
        </w:rPr>
        <w:t>The</w:t>
      </w:r>
      <w:r w:rsidRPr="001257A1">
        <w:rPr>
          <w:rFonts w:ascii="Arial" w:hAnsi="Arial" w:cs="Arial"/>
        </w:rPr>
        <w:t xml:space="preserve"> precinct alteration process include</w:t>
      </w:r>
      <w:r>
        <w:rPr>
          <w:rFonts w:ascii="Arial" w:hAnsi="Arial" w:cs="Arial"/>
        </w:rPr>
        <w:t>s</w:t>
      </w:r>
      <w:r w:rsidRPr="001257A1">
        <w:rPr>
          <w:rFonts w:ascii="Arial" w:hAnsi="Arial" w:cs="Arial"/>
        </w:rPr>
        <w:t xml:space="preserve"> </w:t>
      </w:r>
      <w:r>
        <w:rPr>
          <w:rFonts w:ascii="Arial" w:hAnsi="Arial" w:cs="Arial"/>
        </w:rPr>
        <w:t xml:space="preserve">a public review period of 10 days, as well as </w:t>
      </w:r>
      <w:r w:rsidRPr="001257A1">
        <w:rPr>
          <w:rFonts w:ascii="Arial" w:hAnsi="Arial" w:cs="Arial"/>
        </w:rPr>
        <w:t>input and review by both major political parties</w:t>
      </w:r>
      <w:r>
        <w:rPr>
          <w:rFonts w:ascii="Arial" w:hAnsi="Arial" w:cs="Arial"/>
        </w:rPr>
        <w:t>.</w:t>
      </w:r>
      <w:r>
        <w:rPr>
          <w:rStyle w:val="FootnoteReference"/>
          <w:rFonts w:ascii="Arial" w:hAnsi="Arial" w:cs="Arial"/>
        </w:rPr>
        <w:footnoteReference w:id="1"/>
      </w:r>
      <w:r>
        <w:rPr>
          <w:rFonts w:ascii="Arial" w:hAnsi="Arial" w:cs="Arial"/>
        </w:rPr>
        <w:t xml:space="preserve"> This year, the review process ran from </w:t>
      </w:r>
      <w:r w:rsidR="00B46B9B">
        <w:rPr>
          <w:rFonts w:ascii="Arial" w:hAnsi="Arial" w:cs="Arial"/>
        </w:rPr>
        <w:t>January 15 through January 24</w:t>
      </w:r>
      <w:r w:rsidRPr="00054C01">
        <w:rPr>
          <w:rFonts w:ascii="Arial" w:hAnsi="Arial" w:cs="Arial"/>
        </w:rPr>
        <w:t>.</w:t>
      </w:r>
      <w:r>
        <w:rPr>
          <w:rFonts w:ascii="Arial" w:hAnsi="Arial" w:cs="Arial"/>
        </w:rPr>
        <w:t xml:space="preserve"> According to the Department of Electio</w:t>
      </w:r>
      <w:r w:rsidR="002D3169">
        <w:rPr>
          <w:rFonts w:ascii="Arial" w:hAnsi="Arial" w:cs="Arial"/>
        </w:rPr>
        <w:t xml:space="preserve">ns, the political </w:t>
      </w:r>
      <w:r>
        <w:rPr>
          <w:rFonts w:ascii="Arial" w:hAnsi="Arial" w:cs="Arial"/>
        </w:rPr>
        <w:t xml:space="preserve">parties and </w:t>
      </w:r>
      <w:r w:rsidR="00124FE2">
        <w:rPr>
          <w:rFonts w:ascii="Arial" w:hAnsi="Arial" w:cs="Arial"/>
        </w:rPr>
        <w:t xml:space="preserve">the </w:t>
      </w:r>
      <w:r>
        <w:rPr>
          <w:rFonts w:ascii="Arial" w:hAnsi="Arial" w:cs="Arial"/>
        </w:rPr>
        <w:t>members of the public had no comments</w:t>
      </w:r>
      <w:r w:rsidR="00187221">
        <w:rPr>
          <w:rFonts w:ascii="Arial" w:hAnsi="Arial" w:cs="Arial"/>
        </w:rPr>
        <w:t>, other than being in support of the proposed precinct alterations</w:t>
      </w:r>
      <w:r>
        <w:rPr>
          <w:rFonts w:ascii="Arial" w:hAnsi="Arial" w:cs="Arial"/>
        </w:rPr>
        <w:t xml:space="preserve">. </w:t>
      </w:r>
    </w:p>
    <w:p w14:paraId="5635A30B" w14:textId="77777777" w:rsidR="00B67B91" w:rsidRDefault="00B67B91" w:rsidP="00B67B91">
      <w:pPr>
        <w:jc w:val="both"/>
        <w:rPr>
          <w:rFonts w:ascii="Arial" w:hAnsi="Arial" w:cs="Arial"/>
        </w:rPr>
      </w:pPr>
    </w:p>
    <w:p w14:paraId="62BCAF91" w14:textId="6C9AEDBA" w:rsidR="00B67B91" w:rsidRPr="004B0967" w:rsidRDefault="00B67B91" w:rsidP="00B67B91">
      <w:pPr>
        <w:jc w:val="both"/>
        <w:rPr>
          <w:rFonts w:ascii="Arial" w:hAnsi="Arial" w:cs="Arial"/>
          <w:b/>
          <w:u w:val="single"/>
        </w:rPr>
      </w:pPr>
      <w:r>
        <w:rPr>
          <w:rFonts w:ascii="Arial" w:hAnsi="Arial" w:cs="Arial"/>
        </w:rPr>
        <w:t xml:space="preserve">To comply with state law, the precinct alterations must be effective by </w:t>
      </w:r>
      <w:r w:rsidR="00222548">
        <w:rPr>
          <w:rFonts w:ascii="Arial" w:hAnsi="Arial" w:cs="Arial"/>
        </w:rPr>
        <w:t>April 30, 14 days before the May 13</w:t>
      </w:r>
      <w:r>
        <w:rPr>
          <w:rFonts w:ascii="Arial" w:hAnsi="Arial" w:cs="Arial"/>
        </w:rPr>
        <w:t xml:space="preserve"> start of the candidate filing period. To meet the </w:t>
      </w:r>
      <w:r w:rsidR="00222548">
        <w:rPr>
          <w:rFonts w:ascii="Arial" w:hAnsi="Arial" w:cs="Arial"/>
        </w:rPr>
        <w:t>April 30</w:t>
      </w:r>
      <w:r>
        <w:rPr>
          <w:rFonts w:ascii="Arial" w:hAnsi="Arial" w:cs="Arial"/>
        </w:rPr>
        <w:t xml:space="preserve"> deadline, Council action with regular processing is needed by April </w:t>
      </w:r>
      <w:r w:rsidR="00187221">
        <w:rPr>
          <w:rFonts w:ascii="Arial" w:hAnsi="Arial" w:cs="Arial"/>
        </w:rPr>
        <w:t>5</w:t>
      </w:r>
      <w:r>
        <w:rPr>
          <w:rFonts w:ascii="Arial" w:hAnsi="Arial" w:cs="Arial"/>
        </w:rPr>
        <w:t>.</w:t>
      </w:r>
    </w:p>
    <w:p w14:paraId="5472F73D" w14:textId="77777777" w:rsidR="00C75025" w:rsidRDefault="00C75025" w:rsidP="005B478C">
      <w:pPr>
        <w:jc w:val="both"/>
        <w:rPr>
          <w:rFonts w:ascii="Arial" w:hAnsi="Arial" w:cs="Arial"/>
          <w:szCs w:val="24"/>
        </w:rPr>
      </w:pPr>
    </w:p>
    <w:p w14:paraId="5472F73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472F73F" w14:textId="77777777" w:rsidR="00074A56" w:rsidRDefault="00074A56" w:rsidP="005B478C">
      <w:pPr>
        <w:jc w:val="both"/>
        <w:rPr>
          <w:rFonts w:ascii="Arial" w:hAnsi="Arial" w:cs="Arial"/>
        </w:rPr>
      </w:pPr>
    </w:p>
    <w:p w14:paraId="72380D63" w14:textId="3AD7F340" w:rsidR="00F76F6C" w:rsidRDefault="00F76F6C" w:rsidP="00F76F6C">
      <w:pPr>
        <w:jc w:val="both"/>
        <w:rPr>
          <w:rFonts w:ascii="Arial" w:hAnsi="Arial" w:cs="Arial"/>
        </w:rPr>
      </w:pPr>
      <w:r>
        <w:rPr>
          <w:rFonts w:ascii="Arial" w:hAnsi="Arial" w:cs="Arial"/>
        </w:rPr>
        <w:t>Washington State law</w:t>
      </w:r>
      <w:r>
        <w:rPr>
          <w:rStyle w:val="FootnoteReference"/>
          <w:rFonts w:ascii="Arial" w:hAnsi="Arial" w:cs="Arial"/>
        </w:rPr>
        <w:footnoteReference w:id="2"/>
      </w:r>
      <w:r>
        <w:rPr>
          <w:rFonts w:ascii="Arial" w:hAnsi="Arial" w:cs="Arial"/>
        </w:rPr>
        <w:t xml:space="preserve"> and King County Code</w:t>
      </w:r>
      <w:r>
        <w:rPr>
          <w:rStyle w:val="FootnoteReference"/>
          <w:rFonts w:ascii="Arial" w:hAnsi="Arial" w:cs="Arial"/>
        </w:rPr>
        <w:footnoteReference w:id="3"/>
      </w:r>
      <w:r w:rsidR="00F63685">
        <w:rPr>
          <w:rFonts w:ascii="Arial" w:hAnsi="Arial" w:cs="Arial"/>
        </w:rPr>
        <w:t xml:space="preserve"> both set out protocols for the </w:t>
      </w:r>
      <w:r>
        <w:rPr>
          <w:rFonts w:ascii="Arial" w:hAnsi="Arial" w:cs="Arial"/>
        </w:rPr>
        <w:t>establishment and revision of voting precincts.</w:t>
      </w:r>
    </w:p>
    <w:p w14:paraId="6B668C9E" w14:textId="77777777" w:rsidR="00F76F6C" w:rsidRDefault="00F76F6C" w:rsidP="00F76F6C">
      <w:pPr>
        <w:jc w:val="both"/>
        <w:rPr>
          <w:rFonts w:ascii="Arial" w:hAnsi="Arial" w:cs="Arial"/>
        </w:rPr>
      </w:pPr>
    </w:p>
    <w:p w14:paraId="582D7AC4" w14:textId="134ADF1F" w:rsidR="00F76F6C" w:rsidRDefault="00F76F6C" w:rsidP="00F76F6C">
      <w:pPr>
        <w:jc w:val="both"/>
        <w:rPr>
          <w:rFonts w:ascii="Arial" w:hAnsi="Arial" w:cs="Arial"/>
        </w:rPr>
      </w:pPr>
      <w:r>
        <w:rPr>
          <w:rFonts w:ascii="Arial" w:hAnsi="Arial" w:cs="Arial"/>
        </w:rPr>
        <w:lastRenderedPageBreak/>
        <w:t>The State gives the Council the authority to establish precinct boundaries, as well as to set a maximum number of active registered voters within each precinct. The State statute allows that precinct boundaries may be altered “at any time,” except, “during the period starting 14 days prior to the first day for candidates to file for the primary election and ending with the day of the general election.”</w:t>
      </w:r>
      <w:r>
        <w:rPr>
          <w:rStyle w:val="FootnoteReference"/>
          <w:rFonts w:ascii="Arial" w:hAnsi="Arial" w:cs="Arial"/>
        </w:rPr>
        <w:footnoteReference w:id="4"/>
      </w:r>
    </w:p>
    <w:p w14:paraId="63CB844C" w14:textId="77777777" w:rsidR="00F76F6C" w:rsidRDefault="00F76F6C" w:rsidP="00F76F6C">
      <w:pPr>
        <w:jc w:val="both"/>
        <w:rPr>
          <w:rFonts w:ascii="Arial" w:hAnsi="Arial" w:cs="Arial"/>
        </w:rPr>
      </w:pPr>
    </w:p>
    <w:p w14:paraId="119F424F" w14:textId="77777777" w:rsidR="00F76F6C" w:rsidRDefault="00F76F6C" w:rsidP="00F76F6C">
      <w:pPr>
        <w:jc w:val="both"/>
        <w:rPr>
          <w:rFonts w:ascii="Arial" w:hAnsi="Arial" w:cs="Arial"/>
        </w:rPr>
      </w:pPr>
      <w:r>
        <w:rPr>
          <w:rFonts w:ascii="Arial" w:hAnsi="Arial" w:cs="Arial"/>
        </w:rPr>
        <w:t>The State statute also requires that:</w:t>
      </w:r>
    </w:p>
    <w:p w14:paraId="25BF9D5A" w14:textId="77777777" w:rsidR="00F76F6C" w:rsidRDefault="00F76F6C" w:rsidP="00F76F6C">
      <w:pPr>
        <w:jc w:val="both"/>
        <w:rPr>
          <w:rFonts w:ascii="Arial" w:hAnsi="Arial" w:cs="Arial"/>
        </w:rPr>
      </w:pPr>
    </w:p>
    <w:p w14:paraId="43045891" w14:textId="77777777" w:rsidR="00F76F6C" w:rsidRDefault="00F76F6C" w:rsidP="00F76F6C">
      <w:pPr>
        <w:pStyle w:val="ListParagraph0"/>
        <w:numPr>
          <w:ilvl w:val="0"/>
          <w:numId w:val="42"/>
        </w:numPr>
        <w:spacing w:line="240" w:lineRule="auto"/>
        <w:jc w:val="both"/>
        <w:rPr>
          <w:rFonts w:ascii="Arial" w:hAnsi="Arial" w:cs="Arial"/>
        </w:rPr>
      </w:pPr>
      <w:r>
        <w:rPr>
          <w:rFonts w:ascii="Arial" w:hAnsi="Arial" w:cs="Arial"/>
        </w:rPr>
        <w:t>Every precinct must be within a single congressional district, legislative district, County Council district, and city.</w:t>
      </w:r>
      <w:r>
        <w:rPr>
          <w:rStyle w:val="FootnoteReference"/>
          <w:rFonts w:ascii="Arial" w:hAnsi="Arial" w:cs="Arial"/>
        </w:rPr>
        <w:footnoteReference w:id="5"/>
      </w:r>
    </w:p>
    <w:p w14:paraId="18C68879" w14:textId="77777777" w:rsidR="00F76F6C" w:rsidRDefault="00F76F6C" w:rsidP="00F76F6C">
      <w:pPr>
        <w:pStyle w:val="ListParagraph0"/>
        <w:spacing w:line="240" w:lineRule="auto"/>
        <w:jc w:val="both"/>
        <w:rPr>
          <w:rFonts w:ascii="Arial" w:hAnsi="Arial" w:cs="Arial"/>
        </w:rPr>
      </w:pPr>
    </w:p>
    <w:p w14:paraId="136E3C9D" w14:textId="77777777" w:rsidR="00F76F6C" w:rsidRDefault="00F76F6C" w:rsidP="00F76F6C">
      <w:pPr>
        <w:pStyle w:val="ListParagraph0"/>
        <w:numPr>
          <w:ilvl w:val="0"/>
          <w:numId w:val="42"/>
        </w:numPr>
        <w:spacing w:line="240" w:lineRule="auto"/>
        <w:jc w:val="both"/>
        <w:rPr>
          <w:rFonts w:ascii="Arial" w:hAnsi="Arial" w:cs="Arial"/>
        </w:rPr>
      </w:pPr>
      <w:r>
        <w:rPr>
          <w:rFonts w:ascii="Arial" w:hAnsi="Arial" w:cs="Arial"/>
        </w:rPr>
        <w:t>Each precinct should be as contiguous and compact as practicable.</w:t>
      </w:r>
      <w:r>
        <w:rPr>
          <w:rStyle w:val="FootnoteReference"/>
          <w:rFonts w:ascii="Arial" w:hAnsi="Arial" w:cs="Arial"/>
        </w:rPr>
        <w:footnoteReference w:id="6"/>
      </w:r>
    </w:p>
    <w:p w14:paraId="0717FE6C" w14:textId="77777777" w:rsidR="00F76F6C" w:rsidRPr="00A32C10" w:rsidRDefault="00F76F6C" w:rsidP="00F76F6C">
      <w:pPr>
        <w:pStyle w:val="ListParagraph0"/>
        <w:spacing w:line="240" w:lineRule="auto"/>
        <w:rPr>
          <w:rFonts w:ascii="Arial" w:hAnsi="Arial" w:cs="Arial"/>
        </w:rPr>
      </w:pPr>
    </w:p>
    <w:p w14:paraId="3E882F3B" w14:textId="77777777" w:rsidR="00F76F6C" w:rsidRPr="00056889" w:rsidRDefault="00F76F6C" w:rsidP="00F76F6C">
      <w:pPr>
        <w:pStyle w:val="ListParagraph0"/>
        <w:numPr>
          <w:ilvl w:val="0"/>
          <w:numId w:val="42"/>
        </w:numPr>
        <w:spacing w:line="240" w:lineRule="auto"/>
        <w:jc w:val="both"/>
        <w:rPr>
          <w:rFonts w:ascii="Arial" w:hAnsi="Arial" w:cs="Arial"/>
        </w:rPr>
      </w:pPr>
      <w:r>
        <w:rPr>
          <w:rFonts w:ascii="Arial" w:hAnsi="Arial" w:cs="Arial"/>
        </w:rPr>
        <w:t>Precincts should follow visible, physical features to the extent possible.</w:t>
      </w:r>
      <w:r>
        <w:rPr>
          <w:rStyle w:val="FootnoteReference"/>
          <w:rFonts w:ascii="Arial" w:hAnsi="Arial" w:cs="Arial"/>
        </w:rPr>
        <w:footnoteReference w:id="7"/>
      </w:r>
    </w:p>
    <w:p w14:paraId="0988B48B" w14:textId="77777777" w:rsidR="00F76F6C" w:rsidRDefault="00F76F6C" w:rsidP="00F76F6C">
      <w:pPr>
        <w:jc w:val="both"/>
        <w:rPr>
          <w:rFonts w:ascii="Arial" w:hAnsi="Arial" w:cs="Arial"/>
        </w:rPr>
      </w:pPr>
    </w:p>
    <w:p w14:paraId="5C82DE42" w14:textId="77777777" w:rsidR="00F76F6C" w:rsidRDefault="00F76F6C" w:rsidP="00F76F6C">
      <w:pPr>
        <w:jc w:val="both"/>
        <w:rPr>
          <w:rFonts w:ascii="Arial" w:hAnsi="Arial" w:cs="Arial"/>
        </w:rPr>
      </w:pPr>
      <w:r>
        <w:rPr>
          <w:rFonts w:ascii="Arial" w:hAnsi="Arial" w:cs="Arial"/>
        </w:rPr>
        <w:t>The Code notes that precinct alterations should be organized, “</w:t>
      </w:r>
      <w:r w:rsidRPr="00566866">
        <w:rPr>
          <w:rFonts w:ascii="Arial" w:hAnsi="Arial" w:cs="Arial"/>
        </w:rPr>
        <w:t>as necessary, to implement precinct balancing and to accommodate the incorporation and annexations of unincorporated county areas into incorporated cities</w:t>
      </w:r>
      <w:r>
        <w:rPr>
          <w:rFonts w:ascii="Arial" w:hAnsi="Arial" w:cs="Arial"/>
        </w:rPr>
        <w:t>.”</w:t>
      </w:r>
      <w:r>
        <w:rPr>
          <w:rStyle w:val="FootnoteReference"/>
          <w:rFonts w:ascii="Arial" w:hAnsi="Arial" w:cs="Arial"/>
        </w:rPr>
        <w:footnoteReference w:id="8"/>
      </w:r>
      <w:r w:rsidRPr="00F65771">
        <w:rPr>
          <w:rFonts w:ascii="Arial" w:hAnsi="Arial" w:cs="Arial"/>
        </w:rPr>
        <w:t xml:space="preserve"> </w:t>
      </w:r>
      <w:r>
        <w:rPr>
          <w:rFonts w:ascii="Arial" w:hAnsi="Arial" w:cs="Arial"/>
        </w:rPr>
        <w:t>Specifically, it requires that:</w:t>
      </w:r>
    </w:p>
    <w:p w14:paraId="239578CC" w14:textId="77777777" w:rsidR="00F76F6C" w:rsidRDefault="00F76F6C" w:rsidP="00F76F6C">
      <w:pPr>
        <w:jc w:val="both"/>
        <w:rPr>
          <w:rFonts w:ascii="Arial" w:hAnsi="Arial" w:cs="Arial"/>
        </w:rPr>
      </w:pPr>
    </w:p>
    <w:p w14:paraId="3847F663" w14:textId="77777777" w:rsidR="00F76F6C" w:rsidRDefault="00F76F6C" w:rsidP="00F76F6C">
      <w:pPr>
        <w:pStyle w:val="ListParagraph0"/>
        <w:numPr>
          <w:ilvl w:val="0"/>
          <w:numId w:val="42"/>
        </w:numPr>
        <w:spacing w:line="240" w:lineRule="auto"/>
        <w:jc w:val="both"/>
        <w:rPr>
          <w:rFonts w:ascii="Arial" w:hAnsi="Arial" w:cs="Arial"/>
        </w:rPr>
      </w:pPr>
      <w:r>
        <w:rPr>
          <w:rFonts w:ascii="Arial" w:hAnsi="Arial" w:cs="Arial"/>
        </w:rPr>
        <w:t>Precincts can have no more than 900 active registered voters.</w:t>
      </w:r>
      <w:r>
        <w:rPr>
          <w:rStyle w:val="FootnoteReference"/>
          <w:rFonts w:ascii="Arial" w:hAnsi="Arial" w:cs="Arial"/>
        </w:rPr>
        <w:footnoteReference w:id="9"/>
      </w:r>
    </w:p>
    <w:p w14:paraId="3BC40A5C" w14:textId="77777777" w:rsidR="00F76F6C" w:rsidRDefault="00F76F6C" w:rsidP="00F76F6C">
      <w:pPr>
        <w:pStyle w:val="ListParagraph0"/>
        <w:spacing w:line="240" w:lineRule="auto"/>
        <w:jc w:val="both"/>
        <w:rPr>
          <w:rFonts w:ascii="Arial" w:hAnsi="Arial" w:cs="Arial"/>
        </w:rPr>
      </w:pPr>
    </w:p>
    <w:p w14:paraId="6ACE2F74" w14:textId="682D02B9" w:rsidR="00F76F6C" w:rsidRPr="00EF5A56" w:rsidRDefault="00F76F6C" w:rsidP="00F76F6C">
      <w:pPr>
        <w:pStyle w:val="ListParagraph0"/>
        <w:numPr>
          <w:ilvl w:val="0"/>
          <w:numId w:val="42"/>
        </w:numPr>
        <w:spacing w:line="240" w:lineRule="auto"/>
        <w:jc w:val="both"/>
        <w:rPr>
          <w:rFonts w:ascii="Arial" w:hAnsi="Arial" w:cs="Arial"/>
        </w:rPr>
      </w:pPr>
      <w:r>
        <w:rPr>
          <w:rFonts w:ascii="Arial" w:hAnsi="Arial" w:cs="Arial"/>
        </w:rPr>
        <w:t>Any proposal to revise voting precincts must be transmitted to the Council for approval by ordinance at least 30 days before the State-imposed deadline by which the alteration ordinance must be effective.</w:t>
      </w:r>
      <w:r>
        <w:rPr>
          <w:rStyle w:val="FootnoteReference"/>
          <w:rFonts w:ascii="Arial" w:hAnsi="Arial" w:cs="Arial"/>
        </w:rPr>
        <w:footnoteReference w:id="10"/>
      </w:r>
      <w:r>
        <w:rPr>
          <w:rFonts w:ascii="Arial" w:hAnsi="Arial" w:cs="Arial"/>
        </w:rPr>
        <w:t xml:space="preserve"> </w:t>
      </w:r>
      <w:r w:rsidR="00B46B9B">
        <w:rPr>
          <w:rFonts w:ascii="Arial" w:hAnsi="Arial" w:cs="Arial"/>
        </w:rPr>
        <w:t>For 201</w:t>
      </w:r>
      <w:r w:rsidR="00222548">
        <w:rPr>
          <w:rFonts w:ascii="Arial" w:hAnsi="Arial" w:cs="Arial"/>
        </w:rPr>
        <w:t>9</w:t>
      </w:r>
      <w:r w:rsidRPr="00EF5A56">
        <w:rPr>
          <w:rFonts w:ascii="Arial" w:hAnsi="Arial" w:cs="Arial"/>
        </w:rPr>
        <w:t>, the State deadline is May 1</w:t>
      </w:r>
      <w:r w:rsidR="00222548">
        <w:rPr>
          <w:rFonts w:ascii="Arial" w:hAnsi="Arial" w:cs="Arial"/>
        </w:rPr>
        <w:t>3</w:t>
      </w:r>
      <w:r w:rsidRPr="00EF5A56">
        <w:rPr>
          <w:rFonts w:ascii="Arial" w:hAnsi="Arial" w:cs="Arial"/>
        </w:rPr>
        <w:t>, making the transmittal deadline to</w:t>
      </w:r>
      <w:r w:rsidR="00C978D0" w:rsidRPr="00EF5A56">
        <w:rPr>
          <w:rFonts w:ascii="Arial" w:hAnsi="Arial" w:cs="Arial"/>
        </w:rPr>
        <w:t xml:space="preserve"> Council </w:t>
      </w:r>
      <w:r w:rsidR="00222548">
        <w:rPr>
          <w:rFonts w:ascii="Arial" w:hAnsi="Arial" w:cs="Arial"/>
        </w:rPr>
        <w:t>April 12</w:t>
      </w:r>
      <w:r w:rsidR="00222548">
        <w:rPr>
          <w:rStyle w:val="FootnoteReference"/>
          <w:rFonts w:ascii="Arial" w:hAnsi="Arial" w:cs="Arial"/>
        </w:rPr>
        <w:footnoteReference w:id="11"/>
      </w:r>
      <w:r w:rsidRPr="00EF5A56">
        <w:rPr>
          <w:rFonts w:ascii="Arial" w:hAnsi="Arial" w:cs="Arial"/>
        </w:rPr>
        <w:t xml:space="preserve">. (The proposed ordinance was transmitted on </w:t>
      </w:r>
      <w:r w:rsidR="00222548">
        <w:rPr>
          <w:rFonts w:ascii="Arial" w:hAnsi="Arial" w:cs="Arial"/>
        </w:rPr>
        <w:t>January 29</w:t>
      </w:r>
      <w:r w:rsidRPr="00EF5A56">
        <w:rPr>
          <w:rFonts w:ascii="Arial" w:hAnsi="Arial" w:cs="Arial"/>
        </w:rPr>
        <w:t>, thus meeting this requirement.)</w:t>
      </w:r>
    </w:p>
    <w:p w14:paraId="02FF72A6" w14:textId="77777777" w:rsidR="00F76F6C" w:rsidRPr="0057595F" w:rsidRDefault="00F76F6C" w:rsidP="00F76F6C">
      <w:pPr>
        <w:pStyle w:val="ListParagraph0"/>
        <w:spacing w:line="240" w:lineRule="auto"/>
        <w:jc w:val="both"/>
        <w:rPr>
          <w:rFonts w:ascii="Arial" w:hAnsi="Arial" w:cs="Arial"/>
        </w:rPr>
      </w:pPr>
    </w:p>
    <w:p w14:paraId="1CDE0760" w14:textId="57B1D06E" w:rsidR="00F76F6C" w:rsidRPr="0057595F" w:rsidRDefault="00F76F6C" w:rsidP="00F76F6C">
      <w:pPr>
        <w:pStyle w:val="ListParagraph0"/>
        <w:numPr>
          <w:ilvl w:val="0"/>
          <w:numId w:val="42"/>
        </w:numPr>
        <w:spacing w:line="240" w:lineRule="auto"/>
        <w:jc w:val="both"/>
        <w:rPr>
          <w:rFonts w:ascii="Arial" w:hAnsi="Arial" w:cs="Arial"/>
        </w:rPr>
      </w:pPr>
      <w:r>
        <w:rPr>
          <w:rFonts w:ascii="Arial" w:hAnsi="Arial" w:cs="Arial"/>
        </w:rPr>
        <w:t>Elections must make the proposed alterations available to the public and the political parties for a review period of at least 10 days.</w:t>
      </w:r>
      <w:r w:rsidR="00C6783A">
        <w:rPr>
          <w:rStyle w:val="FootnoteReference"/>
          <w:rFonts w:ascii="Arial" w:hAnsi="Arial" w:cs="Arial"/>
        </w:rPr>
        <w:footnoteReference w:id="12"/>
      </w:r>
      <w:r>
        <w:rPr>
          <w:rFonts w:ascii="Arial" w:hAnsi="Arial" w:cs="Arial"/>
        </w:rPr>
        <w:t xml:space="preserve"> (This year, the review period extended from </w:t>
      </w:r>
      <w:r w:rsidR="00222548">
        <w:rPr>
          <w:rFonts w:ascii="Arial" w:hAnsi="Arial" w:cs="Arial"/>
        </w:rPr>
        <w:t>January 15 through January 24</w:t>
      </w:r>
      <w:r w:rsidR="00C6783A">
        <w:rPr>
          <w:rFonts w:ascii="Arial" w:hAnsi="Arial" w:cs="Arial"/>
        </w:rPr>
        <w:t>, thus meeting the requirement</w:t>
      </w:r>
      <w:r>
        <w:rPr>
          <w:rFonts w:ascii="Arial" w:hAnsi="Arial" w:cs="Arial"/>
        </w:rPr>
        <w:t>.)</w:t>
      </w:r>
    </w:p>
    <w:p w14:paraId="5472F741" w14:textId="0D269041" w:rsidR="00575B03" w:rsidRDefault="00575B03" w:rsidP="005B478C">
      <w:pPr>
        <w:jc w:val="both"/>
        <w:rPr>
          <w:rFonts w:ascii="Arial" w:hAnsi="Arial" w:cs="Arial"/>
        </w:rPr>
      </w:pPr>
    </w:p>
    <w:p w14:paraId="5472F742"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472F743" w14:textId="77777777" w:rsidR="00074A56" w:rsidRDefault="00074A56" w:rsidP="005B478C">
      <w:pPr>
        <w:jc w:val="both"/>
        <w:rPr>
          <w:rFonts w:ascii="Arial" w:hAnsi="Arial" w:cs="Arial"/>
        </w:rPr>
      </w:pPr>
    </w:p>
    <w:p w14:paraId="354285D7" w14:textId="41EE05AE" w:rsidR="00F76F6C" w:rsidRDefault="00F76F6C" w:rsidP="00F76F6C">
      <w:pPr>
        <w:jc w:val="both"/>
        <w:rPr>
          <w:rFonts w:ascii="Arial" w:hAnsi="Arial" w:cs="Arial"/>
        </w:rPr>
      </w:pPr>
      <w:r>
        <w:rPr>
          <w:rFonts w:ascii="Arial" w:hAnsi="Arial" w:cs="Arial"/>
        </w:rPr>
        <w:t xml:space="preserve">Proposed Ordinance </w:t>
      </w:r>
      <w:r w:rsidR="00DC1B4A">
        <w:rPr>
          <w:rFonts w:ascii="Arial" w:hAnsi="Arial" w:cs="Arial"/>
        </w:rPr>
        <w:t>2019-0051</w:t>
      </w:r>
      <w:r>
        <w:rPr>
          <w:rFonts w:ascii="Arial" w:hAnsi="Arial" w:cs="Arial"/>
        </w:rPr>
        <w:t xml:space="preserve"> would alter </w:t>
      </w:r>
      <w:r w:rsidR="00535645">
        <w:rPr>
          <w:rFonts w:ascii="Arial" w:hAnsi="Arial" w:cs="Arial"/>
        </w:rPr>
        <w:t>49</w:t>
      </w:r>
      <w:r>
        <w:rPr>
          <w:rFonts w:ascii="Arial" w:hAnsi="Arial" w:cs="Arial"/>
        </w:rPr>
        <w:t xml:space="preserve"> of the existing </w:t>
      </w:r>
      <w:r w:rsidR="00AA6FCB">
        <w:rPr>
          <w:rFonts w:ascii="Arial" w:hAnsi="Arial" w:cs="Arial"/>
        </w:rPr>
        <w:t>2,603</w:t>
      </w:r>
      <w:r>
        <w:rPr>
          <w:rFonts w:ascii="Arial" w:hAnsi="Arial" w:cs="Arial"/>
        </w:rPr>
        <w:t xml:space="preserve"> voting precincts (</w:t>
      </w:r>
      <w:r w:rsidR="00AA6FCB">
        <w:rPr>
          <w:rFonts w:ascii="Arial" w:hAnsi="Arial" w:cs="Arial"/>
        </w:rPr>
        <w:t>1.8</w:t>
      </w:r>
      <w:r w:rsidR="009B2249">
        <w:rPr>
          <w:rFonts w:ascii="Arial" w:hAnsi="Arial" w:cs="Arial"/>
        </w:rPr>
        <w:t xml:space="preserve"> percent of the existing</w:t>
      </w:r>
      <w:r>
        <w:rPr>
          <w:rFonts w:ascii="Arial" w:hAnsi="Arial" w:cs="Arial"/>
        </w:rPr>
        <w:t xml:space="preserve"> preci</w:t>
      </w:r>
      <w:r w:rsidR="00535645">
        <w:rPr>
          <w:rFonts w:ascii="Arial" w:hAnsi="Arial" w:cs="Arial"/>
        </w:rPr>
        <w:t>ncts). The proposal would add 11</w:t>
      </w:r>
      <w:r>
        <w:rPr>
          <w:rFonts w:ascii="Arial" w:hAnsi="Arial" w:cs="Arial"/>
        </w:rPr>
        <w:t xml:space="preserve"> precincts, and abolish </w:t>
      </w:r>
      <w:r w:rsidR="00535645">
        <w:rPr>
          <w:rFonts w:ascii="Arial" w:hAnsi="Arial" w:cs="Arial"/>
        </w:rPr>
        <w:t>four, for a net gain of 7</w:t>
      </w:r>
      <w:r>
        <w:rPr>
          <w:rFonts w:ascii="Arial" w:hAnsi="Arial" w:cs="Arial"/>
        </w:rPr>
        <w:t xml:space="preserve"> precincts. The proposed changes would result in a total of </w:t>
      </w:r>
      <w:r w:rsidR="00AA6FCB">
        <w:rPr>
          <w:rFonts w:ascii="Arial" w:hAnsi="Arial" w:cs="Arial"/>
        </w:rPr>
        <w:t>2,610</w:t>
      </w:r>
      <w:r>
        <w:rPr>
          <w:rFonts w:ascii="Arial" w:hAnsi="Arial" w:cs="Arial"/>
        </w:rPr>
        <w:t xml:space="preserve"> precincts countywide. </w:t>
      </w:r>
      <w:r w:rsidRPr="004B0967">
        <w:rPr>
          <w:rFonts w:ascii="Arial" w:hAnsi="Arial" w:cs="Arial"/>
        </w:rPr>
        <w:t>Table</w:t>
      </w:r>
      <w:r>
        <w:rPr>
          <w:rFonts w:ascii="Arial" w:hAnsi="Arial" w:cs="Arial"/>
          <w:b/>
        </w:rPr>
        <w:t xml:space="preserve"> </w:t>
      </w:r>
      <w:r w:rsidRPr="00CC15BC">
        <w:rPr>
          <w:rFonts w:ascii="Arial" w:hAnsi="Arial" w:cs="Arial"/>
        </w:rPr>
        <w:t xml:space="preserve">1 </w:t>
      </w:r>
      <w:r>
        <w:rPr>
          <w:rFonts w:ascii="Arial" w:hAnsi="Arial" w:cs="Arial"/>
        </w:rPr>
        <w:t xml:space="preserve">summarizes </w:t>
      </w:r>
      <w:r w:rsidRPr="001B0F6A">
        <w:rPr>
          <w:rFonts w:ascii="Arial" w:hAnsi="Arial" w:cs="Arial"/>
        </w:rPr>
        <w:t>changes to voting precincts</w:t>
      </w:r>
      <w:r>
        <w:rPr>
          <w:rFonts w:ascii="Arial" w:hAnsi="Arial" w:cs="Arial"/>
        </w:rPr>
        <w:t xml:space="preserve"> within each Council district</w:t>
      </w:r>
      <w:r w:rsidRPr="001B0F6A">
        <w:rPr>
          <w:rFonts w:ascii="Arial" w:hAnsi="Arial" w:cs="Arial"/>
        </w:rPr>
        <w:t xml:space="preserve">.  </w:t>
      </w:r>
    </w:p>
    <w:p w14:paraId="54155814" w14:textId="666360EC" w:rsidR="00F76F6C" w:rsidRDefault="00F76F6C" w:rsidP="00F76F6C">
      <w:pPr>
        <w:pStyle w:val="NoSpacing"/>
        <w:jc w:val="both"/>
        <w:rPr>
          <w:rFonts w:ascii="Arial" w:hAnsi="Arial" w:cs="Arial"/>
        </w:rPr>
      </w:pPr>
    </w:p>
    <w:p w14:paraId="0D8A2C8F" w14:textId="69EB423E" w:rsidR="00124FE2" w:rsidRDefault="00124FE2" w:rsidP="00F76F6C">
      <w:pPr>
        <w:pStyle w:val="NoSpacing"/>
        <w:jc w:val="both"/>
        <w:rPr>
          <w:rFonts w:ascii="Arial" w:hAnsi="Arial" w:cs="Arial"/>
        </w:rPr>
      </w:pPr>
    </w:p>
    <w:p w14:paraId="01594208" w14:textId="1C35C37B" w:rsidR="00124FE2" w:rsidRDefault="00124FE2" w:rsidP="00F76F6C">
      <w:pPr>
        <w:pStyle w:val="NoSpacing"/>
        <w:jc w:val="both"/>
        <w:rPr>
          <w:rFonts w:ascii="Arial" w:hAnsi="Arial" w:cs="Arial"/>
        </w:rPr>
      </w:pPr>
    </w:p>
    <w:p w14:paraId="55990DD7" w14:textId="7BDDD953" w:rsidR="00124FE2" w:rsidRDefault="00124FE2" w:rsidP="00F76F6C">
      <w:pPr>
        <w:pStyle w:val="NoSpacing"/>
        <w:jc w:val="both"/>
        <w:rPr>
          <w:rFonts w:ascii="Arial" w:hAnsi="Arial" w:cs="Arial"/>
        </w:rPr>
      </w:pPr>
    </w:p>
    <w:p w14:paraId="08E74A14" w14:textId="77777777" w:rsidR="00124FE2" w:rsidRDefault="00124FE2" w:rsidP="00F76F6C">
      <w:pPr>
        <w:pStyle w:val="NoSpacing"/>
        <w:jc w:val="both"/>
        <w:rPr>
          <w:rFonts w:ascii="Arial" w:hAnsi="Arial" w:cs="Arial"/>
        </w:rPr>
      </w:pPr>
    </w:p>
    <w:p w14:paraId="51E0E256" w14:textId="77777777" w:rsidR="00F76F6C" w:rsidRPr="00AB753A" w:rsidRDefault="00F76F6C" w:rsidP="00F76F6C">
      <w:pPr>
        <w:pStyle w:val="NoSpacing"/>
        <w:jc w:val="center"/>
        <w:rPr>
          <w:rFonts w:ascii="Arial" w:hAnsi="Arial" w:cs="Arial"/>
          <w:b/>
        </w:rPr>
      </w:pPr>
      <w:r>
        <w:rPr>
          <w:rFonts w:ascii="Arial" w:hAnsi="Arial" w:cs="Arial"/>
          <w:b/>
        </w:rPr>
        <w:t>Table 1. Proposed Voting Precinct Changes by Council District</w:t>
      </w:r>
    </w:p>
    <w:p w14:paraId="3B57ECBC" w14:textId="77777777" w:rsidR="00F76F6C" w:rsidRPr="00AB753A" w:rsidRDefault="00F76F6C" w:rsidP="00F76F6C">
      <w:pPr>
        <w:rPr>
          <w:rFonts w:ascii="Arial" w:hAnsi="Arial" w:cs="Arial"/>
          <w:szCs w:val="24"/>
        </w:rPr>
      </w:pPr>
    </w:p>
    <w:tbl>
      <w:tblPr>
        <w:tblW w:w="8820"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2205"/>
        <w:gridCol w:w="2205"/>
        <w:gridCol w:w="2205"/>
      </w:tblGrid>
      <w:tr w:rsidR="00F76F6C" w:rsidRPr="00AB753A" w14:paraId="10590769" w14:textId="77777777" w:rsidTr="00636179">
        <w:tc>
          <w:tcPr>
            <w:tcW w:w="2205" w:type="dxa"/>
            <w:tcBorders>
              <w:top w:val="single" w:sz="12" w:space="0" w:color="auto"/>
              <w:left w:val="single" w:sz="12" w:space="0" w:color="auto"/>
              <w:bottom w:val="single" w:sz="12" w:space="0" w:color="auto"/>
            </w:tcBorders>
            <w:shd w:val="clear" w:color="auto" w:fill="000000" w:themeFill="text1"/>
            <w:vAlign w:val="center"/>
          </w:tcPr>
          <w:p w14:paraId="3721CCED" w14:textId="77777777" w:rsidR="00F76F6C" w:rsidRPr="00AB753A" w:rsidRDefault="00F76F6C" w:rsidP="00636179">
            <w:pPr>
              <w:spacing w:before="40" w:after="40"/>
              <w:jc w:val="center"/>
              <w:rPr>
                <w:rFonts w:ascii="Arial" w:hAnsi="Arial" w:cs="Arial"/>
                <w:b/>
                <w:color w:val="FFFFFF" w:themeColor="background1"/>
                <w:szCs w:val="24"/>
              </w:rPr>
            </w:pPr>
            <w:r w:rsidRPr="00AB753A">
              <w:rPr>
                <w:rFonts w:ascii="Arial" w:hAnsi="Arial" w:cs="Arial"/>
                <w:b/>
                <w:color w:val="FFFFFF" w:themeColor="background1"/>
                <w:szCs w:val="24"/>
              </w:rPr>
              <w:t>Council District</w:t>
            </w:r>
          </w:p>
        </w:tc>
        <w:tc>
          <w:tcPr>
            <w:tcW w:w="2205" w:type="dxa"/>
            <w:tcBorders>
              <w:top w:val="single" w:sz="12" w:space="0" w:color="auto"/>
              <w:bottom w:val="single" w:sz="12" w:space="0" w:color="auto"/>
            </w:tcBorders>
            <w:shd w:val="clear" w:color="auto" w:fill="000000" w:themeFill="text1"/>
            <w:vAlign w:val="center"/>
          </w:tcPr>
          <w:p w14:paraId="26BF77C4" w14:textId="77777777" w:rsidR="00F76F6C" w:rsidRPr="00AB753A" w:rsidRDefault="00F76F6C" w:rsidP="00636179">
            <w:pPr>
              <w:spacing w:before="40" w:after="40"/>
              <w:jc w:val="center"/>
              <w:rPr>
                <w:rFonts w:ascii="Arial" w:hAnsi="Arial" w:cs="Arial"/>
                <w:b/>
                <w:color w:val="FFFFFF" w:themeColor="background1"/>
                <w:szCs w:val="24"/>
              </w:rPr>
            </w:pPr>
            <w:r w:rsidRPr="00AB753A">
              <w:rPr>
                <w:rFonts w:ascii="Arial" w:hAnsi="Arial" w:cs="Arial"/>
                <w:b/>
                <w:color w:val="FFFFFF" w:themeColor="background1"/>
                <w:szCs w:val="24"/>
              </w:rPr>
              <w:t>Altered</w:t>
            </w:r>
          </w:p>
        </w:tc>
        <w:tc>
          <w:tcPr>
            <w:tcW w:w="2205" w:type="dxa"/>
            <w:tcBorders>
              <w:top w:val="single" w:sz="12" w:space="0" w:color="auto"/>
              <w:bottom w:val="single" w:sz="12" w:space="0" w:color="auto"/>
            </w:tcBorders>
            <w:shd w:val="clear" w:color="auto" w:fill="000000" w:themeFill="text1"/>
            <w:vAlign w:val="center"/>
          </w:tcPr>
          <w:p w14:paraId="1A62619D" w14:textId="77777777" w:rsidR="00F76F6C" w:rsidRPr="00AB753A" w:rsidRDefault="00F76F6C" w:rsidP="00636179">
            <w:pPr>
              <w:spacing w:before="40" w:after="40"/>
              <w:jc w:val="center"/>
              <w:rPr>
                <w:rFonts w:ascii="Arial" w:hAnsi="Arial" w:cs="Arial"/>
                <w:b/>
                <w:color w:val="FFFFFF" w:themeColor="background1"/>
                <w:szCs w:val="24"/>
              </w:rPr>
            </w:pPr>
            <w:r w:rsidRPr="00AB753A">
              <w:rPr>
                <w:rFonts w:ascii="Arial" w:hAnsi="Arial" w:cs="Arial"/>
                <w:b/>
                <w:color w:val="FFFFFF" w:themeColor="background1"/>
                <w:szCs w:val="24"/>
              </w:rPr>
              <w:t>Added</w:t>
            </w:r>
          </w:p>
        </w:tc>
        <w:tc>
          <w:tcPr>
            <w:tcW w:w="2205" w:type="dxa"/>
            <w:tcBorders>
              <w:top w:val="single" w:sz="12" w:space="0" w:color="auto"/>
              <w:bottom w:val="single" w:sz="12" w:space="0" w:color="auto"/>
            </w:tcBorders>
            <w:shd w:val="clear" w:color="auto" w:fill="000000" w:themeFill="text1"/>
            <w:vAlign w:val="center"/>
          </w:tcPr>
          <w:p w14:paraId="4B477B7B" w14:textId="77777777" w:rsidR="00F76F6C" w:rsidRPr="00AB753A" w:rsidRDefault="00F76F6C" w:rsidP="00636179">
            <w:pPr>
              <w:spacing w:before="40" w:after="40"/>
              <w:jc w:val="center"/>
              <w:rPr>
                <w:rFonts w:ascii="Arial" w:hAnsi="Arial" w:cs="Arial"/>
                <w:b/>
                <w:color w:val="FFFFFF" w:themeColor="background1"/>
                <w:szCs w:val="24"/>
              </w:rPr>
            </w:pPr>
            <w:r w:rsidRPr="00AB753A">
              <w:rPr>
                <w:rFonts w:ascii="Arial" w:hAnsi="Arial" w:cs="Arial"/>
                <w:b/>
                <w:color w:val="FFFFFF" w:themeColor="background1"/>
                <w:szCs w:val="24"/>
              </w:rPr>
              <w:t>Abolished</w:t>
            </w:r>
          </w:p>
        </w:tc>
      </w:tr>
      <w:tr w:rsidR="00F76F6C" w:rsidRPr="00AB753A" w14:paraId="0D42EC3A" w14:textId="77777777" w:rsidTr="00636179">
        <w:tc>
          <w:tcPr>
            <w:tcW w:w="2205" w:type="dxa"/>
            <w:tcBorders>
              <w:top w:val="nil"/>
            </w:tcBorders>
            <w:shd w:val="clear" w:color="auto" w:fill="D9D9D9" w:themeFill="background1" w:themeFillShade="D9"/>
            <w:vAlign w:val="center"/>
          </w:tcPr>
          <w:p w14:paraId="427E05EF"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1</w:t>
            </w:r>
          </w:p>
        </w:tc>
        <w:tc>
          <w:tcPr>
            <w:tcW w:w="2205" w:type="dxa"/>
            <w:tcBorders>
              <w:top w:val="nil"/>
            </w:tcBorders>
            <w:vAlign w:val="center"/>
          </w:tcPr>
          <w:p w14:paraId="77B683E7" w14:textId="021D0D48" w:rsidR="00F76F6C" w:rsidRPr="00AB753A" w:rsidRDefault="00F76F6C" w:rsidP="00636179">
            <w:pPr>
              <w:spacing w:before="40" w:after="40"/>
              <w:jc w:val="center"/>
              <w:rPr>
                <w:rFonts w:ascii="Arial" w:hAnsi="Arial" w:cs="Arial"/>
                <w:szCs w:val="24"/>
              </w:rPr>
            </w:pPr>
            <w:r>
              <w:rPr>
                <w:rFonts w:ascii="Arial" w:hAnsi="Arial" w:cs="Arial"/>
                <w:szCs w:val="24"/>
              </w:rPr>
              <w:t>2</w:t>
            </w:r>
          </w:p>
        </w:tc>
        <w:tc>
          <w:tcPr>
            <w:tcW w:w="2205" w:type="dxa"/>
            <w:tcBorders>
              <w:top w:val="nil"/>
            </w:tcBorders>
            <w:vAlign w:val="center"/>
          </w:tcPr>
          <w:p w14:paraId="2FEF2C35" w14:textId="476B7CE0" w:rsidR="00F76F6C" w:rsidRPr="00AB753A" w:rsidRDefault="00D531E2" w:rsidP="00F76F6C">
            <w:pPr>
              <w:spacing w:before="40" w:after="40"/>
              <w:jc w:val="center"/>
              <w:rPr>
                <w:rFonts w:ascii="Arial" w:hAnsi="Arial" w:cs="Arial"/>
                <w:szCs w:val="24"/>
              </w:rPr>
            </w:pPr>
            <w:r>
              <w:rPr>
                <w:rFonts w:ascii="Arial" w:hAnsi="Arial" w:cs="Arial"/>
                <w:szCs w:val="24"/>
              </w:rPr>
              <w:t>0</w:t>
            </w:r>
          </w:p>
        </w:tc>
        <w:tc>
          <w:tcPr>
            <w:tcW w:w="2205" w:type="dxa"/>
            <w:tcBorders>
              <w:top w:val="nil"/>
            </w:tcBorders>
            <w:vAlign w:val="center"/>
          </w:tcPr>
          <w:p w14:paraId="057FA754" w14:textId="77777777" w:rsidR="00F76F6C" w:rsidRPr="00AB753A" w:rsidRDefault="00F76F6C" w:rsidP="00636179">
            <w:pPr>
              <w:spacing w:before="40" w:after="40"/>
              <w:jc w:val="center"/>
              <w:rPr>
                <w:rFonts w:ascii="Arial" w:hAnsi="Arial" w:cs="Arial"/>
                <w:szCs w:val="24"/>
              </w:rPr>
            </w:pPr>
            <w:r w:rsidRPr="00AB753A">
              <w:rPr>
                <w:rFonts w:ascii="Arial" w:hAnsi="Arial" w:cs="Arial"/>
                <w:szCs w:val="24"/>
              </w:rPr>
              <w:t>0</w:t>
            </w:r>
          </w:p>
        </w:tc>
      </w:tr>
      <w:tr w:rsidR="00F76F6C" w:rsidRPr="00AB753A" w14:paraId="3C2AB81A" w14:textId="77777777" w:rsidTr="00636179">
        <w:tc>
          <w:tcPr>
            <w:tcW w:w="2205" w:type="dxa"/>
            <w:shd w:val="clear" w:color="auto" w:fill="D9D9D9" w:themeFill="background1" w:themeFillShade="D9"/>
            <w:vAlign w:val="center"/>
          </w:tcPr>
          <w:p w14:paraId="5B6D3513"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2</w:t>
            </w:r>
          </w:p>
        </w:tc>
        <w:tc>
          <w:tcPr>
            <w:tcW w:w="2205" w:type="dxa"/>
            <w:vAlign w:val="center"/>
          </w:tcPr>
          <w:p w14:paraId="079A091A" w14:textId="0113B47F" w:rsidR="00F76F6C" w:rsidRPr="00AB753A" w:rsidRDefault="00D531E2" w:rsidP="00636179">
            <w:pPr>
              <w:spacing w:before="40" w:after="40"/>
              <w:jc w:val="center"/>
              <w:rPr>
                <w:rFonts w:ascii="Arial" w:hAnsi="Arial" w:cs="Arial"/>
                <w:szCs w:val="24"/>
              </w:rPr>
            </w:pPr>
            <w:r>
              <w:rPr>
                <w:rFonts w:ascii="Arial" w:hAnsi="Arial" w:cs="Arial"/>
                <w:szCs w:val="24"/>
              </w:rPr>
              <w:t>8</w:t>
            </w:r>
          </w:p>
        </w:tc>
        <w:tc>
          <w:tcPr>
            <w:tcW w:w="2205" w:type="dxa"/>
            <w:vAlign w:val="center"/>
          </w:tcPr>
          <w:p w14:paraId="3B5BCCD7" w14:textId="1916D31D" w:rsidR="00F76F6C" w:rsidRPr="00AB753A" w:rsidRDefault="00D531E2" w:rsidP="00636179">
            <w:pPr>
              <w:spacing w:before="40" w:after="40"/>
              <w:jc w:val="center"/>
              <w:rPr>
                <w:rFonts w:ascii="Arial" w:hAnsi="Arial" w:cs="Arial"/>
                <w:szCs w:val="24"/>
              </w:rPr>
            </w:pPr>
            <w:r>
              <w:rPr>
                <w:rFonts w:ascii="Arial" w:hAnsi="Arial" w:cs="Arial"/>
                <w:szCs w:val="24"/>
              </w:rPr>
              <w:t>4</w:t>
            </w:r>
          </w:p>
        </w:tc>
        <w:tc>
          <w:tcPr>
            <w:tcW w:w="2205" w:type="dxa"/>
            <w:vAlign w:val="center"/>
          </w:tcPr>
          <w:p w14:paraId="4BCE15E4" w14:textId="0D06DB51" w:rsidR="00F76F6C" w:rsidRPr="00AB753A" w:rsidRDefault="00D531E2" w:rsidP="00636179">
            <w:pPr>
              <w:spacing w:before="40" w:after="40"/>
              <w:jc w:val="center"/>
              <w:rPr>
                <w:rFonts w:ascii="Arial" w:hAnsi="Arial" w:cs="Arial"/>
                <w:szCs w:val="24"/>
              </w:rPr>
            </w:pPr>
            <w:r>
              <w:rPr>
                <w:rFonts w:ascii="Arial" w:hAnsi="Arial" w:cs="Arial"/>
                <w:szCs w:val="24"/>
              </w:rPr>
              <w:t>0</w:t>
            </w:r>
          </w:p>
        </w:tc>
      </w:tr>
      <w:tr w:rsidR="00F76F6C" w:rsidRPr="00AB753A" w14:paraId="7A04F309" w14:textId="77777777" w:rsidTr="00636179">
        <w:tc>
          <w:tcPr>
            <w:tcW w:w="2205" w:type="dxa"/>
            <w:shd w:val="clear" w:color="auto" w:fill="D9D9D9" w:themeFill="background1" w:themeFillShade="D9"/>
            <w:vAlign w:val="center"/>
          </w:tcPr>
          <w:p w14:paraId="4DE582FA"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3</w:t>
            </w:r>
          </w:p>
        </w:tc>
        <w:tc>
          <w:tcPr>
            <w:tcW w:w="2205" w:type="dxa"/>
            <w:vAlign w:val="center"/>
          </w:tcPr>
          <w:p w14:paraId="78DEA03C" w14:textId="773BD742" w:rsidR="00F76F6C" w:rsidRPr="00AB753A" w:rsidRDefault="00D531E2" w:rsidP="00636179">
            <w:pPr>
              <w:spacing w:before="40" w:after="40"/>
              <w:jc w:val="center"/>
              <w:rPr>
                <w:rFonts w:ascii="Arial" w:hAnsi="Arial" w:cs="Arial"/>
                <w:szCs w:val="24"/>
              </w:rPr>
            </w:pPr>
            <w:r>
              <w:rPr>
                <w:rFonts w:ascii="Arial" w:hAnsi="Arial" w:cs="Arial"/>
                <w:szCs w:val="24"/>
              </w:rPr>
              <w:t>8</w:t>
            </w:r>
          </w:p>
        </w:tc>
        <w:tc>
          <w:tcPr>
            <w:tcW w:w="2205" w:type="dxa"/>
            <w:vAlign w:val="center"/>
          </w:tcPr>
          <w:p w14:paraId="0FB621D3" w14:textId="0C695FAB" w:rsidR="00F76F6C" w:rsidRPr="00AB753A" w:rsidRDefault="00D531E2" w:rsidP="00F76F6C">
            <w:pPr>
              <w:spacing w:before="40" w:after="40"/>
              <w:jc w:val="center"/>
              <w:rPr>
                <w:rFonts w:ascii="Arial" w:hAnsi="Arial" w:cs="Arial"/>
                <w:szCs w:val="24"/>
              </w:rPr>
            </w:pPr>
            <w:r>
              <w:rPr>
                <w:rFonts w:ascii="Arial" w:hAnsi="Arial" w:cs="Arial"/>
                <w:szCs w:val="24"/>
              </w:rPr>
              <w:t>2</w:t>
            </w:r>
          </w:p>
        </w:tc>
        <w:tc>
          <w:tcPr>
            <w:tcW w:w="2205" w:type="dxa"/>
            <w:vAlign w:val="center"/>
          </w:tcPr>
          <w:p w14:paraId="593C513A" w14:textId="705F4673" w:rsidR="00F76F6C" w:rsidRPr="00AB753A" w:rsidRDefault="00D531E2" w:rsidP="00636179">
            <w:pPr>
              <w:spacing w:before="40" w:after="40"/>
              <w:jc w:val="center"/>
              <w:rPr>
                <w:rFonts w:ascii="Arial" w:hAnsi="Arial" w:cs="Arial"/>
                <w:szCs w:val="24"/>
              </w:rPr>
            </w:pPr>
            <w:r>
              <w:rPr>
                <w:rFonts w:ascii="Arial" w:hAnsi="Arial" w:cs="Arial"/>
                <w:szCs w:val="24"/>
              </w:rPr>
              <w:t>0</w:t>
            </w:r>
          </w:p>
        </w:tc>
      </w:tr>
      <w:tr w:rsidR="00F76F6C" w:rsidRPr="00AB753A" w14:paraId="44B7E6FF" w14:textId="77777777" w:rsidTr="00636179">
        <w:tc>
          <w:tcPr>
            <w:tcW w:w="2205" w:type="dxa"/>
            <w:shd w:val="clear" w:color="auto" w:fill="D9D9D9" w:themeFill="background1" w:themeFillShade="D9"/>
            <w:vAlign w:val="center"/>
          </w:tcPr>
          <w:p w14:paraId="2AEC9FB9"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4</w:t>
            </w:r>
          </w:p>
        </w:tc>
        <w:tc>
          <w:tcPr>
            <w:tcW w:w="2205" w:type="dxa"/>
            <w:vAlign w:val="center"/>
          </w:tcPr>
          <w:p w14:paraId="52B854FF" w14:textId="4694A0E5" w:rsidR="00F76F6C" w:rsidRPr="00AB753A" w:rsidRDefault="00D531E2" w:rsidP="00636179">
            <w:pPr>
              <w:spacing w:before="40" w:after="40"/>
              <w:jc w:val="center"/>
              <w:rPr>
                <w:rFonts w:ascii="Arial" w:hAnsi="Arial" w:cs="Arial"/>
                <w:szCs w:val="24"/>
              </w:rPr>
            </w:pPr>
            <w:r>
              <w:rPr>
                <w:rFonts w:ascii="Arial" w:hAnsi="Arial" w:cs="Arial"/>
                <w:szCs w:val="24"/>
              </w:rPr>
              <w:t>4</w:t>
            </w:r>
          </w:p>
        </w:tc>
        <w:tc>
          <w:tcPr>
            <w:tcW w:w="2205" w:type="dxa"/>
            <w:vAlign w:val="center"/>
          </w:tcPr>
          <w:p w14:paraId="04A19DD9" w14:textId="46B5EEC2" w:rsidR="00F76F6C" w:rsidRPr="00AB753A" w:rsidRDefault="00D531E2" w:rsidP="00636179">
            <w:pPr>
              <w:spacing w:before="40" w:after="40"/>
              <w:jc w:val="center"/>
              <w:rPr>
                <w:rFonts w:ascii="Arial" w:hAnsi="Arial" w:cs="Arial"/>
                <w:szCs w:val="24"/>
              </w:rPr>
            </w:pPr>
            <w:r>
              <w:rPr>
                <w:rFonts w:ascii="Arial" w:hAnsi="Arial" w:cs="Arial"/>
                <w:szCs w:val="24"/>
              </w:rPr>
              <w:t>1</w:t>
            </w:r>
          </w:p>
        </w:tc>
        <w:tc>
          <w:tcPr>
            <w:tcW w:w="2205" w:type="dxa"/>
            <w:vAlign w:val="center"/>
          </w:tcPr>
          <w:p w14:paraId="47312DD4" w14:textId="77777777" w:rsidR="00F76F6C" w:rsidRPr="00AB753A" w:rsidRDefault="00F76F6C" w:rsidP="00636179">
            <w:pPr>
              <w:spacing w:before="40" w:after="40"/>
              <w:jc w:val="center"/>
              <w:rPr>
                <w:rFonts w:ascii="Arial" w:hAnsi="Arial" w:cs="Arial"/>
                <w:szCs w:val="24"/>
              </w:rPr>
            </w:pPr>
            <w:r w:rsidRPr="00AB753A">
              <w:rPr>
                <w:rFonts w:ascii="Arial" w:hAnsi="Arial" w:cs="Arial"/>
                <w:szCs w:val="24"/>
              </w:rPr>
              <w:t>0</w:t>
            </w:r>
          </w:p>
        </w:tc>
      </w:tr>
      <w:tr w:rsidR="00F76F6C" w:rsidRPr="00AB753A" w14:paraId="05AA70CE" w14:textId="77777777" w:rsidTr="00636179">
        <w:tc>
          <w:tcPr>
            <w:tcW w:w="2205" w:type="dxa"/>
            <w:shd w:val="clear" w:color="auto" w:fill="D9D9D9" w:themeFill="background1" w:themeFillShade="D9"/>
            <w:vAlign w:val="center"/>
          </w:tcPr>
          <w:p w14:paraId="5E259B54"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5</w:t>
            </w:r>
          </w:p>
        </w:tc>
        <w:tc>
          <w:tcPr>
            <w:tcW w:w="2205" w:type="dxa"/>
            <w:vAlign w:val="center"/>
          </w:tcPr>
          <w:p w14:paraId="63C4C56C" w14:textId="6E5C8F9F" w:rsidR="00F76F6C" w:rsidRPr="00AB753A" w:rsidRDefault="00D531E2" w:rsidP="00636179">
            <w:pPr>
              <w:spacing w:before="40" w:after="40"/>
              <w:jc w:val="center"/>
              <w:rPr>
                <w:rFonts w:ascii="Arial" w:hAnsi="Arial" w:cs="Arial"/>
                <w:szCs w:val="24"/>
              </w:rPr>
            </w:pPr>
            <w:r>
              <w:rPr>
                <w:rFonts w:ascii="Arial" w:hAnsi="Arial" w:cs="Arial"/>
                <w:szCs w:val="24"/>
              </w:rPr>
              <w:t>3</w:t>
            </w:r>
          </w:p>
        </w:tc>
        <w:tc>
          <w:tcPr>
            <w:tcW w:w="2205" w:type="dxa"/>
            <w:vAlign w:val="center"/>
          </w:tcPr>
          <w:p w14:paraId="0ED6AD42" w14:textId="351D9A82" w:rsidR="00F76F6C" w:rsidRPr="00AB753A" w:rsidRDefault="00D531E2" w:rsidP="00636179">
            <w:pPr>
              <w:spacing w:before="40" w:after="40"/>
              <w:jc w:val="center"/>
              <w:rPr>
                <w:rFonts w:ascii="Arial" w:hAnsi="Arial" w:cs="Arial"/>
                <w:szCs w:val="24"/>
              </w:rPr>
            </w:pPr>
            <w:r>
              <w:rPr>
                <w:rFonts w:ascii="Arial" w:hAnsi="Arial" w:cs="Arial"/>
                <w:szCs w:val="24"/>
              </w:rPr>
              <w:t>0</w:t>
            </w:r>
          </w:p>
        </w:tc>
        <w:tc>
          <w:tcPr>
            <w:tcW w:w="2205" w:type="dxa"/>
            <w:vAlign w:val="center"/>
          </w:tcPr>
          <w:p w14:paraId="5CC17B77" w14:textId="755CE8E4" w:rsidR="00F76F6C" w:rsidRPr="00AB753A" w:rsidRDefault="00D531E2" w:rsidP="00636179">
            <w:pPr>
              <w:spacing w:before="40" w:after="40"/>
              <w:jc w:val="center"/>
              <w:rPr>
                <w:rFonts w:ascii="Arial" w:hAnsi="Arial" w:cs="Arial"/>
                <w:szCs w:val="24"/>
              </w:rPr>
            </w:pPr>
            <w:r>
              <w:rPr>
                <w:rFonts w:ascii="Arial" w:hAnsi="Arial" w:cs="Arial"/>
                <w:szCs w:val="24"/>
              </w:rPr>
              <w:t>1</w:t>
            </w:r>
          </w:p>
        </w:tc>
      </w:tr>
      <w:tr w:rsidR="00F76F6C" w:rsidRPr="00AB753A" w14:paraId="5D8A042B" w14:textId="77777777" w:rsidTr="00636179">
        <w:tc>
          <w:tcPr>
            <w:tcW w:w="2205" w:type="dxa"/>
            <w:shd w:val="clear" w:color="auto" w:fill="D9D9D9" w:themeFill="background1" w:themeFillShade="D9"/>
            <w:vAlign w:val="center"/>
          </w:tcPr>
          <w:p w14:paraId="76B649E0"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6</w:t>
            </w:r>
          </w:p>
        </w:tc>
        <w:tc>
          <w:tcPr>
            <w:tcW w:w="2205" w:type="dxa"/>
            <w:vAlign w:val="center"/>
          </w:tcPr>
          <w:p w14:paraId="4A3D1BAC" w14:textId="05B28296" w:rsidR="00F76F6C" w:rsidRPr="00AB753A" w:rsidRDefault="00D531E2" w:rsidP="00636179">
            <w:pPr>
              <w:spacing w:before="40" w:after="40"/>
              <w:jc w:val="center"/>
              <w:rPr>
                <w:rFonts w:ascii="Arial" w:hAnsi="Arial" w:cs="Arial"/>
                <w:szCs w:val="24"/>
              </w:rPr>
            </w:pPr>
            <w:r>
              <w:rPr>
                <w:rFonts w:ascii="Arial" w:hAnsi="Arial" w:cs="Arial"/>
                <w:szCs w:val="24"/>
              </w:rPr>
              <w:t>9</w:t>
            </w:r>
          </w:p>
        </w:tc>
        <w:tc>
          <w:tcPr>
            <w:tcW w:w="2205" w:type="dxa"/>
            <w:vAlign w:val="center"/>
          </w:tcPr>
          <w:p w14:paraId="255B74B8" w14:textId="1767E68E" w:rsidR="00F76F6C" w:rsidRPr="00AB753A" w:rsidRDefault="00F76F6C" w:rsidP="00636179">
            <w:pPr>
              <w:spacing w:before="40" w:after="40"/>
              <w:jc w:val="center"/>
              <w:rPr>
                <w:rFonts w:ascii="Arial" w:hAnsi="Arial" w:cs="Arial"/>
                <w:szCs w:val="24"/>
              </w:rPr>
            </w:pPr>
            <w:r>
              <w:rPr>
                <w:rFonts w:ascii="Arial" w:hAnsi="Arial" w:cs="Arial"/>
                <w:szCs w:val="24"/>
              </w:rPr>
              <w:t>0</w:t>
            </w:r>
          </w:p>
        </w:tc>
        <w:tc>
          <w:tcPr>
            <w:tcW w:w="2205" w:type="dxa"/>
            <w:vAlign w:val="center"/>
          </w:tcPr>
          <w:p w14:paraId="40998B83" w14:textId="065BAA6B" w:rsidR="00F76F6C" w:rsidRPr="00AB753A" w:rsidRDefault="00D531E2" w:rsidP="00636179">
            <w:pPr>
              <w:spacing w:before="40" w:after="40"/>
              <w:jc w:val="center"/>
              <w:rPr>
                <w:rFonts w:ascii="Arial" w:hAnsi="Arial" w:cs="Arial"/>
                <w:szCs w:val="24"/>
              </w:rPr>
            </w:pPr>
            <w:r>
              <w:rPr>
                <w:rFonts w:ascii="Arial" w:hAnsi="Arial" w:cs="Arial"/>
                <w:szCs w:val="24"/>
              </w:rPr>
              <w:t>3</w:t>
            </w:r>
          </w:p>
        </w:tc>
      </w:tr>
      <w:tr w:rsidR="00F76F6C" w:rsidRPr="00AB753A" w14:paraId="32B38EAE" w14:textId="77777777" w:rsidTr="00636179">
        <w:tc>
          <w:tcPr>
            <w:tcW w:w="2205" w:type="dxa"/>
            <w:shd w:val="clear" w:color="auto" w:fill="D9D9D9" w:themeFill="background1" w:themeFillShade="D9"/>
            <w:vAlign w:val="center"/>
          </w:tcPr>
          <w:p w14:paraId="12CECED3"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7</w:t>
            </w:r>
          </w:p>
        </w:tc>
        <w:tc>
          <w:tcPr>
            <w:tcW w:w="2205" w:type="dxa"/>
            <w:vAlign w:val="center"/>
          </w:tcPr>
          <w:p w14:paraId="22E12908" w14:textId="4427D6B0" w:rsidR="00F76F6C" w:rsidRPr="00AB753A" w:rsidRDefault="00D531E2" w:rsidP="00636179">
            <w:pPr>
              <w:spacing w:before="40" w:after="40"/>
              <w:jc w:val="center"/>
              <w:rPr>
                <w:rFonts w:ascii="Arial" w:hAnsi="Arial" w:cs="Arial"/>
                <w:szCs w:val="24"/>
              </w:rPr>
            </w:pPr>
            <w:r>
              <w:rPr>
                <w:rFonts w:ascii="Arial" w:hAnsi="Arial" w:cs="Arial"/>
                <w:szCs w:val="24"/>
              </w:rPr>
              <w:t>11</w:t>
            </w:r>
          </w:p>
        </w:tc>
        <w:tc>
          <w:tcPr>
            <w:tcW w:w="2205" w:type="dxa"/>
            <w:vAlign w:val="center"/>
          </w:tcPr>
          <w:p w14:paraId="32EFCA1C" w14:textId="18306CB3" w:rsidR="00F76F6C" w:rsidRPr="00AB753A" w:rsidRDefault="00F76F6C" w:rsidP="00636179">
            <w:pPr>
              <w:spacing w:before="40" w:after="40"/>
              <w:jc w:val="center"/>
              <w:rPr>
                <w:rFonts w:ascii="Arial" w:hAnsi="Arial" w:cs="Arial"/>
                <w:szCs w:val="24"/>
              </w:rPr>
            </w:pPr>
            <w:r>
              <w:rPr>
                <w:rFonts w:ascii="Arial" w:hAnsi="Arial" w:cs="Arial"/>
                <w:szCs w:val="24"/>
              </w:rPr>
              <w:t>2</w:t>
            </w:r>
          </w:p>
        </w:tc>
        <w:tc>
          <w:tcPr>
            <w:tcW w:w="2205" w:type="dxa"/>
            <w:vAlign w:val="center"/>
          </w:tcPr>
          <w:p w14:paraId="34296279" w14:textId="60B26423" w:rsidR="00F76F6C" w:rsidRPr="00AB753A" w:rsidRDefault="00D531E2" w:rsidP="00636179">
            <w:pPr>
              <w:spacing w:before="40" w:after="40"/>
              <w:jc w:val="center"/>
              <w:rPr>
                <w:rFonts w:ascii="Arial" w:hAnsi="Arial" w:cs="Arial"/>
                <w:szCs w:val="24"/>
              </w:rPr>
            </w:pPr>
            <w:r>
              <w:rPr>
                <w:rFonts w:ascii="Arial" w:hAnsi="Arial" w:cs="Arial"/>
                <w:szCs w:val="24"/>
              </w:rPr>
              <w:t>0</w:t>
            </w:r>
          </w:p>
        </w:tc>
      </w:tr>
      <w:tr w:rsidR="00F76F6C" w:rsidRPr="00AB753A" w14:paraId="6E549EC0" w14:textId="77777777" w:rsidTr="009B2249">
        <w:tc>
          <w:tcPr>
            <w:tcW w:w="2205" w:type="dxa"/>
            <w:tcBorders>
              <w:bottom w:val="single" w:sz="6" w:space="0" w:color="auto"/>
            </w:tcBorders>
            <w:shd w:val="clear" w:color="auto" w:fill="D9D9D9" w:themeFill="background1" w:themeFillShade="D9"/>
            <w:vAlign w:val="center"/>
          </w:tcPr>
          <w:p w14:paraId="2D757112"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8</w:t>
            </w:r>
          </w:p>
        </w:tc>
        <w:tc>
          <w:tcPr>
            <w:tcW w:w="2205" w:type="dxa"/>
            <w:tcBorders>
              <w:bottom w:val="single" w:sz="6" w:space="0" w:color="auto"/>
            </w:tcBorders>
            <w:vAlign w:val="center"/>
          </w:tcPr>
          <w:p w14:paraId="0D7F7A70" w14:textId="7F2607F9" w:rsidR="00F76F6C" w:rsidRPr="00AB753A" w:rsidRDefault="00D531E2" w:rsidP="00636179">
            <w:pPr>
              <w:spacing w:before="40" w:after="40"/>
              <w:jc w:val="center"/>
              <w:rPr>
                <w:rFonts w:ascii="Arial" w:hAnsi="Arial" w:cs="Arial"/>
                <w:szCs w:val="24"/>
              </w:rPr>
            </w:pPr>
            <w:r>
              <w:rPr>
                <w:rFonts w:ascii="Arial" w:hAnsi="Arial" w:cs="Arial"/>
                <w:szCs w:val="24"/>
              </w:rPr>
              <w:t>2</w:t>
            </w:r>
          </w:p>
        </w:tc>
        <w:tc>
          <w:tcPr>
            <w:tcW w:w="2205" w:type="dxa"/>
            <w:tcBorders>
              <w:bottom w:val="single" w:sz="6" w:space="0" w:color="auto"/>
            </w:tcBorders>
            <w:vAlign w:val="center"/>
          </w:tcPr>
          <w:p w14:paraId="6E88C552" w14:textId="02CACF98" w:rsidR="00F76F6C" w:rsidRPr="00AB753A" w:rsidRDefault="00D531E2" w:rsidP="00636179">
            <w:pPr>
              <w:spacing w:before="40" w:after="40"/>
              <w:jc w:val="center"/>
              <w:rPr>
                <w:rFonts w:ascii="Arial" w:hAnsi="Arial" w:cs="Arial"/>
                <w:szCs w:val="24"/>
              </w:rPr>
            </w:pPr>
            <w:r>
              <w:rPr>
                <w:rFonts w:ascii="Arial" w:hAnsi="Arial" w:cs="Arial"/>
                <w:szCs w:val="24"/>
              </w:rPr>
              <w:t>1</w:t>
            </w:r>
          </w:p>
        </w:tc>
        <w:tc>
          <w:tcPr>
            <w:tcW w:w="2205" w:type="dxa"/>
            <w:tcBorders>
              <w:bottom w:val="single" w:sz="6" w:space="0" w:color="auto"/>
            </w:tcBorders>
            <w:vAlign w:val="center"/>
          </w:tcPr>
          <w:p w14:paraId="1006C231" w14:textId="77777777" w:rsidR="00F76F6C" w:rsidRPr="00AB753A" w:rsidRDefault="00F76F6C" w:rsidP="00636179">
            <w:pPr>
              <w:spacing w:before="40" w:after="40"/>
              <w:jc w:val="center"/>
              <w:rPr>
                <w:rFonts w:ascii="Arial" w:hAnsi="Arial" w:cs="Arial"/>
                <w:szCs w:val="24"/>
              </w:rPr>
            </w:pPr>
            <w:r w:rsidRPr="00AB753A">
              <w:rPr>
                <w:rFonts w:ascii="Arial" w:hAnsi="Arial" w:cs="Arial"/>
                <w:szCs w:val="24"/>
              </w:rPr>
              <w:t>0</w:t>
            </w:r>
          </w:p>
        </w:tc>
      </w:tr>
      <w:tr w:rsidR="00F76F6C" w:rsidRPr="00AB753A" w14:paraId="5F26F854" w14:textId="77777777" w:rsidTr="009B2249">
        <w:tc>
          <w:tcPr>
            <w:tcW w:w="2205" w:type="dxa"/>
            <w:tcBorders>
              <w:bottom w:val="thinThickSmallGap" w:sz="24" w:space="0" w:color="auto"/>
            </w:tcBorders>
            <w:shd w:val="clear" w:color="auto" w:fill="D9D9D9" w:themeFill="background1" w:themeFillShade="D9"/>
            <w:vAlign w:val="center"/>
          </w:tcPr>
          <w:p w14:paraId="3F5B1A7F" w14:textId="77777777" w:rsidR="00F76F6C" w:rsidRPr="00AB753A" w:rsidRDefault="00F76F6C" w:rsidP="00636179">
            <w:pPr>
              <w:spacing w:before="40" w:after="40"/>
              <w:jc w:val="center"/>
              <w:rPr>
                <w:rFonts w:ascii="Arial" w:hAnsi="Arial" w:cs="Arial"/>
                <w:b/>
                <w:szCs w:val="24"/>
              </w:rPr>
            </w:pPr>
            <w:r w:rsidRPr="00AB753A">
              <w:rPr>
                <w:rFonts w:ascii="Arial" w:hAnsi="Arial" w:cs="Arial"/>
                <w:b/>
                <w:szCs w:val="24"/>
              </w:rPr>
              <w:t>9</w:t>
            </w:r>
          </w:p>
        </w:tc>
        <w:tc>
          <w:tcPr>
            <w:tcW w:w="2205" w:type="dxa"/>
            <w:tcBorders>
              <w:bottom w:val="thinThickSmallGap" w:sz="24" w:space="0" w:color="auto"/>
            </w:tcBorders>
            <w:vAlign w:val="center"/>
          </w:tcPr>
          <w:p w14:paraId="25143F99" w14:textId="5D6E898D" w:rsidR="00F76F6C" w:rsidRPr="00AB753A" w:rsidRDefault="00D531E2" w:rsidP="00636179">
            <w:pPr>
              <w:spacing w:before="40" w:after="40"/>
              <w:jc w:val="center"/>
              <w:rPr>
                <w:rFonts w:ascii="Arial" w:hAnsi="Arial" w:cs="Arial"/>
                <w:szCs w:val="24"/>
              </w:rPr>
            </w:pPr>
            <w:r>
              <w:rPr>
                <w:rFonts w:ascii="Arial" w:hAnsi="Arial" w:cs="Arial"/>
                <w:szCs w:val="24"/>
              </w:rPr>
              <w:t>2</w:t>
            </w:r>
          </w:p>
        </w:tc>
        <w:tc>
          <w:tcPr>
            <w:tcW w:w="2205" w:type="dxa"/>
            <w:tcBorders>
              <w:bottom w:val="thinThickSmallGap" w:sz="24" w:space="0" w:color="auto"/>
            </w:tcBorders>
            <w:vAlign w:val="center"/>
          </w:tcPr>
          <w:p w14:paraId="14D892AC" w14:textId="7D8FFAEA" w:rsidR="00F76F6C" w:rsidRPr="00AB753A" w:rsidRDefault="00D531E2" w:rsidP="00636179">
            <w:pPr>
              <w:spacing w:before="40" w:after="40"/>
              <w:jc w:val="center"/>
              <w:rPr>
                <w:rFonts w:ascii="Arial" w:hAnsi="Arial" w:cs="Arial"/>
                <w:szCs w:val="24"/>
              </w:rPr>
            </w:pPr>
            <w:r>
              <w:rPr>
                <w:rFonts w:ascii="Arial" w:hAnsi="Arial" w:cs="Arial"/>
                <w:szCs w:val="24"/>
              </w:rPr>
              <w:t>1</w:t>
            </w:r>
          </w:p>
        </w:tc>
        <w:tc>
          <w:tcPr>
            <w:tcW w:w="2205" w:type="dxa"/>
            <w:tcBorders>
              <w:bottom w:val="thinThickSmallGap" w:sz="24" w:space="0" w:color="auto"/>
            </w:tcBorders>
            <w:vAlign w:val="center"/>
          </w:tcPr>
          <w:p w14:paraId="537F8BE7" w14:textId="497D8E6E" w:rsidR="00F76F6C" w:rsidRPr="00AB753A" w:rsidRDefault="00D531E2" w:rsidP="00636179">
            <w:pPr>
              <w:spacing w:before="40" w:after="40"/>
              <w:jc w:val="center"/>
              <w:rPr>
                <w:rFonts w:ascii="Arial" w:hAnsi="Arial" w:cs="Arial"/>
                <w:szCs w:val="24"/>
              </w:rPr>
            </w:pPr>
            <w:r>
              <w:rPr>
                <w:rFonts w:ascii="Arial" w:hAnsi="Arial" w:cs="Arial"/>
                <w:szCs w:val="24"/>
              </w:rPr>
              <w:t>0</w:t>
            </w:r>
          </w:p>
        </w:tc>
      </w:tr>
      <w:tr w:rsidR="009B2249" w:rsidRPr="00AB753A" w14:paraId="7AC9647D" w14:textId="77777777" w:rsidTr="00B67B91">
        <w:tc>
          <w:tcPr>
            <w:tcW w:w="2205" w:type="dxa"/>
            <w:tcBorders>
              <w:top w:val="thinThickSmallGap" w:sz="24" w:space="0" w:color="auto"/>
            </w:tcBorders>
            <w:shd w:val="clear" w:color="auto" w:fill="D9D9D9" w:themeFill="background1" w:themeFillShade="D9"/>
            <w:vAlign w:val="center"/>
          </w:tcPr>
          <w:p w14:paraId="524247D7" w14:textId="511758AF" w:rsidR="009B2249" w:rsidRPr="00AB753A" w:rsidRDefault="009B2249" w:rsidP="00833CFA">
            <w:pPr>
              <w:spacing w:before="40" w:after="40"/>
              <w:jc w:val="center"/>
              <w:rPr>
                <w:rFonts w:ascii="Arial" w:hAnsi="Arial" w:cs="Arial"/>
                <w:b/>
                <w:szCs w:val="24"/>
              </w:rPr>
            </w:pPr>
            <w:r>
              <w:rPr>
                <w:rFonts w:ascii="Arial" w:hAnsi="Arial" w:cs="Arial"/>
                <w:b/>
                <w:szCs w:val="24"/>
              </w:rPr>
              <w:t>TOTAL</w:t>
            </w:r>
          </w:p>
        </w:tc>
        <w:tc>
          <w:tcPr>
            <w:tcW w:w="2205" w:type="dxa"/>
            <w:tcBorders>
              <w:top w:val="thinThickSmallGap" w:sz="24" w:space="0" w:color="auto"/>
            </w:tcBorders>
            <w:vAlign w:val="center"/>
          </w:tcPr>
          <w:p w14:paraId="53CAF1B3" w14:textId="335F2A96" w:rsidR="009B2249" w:rsidRPr="009B2249" w:rsidRDefault="00D531E2" w:rsidP="00636179">
            <w:pPr>
              <w:spacing w:before="40" w:after="40"/>
              <w:jc w:val="center"/>
              <w:rPr>
                <w:rFonts w:ascii="Arial" w:hAnsi="Arial" w:cs="Arial"/>
                <w:b/>
                <w:szCs w:val="24"/>
              </w:rPr>
            </w:pPr>
            <w:r>
              <w:rPr>
                <w:rFonts w:ascii="Arial" w:hAnsi="Arial" w:cs="Arial"/>
                <w:b/>
                <w:szCs w:val="24"/>
              </w:rPr>
              <w:t>49</w:t>
            </w:r>
          </w:p>
        </w:tc>
        <w:tc>
          <w:tcPr>
            <w:tcW w:w="2205" w:type="dxa"/>
            <w:tcBorders>
              <w:top w:val="thinThickSmallGap" w:sz="24" w:space="0" w:color="auto"/>
            </w:tcBorders>
            <w:vAlign w:val="center"/>
          </w:tcPr>
          <w:p w14:paraId="2BA73DC4" w14:textId="18A6915C" w:rsidR="009B2249" w:rsidRPr="009B2249" w:rsidRDefault="00D531E2" w:rsidP="00636179">
            <w:pPr>
              <w:spacing w:before="40" w:after="40"/>
              <w:jc w:val="center"/>
              <w:rPr>
                <w:rFonts w:ascii="Arial" w:hAnsi="Arial" w:cs="Arial"/>
                <w:b/>
                <w:szCs w:val="24"/>
              </w:rPr>
            </w:pPr>
            <w:r>
              <w:rPr>
                <w:rFonts w:ascii="Arial" w:hAnsi="Arial" w:cs="Arial"/>
                <w:b/>
                <w:szCs w:val="24"/>
              </w:rPr>
              <w:t>11</w:t>
            </w:r>
          </w:p>
        </w:tc>
        <w:tc>
          <w:tcPr>
            <w:tcW w:w="2205" w:type="dxa"/>
            <w:tcBorders>
              <w:top w:val="thinThickSmallGap" w:sz="24" w:space="0" w:color="auto"/>
            </w:tcBorders>
            <w:vAlign w:val="center"/>
          </w:tcPr>
          <w:p w14:paraId="49F94498" w14:textId="669D9C1E" w:rsidR="009B2249" w:rsidRPr="009B2249" w:rsidRDefault="00D531E2" w:rsidP="00636179">
            <w:pPr>
              <w:spacing w:before="40" w:after="40"/>
              <w:jc w:val="center"/>
              <w:rPr>
                <w:rFonts w:ascii="Arial" w:hAnsi="Arial" w:cs="Arial"/>
                <w:b/>
                <w:szCs w:val="24"/>
              </w:rPr>
            </w:pPr>
            <w:r>
              <w:rPr>
                <w:rFonts w:ascii="Arial" w:hAnsi="Arial" w:cs="Arial"/>
                <w:b/>
                <w:szCs w:val="24"/>
              </w:rPr>
              <w:t>4</w:t>
            </w:r>
          </w:p>
        </w:tc>
      </w:tr>
    </w:tbl>
    <w:p w14:paraId="75119F6E" w14:textId="77777777" w:rsidR="00F76F6C" w:rsidRPr="002E6535" w:rsidRDefault="00F76F6C" w:rsidP="00F76F6C">
      <w:pPr>
        <w:ind w:left="720" w:hanging="720"/>
        <w:rPr>
          <w:rFonts w:ascii="Arial" w:hAnsi="Arial" w:cs="Arial"/>
          <w:szCs w:val="24"/>
        </w:rPr>
      </w:pPr>
    </w:p>
    <w:p w14:paraId="61E031CC" w14:textId="03AC512F" w:rsidR="00F76F6C" w:rsidRDefault="00C6783A" w:rsidP="00C6783A">
      <w:pPr>
        <w:spacing w:before="100" w:beforeAutospacing="1" w:after="100" w:afterAutospacing="1"/>
        <w:rPr>
          <w:rFonts w:ascii="Arial" w:hAnsi="Arial" w:cs="Arial"/>
        </w:rPr>
      </w:pPr>
      <w:r>
        <w:rPr>
          <w:rFonts w:ascii="Arial" w:hAnsi="Arial" w:cs="Arial"/>
        </w:rPr>
        <w:t>E</w:t>
      </w:r>
      <w:r w:rsidR="00F76F6C" w:rsidRPr="009B2249">
        <w:rPr>
          <w:rFonts w:ascii="Arial" w:hAnsi="Arial" w:cs="Arial"/>
        </w:rPr>
        <w:t xml:space="preserve">lections staff notes that the primary reason for precinct alterations </w:t>
      </w:r>
      <w:r w:rsidR="00AA6FCB">
        <w:rPr>
          <w:rFonts w:ascii="Arial" w:hAnsi="Arial" w:cs="Arial"/>
        </w:rPr>
        <w:t xml:space="preserve">this </w:t>
      </w:r>
      <w:r w:rsidR="00AA6FCB" w:rsidRPr="00C6783A">
        <w:rPr>
          <w:rFonts w:ascii="Arial" w:hAnsi="Arial" w:cs="Arial"/>
        </w:rPr>
        <w:t xml:space="preserve">year </w:t>
      </w:r>
      <w:r w:rsidR="00F76F6C" w:rsidRPr="00C6783A">
        <w:rPr>
          <w:rFonts w:ascii="Arial" w:hAnsi="Arial" w:cs="Arial"/>
        </w:rPr>
        <w:t xml:space="preserve">was due to </w:t>
      </w:r>
      <w:r w:rsidR="00AA6FCB" w:rsidRPr="00C6783A">
        <w:rPr>
          <w:rFonts w:ascii="Arial" w:hAnsi="Arial" w:cs="Arial"/>
        </w:rPr>
        <w:t>the balancing of oversized precincts</w:t>
      </w:r>
      <w:r w:rsidR="00060A93" w:rsidRPr="00C6783A">
        <w:rPr>
          <w:rFonts w:ascii="Arial" w:hAnsi="Arial" w:cs="Arial"/>
        </w:rPr>
        <w:t xml:space="preserve"> and election administrative maintenance</w:t>
      </w:r>
      <w:r w:rsidR="00F76F6C" w:rsidRPr="00C6783A">
        <w:rPr>
          <w:rFonts w:ascii="Arial" w:hAnsi="Arial" w:cs="Arial"/>
        </w:rPr>
        <w:t>.</w:t>
      </w:r>
      <w:r w:rsidR="00187221" w:rsidRPr="00C6783A">
        <w:rPr>
          <w:rFonts w:ascii="Arial" w:hAnsi="Arial" w:cs="Arial"/>
        </w:rPr>
        <w:t xml:space="preserve"> </w:t>
      </w:r>
      <w:r w:rsidRPr="00C6783A">
        <w:rPr>
          <w:rFonts w:ascii="Arial" w:hAnsi="Arial" w:cs="Arial"/>
          <w:color w:val="000000"/>
        </w:rPr>
        <w:t>According to Elections staff, because</w:t>
      </w:r>
      <w:r w:rsidR="00187221" w:rsidRPr="00C6783A">
        <w:rPr>
          <w:rFonts w:ascii="Arial" w:hAnsi="Arial" w:cs="Arial"/>
          <w:color w:val="000000"/>
        </w:rPr>
        <w:t xml:space="preserve"> </w:t>
      </w:r>
      <w:r w:rsidRPr="00C6783A">
        <w:rPr>
          <w:rFonts w:ascii="Arial" w:hAnsi="Arial" w:cs="Arial"/>
          <w:color w:val="000000"/>
        </w:rPr>
        <w:t>state law and King County Code</w:t>
      </w:r>
      <w:r w:rsidRPr="00C6783A">
        <w:rPr>
          <w:rStyle w:val="FootnoteReference"/>
          <w:rFonts w:ascii="Arial" w:hAnsi="Arial" w:cs="Arial"/>
          <w:color w:val="000000"/>
        </w:rPr>
        <w:footnoteReference w:id="13"/>
      </w:r>
      <w:r w:rsidRPr="00C6783A">
        <w:rPr>
          <w:rFonts w:ascii="Arial" w:hAnsi="Arial" w:cs="Arial"/>
          <w:color w:val="000000"/>
        </w:rPr>
        <w:t xml:space="preserve"> limit</w:t>
      </w:r>
      <w:r w:rsidR="00187221" w:rsidRPr="00C6783A">
        <w:rPr>
          <w:rFonts w:ascii="Arial" w:hAnsi="Arial" w:cs="Arial"/>
          <w:color w:val="000000"/>
        </w:rPr>
        <w:t xml:space="preserve"> the maximum nu</w:t>
      </w:r>
      <w:r w:rsidRPr="00C6783A">
        <w:rPr>
          <w:rFonts w:ascii="Arial" w:hAnsi="Arial" w:cs="Arial"/>
          <w:color w:val="000000"/>
        </w:rPr>
        <w:t>mber of voters in a precinct, p</w:t>
      </w:r>
      <w:r w:rsidR="00187221" w:rsidRPr="00C6783A">
        <w:rPr>
          <w:rFonts w:ascii="Arial" w:hAnsi="Arial" w:cs="Arial"/>
          <w:color w:val="000000"/>
        </w:rPr>
        <w:t xml:space="preserve">recinct balancing </w:t>
      </w:r>
      <w:r w:rsidRPr="00C6783A">
        <w:rPr>
          <w:rFonts w:ascii="Arial" w:hAnsi="Arial" w:cs="Arial"/>
          <w:color w:val="000000"/>
        </w:rPr>
        <w:t>requires altering</w:t>
      </w:r>
      <w:r w:rsidR="00187221" w:rsidRPr="00C6783A">
        <w:rPr>
          <w:rFonts w:ascii="Arial" w:hAnsi="Arial" w:cs="Arial"/>
          <w:color w:val="000000"/>
        </w:rPr>
        <w:t xml:space="preserve"> the oversized precincts with the precincts surrounding them to equalize the number of voters or splitting the precinct into two precincts.</w:t>
      </w:r>
      <w:r w:rsidRPr="00C6783A">
        <w:rPr>
          <w:rFonts w:ascii="Arial" w:hAnsi="Arial" w:cs="Arial"/>
          <w:color w:val="000000"/>
        </w:rPr>
        <w:t xml:space="preserve"> Elections staff have also stated that the Elections administrative maintenance are alterations to create better precinct boundaries, usually due to a precinct line splitting a parcel boundary or based on public </w:t>
      </w:r>
      <w:r>
        <w:rPr>
          <w:rFonts w:ascii="Arial" w:hAnsi="Arial" w:cs="Arial"/>
          <w:color w:val="000000"/>
        </w:rPr>
        <w:t>input.</w:t>
      </w:r>
    </w:p>
    <w:p w14:paraId="67CF2092" w14:textId="13029E6E" w:rsidR="00146AEF" w:rsidRDefault="00F76F6C" w:rsidP="00F76F6C">
      <w:pPr>
        <w:pStyle w:val="NoSpacing"/>
        <w:jc w:val="both"/>
        <w:rPr>
          <w:rFonts w:ascii="Arial" w:hAnsi="Arial" w:cs="Arial"/>
        </w:rPr>
      </w:pPr>
      <w:r>
        <w:rPr>
          <w:rFonts w:ascii="Arial" w:hAnsi="Arial" w:cs="Arial"/>
          <w:b/>
        </w:rPr>
        <w:t xml:space="preserve">Comment Period. </w:t>
      </w:r>
      <w:r>
        <w:rPr>
          <w:rFonts w:ascii="Arial" w:hAnsi="Arial" w:cs="Arial"/>
        </w:rPr>
        <w:t>The</w:t>
      </w:r>
      <w:r w:rsidRPr="001257A1">
        <w:rPr>
          <w:rFonts w:ascii="Arial" w:hAnsi="Arial" w:cs="Arial"/>
        </w:rPr>
        <w:t xml:space="preserve"> precinct alteration process include</w:t>
      </w:r>
      <w:r>
        <w:rPr>
          <w:rFonts w:ascii="Arial" w:hAnsi="Arial" w:cs="Arial"/>
        </w:rPr>
        <w:t>s</w:t>
      </w:r>
      <w:r w:rsidRPr="001257A1">
        <w:rPr>
          <w:rFonts w:ascii="Arial" w:hAnsi="Arial" w:cs="Arial"/>
        </w:rPr>
        <w:t xml:space="preserve"> input and review by both major political parties in King County</w:t>
      </w:r>
      <w:r>
        <w:rPr>
          <w:rFonts w:ascii="Arial" w:hAnsi="Arial" w:cs="Arial"/>
        </w:rPr>
        <w:t xml:space="preserve">. </w:t>
      </w:r>
      <w:r w:rsidR="00146AEF">
        <w:rPr>
          <w:rFonts w:ascii="Arial" w:hAnsi="Arial" w:cs="Arial"/>
        </w:rPr>
        <w:t>The process also includes an advertised, 10-day public comment period, with materials and maps available on the Elections website, prior to transmittal to Council</w:t>
      </w:r>
    </w:p>
    <w:p w14:paraId="7EB07E03" w14:textId="77777777" w:rsidR="00146AEF" w:rsidRDefault="00146AEF" w:rsidP="00F76F6C">
      <w:pPr>
        <w:pStyle w:val="NoSpacing"/>
        <w:jc w:val="both"/>
        <w:rPr>
          <w:rFonts w:ascii="Arial" w:hAnsi="Arial" w:cs="Arial"/>
        </w:rPr>
      </w:pPr>
    </w:p>
    <w:p w14:paraId="70E33B91" w14:textId="723CD214" w:rsidR="00F76F6C" w:rsidRPr="00361957" w:rsidRDefault="00F76F6C" w:rsidP="00F76F6C">
      <w:pPr>
        <w:pStyle w:val="NoSpacing"/>
        <w:jc w:val="both"/>
        <w:rPr>
          <w:rFonts w:ascii="Arial" w:hAnsi="Arial" w:cs="Arial"/>
        </w:rPr>
      </w:pPr>
      <w:r w:rsidRPr="00C978D0">
        <w:rPr>
          <w:rFonts w:ascii="Arial" w:hAnsi="Arial" w:cs="Arial"/>
        </w:rPr>
        <w:t>According to Elections staff, the political parties</w:t>
      </w:r>
      <w:r w:rsidR="00146AEF">
        <w:rPr>
          <w:rFonts w:ascii="Arial" w:hAnsi="Arial" w:cs="Arial"/>
        </w:rPr>
        <w:t xml:space="preserve"> and public</w:t>
      </w:r>
      <w:r w:rsidRPr="00C978D0">
        <w:rPr>
          <w:rFonts w:ascii="Arial" w:hAnsi="Arial" w:cs="Arial"/>
        </w:rPr>
        <w:t xml:space="preserve"> did not offer any comments on the proposed changes</w:t>
      </w:r>
      <w:r w:rsidR="00187221">
        <w:rPr>
          <w:rFonts w:ascii="Arial" w:hAnsi="Arial" w:cs="Arial"/>
        </w:rPr>
        <w:t>, other than that they were in support</w:t>
      </w:r>
      <w:r w:rsidRPr="00C978D0">
        <w:rPr>
          <w:rFonts w:ascii="Arial" w:hAnsi="Arial" w:cs="Arial"/>
        </w:rPr>
        <w:t>.</w:t>
      </w:r>
    </w:p>
    <w:p w14:paraId="64FF24E6" w14:textId="525580DB" w:rsidR="00F76F6C" w:rsidRDefault="00F76F6C" w:rsidP="00F76F6C">
      <w:pPr>
        <w:pStyle w:val="NoSpacing"/>
        <w:jc w:val="both"/>
        <w:rPr>
          <w:rFonts w:ascii="Arial" w:hAnsi="Arial" w:cs="Arial"/>
        </w:rPr>
      </w:pPr>
    </w:p>
    <w:p w14:paraId="2B377D4C" w14:textId="77777777" w:rsidR="00F76F6C" w:rsidRPr="004B0967" w:rsidRDefault="00F76F6C" w:rsidP="00F76F6C">
      <w:pPr>
        <w:pStyle w:val="NoSpacing"/>
        <w:jc w:val="both"/>
        <w:rPr>
          <w:rFonts w:ascii="Arial" w:hAnsi="Arial" w:cs="Arial"/>
          <w:b/>
          <w:bCs/>
          <w:kern w:val="32"/>
          <w:szCs w:val="32"/>
        </w:rPr>
      </w:pPr>
      <w:r w:rsidRPr="00B2722D">
        <w:rPr>
          <w:rFonts w:ascii="Arial" w:hAnsi="Arial" w:cs="Arial"/>
          <w:b/>
          <w:bCs/>
          <w:kern w:val="32"/>
          <w:szCs w:val="32"/>
        </w:rPr>
        <w:t>Notifying Voters</w:t>
      </w:r>
      <w:r>
        <w:rPr>
          <w:rFonts w:ascii="Arial" w:hAnsi="Arial" w:cs="Arial"/>
          <w:b/>
          <w:bCs/>
          <w:kern w:val="32"/>
          <w:szCs w:val="32"/>
        </w:rPr>
        <w:t xml:space="preserve">. </w:t>
      </w:r>
      <w:r>
        <w:rPr>
          <w:rFonts w:ascii="Arial" w:hAnsi="Arial" w:cs="Arial"/>
        </w:rPr>
        <w:t>After adoption, th</w:t>
      </w:r>
      <w:r w:rsidRPr="00F65771">
        <w:rPr>
          <w:rFonts w:ascii="Arial" w:hAnsi="Arial" w:cs="Arial"/>
        </w:rPr>
        <w:t>e ordinance and attachment</w:t>
      </w:r>
      <w:r>
        <w:rPr>
          <w:rFonts w:ascii="Arial" w:hAnsi="Arial" w:cs="Arial"/>
        </w:rPr>
        <w:t>s</w:t>
      </w:r>
      <w:r w:rsidRPr="00F65771">
        <w:rPr>
          <w:rFonts w:ascii="Arial" w:hAnsi="Arial" w:cs="Arial"/>
        </w:rPr>
        <w:t xml:space="preserve"> become an amendment to the official list of County voting precincts. </w:t>
      </w:r>
      <w:r>
        <w:rPr>
          <w:rFonts w:ascii="Arial" w:hAnsi="Arial" w:cs="Arial"/>
        </w:rPr>
        <w:t>Elections</w:t>
      </w:r>
      <w:r w:rsidRPr="00F65771">
        <w:rPr>
          <w:rFonts w:ascii="Arial" w:hAnsi="Arial" w:cs="Arial"/>
        </w:rPr>
        <w:t xml:space="preserve"> will notify voters of their new precinct status following the Coun</w:t>
      </w:r>
      <w:r>
        <w:rPr>
          <w:rFonts w:ascii="Arial" w:hAnsi="Arial" w:cs="Arial"/>
        </w:rPr>
        <w:t>cil’s adoption of the ordinance.</w:t>
      </w:r>
    </w:p>
    <w:p w14:paraId="25252E47" w14:textId="77777777" w:rsidR="00F76F6C" w:rsidRPr="001C4B19" w:rsidRDefault="00F76F6C" w:rsidP="005B478C">
      <w:pPr>
        <w:pStyle w:val="BodyText"/>
        <w:jc w:val="both"/>
        <w:rPr>
          <w:rFonts w:ascii="Arial" w:hAnsi="Arial" w:cs="Arial"/>
          <w:b/>
          <w:i w:val="0"/>
          <w:smallCaps/>
          <w:szCs w:val="24"/>
        </w:rPr>
      </w:pPr>
    </w:p>
    <w:p w14:paraId="5472F74A"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472F74B" w14:textId="77777777" w:rsidR="00B24961" w:rsidRPr="001C4B19" w:rsidRDefault="00B24961" w:rsidP="005B478C">
      <w:pPr>
        <w:pStyle w:val="BodyText"/>
        <w:jc w:val="both"/>
        <w:rPr>
          <w:rFonts w:ascii="Arial" w:hAnsi="Arial" w:cs="Arial"/>
          <w:i w:val="0"/>
          <w:szCs w:val="24"/>
        </w:rPr>
      </w:pPr>
    </w:p>
    <w:p w14:paraId="5472F74C" w14:textId="7DA11922"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lastRenderedPageBreak/>
        <w:t xml:space="preserve">Proposed </w:t>
      </w:r>
      <w:r w:rsidR="00664648">
        <w:rPr>
          <w:rFonts w:ascii="Arial" w:hAnsi="Arial" w:cs="Arial"/>
          <w:i w:val="0"/>
          <w:szCs w:val="24"/>
        </w:rPr>
        <w:t>Ordinance</w:t>
      </w:r>
      <w:r w:rsidR="00DC1B4A">
        <w:rPr>
          <w:rFonts w:ascii="Arial" w:hAnsi="Arial" w:cs="Arial"/>
          <w:i w:val="0"/>
          <w:szCs w:val="24"/>
        </w:rPr>
        <w:t xml:space="preserve"> 2019</w:t>
      </w:r>
      <w:r w:rsidR="00557232">
        <w:rPr>
          <w:rFonts w:ascii="Arial" w:hAnsi="Arial" w:cs="Arial"/>
          <w:i w:val="0"/>
          <w:szCs w:val="24"/>
        </w:rPr>
        <w:t>-0</w:t>
      </w:r>
      <w:r w:rsidR="00DC1B4A">
        <w:rPr>
          <w:rFonts w:ascii="Arial" w:hAnsi="Arial" w:cs="Arial"/>
          <w:i w:val="0"/>
          <w:szCs w:val="24"/>
        </w:rPr>
        <w:t>051</w:t>
      </w:r>
      <w:r w:rsidR="00575B03" w:rsidRPr="001C4B19">
        <w:rPr>
          <w:rFonts w:ascii="Arial" w:hAnsi="Arial" w:cs="Arial"/>
          <w:i w:val="0"/>
          <w:szCs w:val="24"/>
        </w:rPr>
        <w:t xml:space="preserve"> (and its attachments)</w:t>
      </w:r>
    </w:p>
    <w:p w14:paraId="284E2936" w14:textId="20164A44" w:rsidR="004F3E2C" w:rsidRPr="001C4B19" w:rsidRDefault="004F3E2C" w:rsidP="005B478C">
      <w:pPr>
        <w:pStyle w:val="BodyText"/>
        <w:numPr>
          <w:ilvl w:val="0"/>
          <w:numId w:val="35"/>
        </w:numPr>
        <w:jc w:val="both"/>
        <w:rPr>
          <w:rFonts w:ascii="Arial" w:hAnsi="Arial" w:cs="Arial"/>
          <w:i w:val="0"/>
          <w:szCs w:val="24"/>
        </w:rPr>
      </w:pPr>
      <w:r>
        <w:rPr>
          <w:rFonts w:ascii="Arial" w:hAnsi="Arial" w:cs="Arial"/>
          <w:i w:val="0"/>
          <w:szCs w:val="24"/>
        </w:rPr>
        <w:t>Correspondence Brief Sheet from Julie Wise</w:t>
      </w:r>
      <w:bookmarkStart w:id="0" w:name="_GoBack"/>
      <w:bookmarkEnd w:id="0"/>
    </w:p>
    <w:p w14:paraId="6F95E944" w14:textId="2CF1FE76" w:rsidR="00B67B91" w:rsidRPr="00B67B91" w:rsidRDefault="00C521D8" w:rsidP="00B67B91">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5472F752" w14:textId="37AD8961" w:rsidR="004067FF" w:rsidRDefault="004067FF">
      <w:pPr>
        <w:rPr>
          <w:rFonts w:ascii="Arial" w:hAnsi="Arial" w:cs="Arial"/>
          <w:b/>
          <w:szCs w:val="24"/>
          <w:u w:val="single"/>
        </w:rPr>
      </w:pPr>
    </w:p>
    <w:p w14:paraId="5472F753"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5472F754" w14:textId="77777777" w:rsidR="00734F2E" w:rsidRPr="001C4B19" w:rsidRDefault="00734F2E" w:rsidP="005B478C">
      <w:pPr>
        <w:jc w:val="both"/>
        <w:rPr>
          <w:rFonts w:ascii="Arial" w:hAnsi="Arial" w:cs="Arial"/>
          <w:szCs w:val="24"/>
        </w:rPr>
      </w:pPr>
    </w:p>
    <w:p w14:paraId="5472F755" w14:textId="6B34004A" w:rsidR="00C521D8" w:rsidRDefault="009B2249" w:rsidP="005B478C">
      <w:pPr>
        <w:pStyle w:val="ListParagraph0"/>
        <w:numPr>
          <w:ilvl w:val="0"/>
          <w:numId w:val="24"/>
        </w:numPr>
        <w:spacing w:line="240" w:lineRule="auto"/>
        <w:jc w:val="both"/>
        <w:rPr>
          <w:rFonts w:ascii="Arial" w:hAnsi="Arial" w:cs="Arial"/>
        </w:rPr>
      </w:pPr>
      <w:r>
        <w:rPr>
          <w:rFonts w:ascii="Arial" w:hAnsi="Arial" w:cs="Arial"/>
        </w:rPr>
        <w:t>Julie Wise, Director</w:t>
      </w:r>
      <w:r w:rsidR="00C521D8" w:rsidRPr="001C4B19">
        <w:rPr>
          <w:rFonts w:ascii="Arial" w:hAnsi="Arial" w:cs="Arial"/>
        </w:rPr>
        <w:t xml:space="preserve">, Department </w:t>
      </w:r>
      <w:r>
        <w:rPr>
          <w:rFonts w:ascii="Arial" w:hAnsi="Arial" w:cs="Arial"/>
        </w:rPr>
        <w:t>of Elections</w:t>
      </w:r>
    </w:p>
    <w:p w14:paraId="5472F756" w14:textId="252CF3DF" w:rsidR="001C4B19" w:rsidRPr="00F63685" w:rsidRDefault="009B2249" w:rsidP="005B478C">
      <w:pPr>
        <w:pStyle w:val="ListParagraph0"/>
        <w:numPr>
          <w:ilvl w:val="0"/>
          <w:numId w:val="24"/>
        </w:numPr>
        <w:spacing w:line="240" w:lineRule="auto"/>
        <w:jc w:val="both"/>
        <w:rPr>
          <w:rFonts w:ascii="Arial" w:hAnsi="Arial" w:cs="Arial"/>
        </w:rPr>
      </w:pPr>
      <w:r>
        <w:rPr>
          <w:rFonts w:ascii="Arial" w:hAnsi="Arial" w:cs="Arial"/>
        </w:rPr>
        <w:t xml:space="preserve">Dave Wilson, </w:t>
      </w:r>
      <w:r w:rsidR="00B67B91">
        <w:rPr>
          <w:rFonts w:ascii="Arial" w:hAnsi="Arial" w:cs="Arial"/>
        </w:rPr>
        <w:t>GIS</w:t>
      </w:r>
      <w:r>
        <w:rPr>
          <w:rFonts w:ascii="Arial" w:hAnsi="Arial" w:cs="Arial"/>
        </w:rPr>
        <w:t xml:space="preserve"> Supervisor, Department of Elections</w:t>
      </w:r>
    </w:p>
    <w:sectPr w:rsidR="001C4B19" w:rsidRPr="00F63685"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F759" w14:textId="77777777" w:rsidR="00544229" w:rsidRDefault="00544229">
      <w:r>
        <w:separator/>
      </w:r>
    </w:p>
  </w:endnote>
  <w:endnote w:type="continuationSeparator" w:id="0">
    <w:p w14:paraId="5472F75A" w14:textId="77777777" w:rsidR="00544229" w:rsidRDefault="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75D" w14:textId="77777777" w:rsidR="00074E9A" w:rsidRDefault="00074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75E" w14:textId="77777777" w:rsidR="00074E9A" w:rsidRDefault="00074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763" w14:textId="77777777" w:rsidR="00074E9A" w:rsidRDefault="0007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F757" w14:textId="77777777" w:rsidR="00544229" w:rsidRDefault="00544229">
      <w:r>
        <w:separator/>
      </w:r>
    </w:p>
  </w:footnote>
  <w:footnote w:type="continuationSeparator" w:id="0">
    <w:p w14:paraId="5472F758" w14:textId="77777777" w:rsidR="00544229" w:rsidRDefault="00544229">
      <w:r>
        <w:continuationSeparator/>
      </w:r>
    </w:p>
  </w:footnote>
  <w:footnote w:id="1">
    <w:p w14:paraId="7DF7F980" w14:textId="77777777" w:rsidR="00B67B91" w:rsidRPr="003A07C3" w:rsidRDefault="00B67B91" w:rsidP="00B67B91">
      <w:pPr>
        <w:pStyle w:val="FootnoteText"/>
        <w:rPr>
          <w:rFonts w:ascii="Arial" w:hAnsi="Arial" w:cs="Arial"/>
        </w:rPr>
      </w:pPr>
      <w:r w:rsidRPr="003A07C3">
        <w:rPr>
          <w:rStyle w:val="FootnoteReference"/>
          <w:rFonts w:ascii="Arial" w:hAnsi="Arial" w:cs="Arial"/>
        </w:rPr>
        <w:footnoteRef/>
      </w:r>
      <w:r w:rsidRPr="003A07C3">
        <w:rPr>
          <w:rFonts w:ascii="Arial" w:hAnsi="Arial" w:cs="Arial"/>
        </w:rPr>
        <w:t xml:space="preserve"> KCC 1.12.010.E</w:t>
      </w:r>
    </w:p>
  </w:footnote>
  <w:footnote w:id="2">
    <w:p w14:paraId="0A3A02C3" w14:textId="77777777" w:rsidR="00F76F6C" w:rsidRPr="00096D7E" w:rsidRDefault="00F76F6C" w:rsidP="00F76F6C">
      <w:pPr>
        <w:pStyle w:val="FootnoteText"/>
        <w:rPr>
          <w:rFonts w:ascii="Arial" w:hAnsi="Arial" w:cs="Arial"/>
        </w:rPr>
      </w:pPr>
      <w:r w:rsidRPr="00096D7E">
        <w:rPr>
          <w:rStyle w:val="FootnoteReference"/>
          <w:rFonts w:ascii="Arial" w:hAnsi="Arial" w:cs="Arial"/>
        </w:rPr>
        <w:footnoteRef/>
      </w:r>
      <w:r w:rsidRPr="00096D7E">
        <w:rPr>
          <w:rFonts w:ascii="Arial" w:hAnsi="Arial" w:cs="Arial"/>
        </w:rPr>
        <w:t xml:space="preserve"> RCW 29a.16.040</w:t>
      </w:r>
      <w:r>
        <w:rPr>
          <w:rFonts w:ascii="Arial" w:hAnsi="Arial" w:cs="Arial"/>
        </w:rPr>
        <w:t>-050</w:t>
      </w:r>
    </w:p>
  </w:footnote>
  <w:footnote w:id="3">
    <w:p w14:paraId="6E88A2A4" w14:textId="77777777" w:rsidR="00F76F6C" w:rsidRPr="007B1656" w:rsidRDefault="00F76F6C" w:rsidP="00F76F6C">
      <w:pPr>
        <w:pStyle w:val="FootnoteText"/>
        <w:rPr>
          <w:rFonts w:ascii="Arial" w:hAnsi="Arial" w:cs="Arial"/>
        </w:rPr>
      </w:pPr>
      <w:r w:rsidRPr="007B1656">
        <w:rPr>
          <w:rStyle w:val="FootnoteReference"/>
          <w:rFonts w:ascii="Arial" w:hAnsi="Arial" w:cs="Arial"/>
        </w:rPr>
        <w:footnoteRef/>
      </w:r>
      <w:r w:rsidRPr="007B1656">
        <w:rPr>
          <w:rFonts w:ascii="Arial" w:hAnsi="Arial" w:cs="Arial"/>
        </w:rPr>
        <w:t xml:space="preserve"> KCC 1.12.010</w:t>
      </w:r>
    </w:p>
  </w:footnote>
  <w:footnote w:id="4">
    <w:p w14:paraId="0AD46970" w14:textId="77777777" w:rsidR="00F76F6C" w:rsidRPr="005142CD" w:rsidRDefault="00F76F6C" w:rsidP="00F76F6C">
      <w:pPr>
        <w:pStyle w:val="FootnoteText"/>
        <w:rPr>
          <w:rFonts w:ascii="Arial" w:hAnsi="Arial" w:cs="Arial"/>
        </w:rPr>
      </w:pPr>
      <w:r w:rsidRPr="005142CD">
        <w:rPr>
          <w:rStyle w:val="FootnoteReference"/>
          <w:rFonts w:ascii="Arial" w:hAnsi="Arial" w:cs="Arial"/>
        </w:rPr>
        <w:footnoteRef/>
      </w:r>
      <w:r w:rsidRPr="005142CD">
        <w:rPr>
          <w:rFonts w:ascii="Arial" w:hAnsi="Arial" w:cs="Arial"/>
        </w:rPr>
        <w:t xml:space="preserve"> RCW 29a.10.040</w:t>
      </w:r>
      <w:r>
        <w:rPr>
          <w:rFonts w:ascii="Arial" w:hAnsi="Arial" w:cs="Arial"/>
        </w:rPr>
        <w:t>(1)</w:t>
      </w:r>
    </w:p>
  </w:footnote>
  <w:footnote w:id="5">
    <w:p w14:paraId="11DDAAE8" w14:textId="77777777" w:rsidR="00F76F6C" w:rsidRPr="00C6284A" w:rsidRDefault="00F76F6C" w:rsidP="00F76F6C">
      <w:pPr>
        <w:pStyle w:val="FootnoteText"/>
        <w:rPr>
          <w:rFonts w:ascii="Arial" w:hAnsi="Arial" w:cs="Arial"/>
        </w:rPr>
      </w:pPr>
      <w:r w:rsidRPr="00C6284A">
        <w:rPr>
          <w:rStyle w:val="FootnoteReference"/>
          <w:rFonts w:ascii="Arial" w:hAnsi="Arial" w:cs="Arial"/>
        </w:rPr>
        <w:footnoteRef/>
      </w:r>
      <w:r w:rsidRPr="00C6284A">
        <w:rPr>
          <w:rFonts w:ascii="Arial" w:hAnsi="Arial" w:cs="Arial"/>
        </w:rPr>
        <w:t xml:space="preserve"> RCW 29a.16.050(1)</w:t>
      </w:r>
    </w:p>
  </w:footnote>
  <w:footnote w:id="6">
    <w:p w14:paraId="7FF2491D" w14:textId="77777777" w:rsidR="00F76F6C" w:rsidRPr="00C6284A" w:rsidRDefault="00F76F6C" w:rsidP="00F76F6C">
      <w:pPr>
        <w:pStyle w:val="FootnoteText"/>
        <w:rPr>
          <w:rFonts w:ascii="Arial" w:hAnsi="Arial" w:cs="Arial"/>
        </w:rPr>
      </w:pPr>
      <w:r w:rsidRPr="00C6284A">
        <w:rPr>
          <w:rStyle w:val="FootnoteReference"/>
          <w:rFonts w:ascii="Arial" w:hAnsi="Arial" w:cs="Arial"/>
        </w:rPr>
        <w:footnoteRef/>
      </w:r>
      <w:r w:rsidRPr="00C6284A">
        <w:rPr>
          <w:rFonts w:ascii="Arial" w:hAnsi="Arial" w:cs="Arial"/>
        </w:rPr>
        <w:t xml:space="preserve"> RCW 29a.16.050(2)</w:t>
      </w:r>
    </w:p>
  </w:footnote>
  <w:footnote w:id="7">
    <w:p w14:paraId="0CEBDEA4" w14:textId="77777777" w:rsidR="00F76F6C" w:rsidRPr="00A32C10" w:rsidRDefault="00F76F6C" w:rsidP="00F76F6C">
      <w:pPr>
        <w:pStyle w:val="FootnoteText"/>
        <w:rPr>
          <w:rFonts w:ascii="Arial" w:hAnsi="Arial" w:cs="Arial"/>
        </w:rPr>
      </w:pPr>
      <w:r w:rsidRPr="00A32C10">
        <w:rPr>
          <w:rStyle w:val="FootnoteReference"/>
          <w:rFonts w:ascii="Arial" w:hAnsi="Arial" w:cs="Arial"/>
        </w:rPr>
        <w:footnoteRef/>
      </w:r>
      <w:r w:rsidRPr="00A32C10">
        <w:rPr>
          <w:rFonts w:ascii="Arial" w:hAnsi="Arial" w:cs="Arial"/>
        </w:rPr>
        <w:t xml:space="preserve"> RCW 29a.16.050</w:t>
      </w:r>
      <w:r>
        <w:rPr>
          <w:rFonts w:ascii="Arial" w:hAnsi="Arial" w:cs="Arial"/>
        </w:rPr>
        <w:t>(3)</w:t>
      </w:r>
    </w:p>
  </w:footnote>
  <w:footnote w:id="8">
    <w:p w14:paraId="4FC8EBDB" w14:textId="77777777" w:rsidR="00F76F6C" w:rsidRPr="00566866" w:rsidRDefault="00F76F6C" w:rsidP="00F76F6C">
      <w:pPr>
        <w:pStyle w:val="FootnoteText"/>
        <w:rPr>
          <w:rFonts w:ascii="Arial" w:hAnsi="Arial" w:cs="Arial"/>
        </w:rPr>
      </w:pPr>
      <w:r w:rsidRPr="00566866">
        <w:rPr>
          <w:rStyle w:val="FootnoteReference"/>
          <w:rFonts w:ascii="Arial" w:hAnsi="Arial" w:cs="Arial"/>
        </w:rPr>
        <w:footnoteRef/>
      </w:r>
      <w:r w:rsidRPr="00566866">
        <w:rPr>
          <w:rFonts w:ascii="Arial" w:hAnsi="Arial" w:cs="Arial"/>
        </w:rPr>
        <w:t xml:space="preserve"> KCC 1.12.010.C</w:t>
      </w:r>
    </w:p>
  </w:footnote>
  <w:footnote w:id="9">
    <w:p w14:paraId="6A0D05D3" w14:textId="77777777" w:rsidR="00F76F6C" w:rsidRPr="0057595F" w:rsidRDefault="00F76F6C" w:rsidP="00F76F6C">
      <w:pPr>
        <w:pStyle w:val="FootnoteText"/>
        <w:rPr>
          <w:rFonts w:ascii="Arial" w:hAnsi="Arial" w:cs="Arial"/>
        </w:rPr>
      </w:pPr>
      <w:r w:rsidRPr="0057595F">
        <w:rPr>
          <w:rStyle w:val="FootnoteReference"/>
          <w:rFonts w:ascii="Arial" w:hAnsi="Arial" w:cs="Arial"/>
        </w:rPr>
        <w:footnoteRef/>
      </w:r>
      <w:r w:rsidRPr="0057595F">
        <w:rPr>
          <w:rFonts w:ascii="Arial" w:hAnsi="Arial" w:cs="Arial"/>
        </w:rPr>
        <w:t xml:space="preserve"> KCC 1.12.010.D</w:t>
      </w:r>
    </w:p>
  </w:footnote>
  <w:footnote w:id="10">
    <w:p w14:paraId="10A5649E" w14:textId="77777777" w:rsidR="00F76F6C" w:rsidRPr="00B01811" w:rsidRDefault="00F76F6C" w:rsidP="00F76F6C">
      <w:pPr>
        <w:pStyle w:val="FootnoteText"/>
        <w:rPr>
          <w:rFonts w:ascii="Arial" w:hAnsi="Arial" w:cs="Arial"/>
        </w:rPr>
      </w:pPr>
      <w:r w:rsidRPr="00B01811">
        <w:rPr>
          <w:rStyle w:val="FootnoteReference"/>
          <w:rFonts w:ascii="Arial" w:hAnsi="Arial" w:cs="Arial"/>
        </w:rPr>
        <w:footnoteRef/>
      </w:r>
      <w:r w:rsidRPr="00B01811">
        <w:rPr>
          <w:rFonts w:ascii="Arial" w:hAnsi="Arial" w:cs="Arial"/>
        </w:rPr>
        <w:t xml:space="preserve"> KCC 1.12.010.E</w:t>
      </w:r>
    </w:p>
  </w:footnote>
  <w:footnote w:id="11">
    <w:p w14:paraId="6131BFDF" w14:textId="6BFF69D1" w:rsidR="00222548" w:rsidRDefault="00222548">
      <w:pPr>
        <w:pStyle w:val="FootnoteText"/>
      </w:pPr>
      <w:r>
        <w:rPr>
          <w:rStyle w:val="FootnoteReference"/>
        </w:rPr>
        <w:footnoteRef/>
      </w:r>
      <w:r>
        <w:t xml:space="preserve"> </w:t>
      </w:r>
      <w:r w:rsidRPr="00C6783A">
        <w:rPr>
          <w:rFonts w:ascii="Arial" w:hAnsi="Arial" w:cs="Arial"/>
        </w:rPr>
        <w:t xml:space="preserve">Thirty days before the candidate filing period is actually April 13, but since that it is a Saturday – this would mean the transmittal date is April 12. </w:t>
      </w:r>
    </w:p>
  </w:footnote>
  <w:footnote w:id="12">
    <w:p w14:paraId="67306230" w14:textId="17915654" w:rsidR="00C6783A" w:rsidRDefault="00C6783A">
      <w:pPr>
        <w:pStyle w:val="FootnoteText"/>
      </w:pPr>
      <w:r>
        <w:rPr>
          <w:rStyle w:val="FootnoteReference"/>
        </w:rPr>
        <w:footnoteRef/>
      </w:r>
      <w:r>
        <w:t xml:space="preserve"> </w:t>
      </w:r>
      <w:r w:rsidRPr="00C6783A">
        <w:rPr>
          <w:rFonts w:ascii="Arial" w:hAnsi="Arial" w:cs="Arial"/>
        </w:rPr>
        <w:t>KCC 1.12.010 E</w:t>
      </w:r>
    </w:p>
  </w:footnote>
  <w:footnote w:id="13">
    <w:p w14:paraId="0CE33BC1" w14:textId="30C1FB3C" w:rsidR="00C6783A" w:rsidRDefault="00C6783A">
      <w:pPr>
        <w:pStyle w:val="FootnoteText"/>
      </w:pPr>
      <w:r>
        <w:rPr>
          <w:rStyle w:val="FootnoteReference"/>
        </w:rPr>
        <w:footnoteRef/>
      </w:r>
      <w:r>
        <w:t xml:space="preserve"> </w:t>
      </w:r>
      <w:r>
        <w:rPr>
          <w:rFonts w:ascii="Calibri" w:hAnsi="Calibri" w:cs="Calibri"/>
          <w:color w:val="000000"/>
        </w:rPr>
        <w:t>RCW 29A.16.040-050 and KCC 1.12.010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75B" w14:textId="77777777" w:rsidR="00074E9A" w:rsidRDefault="00074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75C" w14:textId="77777777" w:rsidR="00074E9A" w:rsidRDefault="00074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75F" w14:textId="77777777" w:rsidR="00C75025" w:rsidRDefault="00C75025" w:rsidP="00C75025">
    <w:pPr>
      <w:jc w:val="center"/>
    </w:pPr>
    <w:r>
      <w:rPr>
        <w:noProof/>
      </w:rPr>
      <w:drawing>
        <wp:inline distT="0" distB="0" distL="0" distR="0" wp14:anchorId="5472F764" wp14:editId="5472F76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72F760" w14:textId="77777777" w:rsidR="00C75025" w:rsidRPr="003B03EF" w:rsidRDefault="00C75025" w:rsidP="00C75025">
    <w:pPr>
      <w:jc w:val="center"/>
      <w:rPr>
        <w:rFonts w:ascii="Arial" w:hAnsi="Arial"/>
        <w:szCs w:val="22"/>
      </w:rPr>
    </w:pPr>
  </w:p>
  <w:p w14:paraId="5472F76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472F762"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D1A8B"/>
    <w:multiLevelType w:val="multilevel"/>
    <w:tmpl w:val="0FAC9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B144C"/>
    <w:multiLevelType w:val="hybridMultilevel"/>
    <w:tmpl w:val="97D2BE24"/>
    <w:lvl w:ilvl="0" w:tplc="FD60D5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7"/>
  </w:num>
  <w:num w:numId="30">
    <w:abstractNumId w:val="1"/>
  </w:num>
  <w:num w:numId="31">
    <w:abstractNumId w:val="32"/>
  </w:num>
  <w:num w:numId="32">
    <w:abstractNumId w:val="35"/>
  </w:num>
  <w:num w:numId="33">
    <w:abstractNumId w:val="14"/>
  </w:num>
  <w:num w:numId="34">
    <w:abstractNumId w:val="11"/>
  </w:num>
  <w:num w:numId="35">
    <w:abstractNumId w:val="7"/>
  </w:num>
  <w:num w:numId="36">
    <w:abstractNumId w:val="25"/>
  </w:num>
  <w:num w:numId="37">
    <w:abstractNumId w:val="36"/>
  </w:num>
  <w:num w:numId="38">
    <w:abstractNumId w:val="19"/>
  </w:num>
  <w:num w:numId="39">
    <w:abstractNumId w:val="31"/>
  </w:num>
  <w:num w:numId="40">
    <w:abstractNumId w:val="28"/>
  </w:num>
  <w:num w:numId="41">
    <w:abstractNumId w:val="37"/>
  </w:num>
  <w:num w:numId="42">
    <w:abstractNumId w:val="34"/>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4D99"/>
    <w:rsid w:val="0004549A"/>
    <w:rsid w:val="00046824"/>
    <w:rsid w:val="000470FF"/>
    <w:rsid w:val="0005201B"/>
    <w:rsid w:val="0005270D"/>
    <w:rsid w:val="000533AF"/>
    <w:rsid w:val="00054C01"/>
    <w:rsid w:val="000553F5"/>
    <w:rsid w:val="00055B9A"/>
    <w:rsid w:val="00056C81"/>
    <w:rsid w:val="000577A3"/>
    <w:rsid w:val="00060235"/>
    <w:rsid w:val="00060A93"/>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4FE2"/>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6AE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221"/>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2548"/>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4855"/>
    <w:rsid w:val="002859EF"/>
    <w:rsid w:val="00285AF1"/>
    <w:rsid w:val="0029050E"/>
    <w:rsid w:val="00292DEC"/>
    <w:rsid w:val="00293B99"/>
    <w:rsid w:val="00293D02"/>
    <w:rsid w:val="00294222"/>
    <w:rsid w:val="00296690"/>
    <w:rsid w:val="002A0478"/>
    <w:rsid w:val="002A1127"/>
    <w:rsid w:val="002A1228"/>
    <w:rsid w:val="002A2420"/>
    <w:rsid w:val="002A6326"/>
    <w:rsid w:val="002B0E1F"/>
    <w:rsid w:val="002B376D"/>
    <w:rsid w:val="002B76A4"/>
    <w:rsid w:val="002B7D72"/>
    <w:rsid w:val="002C13D3"/>
    <w:rsid w:val="002C1543"/>
    <w:rsid w:val="002C42B2"/>
    <w:rsid w:val="002C4D38"/>
    <w:rsid w:val="002D1993"/>
    <w:rsid w:val="002D3169"/>
    <w:rsid w:val="002D6D64"/>
    <w:rsid w:val="002E0EBA"/>
    <w:rsid w:val="002E4150"/>
    <w:rsid w:val="002E6164"/>
    <w:rsid w:val="002E61CB"/>
    <w:rsid w:val="002E6554"/>
    <w:rsid w:val="002E6838"/>
    <w:rsid w:val="002E71BD"/>
    <w:rsid w:val="002F3DFD"/>
    <w:rsid w:val="002F6129"/>
    <w:rsid w:val="002F7C7C"/>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FE"/>
    <w:rsid w:val="004F0FCB"/>
    <w:rsid w:val="004F3E2C"/>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5645"/>
    <w:rsid w:val="00537A1F"/>
    <w:rsid w:val="00537B98"/>
    <w:rsid w:val="00541E71"/>
    <w:rsid w:val="00544229"/>
    <w:rsid w:val="005461D9"/>
    <w:rsid w:val="0054685E"/>
    <w:rsid w:val="00547D83"/>
    <w:rsid w:val="00547FA2"/>
    <w:rsid w:val="00550611"/>
    <w:rsid w:val="00551D64"/>
    <w:rsid w:val="00554CE6"/>
    <w:rsid w:val="00554DD2"/>
    <w:rsid w:val="00554E38"/>
    <w:rsid w:val="0055582A"/>
    <w:rsid w:val="00557232"/>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3C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DE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5E3B"/>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011"/>
    <w:rsid w:val="008212BA"/>
    <w:rsid w:val="00821B8A"/>
    <w:rsid w:val="0082285D"/>
    <w:rsid w:val="00822B84"/>
    <w:rsid w:val="008240CE"/>
    <w:rsid w:val="0082419F"/>
    <w:rsid w:val="00824FBF"/>
    <w:rsid w:val="00826536"/>
    <w:rsid w:val="00826643"/>
    <w:rsid w:val="008276D2"/>
    <w:rsid w:val="00827831"/>
    <w:rsid w:val="00830BB1"/>
    <w:rsid w:val="008327CE"/>
    <w:rsid w:val="00833CFA"/>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2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24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278"/>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FCB"/>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2264"/>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6B9B"/>
    <w:rsid w:val="00B47954"/>
    <w:rsid w:val="00B5059B"/>
    <w:rsid w:val="00B51CA8"/>
    <w:rsid w:val="00B51EFC"/>
    <w:rsid w:val="00B5298C"/>
    <w:rsid w:val="00B65EB6"/>
    <w:rsid w:val="00B66304"/>
    <w:rsid w:val="00B67B9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0716"/>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783A"/>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978D0"/>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31E2"/>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B4A"/>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F3D"/>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5A56"/>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3685"/>
    <w:rsid w:val="00F65642"/>
    <w:rsid w:val="00F6619B"/>
    <w:rsid w:val="00F66401"/>
    <w:rsid w:val="00F768EB"/>
    <w:rsid w:val="00F76F6C"/>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6C71"/>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2F725"/>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F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58735503">
      <w:bodyDiv w:val="1"/>
      <w:marLeft w:val="0"/>
      <w:marRight w:val="0"/>
      <w:marTop w:val="0"/>
      <w:marBottom w:val="0"/>
      <w:divBdr>
        <w:top w:val="none" w:sz="0" w:space="0" w:color="auto"/>
        <w:left w:val="none" w:sz="0" w:space="0" w:color="auto"/>
        <w:bottom w:val="none" w:sz="0" w:space="0" w:color="auto"/>
        <w:right w:val="none" w:sz="0" w:space="0" w:color="auto"/>
      </w:divBdr>
    </w:div>
    <w:div w:id="1880700880">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3F4B-76F6-4F33-BDAF-6809FB71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Fathi, Sahar</cp:lastModifiedBy>
  <cp:revision>15</cp:revision>
  <cp:lastPrinted>2015-05-28T15:15:00Z</cp:lastPrinted>
  <dcterms:created xsi:type="dcterms:W3CDTF">2019-02-03T17:26:00Z</dcterms:created>
  <dcterms:modified xsi:type="dcterms:W3CDTF">2019-02-11T21:24:00Z</dcterms:modified>
</cp:coreProperties>
</file>