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430D7" w14:textId="77777777" w:rsidR="00751210" w:rsidRPr="006A3404" w:rsidRDefault="00E3507F" w:rsidP="006A3404">
      <w:pPr>
        <w:jc w:val="center"/>
        <w:rPr>
          <w:b/>
        </w:rPr>
      </w:pPr>
      <w:r>
        <w:rPr>
          <w:b/>
        </w:rPr>
        <w:t xml:space="preserve">FUNDING </w:t>
      </w:r>
      <w:r w:rsidR="00C600AC">
        <w:rPr>
          <w:b/>
        </w:rPr>
        <w:t>AGREEMENT B</w:t>
      </w:r>
      <w:r w:rsidR="00C600AC" w:rsidRPr="006A3404">
        <w:rPr>
          <w:b/>
        </w:rPr>
        <w:t>ETWEEN KING COUNTY AND THE</w:t>
      </w:r>
    </w:p>
    <w:p w14:paraId="0D027E6D" w14:textId="77777777" w:rsidR="006A3404" w:rsidRPr="006A3404" w:rsidRDefault="00C600AC" w:rsidP="006A3404">
      <w:pPr>
        <w:jc w:val="center"/>
        <w:rPr>
          <w:b/>
        </w:rPr>
      </w:pPr>
      <w:r w:rsidRPr="006A3404">
        <w:rPr>
          <w:b/>
        </w:rPr>
        <w:t>WASHINGTON STATE MAJOR LEAGUE BASEBALL STADIUM</w:t>
      </w:r>
    </w:p>
    <w:p w14:paraId="33B8D8AA" w14:textId="77777777" w:rsidR="006A3404" w:rsidRPr="006A3404" w:rsidRDefault="00C600AC" w:rsidP="006A3404">
      <w:pPr>
        <w:jc w:val="center"/>
        <w:rPr>
          <w:b/>
        </w:rPr>
      </w:pPr>
      <w:r w:rsidRPr="006A3404">
        <w:rPr>
          <w:b/>
        </w:rPr>
        <w:t>PUBLIC FACILITIES DISTRICT</w:t>
      </w:r>
    </w:p>
    <w:p w14:paraId="555CCD05" w14:textId="77777777" w:rsidR="006A3404" w:rsidRDefault="006A3404" w:rsidP="006A3404"/>
    <w:p w14:paraId="64321BCB" w14:textId="77777777" w:rsidR="00C600AC" w:rsidRDefault="00C600AC" w:rsidP="006A3404"/>
    <w:p w14:paraId="716138EC" w14:textId="4DDB7D82" w:rsidR="006A3404" w:rsidRDefault="006A3404" w:rsidP="00CA6858">
      <w:pPr>
        <w:jc w:val="both"/>
      </w:pPr>
      <w:r>
        <w:t xml:space="preserve">This </w:t>
      </w:r>
      <w:r w:rsidR="00E3507F">
        <w:t xml:space="preserve">Funding </w:t>
      </w:r>
      <w:r>
        <w:t xml:space="preserve">Agreement (the “Agreement”) is made and entered into </w:t>
      </w:r>
      <w:r w:rsidR="00633F30">
        <w:t xml:space="preserve">as of </w:t>
      </w:r>
      <w:r w:rsidR="002658B2">
        <w:t xml:space="preserve">the </w:t>
      </w:r>
      <w:r w:rsidR="005D733C">
        <w:t>date of the last authorized signature</w:t>
      </w:r>
      <w:r w:rsidR="00294D94">
        <w:t xml:space="preserve"> </w:t>
      </w:r>
      <w:r w:rsidR="00E3507F">
        <w:t>("Effective Date")</w:t>
      </w:r>
      <w:r>
        <w:t>, by and between King County (the “County”) and the Washington State Major League Baseball Stadium Public Facilities District (the “District”), collectively referred to as the “Parties.”</w:t>
      </w:r>
    </w:p>
    <w:p w14:paraId="39D1B171" w14:textId="77777777" w:rsidR="006A3404" w:rsidRDefault="006A3404" w:rsidP="00CA6858"/>
    <w:p w14:paraId="3C9111B2" w14:textId="0A86FC84" w:rsidR="006A3404" w:rsidRPr="009D5049" w:rsidRDefault="00C80775" w:rsidP="00CA6858">
      <w:pPr>
        <w:jc w:val="center"/>
        <w:rPr>
          <w:b/>
          <w:u w:val="single"/>
        </w:rPr>
      </w:pPr>
      <w:r>
        <w:rPr>
          <w:b/>
          <w:u w:val="single"/>
        </w:rPr>
        <w:t xml:space="preserve">STATEMENTS </w:t>
      </w:r>
      <w:r w:rsidR="009215CD">
        <w:rPr>
          <w:b/>
          <w:u w:val="single"/>
        </w:rPr>
        <w:t>OF FACT</w:t>
      </w:r>
    </w:p>
    <w:p w14:paraId="2460A4BF" w14:textId="77777777" w:rsidR="006A3404" w:rsidRPr="00833D2A" w:rsidRDefault="006A3404" w:rsidP="00CA6858"/>
    <w:p w14:paraId="2A9CE704" w14:textId="6B0AE08A" w:rsidR="006A3404" w:rsidRPr="00E533BE" w:rsidRDefault="006A3404" w:rsidP="00CA6858">
      <w:pPr>
        <w:jc w:val="both"/>
      </w:pPr>
      <w:r>
        <w:t xml:space="preserve">The Washington State Major League Baseball Stadium Public Facilities District, established pursuant to RCW 36.100 and King County Ordinance 12000, successfully developed a </w:t>
      </w:r>
      <w:r w:rsidR="00FD3041">
        <w:t xml:space="preserve">Major League Baseball </w:t>
      </w:r>
      <w:r>
        <w:t xml:space="preserve">ballpark in the City of Seattle (the “Ballpark”) and entered into a </w:t>
      </w:r>
      <w:r w:rsidR="005D22D3">
        <w:t>lease with T</w:t>
      </w:r>
      <w:r>
        <w:t xml:space="preserve">he Baseball Club of Seattle, </w:t>
      </w:r>
      <w:r w:rsidR="00A8088D">
        <w:t>L.L.</w:t>
      </w:r>
      <w:r>
        <w:t>L.P</w:t>
      </w:r>
      <w:r w:rsidR="00350A08">
        <w:t xml:space="preserve">. </w:t>
      </w:r>
      <w:r>
        <w:t xml:space="preserve">(the “Club”) </w:t>
      </w:r>
      <w:r w:rsidR="00465D9E">
        <w:t xml:space="preserve">for the Ballpark as the home venue of a </w:t>
      </w:r>
      <w:r w:rsidR="0079305A">
        <w:t>Major League B</w:t>
      </w:r>
      <w:r>
        <w:t xml:space="preserve">aseball </w:t>
      </w:r>
      <w:r w:rsidR="00465D9E">
        <w:t xml:space="preserve">team for the benefit of </w:t>
      </w:r>
      <w:r>
        <w:t xml:space="preserve">the </w:t>
      </w:r>
      <w:r w:rsidRPr="00E533BE">
        <w:t xml:space="preserve">citizens of the County and visitors to the </w:t>
      </w:r>
      <w:r w:rsidR="00465D9E" w:rsidRPr="00E533BE">
        <w:t>Ballpark</w:t>
      </w:r>
      <w:r w:rsidRPr="00E533BE">
        <w:t>.</w:t>
      </w:r>
    </w:p>
    <w:p w14:paraId="60573DB2" w14:textId="77777777" w:rsidR="006A3404" w:rsidRPr="00E533BE" w:rsidRDefault="006A3404" w:rsidP="00CA6858">
      <w:pPr>
        <w:jc w:val="both"/>
      </w:pPr>
    </w:p>
    <w:p w14:paraId="0DE6CD2E" w14:textId="77777777" w:rsidR="00C80775" w:rsidRPr="00E533BE" w:rsidRDefault="00C80775" w:rsidP="00CA6858">
      <w:pPr>
        <w:jc w:val="both"/>
      </w:pPr>
      <w:r w:rsidRPr="00E533BE">
        <w:t>The Ballpark attracts tourists to the King County region, who attend arts, heritage and culture events and</w:t>
      </w:r>
      <w:r w:rsidR="001A4689" w:rsidRPr="00E533BE">
        <w:t>/or</w:t>
      </w:r>
      <w:r w:rsidRPr="00E533BE">
        <w:t xml:space="preserve"> recreational, professional, and amateur sports events, and some of whom stay overnight.</w:t>
      </w:r>
    </w:p>
    <w:p w14:paraId="6A5A0652" w14:textId="77777777" w:rsidR="00C80775" w:rsidRPr="00E533BE" w:rsidRDefault="00C80775" w:rsidP="00CA6858">
      <w:pPr>
        <w:jc w:val="both"/>
      </w:pPr>
    </w:p>
    <w:p w14:paraId="1AB162DD" w14:textId="66F332A3" w:rsidR="006A3404" w:rsidRPr="00E533BE" w:rsidRDefault="006A3404" w:rsidP="00CA6858">
      <w:pPr>
        <w:jc w:val="both"/>
      </w:pPr>
      <w:r w:rsidRPr="00E533BE">
        <w:t xml:space="preserve">The </w:t>
      </w:r>
      <w:r w:rsidR="005A26CA" w:rsidRPr="00E533BE">
        <w:t xml:space="preserve">existing </w:t>
      </w:r>
      <w:r w:rsidR="0079305A" w:rsidRPr="00E533BE">
        <w:t xml:space="preserve">lease with the Club expires </w:t>
      </w:r>
      <w:r w:rsidR="00C33741" w:rsidRPr="00E533BE">
        <w:t xml:space="preserve">at the end of </w:t>
      </w:r>
      <w:r w:rsidR="0079305A" w:rsidRPr="00E533BE">
        <w:t>2018</w:t>
      </w:r>
      <w:r w:rsidR="00CE13D4">
        <w:t>.</w:t>
      </w:r>
      <w:r w:rsidR="00294D94">
        <w:t xml:space="preserve">  </w:t>
      </w:r>
      <w:r w:rsidR="00CE13D4">
        <w:t>T</w:t>
      </w:r>
      <w:r w:rsidR="00C33741" w:rsidRPr="00E533BE">
        <w:t xml:space="preserve">he </w:t>
      </w:r>
      <w:r w:rsidRPr="00E533BE">
        <w:t xml:space="preserve">District </w:t>
      </w:r>
      <w:r w:rsidR="00A870DC" w:rsidRPr="00E533BE">
        <w:t xml:space="preserve">and the Club </w:t>
      </w:r>
      <w:r w:rsidR="006246B4" w:rsidRPr="00E533BE">
        <w:t xml:space="preserve">have </w:t>
      </w:r>
      <w:r w:rsidR="006246B4">
        <w:t>executed</w:t>
      </w:r>
      <w:r w:rsidR="00CE13D4">
        <w:t xml:space="preserve"> the </w:t>
      </w:r>
      <w:r w:rsidR="002658B2">
        <w:t>“</w:t>
      </w:r>
      <w:r w:rsidR="00CE13D4">
        <w:t xml:space="preserve">Lease Renewal </w:t>
      </w:r>
      <w:r w:rsidR="00AA1DCA" w:rsidRPr="00E533BE">
        <w:t>Term Sheet</w:t>
      </w:r>
      <w:r w:rsidR="00B40C6A">
        <w:t xml:space="preserve"> </w:t>
      </w:r>
      <w:r w:rsidR="00AA1DCA" w:rsidRPr="00E533BE">
        <w:t>May 23, 2018</w:t>
      </w:r>
      <w:r w:rsidR="00737749">
        <w:t>”</w:t>
      </w:r>
      <w:r w:rsidR="000B04B1">
        <w:t xml:space="preserve"> </w:t>
      </w:r>
      <w:r w:rsidR="006512C9">
        <w:t>(</w:t>
      </w:r>
      <w:r w:rsidR="002658B2">
        <w:t>“</w:t>
      </w:r>
      <w:r w:rsidR="006512C9">
        <w:t>Term Sheet</w:t>
      </w:r>
      <w:r w:rsidR="002658B2">
        <w:t>“</w:t>
      </w:r>
      <w:r w:rsidR="006512C9">
        <w:t>)</w:t>
      </w:r>
      <w:r w:rsidR="00A8088D" w:rsidRPr="00E533BE">
        <w:t xml:space="preserve"> for </w:t>
      </w:r>
      <w:r w:rsidRPr="00E533BE">
        <w:t xml:space="preserve">a </w:t>
      </w:r>
      <w:r w:rsidR="005A26CA" w:rsidRPr="00E533BE">
        <w:t>new long-</w:t>
      </w:r>
      <w:r w:rsidRPr="00E533BE">
        <w:t xml:space="preserve">term lease </w:t>
      </w:r>
      <w:r w:rsidR="00282187" w:rsidRPr="00E533BE">
        <w:t>(the “Lease”)</w:t>
      </w:r>
      <w:r w:rsidR="00350A08" w:rsidRPr="00E533BE">
        <w:t xml:space="preserve">.  </w:t>
      </w:r>
      <w:r w:rsidR="00C80775" w:rsidRPr="00E533BE">
        <w:t xml:space="preserve">The Lease </w:t>
      </w:r>
      <w:r w:rsidR="00AA1DCA" w:rsidRPr="00E533BE">
        <w:t>duration</w:t>
      </w:r>
      <w:r w:rsidR="00C80775" w:rsidRPr="00E533BE">
        <w:t xml:space="preserve"> </w:t>
      </w:r>
      <w:r w:rsidR="00CE13D4">
        <w:t xml:space="preserve">will be </w:t>
      </w:r>
      <w:r w:rsidR="00C80775" w:rsidRPr="00E533BE">
        <w:t>for a</w:t>
      </w:r>
      <w:r w:rsidR="00A2518A" w:rsidRPr="00E533BE">
        <w:t>n</w:t>
      </w:r>
      <w:r w:rsidR="00C80775" w:rsidRPr="00E533BE">
        <w:t xml:space="preserve"> </w:t>
      </w:r>
      <w:r w:rsidR="00A2518A" w:rsidRPr="00E533BE">
        <w:t xml:space="preserve">initial term </w:t>
      </w:r>
      <w:r w:rsidR="00C80775" w:rsidRPr="00E533BE">
        <w:t>of 25 years</w:t>
      </w:r>
      <w:r w:rsidR="00A2518A" w:rsidRPr="00E533BE">
        <w:t>, starting in 2019,</w:t>
      </w:r>
      <w:r w:rsidR="00C80775" w:rsidRPr="00E533BE">
        <w:t xml:space="preserve"> </w:t>
      </w:r>
      <w:r w:rsidR="00DB51C5" w:rsidRPr="00E533BE">
        <w:t xml:space="preserve">and </w:t>
      </w:r>
      <w:r w:rsidR="00AA1DCA" w:rsidRPr="00E533BE">
        <w:t xml:space="preserve">the Lease </w:t>
      </w:r>
      <w:r w:rsidR="00C80775" w:rsidRPr="00E533BE">
        <w:t xml:space="preserve">requires </w:t>
      </w:r>
      <w:r w:rsidR="00DB51C5" w:rsidRPr="00E533BE">
        <w:t xml:space="preserve">significant </w:t>
      </w:r>
      <w:r w:rsidR="0079305A" w:rsidRPr="00E533BE">
        <w:t xml:space="preserve">investment in the </w:t>
      </w:r>
      <w:r w:rsidR="002B7187" w:rsidRPr="00E533BE">
        <w:t xml:space="preserve">publicly owned </w:t>
      </w:r>
      <w:r w:rsidR="003E35B2" w:rsidRPr="00E533BE">
        <w:t xml:space="preserve">Ballpark over </w:t>
      </w:r>
      <w:r w:rsidR="005A2938">
        <w:t xml:space="preserve">the </w:t>
      </w:r>
      <w:r w:rsidR="00E533BE">
        <w:t xml:space="preserve">duration of the </w:t>
      </w:r>
      <w:r w:rsidR="003E35B2" w:rsidRPr="00E533BE">
        <w:t>L</w:t>
      </w:r>
      <w:r w:rsidR="0079305A" w:rsidRPr="00E533BE">
        <w:t xml:space="preserve">ease to assure that it will remain an attractive </w:t>
      </w:r>
      <w:r w:rsidR="00A870DC" w:rsidRPr="00E533BE">
        <w:t xml:space="preserve">and competitive </w:t>
      </w:r>
      <w:r w:rsidR="0079305A" w:rsidRPr="00E533BE">
        <w:t xml:space="preserve">venue for </w:t>
      </w:r>
      <w:r w:rsidR="00C91973" w:rsidRPr="00E533BE">
        <w:t>Major League Baseball</w:t>
      </w:r>
      <w:r w:rsidR="00A8088D" w:rsidRPr="00E533BE">
        <w:t xml:space="preserve"> and for fans</w:t>
      </w:r>
      <w:r w:rsidRPr="00E533BE">
        <w:t>.</w:t>
      </w:r>
    </w:p>
    <w:p w14:paraId="222A816B" w14:textId="77777777" w:rsidR="0079305A" w:rsidRPr="00E533BE" w:rsidRDefault="0079305A" w:rsidP="00CA6858">
      <w:pPr>
        <w:jc w:val="both"/>
      </w:pPr>
    </w:p>
    <w:p w14:paraId="53B3A423" w14:textId="61DB6093" w:rsidR="00A870DC" w:rsidRDefault="000D7AB0" w:rsidP="00CA6858">
      <w:pPr>
        <w:jc w:val="both"/>
      </w:pPr>
      <w:r w:rsidRPr="00E533BE">
        <w:t>T</w:t>
      </w:r>
      <w:r w:rsidR="00A870DC" w:rsidRPr="00E533BE">
        <w:t xml:space="preserve">he Club has </w:t>
      </w:r>
      <w:r w:rsidR="002B7187" w:rsidRPr="00E533BE">
        <w:t xml:space="preserve">confirmed </w:t>
      </w:r>
      <w:r w:rsidR="00A870DC" w:rsidRPr="00E533BE">
        <w:t xml:space="preserve">that </w:t>
      </w:r>
      <w:r w:rsidR="002B7187" w:rsidRPr="00E533BE">
        <w:t>the Club’s</w:t>
      </w:r>
      <w:r w:rsidR="00A870DC" w:rsidRPr="00E533BE">
        <w:t xml:space="preserve"> agreement to a binding </w:t>
      </w:r>
      <w:r w:rsidR="003E35B2" w:rsidRPr="00E533BE">
        <w:t>L</w:t>
      </w:r>
      <w:r w:rsidR="00A870DC" w:rsidRPr="00E533BE">
        <w:t xml:space="preserve">ease consistent </w:t>
      </w:r>
      <w:r w:rsidR="00350A08" w:rsidRPr="00E533BE">
        <w:t>with the Term Sheet is contingent upon the County allocating a portion of available proceeds from its lodging tax authorized pursuant to RC</w:t>
      </w:r>
      <w:r w:rsidR="003E35B2" w:rsidRPr="00E533BE">
        <w:t>W </w:t>
      </w:r>
      <w:r w:rsidR="00350A08" w:rsidRPr="00E533BE">
        <w:t>67.28.180</w:t>
      </w:r>
      <w:r w:rsidR="002B7240">
        <w:t>.</w:t>
      </w:r>
      <w:r w:rsidR="00E3507F">
        <w:t xml:space="preserve"> </w:t>
      </w:r>
    </w:p>
    <w:p w14:paraId="2DACAA62" w14:textId="77777777" w:rsidR="00350A08" w:rsidRDefault="00350A08" w:rsidP="00CA6858">
      <w:pPr>
        <w:jc w:val="both"/>
      </w:pPr>
    </w:p>
    <w:p w14:paraId="54113902" w14:textId="77777777" w:rsidR="00350A08" w:rsidRDefault="00350A08" w:rsidP="00CA6858">
      <w:pPr>
        <w:jc w:val="both"/>
      </w:pPr>
      <w:r>
        <w:t>While the District takes no po</w:t>
      </w:r>
      <w:r w:rsidR="00D36289">
        <w:t>sition</w:t>
      </w:r>
      <w:r>
        <w:t xml:space="preserve"> on </w:t>
      </w:r>
      <w:r w:rsidR="00822A06">
        <w:t xml:space="preserve">an allocation of </w:t>
      </w:r>
      <w:r>
        <w:t>the lodging tax revenue</w:t>
      </w:r>
      <w:r w:rsidR="002B7187">
        <w:t xml:space="preserve"> </w:t>
      </w:r>
      <w:r>
        <w:t xml:space="preserve">out of respect for the County’s </w:t>
      </w:r>
      <w:r w:rsidR="00FD3041">
        <w:t>decision-</w:t>
      </w:r>
      <w:r>
        <w:t xml:space="preserve">making process, the Term Sheet </w:t>
      </w:r>
      <w:r w:rsidR="008A01B6">
        <w:t xml:space="preserve">provides </w:t>
      </w:r>
      <w:r>
        <w:t xml:space="preserve">that </w:t>
      </w:r>
      <w:r w:rsidR="008A01B6">
        <w:t xml:space="preserve">the District </w:t>
      </w:r>
      <w:r>
        <w:t>will accept an allocation of such funds were the County to provide it.</w:t>
      </w:r>
    </w:p>
    <w:p w14:paraId="33C4DF8A" w14:textId="77777777" w:rsidR="002245B0" w:rsidRDefault="002245B0" w:rsidP="00CA6858">
      <w:pPr>
        <w:jc w:val="both"/>
      </w:pPr>
    </w:p>
    <w:p w14:paraId="22C0747F" w14:textId="15E0ACBA" w:rsidR="00FB0DA1" w:rsidRDefault="00FB0DA1" w:rsidP="00CA6858">
      <w:pPr>
        <w:jc w:val="both"/>
      </w:pPr>
      <w:r>
        <w:t xml:space="preserve">The County Council, the County Executive concurring, enacted its Ordinance </w:t>
      </w:r>
      <w:r w:rsidR="00E01E83">
        <w:t xml:space="preserve">2018-0374 </w:t>
      </w:r>
      <w:r>
        <w:t>authorizing the County Executive to sign this Agreement between the County and the District providing for the transfer of such funding to the District and specifying the manner in which such funding must be used by the District.</w:t>
      </w:r>
    </w:p>
    <w:p w14:paraId="4C41EAED" w14:textId="77777777" w:rsidR="009140AB" w:rsidRPr="00C80775" w:rsidRDefault="009140AB" w:rsidP="00C80775">
      <w:pPr>
        <w:autoSpaceDE w:val="0"/>
        <w:autoSpaceDN w:val="0"/>
        <w:adjustRightInd w:val="0"/>
      </w:pPr>
    </w:p>
    <w:p w14:paraId="17DE682E" w14:textId="77777777" w:rsidR="00FB0DA1" w:rsidRDefault="00FB0DA1" w:rsidP="00CA6858">
      <w:pPr>
        <w:jc w:val="both"/>
      </w:pPr>
      <w:bookmarkStart w:id="0" w:name="_GoBack"/>
      <w:bookmarkEnd w:id="0"/>
    </w:p>
    <w:p w14:paraId="4A4F7DA2" w14:textId="51A1EDA7" w:rsidR="002245B0" w:rsidRDefault="002245B0" w:rsidP="00CA6858">
      <w:pPr>
        <w:jc w:val="both"/>
      </w:pPr>
      <w:r>
        <w:t xml:space="preserve">NOW, </w:t>
      </w:r>
      <w:r w:rsidR="00C91973">
        <w:t>THEREFORE</w:t>
      </w:r>
      <w:r>
        <w:t>, in</w:t>
      </w:r>
      <w:r w:rsidR="00C91973">
        <w:t xml:space="preserve"> </w:t>
      </w:r>
      <w:r>
        <w:t xml:space="preserve">consideration of the </w:t>
      </w:r>
      <w:r w:rsidR="00C80775">
        <w:t xml:space="preserve">statements of fact, </w:t>
      </w:r>
      <w:r>
        <w:t>promises, covenants and consideration set forth herein, the County and the District hereby agree, as follows.</w:t>
      </w:r>
    </w:p>
    <w:p w14:paraId="66939048" w14:textId="77777777" w:rsidR="009D5049" w:rsidRDefault="009D5049" w:rsidP="00CA6858"/>
    <w:p w14:paraId="46131198" w14:textId="77777777" w:rsidR="003D5654" w:rsidRPr="00D1473B" w:rsidRDefault="00D1473B" w:rsidP="00A00CAF">
      <w:pPr>
        <w:keepNext/>
        <w:keepLines/>
        <w:jc w:val="center"/>
        <w:rPr>
          <w:b/>
          <w:u w:val="single"/>
        </w:rPr>
      </w:pPr>
      <w:r w:rsidRPr="00D1473B">
        <w:rPr>
          <w:b/>
          <w:u w:val="single"/>
        </w:rPr>
        <w:lastRenderedPageBreak/>
        <w:t>AGREEMENT</w:t>
      </w:r>
    </w:p>
    <w:p w14:paraId="6496BC39" w14:textId="77777777" w:rsidR="003D5654" w:rsidRDefault="003D5654" w:rsidP="00A00CAF">
      <w:pPr>
        <w:keepNext/>
        <w:keepLines/>
      </w:pPr>
    </w:p>
    <w:p w14:paraId="05BFC5E8" w14:textId="77777777" w:rsidR="009D5049" w:rsidRPr="003D5654" w:rsidRDefault="00282187" w:rsidP="00A00CAF">
      <w:pPr>
        <w:pStyle w:val="ListParagraph"/>
        <w:keepNext/>
        <w:keepLines/>
        <w:numPr>
          <w:ilvl w:val="0"/>
          <w:numId w:val="3"/>
        </w:numPr>
        <w:ind w:left="720" w:hanging="720"/>
        <w:rPr>
          <w:b/>
        </w:rPr>
      </w:pPr>
      <w:r w:rsidRPr="003D5654">
        <w:rPr>
          <w:b/>
          <w:u w:val="single"/>
        </w:rPr>
        <w:t>Provision of Funds</w:t>
      </w:r>
      <w:r w:rsidR="00C33741">
        <w:rPr>
          <w:b/>
          <w:u w:val="single"/>
        </w:rPr>
        <w:t xml:space="preserve"> by the County</w:t>
      </w:r>
      <w:r w:rsidR="003D5654" w:rsidRPr="003D5654">
        <w:rPr>
          <w:b/>
        </w:rPr>
        <w:t>.</w:t>
      </w:r>
    </w:p>
    <w:p w14:paraId="2917F7AD" w14:textId="77777777" w:rsidR="009D5049" w:rsidRPr="00C600AC" w:rsidRDefault="009D5049" w:rsidP="00A00CAF">
      <w:pPr>
        <w:keepNext/>
        <w:keepLines/>
      </w:pPr>
    </w:p>
    <w:p w14:paraId="178569A3" w14:textId="4F816EDD" w:rsidR="00C33741" w:rsidRDefault="00912B50" w:rsidP="00A00CAF">
      <w:pPr>
        <w:keepNext/>
        <w:keepLines/>
        <w:jc w:val="both"/>
      </w:pPr>
      <w:r>
        <w:t xml:space="preserve">Pursuant to the terms and conditions </w:t>
      </w:r>
      <w:r w:rsidR="002658B2">
        <w:t xml:space="preserve">set </w:t>
      </w:r>
      <w:r>
        <w:t xml:space="preserve">forth in this Agreement, </w:t>
      </w:r>
      <w:r w:rsidRPr="00E3507F">
        <w:t>i</w:t>
      </w:r>
      <w:r w:rsidR="00476DCA" w:rsidRPr="00E3507F">
        <w:t xml:space="preserve">f the District and the Club have executed </w:t>
      </w:r>
      <w:r w:rsidR="00C46A97" w:rsidRPr="00AA4FB5">
        <w:t xml:space="preserve">both a lease consistent with the Term Sheet and a </w:t>
      </w:r>
      <w:proofErr w:type="spellStart"/>
      <w:r w:rsidR="00C46A97">
        <w:t>nonrelocation</w:t>
      </w:r>
      <w:proofErr w:type="spellEnd"/>
      <w:r w:rsidR="00C46A97" w:rsidRPr="00AA4FB5">
        <w:t xml:space="preserve"> agreement that obligates the Club and any successor-in-interest to retain the </w:t>
      </w:r>
      <w:r w:rsidR="002658B2">
        <w:t>B</w:t>
      </w:r>
      <w:r w:rsidR="00C46A97" w:rsidRPr="00AA4FB5">
        <w:t>allpark as a home venue of</w:t>
      </w:r>
      <w:r w:rsidR="00C46A97">
        <w:t xml:space="preserve"> a</w:t>
      </w:r>
      <w:r w:rsidR="00C46A97" w:rsidRPr="00AA4FB5">
        <w:t xml:space="preserve"> Major League Baseball team for the term of the Lease</w:t>
      </w:r>
      <w:r w:rsidR="00476DCA" w:rsidRPr="00E3507F">
        <w:t>,</w:t>
      </w:r>
      <w:r w:rsidR="00476DCA">
        <w:t xml:space="preserve"> t</w:t>
      </w:r>
      <w:r w:rsidR="009D5049" w:rsidRPr="00282187">
        <w:t xml:space="preserve">he County agrees </w:t>
      </w:r>
      <w:r w:rsidR="00CB554D">
        <w:t xml:space="preserve">that it will </w:t>
      </w:r>
      <w:r w:rsidR="004123E0">
        <w:t xml:space="preserve">annually </w:t>
      </w:r>
      <w:r w:rsidR="00282187">
        <w:t xml:space="preserve">transfer </w:t>
      </w:r>
      <w:r w:rsidR="004123E0">
        <w:t xml:space="preserve">County lodging tax proceeds </w:t>
      </w:r>
      <w:r w:rsidR="00282187">
        <w:t xml:space="preserve">to the District </w:t>
      </w:r>
      <w:r w:rsidR="002658B2">
        <w:t xml:space="preserve">(“Yearly Transfers”) pursuant to the following formula: </w:t>
      </w:r>
      <w:r w:rsidR="001D1F96">
        <w:t xml:space="preserve">forty three and eight tenths of one percent </w:t>
      </w:r>
      <w:r w:rsidR="002658B2">
        <w:t xml:space="preserve">(43.8%) </w:t>
      </w:r>
      <w:r w:rsidR="00CB554D" w:rsidRPr="00CB554D">
        <w:t xml:space="preserve">of </w:t>
      </w:r>
      <w:r w:rsidR="004D480B">
        <w:t xml:space="preserve">the </w:t>
      </w:r>
      <w:r w:rsidR="00471CAB">
        <w:t xml:space="preserve">share of County </w:t>
      </w:r>
      <w:bookmarkStart w:id="1" w:name="_Hlk518547706"/>
      <w:r w:rsidR="00CB554D" w:rsidRPr="00CB554D">
        <w:t>lodging tax</w:t>
      </w:r>
      <w:r w:rsidR="00CB554D">
        <w:t xml:space="preserve"> </w:t>
      </w:r>
      <w:r w:rsidR="00B23939">
        <w:t xml:space="preserve">proceeds </w:t>
      </w:r>
      <w:r w:rsidR="005A26CA">
        <w:t xml:space="preserve">available pursuant to RCW 67.28.180(3)(d)(iii) </w:t>
      </w:r>
      <w:bookmarkEnd w:id="1"/>
      <w:r w:rsidR="002658B2" w:rsidRPr="00BD3C62">
        <w:t>that</w:t>
      </w:r>
      <w:r w:rsidR="002658B2">
        <w:t xml:space="preserve"> is remaining after such share is reduced each year by the amounts provided in Exhibit A (“Annual Reductions”); </w:t>
      </w:r>
      <w:r w:rsidR="001D1F96" w:rsidRPr="00AE055E">
        <w:t>provide</w:t>
      </w:r>
      <w:r w:rsidR="005C4489">
        <w:t>d</w:t>
      </w:r>
      <w:r w:rsidR="001D1F96" w:rsidRPr="00AE055E">
        <w:t xml:space="preserve"> however, no annual transfer may exceed the </w:t>
      </w:r>
      <w:r w:rsidR="002658B2">
        <w:t xml:space="preserve">estimated annual </w:t>
      </w:r>
      <w:r w:rsidR="002658B2" w:rsidRPr="00AE055E">
        <w:t xml:space="preserve"> </w:t>
      </w:r>
      <w:r w:rsidR="001D1F96" w:rsidRPr="00AE055E">
        <w:t xml:space="preserve">amount for that year as set forth in Exhibit </w:t>
      </w:r>
      <w:r w:rsidR="001D1F96">
        <w:t>B (“Estimated Annual Transfers”)</w:t>
      </w:r>
      <w:r w:rsidR="002658B2">
        <w:t>.</w:t>
      </w:r>
      <w:r w:rsidR="001D1F96">
        <w:t xml:space="preserve"> </w:t>
      </w:r>
      <w:r w:rsidR="002658B2">
        <w:t xml:space="preserve"> The estimated annual amounts listed in Exhibit B are based on the August </w:t>
      </w:r>
      <w:r w:rsidR="002658B2" w:rsidRPr="00AE055E">
        <w:t>2018 OEFA</w:t>
      </w:r>
      <w:r w:rsidR="002658B2">
        <w:t xml:space="preserve"> Estimated Annual Lod</w:t>
      </w:r>
      <w:r w:rsidR="0027376E">
        <w:t xml:space="preserve">ging Tax Revenue, set forth in </w:t>
      </w:r>
      <w:r w:rsidR="002658B2">
        <w:t xml:space="preserve">Exhibit C.  If in any year lodging tax revenues are less than the </w:t>
      </w:r>
      <w:r w:rsidR="002658B2" w:rsidRPr="00AE055E">
        <w:t xml:space="preserve">forecasted Total Lodging Tax </w:t>
      </w:r>
      <w:r w:rsidR="002658B2">
        <w:t>Revenues, the District agrees that it is only entitled to and will except the Yearly Transfer for that year.  I</w:t>
      </w:r>
      <w:r w:rsidR="001D1F96" w:rsidRPr="00AE055E">
        <w:t xml:space="preserve">f </w:t>
      </w:r>
      <w:r w:rsidR="002658B2">
        <w:t xml:space="preserve">in any given year </w:t>
      </w:r>
      <w:r w:rsidR="001D1F96" w:rsidRPr="00AE055E">
        <w:t xml:space="preserve">lodging tax revenues exceed the </w:t>
      </w:r>
      <w:r w:rsidR="002658B2">
        <w:t xml:space="preserve">2018 </w:t>
      </w:r>
      <w:r w:rsidR="001D1F96" w:rsidRPr="00AE055E">
        <w:t xml:space="preserve">forecasted Total Lodging Tax </w:t>
      </w:r>
      <w:r w:rsidR="001D1F96">
        <w:t>Revenues</w:t>
      </w:r>
      <w:r w:rsidR="001D1F96" w:rsidRPr="00AE055E">
        <w:t xml:space="preserve">, then the County agrees to </w:t>
      </w:r>
      <w:r w:rsidR="002658B2">
        <w:t xml:space="preserve">also </w:t>
      </w:r>
      <w:r w:rsidR="001D1F96" w:rsidRPr="00AE055E">
        <w:t xml:space="preserve">transfer to the District ten percent of </w:t>
      </w:r>
      <w:r w:rsidR="002658B2">
        <w:t>any</w:t>
      </w:r>
      <w:r w:rsidR="002658B2" w:rsidRPr="00AE055E">
        <w:t xml:space="preserve"> </w:t>
      </w:r>
      <w:r w:rsidR="001D1F96" w:rsidRPr="00AE055E">
        <w:t xml:space="preserve">amount of revenue that exceeds the </w:t>
      </w:r>
      <w:r w:rsidR="002658B2">
        <w:t xml:space="preserve">2018 </w:t>
      </w:r>
      <w:r w:rsidR="001D1F96" w:rsidRPr="00AE055E">
        <w:t>forecasted Total Lodging Tax Revenues for that year</w:t>
      </w:r>
      <w:r w:rsidR="002658B2">
        <w:t xml:space="preserve"> (“Additional Transfers”)</w:t>
      </w:r>
      <w:r w:rsidR="00350A08">
        <w:t xml:space="preserve">.  </w:t>
      </w:r>
      <w:r w:rsidR="002658B2">
        <w:t>Yearly T</w:t>
      </w:r>
      <w:r w:rsidR="007703BD">
        <w:t xml:space="preserve">ransfers shall commence in calendar year 2021 after final payment or defeasance of </w:t>
      </w:r>
      <w:r w:rsidR="005A26CA">
        <w:t xml:space="preserve">the </w:t>
      </w:r>
      <w:r w:rsidR="00476DCA">
        <w:t>CenturyLink Field and Exhibition Center bonds</w:t>
      </w:r>
      <w:r w:rsidR="004123E0">
        <w:t xml:space="preserve"> and continue for the</w:t>
      </w:r>
      <w:r w:rsidR="007556A8">
        <w:t xml:space="preserve"> remainder of the </w:t>
      </w:r>
      <w:r w:rsidR="00DE3E89">
        <w:t>initial term</w:t>
      </w:r>
      <w:r w:rsidR="004123E0">
        <w:t xml:space="preserve"> of the </w:t>
      </w:r>
      <w:r w:rsidR="006E176C">
        <w:t>L</w:t>
      </w:r>
      <w:r w:rsidR="004123E0">
        <w:t>ease</w:t>
      </w:r>
      <w:r w:rsidR="00350A08" w:rsidRPr="00C80775">
        <w:t xml:space="preserve">. </w:t>
      </w:r>
      <w:r w:rsidR="00350A08">
        <w:t xml:space="preserve"> </w:t>
      </w:r>
      <w:r w:rsidR="007703BD">
        <w:t xml:space="preserve">The County will make such </w:t>
      </w:r>
      <w:r w:rsidR="00AD22CD">
        <w:t>Yearly T</w:t>
      </w:r>
      <w:r w:rsidR="007703BD">
        <w:t xml:space="preserve">ransfers on a quarterly basis in arrears, unless the Parties approve by separate </w:t>
      </w:r>
      <w:r w:rsidR="006246B4">
        <w:t>agreement the</w:t>
      </w:r>
      <w:r w:rsidR="007703BD">
        <w:t xml:space="preserve"> transfer of advances of amounts against which subsequent lodging </w:t>
      </w:r>
      <w:r w:rsidR="00243C45">
        <w:t xml:space="preserve">tax </w:t>
      </w:r>
      <w:r w:rsidR="002650D2">
        <w:t>proceeds</w:t>
      </w:r>
      <w:r w:rsidR="00243C45">
        <w:t xml:space="preserve"> will be credited.</w:t>
      </w:r>
      <w:r w:rsidR="00AD22CD">
        <w:t xml:space="preserve">  Additional Transfers, if any, will be paid on the first business day of April in the year following that for which the Additional Transfer is generated.</w:t>
      </w:r>
    </w:p>
    <w:p w14:paraId="7432581F" w14:textId="77777777" w:rsidR="00252DF1" w:rsidRDefault="00252DF1" w:rsidP="00A00CAF">
      <w:pPr>
        <w:keepNext/>
        <w:keepLines/>
        <w:jc w:val="both"/>
      </w:pPr>
    </w:p>
    <w:p w14:paraId="4A6B8928" w14:textId="77777777" w:rsidR="00252DF1" w:rsidRDefault="00252DF1" w:rsidP="00A00CAF">
      <w:pPr>
        <w:keepNext/>
        <w:keepLines/>
        <w:jc w:val="both"/>
      </w:pPr>
      <w:r>
        <w:t xml:space="preserve">By executing this Agreement, the District agrees that the provision of funds contemplated by this Section 1 is acceptable. </w:t>
      </w:r>
    </w:p>
    <w:p w14:paraId="1A79B2F4" w14:textId="77777777" w:rsidR="00C33741" w:rsidRDefault="00C33741" w:rsidP="00CA6858">
      <w:pPr>
        <w:jc w:val="both"/>
      </w:pPr>
    </w:p>
    <w:p w14:paraId="49D2F1F0" w14:textId="7D05EF99" w:rsidR="006A3404" w:rsidRDefault="007703BD" w:rsidP="00CA6858">
      <w:pPr>
        <w:jc w:val="both"/>
      </w:pPr>
      <w:r>
        <w:t xml:space="preserve">The County’s obligation to make such transfers of lodging tax </w:t>
      </w:r>
      <w:r w:rsidR="004D0D0B">
        <w:t>proceeds</w:t>
      </w:r>
      <w:r>
        <w:t xml:space="preserve"> </w:t>
      </w:r>
      <w:r w:rsidR="00282187">
        <w:t xml:space="preserve">shall continue for </w:t>
      </w:r>
      <w:r w:rsidR="007556A8">
        <w:t xml:space="preserve"> twenty-three years</w:t>
      </w:r>
      <w:r w:rsidR="00282187">
        <w:t>; provided</w:t>
      </w:r>
      <w:r w:rsidR="00C33741">
        <w:t xml:space="preserve">, that the County </w:t>
      </w:r>
      <w:r w:rsidR="00543603">
        <w:t>may</w:t>
      </w:r>
      <w:r w:rsidR="00C33741">
        <w:t xml:space="preserve"> cease to make such transfers </w:t>
      </w:r>
      <w:r w:rsidR="00282187">
        <w:t xml:space="preserve">in the event </w:t>
      </w:r>
      <w:r>
        <w:t>that</w:t>
      </w:r>
      <w:r w:rsidR="00543603">
        <w:t>:</w:t>
      </w:r>
      <w:r>
        <w:t xml:space="preserve"> (1) the </w:t>
      </w:r>
      <w:r w:rsidR="00C80775">
        <w:t xml:space="preserve">Ballpark is no longer used as the home venue for </w:t>
      </w:r>
      <w:r>
        <w:t xml:space="preserve">a Major League Baseball team and the </w:t>
      </w:r>
      <w:r w:rsidR="00BD3C62">
        <w:t xml:space="preserve">County </w:t>
      </w:r>
      <w:r w:rsidR="00037B68">
        <w:t>finds</w:t>
      </w:r>
      <w:r w:rsidR="00543603">
        <w:t>, after good faith consultation</w:t>
      </w:r>
      <w:r w:rsidR="00BD3C62">
        <w:t xml:space="preserve"> with the District</w:t>
      </w:r>
      <w:r w:rsidR="00543603">
        <w:t>,</w:t>
      </w:r>
      <w:r>
        <w:t xml:space="preserve"> that continued </w:t>
      </w:r>
      <w:r w:rsidR="008A01B6">
        <w:t xml:space="preserve">investment in the Ballpark is neither </w:t>
      </w:r>
      <w:r>
        <w:t xml:space="preserve">necessary </w:t>
      </w:r>
      <w:r w:rsidR="008A01B6">
        <w:t>n</w:t>
      </w:r>
      <w:r w:rsidR="00543603">
        <w:t xml:space="preserve">or </w:t>
      </w:r>
      <w:r w:rsidR="008A01B6">
        <w:t xml:space="preserve">useful </w:t>
      </w:r>
      <w:r>
        <w:t xml:space="preserve">to attract a new team </w:t>
      </w:r>
      <w:r w:rsidR="00543603">
        <w:t xml:space="preserve">to the </w:t>
      </w:r>
      <w:r w:rsidR="008A01B6">
        <w:t>region</w:t>
      </w:r>
      <w:r w:rsidR="00543603">
        <w:t xml:space="preserve">; </w:t>
      </w:r>
      <w:r>
        <w:t xml:space="preserve">or (2) </w:t>
      </w:r>
      <w:r w:rsidR="00543603">
        <w:t xml:space="preserve">the use of the Ballpark is terminated or interrupted due to a catastrophic event and the </w:t>
      </w:r>
      <w:r w:rsidR="00BD3C62">
        <w:t xml:space="preserve">County </w:t>
      </w:r>
      <w:r w:rsidR="00037B68">
        <w:t>finds</w:t>
      </w:r>
      <w:r w:rsidR="00543603">
        <w:t>, after good faith consultation</w:t>
      </w:r>
      <w:r w:rsidR="00BD3C62">
        <w:t xml:space="preserve"> with the District</w:t>
      </w:r>
      <w:r w:rsidR="00543603">
        <w:t>, that continued transfers are not necessary unless and until plans for its replacement and</w:t>
      </w:r>
      <w:r w:rsidR="0010274E">
        <w:t>/or</w:t>
      </w:r>
      <w:r w:rsidR="00543603">
        <w:t xml:space="preserve"> continued use as a venue for Major League Baseball have been approved by the District</w:t>
      </w:r>
      <w:r w:rsidR="00FB0DA1">
        <w:t xml:space="preserve"> and the County</w:t>
      </w:r>
      <w:r w:rsidR="00350A08">
        <w:t xml:space="preserve">.  </w:t>
      </w:r>
      <w:r w:rsidR="00282187">
        <w:t xml:space="preserve">The District shall provide notice to </w:t>
      </w:r>
      <w:r w:rsidR="00543603">
        <w:t xml:space="preserve">the County </w:t>
      </w:r>
      <w:r w:rsidR="005A26CA">
        <w:t xml:space="preserve">if </w:t>
      </w:r>
      <w:r w:rsidR="00543603">
        <w:t>events have occurred which could give rise to such cessation of transfers</w:t>
      </w:r>
      <w:r w:rsidR="00350A08">
        <w:t>.</w:t>
      </w:r>
    </w:p>
    <w:p w14:paraId="163993F7" w14:textId="77777777" w:rsidR="00614575" w:rsidRDefault="00614575" w:rsidP="00CA6858">
      <w:pPr>
        <w:jc w:val="both"/>
      </w:pPr>
    </w:p>
    <w:p w14:paraId="3C985FFA" w14:textId="5DBD2050" w:rsidR="003D5654" w:rsidRDefault="00393799" w:rsidP="00CA6858">
      <w:pPr>
        <w:jc w:val="both"/>
        <w:rPr>
          <w:color w:val="212121"/>
        </w:rPr>
      </w:pPr>
      <w:r w:rsidRPr="00553F30">
        <w:rPr>
          <w:color w:val="212121"/>
        </w:rPr>
        <w:t>The County’s obligation to make such transfers of lodgin</w:t>
      </w:r>
      <w:r>
        <w:rPr>
          <w:color w:val="212121"/>
        </w:rPr>
        <w:t xml:space="preserve">g tax </w:t>
      </w:r>
      <w:r w:rsidRPr="00553F30">
        <w:rPr>
          <w:color w:val="212121"/>
        </w:rPr>
        <w:t>proceeds is contingent upon the District and the Club executing an agreement, before or at the same time that the Lease is executed, that contains requirements sufficient to prevent labor disputes that would impose costs and burdens upon the County, including but not limited to the likelihood of boycotts or strikes affecting the Ballpark’s operations and visitor spending.</w:t>
      </w:r>
    </w:p>
    <w:p w14:paraId="59430981" w14:textId="77777777" w:rsidR="00393799" w:rsidRPr="003D5654" w:rsidRDefault="00393799" w:rsidP="00CA6858">
      <w:pPr>
        <w:jc w:val="both"/>
        <w:rPr>
          <w:b/>
        </w:rPr>
      </w:pPr>
    </w:p>
    <w:p w14:paraId="3CA6C0DA" w14:textId="77777777" w:rsidR="006A3404" w:rsidRPr="003D5654" w:rsidRDefault="00282187" w:rsidP="00A00CAF">
      <w:pPr>
        <w:pStyle w:val="ListParagraph"/>
        <w:numPr>
          <w:ilvl w:val="0"/>
          <w:numId w:val="3"/>
        </w:numPr>
        <w:ind w:left="720" w:hanging="720"/>
        <w:jc w:val="both"/>
        <w:rPr>
          <w:b/>
        </w:rPr>
      </w:pPr>
      <w:r w:rsidRPr="003D5654">
        <w:rPr>
          <w:b/>
          <w:u w:val="single"/>
        </w:rPr>
        <w:t>Expenditure of Funds</w:t>
      </w:r>
      <w:r w:rsidR="003D5654" w:rsidRPr="003D5654">
        <w:rPr>
          <w:b/>
        </w:rPr>
        <w:t>.</w:t>
      </w:r>
    </w:p>
    <w:p w14:paraId="64414C86" w14:textId="77777777" w:rsidR="006A3404" w:rsidRPr="003D5654" w:rsidRDefault="006A3404" w:rsidP="00A00CAF">
      <w:pPr>
        <w:rPr>
          <w:b/>
        </w:rPr>
      </w:pPr>
    </w:p>
    <w:p w14:paraId="3821AF02" w14:textId="4067A9D6" w:rsidR="009215CD" w:rsidRDefault="00C33741" w:rsidP="00B40C6A">
      <w:pPr>
        <w:autoSpaceDE w:val="0"/>
        <w:autoSpaceDN w:val="0"/>
        <w:adjustRightInd w:val="0"/>
        <w:jc w:val="both"/>
      </w:pPr>
      <w:r>
        <w:t xml:space="preserve">The District shall use, or cause to be used, the funds </w:t>
      </w:r>
      <w:r w:rsidR="00FB0DA1">
        <w:t xml:space="preserve">transferred </w:t>
      </w:r>
      <w:r>
        <w:t>by the County in accordance with Section 1</w:t>
      </w:r>
      <w:r w:rsidR="008A01B6">
        <w:t xml:space="preserve"> </w:t>
      </w:r>
      <w:r>
        <w:t xml:space="preserve">solely to provide a portion of the funding, in addition to </w:t>
      </w:r>
      <w:r w:rsidR="00FB0DA1">
        <w:t xml:space="preserve">the </w:t>
      </w:r>
      <w:r>
        <w:t>other available funds</w:t>
      </w:r>
      <w:r w:rsidR="00EE5636">
        <w:t xml:space="preserve"> identified in the Lease</w:t>
      </w:r>
      <w:r>
        <w:t xml:space="preserve">, for </w:t>
      </w:r>
      <w:r w:rsidR="00A8088D">
        <w:t xml:space="preserve">capital improvements to the </w:t>
      </w:r>
      <w:r w:rsidR="00427240">
        <w:t xml:space="preserve">existing </w:t>
      </w:r>
      <w:r w:rsidR="00A8088D">
        <w:t xml:space="preserve">infrastructure of the Ballpark including </w:t>
      </w:r>
      <w:r>
        <w:t>replacement</w:t>
      </w:r>
      <w:r w:rsidR="00EE5636">
        <w:t>s</w:t>
      </w:r>
      <w:r w:rsidR="00A8088D">
        <w:t xml:space="preserve"> and </w:t>
      </w:r>
      <w:r w:rsidR="00EE5636">
        <w:t xml:space="preserve">major </w:t>
      </w:r>
      <w:r w:rsidR="00A8088D">
        <w:t>repair</w:t>
      </w:r>
      <w:r w:rsidR="00EE5636">
        <w:t>s</w:t>
      </w:r>
      <w:r>
        <w:t xml:space="preserve"> </w:t>
      </w:r>
      <w:r w:rsidR="00822A06">
        <w:t>as determined by the District in a manner consisten</w:t>
      </w:r>
      <w:r w:rsidR="005F1B23">
        <w:t>t</w:t>
      </w:r>
      <w:r w:rsidR="00822A06">
        <w:t xml:space="preserve"> </w:t>
      </w:r>
      <w:r w:rsidR="00A8088D">
        <w:t>with the Lease</w:t>
      </w:r>
      <w:r w:rsidR="009215CD">
        <w:t xml:space="preserve"> and RCW 67.28.180</w:t>
      </w:r>
      <w:r w:rsidR="00350A08">
        <w:t xml:space="preserve">.  </w:t>
      </w:r>
      <w:r>
        <w:t xml:space="preserve">Such </w:t>
      </w:r>
      <w:r w:rsidR="00CE13D4">
        <w:t xml:space="preserve">existing </w:t>
      </w:r>
      <w:r>
        <w:t>infrastructure include</w:t>
      </w:r>
      <w:r w:rsidR="00A8088D">
        <w:t>s</w:t>
      </w:r>
      <w:r>
        <w:t xml:space="preserve"> </w:t>
      </w:r>
      <w:r w:rsidR="00EE5636">
        <w:t xml:space="preserve">basic building systems, such as </w:t>
      </w:r>
      <w:r>
        <w:t xml:space="preserve">plumbing, electrical </w:t>
      </w:r>
      <w:r w:rsidR="005F39C0">
        <w:t xml:space="preserve">and </w:t>
      </w:r>
      <w:r w:rsidR="00EE5636">
        <w:t xml:space="preserve">HVAC, </w:t>
      </w:r>
      <w:r w:rsidR="008A01B6">
        <w:t xml:space="preserve">as well as building </w:t>
      </w:r>
      <w:r w:rsidR="00EE5636">
        <w:t xml:space="preserve">structural elements and essential building components, such as the retractable roof and its support system </w:t>
      </w:r>
      <w:r>
        <w:t xml:space="preserve">and other </w:t>
      </w:r>
      <w:r w:rsidR="00A8088D">
        <w:t>use</w:t>
      </w:r>
      <w:r w:rsidR="008A01B6">
        <w:t>s</w:t>
      </w:r>
      <w:r w:rsidR="00A8088D">
        <w:t xml:space="preserve"> related to the basic functioning of the Ballpark, </w:t>
      </w:r>
      <w:r w:rsidR="00A8088D" w:rsidRPr="00B40C6A">
        <w:t xml:space="preserve">but does </w:t>
      </w:r>
      <w:r w:rsidRPr="00B40C6A">
        <w:t>not include expenditures related to baseball operations</w:t>
      </w:r>
      <w:r w:rsidR="00EE5636" w:rsidRPr="00B40C6A">
        <w:t xml:space="preserve"> or facility upgrades </w:t>
      </w:r>
      <w:r w:rsidR="00822A06" w:rsidRPr="00B40C6A">
        <w:t xml:space="preserve">with </w:t>
      </w:r>
      <w:r w:rsidR="00EE5636" w:rsidRPr="00B40C6A">
        <w:t>direct revenue generation potential</w:t>
      </w:r>
      <w:r w:rsidR="00D36289" w:rsidRPr="00B40C6A">
        <w:t>,</w:t>
      </w:r>
      <w:r w:rsidR="00EE5636" w:rsidRPr="00B40C6A">
        <w:t xml:space="preserve"> such as</w:t>
      </w:r>
      <w:r w:rsidR="00A75406" w:rsidRPr="00B40C6A">
        <w:t xml:space="preserve"> </w:t>
      </w:r>
      <w:r w:rsidR="00EE5636" w:rsidRPr="00B40C6A">
        <w:t>suites</w:t>
      </w:r>
      <w:r w:rsidR="007455FB" w:rsidRPr="00B40C6A">
        <w:t>, restaurants,</w:t>
      </w:r>
      <w:r w:rsidR="00EE5636" w:rsidRPr="00B40C6A">
        <w:t xml:space="preserve"> or so-called Club spaces</w:t>
      </w:r>
      <w:r w:rsidR="00350A08" w:rsidRPr="00B40C6A">
        <w:t>.</w:t>
      </w:r>
      <w:r w:rsidR="006168D8">
        <w:t xml:space="preserve">  </w:t>
      </w:r>
      <w:r w:rsidR="009215CD">
        <w:t xml:space="preserve">Funds transferred by the County under this Agreement shall not be used for operation </w:t>
      </w:r>
      <w:r w:rsidR="009215CD" w:rsidRPr="00037B68">
        <w:t>or</w:t>
      </w:r>
      <w:r w:rsidR="009215CD" w:rsidRPr="006A1449">
        <w:t xml:space="preserve"> </w:t>
      </w:r>
      <w:r w:rsidR="009215CD" w:rsidRPr="00037B68">
        <w:t>maintenance</w:t>
      </w:r>
      <w:r w:rsidR="009215CD">
        <w:t xml:space="preserve"> </w:t>
      </w:r>
      <w:r w:rsidR="00207DAE">
        <w:t xml:space="preserve">of </w:t>
      </w:r>
      <w:r w:rsidR="009215CD">
        <w:t>the Ballpark.</w:t>
      </w:r>
    </w:p>
    <w:p w14:paraId="7F43C301" w14:textId="77777777" w:rsidR="009215CD" w:rsidRDefault="009215CD" w:rsidP="00CA6858">
      <w:pPr>
        <w:jc w:val="both"/>
      </w:pPr>
    </w:p>
    <w:p w14:paraId="659CF10D" w14:textId="1FC76E97" w:rsidR="00A35D27" w:rsidRDefault="00F42CDB" w:rsidP="00CA6858">
      <w:pPr>
        <w:jc w:val="both"/>
      </w:pPr>
      <w:r>
        <w:t xml:space="preserve">The District shall </w:t>
      </w:r>
      <w:r w:rsidR="00EE5636">
        <w:t xml:space="preserve">retain </w:t>
      </w:r>
      <w:r>
        <w:t xml:space="preserve">the </w:t>
      </w:r>
      <w:r w:rsidR="00EE5636">
        <w:t xml:space="preserve">County </w:t>
      </w:r>
      <w:r w:rsidR="008D1C3E">
        <w:t xml:space="preserve">lodging tax proceeds </w:t>
      </w:r>
      <w:r w:rsidR="003D4637">
        <w:t>transferred from</w:t>
      </w:r>
      <w:r>
        <w:t xml:space="preserve"> the County </w:t>
      </w:r>
      <w:r w:rsidR="00E34A80">
        <w:t xml:space="preserve">separate and apart </w:t>
      </w:r>
      <w:r>
        <w:t>from other funds in its possession</w:t>
      </w:r>
      <w:r w:rsidR="00543603">
        <w:t xml:space="preserve"> and</w:t>
      </w:r>
      <w:r w:rsidR="00E34A80">
        <w:t xml:space="preserve"> shall not comingle such </w:t>
      </w:r>
      <w:r w:rsidR="00543603">
        <w:t>amounts</w:t>
      </w:r>
      <w:r w:rsidR="00E34A80">
        <w:t xml:space="preserve"> with other funds of the District</w:t>
      </w:r>
      <w:r w:rsidR="00350A08">
        <w:t xml:space="preserve">.  </w:t>
      </w:r>
      <w:r w:rsidR="003D4637">
        <w:t xml:space="preserve">The amounts received pursuant to this Agreement shall be deposited </w:t>
      </w:r>
      <w:r w:rsidR="00AA3033">
        <w:t xml:space="preserve">in </w:t>
      </w:r>
      <w:r w:rsidR="005A26CA">
        <w:t xml:space="preserve">and accounted for in a separate fund of the District (and not </w:t>
      </w:r>
      <w:r w:rsidR="003D4637">
        <w:t>the Capital Expenditure Fund of the District established under the Lease</w:t>
      </w:r>
      <w:r w:rsidR="005A26CA">
        <w:t>)</w:t>
      </w:r>
      <w:r w:rsidR="008A01B6">
        <w:t>.</w:t>
      </w:r>
      <w:r w:rsidR="003D4637">
        <w:t xml:space="preserve"> </w:t>
      </w:r>
      <w:r w:rsidR="008A01B6">
        <w:t xml:space="preserve"> </w:t>
      </w:r>
      <w:r w:rsidR="00F96BB4">
        <w:t xml:space="preserve">County </w:t>
      </w:r>
      <w:r w:rsidR="008D1C3E">
        <w:t xml:space="preserve">lodging tax proceeds </w:t>
      </w:r>
      <w:r w:rsidR="00F96BB4">
        <w:t xml:space="preserve">must be applied </w:t>
      </w:r>
      <w:r w:rsidR="008A01B6">
        <w:t xml:space="preserve">only </w:t>
      </w:r>
      <w:r w:rsidR="00DE2198">
        <w:t xml:space="preserve">to </w:t>
      </w:r>
      <w:r w:rsidR="000E56CB">
        <w:t xml:space="preserve">eligible </w:t>
      </w:r>
      <w:r w:rsidR="00037B68">
        <w:t xml:space="preserve">capital improvements, including </w:t>
      </w:r>
      <w:r w:rsidR="00F96BB4">
        <w:t>major repairs</w:t>
      </w:r>
      <w:r w:rsidR="008A01B6">
        <w:t xml:space="preserve"> and </w:t>
      </w:r>
      <w:r w:rsidR="00F96BB4">
        <w:t xml:space="preserve">replacements and improvements identified in the </w:t>
      </w:r>
      <w:r w:rsidR="00A35D27">
        <w:t>annual Management Plans (“Plan” or “Plans”)</w:t>
      </w:r>
      <w:r w:rsidR="00F96BB4">
        <w:t xml:space="preserve"> developed by the Club and approved by the District as provided in the Lease.</w:t>
      </w:r>
      <w:r w:rsidR="00A35D27">
        <w:t xml:space="preserve">  Such P</w:t>
      </w:r>
      <w:r w:rsidR="00F96BB4">
        <w:t xml:space="preserve">lans shall specifically identify expenditures for which County </w:t>
      </w:r>
      <w:r w:rsidR="008D1C3E">
        <w:t xml:space="preserve">lodging tax proceeds </w:t>
      </w:r>
      <w:r w:rsidR="00F96BB4">
        <w:t>may be used consistent with the r</w:t>
      </w:r>
      <w:r w:rsidR="00A35D27">
        <w:t>equirements of this Agreement</w:t>
      </w:r>
      <w:r w:rsidR="002202D9">
        <w:t xml:space="preserve"> and </w:t>
      </w:r>
      <w:r w:rsidR="009215CD">
        <w:t>RCW 67.28.180</w:t>
      </w:r>
      <w:r w:rsidR="002202D9">
        <w:t>.</w:t>
      </w:r>
    </w:p>
    <w:p w14:paraId="50D86AF2" w14:textId="77777777" w:rsidR="00A35D27" w:rsidRDefault="00A35D27" w:rsidP="00CA6858">
      <w:pPr>
        <w:jc w:val="both"/>
      </w:pPr>
    </w:p>
    <w:p w14:paraId="198B9CFC" w14:textId="77777777" w:rsidR="00C83B1B" w:rsidRDefault="00A35D27" w:rsidP="00CA6858">
      <w:pPr>
        <w:jc w:val="both"/>
      </w:pPr>
      <w:r>
        <w:t xml:space="preserve">Annually and prior to allocating County </w:t>
      </w:r>
      <w:r w:rsidR="008D1C3E">
        <w:t xml:space="preserve">lodging tax proceeds </w:t>
      </w:r>
      <w:r>
        <w:t>for any Ballpark improvements, t</w:t>
      </w:r>
      <w:r w:rsidR="00E34A80">
        <w:t>he District</w:t>
      </w:r>
      <w:r w:rsidR="00F42CDB">
        <w:t xml:space="preserve"> shall </w:t>
      </w:r>
      <w:r>
        <w:t xml:space="preserve">inform </w:t>
      </w:r>
      <w:r w:rsidR="00F42CDB">
        <w:t xml:space="preserve">the County </w:t>
      </w:r>
      <w:r w:rsidR="00E24CE7">
        <w:t xml:space="preserve">of any proposed </w:t>
      </w:r>
      <w:r w:rsidR="005F39C0">
        <w:t xml:space="preserve">improvements </w:t>
      </w:r>
      <w:r w:rsidR="000E56CB">
        <w:t xml:space="preserve">in the current Plan </w:t>
      </w:r>
      <w:r w:rsidR="005F39C0">
        <w:t xml:space="preserve">for </w:t>
      </w:r>
      <w:r w:rsidR="00C83B1B">
        <w:t xml:space="preserve">which it has determined </w:t>
      </w:r>
      <w:r w:rsidR="005F39C0">
        <w:t xml:space="preserve">it may </w:t>
      </w:r>
      <w:r w:rsidR="00C83B1B">
        <w:t>apply</w:t>
      </w:r>
      <w:r w:rsidR="001645F1">
        <w:t xml:space="preserve"> County </w:t>
      </w:r>
      <w:r w:rsidR="008D1C3E">
        <w:t xml:space="preserve">lodging tax proceeds </w:t>
      </w:r>
      <w:r w:rsidR="00D36289">
        <w:t>consistent with the requirements of this Agreement</w:t>
      </w:r>
      <w:r w:rsidR="002D2B42">
        <w:t xml:space="preserve">.  </w:t>
      </w:r>
      <w:r w:rsidR="00476DCA">
        <w:t xml:space="preserve">The District also shall annually report to the County on its application of County </w:t>
      </w:r>
      <w:r w:rsidR="008D1C3E">
        <w:t xml:space="preserve">lodging tax proceeds </w:t>
      </w:r>
      <w:r w:rsidR="00476DCA">
        <w:t xml:space="preserve">as reflected in the Plans and as previously reported to the County.  Such reports shall include information regarding the status of the work funded in whole or in part by County </w:t>
      </w:r>
      <w:r w:rsidR="008D1C3E">
        <w:t>lodging tax proceeds</w:t>
      </w:r>
      <w:r w:rsidR="00476DCA">
        <w:t>.</w:t>
      </w:r>
    </w:p>
    <w:p w14:paraId="1C122593" w14:textId="77777777" w:rsidR="00C83B1B" w:rsidRDefault="00C83B1B" w:rsidP="00CA6858">
      <w:pPr>
        <w:jc w:val="both"/>
      </w:pPr>
    </w:p>
    <w:p w14:paraId="7F382A73" w14:textId="77777777" w:rsidR="00153058" w:rsidRPr="003D5654" w:rsidRDefault="00153058" w:rsidP="00CA6858">
      <w:pPr>
        <w:pStyle w:val="ListParagraph"/>
        <w:keepNext/>
        <w:keepLines/>
        <w:numPr>
          <w:ilvl w:val="0"/>
          <w:numId w:val="3"/>
        </w:numPr>
        <w:ind w:left="720" w:hanging="720"/>
        <w:jc w:val="both"/>
        <w:rPr>
          <w:b/>
          <w:u w:val="single"/>
        </w:rPr>
      </w:pPr>
      <w:r w:rsidRPr="003D5654">
        <w:rPr>
          <w:b/>
          <w:u w:val="single"/>
        </w:rPr>
        <w:t>Amendments</w:t>
      </w:r>
      <w:r w:rsidR="00D1473B">
        <w:rPr>
          <w:b/>
        </w:rPr>
        <w:t>.</w:t>
      </w:r>
    </w:p>
    <w:p w14:paraId="28C18ADE" w14:textId="77777777" w:rsidR="00153058" w:rsidRDefault="00153058" w:rsidP="00CA6858">
      <w:pPr>
        <w:keepNext/>
        <w:keepLines/>
        <w:jc w:val="both"/>
      </w:pPr>
    </w:p>
    <w:p w14:paraId="23F941B0" w14:textId="1806AC1D" w:rsidR="00153058" w:rsidRPr="00A2518A" w:rsidRDefault="00153058" w:rsidP="004C48FF">
      <w:pPr>
        <w:keepNext/>
        <w:keepLines/>
        <w:tabs>
          <w:tab w:val="left" w:pos="8010"/>
        </w:tabs>
        <w:jc w:val="both"/>
      </w:pPr>
      <w:r>
        <w:t>The Agreement may be amended at any time</w:t>
      </w:r>
      <w:r w:rsidR="00471B70">
        <w:t>.  To be effective, the amendment must be in writing and signed by the District's Board Chair and the King County Executive or their designees</w:t>
      </w:r>
      <w:r w:rsidR="004C48FF">
        <w:t>; p</w:t>
      </w:r>
      <w:r w:rsidR="00471B70">
        <w:t xml:space="preserve">rovided however, </w:t>
      </w:r>
      <w:r w:rsidR="000A640A">
        <w:t xml:space="preserve">before the Executive may sign any </w:t>
      </w:r>
      <w:r w:rsidR="00471B70">
        <w:t xml:space="preserve">amendment purporting to either </w:t>
      </w:r>
      <w:r w:rsidR="00201344">
        <w:t xml:space="preserve">change </w:t>
      </w:r>
      <w:r w:rsidR="00471B70">
        <w:t>the duration of this Agreement or</w:t>
      </w:r>
      <w:r w:rsidR="00201344">
        <w:t xml:space="preserve"> change the amount of lodging tax revenues to be transferred to the District, </w:t>
      </w:r>
      <w:r w:rsidR="000A640A">
        <w:t xml:space="preserve">the proposed amendment </w:t>
      </w:r>
      <w:r w:rsidR="00201344">
        <w:t>shall</w:t>
      </w:r>
      <w:r w:rsidR="000A640A">
        <w:t xml:space="preserve"> </w:t>
      </w:r>
      <w:r w:rsidR="00201344">
        <w:t>first be transmitted to the King County Council</w:t>
      </w:r>
      <w:r w:rsidR="000A640A">
        <w:t xml:space="preserve">.  The Council shall have thirty days, from the date the Executive transmits the amendment to the clerk of the Council ("review period"), to review the proposed amendment; and unless </w:t>
      </w:r>
      <w:r w:rsidR="00201344">
        <w:t xml:space="preserve">the Council passes </w:t>
      </w:r>
      <w:r w:rsidR="000A640A">
        <w:t xml:space="preserve">a motion objecting to the amendment </w:t>
      </w:r>
      <w:r w:rsidR="00201344">
        <w:t xml:space="preserve">within </w:t>
      </w:r>
      <w:r w:rsidR="000A640A">
        <w:t>that review period, at the conclusion of the review period, the Executive may sign the amendment</w:t>
      </w:r>
      <w:r w:rsidR="00BC56EB">
        <w:t>.</w:t>
      </w:r>
      <w:r>
        <w:t xml:space="preserve"> </w:t>
      </w:r>
    </w:p>
    <w:p w14:paraId="2C59CB04" w14:textId="77777777" w:rsidR="00153058" w:rsidRDefault="00153058" w:rsidP="00CA6858">
      <w:pPr>
        <w:jc w:val="both"/>
      </w:pPr>
    </w:p>
    <w:p w14:paraId="0BCE1646" w14:textId="77777777" w:rsidR="00153058" w:rsidRPr="003D5654" w:rsidRDefault="00153058" w:rsidP="00CA6858">
      <w:pPr>
        <w:pStyle w:val="ListParagraph"/>
        <w:keepNext/>
        <w:keepLines/>
        <w:numPr>
          <w:ilvl w:val="0"/>
          <w:numId w:val="3"/>
        </w:numPr>
        <w:ind w:left="720" w:hanging="720"/>
        <w:jc w:val="both"/>
        <w:rPr>
          <w:b/>
          <w:u w:val="single"/>
        </w:rPr>
      </w:pPr>
      <w:r w:rsidRPr="003D5654">
        <w:rPr>
          <w:b/>
          <w:u w:val="single"/>
        </w:rPr>
        <w:lastRenderedPageBreak/>
        <w:t>Entire Agreement</w:t>
      </w:r>
      <w:r w:rsidR="00D1473B">
        <w:rPr>
          <w:b/>
        </w:rPr>
        <w:t>.</w:t>
      </w:r>
    </w:p>
    <w:p w14:paraId="7C392948" w14:textId="77777777" w:rsidR="00153058" w:rsidRPr="002245B0" w:rsidRDefault="00153058" w:rsidP="00CA6858">
      <w:pPr>
        <w:keepNext/>
        <w:keepLines/>
        <w:jc w:val="both"/>
        <w:rPr>
          <w:b/>
          <w:u w:val="single"/>
        </w:rPr>
      </w:pPr>
    </w:p>
    <w:p w14:paraId="37F1B5A7" w14:textId="77777777" w:rsidR="00153058" w:rsidRDefault="00153058" w:rsidP="00CA6858">
      <w:pPr>
        <w:keepNext/>
        <w:keepLines/>
        <w:jc w:val="both"/>
      </w:pPr>
      <w:r>
        <w:t xml:space="preserve">This Agreement is the complete expression of the terms hereto and any oral </w:t>
      </w:r>
      <w:r w:rsidR="00BE6F30">
        <w:t>representations</w:t>
      </w:r>
      <w:r>
        <w:t xml:space="preserve"> or understandings not incorporated here are excluded.</w:t>
      </w:r>
    </w:p>
    <w:p w14:paraId="4ED2A34E" w14:textId="77777777" w:rsidR="00153058" w:rsidRDefault="00153058" w:rsidP="00CA6858">
      <w:pPr>
        <w:jc w:val="both"/>
      </w:pPr>
    </w:p>
    <w:p w14:paraId="01CFC6CC" w14:textId="77777777" w:rsidR="00153058" w:rsidRPr="003D5654" w:rsidRDefault="00153058" w:rsidP="00CA6858">
      <w:pPr>
        <w:pStyle w:val="ListParagraph"/>
        <w:numPr>
          <w:ilvl w:val="0"/>
          <w:numId w:val="3"/>
        </w:numPr>
        <w:ind w:left="720" w:hanging="720"/>
        <w:jc w:val="both"/>
        <w:rPr>
          <w:b/>
          <w:u w:val="single"/>
        </w:rPr>
      </w:pPr>
      <w:r w:rsidRPr="003D5654">
        <w:rPr>
          <w:b/>
          <w:u w:val="single"/>
        </w:rPr>
        <w:t>Administration</w:t>
      </w:r>
      <w:r w:rsidR="00D1473B">
        <w:rPr>
          <w:b/>
        </w:rPr>
        <w:t>.</w:t>
      </w:r>
    </w:p>
    <w:p w14:paraId="1B0A4353" w14:textId="77777777" w:rsidR="00153058" w:rsidRDefault="00153058" w:rsidP="00CA6858">
      <w:pPr>
        <w:jc w:val="both"/>
      </w:pPr>
    </w:p>
    <w:p w14:paraId="73C57801" w14:textId="7B0B8348" w:rsidR="00E34A80" w:rsidRDefault="00153058" w:rsidP="00CA6858">
      <w:pPr>
        <w:jc w:val="both"/>
      </w:pPr>
      <w:r>
        <w:t>All task</w:t>
      </w:r>
      <w:r w:rsidR="002245B0">
        <w:t>s</w:t>
      </w:r>
      <w:r>
        <w:t xml:space="preserve"> and services undertaken pursuant to this Agreement shall be </w:t>
      </w:r>
      <w:r w:rsidR="00AE0C0C">
        <w:t>administered</w:t>
      </w:r>
      <w:r>
        <w:t xml:space="preserve"> on behalf</w:t>
      </w:r>
      <w:r w:rsidR="003D5654">
        <w:t xml:space="preserve"> of the County by </w:t>
      </w:r>
      <w:r w:rsidR="00FE1EB3">
        <w:t>its Budget Director</w:t>
      </w:r>
      <w:r>
        <w:t xml:space="preserve">, who will represent the County in administering tasks covered by the Agreement, and on behalf of the District by the District Executive Director who will represent the District in administering </w:t>
      </w:r>
      <w:r w:rsidR="00BE6F30">
        <w:t>tasks</w:t>
      </w:r>
      <w:r>
        <w:t xml:space="preserve"> c</w:t>
      </w:r>
      <w:r w:rsidR="00243C45">
        <w:t>overed by the Agreement.</w:t>
      </w:r>
    </w:p>
    <w:p w14:paraId="7999BFB0" w14:textId="77777777" w:rsidR="00E34A80" w:rsidRDefault="00E34A80" w:rsidP="00CA6858">
      <w:pPr>
        <w:jc w:val="both"/>
      </w:pPr>
    </w:p>
    <w:p w14:paraId="1A5BB08F" w14:textId="77777777" w:rsidR="00BE6F30" w:rsidRDefault="00BE6F30" w:rsidP="00CA6858">
      <w:pPr>
        <w:jc w:val="both"/>
      </w:pPr>
      <w:r>
        <w:t xml:space="preserve">Any problem </w:t>
      </w:r>
      <w:r w:rsidR="00E34A80">
        <w:t>that</w:t>
      </w:r>
      <w:r>
        <w:t xml:space="preserve"> cannot be resolved by the </w:t>
      </w:r>
      <w:r w:rsidR="00E34A80">
        <w:t xml:space="preserve">County’s </w:t>
      </w:r>
      <w:r w:rsidR="00FE1EB3">
        <w:t xml:space="preserve">Budget Director </w:t>
      </w:r>
      <w:r w:rsidR="00E34A80">
        <w:t xml:space="preserve">and the District’s </w:t>
      </w:r>
      <w:r w:rsidR="0010274E">
        <w:t>Executive</w:t>
      </w:r>
      <w:r w:rsidR="00E34A80">
        <w:t xml:space="preserve"> Director</w:t>
      </w:r>
      <w:r>
        <w:t xml:space="preserve"> shall be referred to the Chair of the District Board and the County Executive, who may resolve the issue with or without using the dispute re</w:t>
      </w:r>
      <w:r w:rsidR="00C91973">
        <w:t xml:space="preserve">solution provisions of Section </w:t>
      </w:r>
      <w:r w:rsidR="00D4761A">
        <w:t>7</w:t>
      </w:r>
      <w:r>
        <w:t xml:space="preserve"> of this Agreement.</w:t>
      </w:r>
    </w:p>
    <w:p w14:paraId="4A912DE6" w14:textId="77777777" w:rsidR="00BE6F30" w:rsidRPr="003D5654" w:rsidRDefault="00BE6F30" w:rsidP="00CA6858">
      <w:pPr>
        <w:jc w:val="both"/>
        <w:rPr>
          <w:b/>
        </w:rPr>
      </w:pPr>
    </w:p>
    <w:p w14:paraId="3E9AA320" w14:textId="77777777" w:rsidR="00BE6F30" w:rsidRPr="003D5654" w:rsidRDefault="002245B0" w:rsidP="00CA6858">
      <w:pPr>
        <w:pStyle w:val="ListParagraph"/>
        <w:keepNext/>
        <w:keepLines/>
        <w:numPr>
          <w:ilvl w:val="0"/>
          <w:numId w:val="3"/>
        </w:numPr>
        <w:ind w:left="720" w:hanging="720"/>
        <w:jc w:val="both"/>
        <w:rPr>
          <w:b/>
          <w:u w:val="single"/>
        </w:rPr>
      </w:pPr>
      <w:r w:rsidRPr="003D5654">
        <w:rPr>
          <w:b/>
          <w:u w:val="single"/>
        </w:rPr>
        <w:t>Establishment</w:t>
      </w:r>
      <w:r w:rsidR="00BE6F30" w:rsidRPr="003D5654">
        <w:rPr>
          <w:b/>
          <w:u w:val="single"/>
        </w:rPr>
        <w:t xml:space="preserve"> and </w:t>
      </w:r>
      <w:r w:rsidRPr="003D5654">
        <w:rPr>
          <w:b/>
          <w:u w:val="single"/>
        </w:rPr>
        <w:t>Maintenance</w:t>
      </w:r>
      <w:r w:rsidR="00BE6F30" w:rsidRPr="003D5654">
        <w:rPr>
          <w:b/>
          <w:u w:val="single"/>
        </w:rPr>
        <w:t xml:space="preserve"> of Records</w:t>
      </w:r>
      <w:r w:rsidR="00D1473B">
        <w:rPr>
          <w:b/>
        </w:rPr>
        <w:t>.</w:t>
      </w:r>
    </w:p>
    <w:p w14:paraId="4D70E2E8" w14:textId="77777777" w:rsidR="002245B0" w:rsidRDefault="002245B0" w:rsidP="00CA6858">
      <w:pPr>
        <w:keepNext/>
        <w:keepLines/>
        <w:jc w:val="both"/>
      </w:pPr>
    </w:p>
    <w:p w14:paraId="7EBDC7C7" w14:textId="77777777" w:rsidR="00BE6F30" w:rsidRDefault="00BE6F30" w:rsidP="00CA6858">
      <w:pPr>
        <w:keepNext/>
        <w:keepLines/>
        <w:jc w:val="both"/>
      </w:pPr>
      <w:r>
        <w:t xml:space="preserve">Each </w:t>
      </w:r>
      <w:r w:rsidR="00D1473B">
        <w:t>P</w:t>
      </w:r>
      <w:r>
        <w:t>arty shall maintain record</w:t>
      </w:r>
      <w:r w:rsidR="002245B0">
        <w:t>s</w:t>
      </w:r>
      <w:r>
        <w:t xml:space="preserve"> which accurately reflect all actions taken pursuant to this Agreement.</w:t>
      </w:r>
    </w:p>
    <w:p w14:paraId="51A613E7" w14:textId="77777777" w:rsidR="00BE6F30" w:rsidRDefault="00BE6F30" w:rsidP="00CA6858">
      <w:pPr>
        <w:jc w:val="both"/>
      </w:pPr>
    </w:p>
    <w:p w14:paraId="6B56736F" w14:textId="77777777" w:rsidR="00BE6F30" w:rsidRPr="003D5654" w:rsidRDefault="00BE6F30" w:rsidP="00CA6858">
      <w:pPr>
        <w:pStyle w:val="ListParagraph"/>
        <w:numPr>
          <w:ilvl w:val="0"/>
          <w:numId w:val="3"/>
        </w:numPr>
        <w:ind w:left="720" w:hanging="720"/>
        <w:jc w:val="both"/>
        <w:rPr>
          <w:b/>
          <w:u w:val="single"/>
        </w:rPr>
      </w:pPr>
      <w:r w:rsidRPr="003D5654">
        <w:rPr>
          <w:b/>
          <w:u w:val="single"/>
        </w:rPr>
        <w:t>Dispute Resolution</w:t>
      </w:r>
      <w:r w:rsidR="00D1473B">
        <w:rPr>
          <w:b/>
        </w:rPr>
        <w:t>.</w:t>
      </w:r>
    </w:p>
    <w:p w14:paraId="6E976674" w14:textId="77777777" w:rsidR="002245B0" w:rsidRDefault="002245B0" w:rsidP="00CA6858">
      <w:pPr>
        <w:jc w:val="both"/>
      </w:pPr>
    </w:p>
    <w:p w14:paraId="4142572B" w14:textId="6299A84E" w:rsidR="00BE6F30" w:rsidRDefault="00BE6F30" w:rsidP="00CA6858">
      <w:pPr>
        <w:jc w:val="both"/>
      </w:pPr>
      <w:r>
        <w:t>The</w:t>
      </w:r>
      <w:r w:rsidR="00B40C6A">
        <w:t xml:space="preserve"> Parties </w:t>
      </w:r>
      <w:r>
        <w:t>shall use good faith efforts to resolve all claims, disputes and other matters in question between the Parties arising out of or relating to this Agreement, through nonbinding arbitration or mediation</w:t>
      </w:r>
      <w:r w:rsidR="00350A08">
        <w:t xml:space="preserve">.  </w:t>
      </w:r>
      <w:r>
        <w:t xml:space="preserve">If the Parties cannot resolve their dispute </w:t>
      </w:r>
      <w:r w:rsidR="002245B0">
        <w:t>pursuant</w:t>
      </w:r>
      <w:r>
        <w:t xml:space="preserve"> to nonbinding arbitration or mediation as </w:t>
      </w:r>
      <w:r w:rsidR="00C91973">
        <w:t>aforementioned</w:t>
      </w:r>
      <w:r>
        <w:t>, jurisdiction and venue for resolving any dispute arising out of or in in connection with this Agreement shall be in the Superior Court fo</w:t>
      </w:r>
      <w:r w:rsidR="002245B0">
        <w:t xml:space="preserve">r </w:t>
      </w:r>
      <w:r>
        <w:t>the S</w:t>
      </w:r>
      <w:r w:rsidR="00E34A80">
        <w:t>t</w:t>
      </w:r>
      <w:r>
        <w:t xml:space="preserve">ate of </w:t>
      </w:r>
      <w:r w:rsidR="002245B0">
        <w:t>Washington</w:t>
      </w:r>
      <w:r>
        <w:t xml:space="preserve"> in King County.</w:t>
      </w:r>
    </w:p>
    <w:p w14:paraId="2916DD2C" w14:textId="77777777" w:rsidR="00BE6F30" w:rsidRDefault="00BE6F30" w:rsidP="00CA6858">
      <w:pPr>
        <w:jc w:val="both"/>
      </w:pPr>
    </w:p>
    <w:p w14:paraId="6D2F9E93" w14:textId="77777777" w:rsidR="00BE6F30" w:rsidRPr="003D5654" w:rsidRDefault="00BE6F30" w:rsidP="00CA6858">
      <w:pPr>
        <w:pStyle w:val="ListParagraph"/>
        <w:keepNext/>
        <w:keepLines/>
        <w:numPr>
          <w:ilvl w:val="0"/>
          <w:numId w:val="3"/>
        </w:numPr>
        <w:ind w:left="720" w:hanging="720"/>
        <w:jc w:val="both"/>
        <w:rPr>
          <w:b/>
          <w:u w:val="single"/>
        </w:rPr>
      </w:pPr>
      <w:r w:rsidRPr="003D5654">
        <w:rPr>
          <w:b/>
          <w:u w:val="single"/>
        </w:rPr>
        <w:t>Assignment</w:t>
      </w:r>
      <w:r w:rsidR="00D1473B">
        <w:rPr>
          <w:b/>
        </w:rPr>
        <w:t>.</w:t>
      </w:r>
    </w:p>
    <w:p w14:paraId="56E35314" w14:textId="77777777" w:rsidR="002245B0" w:rsidRDefault="002245B0" w:rsidP="00CA6858">
      <w:pPr>
        <w:keepNext/>
        <w:keepLines/>
        <w:jc w:val="both"/>
      </w:pPr>
    </w:p>
    <w:p w14:paraId="69F712D6" w14:textId="77777777" w:rsidR="00BE6F30" w:rsidRDefault="00BE6F30" w:rsidP="00CA6858">
      <w:pPr>
        <w:keepNext/>
        <w:keepLines/>
        <w:jc w:val="both"/>
      </w:pPr>
      <w:r>
        <w:t>Nei</w:t>
      </w:r>
      <w:r w:rsidR="00D1473B">
        <w:t>ther P</w:t>
      </w:r>
      <w:r>
        <w:t>arty shall assign this Agreement without the written consent of the other</w:t>
      </w:r>
      <w:r w:rsidR="00350A08">
        <w:t xml:space="preserve">.  </w:t>
      </w:r>
      <w:r>
        <w:t xml:space="preserve">This Agreement shall </w:t>
      </w:r>
      <w:r w:rsidR="009215CD">
        <w:t xml:space="preserve">inure </w:t>
      </w:r>
      <w:r>
        <w:t>to the benefit of and be binding upon the Parties hereto and their successors and permitted assigns.</w:t>
      </w:r>
    </w:p>
    <w:p w14:paraId="469A7D26" w14:textId="77777777" w:rsidR="00BE6F30" w:rsidRDefault="00BE6F30" w:rsidP="00CA6858">
      <w:pPr>
        <w:jc w:val="both"/>
      </w:pPr>
    </w:p>
    <w:p w14:paraId="2FBFF9BD" w14:textId="77777777" w:rsidR="00BE6F30" w:rsidRPr="003D5654" w:rsidRDefault="00D1473B" w:rsidP="00CA6858">
      <w:pPr>
        <w:pStyle w:val="ListParagraph"/>
        <w:numPr>
          <w:ilvl w:val="0"/>
          <w:numId w:val="3"/>
        </w:numPr>
        <w:ind w:left="720" w:hanging="720"/>
        <w:jc w:val="both"/>
        <w:rPr>
          <w:b/>
          <w:u w:val="single"/>
        </w:rPr>
      </w:pPr>
      <w:r>
        <w:rPr>
          <w:b/>
          <w:u w:val="single"/>
        </w:rPr>
        <w:t>Governing L</w:t>
      </w:r>
      <w:r w:rsidR="00BE6F30" w:rsidRPr="003D5654">
        <w:rPr>
          <w:b/>
          <w:u w:val="single"/>
        </w:rPr>
        <w:t>aw</w:t>
      </w:r>
      <w:r>
        <w:rPr>
          <w:b/>
        </w:rPr>
        <w:t>.</w:t>
      </w:r>
    </w:p>
    <w:p w14:paraId="72DCA6D1" w14:textId="77777777" w:rsidR="00D1473B" w:rsidRDefault="00D1473B" w:rsidP="00CA6858">
      <w:pPr>
        <w:jc w:val="both"/>
      </w:pPr>
    </w:p>
    <w:p w14:paraId="15F893FE" w14:textId="59BF9FC9" w:rsidR="00BE6F30" w:rsidRDefault="00BE6F30" w:rsidP="00CA6858">
      <w:pPr>
        <w:jc w:val="both"/>
      </w:pPr>
      <w:r>
        <w:t xml:space="preserve">This Agreement shall be governed </w:t>
      </w:r>
      <w:r w:rsidR="009140AB">
        <w:t xml:space="preserve">and construed in accordance with </w:t>
      </w:r>
      <w:r>
        <w:t>the laws of the State of Washington</w:t>
      </w:r>
      <w:r w:rsidR="00DE2198" w:rsidRPr="009140AB">
        <w:t xml:space="preserve">, without </w:t>
      </w:r>
      <w:r w:rsidR="009140AB" w:rsidRPr="00AD22CD">
        <w:t>giving effect to any choice of law or conflict of law provision or rule (whether of the State of Washington or any other jurisdictions) that would cause the application of the laws of any jurisdictions other than the State of Washington.</w:t>
      </w:r>
    </w:p>
    <w:p w14:paraId="7C5238AF" w14:textId="77777777" w:rsidR="00BE6F30" w:rsidRDefault="00BE6F30" w:rsidP="00CA6858">
      <w:pPr>
        <w:jc w:val="both"/>
      </w:pPr>
    </w:p>
    <w:p w14:paraId="7955815D" w14:textId="77777777" w:rsidR="00BE6F30" w:rsidRPr="00D1473B" w:rsidRDefault="002245B0" w:rsidP="00CA6858">
      <w:pPr>
        <w:pStyle w:val="ListParagraph"/>
        <w:keepNext/>
        <w:keepLines/>
        <w:numPr>
          <w:ilvl w:val="0"/>
          <w:numId w:val="3"/>
        </w:numPr>
        <w:ind w:left="720" w:hanging="720"/>
        <w:jc w:val="both"/>
        <w:rPr>
          <w:b/>
          <w:u w:val="single"/>
        </w:rPr>
      </w:pPr>
      <w:r w:rsidRPr="00D1473B">
        <w:rPr>
          <w:b/>
          <w:u w:val="single"/>
        </w:rPr>
        <w:lastRenderedPageBreak/>
        <w:t>Severability</w:t>
      </w:r>
      <w:r w:rsidR="00D1473B">
        <w:rPr>
          <w:b/>
        </w:rPr>
        <w:t>.</w:t>
      </w:r>
    </w:p>
    <w:p w14:paraId="6050CD49" w14:textId="77777777" w:rsidR="00D1473B" w:rsidRDefault="00D1473B" w:rsidP="00CA6858">
      <w:pPr>
        <w:keepNext/>
        <w:keepLines/>
        <w:jc w:val="both"/>
      </w:pPr>
    </w:p>
    <w:p w14:paraId="16E05724" w14:textId="77777777" w:rsidR="00BE6F30" w:rsidRDefault="00BE6F30" w:rsidP="00CA6858">
      <w:pPr>
        <w:keepNext/>
        <w:keepLines/>
        <w:jc w:val="both"/>
      </w:pPr>
      <w:r>
        <w:t xml:space="preserve">If any provision of this Agreement is held by a court of </w:t>
      </w:r>
      <w:r w:rsidR="002245B0">
        <w:t>competent</w:t>
      </w:r>
      <w:r>
        <w:t xml:space="preserve"> jurisdiction to be unenforceable, the remaining terms and </w:t>
      </w:r>
      <w:r w:rsidR="002245B0">
        <w:t>provision</w:t>
      </w:r>
      <w:r w:rsidR="00201344">
        <w:t>s</w:t>
      </w:r>
      <w:r>
        <w:t xml:space="preserve"> unaffected thereby shall remain in full force and effect.</w:t>
      </w:r>
    </w:p>
    <w:p w14:paraId="377BCFF4" w14:textId="77777777" w:rsidR="00BE6F30" w:rsidRDefault="00BE6F30" w:rsidP="00CA6858">
      <w:pPr>
        <w:jc w:val="both"/>
      </w:pPr>
    </w:p>
    <w:p w14:paraId="23E58F3F" w14:textId="77777777" w:rsidR="00BE6F30" w:rsidRPr="00D1473B" w:rsidRDefault="00BE6F30" w:rsidP="00CA6858">
      <w:pPr>
        <w:pStyle w:val="ListParagraph"/>
        <w:numPr>
          <w:ilvl w:val="0"/>
          <w:numId w:val="3"/>
        </w:numPr>
        <w:ind w:left="720" w:hanging="720"/>
        <w:jc w:val="both"/>
        <w:rPr>
          <w:b/>
          <w:u w:val="single"/>
        </w:rPr>
      </w:pPr>
      <w:r w:rsidRPr="00D1473B">
        <w:rPr>
          <w:b/>
          <w:u w:val="single"/>
        </w:rPr>
        <w:t>Third Part</w:t>
      </w:r>
      <w:r w:rsidR="002245B0" w:rsidRPr="00D1473B">
        <w:rPr>
          <w:b/>
          <w:u w:val="single"/>
        </w:rPr>
        <w:t>y</w:t>
      </w:r>
      <w:r w:rsidRPr="00D1473B">
        <w:rPr>
          <w:b/>
          <w:u w:val="single"/>
        </w:rPr>
        <w:t xml:space="preserve"> </w:t>
      </w:r>
      <w:r w:rsidR="002245B0" w:rsidRPr="00D1473B">
        <w:rPr>
          <w:b/>
          <w:u w:val="single"/>
        </w:rPr>
        <w:t>Beneficiaries</w:t>
      </w:r>
      <w:r w:rsidR="00D1473B">
        <w:rPr>
          <w:b/>
        </w:rPr>
        <w:t>.</w:t>
      </w:r>
    </w:p>
    <w:p w14:paraId="38B521EE" w14:textId="77777777" w:rsidR="00D1473B" w:rsidRDefault="00D1473B" w:rsidP="00CA6858">
      <w:pPr>
        <w:jc w:val="both"/>
      </w:pPr>
    </w:p>
    <w:p w14:paraId="17E36A3A" w14:textId="77777777" w:rsidR="00BE6F30" w:rsidRDefault="00D65DAE" w:rsidP="00CA6858">
      <w:pPr>
        <w:jc w:val="both"/>
      </w:pPr>
      <w:r>
        <w:t>T</w:t>
      </w:r>
      <w:r w:rsidR="00F42CDB">
        <w:t>his Agreement is solely for the benefit of the District and the County, and no other person may acquire or have any right hereunder by virtue hereof</w:t>
      </w:r>
      <w:r w:rsidR="00350A08">
        <w:t>.</w:t>
      </w:r>
    </w:p>
    <w:p w14:paraId="0A6EE07B" w14:textId="77777777" w:rsidR="00465D9E" w:rsidRDefault="00465D9E" w:rsidP="00CA6858">
      <w:pPr>
        <w:jc w:val="both"/>
      </w:pPr>
    </w:p>
    <w:p w14:paraId="5AA68501" w14:textId="77777777" w:rsidR="002245B0" w:rsidRDefault="00465D9E" w:rsidP="00465D9E">
      <w:pPr>
        <w:pStyle w:val="ListParagraph"/>
        <w:numPr>
          <w:ilvl w:val="0"/>
          <w:numId w:val="3"/>
        </w:numPr>
        <w:ind w:left="720" w:hanging="720"/>
        <w:jc w:val="both"/>
        <w:rPr>
          <w:b/>
          <w:u w:val="single"/>
        </w:rPr>
      </w:pPr>
      <w:r w:rsidRPr="00465D9E">
        <w:rPr>
          <w:b/>
          <w:u w:val="single"/>
        </w:rPr>
        <w:t>Indemnification.</w:t>
      </w:r>
    </w:p>
    <w:p w14:paraId="41496BA7" w14:textId="77777777" w:rsidR="00465D9E" w:rsidRPr="00FD48A4" w:rsidRDefault="00465D9E" w:rsidP="00465D9E">
      <w:pPr>
        <w:jc w:val="both"/>
        <w:rPr>
          <w:b/>
          <w:u w:val="single"/>
        </w:rPr>
      </w:pPr>
    </w:p>
    <w:p w14:paraId="623CB61B" w14:textId="6F72EA6C" w:rsidR="008052AF" w:rsidRDefault="00915228" w:rsidP="00915228">
      <w:pPr>
        <w:autoSpaceDE w:val="0"/>
        <w:autoSpaceDN w:val="0"/>
        <w:adjustRightInd w:val="0"/>
        <w:jc w:val="both"/>
      </w:pPr>
      <w:r w:rsidRPr="00915228">
        <w:t xml:space="preserve">The District shall </w:t>
      </w:r>
      <w:r w:rsidRPr="00915228">
        <w:rPr>
          <w:bCs/>
        </w:rPr>
        <w:t xml:space="preserve">indemnify, defend and hold the County, its officers, </w:t>
      </w:r>
      <w:r w:rsidRPr="00517593">
        <w:rPr>
          <w:bCs/>
        </w:rPr>
        <w:t>officials,</w:t>
      </w:r>
      <w:r w:rsidRPr="00915228">
        <w:rPr>
          <w:bCs/>
        </w:rPr>
        <w:t xml:space="preserve"> agents and employees harmless from and against any and all suits, actions, losses, liabilities, claims, agency </w:t>
      </w:r>
      <w:r w:rsidR="00D06122">
        <w:rPr>
          <w:bCs/>
        </w:rPr>
        <w:t xml:space="preserve">findings, </w:t>
      </w:r>
      <w:r w:rsidRPr="00915228">
        <w:rPr>
          <w:bCs/>
        </w:rPr>
        <w:t xml:space="preserve">orders or requirements, penalties, expenses (including reasonable attorney fees), and damages of whatsoever kind or nature (collectively "Claims") relating to, in connection with, or arising out of, directly or indirectly, the District’s </w:t>
      </w:r>
      <w:r w:rsidR="00AD22CD">
        <w:rPr>
          <w:bCs/>
        </w:rPr>
        <w:t>use of funds transferred to it by the County or the</w:t>
      </w:r>
      <w:r w:rsidR="00AD22CD" w:rsidRPr="00915228">
        <w:rPr>
          <w:bCs/>
        </w:rPr>
        <w:t xml:space="preserve"> </w:t>
      </w:r>
      <w:r w:rsidRPr="00915228">
        <w:rPr>
          <w:bCs/>
        </w:rPr>
        <w:t xml:space="preserve">exercise of </w:t>
      </w:r>
      <w:r w:rsidR="00AD22CD">
        <w:rPr>
          <w:bCs/>
        </w:rPr>
        <w:t xml:space="preserve">its obligations, </w:t>
      </w:r>
      <w:r w:rsidRPr="00915228">
        <w:rPr>
          <w:bCs/>
        </w:rPr>
        <w:t xml:space="preserve">rights or privileges under this Agreement.  The District's </w:t>
      </w:r>
      <w:r w:rsidRPr="00915228">
        <w:t>obligations under this section shall include: (a) indemnification for Claims regardless of negligence or fault of the District</w:t>
      </w:r>
      <w:r w:rsidRPr="00FD48A4">
        <w:t xml:space="preserve"> or a third party; </w:t>
      </w:r>
      <w:r>
        <w:t>(</w:t>
      </w:r>
      <w:r w:rsidRPr="00FD48A4">
        <w:t xml:space="preserve">b) the duty to promptly accept tender of defense and provide defense to the County at the District's expense; </w:t>
      </w:r>
      <w:r>
        <w:t>(</w:t>
      </w:r>
      <w:r w:rsidRPr="00FD48A4">
        <w:t xml:space="preserve">c) indemnification of Claims made by District employees, agents or lessees; </w:t>
      </w:r>
      <w:r>
        <w:t>and (</w:t>
      </w:r>
      <w:r w:rsidRPr="00FD48A4">
        <w:t>d) waiver of the District's immunity under the industrial insurance provisions of Title 51 RCW, which waiver has been mutually negotiated by the</w:t>
      </w:r>
      <w:r>
        <w:t xml:space="preserve"> Parties.</w:t>
      </w:r>
      <w:r w:rsidR="00201344">
        <w:t xml:space="preserve">   </w:t>
      </w:r>
      <w:r>
        <w:t xml:space="preserve"> </w:t>
      </w:r>
    </w:p>
    <w:p w14:paraId="3D70BC38" w14:textId="5A03B78C" w:rsidR="002139A4" w:rsidRDefault="002139A4" w:rsidP="00915228">
      <w:pPr>
        <w:autoSpaceDE w:val="0"/>
        <w:autoSpaceDN w:val="0"/>
        <w:adjustRightInd w:val="0"/>
        <w:jc w:val="both"/>
      </w:pPr>
    </w:p>
    <w:p w14:paraId="5500FE48" w14:textId="26982394" w:rsidR="00517593" w:rsidRDefault="00517593" w:rsidP="00517593">
      <w:pPr>
        <w:autoSpaceDE w:val="0"/>
        <w:autoSpaceDN w:val="0"/>
        <w:adjustRightInd w:val="0"/>
        <w:jc w:val="both"/>
      </w:pPr>
      <w:r w:rsidRPr="00517593">
        <w:t xml:space="preserve">The </w:t>
      </w:r>
      <w:r w:rsidR="00D4377A">
        <w:t xml:space="preserve">District </w:t>
      </w:r>
      <w:r w:rsidRPr="00517593">
        <w:t>further agrees that it is financially responsible for and shall repay the County all indicated amounts following an audit exception that occurs due to the negligence, intentional act, and/or failure</w:t>
      </w:r>
      <w:r w:rsidR="00AD22CD">
        <w:t xml:space="preserve"> </w:t>
      </w:r>
      <w:r w:rsidRPr="00517593">
        <w:t xml:space="preserve">to comply with the terms of this </w:t>
      </w:r>
      <w:r>
        <w:t xml:space="preserve">Agreement </w:t>
      </w:r>
      <w:r w:rsidRPr="00517593">
        <w:t xml:space="preserve">by the </w:t>
      </w:r>
      <w:r w:rsidR="00D4377A">
        <w:t>District</w:t>
      </w:r>
      <w:r w:rsidRPr="00517593">
        <w:t xml:space="preserve">, its officers, employees, agents, and/or representatives. </w:t>
      </w:r>
      <w:r w:rsidR="00AD22CD">
        <w:t xml:space="preserve"> The County agrees that it is financially responsible for and shall repay the District  those amounts of lodging tax proceeds that an audit exception or finding determines are due to the District resulting from  the negligence, intentional act and/or failure to comply with the terms of this Agreement by the County, its officers, employees, agents, and/or representatives.  </w:t>
      </w:r>
    </w:p>
    <w:p w14:paraId="62697E69" w14:textId="77777777" w:rsidR="00517593" w:rsidRDefault="00517593" w:rsidP="00517593">
      <w:pPr>
        <w:autoSpaceDE w:val="0"/>
        <w:autoSpaceDN w:val="0"/>
        <w:adjustRightInd w:val="0"/>
        <w:jc w:val="both"/>
      </w:pPr>
    </w:p>
    <w:p w14:paraId="0F6C18A5" w14:textId="70125355" w:rsidR="00517593" w:rsidRPr="00517593" w:rsidRDefault="00517593" w:rsidP="00517593">
      <w:pPr>
        <w:autoSpaceDE w:val="0"/>
        <w:autoSpaceDN w:val="0"/>
        <w:adjustRightInd w:val="0"/>
        <w:jc w:val="both"/>
      </w:pPr>
      <w:r w:rsidRPr="00517593">
        <w:t>Th</w:t>
      </w:r>
      <w:r>
        <w:t xml:space="preserve">e </w:t>
      </w:r>
      <w:r w:rsidR="00D4377A">
        <w:t>District's</w:t>
      </w:r>
      <w:r>
        <w:t xml:space="preserve"> </w:t>
      </w:r>
      <w:r w:rsidR="00AD22CD">
        <w:t xml:space="preserve">and the County’s </w:t>
      </w:r>
      <w:r>
        <w:t>obligations under this Section 12</w:t>
      </w:r>
      <w:r w:rsidRPr="00517593">
        <w:t xml:space="preserve"> shall </w:t>
      </w:r>
      <w:r>
        <w:t>survive any termination of this Agreement.</w:t>
      </w:r>
    </w:p>
    <w:p w14:paraId="5BA5662D" w14:textId="77777777" w:rsidR="00517593" w:rsidRDefault="00517593" w:rsidP="00915228">
      <w:pPr>
        <w:autoSpaceDE w:val="0"/>
        <w:autoSpaceDN w:val="0"/>
        <w:adjustRightInd w:val="0"/>
        <w:jc w:val="both"/>
      </w:pPr>
    </w:p>
    <w:p w14:paraId="4E230931" w14:textId="77777777" w:rsidR="008052AF" w:rsidRPr="008052AF" w:rsidRDefault="008052AF" w:rsidP="008052AF">
      <w:pPr>
        <w:pStyle w:val="ListParagraph"/>
        <w:numPr>
          <w:ilvl w:val="0"/>
          <w:numId w:val="3"/>
        </w:numPr>
        <w:autoSpaceDE w:val="0"/>
        <w:autoSpaceDN w:val="0"/>
        <w:adjustRightInd w:val="0"/>
        <w:ind w:left="720" w:hanging="720"/>
        <w:jc w:val="both"/>
        <w:rPr>
          <w:b/>
          <w:u w:val="single"/>
        </w:rPr>
      </w:pPr>
      <w:r w:rsidRPr="008052AF">
        <w:rPr>
          <w:b/>
          <w:u w:val="single"/>
        </w:rPr>
        <w:t>Duration.</w:t>
      </w:r>
    </w:p>
    <w:p w14:paraId="31247F68" w14:textId="77777777" w:rsidR="008052AF" w:rsidRDefault="008052AF" w:rsidP="008052AF">
      <w:pPr>
        <w:autoSpaceDE w:val="0"/>
        <w:autoSpaceDN w:val="0"/>
        <w:adjustRightInd w:val="0"/>
        <w:jc w:val="both"/>
        <w:rPr>
          <w:b/>
          <w:u w:val="single"/>
        </w:rPr>
      </w:pPr>
    </w:p>
    <w:p w14:paraId="6038941E" w14:textId="77777777" w:rsidR="008052AF" w:rsidRPr="008052AF" w:rsidRDefault="00E533BE" w:rsidP="008052AF">
      <w:pPr>
        <w:autoSpaceDE w:val="0"/>
        <w:autoSpaceDN w:val="0"/>
        <w:adjustRightInd w:val="0"/>
        <w:jc w:val="both"/>
      </w:pPr>
      <w:r>
        <w:t>This</w:t>
      </w:r>
      <w:r w:rsidR="008052AF">
        <w:t xml:space="preserve"> Agreement shall terminate on December 31, 20</w:t>
      </w:r>
      <w:r w:rsidR="001A4689">
        <w:t>4</w:t>
      </w:r>
      <w:r w:rsidR="008052AF">
        <w:t>3.</w:t>
      </w:r>
    </w:p>
    <w:p w14:paraId="75972CD8" w14:textId="77777777" w:rsidR="00465D9E" w:rsidRPr="00465D9E" w:rsidRDefault="00465D9E" w:rsidP="00465D9E">
      <w:pPr>
        <w:jc w:val="both"/>
      </w:pPr>
    </w:p>
    <w:p w14:paraId="43A05487" w14:textId="77777777" w:rsidR="002245B0" w:rsidRDefault="002245B0" w:rsidP="00CA6858">
      <w:pPr>
        <w:keepNext/>
        <w:keepLines/>
        <w:jc w:val="both"/>
      </w:pPr>
      <w:r>
        <w:lastRenderedPageBreak/>
        <w:t>In witness whereof, the Parties heret</w:t>
      </w:r>
      <w:r w:rsidR="00D1473B">
        <w:t>o have accepted this Agreement.</w:t>
      </w:r>
    </w:p>
    <w:p w14:paraId="78D794D5" w14:textId="77777777" w:rsidR="00C63E71" w:rsidRDefault="00C63E71" w:rsidP="00CA6858">
      <w:pPr>
        <w:keepNext/>
        <w:keepLines/>
        <w:jc w:val="both"/>
      </w:pPr>
    </w:p>
    <w:p w14:paraId="0175AEC3" w14:textId="77777777" w:rsidR="00B520FA" w:rsidRDefault="00B520FA" w:rsidP="00CA6858">
      <w:pPr>
        <w:keepNext/>
        <w:keepLines/>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3"/>
        <w:gridCol w:w="4677"/>
      </w:tblGrid>
      <w:tr w:rsidR="00B520FA" w14:paraId="37A0C459" w14:textId="77777777" w:rsidTr="00C600AC">
        <w:tc>
          <w:tcPr>
            <w:tcW w:w="4788" w:type="dxa"/>
          </w:tcPr>
          <w:p w14:paraId="1ABE1A3A" w14:textId="77777777" w:rsidR="00B520FA" w:rsidRDefault="00B520FA" w:rsidP="00CA6858">
            <w:pPr>
              <w:keepNext/>
              <w:keepLines/>
            </w:pPr>
            <w:r>
              <w:t>KING COUNTY</w:t>
            </w:r>
          </w:p>
          <w:p w14:paraId="0A00DD12" w14:textId="77777777" w:rsidR="00B520FA" w:rsidRDefault="00B520FA" w:rsidP="00CA6858">
            <w:pPr>
              <w:keepNext/>
              <w:keepLines/>
            </w:pPr>
          </w:p>
          <w:p w14:paraId="5E2DAAC8" w14:textId="77777777" w:rsidR="00B520FA" w:rsidRDefault="00B520FA" w:rsidP="00CA6858">
            <w:pPr>
              <w:keepNext/>
              <w:keepLines/>
            </w:pPr>
          </w:p>
          <w:p w14:paraId="18FD956F" w14:textId="77777777" w:rsidR="00B520FA" w:rsidRDefault="00B520FA" w:rsidP="00CA6858">
            <w:pPr>
              <w:keepNext/>
              <w:keepLines/>
            </w:pPr>
          </w:p>
          <w:p w14:paraId="535A8C27" w14:textId="77777777" w:rsidR="00B520FA" w:rsidRDefault="00B520FA" w:rsidP="00CA6858">
            <w:pPr>
              <w:keepNext/>
              <w:keepLines/>
            </w:pPr>
          </w:p>
          <w:p w14:paraId="53BFA349" w14:textId="77777777" w:rsidR="00B520FA" w:rsidRDefault="00B520FA" w:rsidP="00CA6858">
            <w:pPr>
              <w:keepNext/>
              <w:keepLines/>
              <w:tabs>
                <w:tab w:val="left" w:pos="388"/>
              </w:tabs>
              <w:ind w:left="388" w:hanging="388"/>
              <w:rPr>
                <w:u w:val="single"/>
              </w:rPr>
            </w:pPr>
            <w:r>
              <w:t>By</w:t>
            </w:r>
            <w:r>
              <w:tab/>
            </w:r>
            <w:r>
              <w:rPr>
                <w:u w:val="single"/>
              </w:rPr>
              <w:tab/>
            </w:r>
            <w:r>
              <w:rPr>
                <w:u w:val="single"/>
              </w:rPr>
              <w:tab/>
            </w:r>
            <w:r>
              <w:rPr>
                <w:u w:val="single"/>
              </w:rPr>
              <w:tab/>
            </w:r>
            <w:r>
              <w:rPr>
                <w:u w:val="single"/>
              </w:rPr>
              <w:tab/>
            </w:r>
            <w:r>
              <w:rPr>
                <w:u w:val="single"/>
              </w:rPr>
              <w:tab/>
            </w:r>
            <w:r>
              <w:rPr>
                <w:u w:val="single"/>
              </w:rPr>
              <w:tab/>
            </w:r>
          </w:p>
          <w:p w14:paraId="79E80FAB" w14:textId="77777777" w:rsidR="00B520FA" w:rsidRDefault="00C600AC" w:rsidP="00CA6858">
            <w:pPr>
              <w:keepNext/>
              <w:keepLines/>
              <w:tabs>
                <w:tab w:val="left" w:pos="388"/>
              </w:tabs>
              <w:ind w:left="776" w:hanging="388"/>
            </w:pPr>
            <w:r>
              <w:t xml:space="preserve">Dow Constantine, </w:t>
            </w:r>
            <w:r w:rsidR="00B520FA">
              <w:t>County Executive</w:t>
            </w:r>
          </w:p>
          <w:p w14:paraId="56ADFF64" w14:textId="77777777" w:rsidR="00B520FA" w:rsidRDefault="00B520FA" w:rsidP="00CA6858">
            <w:pPr>
              <w:keepNext/>
              <w:keepLines/>
              <w:tabs>
                <w:tab w:val="left" w:pos="388"/>
              </w:tabs>
            </w:pPr>
          </w:p>
          <w:p w14:paraId="6C2B8B4C" w14:textId="77777777" w:rsidR="00B520FA" w:rsidRDefault="00B520FA" w:rsidP="00CA6858">
            <w:pPr>
              <w:keepNext/>
              <w:keepLines/>
              <w:tabs>
                <w:tab w:val="left" w:pos="388"/>
              </w:tabs>
            </w:pPr>
            <w:r>
              <w:rPr>
                <w:u w:val="single"/>
              </w:rPr>
              <w:tab/>
            </w:r>
            <w:r>
              <w:rPr>
                <w:u w:val="single"/>
              </w:rPr>
              <w:tab/>
            </w:r>
            <w:r>
              <w:rPr>
                <w:u w:val="single"/>
              </w:rPr>
              <w:tab/>
            </w:r>
            <w:r>
              <w:rPr>
                <w:u w:val="single"/>
              </w:rPr>
              <w:tab/>
            </w:r>
            <w:r>
              <w:rPr>
                <w:u w:val="single"/>
              </w:rPr>
              <w:tab/>
            </w:r>
            <w:r>
              <w:rPr>
                <w:u w:val="single"/>
              </w:rPr>
              <w:tab/>
            </w:r>
            <w:r>
              <w:rPr>
                <w:u w:val="single"/>
              </w:rPr>
              <w:tab/>
            </w:r>
          </w:p>
          <w:p w14:paraId="5D8BD8FF" w14:textId="77777777" w:rsidR="00B520FA" w:rsidRPr="00B520FA" w:rsidRDefault="00B520FA" w:rsidP="00CA6858">
            <w:pPr>
              <w:keepNext/>
              <w:keepLines/>
              <w:tabs>
                <w:tab w:val="left" w:pos="388"/>
              </w:tabs>
              <w:jc w:val="center"/>
            </w:pPr>
            <w:r>
              <w:t>Date</w:t>
            </w:r>
          </w:p>
          <w:p w14:paraId="5910882D" w14:textId="77777777" w:rsidR="00B520FA" w:rsidRDefault="00B520FA" w:rsidP="00CA6858">
            <w:pPr>
              <w:keepNext/>
              <w:keepLines/>
              <w:tabs>
                <w:tab w:val="left" w:pos="388"/>
              </w:tabs>
            </w:pPr>
          </w:p>
          <w:p w14:paraId="6A450282" w14:textId="77777777" w:rsidR="00B520FA" w:rsidRDefault="00B520FA" w:rsidP="00CA6858">
            <w:pPr>
              <w:keepNext/>
              <w:keepLines/>
              <w:tabs>
                <w:tab w:val="left" w:pos="388"/>
              </w:tabs>
            </w:pPr>
            <w:r>
              <w:t>Approved as to form:</w:t>
            </w:r>
          </w:p>
          <w:p w14:paraId="747E1F19" w14:textId="77777777" w:rsidR="00B520FA" w:rsidRDefault="00B520FA" w:rsidP="00CA6858">
            <w:pPr>
              <w:keepNext/>
              <w:keepLines/>
              <w:tabs>
                <w:tab w:val="left" w:pos="388"/>
              </w:tabs>
            </w:pPr>
          </w:p>
          <w:p w14:paraId="257BF52D" w14:textId="77777777" w:rsidR="00B520FA" w:rsidRDefault="00B520FA" w:rsidP="00CA6858">
            <w:pPr>
              <w:keepNext/>
              <w:keepLines/>
              <w:tabs>
                <w:tab w:val="left" w:pos="388"/>
              </w:tabs>
            </w:pPr>
          </w:p>
          <w:p w14:paraId="1F7972D3" w14:textId="77777777" w:rsidR="00B520FA" w:rsidRDefault="00B520FA" w:rsidP="00CA6858">
            <w:pPr>
              <w:keepNext/>
              <w:keepLines/>
              <w:tabs>
                <w:tab w:val="left" w:pos="388"/>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1136DA54" w14:textId="77777777" w:rsidR="00D143C8" w:rsidRDefault="00D143C8" w:rsidP="00CA6858">
            <w:pPr>
              <w:keepNext/>
              <w:keepLines/>
              <w:tabs>
                <w:tab w:val="left" w:pos="388"/>
              </w:tabs>
            </w:pPr>
          </w:p>
          <w:p w14:paraId="00627B8C" w14:textId="77777777" w:rsidR="00B520FA" w:rsidRPr="00B520FA" w:rsidRDefault="00B520FA" w:rsidP="00CA6858">
            <w:pPr>
              <w:keepNext/>
              <w:keepLines/>
              <w:tabs>
                <w:tab w:val="left" w:pos="388"/>
              </w:tabs>
            </w:pPr>
            <w:r>
              <w:t>King County Prosecuting Attorney</w:t>
            </w:r>
          </w:p>
          <w:p w14:paraId="5D2A51B8" w14:textId="77777777" w:rsidR="00B520FA" w:rsidRDefault="00B520FA" w:rsidP="00CA6858">
            <w:pPr>
              <w:keepNext/>
              <w:keepLines/>
              <w:rPr>
                <w:u w:val="single"/>
              </w:rPr>
            </w:pPr>
          </w:p>
          <w:p w14:paraId="3B8DF1F6" w14:textId="77777777" w:rsidR="00B520FA" w:rsidRDefault="00B520FA" w:rsidP="00CA6858">
            <w:pPr>
              <w:keepNext/>
              <w:keepLines/>
            </w:pPr>
            <w:r>
              <w:rPr>
                <w:u w:val="single"/>
              </w:rPr>
              <w:tab/>
            </w:r>
            <w:r>
              <w:rPr>
                <w:u w:val="single"/>
              </w:rPr>
              <w:tab/>
            </w:r>
            <w:r>
              <w:rPr>
                <w:u w:val="single"/>
              </w:rPr>
              <w:tab/>
            </w:r>
            <w:r>
              <w:rPr>
                <w:u w:val="single"/>
              </w:rPr>
              <w:tab/>
            </w:r>
            <w:r>
              <w:rPr>
                <w:u w:val="single"/>
              </w:rPr>
              <w:tab/>
            </w:r>
            <w:r>
              <w:rPr>
                <w:u w:val="single"/>
              </w:rPr>
              <w:tab/>
            </w:r>
          </w:p>
          <w:p w14:paraId="4F8844BB" w14:textId="77777777" w:rsidR="00B520FA" w:rsidRPr="00B520FA" w:rsidRDefault="00B520FA" w:rsidP="00CA6858">
            <w:pPr>
              <w:keepNext/>
              <w:keepLines/>
              <w:jc w:val="center"/>
            </w:pPr>
            <w:r>
              <w:t>Date</w:t>
            </w:r>
          </w:p>
        </w:tc>
        <w:tc>
          <w:tcPr>
            <w:tcW w:w="4788" w:type="dxa"/>
          </w:tcPr>
          <w:p w14:paraId="39C19605" w14:textId="77777777" w:rsidR="00B520FA" w:rsidRDefault="00B520FA" w:rsidP="00CA6858">
            <w:pPr>
              <w:keepNext/>
              <w:keepLines/>
            </w:pPr>
            <w:r>
              <w:t>WASHINGTON STATE MAJOR LEAGUE</w:t>
            </w:r>
          </w:p>
          <w:p w14:paraId="52A520B9" w14:textId="77777777" w:rsidR="00B520FA" w:rsidRDefault="00B520FA" w:rsidP="00CA6858">
            <w:pPr>
              <w:keepNext/>
              <w:keepLines/>
            </w:pPr>
            <w:r>
              <w:t>BASEBALL STADIUM PUBLIC</w:t>
            </w:r>
          </w:p>
          <w:p w14:paraId="23E52A0F" w14:textId="77777777" w:rsidR="00B520FA" w:rsidRDefault="00B520FA" w:rsidP="00CA6858">
            <w:pPr>
              <w:keepNext/>
              <w:keepLines/>
            </w:pPr>
            <w:r>
              <w:t>FACILITIES DISTRICT</w:t>
            </w:r>
          </w:p>
          <w:p w14:paraId="298B348D" w14:textId="77777777" w:rsidR="00B520FA" w:rsidRDefault="00B520FA" w:rsidP="00CA6858">
            <w:pPr>
              <w:keepNext/>
              <w:keepLines/>
            </w:pPr>
          </w:p>
          <w:p w14:paraId="5C6BDA6A" w14:textId="77777777" w:rsidR="00B520FA" w:rsidRDefault="00B520FA" w:rsidP="00CA6858">
            <w:pPr>
              <w:keepNext/>
              <w:keepLines/>
            </w:pPr>
          </w:p>
          <w:p w14:paraId="30A70281" w14:textId="77777777" w:rsidR="00B520FA" w:rsidRDefault="00B520FA" w:rsidP="00CA6858">
            <w:pPr>
              <w:keepNext/>
              <w:keepLines/>
              <w:ind w:left="432" w:hanging="432"/>
            </w:pPr>
            <w:r>
              <w:t>By</w:t>
            </w:r>
            <w:r>
              <w:tab/>
            </w:r>
            <w:r>
              <w:rPr>
                <w:u w:val="single"/>
              </w:rPr>
              <w:tab/>
            </w:r>
            <w:r>
              <w:rPr>
                <w:u w:val="single"/>
              </w:rPr>
              <w:tab/>
            </w:r>
            <w:r>
              <w:rPr>
                <w:u w:val="single"/>
              </w:rPr>
              <w:tab/>
            </w:r>
            <w:r>
              <w:rPr>
                <w:u w:val="single"/>
              </w:rPr>
              <w:tab/>
            </w:r>
            <w:r>
              <w:rPr>
                <w:u w:val="single"/>
              </w:rPr>
              <w:tab/>
            </w:r>
            <w:r>
              <w:rPr>
                <w:u w:val="single"/>
              </w:rPr>
              <w:tab/>
            </w:r>
          </w:p>
          <w:p w14:paraId="1217DB38" w14:textId="77777777" w:rsidR="00B520FA" w:rsidRDefault="00B520FA" w:rsidP="00CA6858">
            <w:pPr>
              <w:keepNext/>
              <w:keepLines/>
              <w:ind w:left="864" w:hanging="432"/>
            </w:pPr>
            <w:r>
              <w:t>Virginia Anderson, Board Chair</w:t>
            </w:r>
          </w:p>
          <w:p w14:paraId="3841AA58" w14:textId="77777777" w:rsidR="00B520FA" w:rsidRDefault="00B520FA" w:rsidP="00CA6858">
            <w:pPr>
              <w:keepNext/>
              <w:keepLines/>
            </w:pPr>
          </w:p>
          <w:p w14:paraId="4A30B1E2" w14:textId="77777777" w:rsidR="00B520FA" w:rsidRDefault="00B520FA" w:rsidP="00CA6858">
            <w:pPr>
              <w:keepNext/>
              <w:keepLines/>
            </w:pPr>
            <w:r>
              <w:rPr>
                <w:u w:val="single"/>
              </w:rPr>
              <w:tab/>
            </w:r>
            <w:r>
              <w:rPr>
                <w:u w:val="single"/>
              </w:rPr>
              <w:tab/>
            </w:r>
            <w:r>
              <w:rPr>
                <w:u w:val="single"/>
              </w:rPr>
              <w:tab/>
            </w:r>
            <w:r>
              <w:rPr>
                <w:u w:val="single"/>
              </w:rPr>
              <w:tab/>
            </w:r>
            <w:r>
              <w:rPr>
                <w:u w:val="single"/>
              </w:rPr>
              <w:tab/>
            </w:r>
            <w:r>
              <w:rPr>
                <w:u w:val="single"/>
              </w:rPr>
              <w:tab/>
            </w:r>
          </w:p>
          <w:p w14:paraId="4925029E" w14:textId="77777777" w:rsidR="00B520FA" w:rsidRDefault="00B520FA" w:rsidP="00CA6858">
            <w:pPr>
              <w:keepNext/>
              <w:keepLines/>
              <w:jc w:val="center"/>
            </w:pPr>
            <w:r>
              <w:t>Date</w:t>
            </w:r>
          </w:p>
          <w:p w14:paraId="2BE2473C" w14:textId="77777777" w:rsidR="00B520FA" w:rsidRDefault="00B520FA" w:rsidP="00CA6858">
            <w:pPr>
              <w:keepNext/>
              <w:keepLines/>
            </w:pPr>
          </w:p>
          <w:p w14:paraId="22D3887D" w14:textId="77777777" w:rsidR="00B520FA" w:rsidRDefault="00B520FA" w:rsidP="00CA6858">
            <w:pPr>
              <w:keepNext/>
              <w:keepLines/>
            </w:pPr>
            <w:r>
              <w:t>Approved as to form:</w:t>
            </w:r>
          </w:p>
          <w:p w14:paraId="2827E606" w14:textId="77777777" w:rsidR="00B520FA" w:rsidRDefault="00B520FA" w:rsidP="00CA6858">
            <w:pPr>
              <w:keepNext/>
              <w:keepLines/>
            </w:pPr>
          </w:p>
          <w:p w14:paraId="1DB03A04" w14:textId="77777777" w:rsidR="00B520FA" w:rsidRDefault="00B520FA" w:rsidP="00CA6858">
            <w:pPr>
              <w:keepNext/>
              <w:keepLines/>
            </w:pPr>
          </w:p>
          <w:p w14:paraId="0CAE6A06" w14:textId="77777777" w:rsidR="00B520FA" w:rsidRDefault="00B520FA" w:rsidP="00CA6858">
            <w:pPr>
              <w:keepNext/>
              <w:keepLines/>
            </w:pPr>
            <w:r>
              <w:rPr>
                <w:u w:val="single"/>
              </w:rPr>
              <w:tab/>
            </w:r>
            <w:r>
              <w:rPr>
                <w:u w:val="single"/>
              </w:rPr>
              <w:tab/>
            </w:r>
            <w:r>
              <w:rPr>
                <w:u w:val="single"/>
              </w:rPr>
              <w:tab/>
            </w:r>
            <w:r>
              <w:rPr>
                <w:u w:val="single"/>
              </w:rPr>
              <w:tab/>
            </w:r>
            <w:r>
              <w:rPr>
                <w:u w:val="single"/>
              </w:rPr>
              <w:tab/>
            </w:r>
            <w:r>
              <w:rPr>
                <w:u w:val="single"/>
              </w:rPr>
              <w:tab/>
            </w:r>
          </w:p>
          <w:p w14:paraId="1A260EFF" w14:textId="77777777" w:rsidR="00B520FA" w:rsidRDefault="000E7DB8" w:rsidP="00CA6858">
            <w:pPr>
              <w:keepNext/>
              <w:keepLines/>
            </w:pPr>
            <w:r>
              <w:t>Thomas Eli Backer</w:t>
            </w:r>
            <w:r w:rsidR="00B520FA">
              <w:t>, PFD Attorney</w:t>
            </w:r>
          </w:p>
          <w:p w14:paraId="411A038F" w14:textId="77777777" w:rsidR="00B520FA" w:rsidRDefault="00B520FA" w:rsidP="00CA6858">
            <w:pPr>
              <w:keepNext/>
              <w:keepLines/>
            </w:pPr>
          </w:p>
          <w:p w14:paraId="1E076443" w14:textId="77777777" w:rsidR="00C600AC" w:rsidRDefault="00C600AC" w:rsidP="00CA6858">
            <w:pPr>
              <w:keepNext/>
              <w:keepLines/>
            </w:pPr>
          </w:p>
          <w:p w14:paraId="1C9E139E" w14:textId="77777777" w:rsidR="00B520FA" w:rsidRDefault="00B520FA" w:rsidP="00CA6858">
            <w:pPr>
              <w:keepNext/>
              <w:keepLines/>
            </w:pPr>
            <w:r>
              <w:rPr>
                <w:u w:val="single"/>
              </w:rPr>
              <w:tab/>
            </w:r>
            <w:r>
              <w:rPr>
                <w:u w:val="single"/>
              </w:rPr>
              <w:tab/>
            </w:r>
            <w:r>
              <w:rPr>
                <w:u w:val="single"/>
              </w:rPr>
              <w:tab/>
            </w:r>
            <w:r>
              <w:rPr>
                <w:u w:val="single"/>
              </w:rPr>
              <w:tab/>
            </w:r>
            <w:r>
              <w:rPr>
                <w:u w:val="single"/>
              </w:rPr>
              <w:tab/>
            </w:r>
            <w:r>
              <w:rPr>
                <w:u w:val="single"/>
              </w:rPr>
              <w:tab/>
            </w:r>
          </w:p>
          <w:p w14:paraId="77634D7E" w14:textId="77777777" w:rsidR="00B520FA" w:rsidRPr="00B520FA" w:rsidRDefault="00B520FA" w:rsidP="00CA6858">
            <w:pPr>
              <w:keepNext/>
              <w:keepLines/>
              <w:jc w:val="center"/>
            </w:pPr>
            <w:r>
              <w:t>Date</w:t>
            </w:r>
          </w:p>
        </w:tc>
      </w:tr>
    </w:tbl>
    <w:p w14:paraId="2D9961A0" w14:textId="77777777" w:rsidR="00243C45" w:rsidRDefault="00243C45" w:rsidP="00CA6858">
      <w:pPr>
        <w:sectPr w:rsidR="00243C45" w:rsidSect="00D021EB">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7043020D" w14:textId="77777777" w:rsidR="00AC0778" w:rsidRDefault="002263DE" w:rsidP="002263DE">
      <w:pPr>
        <w:tabs>
          <w:tab w:val="left" w:pos="3406"/>
        </w:tabs>
        <w:jc w:val="center"/>
      </w:pPr>
      <w:r w:rsidRPr="002263DE">
        <w:rPr>
          <w:noProof/>
        </w:rPr>
        <w:lastRenderedPageBreak/>
        <w:drawing>
          <wp:inline distT="0" distB="0" distL="0" distR="0" wp14:anchorId="1CC0ADB4" wp14:editId="26D4A26A">
            <wp:extent cx="2584450" cy="59315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4450" cy="5931535"/>
                    </a:xfrm>
                    <a:prstGeom prst="rect">
                      <a:avLst/>
                    </a:prstGeom>
                    <a:noFill/>
                    <a:ln>
                      <a:noFill/>
                    </a:ln>
                  </pic:spPr>
                </pic:pic>
              </a:graphicData>
            </a:graphic>
          </wp:inline>
        </w:drawing>
      </w:r>
    </w:p>
    <w:p w14:paraId="55B29F23" w14:textId="77777777" w:rsidR="004242A2" w:rsidRDefault="004242A2" w:rsidP="002263DE">
      <w:pPr>
        <w:tabs>
          <w:tab w:val="left" w:pos="3406"/>
        </w:tabs>
      </w:pPr>
    </w:p>
    <w:p w14:paraId="408FE9A4" w14:textId="77777777" w:rsidR="004242A2" w:rsidRDefault="004242A2" w:rsidP="004A7523">
      <w:pPr>
        <w:tabs>
          <w:tab w:val="left" w:pos="3406"/>
        </w:tabs>
      </w:pPr>
    </w:p>
    <w:p w14:paraId="6C030FF1" w14:textId="77777777" w:rsidR="002263DE" w:rsidRDefault="002263DE" w:rsidP="004A7523">
      <w:pPr>
        <w:tabs>
          <w:tab w:val="left" w:pos="3406"/>
        </w:tabs>
      </w:pPr>
    </w:p>
    <w:p w14:paraId="4C8788CF" w14:textId="77777777" w:rsidR="004242A2" w:rsidRDefault="004242A2" w:rsidP="004A7523">
      <w:pPr>
        <w:tabs>
          <w:tab w:val="left" w:pos="3406"/>
        </w:tabs>
        <w:sectPr w:rsidR="004242A2" w:rsidSect="00243C45">
          <w:headerReference w:type="default" r:id="rId13"/>
          <w:footerReference w:type="default" r:id="rId14"/>
          <w:pgSz w:w="12240" w:h="15840"/>
          <w:pgMar w:top="1440" w:right="1440" w:bottom="1440" w:left="1440" w:header="720" w:footer="720" w:gutter="0"/>
          <w:pgNumType w:start="1"/>
          <w:cols w:space="720"/>
          <w:docGrid w:linePitch="360"/>
        </w:sectPr>
      </w:pPr>
    </w:p>
    <w:p w14:paraId="4E56FAA2" w14:textId="75197585" w:rsidR="0053288F" w:rsidRDefault="001D1F96" w:rsidP="00AA1DCA">
      <w:pPr>
        <w:tabs>
          <w:tab w:val="left" w:pos="3406"/>
        </w:tabs>
        <w:jc w:val="center"/>
        <w:rPr>
          <w:b/>
        </w:rPr>
      </w:pPr>
      <w:r w:rsidRPr="001D1F96">
        <w:rPr>
          <w:noProof/>
        </w:rPr>
        <w:lastRenderedPageBreak/>
        <w:drawing>
          <wp:inline distT="0" distB="0" distL="0" distR="0" wp14:anchorId="5633A478" wp14:editId="24A0922B">
            <wp:extent cx="2727325" cy="6949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7325" cy="6949440"/>
                    </a:xfrm>
                    <a:prstGeom prst="rect">
                      <a:avLst/>
                    </a:prstGeom>
                    <a:noFill/>
                    <a:ln>
                      <a:noFill/>
                    </a:ln>
                  </pic:spPr>
                </pic:pic>
              </a:graphicData>
            </a:graphic>
          </wp:inline>
        </w:drawing>
      </w:r>
    </w:p>
    <w:p w14:paraId="56C7ACF8" w14:textId="77777777" w:rsidR="002B4CBD" w:rsidRDefault="002B4CBD">
      <w:pPr>
        <w:rPr>
          <w:b/>
        </w:rPr>
        <w:sectPr w:rsidR="002B4CBD" w:rsidSect="00243C45">
          <w:footerReference w:type="default" r:id="rId16"/>
          <w:pgSz w:w="12240" w:h="15840"/>
          <w:pgMar w:top="1440" w:right="1440" w:bottom="1440" w:left="1440" w:header="720" w:footer="720" w:gutter="0"/>
          <w:pgNumType w:start="1"/>
          <w:cols w:space="720"/>
          <w:docGrid w:linePitch="360"/>
        </w:sectPr>
      </w:pPr>
    </w:p>
    <w:p w14:paraId="6CBE6853" w14:textId="6FD1982B" w:rsidR="0053288F" w:rsidRDefault="0053288F">
      <w:pPr>
        <w:rPr>
          <w:b/>
        </w:rPr>
      </w:pPr>
    </w:p>
    <w:p w14:paraId="6B674D9D" w14:textId="38997158" w:rsidR="0053288F" w:rsidRDefault="0053288F" w:rsidP="00AA1DCA">
      <w:pPr>
        <w:tabs>
          <w:tab w:val="left" w:pos="3406"/>
        </w:tabs>
        <w:jc w:val="center"/>
        <w:rPr>
          <w:b/>
        </w:rPr>
      </w:pPr>
      <w:r w:rsidRPr="0053288F">
        <w:rPr>
          <w:noProof/>
        </w:rPr>
        <w:drawing>
          <wp:inline distT="0" distB="0" distL="0" distR="0" wp14:anchorId="0814B721" wp14:editId="4E3D3376">
            <wp:extent cx="3307715" cy="679069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7715" cy="6790690"/>
                    </a:xfrm>
                    <a:prstGeom prst="rect">
                      <a:avLst/>
                    </a:prstGeom>
                    <a:noFill/>
                    <a:ln>
                      <a:noFill/>
                    </a:ln>
                  </pic:spPr>
                </pic:pic>
              </a:graphicData>
            </a:graphic>
          </wp:inline>
        </w:drawing>
      </w:r>
    </w:p>
    <w:p w14:paraId="627188C9" w14:textId="401FBD61" w:rsidR="001D1F96" w:rsidRPr="00AA1DCA" w:rsidRDefault="001D1F96" w:rsidP="002B4CBD">
      <w:pPr>
        <w:rPr>
          <w:b/>
        </w:rPr>
      </w:pPr>
    </w:p>
    <w:sectPr w:rsidR="001D1F96" w:rsidRPr="00AA1DCA" w:rsidSect="00243C45">
      <w:footerReference w:type="default" r:id="rId18"/>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F42686" w16cid:durableId="1F33E542"/>
  <w16cid:commentId w16cid:paraId="4776A631" w16cid:durableId="1F33E543"/>
  <w16cid:commentId w16cid:paraId="2DD27287" w16cid:durableId="1F33E544"/>
  <w16cid:commentId w16cid:paraId="7D807EE1" w16cid:durableId="1F33E545"/>
  <w16cid:commentId w16cid:paraId="459075C6" w16cid:durableId="1F33E546"/>
  <w16cid:commentId w16cid:paraId="139EDAB1" w16cid:durableId="1F33E593"/>
  <w16cid:commentId w16cid:paraId="4C910AC4" w16cid:durableId="1F33E5B6"/>
  <w16cid:commentId w16cid:paraId="52030678" w16cid:durableId="1F33E547"/>
  <w16cid:commentId w16cid:paraId="591C05C1" w16cid:durableId="1F33E548"/>
  <w16cid:commentId w16cid:paraId="2315A6FD" w16cid:durableId="1F33E549"/>
  <w16cid:commentId w16cid:paraId="10B404A4" w16cid:durableId="1F33E54A"/>
  <w16cid:commentId w16cid:paraId="63B1B297" w16cid:durableId="1F33E54B"/>
  <w16cid:commentId w16cid:paraId="331D352E" w16cid:durableId="1F33E54C"/>
  <w16cid:commentId w16cid:paraId="028DF5E3" w16cid:durableId="1F33E54D"/>
  <w16cid:commentId w16cid:paraId="1B1EC695" w16cid:durableId="1F33E54E"/>
  <w16cid:commentId w16cid:paraId="06B4EFB1" w16cid:durableId="1F33E54F"/>
  <w16cid:commentId w16cid:paraId="665C0E33" w16cid:durableId="1F33E550"/>
  <w16cid:commentId w16cid:paraId="74999D81" w16cid:durableId="1F33E551"/>
  <w16cid:commentId w16cid:paraId="31BF3868" w16cid:durableId="1F33E71A"/>
  <w16cid:commentId w16cid:paraId="443C5C0B" w16cid:durableId="1F33E552"/>
  <w16cid:commentId w16cid:paraId="5AA3E757" w16cid:durableId="1F33E553"/>
  <w16cid:commentId w16cid:paraId="5CEECA2C" w16cid:durableId="1F33E554"/>
  <w16cid:commentId w16cid:paraId="4FCEE475" w16cid:durableId="1F33E5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02E71" w14:textId="77777777" w:rsidR="008A372E" w:rsidRDefault="008A372E" w:rsidP="00AE0C0C">
      <w:r>
        <w:separator/>
      </w:r>
    </w:p>
  </w:endnote>
  <w:endnote w:type="continuationSeparator" w:id="0">
    <w:p w14:paraId="6B41FBB4" w14:textId="77777777" w:rsidR="008A372E" w:rsidRDefault="008A372E" w:rsidP="00AE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7541" w14:textId="75E71B2B" w:rsidR="00AE0C0C" w:rsidRDefault="00D1473B" w:rsidP="00D1473B">
    <w:pPr>
      <w:pStyle w:val="Footer"/>
      <w:jc w:val="center"/>
      <w:rPr>
        <w:noProof/>
      </w:rPr>
    </w:pPr>
    <w:r>
      <w:t>-</w:t>
    </w:r>
    <w:r>
      <w:fldChar w:fldCharType="begin"/>
    </w:r>
    <w:r>
      <w:instrText xml:space="preserve"> PAGE   \* MERGEFORMAT </w:instrText>
    </w:r>
    <w:r>
      <w:fldChar w:fldCharType="separate"/>
    </w:r>
    <w:r w:rsidR="00D021EB">
      <w:rPr>
        <w:noProof/>
      </w:rPr>
      <w:t>6</w:t>
    </w:r>
    <w:r>
      <w:rPr>
        <w:noProof/>
      </w:rPr>
      <w:fldChar w:fldCharType="end"/>
    </w:r>
    <w:r>
      <w:rPr>
        <w:noProof/>
      </w:rPr>
      <w:t>-</w:t>
    </w:r>
  </w:p>
  <w:p w14:paraId="1A2F364E" w14:textId="6C92BE5D" w:rsidR="009C440D" w:rsidRDefault="009C440D" w:rsidP="009C440D">
    <w:pPr>
      <w:pStyle w:val="Footer"/>
      <w:rPr>
        <w:noProof/>
      </w:rPr>
    </w:pPr>
    <w:r>
      <w:rPr>
        <w:noProof/>
      </w:rPr>
      <w:t xml:space="preserve">Revised </w:t>
    </w:r>
    <w:r w:rsidR="00F760E9">
      <w:rPr>
        <w:noProof/>
      </w:rPr>
      <w:t>091</w:t>
    </w:r>
    <w:r w:rsidR="00663C23">
      <w:rPr>
        <w:noProof/>
      </w:rPr>
      <w:t>7</w:t>
    </w:r>
    <w:r w:rsidR="00F760E9">
      <w:rPr>
        <w:noProof/>
      </w:rPr>
      <w:t>18</w:t>
    </w:r>
    <w:r w:rsidR="00D021EB">
      <w:rPr>
        <w:noProof/>
      </w:rPr>
      <w:t>, as amended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377290"/>
      <w:docPartObj>
        <w:docPartGallery w:val="Page Numbers (Bottom of Page)"/>
        <w:docPartUnique/>
      </w:docPartObj>
    </w:sdtPr>
    <w:sdtEndPr>
      <w:rPr>
        <w:noProof/>
      </w:rPr>
    </w:sdtEndPr>
    <w:sdtContent>
      <w:p w14:paraId="184BDDD4" w14:textId="66E34601" w:rsidR="006744D2" w:rsidRDefault="006744D2">
        <w:pPr>
          <w:pStyle w:val="Footer"/>
          <w:jc w:val="center"/>
        </w:pPr>
        <w:r>
          <w:fldChar w:fldCharType="begin"/>
        </w:r>
        <w:r>
          <w:instrText xml:space="preserve"> PAGE   \* MERGEFORMAT </w:instrText>
        </w:r>
        <w:r>
          <w:fldChar w:fldCharType="separate"/>
        </w:r>
        <w:r w:rsidR="00557358">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451EA" w14:textId="271B308B" w:rsidR="00243C45" w:rsidRDefault="00243C45" w:rsidP="00D1473B">
    <w:pPr>
      <w:pStyle w:val="Footer"/>
      <w:jc w:val="center"/>
      <w:rPr>
        <w:noProof/>
      </w:rPr>
    </w:pPr>
    <w:r>
      <w:t>Exhibit A-</w:t>
    </w:r>
    <w:r>
      <w:fldChar w:fldCharType="begin"/>
    </w:r>
    <w:r>
      <w:instrText xml:space="preserve"> PAGE   \* MERGEFORMAT </w:instrText>
    </w:r>
    <w:r>
      <w:fldChar w:fldCharType="separate"/>
    </w:r>
    <w:r w:rsidR="00D021EB">
      <w:rPr>
        <w:noProof/>
      </w:rPr>
      <w:t>1</w:t>
    </w:r>
    <w:r>
      <w:rPr>
        <w:noProof/>
      </w:rPr>
      <w:fldChar w:fldCharType="end"/>
    </w:r>
  </w:p>
  <w:p w14:paraId="6A75F182" w14:textId="35999F6F" w:rsidR="009C440D" w:rsidRDefault="009C440D" w:rsidP="009C440D">
    <w:pPr>
      <w:pStyle w:val="Footer"/>
      <w:rPr>
        <w:noProof/>
      </w:rPr>
    </w:pPr>
    <w:r>
      <w:rPr>
        <w:noProof/>
      </w:rPr>
      <w:t xml:space="preserve">Revised </w:t>
    </w:r>
    <w:r w:rsidR="0027376E">
      <w:rPr>
        <w:noProof/>
      </w:rPr>
      <w:t>091418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EC0C3" w14:textId="57FDE757" w:rsidR="00BE48D0" w:rsidRDefault="009C440D" w:rsidP="009C440D">
    <w:pPr>
      <w:pStyle w:val="Footer"/>
      <w:tabs>
        <w:tab w:val="clear" w:pos="4680"/>
      </w:tabs>
      <w:jc w:val="center"/>
      <w:rPr>
        <w:noProof/>
      </w:rPr>
    </w:pPr>
    <w:r>
      <w:rPr>
        <w:noProof/>
      </w:rPr>
      <w:t>Exhibit B-1</w:t>
    </w:r>
  </w:p>
  <w:p w14:paraId="42A0D15E" w14:textId="618647C7" w:rsidR="009C440D" w:rsidRDefault="007C785A" w:rsidP="009C440D">
    <w:pPr>
      <w:pStyle w:val="Footer"/>
      <w:tabs>
        <w:tab w:val="clear" w:pos="4680"/>
      </w:tabs>
      <w:rPr>
        <w:noProof/>
      </w:rPr>
    </w:pPr>
    <w:r>
      <w:rPr>
        <w:noProof/>
      </w:rPr>
      <w:t xml:space="preserve">Revised </w:t>
    </w:r>
    <w:r w:rsidR="0027376E">
      <w:rPr>
        <w:noProof/>
      </w:rPr>
      <w:t>091418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0578" w14:textId="12BF3E06" w:rsidR="002B4CBD" w:rsidRDefault="002B4CBD" w:rsidP="009C440D">
    <w:pPr>
      <w:pStyle w:val="Footer"/>
      <w:tabs>
        <w:tab w:val="clear" w:pos="4680"/>
      </w:tabs>
      <w:jc w:val="center"/>
      <w:rPr>
        <w:noProof/>
      </w:rPr>
    </w:pPr>
    <w:r>
      <w:rPr>
        <w:noProof/>
      </w:rPr>
      <w:t>Exhibit C</w:t>
    </w:r>
  </w:p>
  <w:p w14:paraId="5514A89B" w14:textId="777C910E" w:rsidR="002B4CBD" w:rsidRDefault="002B4CBD" w:rsidP="009C440D">
    <w:pPr>
      <w:pStyle w:val="Footer"/>
      <w:tabs>
        <w:tab w:val="clear" w:pos="4680"/>
      </w:tabs>
      <w:rPr>
        <w:noProof/>
      </w:rPr>
    </w:pPr>
    <w:r>
      <w:rPr>
        <w:noProof/>
      </w:rPr>
      <w:t xml:space="preserve">Revised </w:t>
    </w:r>
    <w:r w:rsidR="0027376E">
      <w:rPr>
        <w:noProof/>
      </w:rPr>
      <w:t>091418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E311B" w14:textId="77777777" w:rsidR="008A372E" w:rsidRDefault="008A372E" w:rsidP="00AE0C0C">
      <w:r>
        <w:separator/>
      </w:r>
    </w:p>
  </w:footnote>
  <w:footnote w:type="continuationSeparator" w:id="0">
    <w:p w14:paraId="2FFC8139" w14:textId="77777777" w:rsidR="008A372E" w:rsidRDefault="008A372E" w:rsidP="00AE0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2F9AF" w14:textId="65230EF8" w:rsidR="00663C23" w:rsidRDefault="00506802" w:rsidP="00311430">
    <w:pPr>
      <w:pStyle w:val="Header"/>
      <w:jc w:val="right"/>
    </w:pPr>
    <w:r>
      <w:t xml:space="preserve">18788 </w:t>
    </w:r>
    <w:r w:rsidR="00311430">
      <w:t>Attachment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BB6AC" w14:textId="35BAA4D2" w:rsidR="009C440D" w:rsidRDefault="009C440D" w:rsidP="009C440D">
    <w:pPr>
      <w:pStyle w:val="Header"/>
      <w:jc w:val="right"/>
    </w:pPr>
    <w:r>
      <w:t>Attachment A to PO 2018-0374</w:t>
    </w:r>
  </w:p>
  <w:p w14:paraId="5B1F5725" w14:textId="305E24AC" w:rsidR="007C620A" w:rsidRDefault="007C620A" w:rsidP="009C440D">
    <w:pPr>
      <w:pStyle w:val="Header"/>
      <w:jc w:val="right"/>
    </w:pPr>
    <w:r>
      <w:t>Revised 9-</w:t>
    </w:r>
    <w:r w:rsidR="002B4CBD">
      <w:t>1</w:t>
    </w:r>
    <w:r>
      <w:t>-18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0CBD0" w14:textId="77777777" w:rsidR="004A7523" w:rsidRPr="004047BD" w:rsidRDefault="004A7523" w:rsidP="00404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990"/>
    <w:multiLevelType w:val="hybridMultilevel"/>
    <w:tmpl w:val="6AB0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8100E"/>
    <w:multiLevelType w:val="hybridMultilevel"/>
    <w:tmpl w:val="B8620062"/>
    <w:lvl w:ilvl="0" w:tplc="2FFAEB2C">
      <w:start w:val="1"/>
      <w:numFmt w:val="decimal"/>
      <w:lvlText w:val="Sec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D13B81"/>
    <w:multiLevelType w:val="hybridMultilevel"/>
    <w:tmpl w:val="162E4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FinalID" w:val="Final"/>
    <w:docVar w:name="SnapPaper" w:val="Word Document"/>
  </w:docVars>
  <w:rsids>
    <w:rsidRoot w:val="006A3404"/>
    <w:rsid w:val="00037B68"/>
    <w:rsid w:val="000555C7"/>
    <w:rsid w:val="0007078E"/>
    <w:rsid w:val="0008647D"/>
    <w:rsid w:val="000904A3"/>
    <w:rsid w:val="000A640A"/>
    <w:rsid w:val="000B04B1"/>
    <w:rsid w:val="000D7753"/>
    <w:rsid w:val="000D7AB0"/>
    <w:rsid w:val="000E56CB"/>
    <w:rsid w:val="000E78ED"/>
    <w:rsid w:val="000E7DB8"/>
    <w:rsid w:val="0010274E"/>
    <w:rsid w:val="00151B2F"/>
    <w:rsid w:val="0015262A"/>
    <w:rsid w:val="00152B4D"/>
    <w:rsid w:val="00153058"/>
    <w:rsid w:val="001645F1"/>
    <w:rsid w:val="00185293"/>
    <w:rsid w:val="00197651"/>
    <w:rsid w:val="001A039F"/>
    <w:rsid w:val="001A2DDF"/>
    <w:rsid w:val="001A3197"/>
    <w:rsid w:val="001A4689"/>
    <w:rsid w:val="001D1F96"/>
    <w:rsid w:val="001E3C40"/>
    <w:rsid w:val="00201344"/>
    <w:rsid w:val="002066C7"/>
    <w:rsid w:val="00207DAE"/>
    <w:rsid w:val="002139A4"/>
    <w:rsid w:val="002202D9"/>
    <w:rsid w:val="00221FCF"/>
    <w:rsid w:val="002245B0"/>
    <w:rsid w:val="002263DE"/>
    <w:rsid w:val="00234B32"/>
    <w:rsid w:val="00235CAA"/>
    <w:rsid w:val="002366F0"/>
    <w:rsid w:val="00236D41"/>
    <w:rsid w:val="00243C45"/>
    <w:rsid w:val="00252DF1"/>
    <w:rsid w:val="002559FE"/>
    <w:rsid w:val="002650D2"/>
    <w:rsid w:val="002658B2"/>
    <w:rsid w:val="0027376E"/>
    <w:rsid w:val="00282187"/>
    <w:rsid w:val="00294D94"/>
    <w:rsid w:val="002967A7"/>
    <w:rsid w:val="002B4CBD"/>
    <w:rsid w:val="002B7187"/>
    <w:rsid w:val="002B7240"/>
    <w:rsid w:val="002C1BF2"/>
    <w:rsid w:val="002D1741"/>
    <w:rsid w:val="002D2B42"/>
    <w:rsid w:val="002F51E5"/>
    <w:rsid w:val="00311430"/>
    <w:rsid w:val="003141A9"/>
    <w:rsid w:val="0032582A"/>
    <w:rsid w:val="00350A08"/>
    <w:rsid w:val="003568E8"/>
    <w:rsid w:val="0036795D"/>
    <w:rsid w:val="003800E1"/>
    <w:rsid w:val="00386282"/>
    <w:rsid w:val="00393799"/>
    <w:rsid w:val="003C4FB5"/>
    <w:rsid w:val="003D4637"/>
    <w:rsid w:val="003D5654"/>
    <w:rsid w:val="003E35B2"/>
    <w:rsid w:val="003F306A"/>
    <w:rsid w:val="004047BD"/>
    <w:rsid w:val="004123E0"/>
    <w:rsid w:val="00412AC7"/>
    <w:rsid w:val="00412DF8"/>
    <w:rsid w:val="00413C65"/>
    <w:rsid w:val="004242A2"/>
    <w:rsid w:val="00426F3D"/>
    <w:rsid w:val="00427240"/>
    <w:rsid w:val="00434A9C"/>
    <w:rsid w:val="00440939"/>
    <w:rsid w:val="00444B12"/>
    <w:rsid w:val="00456F13"/>
    <w:rsid w:val="00465D9E"/>
    <w:rsid w:val="00471B70"/>
    <w:rsid w:val="00471CAB"/>
    <w:rsid w:val="00476DCA"/>
    <w:rsid w:val="004933C2"/>
    <w:rsid w:val="004A7523"/>
    <w:rsid w:val="004C48FF"/>
    <w:rsid w:val="004D0D0B"/>
    <w:rsid w:val="004D480B"/>
    <w:rsid w:val="00501C49"/>
    <w:rsid w:val="00502A47"/>
    <w:rsid w:val="00506802"/>
    <w:rsid w:val="00517593"/>
    <w:rsid w:val="005216A4"/>
    <w:rsid w:val="0053288F"/>
    <w:rsid w:val="00543603"/>
    <w:rsid w:val="00557358"/>
    <w:rsid w:val="00573A6D"/>
    <w:rsid w:val="005A26CA"/>
    <w:rsid w:val="005A2938"/>
    <w:rsid w:val="005C4489"/>
    <w:rsid w:val="005C6CB0"/>
    <w:rsid w:val="005D22D3"/>
    <w:rsid w:val="005D549F"/>
    <w:rsid w:val="005D7274"/>
    <w:rsid w:val="005D733C"/>
    <w:rsid w:val="005F1B23"/>
    <w:rsid w:val="005F237B"/>
    <w:rsid w:val="005F39C0"/>
    <w:rsid w:val="00601819"/>
    <w:rsid w:val="00614575"/>
    <w:rsid w:val="006168D8"/>
    <w:rsid w:val="006221D7"/>
    <w:rsid w:val="006246B4"/>
    <w:rsid w:val="006263B4"/>
    <w:rsid w:val="00633F30"/>
    <w:rsid w:val="006512C9"/>
    <w:rsid w:val="00655FC2"/>
    <w:rsid w:val="006615DC"/>
    <w:rsid w:val="00663C23"/>
    <w:rsid w:val="006666EE"/>
    <w:rsid w:val="006744D2"/>
    <w:rsid w:val="006822B4"/>
    <w:rsid w:val="0068797E"/>
    <w:rsid w:val="00692171"/>
    <w:rsid w:val="006A1449"/>
    <w:rsid w:val="006A3404"/>
    <w:rsid w:val="006B3213"/>
    <w:rsid w:val="006E04AB"/>
    <w:rsid w:val="006E176C"/>
    <w:rsid w:val="00705EFC"/>
    <w:rsid w:val="00710083"/>
    <w:rsid w:val="0071120A"/>
    <w:rsid w:val="00712DAD"/>
    <w:rsid w:val="00737749"/>
    <w:rsid w:val="007455FB"/>
    <w:rsid w:val="007470A9"/>
    <w:rsid w:val="00751210"/>
    <w:rsid w:val="007556A8"/>
    <w:rsid w:val="007703BD"/>
    <w:rsid w:val="007768BD"/>
    <w:rsid w:val="00781296"/>
    <w:rsid w:val="0079305A"/>
    <w:rsid w:val="007A359B"/>
    <w:rsid w:val="007C620A"/>
    <w:rsid w:val="007C785A"/>
    <w:rsid w:val="007E01EA"/>
    <w:rsid w:val="007E09E3"/>
    <w:rsid w:val="007F08AC"/>
    <w:rsid w:val="008052AF"/>
    <w:rsid w:val="00807CCF"/>
    <w:rsid w:val="00811C52"/>
    <w:rsid w:val="00822A06"/>
    <w:rsid w:val="00833D2A"/>
    <w:rsid w:val="008715ED"/>
    <w:rsid w:val="00891325"/>
    <w:rsid w:val="00894573"/>
    <w:rsid w:val="00895D11"/>
    <w:rsid w:val="008A01B6"/>
    <w:rsid w:val="008A372E"/>
    <w:rsid w:val="008A6073"/>
    <w:rsid w:val="008C3661"/>
    <w:rsid w:val="008D1C3E"/>
    <w:rsid w:val="00901B09"/>
    <w:rsid w:val="00912B50"/>
    <w:rsid w:val="009140AB"/>
    <w:rsid w:val="00915228"/>
    <w:rsid w:val="009215CD"/>
    <w:rsid w:val="00926B87"/>
    <w:rsid w:val="009369E4"/>
    <w:rsid w:val="00972F1E"/>
    <w:rsid w:val="00982521"/>
    <w:rsid w:val="00984EAB"/>
    <w:rsid w:val="0099223B"/>
    <w:rsid w:val="009A6E07"/>
    <w:rsid w:val="009C440D"/>
    <w:rsid w:val="009D5049"/>
    <w:rsid w:val="00A00CAF"/>
    <w:rsid w:val="00A013AA"/>
    <w:rsid w:val="00A01EB8"/>
    <w:rsid w:val="00A04D07"/>
    <w:rsid w:val="00A14E9D"/>
    <w:rsid w:val="00A2518A"/>
    <w:rsid w:val="00A35D27"/>
    <w:rsid w:val="00A47724"/>
    <w:rsid w:val="00A75406"/>
    <w:rsid w:val="00A77201"/>
    <w:rsid w:val="00A8088D"/>
    <w:rsid w:val="00A870DC"/>
    <w:rsid w:val="00A95353"/>
    <w:rsid w:val="00AA1DCA"/>
    <w:rsid w:val="00AA3033"/>
    <w:rsid w:val="00AA79AE"/>
    <w:rsid w:val="00AB2176"/>
    <w:rsid w:val="00AC0778"/>
    <w:rsid w:val="00AD22CD"/>
    <w:rsid w:val="00AD30C0"/>
    <w:rsid w:val="00AE0C0C"/>
    <w:rsid w:val="00B055D8"/>
    <w:rsid w:val="00B23939"/>
    <w:rsid w:val="00B40C6A"/>
    <w:rsid w:val="00B4469D"/>
    <w:rsid w:val="00B520FA"/>
    <w:rsid w:val="00B572F5"/>
    <w:rsid w:val="00B64DA7"/>
    <w:rsid w:val="00BC56EB"/>
    <w:rsid w:val="00BD215F"/>
    <w:rsid w:val="00BD2537"/>
    <w:rsid w:val="00BD3C62"/>
    <w:rsid w:val="00BE48D0"/>
    <w:rsid w:val="00BE6F30"/>
    <w:rsid w:val="00C22BFF"/>
    <w:rsid w:val="00C330A6"/>
    <w:rsid w:val="00C33741"/>
    <w:rsid w:val="00C46A97"/>
    <w:rsid w:val="00C5240F"/>
    <w:rsid w:val="00C54975"/>
    <w:rsid w:val="00C551A8"/>
    <w:rsid w:val="00C600AC"/>
    <w:rsid w:val="00C63E71"/>
    <w:rsid w:val="00C80775"/>
    <w:rsid w:val="00C83B1B"/>
    <w:rsid w:val="00C91973"/>
    <w:rsid w:val="00C91FD3"/>
    <w:rsid w:val="00CA00A0"/>
    <w:rsid w:val="00CA6858"/>
    <w:rsid w:val="00CB554D"/>
    <w:rsid w:val="00CC4C19"/>
    <w:rsid w:val="00CD2325"/>
    <w:rsid w:val="00CE13D4"/>
    <w:rsid w:val="00D00516"/>
    <w:rsid w:val="00D0199E"/>
    <w:rsid w:val="00D021EB"/>
    <w:rsid w:val="00D06122"/>
    <w:rsid w:val="00D143C8"/>
    <w:rsid w:val="00D1473B"/>
    <w:rsid w:val="00D15903"/>
    <w:rsid w:val="00D33670"/>
    <w:rsid w:val="00D36289"/>
    <w:rsid w:val="00D4377A"/>
    <w:rsid w:val="00D4761A"/>
    <w:rsid w:val="00D60463"/>
    <w:rsid w:val="00D64D4D"/>
    <w:rsid w:val="00D65363"/>
    <w:rsid w:val="00D65DAE"/>
    <w:rsid w:val="00D767D6"/>
    <w:rsid w:val="00DA6821"/>
    <w:rsid w:val="00DB51C5"/>
    <w:rsid w:val="00DE2198"/>
    <w:rsid w:val="00DE3E89"/>
    <w:rsid w:val="00E01E83"/>
    <w:rsid w:val="00E15B7F"/>
    <w:rsid w:val="00E24CE7"/>
    <w:rsid w:val="00E34A80"/>
    <w:rsid w:val="00E3507F"/>
    <w:rsid w:val="00E379D4"/>
    <w:rsid w:val="00E51998"/>
    <w:rsid w:val="00E533BE"/>
    <w:rsid w:val="00E60FE1"/>
    <w:rsid w:val="00E61F64"/>
    <w:rsid w:val="00E71965"/>
    <w:rsid w:val="00E77E0D"/>
    <w:rsid w:val="00E82E2D"/>
    <w:rsid w:val="00E87703"/>
    <w:rsid w:val="00EB55CA"/>
    <w:rsid w:val="00EC1553"/>
    <w:rsid w:val="00ED0055"/>
    <w:rsid w:val="00ED309C"/>
    <w:rsid w:val="00ED7113"/>
    <w:rsid w:val="00EE5636"/>
    <w:rsid w:val="00F062D5"/>
    <w:rsid w:val="00F31889"/>
    <w:rsid w:val="00F42CDB"/>
    <w:rsid w:val="00F760E9"/>
    <w:rsid w:val="00F84EBD"/>
    <w:rsid w:val="00F8704C"/>
    <w:rsid w:val="00F96BB4"/>
    <w:rsid w:val="00FB0DA1"/>
    <w:rsid w:val="00FC30D5"/>
    <w:rsid w:val="00FD0086"/>
    <w:rsid w:val="00FD3041"/>
    <w:rsid w:val="00FD48A4"/>
    <w:rsid w:val="00FE1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6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049"/>
    <w:pPr>
      <w:ind w:left="720"/>
      <w:contextualSpacing/>
    </w:pPr>
  </w:style>
  <w:style w:type="paragraph" w:styleId="Header">
    <w:name w:val="header"/>
    <w:basedOn w:val="Normal"/>
    <w:link w:val="HeaderChar"/>
    <w:uiPriority w:val="99"/>
    <w:unhideWhenUsed/>
    <w:rsid w:val="00AE0C0C"/>
    <w:pPr>
      <w:tabs>
        <w:tab w:val="center" w:pos="4680"/>
        <w:tab w:val="right" w:pos="9360"/>
      </w:tabs>
    </w:pPr>
  </w:style>
  <w:style w:type="character" w:customStyle="1" w:styleId="HeaderChar">
    <w:name w:val="Header Char"/>
    <w:basedOn w:val="DefaultParagraphFont"/>
    <w:link w:val="Header"/>
    <w:uiPriority w:val="99"/>
    <w:rsid w:val="00AE0C0C"/>
  </w:style>
  <w:style w:type="paragraph" w:styleId="Footer">
    <w:name w:val="footer"/>
    <w:basedOn w:val="Normal"/>
    <w:link w:val="FooterChar"/>
    <w:uiPriority w:val="99"/>
    <w:unhideWhenUsed/>
    <w:rsid w:val="00AE0C0C"/>
    <w:pPr>
      <w:tabs>
        <w:tab w:val="center" w:pos="4680"/>
        <w:tab w:val="right" w:pos="9360"/>
      </w:tabs>
    </w:pPr>
  </w:style>
  <w:style w:type="character" w:customStyle="1" w:styleId="FooterChar">
    <w:name w:val="Footer Char"/>
    <w:basedOn w:val="DefaultParagraphFont"/>
    <w:link w:val="Footer"/>
    <w:uiPriority w:val="99"/>
    <w:rsid w:val="00AE0C0C"/>
  </w:style>
  <w:style w:type="table" w:styleId="TableGrid">
    <w:name w:val="Table Grid"/>
    <w:basedOn w:val="TableNormal"/>
    <w:uiPriority w:val="59"/>
    <w:rsid w:val="00B52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041"/>
    <w:rPr>
      <w:sz w:val="16"/>
      <w:szCs w:val="16"/>
    </w:rPr>
  </w:style>
  <w:style w:type="paragraph" w:styleId="CommentText">
    <w:name w:val="annotation text"/>
    <w:basedOn w:val="Normal"/>
    <w:link w:val="CommentTextChar"/>
    <w:uiPriority w:val="99"/>
    <w:semiHidden/>
    <w:unhideWhenUsed/>
    <w:rsid w:val="00FD3041"/>
    <w:rPr>
      <w:sz w:val="20"/>
      <w:szCs w:val="20"/>
    </w:rPr>
  </w:style>
  <w:style w:type="character" w:customStyle="1" w:styleId="CommentTextChar">
    <w:name w:val="Comment Text Char"/>
    <w:basedOn w:val="DefaultParagraphFont"/>
    <w:link w:val="CommentText"/>
    <w:uiPriority w:val="99"/>
    <w:semiHidden/>
    <w:rsid w:val="00FD3041"/>
    <w:rPr>
      <w:sz w:val="20"/>
      <w:szCs w:val="20"/>
    </w:rPr>
  </w:style>
  <w:style w:type="paragraph" w:styleId="CommentSubject">
    <w:name w:val="annotation subject"/>
    <w:basedOn w:val="CommentText"/>
    <w:next w:val="CommentText"/>
    <w:link w:val="CommentSubjectChar"/>
    <w:uiPriority w:val="99"/>
    <w:semiHidden/>
    <w:unhideWhenUsed/>
    <w:rsid w:val="00FD3041"/>
    <w:rPr>
      <w:b/>
      <w:bCs/>
    </w:rPr>
  </w:style>
  <w:style w:type="character" w:customStyle="1" w:styleId="CommentSubjectChar">
    <w:name w:val="Comment Subject Char"/>
    <w:basedOn w:val="CommentTextChar"/>
    <w:link w:val="CommentSubject"/>
    <w:uiPriority w:val="99"/>
    <w:semiHidden/>
    <w:rsid w:val="00FD3041"/>
    <w:rPr>
      <w:b/>
      <w:bCs/>
      <w:sz w:val="20"/>
      <w:szCs w:val="20"/>
    </w:rPr>
  </w:style>
  <w:style w:type="paragraph" w:styleId="BalloonText">
    <w:name w:val="Balloon Text"/>
    <w:basedOn w:val="Normal"/>
    <w:link w:val="BalloonTextChar"/>
    <w:uiPriority w:val="99"/>
    <w:semiHidden/>
    <w:unhideWhenUsed/>
    <w:rsid w:val="00FD3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041"/>
    <w:rPr>
      <w:rFonts w:ascii="Segoe UI" w:hAnsi="Segoe UI" w:cs="Segoe UI"/>
      <w:sz w:val="18"/>
      <w:szCs w:val="18"/>
    </w:rPr>
  </w:style>
  <w:style w:type="character" w:customStyle="1" w:styleId="zzmpTrailerItem">
    <w:name w:val="zzmpTrailerItem"/>
    <w:rsid w:val="00AA79AE"/>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E379D4"/>
  </w:style>
  <w:style w:type="character" w:styleId="LineNumber">
    <w:name w:val="line number"/>
    <w:basedOn w:val="DefaultParagraphFont"/>
    <w:uiPriority w:val="99"/>
    <w:semiHidden/>
    <w:unhideWhenUsed/>
    <w:rsid w:val="0081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5434">
      <w:bodyDiv w:val="1"/>
      <w:marLeft w:val="0"/>
      <w:marRight w:val="0"/>
      <w:marTop w:val="0"/>
      <w:marBottom w:val="0"/>
      <w:divBdr>
        <w:top w:val="none" w:sz="0" w:space="0" w:color="auto"/>
        <w:left w:val="none" w:sz="0" w:space="0" w:color="auto"/>
        <w:bottom w:val="none" w:sz="0" w:space="0" w:color="auto"/>
        <w:right w:val="none" w:sz="0" w:space="0" w:color="auto"/>
      </w:divBdr>
    </w:div>
    <w:div w:id="14978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065E5-3199-4C4C-9AC7-EF45E4FF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2018-09-18T16:02:00Z</dcterms:created>
  <dcterms:modified xsi:type="dcterms:W3CDTF">2018-09-18T17:14:00Z</dcterms:modified>
</cp:coreProperties>
</file>