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FD4" w:rsidRDefault="00EA0FD4" w:rsidP="00CA0415">
      <w:bookmarkStart w:id="0" w:name="_GoBack"/>
      <w:bookmarkEnd w:id="0"/>
    </w:p>
    <w:p w:rsidR="00DF60DB" w:rsidRPr="00077CBF" w:rsidRDefault="00DF60DB" w:rsidP="00DF60DB">
      <w:pPr>
        <w:jc w:val="center"/>
        <w:rPr>
          <w:rFonts w:ascii="Arial" w:hAnsi="Arial" w:cs="Arial"/>
          <w:b/>
          <w:sz w:val="28"/>
          <w:szCs w:val="32"/>
        </w:rPr>
      </w:pPr>
      <w:r w:rsidRPr="00077CBF">
        <w:rPr>
          <w:rFonts w:ascii="Arial" w:hAnsi="Arial" w:cs="Arial"/>
          <w:b/>
          <w:sz w:val="28"/>
          <w:szCs w:val="32"/>
        </w:rPr>
        <w:t>Proposed Ordinance Re</w:t>
      </w:r>
      <w:r w:rsidR="00D3275F" w:rsidRPr="00077CBF">
        <w:rPr>
          <w:rFonts w:ascii="Arial" w:hAnsi="Arial" w:cs="Arial"/>
          <w:b/>
          <w:sz w:val="28"/>
          <w:szCs w:val="32"/>
        </w:rPr>
        <w:t xml:space="preserve">lating </w:t>
      </w:r>
      <w:r w:rsidR="004F647A" w:rsidRPr="00077CBF">
        <w:rPr>
          <w:rFonts w:ascii="Arial" w:hAnsi="Arial" w:cs="Arial"/>
          <w:b/>
          <w:sz w:val="28"/>
          <w:szCs w:val="32"/>
        </w:rPr>
        <w:t xml:space="preserve">to </w:t>
      </w:r>
      <w:r w:rsidR="00CA0415" w:rsidRPr="00077CBF">
        <w:rPr>
          <w:rFonts w:ascii="Arial" w:hAnsi="Arial" w:cs="Arial"/>
          <w:b/>
          <w:sz w:val="28"/>
          <w:szCs w:val="32"/>
        </w:rPr>
        <w:t>Comprehensive Plan Update Cycle and Subarea Planning Restructure</w:t>
      </w:r>
    </w:p>
    <w:p w:rsidR="00347821" w:rsidRPr="00CA0415" w:rsidRDefault="00347821" w:rsidP="00CA0415"/>
    <w:p w:rsidR="00E301D5" w:rsidRPr="00CA0415" w:rsidRDefault="00E301D5" w:rsidP="00E301D5">
      <w:pPr>
        <w:rPr>
          <w:rFonts w:cs="Arial"/>
          <w:sz w:val="24"/>
          <w:szCs w:val="22"/>
        </w:rPr>
      </w:pPr>
    </w:p>
    <w:p w:rsidR="00E301D5" w:rsidRPr="00CA0415" w:rsidRDefault="00E301D5" w:rsidP="00E301D5">
      <w:pPr>
        <w:rPr>
          <w:rFonts w:cs="Arial"/>
          <w:sz w:val="24"/>
          <w:szCs w:val="22"/>
        </w:rPr>
      </w:pPr>
      <w:r w:rsidRPr="00CA0415">
        <w:rPr>
          <w:rFonts w:cs="Arial"/>
          <w:sz w:val="24"/>
          <w:szCs w:val="22"/>
        </w:rPr>
        <w:t>This summary fulfills the state Growth Management Act and King County Ordinance 13147 requirement for a “plain language summary.”</w:t>
      </w:r>
    </w:p>
    <w:p w:rsidR="00E301D5" w:rsidRPr="00CA0415" w:rsidRDefault="00E301D5" w:rsidP="00E301D5">
      <w:pPr>
        <w:rPr>
          <w:rFonts w:cs="Arial"/>
          <w:sz w:val="24"/>
          <w:szCs w:val="22"/>
        </w:rPr>
      </w:pPr>
    </w:p>
    <w:p w:rsidR="00EA0FD4" w:rsidRPr="00CA0415" w:rsidRDefault="00EA0FD4" w:rsidP="00EA0FD4">
      <w:pPr>
        <w:pStyle w:val="Heading1"/>
        <w:rPr>
          <w:rFonts w:cs="Arial"/>
          <w:sz w:val="24"/>
          <w:szCs w:val="22"/>
        </w:rPr>
      </w:pPr>
      <w:r w:rsidRPr="00CA0415">
        <w:rPr>
          <w:rFonts w:cs="Arial"/>
          <w:sz w:val="24"/>
          <w:szCs w:val="22"/>
        </w:rPr>
        <w:t>Background</w:t>
      </w:r>
    </w:p>
    <w:p w:rsidR="00EA0FD4" w:rsidRPr="00CA0415" w:rsidRDefault="00EA0FD4" w:rsidP="00EA0FD4">
      <w:pPr>
        <w:rPr>
          <w:rFonts w:cs="Arial"/>
          <w:sz w:val="24"/>
          <w:szCs w:val="22"/>
        </w:rPr>
      </w:pPr>
      <w:r w:rsidRPr="00CA0415">
        <w:rPr>
          <w:rFonts w:cs="Arial"/>
          <w:sz w:val="24"/>
          <w:szCs w:val="22"/>
        </w:rPr>
        <w:t xml:space="preserve">King County </w:t>
      </w:r>
      <w:r w:rsidR="00CC0949" w:rsidRPr="00CA0415">
        <w:rPr>
          <w:rFonts w:cs="Arial"/>
          <w:sz w:val="24"/>
          <w:szCs w:val="22"/>
        </w:rPr>
        <w:t>Comprehensive Plan Policies and King County Code govern the Comprehensive Plan and Subarea Planning Programs.</w:t>
      </w:r>
    </w:p>
    <w:p w:rsidR="00CC0949" w:rsidRPr="00CA0415" w:rsidRDefault="00CC0949" w:rsidP="00EA0FD4">
      <w:pPr>
        <w:rPr>
          <w:rFonts w:cs="Arial"/>
          <w:sz w:val="24"/>
          <w:szCs w:val="22"/>
        </w:rPr>
      </w:pPr>
    </w:p>
    <w:p w:rsidR="00CC0949" w:rsidRPr="00CA0415" w:rsidRDefault="00CC0949" w:rsidP="00EA0FD4">
      <w:pPr>
        <w:rPr>
          <w:rFonts w:cs="Arial"/>
          <w:sz w:val="24"/>
          <w:szCs w:val="22"/>
        </w:rPr>
      </w:pPr>
      <w:r w:rsidRPr="00CA0415">
        <w:rPr>
          <w:rFonts w:cs="Arial"/>
          <w:sz w:val="24"/>
          <w:szCs w:val="22"/>
        </w:rPr>
        <w:t>The Comprehensive Plan is adopted per Revised Code of Washington Chapter 36.70A.  Subarea Plans are Optional Elements of the Comprehensive Plan</w:t>
      </w:r>
      <w:r w:rsidR="006C3A5C">
        <w:rPr>
          <w:rFonts w:cs="Arial"/>
          <w:sz w:val="24"/>
          <w:szCs w:val="22"/>
        </w:rPr>
        <w:t xml:space="preserve"> </w:t>
      </w:r>
      <w:r w:rsidR="006C3A5C" w:rsidRPr="006C3A5C">
        <w:rPr>
          <w:rFonts w:cs="Arial"/>
          <w:sz w:val="24"/>
          <w:szCs w:val="22"/>
        </w:rPr>
        <w:t>that are intended to provide a more detailed plan for a smaller geographic area</w:t>
      </w:r>
      <w:r w:rsidRPr="00CA0415">
        <w:rPr>
          <w:rFonts w:cs="Arial"/>
          <w:sz w:val="24"/>
          <w:szCs w:val="22"/>
        </w:rPr>
        <w:t>.  In 2015, King County reinitiated its subarea planning program.  In 2016, the County Council requested that the Comprehensive Plan be moved off of the Biennial Budget adoption year.  Regulations guiding these programs are found primarily in King County Code Title 20.</w:t>
      </w:r>
    </w:p>
    <w:p w:rsidR="00EA0FD4" w:rsidRPr="00CA0415" w:rsidRDefault="00EA0FD4" w:rsidP="00EA0FD4">
      <w:pPr>
        <w:rPr>
          <w:rFonts w:cs="Arial"/>
          <w:sz w:val="24"/>
          <w:szCs w:val="22"/>
        </w:rPr>
      </w:pPr>
    </w:p>
    <w:p w:rsidR="00296CF9" w:rsidRDefault="00CC0949" w:rsidP="00296CF9">
      <w:pPr>
        <w:rPr>
          <w:rFonts w:cs="Arial"/>
          <w:sz w:val="24"/>
          <w:szCs w:val="22"/>
        </w:rPr>
      </w:pPr>
      <w:r w:rsidRPr="00CA0415">
        <w:rPr>
          <w:rFonts w:cs="Arial"/>
          <w:sz w:val="24"/>
          <w:szCs w:val="22"/>
        </w:rPr>
        <w:t xml:space="preserve">In 2017, the County Council </w:t>
      </w:r>
      <w:r w:rsidR="00296CF9">
        <w:rPr>
          <w:rFonts w:cs="Arial"/>
          <w:sz w:val="24"/>
          <w:szCs w:val="22"/>
        </w:rPr>
        <w:t>adopted two provisos</w:t>
      </w:r>
      <w:r w:rsidR="00296CF9">
        <w:rPr>
          <w:rStyle w:val="FootnoteReference"/>
          <w:rFonts w:cs="Arial"/>
          <w:sz w:val="24"/>
          <w:szCs w:val="22"/>
        </w:rPr>
        <w:footnoteReference w:id="1"/>
      </w:r>
      <w:r w:rsidR="00296CF9">
        <w:rPr>
          <w:rFonts w:cs="Arial"/>
          <w:sz w:val="24"/>
          <w:szCs w:val="22"/>
        </w:rPr>
        <w:t xml:space="preserve"> directing the subarea </w:t>
      </w:r>
      <w:r w:rsidR="00296CF9" w:rsidRPr="00CA0415">
        <w:rPr>
          <w:rFonts w:cs="Arial"/>
          <w:sz w:val="24"/>
          <w:szCs w:val="22"/>
        </w:rPr>
        <w:t>planning program be restructured to address regulatory consistency, consistency with the budget, increased interdepartmental coordination and collaboration</w:t>
      </w:r>
      <w:r w:rsidR="00296CF9">
        <w:rPr>
          <w:rFonts w:cs="Arial"/>
          <w:sz w:val="24"/>
          <w:szCs w:val="22"/>
        </w:rPr>
        <w:t>.</w:t>
      </w:r>
    </w:p>
    <w:p w:rsidR="00296CF9" w:rsidRDefault="00296CF9" w:rsidP="00296CF9">
      <w:pPr>
        <w:rPr>
          <w:rFonts w:cs="Arial"/>
          <w:sz w:val="24"/>
          <w:szCs w:val="22"/>
        </w:rPr>
      </w:pPr>
    </w:p>
    <w:p w:rsidR="00E301D5" w:rsidRPr="0044382C" w:rsidRDefault="00E301D5" w:rsidP="00296CF9">
      <w:pPr>
        <w:pStyle w:val="Heading1"/>
        <w:rPr>
          <w:sz w:val="24"/>
        </w:rPr>
      </w:pPr>
      <w:r w:rsidRPr="0044382C">
        <w:rPr>
          <w:sz w:val="24"/>
        </w:rPr>
        <w:t>Proposed Ordinance</w:t>
      </w:r>
    </w:p>
    <w:p w:rsidR="00EA0FD4" w:rsidRDefault="00E301D5" w:rsidP="00347821">
      <w:pPr>
        <w:tabs>
          <w:tab w:val="right" w:pos="4770"/>
          <w:tab w:val="right" w:pos="7560"/>
        </w:tabs>
        <w:rPr>
          <w:rFonts w:cs="Arial"/>
          <w:sz w:val="24"/>
          <w:szCs w:val="22"/>
        </w:rPr>
      </w:pPr>
      <w:r w:rsidRPr="00CA0415">
        <w:rPr>
          <w:rFonts w:cs="Arial"/>
          <w:sz w:val="24"/>
          <w:szCs w:val="22"/>
        </w:rPr>
        <w:t xml:space="preserve">The ordinance </w:t>
      </w:r>
      <w:r w:rsidR="007108DC">
        <w:rPr>
          <w:rFonts w:cs="Arial"/>
          <w:sz w:val="24"/>
          <w:szCs w:val="22"/>
        </w:rPr>
        <w:t>proposes to modify</w:t>
      </w:r>
      <w:r w:rsidRPr="00CA0415">
        <w:rPr>
          <w:rFonts w:cs="Arial"/>
          <w:sz w:val="24"/>
          <w:szCs w:val="22"/>
        </w:rPr>
        <w:t xml:space="preserve"> King County </w:t>
      </w:r>
      <w:r w:rsidR="00EA0FD4" w:rsidRPr="00CA0415">
        <w:rPr>
          <w:rFonts w:cs="Arial"/>
          <w:sz w:val="24"/>
          <w:szCs w:val="22"/>
        </w:rPr>
        <w:t>Code Title 2</w:t>
      </w:r>
      <w:r w:rsidR="00CC0949" w:rsidRPr="00CA0415">
        <w:rPr>
          <w:rFonts w:cs="Arial"/>
          <w:sz w:val="24"/>
          <w:szCs w:val="22"/>
        </w:rPr>
        <w:t>0 and the King County Comprehensive Plan policies in the following ways</w:t>
      </w:r>
      <w:r w:rsidR="00EA0FD4" w:rsidRPr="00CA0415">
        <w:rPr>
          <w:rFonts w:cs="Arial"/>
          <w:sz w:val="24"/>
          <w:szCs w:val="22"/>
        </w:rPr>
        <w:t>:</w:t>
      </w:r>
    </w:p>
    <w:p w:rsidR="00CC0949" w:rsidRPr="00CA0415" w:rsidRDefault="00CC0949" w:rsidP="007F0D77">
      <w:pPr>
        <w:pStyle w:val="ListParagraph"/>
        <w:numPr>
          <w:ilvl w:val="0"/>
          <w:numId w:val="7"/>
        </w:numPr>
        <w:tabs>
          <w:tab w:val="right" w:pos="4770"/>
          <w:tab w:val="right" w:pos="7560"/>
        </w:tabs>
        <w:spacing w:line="240" w:lineRule="auto"/>
        <w:rPr>
          <w:rFonts w:cs="Arial"/>
          <w:snapToGrid w:val="0"/>
          <w:sz w:val="24"/>
        </w:rPr>
      </w:pPr>
      <w:r w:rsidRPr="00CA0415">
        <w:rPr>
          <w:rFonts w:cs="Arial"/>
          <w:snapToGrid w:val="0"/>
          <w:sz w:val="24"/>
        </w:rPr>
        <w:t>Moves the Comprehensive Plan Major Four Year Update Cycle from an even year (e.g., 2016, 2020) to an odd year (e.g., 2023)</w:t>
      </w:r>
      <w:r w:rsidR="00296CF9">
        <w:rPr>
          <w:rFonts w:cs="Arial"/>
          <w:snapToGrid w:val="0"/>
          <w:sz w:val="24"/>
        </w:rPr>
        <w:t xml:space="preserve"> to </w:t>
      </w:r>
      <w:r w:rsidR="007F0D77">
        <w:rPr>
          <w:rFonts w:cs="Arial"/>
          <w:snapToGrid w:val="0"/>
          <w:sz w:val="24"/>
        </w:rPr>
        <w:t>no longer be on the Biennial Budget adoption year</w:t>
      </w:r>
    </w:p>
    <w:p w:rsidR="00CC0949" w:rsidRPr="00CA0415" w:rsidRDefault="00CC0949" w:rsidP="007F0D77">
      <w:pPr>
        <w:pStyle w:val="ListParagraph"/>
        <w:numPr>
          <w:ilvl w:val="0"/>
          <w:numId w:val="7"/>
        </w:numPr>
        <w:tabs>
          <w:tab w:val="right" w:pos="4770"/>
          <w:tab w:val="right" w:pos="7560"/>
        </w:tabs>
        <w:spacing w:line="240" w:lineRule="auto"/>
        <w:rPr>
          <w:rFonts w:cs="Arial"/>
          <w:snapToGrid w:val="0"/>
          <w:sz w:val="24"/>
        </w:rPr>
      </w:pPr>
      <w:r w:rsidRPr="00CA0415">
        <w:rPr>
          <w:rFonts w:cs="Arial"/>
          <w:snapToGrid w:val="0"/>
          <w:sz w:val="24"/>
        </w:rPr>
        <w:t xml:space="preserve">Changes the </w:t>
      </w:r>
      <w:r w:rsidR="006C3A5C">
        <w:rPr>
          <w:rFonts w:cs="Arial"/>
          <w:snapToGrid w:val="0"/>
          <w:sz w:val="24"/>
        </w:rPr>
        <w:t xml:space="preserve">major update of the </w:t>
      </w:r>
      <w:r w:rsidR="006C3A5C" w:rsidRPr="00CA0415">
        <w:rPr>
          <w:rFonts w:cs="Arial"/>
          <w:snapToGrid w:val="0"/>
          <w:sz w:val="24"/>
        </w:rPr>
        <w:t xml:space="preserve">Comprehensive Plan </w:t>
      </w:r>
      <w:r w:rsidR="006C3A5C">
        <w:rPr>
          <w:rFonts w:cs="Arial"/>
          <w:snapToGrid w:val="0"/>
          <w:sz w:val="24"/>
        </w:rPr>
        <w:t xml:space="preserve">from the </w:t>
      </w:r>
      <w:r w:rsidRPr="00CA0415">
        <w:rPr>
          <w:rFonts w:cs="Arial"/>
          <w:snapToGrid w:val="0"/>
          <w:sz w:val="24"/>
        </w:rPr>
        <w:t>Four Year Cycle to an Eight Year Cycle</w:t>
      </w:r>
      <w:r w:rsidR="007F0D77">
        <w:rPr>
          <w:rFonts w:cs="Arial"/>
          <w:snapToGrid w:val="0"/>
          <w:sz w:val="24"/>
        </w:rPr>
        <w:t>, with the first Eight Year Cycle plan adopted in 2023</w:t>
      </w:r>
      <w:r w:rsidR="006C3A5C">
        <w:rPr>
          <w:rFonts w:cs="Arial"/>
          <w:snapToGrid w:val="0"/>
          <w:sz w:val="24"/>
        </w:rPr>
        <w:t xml:space="preserve">, while continuing to allow for minor or technical annual amendments to the </w:t>
      </w:r>
      <w:r w:rsidR="006C3A5C" w:rsidRPr="00CA0415">
        <w:rPr>
          <w:rFonts w:cs="Arial"/>
          <w:snapToGrid w:val="0"/>
          <w:sz w:val="24"/>
        </w:rPr>
        <w:t xml:space="preserve">Comprehensive Plan </w:t>
      </w:r>
    </w:p>
    <w:p w:rsidR="00CC0949" w:rsidRDefault="00CC0949" w:rsidP="007F0D77">
      <w:pPr>
        <w:pStyle w:val="ListParagraph"/>
        <w:numPr>
          <w:ilvl w:val="0"/>
          <w:numId w:val="7"/>
        </w:numPr>
        <w:tabs>
          <w:tab w:val="right" w:pos="4770"/>
          <w:tab w:val="right" w:pos="7560"/>
        </w:tabs>
        <w:spacing w:line="240" w:lineRule="auto"/>
        <w:rPr>
          <w:rFonts w:cs="Arial"/>
          <w:snapToGrid w:val="0"/>
          <w:sz w:val="24"/>
        </w:rPr>
      </w:pPr>
      <w:r w:rsidRPr="00CA0415">
        <w:rPr>
          <w:rFonts w:cs="Arial"/>
          <w:snapToGrid w:val="0"/>
          <w:sz w:val="24"/>
        </w:rPr>
        <w:t>Moves the adoption month from December to June, consistent with the Growth Management Act Statutory Review</w:t>
      </w:r>
      <w:r w:rsidR="004946A7">
        <w:rPr>
          <w:rFonts w:cs="Arial"/>
          <w:snapToGrid w:val="0"/>
          <w:sz w:val="24"/>
        </w:rPr>
        <w:t xml:space="preserve"> timeline</w:t>
      </w:r>
    </w:p>
    <w:p w:rsidR="007108DC" w:rsidRPr="00CA0415" w:rsidRDefault="007108DC" w:rsidP="007F0D77">
      <w:pPr>
        <w:pStyle w:val="ListParagraph"/>
        <w:numPr>
          <w:ilvl w:val="0"/>
          <w:numId w:val="7"/>
        </w:numPr>
        <w:tabs>
          <w:tab w:val="right" w:pos="4770"/>
          <w:tab w:val="right" w:pos="7560"/>
        </w:tabs>
        <w:spacing w:line="240" w:lineRule="auto"/>
        <w:rPr>
          <w:rFonts w:cs="Arial"/>
          <w:snapToGrid w:val="0"/>
          <w:sz w:val="24"/>
        </w:rPr>
      </w:pPr>
      <w:r>
        <w:rPr>
          <w:rFonts w:cs="Arial"/>
          <w:snapToGrid w:val="0"/>
          <w:sz w:val="24"/>
        </w:rPr>
        <w:t>Shifts the deadline for one of the workplan action items adopted in the Vashon-Maury Island Community Service Area Subarea Plan</w:t>
      </w:r>
    </w:p>
    <w:p w:rsidR="007F0D77" w:rsidRDefault="00CC0949" w:rsidP="007F0D77">
      <w:pPr>
        <w:pStyle w:val="ListParagraph"/>
        <w:numPr>
          <w:ilvl w:val="0"/>
          <w:numId w:val="7"/>
        </w:numPr>
        <w:tabs>
          <w:tab w:val="right" w:pos="4770"/>
          <w:tab w:val="right" w:pos="7560"/>
        </w:tabs>
        <w:spacing w:line="240" w:lineRule="auto"/>
        <w:rPr>
          <w:rFonts w:cs="Arial"/>
          <w:snapToGrid w:val="0"/>
          <w:sz w:val="24"/>
        </w:rPr>
      </w:pPr>
      <w:r w:rsidRPr="00CA0415">
        <w:rPr>
          <w:rFonts w:cs="Arial"/>
          <w:snapToGrid w:val="0"/>
          <w:sz w:val="24"/>
        </w:rPr>
        <w:t xml:space="preserve">Restructures the County's Subarea Planning Program to provide greater clarity on the: </w:t>
      </w:r>
    </w:p>
    <w:p w:rsidR="007F0D77" w:rsidRDefault="007F0D77" w:rsidP="003E1413">
      <w:pPr>
        <w:pStyle w:val="ListParagraph"/>
        <w:numPr>
          <w:ilvl w:val="1"/>
          <w:numId w:val="7"/>
        </w:numPr>
        <w:tabs>
          <w:tab w:val="right" w:pos="4770"/>
          <w:tab w:val="right" w:pos="7560"/>
        </w:tabs>
        <w:spacing w:line="240" w:lineRule="auto"/>
        <w:ind w:left="1080"/>
        <w:rPr>
          <w:rFonts w:cs="Arial"/>
          <w:snapToGrid w:val="0"/>
          <w:sz w:val="24"/>
        </w:rPr>
      </w:pPr>
      <w:r>
        <w:rPr>
          <w:rFonts w:cs="Arial"/>
          <w:snapToGrid w:val="0"/>
          <w:sz w:val="24"/>
        </w:rPr>
        <w:t>Scope of Subarea Plans</w:t>
      </w:r>
      <w:r w:rsidR="00296CF9">
        <w:rPr>
          <w:rFonts w:cs="Arial"/>
          <w:snapToGrid w:val="0"/>
          <w:sz w:val="24"/>
        </w:rPr>
        <w:t xml:space="preserve"> is focused primarily on land use topics</w:t>
      </w:r>
    </w:p>
    <w:p w:rsidR="00296CF9" w:rsidRDefault="00296CF9" w:rsidP="00296CF9">
      <w:pPr>
        <w:pStyle w:val="ListParagraph"/>
        <w:numPr>
          <w:ilvl w:val="1"/>
          <w:numId w:val="7"/>
        </w:numPr>
        <w:tabs>
          <w:tab w:val="right" w:pos="4770"/>
          <w:tab w:val="right" w:pos="7560"/>
        </w:tabs>
        <w:spacing w:line="240" w:lineRule="auto"/>
        <w:ind w:left="1080"/>
        <w:rPr>
          <w:rFonts w:cs="Arial"/>
          <w:snapToGrid w:val="0"/>
          <w:sz w:val="24"/>
        </w:rPr>
      </w:pPr>
      <w:r>
        <w:rPr>
          <w:rFonts w:cs="Arial"/>
          <w:snapToGrid w:val="0"/>
          <w:sz w:val="24"/>
        </w:rPr>
        <w:t>P</w:t>
      </w:r>
      <w:r w:rsidRPr="00CA0415">
        <w:rPr>
          <w:rFonts w:cs="Arial"/>
          <w:snapToGrid w:val="0"/>
          <w:sz w:val="24"/>
        </w:rPr>
        <w:t xml:space="preserve">lanning approach </w:t>
      </w:r>
      <w:r>
        <w:rPr>
          <w:rFonts w:cs="Arial"/>
          <w:snapToGrid w:val="0"/>
          <w:sz w:val="24"/>
        </w:rPr>
        <w:t xml:space="preserve">is defined to be </w:t>
      </w:r>
      <w:r w:rsidRPr="00CA0415">
        <w:rPr>
          <w:rFonts w:cs="Arial"/>
          <w:snapToGrid w:val="0"/>
          <w:sz w:val="24"/>
        </w:rPr>
        <w:t>more consistent with the Comprehensive Plan approach</w:t>
      </w:r>
    </w:p>
    <w:p w:rsidR="007F0D77" w:rsidRDefault="00CC0949" w:rsidP="003E1413">
      <w:pPr>
        <w:pStyle w:val="ListParagraph"/>
        <w:numPr>
          <w:ilvl w:val="1"/>
          <w:numId w:val="7"/>
        </w:numPr>
        <w:tabs>
          <w:tab w:val="right" w:pos="4770"/>
          <w:tab w:val="right" w:pos="7560"/>
        </w:tabs>
        <w:spacing w:line="240" w:lineRule="auto"/>
        <w:ind w:left="1080"/>
        <w:rPr>
          <w:rFonts w:cs="Arial"/>
          <w:snapToGrid w:val="0"/>
          <w:sz w:val="24"/>
        </w:rPr>
      </w:pPr>
      <w:r w:rsidRPr="00CA0415">
        <w:rPr>
          <w:rFonts w:cs="Arial"/>
          <w:snapToGrid w:val="0"/>
          <w:sz w:val="24"/>
        </w:rPr>
        <w:lastRenderedPageBreak/>
        <w:t>Schedule for Subarea Plans for</w:t>
      </w:r>
      <w:r w:rsidR="007F0D77">
        <w:rPr>
          <w:rFonts w:cs="Arial"/>
          <w:snapToGrid w:val="0"/>
          <w:sz w:val="24"/>
        </w:rPr>
        <w:t xml:space="preserve"> different areas in the County</w:t>
      </w:r>
      <w:r w:rsidR="00296CF9">
        <w:rPr>
          <w:rFonts w:cs="Arial"/>
          <w:snapToGrid w:val="0"/>
          <w:sz w:val="24"/>
        </w:rPr>
        <w:t xml:space="preserve"> is defined</w:t>
      </w:r>
    </w:p>
    <w:p w:rsidR="007F0D77" w:rsidRDefault="00296CF9" w:rsidP="003E1413">
      <w:pPr>
        <w:pStyle w:val="ListParagraph"/>
        <w:numPr>
          <w:ilvl w:val="1"/>
          <w:numId w:val="7"/>
        </w:numPr>
        <w:tabs>
          <w:tab w:val="right" w:pos="4770"/>
          <w:tab w:val="right" w:pos="7560"/>
        </w:tabs>
        <w:spacing w:line="240" w:lineRule="auto"/>
        <w:ind w:left="1080"/>
        <w:rPr>
          <w:rFonts w:cs="Arial"/>
          <w:snapToGrid w:val="0"/>
          <w:sz w:val="24"/>
        </w:rPr>
      </w:pPr>
      <w:r>
        <w:rPr>
          <w:rFonts w:cs="Arial"/>
          <w:snapToGrid w:val="0"/>
          <w:sz w:val="24"/>
        </w:rPr>
        <w:t>The n</w:t>
      </w:r>
      <w:r w:rsidR="007F0D77">
        <w:rPr>
          <w:rFonts w:cs="Arial"/>
          <w:snapToGrid w:val="0"/>
          <w:sz w:val="24"/>
        </w:rPr>
        <w:t xml:space="preserve">umber of staff proposed to work in the </w:t>
      </w:r>
      <w:r>
        <w:rPr>
          <w:rFonts w:cs="Arial"/>
          <w:snapToGrid w:val="0"/>
          <w:sz w:val="24"/>
        </w:rPr>
        <w:t>p</w:t>
      </w:r>
      <w:r w:rsidR="00CC0949" w:rsidRPr="00CA0415">
        <w:rPr>
          <w:rFonts w:cs="Arial"/>
          <w:snapToGrid w:val="0"/>
          <w:sz w:val="24"/>
        </w:rPr>
        <w:t>rogram</w:t>
      </w:r>
      <w:r w:rsidR="007F0D77">
        <w:rPr>
          <w:rFonts w:cs="Arial"/>
          <w:snapToGrid w:val="0"/>
          <w:sz w:val="24"/>
        </w:rPr>
        <w:t xml:space="preserve"> </w:t>
      </w:r>
      <w:r>
        <w:rPr>
          <w:rFonts w:cs="Arial"/>
          <w:snapToGrid w:val="0"/>
          <w:sz w:val="24"/>
        </w:rPr>
        <w:t xml:space="preserve">is increased </w:t>
      </w:r>
      <w:r w:rsidR="007F0D77">
        <w:rPr>
          <w:rFonts w:cs="Arial"/>
          <w:snapToGrid w:val="0"/>
          <w:sz w:val="24"/>
        </w:rPr>
        <w:t xml:space="preserve">(adds </w:t>
      </w:r>
      <w:r w:rsidR="006C3A5C">
        <w:rPr>
          <w:rFonts w:cs="Arial"/>
          <w:snapToGrid w:val="0"/>
          <w:sz w:val="24"/>
        </w:rPr>
        <w:t>two staff for a total of three</w:t>
      </w:r>
      <w:r w:rsidR="007F0D77">
        <w:rPr>
          <w:rFonts w:cs="Arial"/>
          <w:snapToGrid w:val="0"/>
          <w:sz w:val="24"/>
        </w:rPr>
        <w:t>)</w:t>
      </w:r>
    </w:p>
    <w:p w:rsidR="007F0D77" w:rsidRDefault="007F0D77" w:rsidP="003E1413">
      <w:pPr>
        <w:pStyle w:val="ListParagraph"/>
        <w:keepNext/>
        <w:numPr>
          <w:ilvl w:val="0"/>
          <w:numId w:val="7"/>
        </w:numPr>
        <w:tabs>
          <w:tab w:val="right" w:pos="4770"/>
          <w:tab w:val="right" w:pos="7560"/>
        </w:tabs>
        <w:spacing w:line="240" w:lineRule="auto"/>
        <w:rPr>
          <w:rFonts w:cs="Arial"/>
          <w:snapToGrid w:val="0"/>
          <w:sz w:val="24"/>
        </w:rPr>
      </w:pPr>
      <w:r>
        <w:rPr>
          <w:rFonts w:cs="Arial"/>
          <w:snapToGrid w:val="0"/>
          <w:sz w:val="24"/>
        </w:rPr>
        <w:t>The restructure is intended to accomplish the following:</w:t>
      </w:r>
    </w:p>
    <w:p w:rsidR="00EB0B4F" w:rsidRPr="003E1413" w:rsidRDefault="00EB0B4F" w:rsidP="003E1413">
      <w:pPr>
        <w:pStyle w:val="ListParagraph"/>
        <w:numPr>
          <w:ilvl w:val="1"/>
          <w:numId w:val="7"/>
        </w:numPr>
        <w:tabs>
          <w:tab w:val="right" w:pos="4770"/>
          <w:tab w:val="right" w:pos="7560"/>
        </w:tabs>
        <w:rPr>
          <w:rFonts w:cs="Arial"/>
          <w:color w:val="000000"/>
          <w:sz w:val="24"/>
        </w:rPr>
      </w:pPr>
      <w:r w:rsidRPr="003E1413">
        <w:rPr>
          <w:rFonts w:cs="Arial"/>
          <w:color w:val="000000"/>
          <w:sz w:val="24"/>
        </w:rPr>
        <w:t>Ensure consistency with current state law, the Countywide Planning Policies and the King County Comprehensive Plan</w:t>
      </w:r>
    </w:p>
    <w:p w:rsidR="00EB0B4F" w:rsidRPr="003E1413" w:rsidRDefault="00EB0B4F" w:rsidP="003E1413">
      <w:pPr>
        <w:pStyle w:val="ListParagraph"/>
        <w:numPr>
          <w:ilvl w:val="1"/>
          <w:numId w:val="7"/>
        </w:numPr>
        <w:tabs>
          <w:tab w:val="right" w:pos="4770"/>
          <w:tab w:val="right" w:pos="7560"/>
        </w:tabs>
        <w:rPr>
          <w:rFonts w:cs="Arial"/>
          <w:color w:val="000000"/>
          <w:sz w:val="24"/>
        </w:rPr>
      </w:pPr>
      <w:r w:rsidRPr="003E1413">
        <w:rPr>
          <w:rFonts w:cs="Arial"/>
          <w:color w:val="000000"/>
          <w:sz w:val="24"/>
        </w:rPr>
        <w:t xml:space="preserve">Ensure consistency with adopted county budget direction and clarity where additional appropriations are </w:t>
      </w:r>
      <w:r w:rsidR="006C3A5C">
        <w:rPr>
          <w:rFonts w:cs="Arial"/>
          <w:color w:val="000000"/>
          <w:sz w:val="24"/>
        </w:rPr>
        <w:t>needed for implementation</w:t>
      </w:r>
    </w:p>
    <w:p w:rsidR="00EB0B4F" w:rsidRPr="003E1413" w:rsidRDefault="00EB0B4F" w:rsidP="003E1413">
      <w:pPr>
        <w:pStyle w:val="ListParagraph"/>
        <w:numPr>
          <w:ilvl w:val="1"/>
          <w:numId w:val="7"/>
        </w:numPr>
        <w:tabs>
          <w:tab w:val="right" w:pos="4770"/>
          <w:tab w:val="right" w:pos="7560"/>
        </w:tabs>
        <w:rPr>
          <w:rFonts w:cs="Arial"/>
          <w:color w:val="000000"/>
          <w:sz w:val="24"/>
        </w:rPr>
      </w:pPr>
      <w:r w:rsidRPr="003E1413">
        <w:rPr>
          <w:rFonts w:cs="Arial"/>
          <w:color w:val="000000"/>
          <w:sz w:val="24"/>
        </w:rPr>
        <w:t>Improve coordination and collaboration between the Department of Permitting and Environmental Review and the Office of Performance, Strategy and Budget</w:t>
      </w:r>
    </w:p>
    <w:p w:rsidR="00EB0B4F" w:rsidRPr="003E1413" w:rsidRDefault="00EB0B4F" w:rsidP="003E1413">
      <w:pPr>
        <w:pStyle w:val="ListParagraph"/>
        <w:numPr>
          <w:ilvl w:val="1"/>
          <w:numId w:val="7"/>
        </w:numPr>
        <w:tabs>
          <w:tab w:val="right" w:pos="4770"/>
          <w:tab w:val="right" w:pos="7560"/>
        </w:tabs>
        <w:rPr>
          <w:rFonts w:cs="Arial"/>
          <w:color w:val="000000"/>
          <w:sz w:val="24"/>
        </w:rPr>
      </w:pPr>
      <w:r w:rsidRPr="003E1413">
        <w:rPr>
          <w:rFonts w:cs="Arial"/>
          <w:color w:val="000000"/>
          <w:sz w:val="24"/>
        </w:rPr>
        <w:t>Ensure other departments are consulted and concur with the recommended policies and implementing actions proposed in the executive-recommended subarea plans</w:t>
      </w:r>
    </w:p>
    <w:p w:rsidR="00EB0B4F" w:rsidRPr="003E1413" w:rsidRDefault="00EB0B4F" w:rsidP="003E1413">
      <w:pPr>
        <w:pStyle w:val="ListParagraph"/>
        <w:numPr>
          <w:ilvl w:val="1"/>
          <w:numId w:val="7"/>
        </w:numPr>
        <w:tabs>
          <w:tab w:val="right" w:pos="4770"/>
          <w:tab w:val="right" w:pos="7560"/>
        </w:tabs>
        <w:rPr>
          <w:rFonts w:cs="Arial"/>
          <w:color w:val="000000"/>
          <w:sz w:val="24"/>
        </w:rPr>
      </w:pPr>
      <w:r w:rsidRPr="003E1413">
        <w:rPr>
          <w:rFonts w:cs="Arial"/>
          <w:color w:val="000000"/>
          <w:sz w:val="24"/>
        </w:rPr>
        <w:t xml:space="preserve">Revise the subarea planning to allow time for public outreach; coordination, collaboration and consultation </w:t>
      </w:r>
      <w:r w:rsidR="006C3A5C">
        <w:rPr>
          <w:rFonts w:cs="Arial"/>
          <w:color w:val="000000"/>
          <w:sz w:val="24"/>
        </w:rPr>
        <w:t>among</w:t>
      </w:r>
      <w:r w:rsidRPr="003E1413">
        <w:rPr>
          <w:rFonts w:cs="Arial"/>
          <w:color w:val="000000"/>
          <w:sz w:val="24"/>
        </w:rPr>
        <w:t xml:space="preserve"> King County departments; and refining recommendations to e</w:t>
      </w:r>
      <w:r w:rsidR="00296CF9">
        <w:rPr>
          <w:rFonts w:cs="Arial"/>
          <w:color w:val="000000"/>
          <w:sz w:val="24"/>
        </w:rPr>
        <w:t>nsure compliance with the law</w:t>
      </w:r>
    </w:p>
    <w:p w:rsidR="00D76E89" w:rsidRDefault="00EB0B4F" w:rsidP="003E1413">
      <w:pPr>
        <w:pStyle w:val="ListParagraph"/>
        <w:numPr>
          <w:ilvl w:val="1"/>
          <w:numId w:val="7"/>
        </w:numPr>
        <w:tabs>
          <w:tab w:val="right" w:pos="4770"/>
          <w:tab w:val="right" w:pos="7560"/>
        </w:tabs>
        <w:rPr>
          <w:rFonts w:cs="Arial"/>
          <w:color w:val="000000"/>
          <w:sz w:val="24"/>
        </w:rPr>
      </w:pPr>
      <w:r w:rsidRPr="003E1413">
        <w:rPr>
          <w:rFonts w:cs="Arial"/>
          <w:color w:val="000000"/>
          <w:sz w:val="24"/>
        </w:rPr>
        <w:t>Eliminate a subarea plan from being transmitted with a major update to the Comprehensive Plan</w:t>
      </w:r>
    </w:p>
    <w:p w:rsidR="00296CF9" w:rsidRDefault="00296CF9" w:rsidP="003E1413">
      <w:pPr>
        <w:pStyle w:val="ListParagraph"/>
        <w:numPr>
          <w:ilvl w:val="1"/>
          <w:numId w:val="7"/>
        </w:numPr>
        <w:tabs>
          <w:tab w:val="right" w:pos="4770"/>
          <w:tab w:val="right" w:pos="7560"/>
        </w:tabs>
        <w:rPr>
          <w:rFonts w:cs="Arial"/>
          <w:color w:val="000000"/>
          <w:sz w:val="24"/>
        </w:rPr>
      </w:pPr>
      <w:r>
        <w:rPr>
          <w:rFonts w:cs="Arial"/>
          <w:color w:val="000000"/>
          <w:sz w:val="24"/>
        </w:rPr>
        <w:t>Eliminate adoption of the Comprehensive Plan in the same year the Biennial Budget is adopted</w:t>
      </w:r>
    </w:p>
    <w:p w:rsidR="0044382C" w:rsidRDefault="0044382C" w:rsidP="0044382C">
      <w:pPr>
        <w:tabs>
          <w:tab w:val="right" w:pos="4770"/>
          <w:tab w:val="right" w:pos="7560"/>
        </w:tabs>
        <w:rPr>
          <w:rFonts w:cs="Arial"/>
          <w:color w:val="000000"/>
          <w:sz w:val="24"/>
        </w:rPr>
      </w:pPr>
    </w:p>
    <w:p w:rsidR="0044382C" w:rsidRDefault="0044382C" w:rsidP="00077CBF">
      <w:pPr>
        <w:keepNext/>
        <w:tabs>
          <w:tab w:val="right" w:pos="4770"/>
          <w:tab w:val="right" w:pos="7560"/>
        </w:tabs>
        <w:rPr>
          <w:rFonts w:ascii="Arial" w:hAnsi="Arial" w:cs="Arial"/>
          <w:b/>
          <w:color w:val="000000"/>
          <w:sz w:val="24"/>
        </w:rPr>
      </w:pPr>
      <w:r w:rsidRPr="0044382C">
        <w:rPr>
          <w:rFonts w:ascii="Arial" w:hAnsi="Arial" w:cs="Arial"/>
          <w:b/>
          <w:color w:val="000000"/>
          <w:sz w:val="24"/>
        </w:rPr>
        <w:t>Code Amendment Summary Table</w:t>
      </w:r>
    </w:p>
    <w:tbl>
      <w:tblPr>
        <w:tblStyle w:val="TableGrid"/>
        <w:tblW w:w="0" w:type="auto"/>
        <w:tblCellMar>
          <w:left w:w="72" w:type="dxa"/>
          <w:right w:w="72" w:type="dxa"/>
        </w:tblCellMar>
        <w:tblLook w:val="04A0" w:firstRow="1" w:lastRow="0" w:firstColumn="1" w:lastColumn="0" w:noHBand="0" w:noVBand="1"/>
      </w:tblPr>
      <w:tblGrid>
        <w:gridCol w:w="804"/>
        <w:gridCol w:w="1162"/>
        <w:gridCol w:w="1809"/>
        <w:gridCol w:w="3462"/>
        <w:gridCol w:w="2113"/>
      </w:tblGrid>
      <w:tr w:rsidR="006B35C8" w:rsidRPr="00381F19" w:rsidTr="00BE0D55">
        <w:trPr>
          <w:cantSplit/>
          <w:tblHeader/>
        </w:trPr>
        <w:tc>
          <w:tcPr>
            <w:tcW w:w="9350" w:type="dxa"/>
            <w:gridSpan w:val="5"/>
            <w:shd w:val="clear" w:color="auto" w:fill="D9D9D9" w:themeFill="background1" w:themeFillShade="D9"/>
          </w:tcPr>
          <w:p w:rsidR="006B35C8" w:rsidRDefault="006B35C8" w:rsidP="00850654">
            <w:pPr>
              <w:jc w:val="center"/>
            </w:pPr>
            <w:r>
              <w:t>2018 Comprehensive Plan Code Amendment Package</w:t>
            </w:r>
          </w:p>
        </w:tc>
      </w:tr>
      <w:tr w:rsidR="00BE0D55" w:rsidRPr="00381F19" w:rsidTr="00BE0D55">
        <w:trPr>
          <w:cantSplit/>
          <w:tblHeader/>
        </w:trPr>
        <w:tc>
          <w:tcPr>
            <w:tcW w:w="804" w:type="dxa"/>
            <w:shd w:val="clear" w:color="auto" w:fill="D9D9D9" w:themeFill="background1" w:themeFillShade="D9"/>
          </w:tcPr>
          <w:p w:rsidR="006B35C8" w:rsidRPr="00381F19" w:rsidRDefault="006B35C8" w:rsidP="00850654">
            <w:r>
              <w:t>Section</w:t>
            </w:r>
          </w:p>
        </w:tc>
        <w:tc>
          <w:tcPr>
            <w:tcW w:w="1162" w:type="dxa"/>
            <w:shd w:val="clear" w:color="auto" w:fill="D9D9D9" w:themeFill="background1" w:themeFillShade="D9"/>
          </w:tcPr>
          <w:p w:rsidR="006B35C8" w:rsidRPr="00381F19" w:rsidRDefault="006B35C8" w:rsidP="00850654">
            <w:r>
              <w:t>Code Cite</w:t>
            </w:r>
          </w:p>
        </w:tc>
        <w:tc>
          <w:tcPr>
            <w:tcW w:w="1809" w:type="dxa"/>
            <w:shd w:val="clear" w:color="auto" w:fill="D9D9D9" w:themeFill="background1" w:themeFillShade="D9"/>
          </w:tcPr>
          <w:p w:rsidR="006B35C8" w:rsidRDefault="006B35C8" w:rsidP="00850654">
            <w:r>
              <w:t>Current Code</w:t>
            </w:r>
          </w:p>
        </w:tc>
        <w:tc>
          <w:tcPr>
            <w:tcW w:w="3462" w:type="dxa"/>
            <w:shd w:val="clear" w:color="auto" w:fill="D9D9D9" w:themeFill="background1" w:themeFillShade="D9"/>
          </w:tcPr>
          <w:p w:rsidR="006B35C8" w:rsidRPr="00381F19" w:rsidRDefault="006B35C8" w:rsidP="00850654">
            <w:r>
              <w:t>Proposed Change</w:t>
            </w:r>
          </w:p>
        </w:tc>
        <w:tc>
          <w:tcPr>
            <w:tcW w:w="2113" w:type="dxa"/>
            <w:shd w:val="clear" w:color="auto" w:fill="D9D9D9" w:themeFill="background1" w:themeFillShade="D9"/>
          </w:tcPr>
          <w:p w:rsidR="006B35C8" w:rsidRDefault="006B35C8" w:rsidP="00850654">
            <w:r>
              <w:t>Comment</w:t>
            </w:r>
          </w:p>
        </w:tc>
      </w:tr>
      <w:tr w:rsidR="00BE0D55" w:rsidRPr="00381F19" w:rsidTr="00BE0D55">
        <w:tc>
          <w:tcPr>
            <w:tcW w:w="804" w:type="dxa"/>
          </w:tcPr>
          <w:p w:rsidR="006B35C8" w:rsidRPr="00381F19" w:rsidRDefault="006B35C8" w:rsidP="00850654">
            <w:r w:rsidRPr="00381F19">
              <w:t>3</w:t>
            </w:r>
          </w:p>
        </w:tc>
        <w:tc>
          <w:tcPr>
            <w:tcW w:w="1162" w:type="dxa"/>
          </w:tcPr>
          <w:p w:rsidR="006B35C8" w:rsidRPr="00381F19" w:rsidRDefault="006B35C8" w:rsidP="00850654">
            <w:r w:rsidRPr="00381F19">
              <w:t xml:space="preserve">20.08.060 </w:t>
            </w:r>
          </w:p>
        </w:tc>
        <w:tc>
          <w:tcPr>
            <w:tcW w:w="1809" w:type="dxa"/>
          </w:tcPr>
          <w:p w:rsidR="006B35C8" w:rsidRPr="00381F19" w:rsidRDefault="006B35C8" w:rsidP="00850654">
            <w:r>
              <w:t>Definition of subarea plan</w:t>
            </w:r>
          </w:p>
        </w:tc>
        <w:tc>
          <w:tcPr>
            <w:tcW w:w="3462" w:type="dxa"/>
          </w:tcPr>
          <w:p w:rsidR="006B35C8" w:rsidRPr="00381F19" w:rsidRDefault="006B35C8" w:rsidP="00850654">
            <w:r w:rsidRPr="00381F19">
              <w:t>Amending definition of “subarea plan” to clarify that these plans refer to the plans prepared based on the geography of Community Service Areas, as defined in Chapter 11 of the King</w:t>
            </w:r>
            <w:r w:rsidR="00BE0D55">
              <w:t xml:space="preserve"> County Comprehensive Plan</w:t>
            </w:r>
          </w:p>
        </w:tc>
        <w:tc>
          <w:tcPr>
            <w:tcW w:w="2113" w:type="dxa"/>
          </w:tcPr>
          <w:p w:rsidR="006B35C8" w:rsidRPr="00381F19" w:rsidRDefault="006B35C8" w:rsidP="00850654">
            <w:r>
              <w:t>Technical change consistent with proposal in Restructure Plan</w:t>
            </w:r>
          </w:p>
        </w:tc>
      </w:tr>
      <w:tr w:rsidR="00BE0D55" w:rsidRPr="00381F19" w:rsidTr="00BE0D55">
        <w:tc>
          <w:tcPr>
            <w:tcW w:w="804" w:type="dxa"/>
          </w:tcPr>
          <w:p w:rsidR="006B35C8" w:rsidRPr="00381F19" w:rsidRDefault="006B35C8" w:rsidP="00850654">
            <w:r w:rsidRPr="00381F19">
              <w:t>4</w:t>
            </w:r>
          </w:p>
        </w:tc>
        <w:tc>
          <w:tcPr>
            <w:tcW w:w="1162" w:type="dxa"/>
          </w:tcPr>
          <w:p w:rsidR="006B35C8" w:rsidRPr="00381F19" w:rsidRDefault="006B35C8" w:rsidP="00850654">
            <w:r>
              <w:t>New</w:t>
            </w:r>
          </w:p>
        </w:tc>
        <w:tc>
          <w:tcPr>
            <w:tcW w:w="1809" w:type="dxa"/>
          </w:tcPr>
          <w:p w:rsidR="006B35C8" w:rsidRPr="00381F19" w:rsidRDefault="006B35C8" w:rsidP="00850654">
            <w:r>
              <w:t>New section</w:t>
            </w:r>
          </w:p>
        </w:tc>
        <w:tc>
          <w:tcPr>
            <w:tcW w:w="3462" w:type="dxa"/>
          </w:tcPr>
          <w:p w:rsidR="006B35C8" w:rsidRPr="00381F19" w:rsidRDefault="006B35C8" w:rsidP="00850654">
            <w:r>
              <w:t>Adding</w:t>
            </w:r>
            <w:r w:rsidRPr="00381F19">
              <w:t xml:space="preserve"> a new definition for </w:t>
            </w:r>
            <w:r>
              <w:t>"</w:t>
            </w:r>
            <w:r w:rsidRPr="00381F19">
              <w:t>subarea study</w:t>
            </w:r>
            <w:r>
              <w:t>" consistent with policy direction in 2016 Comprehensive Plan</w:t>
            </w:r>
          </w:p>
        </w:tc>
        <w:tc>
          <w:tcPr>
            <w:tcW w:w="2113" w:type="dxa"/>
          </w:tcPr>
          <w:p w:rsidR="006B35C8" w:rsidRPr="00381F19" w:rsidRDefault="00BE0D55" w:rsidP="00850654">
            <w:r>
              <w:t>Consistent with policy changes made in 2016</w:t>
            </w:r>
          </w:p>
        </w:tc>
      </w:tr>
      <w:tr w:rsidR="00BE0D55" w:rsidRPr="00381F19" w:rsidTr="00BE0D55">
        <w:tc>
          <w:tcPr>
            <w:tcW w:w="804" w:type="dxa"/>
          </w:tcPr>
          <w:p w:rsidR="006B35C8" w:rsidRPr="00381F19" w:rsidRDefault="006B35C8" w:rsidP="00850654">
            <w:r w:rsidRPr="00381F19">
              <w:t>5</w:t>
            </w:r>
          </w:p>
        </w:tc>
        <w:tc>
          <w:tcPr>
            <w:tcW w:w="1162" w:type="dxa"/>
          </w:tcPr>
          <w:p w:rsidR="006B35C8" w:rsidRPr="00381F19" w:rsidRDefault="006B35C8" w:rsidP="00850654">
            <w:r w:rsidRPr="009835BE">
              <w:rPr>
                <w:spacing w:val="-2"/>
              </w:rPr>
              <w:t>20.</w:t>
            </w:r>
            <w:r>
              <w:rPr>
                <w:spacing w:val="-2"/>
              </w:rPr>
              <w:t>12</w:t>
            </w:r>
            <w:r w:rsidRPr="009835BE">
              <w:rPr>
                <w:spacing w:val="-2"/>
              </w:rPr>
              <w:t>.</w:t>
            </w:r>
            <w:r>
              <w:rPr>
                <w:spacing w:val="-2"/>
              </w:rPr>
              <w:t>010</w:t>
            </w:r>
            <w:r w:rsidRPr="009835BE">
              <w:rPr>
                <w:spacing w:val="-2"/>
              </w:rPr>
              <w:t xml:space="preserve"> </w:t>
            </w:r>
          </w:p>
        </w:tc>
        <w:tc>
          <w:tcPr>
            <w:tcW w:w="1809" w:type="dxa"/>
          </w:tcPr>
          <w:p w:rsidR="006B35C8" w:rsidRPr="00381F19" w:rsidRDefault="006B35C8" w:rsidP="00BE0D55">
            <w:r w:rsidRPr="006751B3">
              <w:t>Adopts comprehensive plans through 20</w:t>
            </w:r>
            <w:r>
              <w:t>16</w:t>
            </w:r>
          </w:p>
        </w:tc>
        <w:tc>
          <w:tcPr>
            <w:tcW w:w="3462" w:type="dxa"/>
          </w:tcPr>
          <w:p w:rsidR="006B35C8" w:rsidRPr="00381F19" w:rsidRDefault="006B35C8" w:rsidP="00BE0D55">
            <w:r w:rsidRPr="00381F19">
              <w:t>Updat</w:t>
            </w:r>
            <w:r w:rsidR="00BE0D55">
              <w:t>ing</w:t>
            </w:r>
            <w:r w:rsidRPr="00381F19">
              <w:t xml:space="preserve"> code </w:t>
            </w:r>
            <w:r w:rsidR="00BE0D55">
              <w:t>to include 2018 amendment</w:t>
            </w:r>
          </w:p>
        </w:tc>
        <w:tc>
          <w:tcPr>
            <w:tcW w:w="2113" w:type="dxa"/>
          </w:tcPr>
          <w:p w:rsidR="006B35C8" w:rsidRPr="00381F19" w:rsidRDefault="006B35C8" w:rsidP="00850654"/>
        </w:tc>
      </w:tr>
      <w:tr w:rsidR="00C44F16" w:rsidRPr="00381F19" w:rsidTr="00010286">
        <w:tc>
          <w:tcPr>
            <w:tcW w:w="804" w:type="dxa"/>
            <w:shd w:val="clear" w:color="auto" w:fill="auto"/>
          </w:tcPr>
          <w:p w:rsidR="00C44F16" w:rsidRPr="00381F19" w:rsidRDefault="00C44F16" w:rsidP="00850654">
            <w:r>
              <w:t>6</w:t>
            </w:r>
          </w:p>
        </w:tc>
        <w:tc>
          <w:tcPr>
            <w:tcW w:w="1162" w:type="dxa"/>
            <w:shd w:val="clear" w:color="auto" w:fill="auto"/>
          </w:tcPr>
          <w:p w:rsidR="00C44F16" w:rsidRPr="00381F19" w:rsidRDefault="00010286" w:rsidP="00850654">
            <w:r>
              <w:t>20.12.325</w:t>
            </w:r>
          </w:p>
        </w:tc>
        <w:tc>
          <w:tcPr>
            <w:tcW w:w="1809" w:type="dxa"/>
            <w:shd w:val="clear" w:color="auto" w:fill="auto"/>
          </w:tcPr>
          <w:p w:rsidR="00C44F16" w:rsidRDefault="00010286" w:rsidP="00C44F16">
            <w:r w:rsidRPr="00010286">
              <w:t xml:space="preserve">Vashon-Maury Island Community </w:t>
            </w:r>
            <w:r w:rsidRPr="00010286">
              <w:lastRenderedPageBreak/>
              <w:t>Service Area Subarea Plan</w:t>
            </w:r>
          </w:p>
        </w:tc>
        <w:tc>
          <w:tcPr>
            <w:tcW w:w="3462" w:type="dxa"/>
            <w:shd w:val="clear" w:color="auto" w:fill="auto"/>
          </w:tcPr>
          <w:p w:rsidR="00C44F16" w:rsidRDefault="00C44F16" w:rsidP="00C44F16">
            <w:r w:rsidRPr="00C44F16">
              <w:lastRenderedPageBreak/>
              <w:t xml:space="preserve">Shifts the deadline for transmittal of one workplan action item adopted in </w:t>
            </w:r>
            <w:r w:rsidRPr="00C44F16">
              <w:lastRenderedPageBreak/>
              <w:t>the Vashon-Maury Island Community Service Area Subarea Plan</w:t>
            </w:r>
          </w:p>
        </w:tc>
        <w:tc>
          <w:tcPr>
            <w:tcW w:w="2113" w:type="dxa"/>
            <w:shd w:val="clear" w:color="auto" w:fill="auto"/>
          </w:tcPr>
          <w:p w:rsidR="00C44F16" w:rsidRDefault="00C44F16" w:rsidP="00850654">
            <w:r>
              <w:lastRenderedPageBreak/>
              <w:t xml:space="preserve">Shift schedule to allow other Subarea </w:t>
            </w:r>
            <w:r>
              <w:lastRenderedPageBreak/>
              <w:t>Planning processes to start sooner</w:t>
            </w:r>
          </w:p>
        </w:tc>
      </w:tr>
      <w:tr w:rsidR="00BE0D55" w:rsidRPr="00381F19" w:rsidTr="00BE0D55">
        <w:tc>
          <w:tcPr>
            <w:tcW w:w="804" w:type="dxa"/>
          </w:tcPr>
          <w:p w:rsidR="006B35C8" w:rsidRPr="00381F19" w:rsidRDefault="00C44F16" w:rsidP="00850654">
            <w:r>
              <w:lastRenderedPageBreak/>
              <w:t>7</w:t>
            </w:r>
          </w:p>
        </w:tc>
        <w:tc>
          <w:tcPr>
            <w:tcW w:w="1162" w:type="dxa"/>
          </w:tcPr>
          <w:p w:rsidR="006B35C8" w:rsidRPr="00381F19" w:rsidRDefault="006B35C8" w:rsidP="00850654">
            <w:r w:rsidRPr="00381F19">
              <w:t xml:space="preserve">20.18.030 </w:t>
            </w:r>
          </w:p>
        </w:tc>
        <w:tc>
          <w:tcPr>
            <w:tcW w:w="1809" w:type="dxa"/>
          </w:tcPr>
          <w:p w:rsidR="006B35C8" w:rsidRPr="00381F19" w:rsidRDefault="006B35C8" w:rsidP="00850654">
            <w:r>
              <w:t>General Procedures for Comprehensive Plan updates</w:t>
            </w:r>
          </w:p>
        </w:tc>
        <w:tc>
          <w:tcPr>
            <w:tcW w:w="3462" w:type="dxa"/>
          </w:tcPr>
          <w:p w:rsidR="00BE0D55" w:rsidRDefault="006B35C8" w:rsidP="00850654">
            <w:r>
              <w:t>Technical fix to delete</w:t>
            </w:r>
            <w:r w:rsidRPr="00381F19">
              <w:t xml:space="preserve"> language referencing the “priority areas map” that has not been part of the Comprehensive Plan for several years</w:t>
            </w:r>
          </w:p>
          <w:p w:rsidR="00BE0D55" w:rsidRDefault="00BE0D55" w:rsidP="00850654"/>
          <w:p w:rsidR="006B35C8" w:rsidRDefault="00BE0D55" w:rsidP="00BE0D55">
            <w:r w:rsidRPr="00381F19">
              <w:t>Changing the update cycle of the King County Comprehensive Plan from four years to eight y</w:t>
            </w:r>
            <w:r>
              <w:t>ears</w:t>
            </w:r>
          </w:p>
          <w:p w:rsidR="00BE10CD" w:rsidRDefault="00BE10CD" w:rsidP="00BE0D55"/>
          <w:p w:rsidR="00BE10CD" w:rsidRPr="00381F19" w:rsidRDefault="00BE10CD" w:rsidP="00BE10CD">
            <w:r>
              <w:t xml:space="preserve">Allows annual amendments to the Comprehensive Plan cycle if </w:t>
            </w:r>
            <w:r w:rsidRPr="00BE10CD">
              <w:t xml:space="preserve">they are adopted by Ordinance and </w:t>
            </w:r>
            <w:r>
              <w:t>improve alignment with state Growth Management, multicounty and countywide planning timelines</w:t>
            </w:r>
          </w:p>
        </w:tc>
        <w:tc>
          <w:tcPr>
            <w:tcW w:w="2113" w:type="dxa"/>
          </w:tcPr>
          <w:p w:rsidR="00BE0D55" w:rsidRDefault="00BE0D55" w:rsidP="00850654">
            <w:r>
              <w:t>Technical fix.</w:t>
            </w:r>
          </w:p>
          <w:p w:rsidR="00BE0D55" w:rsidRDefault="00BE0D55" w:rsidP="00850654"/>
          <w:p w:rsidR="00BE10CD" w:rsidRDefault="00BE10CD" w:rsidP="00850654"/>
          <w:p w:rsidR="00BE10CD" w:rsidRDefault="00BE10CD" w:rsidP="00850654"/>
          <w:p w:rsidR="00BE10CD" w:rsidRDefault="00BE10CD" w:rsidP="00850654"/>
          <w:p w:rsidR="00BE10CD" w:rsidRDefault="00BE10CD" w:rsidP="00850654"/>
          <w:p w:rsidR="00BE10CD" w:rsidRDefault="00BE10CD" w:rsidP="00850654"/>
          <w:p w:rsidR="00BE10CD" w:rsidRPr="00381F19" w:rsidRDefault="006B35C8" w:rsidP="00BE10CD">
            <w:r>
              <w:t>Schedule change consistent with proposal in Restructure Plan</w:t>
            </w:r>
          </w:p>
        </w:tc>
      </w:tr>
      <w:tr w:rsidR="00BE0D55" w:rsidRPr="00381F19" w:rsidTr="00BE0D55">
        <w:tc>
          <w:tcPr>
            <w:tcW w:w="804" w:type="dxa"/>
          </w:tcPr>
          <w:p w:rsidR="006B35C8" w:rsidRPr="00381F19" w:rsidRDefault="00C44F16" w:rsidP="00C44F16">
            <w:r>
              <w:t>8</w:t>
            </w:r>
            <w:r w:rsidR="006B35C8" w:rsidRPr="00381F19">
              <w:t xml:space="preserve"> &amp; </w:t>
            </w:r>
            <w:r>
              <w:t>9</w:t>
            </w:r>
          </w:p>
        </w:tc>
        <w:tc>
          <w:tcPr>
            <w:tcW w:w="1162" w:type="dxa"/>
          </w:tcPr>
          <w:p w:rsidR="006B35C8" w:rsidRDefault="00BE0D55" w:rsidP="00850654">
            <w:pPr>
              <w:rPr>
                <w:spacing w:val="-2"/>
              </w:rPr>
            </w:pPr>
            <w:r w:rsidRPr="009835BE">
              <w:rPr>
                <w:spacing w:val="-2"/>
              </w:rPr>
              <w:t>20.</w:t>
            </w:r>
            <w:r>
              <w:rPr>
                <w:spacing w:val="-2"/>
              </w:rPr>
              <w:t>18</w:t>
            </w:r>
            <w:r w:rsidRPr="009835BE">
              <w:rPr>
                <w:spacing w:val="-2"/>
              </w:rPr>
              <w:t>.</w:t>
            </w:r>
            <w:r>
              <w:rPr>
                <w:spacing w:val="-2"/>
              </w:rPr>
              <w:t>040</w:t>
            </w:r>
            <w:r w:rsidRPr="009835BE">
              <w:rPr>
                <w:spacing w:val="-2"/>
              </w:rPr>
              <w:t xml:space="preserve"> </w:t>
            </w:r>
          </w:p>
          <w:p w:rsidR="00BE0D55" w:rsidRDefault="00BE0D55" w:rsidP="00850654">
            <w:pPr>
              <w:rPr>
                <w:spacing w:val="-2"/>
              </w:rPr>
            </w:pPr>
          </w:p>
          <w:p w:rsidR="00BE0D55" w:rsidRDefault="00BE0D55" w:rsidP="00850654">
            <w:pPr>
              <w:rPr>
                <w:spacing w:val="-2"/>
              </w:rPr>
            </w:pPr>
          </w:p>
          <w:p w:rsidR="00BE0D55" w:rsidRDefault="00BE0D55" w:rsidP="00850654">
            <w:pPr>
              <w:rPr>
                <w:spacing w:val="-2"/>
              </w:rPr>
            </w:pPr>
          </w:p>
          <w:p w:rsidR="00BE0D55" w:rsidRDefault="00BE0D55" w:rsidP="00850654">
            <w:pPr>
              <w:rPr>
                <w:spacing w:val="-2"/>
              </w:rPr>
            </w:pPr>
          </w:p>
          <w:p w:rsidR="00BE0D55" w:rsidRDefault="00BE0D55" w:rsidP="00850654">
            <w:pPr>
              <w:rPr>
                <w:spacing w:val="-2"/>
              </w:rPr>
            </w:pPr>
          </w:p>
          <w:p w:rsidR="00BE0D55" w:rsidRDefault="00BE0D55" w:rsidP="00850654">
            <w:pPr>
              <w:rPr>
                <w:spacing w:val="-2"/>
              </w:rPr>
            </w:pPr>
          </w:p>
          <w:p w:rsidR="00BE0D55" w:rsidRPr="00381F19" w:rsidRDefault="00BE0D55" w:rsidP="00850654">
            <w:r w:rsidRPr="009835BE">
              <w:rPr>
                <w:spacing w:val="-2"/>
              </w:rPr>
              <w:t>20.</w:t>
            </w:r>
            <w:r>
              <w:rPr>
                <w:spacing w:val="-2"/>
              </w:rPr>
              <w:t>18</w:t>
            </w:r>
            <w:r w:rsidRPr="009835BE">
              <w:rPr>
                <w:spacing w:val="-2"/>
              </w:rPr>
              <w:t>.</w:t>
            </w:r>
            <w:r>
              <w:rPr>
                <w:spacing w:val="-2"/>
              </w:rPr>
              <w:t>056</w:t>
            </w:r>
            <w:r w:rsidRPr="009835BE">
              <w:rPr>
                <w:spacing w:val="-2"/>
              </w:rPr>
              <w:t xml:space="preserve"> </w:t>
            </w:r>
          </w:p>
        </w:tc>
        <w:tc>
          <w:tcPr>
            <w:tcW w:w="1809" w:type="dxa"/>
          </w:tcPr>
          <w:p w:rsidR="006B35C8" w:rsidRDefault="00BE0D55" w:rsidP="00850654">
            <w:r w:rsidRPr="00BE0D55">
              <w:t>Site-specific land use map or shoreline master program map amendment classification</w:t>
            </w:r>
          </w:p>
          <w:p w:rsidR="00BE0D55" w:rsidRDefault="00BE0D55" w:rsidP="00850654"/>
          <w:p w:rsidR="00BE0D55" w:rsidRPr="00381F19" w:rsidRDefault="00BE0D55" w:rsidP="00850654">
            <w:r w:rsidRPr="00BE0D55">
              <w:t>Shoreline environment redesignation</w:t>
            </w:r>
          </w:p>
        </w:tc>
        <w:tc>
          <w:tcPr>
            <w:tcW w:w="3462" w:type="dxa"/>
          </w:tcPr>
          <w:p w:rsidR="006B35C8" w:rsidRPr="00381F19" w:rsidRDefault="006B35C8" w:rsidP="00850654">
            <w:r w:rsidRPr="00381F19">
              <w:t>Changing the update cycle of the King County Comprehensive Plan from four years to eight y</w:t>
            </w:r>
            <w:r w:rsidR="00BE0D55">
              <w:t>ears</w:t>
            </w:r>
          </w:p>
        </w:tc>
        <w:tc>
          <w:tcPr>
            <w:tcW w:w="2113" w:type="dxa"/>
          </w:tcPr>
          <w:p w:rsidR="006B35C8" w:rsidRPr="00381F19" w:rsidRDefault="00BE0D55" w:rsidP="00850654">
            <w:r>
              <w:t>Schedule change consistent with proposal in Restructure Plan</w:t>
            </w:r>
          </w:p>
        </w:tc>
      </w:tr>
      <w:tr w:rsidR="00BE0D55" w:rsidRPr="00381F19" w:rsidTr="00BE0D55">
        <w:trPr>
          <w:trHeight w:val="2177"/>
        </w:trPr>
        <w:tc>
          <w:tcPr>
            <w:tcW w:w="804" w:type="dxa"/>
          </w:tcPr>
          <w:p w:rsidR="006B35C8" w:rsidRPr="00381F19" w:rsidRDefault="00C44F16" w:rsidP="00C44F16">
            <w:r>
              <w:t>10</w:t>
            </w:r>
            <w:r w:rsidR="006B35C8" w:rsidRPr="00381F19">
              <w:t xml:space="preserve"> &amp; </w:t>
            </w:r>
            <w:r>
              <w:t>11</w:t>
            </w:r>
          </w:p>
        </w:tc>
        <w:tc>
          <w:tcPr>
            <w:tcW w:w="1162" w:type="dxa"/>
          </w:tcPr>
          <w:p w:rsidR="006B35C8" w:rsidRPr="00381F19" w:rsidRDefault="00BE0D55" w:rsidP="00850654">
            <w:r w:rsidRPr="009835BE">
              <w:rPr>
                <w:spacing w:val="-2"/>
              </w:rPr>
              <w:t>20.</w:t>
            </w:r>
            <w:r>
              <w:rPr>
                <w:spacing w:val="-2"/>
              </w:rPr>
              <w:t>18</w:t>
            </w:r>
            <w:r w:rsidRPr="009835BE">
              <w:rPr>
                <w:spacing w:val="-2"/>
              </w:rPr>
              <w:t>.</w:t>
            </w:r>
            <w:r>
              <w:rPr>
                <w:spacing w:val="-2"/>
              </w:rPr>
              <w:t>060</w:t>
            </w:r>
            <w:r w:rsidRPr="009835BE">
              <w:rPr>
                <w:spacing w:val="-2"/>
              </w:rPr>
              <w:t xml:space="preserve"> </w:t>
            </w:r>
          </w:p>
        </w:tc>
        <w:tc>
          <w:tcPr>
            <w:tcW w:w="1809" w:type="dxa"/>
          </w:tcPr>
          <w:p w:rsidR="006B35C8" w:rsidRPr="00381F19" w:rsidRDefault="00BE0D55" w:rsidP="00850654">
            <w:r w:rsidRPr="00BE0D55">
              <w:t>Four-year cycle process</w:t>
            </w:r>
          </w:p>
        </w:tc>
        <w:tc>
          <w:tcPr>
            <w:tcW w:w="3462" w:type="dxa"/>
          </w:tcPr>
          <w:p w:rsidR="006B35C8" w:rsidRPr="00381F19" w:rsidRDefault="006B35C8" w:rsidP="00850654">
            <w:r w:rsidRPr="00381F19">
              <w:t>Specifying that the eight year cycle begins with the transmittal of the King County Comprehensive Plan on June 30, 2022 and continuing every eight years thereafter to correspond with the update cycle specified in the Growth Manageme</w:t>
            </w:r>
            <w:r w:rsidR="00BE0D55">
              <w:t>nt Act</w:t>
            </w:r>
          </w:p>
        </w:tc>
        <w:tc>
          <w:tcPr>
            <w:tcW w:w="2113" w:type="dxa"/>
          </w:tcPr>
          <w:p w:rsidR="006B35C8" w:rsidRDefault="00BE0D55" w:rsidP="00850654">
            <w:r>
              <w:t>Schedule change consistent with proposal in Restructure Plan</w:t>
            </w:r>
          </w:p>
          <w:p w:rsidR="00BE0D55" w:rsidRDefault="00BE0D55" w:rsidP="00850654"/>
          <w:p w:rsidR="00BE0D55" w:rsidRPr="00381F19" w:rsidRDefault="00BE0D55" w:rsidP="00BE0D55">
            <w:r>
              <w:t>Better aligns Comprehensive Plan with Growth Management Act</w:t>
            </w:r>
          </w:p>
        </w:tc>
      </w:tr>
      <w:tr w:rsidR="00BE0D55" w:rsidRPr="00381F19" w:rsidTr="00BE0D55">
        <w:tc>
          <w:tcPr>
            <w:tcW w:w="804" w:type="dxa"/>
          </w:tcPr>
          <w:p w:rsidR="006B35C8" w:rsidRPr="00381F19" w:rsidRDefault="00C44F16" w:rsidP="00850654">
            <w:r>
              <w:t>12</w:t>
            </w:r>
          </w:p>
        </w:tc>
        <w:tc>
          <w:tcPr>
            <w:tcW w:w="1162" w:type="dxa"/>
          </w:tcPr>
          <w:p w:rsidR="006B35C8" w:rsidRPr="00381F19" w:rsidRDefault="00BE0D55" w:rsidP="00850654">
            <w:r w:rsidRPr="00BE0D55">
              <w:t xml:space="preserve">20.18.080 </w:t>
            </w:r>
          </w:p>
        </w:tc>
        <w:tc>
          <w:tcPr>
            <w:tcW w:w="1809" w:type="dxa"/>
          </w:tcPr>
          <w:p w:rsidR="006B35C8" w:rsidRPr="00381F19" w:rsidRDefault="00BE0D55" w:rsidP="00850654">
            <w:r w:rsidRPr="00BE0D55">
              <w:t>Subarea plan procedures</w:t>
            </w:r>
          </w:p>
        </w:tc>
        <w:tc>
          <w:tcPr>
            <w:tcW w:w="3462" w:type="dxa"/>
          </w:tcPr>
          <w:p w:rsidR="006B35C8" w:rsidRPr="00381F19" w:rsidRDefault="006B35C8" w:rsidP="00BE0D55">
            <w:r w:rsidRPr="00381F19">
              <w:t xml:space="preserve">Referring to the subarea </w:t>
            </w:r>
            <w:r w:rsidR="00BE0D55">
              <w:t xml:space="preserve">planning program and </w:t>
            </w:r>
            <w:r w:rsidRPr="00381F19">
              <w:t>update schedule that is established in the</w:t>
            </w:r>
            <w:r w:rsidR="00BE0D55">
              <w:t xml:space="preserve"> King County Comprehensive Plan</w:t>
            </w:r>
          </w:p>
        </w:tc>
        <w:tc>
          <w:tcPr>
            <w:tcW w:w="2113" w:type="dxa"/>
          </w:tcPr>
          <w:p w:rsidR="00BE0D55" w:rsidRDefault="00BE0D55" w:rsidP="00BE0D55">
            <w:r>
              <w:t>Consistent with proposal in Restructure Plan</w:t>
            </w:r>
          </w:p>
          <w:p w:rsidR="006B35C8" w:rsidRPr="00381F19" w:rsidRDefault="006B35C8" w:rsidP="00850654"/>
        </w:tc>
      </w:tr>
      <w:tr w:rsidR="00BE0D55" w:rsidRPr="00381F19" w:rsidTr="00BE0D55">
        <w:tc>
          <w:tcPr>
            <w:tcW w:w="804" w:type="dxa"/>
          </w:tcPr>
          <w:p w:rsidR="006B35C8" w:rsidRPr="00381F19" w:rsidRDefault="00C44F16" w:rsidP="00850654">
            <w:r>
              <w:t>13</w:t>
            </w:r>
          </w:p>
        </w:tc>
        <w:tc>
          <w:tcPr>
            <w:tcW w:w="1162" w:type="dxa"/>
          </w:tcPr>
          <w:p w:rsidR="006B35C8" w:rsidRPr="00381F19" w:rsidRDefault="00BE0D55" w:rsidP="00850654">
            <w:r w:rsidRPr="009835BE">
              <w:rPr>
                <w:spacing w:val="-2"/>
              </w:rPr>
              <w:t>20.</w:t>
            </w:r>
            <w:r>
              <w:rPr>
                <w:spacing w:val="-2"/>
              </w:rPr>
              <w:t>18</w:t>
            </w:r>
            <w:r w:rsidRPr="009835BE">
              <w:rPr>
                <w:spacing w:val="-2"/>
              </w:rPr>
              <w:t>.</w:t>
            </w:r>
            <w:r>
              <w:rPr>
                <w:spacing w:val="-2"/>
              </w:rPr>
              <w:t>140</w:t>
            </w:r>
            <w:r w:rsidRPr="009835BE">
              <w:rPr>
                <w:spacing w:val="-2"/>
              </w:rPr>
              <w:t xml:space="preserve"> </w:t>
            </w:r>
          </w:p>
        </w:tc>
        <w:tc>
          <w:tcPr>
            <w:tcW w:w="1809" w:type="dxa"/>
          </w:tcPr>
          <w:p w:rsidR="006B35C8" w:rsidRPr="00381F19" w:rsidRDefault="00BE0D55" w:rsidP="00850654">
            <w:r w:rsidRPr="00BE0D55">
              <w:t>Provision for receipt, review of and response to the docket</w:t>
            </w:r>
          </w:p>
        </w:tc>
        <w:tc>
          <w:tcPr>
            <w:tcW w:w="3462" w:type="dxa"/>
          </w:tcPr>
          <w:p w:rsidR="006B35C8" w:rsidRPr="00381F19" w:rsidRDefault="006B35C8" w:rsidP="00850654">
            <w:r w:rsidRPr="00381F19">
              <w:t>Revising the calendar for the docket to correspond with the new schedule for amendments to the King County Comprehensive P</w:t>
            </w:r>
            <w:r w:rsidR="00BE0D55">
              <w:t>lan</w:t>
            </w:r>
          </w:p>
        </w:tc>
        <w:tc>
          <w:tcPr>
            <w:tcW w:w="2113" w:type="dxa"/>
          </w:tcPr>
          <w:p w:rsidR="00BE0D55" w:rsidRDefault="00BE0D55" w:rsidP="00BE0D55">
            <w:r>
              <w:t>Schedule change consistent with proposal in Restructure Plan</w:t>
            </w:r>
          </w:p>
          <w:p w:rsidR="00BE0D55" w:rsidRDefault="00BE0D55" w:rsidP="00BE0D55"/>
          <w:p w:rsidR="006B35C8" w:rsidRPr="00381F19" w:rsidRDefault="00BE0D55" w:rsidP="00BE0D55">
            <w:r>
              <w:lastRenderedPageBreak/>
              <w:t>Better aligns Docket with Comprehensive Plan schedule changes</w:t>
            </w:r>
          </w:p>
        </w:tc>
      </w:tr>
      <w:tr w:rsidR="00BE0D55" w:rsidRPr="00381F19" w:rsidTr="00BE0D55">
        <w:tc>
          <w:tcPr>
            <w:tcW w:w="804" w:type="dxa"/>
          </w:tcPr>
          <w:p w:rsidR="00BE0D55" w:rsidRPr="00381F19" w:rsidRDefault="00C44F16" w:rsidP="00BE0D55">
            <w:r>
              <w:lastRenderedPageBreak/>
              <w:t>14</w:t>
            </w:r>
          </w:p>
        </w:tc>
        <w:tc>
          <w:tcPr>
            <w:tcW w:w="1162" w:type="dxa"/>
          </w:tcPr>
          <w:p w:rsidR="00BE0D55" w:rsidRPr="009835BE" w:rsidRDefault="00BE0D55" w:rsidP="00BE0D55">
            <w:pPr>
              <w:rPr>
                <w:spacing w:val="-2"/>
              </w:rPr>
            </w:pPr>
            <w:r w:rsidRPr="00BE0D55">
              <w:rPr>
                <w:spacing w:val="-2"/>
              </w:rPr>
              <w:t xml:space="preserve">20.18.170 </w:t>
            </w:r>
          </w:p>
        </w:tc>
        <w:tc>
          <w:tcPr>
            <w:tcW w:w="1809" w:type="dxa"/>
          </w:tcPr>
          <w:p w:rsidR="00BE0D55" w:rsidRPr="00BE0D55" w:rsidRDefault="00BE0D55" w:rsidP="00BE0D55">
            <w:r>
              <w:t>Four to One Process</w:t>
            </w:r>
          </w:p>
        </w:tc>
        <w:tc>
          <w:tcPr>
            <w:tcW w:w="3462" w:type="dxa"/>
          </w:tcPr>
          <w:p w:rsidR="00BE0D55" w:rsidRPr="00381F19" w:rsidRDefault="00BE0D55" w:rsidP="00BE0D55">
            <w:r w:rsidRPr="00381F19">
              <w:t xml:space="preserve">Changing </w:t>
            </w:r>
            <w:r w:rsidR="00767DE0">
              <w:t xml:space="preserve">reference to </w:t>
            </w:r>
            <w:r w:rsidRPr="00381F19">
              <w:t>the update cycle of the King County Comprehensive Plan from four years to eight y</w:t>
            </w:r>
            <w:r>
              <w:t>ears</w:t>
            </w:r>
          </w:p>
        </w:tc>
        <w:tc>
          <w:tcPr>
            <w:tcW w:w="2113" w:type="dxa"/>
          </w:tcPr>
          <w:p w:rsidR="00BE0D55" w:rsidRPr="00381F19" w:rsidRDefault="00BE0D55" w:rsidP="00BE0D55">
            <w:r>
              <w:t>Schedule change consistent with proposal in Restructure Plan</w:t>
            </w:r>
          </w:p>
        </w:tc>
      </w:tr>
    </w:tbl>
    <w:p w:rsidR="006B35C8" w:rsidRDefault="006B35C8" w:rsidP="0044382C">
      <w:pPr>
        <w:tabs>
          <w:tab w:val="right" w:pos="4770"/>
          <w:tab w:val="right" w:pos="7560"/>
        </w:tabs>
        <w:rPr>
          <w:rFonts w:ascii="Arial" w:hAnsi="Arial" w:cs="Arial"/>
          <w:b/>
          <w:color w:val="000000"/>
          <w:sz w:val="24"/>
        </w:rPr>
      </w:pPr>
    </w:p>
    <w:sectPr w:rsidR="006B35C8" w:rsidSect="007808D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201" w:rsidRDefault="009A6201">
      <w:r>
        <w:separator/>
      </w:r>
    </w:p>
  </w:endnote>
  <w:endnote w:type="continuationSeparator" w:id="0">
    <w:p w:rsidR="009A6201" w:rsidRDefault="009A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Light">
    <w:altName w:val="Futura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66" w:rsidRPr="000A21E3" w:rsidRDefault="00EB0B4F" w:rsidP="000A21E3">
    <w:pPr>
      <w:pStyle w:val="Footer"/>
      <w:tabs>
        <w:tab w:val="clear" w:pos="9360"/>
        <w:tab w:val="right" w:pos="10080"/>
      </w:tabs>
      <w:rPr>
        <w:rFonts w:cs="Arial"/>
        <w:sz w:val="20"/>
      </w:rPr>
    </w:pPr>
    <w:r>
      <w:rPr>
        <w:rFonts w:cs="Arial"/>
        <w:sz w:val="20"/>
      </w:rPr>
      <w:t>March 1, 2018</w:t>
    </w:r>
    <w:r w:rsidR="002D2066">
      <w:rPr>
        <w:rFonts w:cs="Arial"/>
        <w:sz w:val="20"/>
      </w:rPr>
      <w:tab/>
    </w:r>
    <w:r w:rsidR="002D2066">
      <w:rPr>
        <w:rFonts w:cs="Arial"/>
        <w:sz w:val="20"/>
      </w:rPr>
      <w:tab/>
    </w:r>
    <w:r w:rsidR="002D2066" w:rsidRPr="000A21E3">
      <w:rPr>
        <w:rFonts w:cs="Arial"/>
        <w:sz w:val="20"/>
      </w:rPr>
      <w:t xml:space="preserve">Page </w:t>
    </w:r>
    <w:r w:rsidR="003E1413" w:rsidRPr="003E1413">
      <w:rPr>
        <w:rFonts w:cs="Arial"/>
        <w:sz w:val="20"/>
      </w:rPr>
      <w:fldChar w:fldCharType="begin"/>
    </w:r>
    <w:r w:rsidR="003E1413" w:rsidRPr="003E1413">
      <w:rPr>
        <w:rFonts w:cs="Arial"/>
        <w:sz w:val="20"/>
      </w:rPr>
      <w:instrText xml:space="preserve"> PAGE   \* MERGEFORMAT </w:instrText>
    </w:r>
    <w:r w:rsidR="003E1413" w:rsidRPr="003E1413">
      <w:rPr>
        <w:rFonts w:cs="Arial"/>
        <w:sz w:val="20"/>
      </w:rPr>
      <w:fldChar w:fldCharType="separate"/>
    </w:r>
    <w:r w:rsidR="002F6EBA">
      <w:rPr>
        <w:rFonts w:cs="Arial"/>
        <w:noProof/>
        <w:sz w:val="20"/>
      </w:rPr>
      <w:t>4</w:t>
    </w:r>
    <w:r w:rsidR="003E1413" w:rsidRPr="003E1413">
      <w:rPr>
        <w:rFonts w:cs="Arial"/>
        <w:noProof/>
        <w:sz w:val="20"/>
      </w:rPr>
      <w:fldChar w:fldCharType="end"/>
    </w:r>
    <w:r w:rsidR="002D2066" w:rsidRPr="000A21E3">
      <w:rPr>
        <w:rFonts w:cs="Arial"/>
        <w:sz w:val="20"/>
      </w:rPr>
      <w:t xml:space="preserve"> of </w:t>
    </w:r>
    <w:r w:rsidR="002D2066" w:rsidRPr="000A21E3">
      <w:rPr>
        <w:rFonts w:cs="Arial"/>
        <w:bCs/>
        <w:sz w:val="20"/>
      </w:rPr>
      <w:fldChar w:fldCharType="begin"/>
    </w:r>
    <w:r w:rsidR="002D2066" w:rsidRPr="000A21E3">
      <w:rPr>
        <w:rFonts w:cs="Arial"/>
        <w:bCs/>
        <w:sz w:val="20"/>
      </w:rPr>
      <w:instrText xml:space="preserve"> NUMPAGES  </w:instrText>
    </w:r>
    <w:r w:rsidR="002D2066" w:rsidRPr="000A21E3">
      <w:rPr>
        <w:rFonts w:cs="Arial"/>
        <w:bCs/>
        <w:sz w:val="20"/>
      </w:rPr>
      <w:fldChar w:fldCharType="separate"/>
    </w:r>
    <w:r w:rsidR="002F6EBA">
      <w:rPr>
        <w:rFonts w:cs="Arial"/>
        <w:bCs/>
        <w:noProof/>
        <w:sz w:val="20"/>
      </w:rPr>
      <w:t>4</w:t>
    </w:r>
    <w:r w:rsidR="002D2066" w:rsidRPr="000A21E3">
      <w:rPr>
        <w:rFonts w:cs="Arial"/>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66" w:rsidRPr="000A21E3" w:rsidRDefault="00EB0B4F" w:rsidP="000A21E3">
    <w:pPr>
      <w:pStyle w:val="Footer"/>
      <w:tabs>
        <w:tab w:val="clear" w:pos="9360"/>
        <w:tab w:val="right" w:pos="10080"/>
      </w:tabs>
      <w:rPr>
        <w:rFonts w:cs="Arial"/>
        <w:sz w:val="20"/>
      </w:rPr>
    </w:pPr>
    <w:r>
      <w:rPr>
        <w:rFonts w:cs="Arial"/>
        <w:sz w:val="20"/>
      </w:rPr>
      <w:t>March 1, 2018</w:t>
    </w:r>
    <w:r w:rsidR="002D2066">
      <w:rPr>
        <w:rFonts w:cs="Arial"/>
        <w:sz w:val="20"/>
      </w:rPr>
      <w:tab/>
    </w:r>
    <w:r w:rsidR="002D2066">
      <w:rPr>
        <w:rFonts w:cs="Arial"/>
        <w:sz w:val="20"/>
      </w:rPr>
      <w:tab/>
    </w:r>
    <w:r w:rsidR="002D2066" w:rsidRPr="000A21E3">
      <w:rPr>
        <w:rFonts w:cs="Arial"/>
        <w:sz w:val="20"/>
      </w:rPr>
      <w:t xml:space="preserve">Page </w:t>
    </w:r>
    <w:r w:rsidR="002D2066" w:rsidRPr="000A21E3">
      <w:rPr>
        <w:rFonts w:cs="Arial"/>
        <w:bCs/>
        <w:sz w:val="20"/>
      </w:rPr>
      <w:fldChar w:fldCharType="begin"/>
    </w:r>
    <w:r w:rsidR="002D2066" w:rsidRPr="000A21E3">
      <w:rPr>
        <w:rFonts w:cs="Arial"/>
        <w:bCs/>
        <w:sz w:val="20"/>
      </w:rPr>
      <w:instrText xml:space="preserve"> PAGE </w:instrText>
    </w:r>
    <w:r w:rsidR="002D2066" w:rsidRPr="000A21E3">
      <w:rPr>
        <w:rFonts w:cs="Arial"/>
        <w:bCs/>
        <w:sz w:val="20"/>
      </w:rPr>
      <w:fldChar w:fldCharType="separate"/>
    </w:r>
    <w:r w:rsidR="002F6EBA">
      <w:rPr>
        <w:rFonts w:cs="Arial"/>
        <w:bCs/>
        <w:noProof/>
        <w:sz w:val="20"/>
      </w:rPr>
      <w:t>1</w:t>
    </w:r>
    <w:r w:rsidR="002D2066" w:rsidRPr="000A21E3">
      <w:rPr>
        <w:rFonts w:cs="Arial"/>
        <w:bCs/>
        <w:sz w:val="20"/>
      </w:rPr>
      <w:fldChar w:fldCharType="end"/>
    </w:r>
    <w:r w:rsidR="002D2066" w:rsidRPr="000A21E3">
      <w:rPr>
        <w:rFonts w:cs="Arial"/>
        <w:sz w:val="20"/>
      </w:rPr>
      <w:t xml:space="preserve"> of </w:t>
    </w:r>
    <w:r w:rsidR="002D2066" w:rsidRPr="000A21E3">
      <w:rPr>
        <w:rFonts w:cs="Arial"/>
        <w:bCs/>
        <w:sz w:val="20"/>
      </w:rPr>
      <w:fldChar w:fldCharType="begin"/>
    </w:r>
    <w:r w:rsidR="002D2066" w:rsidRPr="000A21E3">
      <w:rPr>
        <w:rFonts w:cs="Arial"/>
        <w:bCs/>
        <w:sz w:val="20"/>
      </w:rPr>
      <w:instrText xml:space="preserve"> NUMPAGES  </w:instrText>
    </w:r>
    <w:r w:rsidR="002D2066" w:rsidRPr="000A21E3">
      <w:rPr>
        <w:rFonts w:cs="Arial"/>
        <w:bCs/>
        <w:sz w:val="20"/>
      </w:rPr>
      <w:fldChar w:fldCharType="separate"/>
    </w:r>
    <w:r w:rsidR="002F6EBA">
      <w:rPr>
        <w:rFonts w:cs="Arial"/>
        <w:bCs/>
        <w:noProof/>
        <w:sz w:val="20"/>
      </w:rPr>
      <w:t>4</w:t>
    </w:r>
    <w:r w:rsidR="002D2066" w:rsidRPr="000A21E3">
      <w:rPr>
        <w:rFonts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201" w:rsidRDefault="009A6201">
      <w:r>
        <w:separator/>
      </w:r>
    </w:p>
  </w:footnote>
  <w:footnote w:type="continuationSeparator" w:id="0">
    <w:p w:rsidR="009A6201" w:rsidRDefault="009A6201">
      <w:r>
        <w:continuationSeparator/>
      </w:r>
    </w:p>
  </w:footnote>
  <w:footnote w:id="1">
    <w:p w:rsidR="00296CF9" w:rsidRPr="00296CF9" w:rsidRDefault="00296CF9" w:rsidP="00296CF9">
      <w:pPr>
        <w:ind w:left="180" w:hanging="180"/>
        <w:rPr>
          <w:szCs w:val="24"/>
        </w:rPr>
      </w:pPr>
      <w:r w:rsidRPr="00296CF9">
        <w:rPr>
          <w:rStyle w:val="FootnoteReference"/>
          <w:szCs w:val="24"/>
        </w:rPr>
        <w:footnoteRef/>
      </w:r>
      <w:r w:rsidRPr="00296CF9">
        <w:rPr>
          <w:szCs w:val="24"/>
        </w:rPr>
        <w:t xml:space="preserve"> </w:t>
      </w:r>
      <w:r>
        <w:rPr>
          <w:szCs w:val="24"/>
        </w:rPr>
        <w:tab/>
      </w:r>
      <w:r w:rsidRPr="00296CF9">
        <w:rPr>
          <w:szCs w:val="24"/>
        </w:rPr>
        <w:t>2017-2018 Biennial Budget Ordinance, Ordinance 18409, Sections 19 and 88.  As amended by Ordinance 18602, Section 5, Proviso P2, and Section 47, Proviso P3.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66" w:rsidRDefault="002D2066" w:rsidP="00DD62F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66" w:rsidRPr="00296CF9" w:rsidRDefault="002D2066" w:rsidP="00296CF9">
    <w:pPr>
      <w:pStyle w:val="Header"/>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5B98"/>
    <w:multiLevelType w:val="hybridMultilevel"/>
    <w:tmpl w:val="56F678DC"/>
    <w:lvl w:ilvl="0" w:tplc="D98EC9B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37189"/>
    <w:multiLevelType w:val="hybridMultilevel"/>
    <w:tmpl w:val="E9C4B0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856AFA"/>
    <w:multiLevelType w:val="hybridMultilevel"/>
    <w:tmpl w:val="961408D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1757C4"/>
    <w:multiLevelType w:val="hybridMultilevel"/>
    <w:tmpl w:val="1A989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0021A3"/>
    <w:multiLevelType w:val="hybridMultilevel"/>
    <w:tmpl w:val="24D68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E62A1D"/>
    <w:multiLevelType w:val="hybridMultilevel"/>
    <w:tmpl w:val="54CEE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425910"/>
    <w:multiLevelType w:val="hybridMultilevel"/>
    <w:tmpl w:val="E4DEC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34D81"/>
    <w:multiLevelType w:val="hybridMultilevel"/>
    <w:tmpl w:val="89EE0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94709"/>
    <w:multiLevelType w:val="hybridMultilevel"/>
    <w:tmpl w:val="C7E0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1208B"/>
    <w:multiLevelType w:val="hybridMultilevel"/>
    <w:tmpl w:val="67D4C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F5139A"/>
    <w:multiLevelType w:val="hybridMultilevel"/>
    <w:tmpl w:val="37F6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06D1A"/>
    <w:multiLevelType w:val="hybridMultilevel"/>
    <w:tmpl w:val="BB462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D844B0"/>
    <w:multiLevelType w:val="hybridMultilevel"/>
    <w:tmpl w:val="8822E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E76DB3"/>
    <w:multiLevelType w:val="hybridMultilevel"/>
    <w:tmpl w:val="64CEC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8"/>
  </w:num>
  <w:num w:numId="4">
    <w:abstractNumId w:val="12"/>
  </w:num>
  <w:num w:numId="5">
    <w:abstractNumId w:val="2"/>
  </w:num>
  <w:num w:numId="6">
    <w:abstractNumId w:val="1"/>
  </w:num>
  <w:num w:numId="7">
    <w:abstractNumId w:val="7"/>
  </w:num>
  <w:num w:numId="8">
    <w:abstractNumId w:val="0"/>
  </w:num>
  <w:num w:numId="9">
    <w:abstractNumId w:val="13"/>
  </w:num>
  <w:num w:numId="10">
    <w:abstractNumId w:val="3"/>
  </w:num>
  <w:num w:numId="11">
    <w:abstractNumId w:val="5"/>
  </w:num>
  <w:num w:numId="12">
    <w:abstractNumId w:val="1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D5"/>
    <w:rsid w:val="00010286"/>
    <w:rsid w:val="0001538D"/>
    <w:rsid w:val="0003419A"/>
    <w:rsid w:val="00077CBF"/>
    <w:rsid w:val="000963B1"/>
    <w:rsid w:val="000A21E3"/>
    <w:rsid w:val="0012542B"/>
    <w:rsid w:val="00153041"/>
    <w:rsid w:val="00153172"/>
    <w:rsid w:val="001808C3"/>
    <w:rsid w:val="001F031B"/>
    <w:rsid w:val="001F505A"/>
    <w:rsid w:val="00296CF9"/>
    <w:rsid w:val="002B0019"/>
    <w:rsid w:val="002D2066"/>
    <w:rsid w:val="002F6EBA"/>
    <w:rsid w:val="002F6FCE"/>
    <w:rsid w:val="00347821"/>
    <w:rsid w:val="00382F20"/>
    <w:rsid w:val="0039454A"/>
    <w:rsid w:val="003E1413"/>
    <w:rsid w:val="003E3AEB"/>
    <w:rsid w:val="003F2B78"/>
    <w:rsid w:val="00432413"/>
    <w:rsid w:val="0044382C"/>
    <w:rsid w:val="00444E9A"/>
    <w:rsid w:val="004900D2"/>
    <w:rsid w:val="004946A7"/>
    <w:rsid w:val="004B1134"/>
    <w:rsid w:val="004D0B8C"/>
    <w:rsid w:val="004E26FE"/>
    <w:rsid w:val="004E5D4D"/>
    <w:rsid w:val="004F647A"/>
    <w:rsid w:val="0051768B"/>
    <w:rsid w:val="00536156"/>
    <w:rsid w:val="005465A4"/>
    <w:rsid w:val="005B37B9"/>
    <w:rsid w:val="0060755E"/>
    <w:rsid w:val="00607B52"/>
    <w:rsid w:val="006A0BED"/>
    <w:rsid w:val="006B35C8"/>
    <w:rsid w:val="006C3A5C"/>
    <w:rsid w:val="006C6B80"/>
    <w:rsid w:val="006F4246"/>
    <w:rsid w:val="006F58D6"/>
    <w:rsid w:val="007108DC"/>
    <w:rsid w:val="00744F5A"/>
    <w:rsid w:val="00767DE0"/>
    <w:rsid w:val="007808D4"/>
    <w:rsid w:val="00784FAD"/>
    <w:rsid w:val="007B38BD"/>
    <w:rsid w:val="007F0D77"/>
    <w:rsid w:val="00805BEF"/>
    <w:rsid w:val="00812B67"/>
    <w:rsid w:val="00882172"/>
    <w:rsid w:val="008C3278"/>
    <w:rsid w:val="008F5FA9"/>
    <w:rsid w:val="009A6201"/>
    <w:rsid w:val="009F0FED"/>
    <w:rsid w:val="00A0580D"/>
    <w:rsid w:val="00A82894"/>
    <w:rsid w:val="00A83871"/>
    <w:rsid w:val="00A838B9"/>
    <w:rsid w:val="00A92D7D"/>
    <w:rsid w:val="00AA6C7B"/>
    <w:rsid w:val="00B16099"/>
    <w:rsid w:val="00B95B96"/>
    <w:rsid w:val="00BC298B"/>
    <w:rsid w:val="00BE0D55"/>
    <w:rsid w:val="00BE10CD"/>
    <w:rsid w:val="00C37776"/>
    <w:rsid w:val="00C44F16"/>
    <w:rsid w:val="00CA0415"/>
    <w:rsid w:val="00CC0949"/>
    <w:rsid w:val="00CD003F"/>
    <w:rsid w:val="00CD4FFC"/>
    <w:rsid w:val="00D054AF"/>
    <w:rsid w:val="00D25450"/>
    <w:rsid w:val="00D3275F"/>
    <w:rsid w:val="00D4313C"/>
    <w:rsid w:val="00D7346E"/>
    <w:rsid w:val="00D76E89"/>
    <w:rsid w:val="00DD62F0"/>
    <w:rsid w:val="00DE75A9"/>
    <w:rsid w:val="00DF60DB"/>
    <w:rsid w:val="00E301D5"/>
    <w:rsid w:val="00EA0FD4"/>
    <w:rsid w:val="00EB0B4F"/>
    <w:rsid w:val="00EB5BBC"/>
    <w:rsid w:val="00F15C59"/>
    <w:rsid w:val="00F60492"/>
    <w:rsid w:val="00F91F35"/>
    <w:rsid w:val="00FB3BDD"/>
    <w:rsid w:val="00FF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F7BA2-AA5F-4A1D-9DC1-38F962EB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F9"/>
    <w:rPr>
      <w:rFonts w:ascii="Times New Roman" w:eastAsia="Times New Roman" w:hAnsi="Times New Roman"/>
      <w:sz w:val="22"/>
    </w:rPr>
  </w:style>
  <w:style w:type="paragraph" w:styleId="Heading1">
    <w:name w:val="heading 1"/>
    <w:basedOn w:val="Normal"/>
    <w:next w:val="Normal"/>
    <w:link w:val="Heading1Char"/>
    <w:qFormat/>
    <w:rsid w:val="00296CF9"/>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96CF9"/>
    <w:rPr>
      <w:rFonts w:ascii="Arial" w:eastAsia="Times New Roman" w:hAnsi="Arial"/>
      <w:b/>
      <w:sz w:val="22"/>
    </w:rPr>
  </w:style>
  <w:style w:type="paragraph" w:styleId="Title">
    <w:name w:val="Title"/>
    <w:basedOn w:val="Normal"/>
    <w:link w:val="TitleChar"/>
    <w:rsid w:val="00E301D5"/>
    <w:pPr>
      <w:jc w:val="center"/>
    </w:pPr>
    <w:rPr>
      <w:b/>
      <w:sz w:val="28"/>
    </w:rPr>
  </w:style>
  <w:style w:type="character" w:customStyle="1" w:styleId="TitleChar">
    <w:name w:val="Title Char"/>
    <w:link w:val="Title"/>
    <w:rsid w:val="00E301D5"/>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DD62F0"/>
    <w:pPr>
      <w:tabs>
        <w:tab w:val="center" w:pos="4680"/>
        <w:tab w:val="right" w:pos="9360"/>
      </w:tabs>
    </w:pPr>
  </w:style>
  <w:style w:type="character" w:customStyle="1" w:styleId="HeaderChar">
    <w:name w:val="Header Char"/>
    <w:link w:val="Header"/>
    <w:uiPriority w:val="99"/>
    <w:rsid w:val="00DD62F0"/>
    <w:rPr>
      <w:rFonts w:ascii="Times New Roman" w:eastAsia="Times New Roman" w:hAnsi="Times New Roman"/>
      <w:sz w:val="24"/>
    </w:rPr>
  </w:style>
  <w:style w:type="paragraph" w:styleId="Footer">
    <w:name w:val="footer"/>
    <w:basedOn w:val="Normal"/>
    <w:link w:val="FooterChar"/>
    <w:uiPriority w:val="99"/>
    <w:unhideWhenUsed/>
    <w:rsid w:val="00DD62F0"/>
    <w:pPr>
      <w:tabs>
        <w:tab w:val="center" w:pos="4680"/>
        <w:tab w:val="right" w:pos="9360"/>
      </w:tabs>
    </w:pPr>
  </w:style>
  <w:style w:type="character" w:customStyle="1" w:styleId="FooterChar">
    <w:name w:val="Footer Char"/>
    <w:link w:val="Footer"/>
    <w:uiPriority w:val="99"/>
    <w:rsid w:val="00DD62F0"/>
    <w:rPr>
      <w:rFonts w:ascii="Times New Roman" w:eastAsia="Times New Roman" w:hAnsi="Times New Roman"/>
      <w:sz w:val="24"/>
    </w:rPr>
  </w:style>
  <w:style w:type="character" w:styleId="Hyperlink">
    <w:name w:val="Hyperlink"/>
    <w:uiPriority w:val="99"/>
    <w:unhideWhenUsed/>
    <w:rsid w:val="00D054AF"/>
    <w:rPr>
      <w:color w:val="0000FF"/>
      <w:u w:val="single"/>
    </w:rPr>
  </w:style>
  <w:style w:type="paragraph" w:styleId="ListParagraph">
    <w:name w:val="List Paragraph"/>
    <w:basedOn w:val="Normal"/>
    <w:uiPriority w:val="34"/>
    <w:qFormat/>
    <w:rsid w:val="003E1413"/>
    <w:pPr>
      <w:numPr>
        <w:numId w:val="8"/>
      </w:numPr>
      <w:spacing w:before="120" w:after="120" w:line="276" w:lineRule="auto"/>
      <w:ind w:left="720"/>
    </w:pPr>
    <w:rPr>
      <w:rFonts w:eastAsia="Calibri"/>
      <w:szCs w:val="22"/>
    </w:rPr>
  </w:style>
  <w:style w:type="paragraph" w:customStyle="1" w:styleId="Default">
    <w:name w:val="Default"/>
    <w:rsid w:val="004E26FE"/>
    <w:pPr>
      <w:autoSpaceDE w:val="0"/>
      <w:autoSpaceDN w:val="0"/>
      <w:adjustRightInd w:val="0"/>
    </w:pPr>
    <w:rPr>
      <w:rFonts w:ascii="Futura Light" w:hAnsi="Futura Light" w:cs="Futura Light"/>
      <w:color w:val="000000"/>
      <w:sz w:val="24"/>
      <w:szCs w:val="24"/>
    </w:rPr>
  </w:style>
  <w:style w:type="character" w:customStyle="1" w:styleId="A2">
    <w:name w:val="A2"/>
    <w:uiPriority w:val="99"/>
    <w:rsid w:val="004E26FE"/>
    <w:rPr>
      <w:rFonts w:cs="Futura Light"/>
      <w:color w:val="211D1E"/>
      <w:sz w:val="20"/>
      <w:szCs w:val="20"/>
    </w:rPr>
  </w:style>
  <w:style w:type="paragraph" w:customStyle="1" w:styleId="Pa1">
    <w:name w:val="Pa1"/>
    <w:basedOn w:val="Default"/>
    <w:next w:val="Default"/>
    <w:uiPriority w:val="99"/>
    <w:rsid w:val="004E26FE"/>
    <w:pPr>
      <w:spacing w:line="241" w:lineRule="atLeast"/>
    </w:pPr>
    <w:rPr>
      <w:rFonts w:cs="Times New Roman"/>
      <w:color w:val="auto"/>
    </w:rPr>
  </w:style>
  <w:style w:type="character" w:customStyle="1" w:styleId="WACText">
    <w:name w:val="WACText"/>
    <w:basedOn w:val="DefaultParagraphFont"/>
    <w:rsid w:val="00D76E89"/>
    <w:rPr>
      <w:rFonts w:ascii="Courier" w:hAnsi="Courier"/>
      <w:noProof w:val="0"/>
      <w:sz w:val="24"/>
      <w:lang w:val="en-US"/>
    </w:rPr>
  </w:style>
  <w:style w:type="paragraph" w:customStyle="1" w:styleId="HRt-2">
    <w:name w:val="HRt-2"/>
    <w:rsid w:val="00D76E89"/>
    <w:pPr>
      <w:widowControl w:val="0"/>
      <w:tabs>
        <w:tab w:val="left" w:pos="-720"/>
      </w:tabs>
      <w:suppressAutoHyphens/>
      <w:spacing w:line="321" w:lineRule="exact"/>
    </w:pPr>
    <w:rPr>
      <w:rFonts w:ascii="Courier" w:eastAsia="Times New Roman" w:hAnsi="Courier"/>
      <w:snapToGrid w:val="0"/>
      <w:sz w:val="24"/>
    </w:rPr>
  </w:style>
  <w:style w:type="paragraph" w:styleId="FootnoteText">
    <w:name w:val="footnote text"/>
    <w:basedOn w:val="Normal"/>
    <w:link w:val="FootnoteTextChar"/>
    <w:uiPriority w:val="99"/>
    <w:semiHidden/>
    <w:unhideWhenUsed/>
    <w:rsid w:val="00296CF9"/>
    <w:rPr>
      <w:sz w:val="20"/>
    </w:rPr>
  </w:style>
  <w:style w:type="character" w:customStyle="1" w:styleId="FootnoteTextChar">
    <w:name w:val="Footnote Text Char"/>
    <w:basedOn w:val="DefaultParagraphFont"/>
    <w:link w:val="FootnoteText"/>
    <w:uiPriority w:val="99"/>
    <w:semiHidden/>
    <w:rsid w:val="00296CF9"/>
    <w:rPr>
      <w:rFonts w:ascii="Times New Roman" w:eastAsia="Times New Roman" w:hAnsi="Times New Roman"/>
    </w:rPr>
  </w:style>
  <w:style w:type="character" w:styleId="FootnoteReference">
    <w:name w:val="footnote reference"/>
    <w:basedOn w:val="DefaultParagraphFont"/>
    <w:uiPriority w:val="99"/>
    <w:semiHidden/>
    <w:unhideWhenUsed/>
    <w:rsid w:val="00296CF9"/>
    <w:rPr>
      <w:vertAlign w:val="superscript"/>
    </w:rPr>
  </w:style>
  <w:style w:type="paragraph" w:styleId="CommentText">
    <w:name w:val="annotation text"/>
    <w:basedOn w:val="Normal"/>
    <w:link w:val="CommentTextChar"/>
    <w:uiPriority w:val="99"/>
    <w:semiHidden/>
    <w:rsid w:val="0044382C"/>
    <w:rPr>
      <w:rFonts w:ascii="Calibri" w:hAnsi="Calibri"/>
    </w:rPr>
  </w:style>
  <w:style w:type="character" w:customStyle="1" w:styleId="CommentTextChar">
    <w:name w:val="Comment Text Char"/>
    <w:basedOn w:val="DefaultParagraphFont"/>
    <w:link w:val="CommentText"/>
    <w:uiPriority w:val="99"/>
    <w:semiHidden/>
    <w:rsid w:val="0044382C"/>
    <w:rPr>
      <w:rFonts w:eastAsia="Times New Roman"/>
      <w:sz w:val="22"/>
    </w:rPr>
  </w:style>
  <w:style w:type="table" w:styleId="TableGrid">
    <w:name w:val="Table Grid"/>
    <w:basedOn w:val="TableNormal"/>
    <w:uiPriority w:val="99"/>
    <w:rsid w:val="006B35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444">
      <w:bodyDiv w:val="1"/>
      <w:marLeft w:val="0"/>
      <w:marRight w:val="0"/>
      <w:marTop w:val="0"/>
      <w:marBottom w:val="0"/>
      <w:divBdr>
        <w:top w:val="none" w:sz="0" w:space="0" w:color="auto"/>
        <w:left w:val="none" w:sz="0" w:space="0" w:color="auto"/>
        <w:bottom w:val="none" w:sz="0" w:space="0" w:color="auto"/>
        <w:right w:val="none" w:sz="0" w:space="0" w:color="auto"/>
      </w:divBdr>
    </w:div>
    <w:div w:id="70282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3CD0-BEA5-448C-80C4-4A685B8C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Reinert</dc:creator>
  <cp:lastModifiedBy>Harrison, Shelley</cp:lastModifiedBy>
  <cp:revision>20</cp:revision>
  <cp:lastPrinted>2013-10-23T21:28:00Z</cp:lastPrinted>
  <dcterms:created xsi:type="dcterms:W3CDTF">2018-02-05T20:57:00Z</dcterms:created>
  <dcterms:modified xsi:type="dcterms:W3CDTF">2018-02-28T15:50:00Z</dcterms:modified>
</cp:coreProperties>
</file>