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174"/>
        <w:gridCol w:w="4131"/>
        <w:gridCol w:w="1440"/>
        <w:gridCol w:w="2160"/>
        <w:gridCol w:w="3690"/>
        <w:gridCol w:w="3973"/>
      </w:tblGrid>
      <w:tr w:rsidR="00B80EF9" w:rsidTr="00B80EF9">
        <w:trPr>
          <w:cantSplit/>
          <w:tblHeader/>
        </w:trPr>
        <w:tc>
          <w:tcPr>
            <w:tcW w:w="1174" w:type="dxa"/>
            <w:shd w:val="clear" w:color="auto" w:fill="000000" w:themeFill="text1"/>
            <w:vAlign w:val="bottom"/>
          </w:tcPr>
          <w:p w:rsidR="00895FC2" w:rsidRPr="00895FC2" w:rsidRDefault="00895FC2" w:rsidP="00895FC2">
            <w:pPr>
              <w:rPr>
                <w:b/>
                <w:color w:val="FFFFFF" w:themeColor="background1"/>
              </w:rPr>
            </w:pPr>
            <w:r>
              <w:rPr>
                <w:b/>
                <w:color w:val="FFFFFF" w:themeColor="background1"/>
              </w:rPr>
              <w:t>Report Identifier</w:t>
            </w:r>
            <w:r w:rsidR="000F0595">
              <w:rPr>
                <w:b/>
                <w:color w:val="FFFFFF" w:themeColor="background1"/>
              </w:rPr>
              <w:t>*</w:t>
            </w:r>
          </w:p>
        </w:tc>
        <w:tc>
          <w:tcPr>
            <w:tcW w:w="4131" w:type="dxa"/>
            <w:shd w:val="clear" w:color="auto" w:fill="000000" w:themeFill="text1"/>
            <w:vAlign w:val="bottom"/>
          </w:tcPr>
          <w:p w:rsidR="00895FC2" w:rsidRPr="00895FC2" w:rsidRDefault="00895FC2" w:rsidP="00895FC2">
            <w:pPr>
              <w:rPr>
                <w:b/>
                <w:color w:val="FFFFFF" w:themeColor="background1"/>
              </w:rPr>
            </w:pPr>
            <w:r>
              <w:rPr>
                <w:b/>
                <w:color w:val="FFFFFF" w:themeColor="background1"/>
              </w:rPr>
              <w:t>Description of Report</w:t>
            </w:r>
          </w:p>
        </w:tc>
        <w:tc>
          <w:tcPr>
            <w:tcW w:w="1440" w:type="dxa"/>
            <w:shd w:val="clear" w:color="auto" w:fill="000000" w:themeFill="text1"/>
            <w:vAlign w:val="bottom"/>
          </w:tcPr>
          <w:p w:rsidR="00895FC2" w:rsidRPr="00895FC2" w:rsidRDefault="00895FC2" w:rsidP="00895FC2">
            <w:pPr>
              <w:rPr>
                <w:b/>
                <w:color w:val="FFFFFF" w:themeColor="background1"/>
              </w:rPr>
            </w:pPr>
            <w:r>
              <w:rPr>
                <w:b/>
                <w:color w:val="FFFFFF" w:themeColor="background1"/>
              </w:rPr>
              <w:t>Existing Code Section</w:t>
            </w:r>
          </w:p>
        </w:tc>
        <w:tc>
          <w:tcPr>
            <w:tcW w:w="2160" w:type="dxa"/>
            <w:shd w:val="clear" w:color="auto" w:fill="000000" w:themeFill="text1"/>
            <w:vAlign w:val="bottom"/>
          </w:tcPr>
          <w:p w:rsidR="00895FC2" w:rsidRPr="00895FC2" w:rsidRDefault="00895FC2" w:rsidP="00895FC2">
            <w:pPr>
              <w:rPr>
                <w:b/>
                <w:color w:val="FFFFFF" w:themeColor="background1"/>
              </w:rPr>
            </w:pPr>
            <w:r>
              <w:rPr>
                <w:b/>
                <w:color w:val="FFFFFF" w:themeColor="background1"/>
              </w:rPr>
              <w:t>Code Section in Proposed Ordinance</w:t>
            </w:r>
          </w:p>
        </w:tc>
        <w:tc>
          <w:tcPr>
            <w:tcW w:w="3690" w:type="dxa"/>
            <w:shd w:val="clear" w:color="auto" w:fill="000000" w:themeFill="text1"/>
            <w:vAlign w:val="bottom"/>
          </w:tcPr>
          <w:p w:rsidR="00895FC2" w:rsidRPr="00B80EF9" w:rsidRDefault="00895FC2" w:rsidP="00895FC2">
            <w:pPr>
              <w:rPr>
                <w:b/>
                <w:color w:val="FFFFFF" w:themeColor="background1"/>
              </w:rPr>
            </w:pPr>
            <w:r w:rsidRPr="00B80EF9">
              <w:rPr>
                <w:b/>
                <w:color w:val="FFFFFF" w:themeColor="background1"/>
              </w:rPr>
              <w:t>Change</w:t>
            </w:r>
            <w:r w:rsidR="00E0335C" w:rsidRPr="00B80EF9">
              <w:rPr>
                <w:b/>
                <w:color w:val="FFFFFF" w:themeColor="background1"/>
              </w:rPr>
              <w:t>(s)</w:t>
            </w:r>
            <w:r w:rsidRPr="00B80EF9">
              <w:rPr>
                <w:b/>
                <w:color w:val="FFFFFF" w:themeColor="background1"/>
              </w:rPr>
              <w:t xml:space="preserve"> in Proposed Ordinance</w:t>
            </w:r>
            <w:r w:rsidR="0004550A">
              <w:rPr>
                <w:b/>
                <w:color w:val="FFFFFF" w:themeColor="background1"/>
              </w:rPr>
              <w:t>**</w:t>
            </w:r>
            <w:r w:rsidRPr="00B80EF9">
              <w:rPr>
                <w:b/>
                <w:color w:val="FFFFFF" w:themeColor="background1"/>
              </w:rPr>
              <w:t xml:space="preserve"> </w:t>
            </w:r>
          </w:p>
        </w:tc>
        <w:tc>
          <w:tcPr>
            <w:tcW w:w="3973" w:type="dxa"/>
            <w:shd w:val="clear" w:color="auto" w:fill="000000" w:themeFill="text1"/>
            <w:vAlign w:val="bottom"/>
          </w:tcPr>
          <w:p w:rsidR="00895FC2" w:rsidRPr="00895FC2" w:rsidRDefault="00E0335C" w:rsidP="00895FC2">
            <w:pPr>
              <w:rPr>
                <w:b/>
                <w:color w:val="FFFFFF" w:themeColor="background1"/>
              </w:rPr>
            </w:pPr>
            <w:r>
              <w:rPr>
                <w:b/>
                <w:color w:val="FFFFFF" w:themeColor="background1"/>
              </w:rPr>
              <w:t xml:space="preserve">Proposed </w:t>
            </w:r>
            <w:r w:rsidR="00895FC2">
              <w:rPr>
                <w:b/>
                <w:color w:val="FFFFFF" w:themeColor="background1"/>
              </w:rPr>
              <w:t>Ordinance Section</w:t>
            </w:r>
            <w:r>
              <w:rPr>
                <w:b/>
                <w:color w:val="FFFFFF" w:themeColor="background1"/>
              </w:rPr>
              <w:t>(s)</w:t>
            </w:r>
          </w:p>
        </w:tc>
      </w:tr>
      <w:tr w:rsidR="007700BE" w:rsidTr="0040547D">
        <w:trPr>
          <w:cantSplit/>
        </w:trPr>
        <w:tc>
          <w:tcPr>
            <w:tcW w:w="1174" w:type="dxa"/>
            <w:vAlign w:val="bottom"/>
          </w:tcPr>
          <w:p w:rsidR="00895FC2" w:rsidRDefault="00895FC2" w:rsidP="00895FC2">
            <w:r>
              <w:t>1E</w:t>
            </w:r>
          </w:p>
        </w:tc>
        <w:tc>
          <w:tcPr>
            <w:tcW w:w="4131" w:type="dxa"/>
            <w:vAlign w:val="bottom"/>
          </w:tcPr>
          <w:p w:rsidR="00895FC2" w:rsidRDefault="00895FC2" w:rsidP="00895FC2">
            <w:r>
              <w:t>Executive reports on the use of on-demand bicycle lockers at transit facilities, associated revenues and costs, program effectiveness</w:t>
            </w:r>
          </w:p>
        </w:tc>
        <w:tc>
          <w:tcPr>
            <w:tcW w:w="1440" w:type="dxa"/>
            <w:vAlign w:val="bottom"/>
          </w:tcPr>
          <w:p w:rsidR="00895FC2" w:rsidRDefault="00895FC2" w:rsidP="00895FC2">
            <w:r>
              <w:t>4A.700.750</w:t>
            </w:r>
          </w:p>
        </w:tc>
        <w:tc>
          <w:tcPr>
            <w:tcW w:w="2160" w:type="dxa"/>
            <w:vAlign w:val="bottom"/>
          </w:tcPr>
          <w:p w:rsidR="00895FC2" w:rsidRDefault="0040547D" w:rsidP="00895FC2">
            <w:r>
              <w:t>None</w:t>
            </w:r>
          </w:p>
        </w:tc>
        <w:tc>
          <w:tcPr>
            <w:tcW w:w="3690" w:type="dxa"/>
            <w:vAlign w:val="bottom"/>
          </w:tcPr>
          <w:p w:rsidR="00895FC2" w:rsidRPr="00B80EF9" w:rsidRDefault="00895FC2" w:rsidP="00895FC2">
            <w:r w:rsidRPr="00B80EF9">
              <w:t>Eliminates reporting requirement</w:t>
            </w:r>
          </w:p>
        </w:tc>
        <w:tc>
          <w:tcPr>
            <w:tcW w:w="3973" w:type="dxa"/>
            <w:shd w:val="clear" w:color="auto" w:fill="auto"/>
            <w:vAlign w:val="bottom"/>
          </w:tcPr>
          <w:p w:rsidR="00895FC2" w:rsidRDefault="0040547D" w:rsidP="00BC2A16">
            <w:pPr>
              <w:pStyle w:val="ListParagraph"/>
              <w:numPr>
                <w:ilvl w:val="0"/>
                <w:numId w:val="9"/>
              </w:numPr>
            </w:pPr>
            <w:r>
              <w:t>Section 2</w:t>
            </w:r>
            <w:r w:rsidR="00BC2A16">
              <w:t>6</w:t>
            </w:r>
            <w:r>
              <w:t>: Deletes reporting requirement;</w:t>
            </w:r>
          </w:p>
        </w:tc>
      </w:tr>
      <w:tr w:rsidR="007700BE" w:rsidTr="0040547D">
        <w:trPr>
          <w:cantSplit/>
        </w:trPr>
        <w:tc>
          <w:tcPr>
            <w:tcW w:w="1174" w:type="dxa"/>
            <w:vAlign w:val="bottom"/>
          </w:tcPr>
          <w:p w:rsidR="00895FC2" w:rsidRDefault="00895FC2" w:rsidP="00895FC2">
            <w:r>
              <w:t>1C</w:t>
            </w:r>
          </w:p>
        </w:tc>
        <w:tc>
          <w:tcPr>
            <w:tcW w:w="4131" w:type="dxa"/>
            <w:vAlign w:val="bottom"/>
          </w:tcPr>
          <w:p w:rsidR="00895FC2" w:rsidRDefault="00895FC2" w:rsidP="00895FC2">
            <w:r>
              <w:t>Hearing Examiner reports on length of time required for hearings in the previous six months, commentary on office operations and identifies any need for clarification of county policy or development regulations</w:t>
            </w:r>
          </w:p>
        </w:tc>
        <w:tc>
          <w:tcPr>
            <w:tcW w:w="1440" w:type="dxa"/>
            <w:vAlign w:val="bottom"/>
          </w:tcPr>
          <w:p w:rsidR="00895FC2" w:rsidRDefault="00895FC2" w:rsidP="00895FC2">
            <w:r>
              <w:t>20.22.310</w:t>
            </w:r>
          </w:p>
        </w:tc>
        <w:tc>
          <w:tcPr>
            <w:tcW w:w="2160" w:type="dxa"/>
            <w:vAlign w:val="bottom"/>
          </w:tcPr>
          <w:p w:rsidR="00895FC2" w:rsidRDefault="008265C8" w:rsidP="00895FC2">
            <w:r>
              <w:t>No change</w:t>
            </w:r>
          </w:p>
        </w:tc>
        <w:tc>
          <w:tcPr>
            <w:tcW w:w="3690" w:type="dxa"/>
            <w:vAlign w:val="bottom"/>
          </w:tcPr>
          <w:p w:rsidR="00895FC2" w:rsidRPr="00B80EF9" w:rsidRDefault="00895FC2" w:rsidP="00895FC2">
            <w:r w:rsidRPr="00B80EF9">
              <w:t>Changes from semi-annual to annual frequency</w:t>
            </w:r>
          </w:p>
        </w:tc>
        <w:tc>
          <w:tcPr>
            <w:tcW w:w="3973" w:type="dxa"/>
            <w:shd w:val="clear" w:color="auto" w:fill="auto"/>
            <w:vAlign w:val="bottom"/>
          </w:tcPr>
          <w:p w:rsidR="00895FC2" w:rsidRDefault="0040547D" w:rsidP="00BC2A16">
            <w:pPr>
              <w:pStyle w:val="ListParagraph"/>
              <w:numPr>
                <w:ilvl w:val="0"/>
                <w:numId w:val="9"/>
              </w:numPr>
            </w:pPr>
            <w:r>
              <w:t>Section 3</w:t>
            </w:r>
            <w:r w:rsidR="00BC2A16">
              <w:t>1</w:t>
            </w:r>
            <w:r>
              <w:t>: Changes frequency;</w:t>
            </w:r>
          </w:p>
        </w:tc>
      </w:tr>
      <w:tr w:rsidR="00B774FA" w:rsidTr="00830FA5">
        <w:trPr>
          <w:cantSplit/>
        </w:trPr>
        <w:tc>
          <w:tcPr>
            <w:tcW w:w="1174" w:type="dxa"/>
            <w:vAlign w:val="bottom"/>
          </w:tcPr>
          <w:p w:rsidR="00895FC2" w:rsidRDefault="00895FC2" w:rsidP="00895FC2">
            <w:r>
              <w:t>1M</w:t>
            </w:r>
          </w:p>
        </w:tc>
        <w:tc>
          <w:tcPr>
            <w:tcW w:w="4131" w:type="dxa"/>
            <w:vAlign w:val="bottom"/>
          </w:tcPr>
          <w:p w:rsidR="00895FC2" w:rsidRDefault="00895FC2" w:rsidP="00895FC2">
            <w:r>
              <w:t>DNRP submits a written program plan and budget for groundwater protection services for the Vashon-Maury Island groundwater management area for the year 2001</w:t>
            </w:r>
          </w:p>
        </w:tc>
        <w:tc>
          <w:tcPr>
            <w:tcW w:w="1440" w:type="dxa"/>
            <w:vAlign w:val="bottom"/>
          </w:tcPr>
          <w:p w:rsidR="00895FC2" w:rsidRDefault="00895FC2" w:rsidP="00895FC2">
            <w:r>
              <w:t>9.14.060</w:t>
            </w:r>
          </w:p>
        </w:tc>
        <w:tc>
          <w:tcPr>
            <w:tcW w:w="2160" w:type="dxa"/>
            <w:vAlign w:val="bottom"/>
          </w:tcPr>
          <w:p w:rsidR="00895FC2" w:rsidRDefault="00830FA5" w:rsidP="00895FC2">
            <w:r>
              <w:t>None</w:t>
            </w:r>
          </w:p>
        </w:tc>
        <w:tc>
          <w:tcPr>
            <w:tcW w:w="3690" w:type="dxa"/>
            <w:shd w:val="clear" w:color="auto" w:fill="auto"/>
            <w:vAlign w:val="bottom"/>
          </w:tcPr>
          <w:p w:rsidR="00895FC2" w:rsidRPr="00B80EF9" w:rsidRDefault="00830FA5" w:rsidP="00830FA5">
            <w:r>
              <w:t xml:space="preserve">Eliminates reporting requirement </w:t>
            </w:r>
          </w:p>
        </w:tc>
        <w:tc>
          <w:tcPr>
            <w:tcW w:w="3973" w:type="dxa"/>
            <w:shd w:val="clear" w:color="auto" w:fill="auto"/>
            <w:vAlign w:val="bottom"/>
          </w:tcPr>
          <w:p w:rsidR="00895FC2" w:rsidRDefault="00830FA5" w:rsidP="00BC2A16">
            <w:pPr>
              <w:pStyle w:val="ListParagraph"/>
              <w:numPr>
                <w:ilvl w:val="0"/>
                <w:numId w:val="9"/>
              </w:numPr>
            </w:pPr>
            <w:r>
              <w:t>Section 3</w:t>
            </w:r>
            <w:r w:rsidR="00BC2A16">
              <w:t>9</w:t>
            </w:r>
            <w:r>
              <w:t>: Repeals</w:t>
            </w:r>
            <w:r w:rsidRPr="00B80EF9">
              <w:t xml:space="preserve"> code section, as code section is focused on this one report due in 2001</w:t>
            </w:r>
            <w:r>
              <w:t>;</w:t>
            </w:r>
          </w:p>
        </w:tc>
      </w:tr>
      <w:tr w:rsidR="007700BE" w:rsidTr="00830FA5">
        <w:trPr>
          <w:cantSplit/>
        </w:trPr>
        <w:tc>
          <w:tcPr>
            <w:tcW w:w="1174" w:type="dxa"/>
            <w:vAlign w:val="bottom"/>
          </w:tcPr>
          <w:p w:rsidR="00895FC2" w:rsidRDefault="00895FC2" w:rsidP="00895FC2">
            <w:r>
              <w:t>2E</w:t>
            </w:r>
          </w:p>
        </w:tc>
        <w:tc>
          <w:tcPr>
            <w:tcW w:w="4131" w:type="dxa"/>
            <w:vAlign w:val="bottom"/>
          </w:tcPr>
          <w:p w:rsidR="00895FC2" w:rsidRDefault="00895FC2" w:rsidP="00895FC2">
            <w:r>
              <w:t>International Trade Expansion and Economic Development Initiative Oversight Board (staffed through airport) reports on progress addressing goals related to global trade and business development, “sister county” program, etc.</w:t>
            </w:r>
          </w:p>
        </w:tc>
        <w:tc>
          <w:tcPr>
            <w:tcW w:w="1440" w:type="dxa"/>
            <w:vAlign w:val="bottom"/>
          </w:tcPr>
          <w:p w:rsidR="00895FC2" w:rsidRDefault="00895FC2" w:rsidP="00895FC2">
            <w:r>
              <w:t>2.84.190</w:t>
            </w:r>
          </w:p>
        </w:tc>
        <w:tc>
          <w:tcPr>
            <w:tcW w:w="2160" w:type="dxa"/>
            <w:vAlign w:val="bottom"/>
          </w:tcPr>
          <w:p w:rsidR="00895FC2" w:rsidRDefault="00830FA5" w:rsidP="00895FC2">
            <w:r>
              <w:t>None</w:t>
            </w:r>
          </w:p>
        </w:tc>
        <w:tc>
          <w:tcPr>
            <w:tcW w:w="3690" w:type="dxa"/>
            <w:vAlign w:val="bottom"/>
          </w:tcPr>
          <w:p w:rsidR="00895FC2" w:rsidRPr="00B80EF9" w:rsidRDefault="00895FC2" w:rsidP="00895FC2">
            <w:r w:rsidRPr="00B80EF9">
              <w:t>Eliminates code section establishing board and reporting requirement, as Board has been disbanded</w:t>
            </w:r>
          </w:p>
        </w:tc>
        <w:tc>
          <w:tcPr>
            <w:tcW w:w="3973" w:type="dxa"/>
            <w:shd w:val="clear" w:color="auto" w:fill="auto"/>
            <w:vAlign w:val="bottom"/>
          </w:tcPr>
          <w:p w:rsidR="00895FC2" w:rsidRDefault="00830FA5" w:rsidP="00BC2A16">
            <w:pPr>
              <w:pStyle w:val="ListParagraph"/>
              <w:numPr>
                <w:ilvl w:val="0"/>
                <w:numId w:val="9"/>
              </w:numPr>
            </w:pPr>
            <w:r>
              <w:t>Section 3</w:t>
            </w:r>
            <w:r w:rsidR="00BC2A16">
              <w:t>9</w:t>
            </w:r>
            <w:r>
              <w:t xml:space="preserve">: Repeals code section establishing board and reporting requirement; </w:t>
            </w:r>
          </w:p>
        </w:tc>
      </w:tr>
      <w:tr w:rsidR="007700BE" w:rsidTr="00CD22D8">
        <w:trPr>
          <w:cantSplit/>
        </w:trPr>
        <w:tc>
          <w:tcPr>
            <w:tcW w:w="1174" w:type="dxa"/>
            <w:vAlign w:val="bottom"/>
          </w:tcPr>
          <w:p w:rsidR="00895FC2" w:rsidRDefault="00895FC2" w:rsidP="00895FC2">
            <w:r>
              <w:t>2C</w:t>
            </w:r>
          </w:p>
        </w:tc>
        <w:tc>
          <w:tcPr>
            <w:tcW w:w="4131" w:type="dxa"/>
            <w:vAlign w:val="bottom"/>
          </w:tcPr>
          <w:p w:rsidR="00895FC2" w:rsidRDefault="00895FC2" w:rsidP="00C77DFC">
            <w:r>
              <w:t>Ombuds reports on exercise of functions during the preceding calendar period</w:t>
            </w:r>
          </w:p>
        </w:tc>
        <w:tc>
          <w:tcPr>
            <w:tcW w:w="1440" w:type="dxa"/>
            <w:vAlign w:val="bottom"/>
          </w:tcPr>
          <w:p w:rsidR="00895FC2" w:rsidRDefault="00895FC2" w:rsidP="00895FC2">
            <w:r>
              <w:t>2.52.150</w:t>
            </w:r>
          </w:p>
        </w:tc>
        <w:tc>
          <w:tcPr>
            <w:tcW w:w="2160" w:type="dxa"/>
            <w:vAlign w:val="bottom"/>
          </w:tcPr>
          <w:p w:rsidR="00895FC2" w:rsidRDefault="008265C8" w:rsidP="00895FC2">
            <w:r>
              <w:t>No change</w:t>
            </w:r>
          </w:p>
        </w:tc>
        <w:tc>
          <w:tcPr>
            <w:tcW w:w="3690" w:type="dxa"/>
            <w:vAlign w:val="bottom"/>
          </w:tcPr>
          <w:p w:rsidR="00895FC2" w:rsidRPr="00B80EF9" w:rsidRDefault="00CD22D8" w:rsidP="00C77DFC">
            <w:r>
              <w:t>Combines 2C and 3C into one report transmitted semi-annually</w:t>
            </w:r>
          </w:p>
        </w:tc>
        <w:tc>
          <w:tcPr>
            <w:tcW w:w="3973" w:type="dxa"/>
            <w:shd w:val="clear" w:color="auto" w:fill="auto"/>
            <w:vAlign w:val="bottom"/>
          </w:tcPr>
          <w:p w:rsidR="00895FC2" w:rsidRDefault="00C77DFC" w:rsidP="00770462">
            <w:pPr>
              <w:pStyle w:val="ListParagraph"/>
              <w:numPr>
                <w:ilvl w:val="0"/>
                <w:numId w:val="6"/>
              </w:numPr>
            </w:pPr>
            <w:r>
              <w:t>Section 1</w:t>
            </w:r>
            <w:r w:rsidR="00770462">
              <w:t>1</w:t>
            </w:r>
            <w:r>
              <w:t>: Requires Ombuds to include information required by 3C in report 2C, changes frequency</w:t>
            </w:r>
            <w:r w:rsidR="00CD22D8">
              <w:t>;</w:t>
            </w:r>
          </w:p>
        </w:tc>
      </w:tr>
      <w:tr w:rsidR="00B774FA" w:rsidTr="00597FD6">
        <w:trPr>
          <w:cantSplit/>
        </w:trPr>
        <w:tc>
          <w:tcPr>
            <w:tcW w:w="1174" w:type="dxa"/>
            <w:vAlign w:val="bottom"/>
          </w:tcPr>
          <w:p w:rsidR="00895FC2" w:rsidRDefault="00895FC2" w:rsidP="00895FC2">
            <w:r>
              <w:t>2M</w:t>
            </w:r>
          </w:p>
        </w:tc>
        <w:tc>
          <w:tcPr>
            <w:tcW w:w="4131" w:type="dxa"/>
            <w:vAlign w:val="bottom"/>
          </w:tcPr>
          <w:p w:rsidR="00895FC2" w:rsidRDefault="00895FC2" w:rsidP="00895FC2">
            <w:r>
              <w:t>Executive reviews scope, purposes, and structure of each of the boards, commissions, and committees advising the Department of Natural Resources and prepares report with recommendations “related thereto that will service the best interests of the residents of the county” due by Dec. 31, 1997</w:t>
            </w:r>
          </w:p>
        </w:tc>
        <w:tc>
          <w:tcPr>
            <w:tcW w:w="1440" w:type="dxa"/>
            <w:vAlign w:val="bottom"/>
          </w:tcPr>
          <w:p w:rsidR="00895FC2" w:rsidRDefault="00895FC2" w:rsidP="00895FC2">
            <w:r>
              <w:t>2.29.010</w:t>
            </w:r>
          </w:p>
        </w:tc>
        <w:tc>
          <w:tcPr>
            <w:tcW w:w="2160" w:type="dxa"/>
            <w:vAlign w:val="bottom"/>
          </w:tcPr>
          <w:p w:rsidR="00895FC2" w:rsidRDefault="00597FD6" w:rsidP="00895FC2">
            <w:r>
              <w:t>None</w:t>
            </w:r>
          </w:p>
        </w:tc>
        <w:tc>
          <w:tcPr>
            <w:tcW w:w="3690" w:type="dxa"/>
            <w:shd w:val="clear" w:color="auto" w:fill="auto"/>
            <w:vAlign w:val="bottom"/>
          </w:tcPr>
          <w:p w:rsidR="00895FC2" w:rsidRPr="00B80EF9" w:rsidRDefault="00895FC2" w:rsidP="00597FD6">
            <w:r w:rsidRPr="00B80EF9">
              <w:t xml:space="preserve">Eliminates </w:t>
            </w:r>
            <w:r w:rsidR="00597FD6">
              <w:t xml:space="preserve">reporting requirement </w:t>
            </w:r>
          </w:p>
        </w:tc>
        <w:tc>
          <w:tcPr>
            <w:tcW w:w="3973" w:type="dxa"/>
            <w:shd w:val="clear" w:color="auto" w:fill="auto"/>
            <w:vAlign w:val="bottom"/>
          </w:tcPr>
          <w:p w:rsidR="00895FC2" w:rsidRDefault="00597FD6" w:rsidP="00BC2A16">
            <w:pPr>
              <w:pStyle w:val="ListParagraph"/>
              <w:numPr>
                <w:ilvl w:val="0"/>
                <w:numId w:val="6"/>
              </w:numPr>
            </w:pPr>
            <w:r>
              <w:t>Section 3</w:t>
            </w:r>
            <w:r w:rsidR="00BC2A16">
              <w:t>9</w:t>
            </w:r>
            <w:r>
              <w:t>: Repeal</w:t>
            </w:r>
            <w:r w:rsidR="00AB446D">
              <w:t>s</w:t>
            </w:r>
            <w:r>
              <w:t xml:space="preserve"> </w:t>
            </w:r>
            <w:r w:rsidRPr="00B80EF9">
              <w:t>code section, as code section was focused on this one report due in 1997</w:t>
            </w:r>
          </w:p>
        </w:tc>
      </w:tr>
      <w:tr w:rsidR="00895FC2" w:rsidTr="00AB446D">
        <w:trPr>
          <w:cantSplit/>
        </w:trPr>
        <w:tc>
          <w:tcPr>
            <w:tcW w:w="1174" w:type="dxa"/>
            <w:vAlign w:val="bottom"/>
          </w:tcPr>
          <w:p w:rsidR="00895FC2" w:rsidRDefault="00895FC2" w:rsidP="00895FC2">
            <w:r>
              <w:t>3E</w:t>
            </w:r>
          </w:p>
        </w:tc>
        <w:tc>
          <w:tcPr>
            <w:tcW w:w="4131" w:type="dxa"/>
            <w:vAlign w:val="bottom"/>
          </w:tcPr>
          <w:p w:rsidR="00895FC2" w:rsidRDefault="00895FC2" w:rsidP="00895FC2">
            <w:r>
              <w:t>Executive reports on progress of the forest incentive program in the Cedar River Basin</w:t>
            </w:r>
          </w:p>
        </w:tc>
        <w:tc>
          <w:tcPr>
            <w:tcW w:w="1440" w:type="dxa"/>
            <w:vAlign w:val="bottom"/>
          </w:tcPr>
          <w:p w:rsidR="00895FC2" w:rsidRDefault="00895FC2" w:rsidP="00895FC2">
            <w:r>
              <w:t>20.14.070</w:t>
            </w:r>
          </w:p>
        </w:tc>
        <w:tc>
          <w:tcPr>
            <w:tcW w:w="2160" w:type="dxa"/>
            <w:vAlign w:val="bottom"/>
          </w:tcPr>
          <w:p w:rsidR="00895FC2" w:rsidRDefault="00AB446D" w:rsidP="00895FC2">
            <w:r>
              <w:t>None</w:t>
            </w:r>
          </w:p>
        </w:tc>
        <w:tc>
          <w:tcPr>
            <w:tcW w:w="3690" w:type="dxa"/>
            <w:vAlign w:val="bottom"/>
          </w:tcPr>
          <w:p w:rsidR="00895FC2" w:rsidRPr="00B80EF9" w:rsidRDefault="00895FC2" w:rsidP="00895FC2">
            <w:r w:rsidRPr="00B80EF9">
              <w:t>Eliminates reporting requirement</w:t>
            </w:r>
          </w:p>
        </w:tc>
        <w:tc>
          <w:tcPr>
            <w:tcW w:w="3973" w:type="dxa"/>
            <w:shd w:val="clear" w:color="auto" w:fill="auto"/>
            <w:vAlign w:val="bottom"/>
          </w:tcPr>
          <w:p w:rsidR="00895FC2" w:rsidRDefault="00AB446D" w:rsidP="00BC2A16">
            <w:pPr>
              <w:pStyle w:val="ListParagraph"/>
              <w:numPr>
                <w:ilvl w:val="0"/>
                <w:numId w:val="6"/>
              </w:numPr>
            </w:pPr>
            <w:r>
              <w:t xml:space="preserve">Section </w:t>
            </w:r>
            <w:r w:rsidR="00BC2A16">
              <w:t>30</w:t>
            </w:r>
            <w:r w:rsidR="00091FA1">
              <w:t>: D</w:t>
            </w:r>
            <w:r>
              <w:t>eletes reporting requirement;</w:t>
            </w:r>
          </w:p>
        </w:tc>
      </w:tr>
      <w:tr w:rsidR="00895FC2" w:rsidTr="00CD22D8">
        <w:trPr>
          <w:cantSplit/>
        </w:trPr>
        <w:tc>
          <w:tcPr>
            <w:tcW w:w="1174" w:type="dxa"/>
            <w:vAlign w:val="bottom"/>
          </w:tcPr>
          <w:p w:rsidR="00895FC2" w:rsidRDefault="00895FC2" w:rsidP="00895FC2">
            <w:r>
              <w:lastRenderedPageBreak/>
              <w:t>3C</w:t>
            </w:r>
          </w:p>
        </w:tc>
        <w:tc>
          <w:tcPr>
            <w:tcW w:w="4131" w:type="dxa"/>
            <w:vAlign w:val="bottom"/>
          </w:tcPr>
          <w:p w:rsidR="00895FC2" w:rsidRDefault="00895FC2" w:rsidP="00C77DFC">
            <w:r>
              <w:t>Ombuds reports on the status of the whistleblower program from the previous year</w:t>
            </w:r>
          </w:p>
        </w:tc>
        <w:tc>
          <w:tcPr>
            <w:tcW w:w="1440" w:type="dxa"/>
            <w:vAlign w:val="bottom"/>
          </w:tcPr>
          <w:p w:rsidR="00895FC2" w:rsidRDefault="00895FC2" w:rsidP="00895FC2">
            <w:r>
              <w:t>3.42.070</w:t>
            </w:r>
          </w:p>
        </w:tc>
        <w:tc>
          <w:tcPr>
            <w:tcW w:w="2160" w:type="dxa"/>
            <w:vAlign w:val="bottom"/>
          </w:tcPr>
          <w:p w:rsidR="00895FC2" w:rsidRDefault="00CD22D8" w:rsidP="00895FC2">
            <w:r>
              <w:t>2.52.150</w:t>
            </w:r>
          </w:p>
        </w:tc>
        <w:tc>
          <w:tcPr>
            <w:tcW w:w="3690" w:type="dxa"/>
            <w:vAlign w:val="bottom"/>
          </w:tcPr>
          <w:p w:rsidR="00895FC2" w:rsidRPr="00B80EF9" w:rsidRDefault="00CD22D8" w:rsidP="00895FC2">
            <w:r>
              <w:t>Combines 2C and 3C into one report transmitted semi-annually</w:t>
            </w:r>
          </w:p>
        </w:tc>
        <w:tc>
          <w:tcPr>
            <w:tcW w:w="3973" w:type="dxa"/>
            <w:shd w:val="clear" w:color="auto" w:fill="auto"/>
            <w:vAlign w:val="bottom"/>
          </w:tcPr>
          <w:p w:rsidR="00895FC2" w:rsidRDefault="00C77DFC" w:rsidP="00C77DFC">
            <w:pPr>
              <w:pStyle w:val="ListParagraph"/>
              <w:numPr>
                <w:ilvl w:val="0"/>
                <w:numId w:val="6"/>
              </w:numPr>
            </w:pPr>
            <w:r>
              <w:t>Section 1</w:t>
            </w:r>
            <w:r w:rsidR="00770462">
              <w:t>1</w:t>
            </w:r>
            <w:r>
              <w:t>: Requires Ombuds to include information required by 3C in report 2C, changes frequency</w:t>
            </w:r>
            <w:r w:rsidR="00CD22D8">
              <w:t>;</w:t>
            </w:r>
          </w:p>
          <w:p w:rsidR="00C77DFC" w:rsidRDefault="00C77DFC" w:rsidP="00C77DFC">
            <w:pPr>
              <w:pStyle w:val="ListParagraph"/>
              <w:numPr>
                <w:ilvl w:val="0"/>
                <w:numId w:val="6"/>
              </w:numPr>
            </w:pPr>
            <w:r>
              <w:t>Section 3</w:t>
            </w:r>
            <w:r w:rsidR="00BC2A16">
              <w:t>9</w:t>
            </w:r>
            <w:r>
              <w:t>: Repeal</w:t>
            </w:r>
            <w:r w:rsidR="00AB446D">
              <w:t>s</w:t>
            </w:r>
            <w:r>
              <w:t xml:space="preserve"> </w:t>
            </w:r>
            <w:r w:rsidR="00CD22D8">
              <w:t>code section for whistleblower reporting (3C) b</w:t>
            </w:r>
            <w:r w:rsidR="00B774FA">
              <w:t xml:space="preserve">ecause </w:t>
            </w:r>
            <w:r w:rsidR="00CD22D8">
              <w:t>reporting requirement</w:t>
            </w:r>
            <w:r w:rsidR="00B774FA">
              <w:t xml:space="preserve"> added in Section 1</w:t>
            </w:r>
            <w:r w:rsidR="00770462">
              <w:t>1</w:t>
            </w:r>
            <w:r w:rsidR="00B774FA">
              <w:t xml:space="preserve"> of Ordinance</w:t>
            </w:r>
            <w:r w:rsidR="00CD22D8">
              <w:t>;</w:t>
            </w:r>
          </w:p>
          <w:p w:rsidR="00C77DFC" w:rsidRDefault="00C77DFC" w:rsidP="00895FC2"/>
        </w:tc>
      </w:tr>
      <w:tr w:rsidR="00895FC2" w:rsidTr="00AB446D">
        <w:trPr>
          <w:cantSplit/>
        </w:trPr>
        <w:tc>
          <w:tcPr>
            <w:tcW w:w="1174" w:type="dxa"/>
            <w:vAlign w:val="bottom"/>
          </w:tcPr>
          <w:p w:rsidR="00895FC2" w:rsidRDefault="00895FC2" w:rsidP="00895FC2">
            <w:r>
              <w:t>3M</w:t>
            </w:r>
          </w:p>
        </w:tc>
        <w:tc>
          <w:tcPr>
            <w:tcW w:w="4131" w:type="dxa"/>
            <w:vAlign w:val="bottom"/>
          </w:tcPr>
          <w:p w:rsidR="00895FC2" w:rsidRDefault="00895FC2" w:rsidP="00895FC2">
            <w:r>
              <w:t>Children and Youth Advisory Board shall work in collaboration with the Executive to develop an implementation plan relating to the BSK Youth and Family Homelessness Prevention Initiative</w:t>
            </w:r>
          </w:p>
        </w:tc>
        <w:tc>
          <w:tcPr>
            <w:tcW w:w="1440" w:type="dxa"/>
            <w:vAlign w:val="bottom"/>
          </w:tcPr>
          <w:p w:rsidR="00895FC2" w:rsidRDefault="00895FC2" w:rsidP="00895FC2">
            <w:r>
              <w:t>2A.300.510</w:t>
            </w:r>
          </w:p>
        </w:tc>
        <w:tc>
          <w:tcPr>
            <w:tcW w:w="2160" w:type="dxa"/>
            <w:vAlign w:val="bottom"/>
          </w:tcPr>
          <w:p w:rsidR="00895FC2" w:rsidRDefault="00AB446D" w:rsidP="00895FC2">
            <w:r>
              <w:t>None</w:t>
            </w:r>
          </w:p>
        </w:tc>
        <w:tc>
          <w:tcPr>
            <w:tcW w:w="3690" w:type="dxa"/>
            <w:shd w:val="clear" w:color="auto" w:fill="auto"/>
            <w:vAlign w:val="bottom"/>
          </w:tcPr>
          <w:p w:rsidR="00895FC2" w:rsidRPr="00B80EF9" w:rsidRDefault="00895FC2" w:rsidP="00AB446D">
            <w:r w:rsidRPr="00B80EF9">
              <w:t xml:space="preserve">Eliminates reporting requirement </w:t>
            </w:r>
          </w:p>
        </w:tc>
        <w:tc>
          <w:tcPr>
            <w:tcW w:w="3973" w:type="dxa"/>
            <w:shd w:val="clear" w:color="auto" w:fill="auto"/>
            <w:vAlign w:val="bottom"/>
          </w:tcPr>
          <w:p w:rsidR="00895FC2" w:rsidRDefault="00B774FA" w:rsidP="00BC2A16">
            <w:pPr>
              <w:pStyle w:val="ListParagraph"/>
              <w:numPr>
                <w:ilvl w:val="0"/>
                <w:numId w:val="7"/>
              </w:numPr>
            </w:pPr>
            <w:r>
              <w:t>Section 1</w:t>
            </w:r>
            <w:r w:rsidR="00BC2A16">
              <w:t>3</w:t>
            </w:r>
            <w:r>
              <w:t>: Deletes reporting requirement</w:t>
            </w:r>
            <w:r w:rsidR="00AB446D">
              <w:t>, as plan has been adopted by Council (Ord. 18285)</w:t>
            </w:r>
            <w:r>
              <w:t xml:space="preserve"> </w:t>
            </w:r>
          </w:p>
        </w:tc>
      </w:tr>
      <w:tr w:rsidR="00895FC2" w:rsidTr="001435A0">
        <w:trPr>
          <w:cantSplit/>
        </w:trPr>
        <w:tc>
          <w:tcPr>
            <w:tcW w:w="1174" w:type="dxa"/>
            <w:vAlign w:val="bottom"/>
          </w:tcPr>
          <w:p w:rsidR="00895FC2" w:rsidRDefault="00895FC2" w:rsidP="00895FC2">
            <w:r>
              <w:t>4E</w:t>
            </w:r>
          </w:p>
        </w:tc>
        <w:tc>
          <w:tcPr>
            <w:tcW w:w="4131" w:type="dxa"/>
            <w:vAlign w:val="bottom"/>
          </w:tcPr>
          <w:p w:rsidR="00895FC2" w:rsidRDefault="00895FC2" w:rsidP="00895FC2">
            <w:r>
              <w:t>DNRP/DPER evaluates the prior year’s activity related to rural stewardship and farm management plans</w:t>
            </w:r>
          </w:p>
        </w:tc>
        <w:tc>
          <w:tcPr>
            <w:tcW w:w="1440" w:type="dxa"/>
            <w:vAlign w:val="bottom"/>
          </w:tcPr>
          <w:p w:rsidR="00895FC2" w:rsidRDefault="00895FC2" w:rsidP="00895FC2">
            <w:r>
              <w:t>21A.24.061</w:t>
            </w:r>
          </w:p>
        </w:tc>
        <w:tc>
          <w:tcPr>
            <w:tcW w:w="2160" w:type="dxa"/>
            <w:vAlign w:val="bottom"/>
          </w:tcPr>
          <w:p w:rsidR="00895FC2" w:rsidRDefault="001435A0" w:rsidP="00895FC2">
            <w:r>
              <w:t>None</w:t>
            </w:r>
          </w:p>
        </w:tc>
        <w:tc>
          <w:tcPr>
            <w:tcW w:w="3690" w:type="dxa"/>
            <w:vAlign w:val="bottom"/>
          </w:tcPr>
          <w:p w:rsidR="00895FC2" w:rsidRPr="00B80EF9" w:rsidRDefault="00895FC2" w:rsidP="00895FC2">
            <w:r w:rsidRPr="00B80EF9">
              <w:t>Eliminates reporting requirement</w:t>
            </w:r>
          </w:p>
        </w:tc>
        <w:tc>
          <w:tcPr>
            <w:tcW w:w="3973" w:type="dxa"/>
            <w:shd w:val="clear" w:color="auto" w:fill="auto"/>
            <w:vAlign w:val="bottom"/>
          </w:tcPr>
          <w:p w:rsidR="00895FC2" w:rsidRDefault="001435A0" w:rsidP="00BC2A16">
            <w:pPr>
              <w:pStyle w:val="ListParagraph"/>
              <w:numPr>
                <w:ilvl w:val="0"/>
                <w:numId w:val="7"/>
              </w:numPr>
            </w:pPr>
            <w:r>
              <w:t>Section 3</w:t>
            </w:r>
            <w:r w:rsidR="00BC2A16">
              <w:t>2</w:t>
            </w:r>
            <w:r>
              <w:t>: Deletes reporting requirement;</w:t>
            </w:r>
          </w:p>
        </w:tc>
      </w:tr>
      <w:tr w:rsidR="00895FC2" w:rsidTr="009102F5">
        <w:trPr>
          <w:cantSplit/>
        </w:trPr>
        <w:tc>
          <w:tcPr>
            <w:tcW w:w="1174" w:type="dxa"/>
            <w:vAlign w:val="bottom"/>
          </w:tcPr>
          <w:p w:rsidR="00895FC2" w:rsidRDefault="001D26E2" w:rsidP="00895FC2">
            <w:r>
              <w:t>4C</w:t>
            </w:r>
          </w:p>
        </w:tc>
        <w:tc>
          <w:tcPr>
            <w:tcW w:w="4131" w:type="dxa"/>
            <w:vAlign w:val="bottom"/>
          </w:tcPr>
          <w:p w:rsidR="00895FC2" w:rsidRDefault="001D26E2" w:rsidP="00895FC2">
            <w:r>
              <w:t>Each agency reports on performance in responding to public records requests during the previous year</w:t>
            </w:r>
          </w:p>
        </w:tc>
        <w:tc>
          <w:tcPr>
            <w:tcW w:w="1440" w:type="dxa"/>
            <w:vAlign w:val="bottom"/>
          </w:tcPr>
          <w:p w:rsidR="00895FC2" w:rsidRDefault="001D26E2" w:rsidP="00895FC2">
            <w:r>
              <w:t>2.12.300</w:t>
            </w:r>
          </w:p>
        </w:tc>
        <w:tc>
          <w:tcPr>
            <w:tcW w:w="2160" w:type="dxa"/>
            <w:shd w:val="clear" w:color="auto" w:fill="auto"/>
            <w:vAlign w:val="bottom"/>
          </w:tcPr>
          <w:p w:rsidR="00895FC2" w:rsidRPr="009102F5" w:rsidRDefault="003315DD" w:rsidP="00895FC2">
            <w:r w:rsidRPr="009102F5">
              <w:t>2.14.020</w:t>
            </w:r>
          </w:p>
        </w:tc>
        <w:tc>
          <w:tcPr>
            <w:tcW w:w="3690" w:type="dxa"/>
            <w:vAlign w:val="bottom"/>
          </w:tcPr>
          <w:p w:rsidR="00895FC2" w:rsidRPr="00B80EF9" w:rsidRDefault="003315DD" w:rsidP="00077B94">
            <w:r w:rsidRPr="00B80EF9">
              <w:t xml:space="preserve">Combines 4C, 5C, and 6C into one annual report produced by the Public Records Committee due by </w:t>
            </w:r>
            <w:r w:rsidR="00077B94">
              <w:t>March</w:t>
            </w:r>
            <w:r w:rsidRPr="00B80EF9">
              <w:t xml:space="preserve"> 1</w:t>
            </w:r>
            <w:r w:rsidR="00B80EF9">
              <w:rPr>
                <w:rStyle w:val="FootnoteReference"/>
              </w:rPr>
              <w:footnoteReference w:id="1"/>
            </w:r>
            <w:r w:rsidRPr="00B80EF9">
              <w:t xml:space="preserve"> </w:t>
            </w:r>
          </w:p>
        </w:tc>
        <w:tc>
          <w:tcPr>
            <w:tcW w:w="3973" w:type="dxa"/>
            <w:shd w:val="clear" w:color="auto" w:fill="auto"/>
            <w:vAlign w:val="bottom"/>
          </w:tcPr>
          <w:p w:rsidR="00895FC2" w:rsidRDefault="003315DD" w:rsidP="003315DD">
            <w:pPr>
              <w:pStyle w:val="ListParagraph"/>
              <w:numPr>
                <w:ilvl w:val="0"/>
                <w:numId w:val="2"/>
              </w:numPr>
            </w:pPr>
            <w:r>
              <w:t>Section 3: Changes 4C to be submitted to Chair of the Public Records Committee by February 15</w:t>
            </w:r>
            <w:r w:rsidRPr="003315DD">
              <w:rPr>
                <w:vertAlign w:val="superscript"/>
              </w:rPr>
              <w:t>th</w:t>
            </w:r>
            <w:r>
              <w:t xml:space="preserve"> </w:t>
            </w:r>
            <w:r w:rsidR="00B80EF9">
              <w:t>to allow for batching before transmission to Council</w:t>
            </w:r>
            <w:r w:rsidR="009102F5">
              <w:t>;</w:t>
            </w:r>
          </w:p>
          <w:p w:rsidR="003315DD" w:rsidRDefault="003315DD" w:rsidP="00B80EF9">
            <w:pPr>
              <w:pStyle w:val="ListParagraph"/>
              <w:numPr>
                <w:ilvl w:val="0"/>
                <w:numId w:val="2"/>
              </w:numPr>
            </w:pPr>
            <w:r>
              <w:t xml:space="preserve">Section 4: Requires Public Records Committee to </w:t>
            </w:r>
            <w:r w:rsidR="00B80EF9">
              <w:t>transmit information required by 4C with information required by 5C and 6C to Council</w:t>
            </w:r>
            <w:r w:rsidR="009102F5">
              <w:t xml:space="preserve"> by March 1;</w:t>
            </w:r>
          </w:p>
        </w:tc>
      </w:tr>
      <w:tr w:rsidR="001D26E2" w:rsidTr="001435A0">
        <w:trPr>
          <w:cantSplit/>
        </w:trPr>
        <w:tc>
          <w:tcPr>
            <w:tcW w:w="1174" w:type="dxa"/>
            <w:vAlign w:val="bottom"/>
          </w:tcPr>
          <w:p w:rsidR="001D26E2" w:rsidRDefault="001D26E2" w:rsidP="00895FC2">
            <w:r>
              <w:lastRenderedPageBreak/>
              <w:t>4M</w:t>
            </w:r>
          </w:p>
        </w:tc>
        <w:tc>
          <w:tcPr>
            <w:tcW w:w="4131" w:type="dxa"/>
            <w:vAlign w:val="bottom"/>
          </w:tcPr>
          <w:p w:rsidR="001D26E2" w:rsidRDefault="001D26E2" w:rsidP="00895FC2">
            <w:r>
              <w:t>Executive reports on the expenses incurred by the Personnel Board during the calendar year of 1999 at the new per diem rate and makes recommendations on any further adjustments to the rate due by Dec. 31, 1999</w:t>
            </w:r>
          </w:p>
        </w:tc>
        <w:tc>
          <w:tcPr>
            <w:tcW w:w="1440" w:type="dxa"/>
            <w:vAlign w:val="bottom"/>
          </w:tcPr>
          <w:p w:rsidR="001D26E2" w:rsidRDefault="001D26E2" w:rsidP="00895FC2">
            <w:r>
              <w:t>3.08.110</w:t>
            </w:r>
          </w:p>
        </w:tc>
        <w:tc>
          <w:tcPr>
            <w:tcW w:w="2160" w:type="dxa"/>
            <w:vAlign w:val="bottom"/>
          </w:tcPr>
          <w:p w:rsidR="001D26E2" w:rsidRDefault="001435A0" w:rsidP="00895FC2">
            <w:r>
              <w:t>None</w:t>
            </w:r>
          </w:p>
        </w:tc>
        <w:tc>
          <w:tcPr>
            <w:tcW w:w="3690" w:type="dxa"/>
            <w:shd w:val="clear" w:color="auto" w:fill="auto"/>
            <w:vAlign w:val="bottom"/>
          </w:tcPr>
          <w:p w:rsidR="001D26E2" w:rsidRPr="00B80EF9" w:rsidRDefault="001D26E2" w:rsidP="001435A0">
            <w:r w:rsidRPr="00B80EF9">
              <w:t>Eliminates reporting requirement</w:t>
            </w:r>
          </w:p>
        </w:tc>
        <w:tc>
          <w:tcPr>
            <w:tcW w:w="3973" w:type="dxa"/>
            <w:shd w:val="clear" w:color="auto" w:fill="auto"/>
            <w:vAlign w:val="bottom"/>
          </w:tcPr>
          <w:p w:rsidR="001D26E2" w:rsidRDefault="00B774FA" w:rsidP="00442685">
            <w:pPr>
              <w:pStyle w:val="ListParagraph"/>
              <w:numPr>
                <w:ilvl w:val="0"/>
                <w:numId w:val="8"/>
              </w:numPr>
            </w:pPr>
            <w:r>
              <w:t>Section 1</w:t>
            </w:r>
            <w:r w:rsidR="00BC2A16">
              <w:t>4</w:t>
            </w:r>
            <w:r>
              <w:t xml:space="preserve">: </w:t>
            </w:r>
            <w:r w:rsidR="00442685">
              <w:t>Deletes</w:t>
            </w:r>
            <w:r>
              <w:t xml:space="preserve"> reporting requirement</w:t>
            </w:r>
            <w:r w:rsidR="001435A0">
              <w:t>;</w:t>
            </w:r>
          </w:p>
        </w:tc>
      </w:tr>
      <w:tr w:rsidR="001D26E2" w:rsidTr="001435A0">
        <w:trPr>
          <w:cantSplit/>
        </w:trPr>
        <w:tc>
          <w:tcPr>
            <w:tcW w:w="1174" w:type="dxa"/>
            <w:vAlign w:val="bottom"/>
          </w:tcPr>
          <w:p w:rsidR="001D26E2" w:rsidRDefault="001D26E2" w:rsidP="00895FC2">
            <w:r>
              <w:t>5E</w:t>
            </w:r>
          </w:p>
        </w:tc>
        <w:tc>
          <w:tcPr>
            <w:tcW w:w="4131" w:type="dxa"/>
            <w:vAlign w:val="bottom"/>
          </w:tcPr>
          <w:p w:rsidR="001D26E2" w:rsidRDefault="001D26E2" w:rsidP="00895FC2">
            <w:r>
              <w:t>The in lieu fee mitigation program reports on the amount and source of revenues received by program, description and rationale for programs selected for funding, accounting of budgeted and actual expenditures, status of all projects approved in previous five years</w:t>
            </w:r>
          </w:p>
        </w:tc>
        <w:tc>
          <w:tcPr>
            <w:tcW w:w="1440" w:type="dxa"/>
            <w:vAlign w:val="bottom"/>
          </w:tcPr>
          <w:p w:rsidR="001D26E2" w:rsidRDefault="001D26E2" w:rsidP="00895FC2">
            <w:r>
              <w:t>21A.24.133</w:t>
            </w:r>
          </w:p>
        </w:tc>
        <w:tc>
          <w:tcPr>
            <w:tcW w:w="2160" w:type="dxa"/>
            <w:vAlign w:val="bottom"/>
          </w:tcPr>
          <w:p w:rsidR="001D26E2" w:rsidRDefault="001435A0" w:rsidP="00895FC2">
            <w:r>
              <w:t>None</w:t>
            </w:r>
          </w:p>
        </w:tc>
        <w:tc>
          <w:tcPr>
            <w:tcW w:w="3690" w:type="dxa"/>
            <w:vAlign w:val="bottom"/>
          </w:tcPr>
          <w:p w:rsidR="001D26E2" w:rsidRPr="00B80EF9" w:rsidRDefault="001D26E2" w:rsidP="00895FC2">
            <w:r w:rsidRPr="00B80EF9">
              <w:t>Eliminates reporting requirement</w:t>
            </w:r>
          </w:p>
        </w:tc>
        <w:tc>
          <w:tcPr>
            <w:tcW w:w="3973" w:type="dxa"/>
            <w:shd w:val="clear" w:color="auto" w:fill="auto"/>
            <w:vAlign w:val="bottom"/>
          </w:tcPr>
          <w:p w:rsidR="001D26E2" w:rsidRDefault="001435A0" w:rsidP="00BC2A16">
            <w:pPr>
              <w:pStyle w:val="ListParagraph"/>
              <w:numPr>
                <w:ilvl w:val="0"/>
                <w:numId w:val="8"/>
              </w:numPr>
            </w:pPr>
            <w:r>
              <w:t>Section 3</w:t>
            </w:r>
            <w:r w:rsidR="00BC2A16">
              <w:t>3</w:t>
            </w:r>
            <w:r>
              <w:t>: Deletes reporting requirement;</w:t>
            </w:r>
          </w:p>
        </w:tc>
      </w:tr>
      <w:tr w:rsidR="001D26E2" w:rsidTr="009102F5">
        <w:trPr>
          <w:cantSplit/>
        </w:trPr>
        <w:tc>
          <w:tcPr>
            <w:tcW w:w="1174" w:type="dxa"/>
            <w:vAlign w:val="bottom"/>
          </w:tcPr>
          <w:p w:rsidR="001D26E2" w:rsidRDefault="001D26E2" w:rsidP="00895FC2">
            <w:r>
              <w:t>5C</w:t>
            </w:r>
          </w:p>
        </w:tc>
        <w:tc>
          <w:tcPr>
            <w:tcW w:w="4131" w:type="dxa"/>
            <w:vAlign w:val="bottom"/>
          </w:tcPr>
          <w:p w:rsidR="001D26E2" w:rsidRDefault="001D26E2" w:rsidP="00895FC2">
            <w:r>
              <w:t>Public Records Committee reports on what forms of digital communication are used in each agency, how digital records are retained/searched</w:t>
            </w:r>
          </w:p>
        </w:tc>
        <w:tc>
          <w:tcPr>
            <w:tcW w:w="1440" w:type="dxa"/>
            <w:vAlign w:val="bottom"/>
          </w:tcPr>
          <w:p w:rsidR="001D26E2" w:rsidRDefault="001D26E2" w:rsidP="00895FC2">
            <w:r>
              <w:t>2.14.020</w:t>
            </w:r>
          </w:p>
        </w:tc>
        <w:tc>
          <w:tcPr>
            <w:tcW w:w="2160" w:type="dxa"/>
            <w:shd w:val="clear" w:color="auto" w:fill="auto"/>
            <w:vAlign w:val="bottom"/>
          </w:tcPr>
          <w:p w:rsidR="001D26E2" w:rsidRDefault="008265C8" w:rsidP="00895FC2">
            <w:r>
              <w:t>No change</w:t>
            </w:r>
          </w:p>
        </w:tc>
        <w:tc>
          <w:tcPr>
            <w:tcW w:w="3690" w:type="dxa"/>
            <w:shd w:val="clear" w:color="auto" w:fill="auto"/>
            <w:vAlign w:val="bottom"/>
          </w:tcPr>
          <w:p w:rsidR="001D26E2" w:rsidRPr="00B80EF9" w:rsidRDefault="003315DD" w:rsidP="00077B94">
            <w:r w:rsidRPr="00B80EF9">
              <w:t xml:space="preserve">Combines 4C, 5C, and 6C into one annual report due by </w:t>
            </w:r>
            <w:r w:rsidR="00077B94">
              <w:t>March</w:t>
            </w:r>
            <w:r w:rsidRPr="00B80EF9">
              <w:t xml:space="preserve"> 1</w:t>
            </w:r>
          </w:p>
        </w:tc>
        <w:tc>
          <w:tcPr>
            <w:tcW w:w="3973" w:type="dxa"/>
            <w:shd w:val="clear" w:color="auto" w:fill="auto"/>
            <w:vAlign w:val="bottom"/>
          </w:tcPr>
          <w:p w:rsidR="001D26E2" w:rsidRDefault="009102F5" w:rsidP="00D43DF4">
            <w:pPr>
              <w:pStyle w:val="ListParagraph"/>
              <w:numPr>
                <w:ilvl w:val="0"/>
                <w:numId w:val="3"/>
              </w:numPr>
            </w:pPr>
            <w:r>
              <w:t xml:space="preserve">Section 4: Requires Public Records Committee to transmit information required by </w:t>
            </w:r>
            <w:r w:rsidR="00D43DF4">
              <w:t>5</w:t>
            </w:r>
            <w:r>
              <w:t xml:space="preserve">C with information required by </w:t>
            </w:r>
            <w:r w:rsidR="00D43DF4">
              <w:t>4</w:t>
            </w:r>
            <w:r>
              <w:t>C and 6C to Council by March 1;</w:t>
            </w:r>
          </w:p>
        </w:tc>
      </w:tr>
      <w:tr w:rsidR="001D26E2" w:rsidTr="001435A0">
        <w:trPr>
          <w:cantSplit/>
        </w:trPr>
        <w:tc>
          <w:tcPr>
            <w:tcW w:w="1174" w:type="dxa"/>
            <w:vAlign w:val="bottom"/>
          </w:tcPr>
          <w:p w:rsidR="001D26E2" w:rsidRDefault="002055B4" w:rsidP="00895FC2">
            <w:r>
              <w:t>6E</w:t>
            </w:r>
          </w:p>
        </w:tc>
        <w:tc>
          <w:tcPr>
            <w:tcW w:w="4131" w:type="dxa"/>
            <w:vAlign w:val="bottom"/>
          </w:tcPr>
          <w:p w:rsidR="001D26E2" w:rsidRDefault="002055B4" w:rsidP="00895FC2">
            <w:r>
              <w:t>School Technical Review Committee reports on each school district recommending a certification of concurrency in the district</w:t>
            </w:r>
          </w:p>
        </w:tc>
        <w:tc>
          <w:tcPr>
            <w:tcW w:w="1440" w:type="dxa"/>
            <w:vAlign w:val="bottom"/>
          </w:tcPr>
          <w:p w:rsidR="001D26E2" w:rsidRDefault="002055B4" w:rsidP="00895FC2">
            <w:r>
              <w:t>21A.28.154</w:t>
            </w:r>
          </w:p>
        </w:tc>
        <w:tc>
          <w:tcPr>
            <w:tcW w:w="2160" w:type="dxa"/>
            <w:vAlign w:val="bottom"/>
          </w:tcPr>
          <w:p w:rsidR="001D26E2" w:rsidRDefault="001435A0" w:rsidP="00895FC2">
            <w:r>
              <w:t>None</w:t>
            </w:r>
          </w:p>
        </w:tc>
        <w:tc>
          <w:tcPr>
            <w:tcW w:w="3690" w:type="dxa"/>
            <w:vAlign w:val="bottom"/>
          </w:tcPr>
          <w:p w:rsidR="001D26E2" w:rsidRPr="00B80EF9" w:rsidRDefault="002055B4" w:rsidP="00895FC2">
            <w:r w:rsidRPr="00B80EF9">
              <w:t>Eliminates reporting requirement</w:t>
            </w:r>
          </w:p>
        </w:tc>
        <w:tc>
          <w:tcPr>
            <w:tcW w:w="3973" w:type="dxa"/>
            <w:shd w:val="clear" w:color="auto" w:fill="auto"/>
            <w:vAlign w:val="bottom"/>
          </w:tcPr>
          <w:p w:rsidR="001D26E2" w:rsidRDefault="00BC2A16" w:rsidP="001435A0">
            <w:pPr>
              <w:pStyle w:val="ListParagraph"/>
              <w:numPr>
                <w:ilvl w:val="0"/>
                <w:numId w:val="3"/>
              </w:numPr>
            </w:pPr>
            <w:r>
              <w:t>Section 34</w:t>
            </w:r>
            <w:r w:rsidR="001435A0">
              <w:t>: Deletes reporting requirement;</w:t>
            </w:r>
          </w:p>
          <w:p w:rsidR="001435A0" w:rsidRDefault="001435A0" w:rsidP="00BC2A16">
            <w:pPr>
              <w:pStyle w:val="ListParagraph"/>
              <w:numPr>
                <w:ilvl w:val="0"/>
                <w:numId w:val="3"/>
              </w:numPr>
            </w:pPr>
            <w:r>
              <w:t>Section 3</w:t>
            </w:r>
            <w:r w:rsidR="00BC2A16">
              <w:t>5</w:t>
            </w:r>
            <w:r>
              <w:t>: Deletes reference to reporting requirement;</w:t>
            </w:r>
          </w:p>
        </w:tc>
      </w:tr>
      <w:tr w:rsidR="002055B4" w:rsidTr="00D43DF4">
        <w:trPr>
          <w:cantSplit/>
        </w:trPr>
        <w:tc>
          <w:tcPr>
            <w:tcW w:w="1174" w:type="dxa"/>
            <w:vAlign w:val="bottom"/>
          </w:tcPr>
          <w:p w:rsidR="002055B4" w:rsidRDefault="002055B4" w:rsidP="00895FC2">
            <w:r>
              <w:t>6C</w:t>
            </w:r>
          </w:p>
        </w:tc>
        <w:tc>
          <w:tcPr>
            <w:tcW w:w="4131" w:type="dxa"/>
            <w:vAlign w:val="bottom"/>
          </w:tcPr>
          <w:p w:rsidR="002055B4" w:rsidRDefault="002055B4" w:rsidP="00895FC2">
            <w:r>
              <w:t>Public Records Committee reports on activities of the previous year</w:t>
            </w:r>
          </w:p>
        </w:tc>
        <w:tc>
          <w:tcPr>
            <w:tcW w:w="1440" w:type="dxa"/>
            <w:vAlign w:val="bottom"/>
          </w:tcPr>
          <w:p w:rsidR="002055B4" w:rsidRDefault="002055B4" w:rsidP="00895FC2">
            <w:r>
              <w:t xml:space="preserve">N/A – Required </w:t>
            </w:r>
            <w:r w:rsidR="00B80EF9">
              <w:t>by M</w:t>
            </w:r>
            <w:r>
              <w:t>otion</w:t>
            </w:r>
            <w:r w:rsidR="00B80EF9">
              <w:t xml:space="preserve"> 12511</w:t>
            </w:r>
            <w:r w:rsidR="00B80EF9">
              <w:rPr>
                <w:rStyle w:val="FootnoteReference"/>
              </w:rPr>
              <w:footnoteReference w:id="2"/>
            </w:r>
          </w:p>
        </w:tc>
        <w:tc>
          <w:tcPr>
            <w:tcW w:w="2160" w:type="dxa"/>
            <w:shd w:val="clear" w:color="auto" w:fill="auto"/>
            <w:vAlign w:val="bottom"/>
          </w:tcPr>
          <w:p w:rsidR="002055B4" w:rsidRDefault="00B80EF9" w:rsidP="00895FC2">
            <w:r>
              <w:t>2.14.020</w:t>
            </w:r>
          </w:p>
        </w:tc>
        <w:tc>
          <w:tcPr>
            <w:tcW w:w="3690" w:type="dxa"/>
            <w:shd w:val="clear" w:color="auto" w:fill="auto"/>
            <w:vAlign w:val="bottom"/>
          </w:tcPr>
          <w:p w:rsidR="002055B4" w:rsidRPr="00B80EF9" w:rsidRDefault="003315DD" w:rsidP="00077B94">
            <w:r w:rsidRPr="00B80EF9">
              <w:t xml:space="preserve">Combines 4C, 5C, and 6C into one annual report due by </w:t>
            </w:r>
            <w:r w:rsidR="00077B94">
              <w:t>March</w:t>
            </w:r>
            <w:r w:rsidRPr="00B80EF9">
              <w:t xml:space="preserve"> 1</w:t>
            </w:r>
            <w:r w:rsidR="00EA7BE4">
              <w:t xml:space="preserve"> and codifies 6C reporting requirement</w:t>
            </w:r>
          </w:p>
        </w:tc>
        <w:tc>
          <w:tcPr>
            <w:tcW w:w="3973" w:type="dxa"/>
            <w:shd w:val="clear" w:color="auto" w:fill="auto"/>
            <w:vAlign w:val="bottom"/>
          </w:tcPr>
          <w:p w:rsidR="002055B4" w:rsidRDefault="00B80EF9" w:rsidP="00B80EF9">
            <w:pPr>
              <w:pStyle w:val="ListParagraph"/>
              <w:numPr>
                <w:ilvl w:val="0"/>
                <w:numId w:val="3"/>
              </w:numPr>
            </w:pPr>
            <w:r>
              <w:t xml:space="preserve">Section 4: Codifies </w:t>
            </w:r>
            <w:r w:rsidR="00EA7BE4">
              <w:t xml:space="preserve">6C </w:t>
            </w:r>
            <w:r>
              <w:t xml:space="preserve">reporting requirement </w:t>
            </w:r>
            <w:r w:rsidR="00077B94">
              <w:t>and requires Public Records Committee to transmit information required by 6C with information required by 4C and 5C to Council</w:t>
            </w:r>
            <w:r w:rsidR="00D43DF4">
              <w:t xml:space="preserve"> by March 1; </w:t>
            </w:r>
          </w:p>
        </w:tc>
      </w:tr>
      <w:tr w:rsidR="002055B4" w:rsidTr="001435A0">
        <w:trPr>
          <w:cantSplit/>
        </w:trPr>
        <w:tc>
          <w:tcPr>
            <w:tcW w:w="1174" w:type="dxa"/>
            <w:vAlign w:val="bottom"/>
          </w:tcPr>
          <w:p w:rsidR="002055B4" w:rsidRDefault="002055B4" w:rsidP="00895FC2">
            <w:r>
              <w:lastRenderedPageBreak/>
              <w:t>7E</w:t>
            </w:r>
          </w:p>
        </w:tc>
        <w:tc>
          <w:tcPr>
            <w:tcW w:w="4131" w:type="dxa"/>
            <w:vAlign w:val="bottom"/>
          </w:tcPr>
          <w:p w:rsidR="002055B4" w:rsidRDefault="002055B4" w:rsidP="00895FC2">
            <w:r>
              <w:t>FBOD reports on agencies offering electronic payment options including budgeted appropriation for absorbing electronic payment transaction costs for previous year, present year, and upcoming year</w:t>
            </w:r>
          </w:p>
        </w:tc>
        <w:tc>
          <w:tcPr>
            <w:tcW w:w="1440" w:type="dxa"/>
            <w:vAlign w:val="bottom"/>
          </w:tcPr>
          <w:p w:rsidR="002055B4" w:rsidRDefault="002055B4" w:rsidP="00895FC2">
            <w:r>
              <w:t>4A.601.040</w:t>
            </w:r>
          </w:p>
        </w:tc>
        <w:tc>
          <w:tcPr>
            <w:tcW w:w="2160" w:type="dxa"/>
            <w:vAlign w:val="bottom"/>
          </w:tcPr>
          <w:p w:rsidR="002055B4" w:rsidRDefault="001435A0" w:rsidP="00895FC2">
            <w:r>
              <w:t>None</w:t>
            </w:r>
          </w:p>
        </w:tc>
        <w:tc>
          <w:tcPr>
            <w:tcW w:w="3690" w:type="dxa"/>
            <w:vAlign w:val="bottom"/>
          </w:tcPr>
          <w:p w:rsidR="002055B4" w:rsidRPr="00B80EF9" w:rsidRDefault="002055B4" w:rsidP="00895FC2">
            <w:r w:rsidRPr="00B80EF9">
              <w:t>Eliminates reporting requirement</w:t>
            </w:r>
          </w:p>
        </w:tc>
        <w:tc>
          <w:tcPr>
            <w:tcW w:w="3973" w:type="dxa"/>
            <w:shd w:val="clear" w:color="auto" w:fill="auto"/>
            <w:vAlign w:val="bottom"/>
          </w:tcPr>
          <w:p w:rsidR="002055B4" w:rsidRDefault="001435A0" w:rsidP="00BC2A16">
            <w:pPr>
              <w:pStyle w:val="ListParagraph"/>
              <w:numPr>
                <w:ilvl w:val="0"/>
                <w:numId w:val="3"/>
              </w:numPr>
            </w:pPr>
            <w:r>
              <w:t>Section 3</w:t>
            </w:r>
            <w:r w:rsidR="00BC2A16">
              <w:t>9</w:t>
            </w:r>
            <w:r>
              <w:t xml:space="preserve">: Repeals </w:t>
            </w:r>
            <w:r w:rsidRPr="00B80EF9">
              <w:t>code section, as code section was focused on this one report</w:t>
            </w:r>
            <w:r>
              <w:t>;</w:t>
            </w:r>
          </w:p>
        </w:tc>
      </w:tr>
      <w:tr w:rsidR="002055B4" w:rsidTr="008265C8">
        <w:trPr>
          <w:cantSplit/>
          <w:trHeight w:val="1430"/>
        </w:trPr>
        <w:tc>
          <w:tcPr>
            <w:tcW w:w="1174" w:type="dxa"/>
            <w:vAlign w:val="bottom"/>
          </w:tcPr>
          <w:p w:rsidR="002055B4" w:rsidRDefault="002055B4" w:rsidP="00895FC2">
            <w:r>
              <w:t>7C</w:t>
            </w:r>
          </w:p>
        </w:tc>
        <w:tc>
          <w:tcPr>
            <w:tcW w:w="4131" w:type="dxa"/>
            <w:vAlign w:val="bottom"/>
          </w:tcPr>
          <w:p w:rsidR="002055B4" w:rsidRDefault="002055B4" w:rsidP="00895FC2">
            <w:r>
              <w:t>DES reports on the effectiveness of K.C.C. Chapter 1.07 concerning lobbyist reporting and enforcement</w:t>
            </w:r>
          </w:p>
        </w:tc>
        <w:tc>
          <w:tcPr>
            <w:tcW w:w="1440" w:type="dxa"/>
            <w:vAlign w:val="bottom"/>
          </w:tcPr>
          <w:p w:rsidR="002055B4" w:rsidRDefault="002055B4" w:rsidP="00895FC2">
            <w:r>
              <w:t>1.07.130</w:t>
            </w:r>
          </w:p>
        </w:tc>
        <w:tc>
          <w:tcPr>
            <w:tcW w:w="2160" w:type="dxa"/>
            <w:vAlign w:val="bottom"/>
          </w:tcPr>
          <w:p w:rsidR="002055B4" w:rsidRDefault="002055B4" w:rsidP="00895FC2">
            <w:r>
              <w:t>None</w:t>
            </w:r>
          </w:p>
        </w:tc>
        <w:tc>
          <w:tcPr>
            <w:tcW w:w="3690" w:type="dxa"/>
            <w:vAlign w:val="bottom"/>
          </w:tcPr>
          <w:p w:rsidR="002055B4" w:rsidRPr="00B80EF9" w:rsidRDefault="002055B4" w:rsidP="00895FC2">
            <w:r w:rsidRPr="00B80EF9">
              <w:t>Eliminates reporting requirement</w:t>
            </w:r>
          </w:p>
        </w:tc>
        <w:tc>
          <w:tcPr>
            <w:tcW w:w="3973" w:type="dxa"/>
            <w:shd w:val="clear" w:color="auto" w:fill="auto"/>
            <w:vAlign w:val="bottom"/>
          </w:tcPr>
          <w:p w:rsidR="003315DD" w:rsidRDefault="00E0335C" w:rsidP="003315DD">
            <w:pPr>
              <w:pStyle w:val="ListParagraph"/>
              <w:numPr>
                <w:ilvl w:val="0"/>
                <w:numId w:val="1"/>
              </w:numPr>
            </w:pPr>
            <w:r>
              <w:t>Section 1</w:t>
            </w:r>
            <w:r w:rsidR="001A7ED7">
              <w:t>: Deletes reporting requirement</w:t>
            </w:r>
            <w:r w:rsidR="009102F5">
              <w:t>;</w:t>
            </w:r>
          </w:p>
          <w:p w:rsidR="002055B4" w:rsidRDefault="003315DD" w:rsidP="00AA578C">
            <w:pPr>
              <w:pStyle w:val="ListParagraph"/>
              <w:numPr>
                <w:ilvl w:val="0"/>
                <w:numId w:val="1"/>
              </w:numPr>
            </w:pPr>
            <w:r>
              <w:t>Section 2: Corrects reference due to re-lettering</w:t>
            </w:r>
            <w:r w:rsidR="009102F5">
              <w:t xml:space="preserve"> </w:t>
            </w:r>
          </w:p>
        </w:tc>
      </w:tr>
      <w:tr w:rsidR="002055B4" w:rsidTr="00442685">
        <w:trPr>
          <w:cantSplit/>
        </w:trPr>
        <w:tc>
          <w:tcPr>
            <w:tcW w:w="1174" w:type="dxa"/>
            <w:vAlign w:val="bottom"/>
          </w:tcPr>
          <w:p w:rsidR="002055B4" w:rsidRDefault="002055B4" w:rsidP="00895FC2">
            <w:r>
              <w:t>8E</w:t>
            </w:r>
          </w:p>
        </w:tc>
        <w:tc>
          <w:tcPr>
            <w:tcW w:w="4131" w:type="dxa"/>
            <w:vAlign w:val="bottom"/>
          </w:tcPr>
          <w:p w:rsidR="002055B4" w:rsidRDefault="002055B4" w:rsidP="00895FC2">
            <w:r>
              <w:t>Active Sports and Youth Recreation Commission reports on the state of recreation opportunities available for youth in the county</w:t>
            </w:r>
          </w:p>
        </w:tc>
        <w:tc>
          <w:tcPr>
            <w:tcW w:w="1440" w:type="dxa"/>
            <w:vAlign w:val="bottom"/>
          </w:tcPr>
          <w:p w:rsidR="002055B4" w:rsidRDefault="002055B4" w:rsidP="00895FC2">
            <w:r>
              <w:t>2.45.040</w:t>
            </w:r>
          </w:p>
        </w:tc>
        <w:tc>
          <w:tcPr>
            <w:tcW w:w="2160" w:type="dxa"/>
            <w:vAlign w:val="bottom"/>
          </w:tcPr>
          <w:p w:rsidR="002055B4" w:rsidRDefault="00442685" w:rsidP="00895FC2">
            <w:r>
              <w:t>None</w:t>
            </w:r>
          </w:p>
        </w:tc>
        <w:tc>
          <w:tcPr>
            <w:tcW w:w="3690" w:type="dxa"/>
            <w:vAlign w:val="bottom"/>
          </w:tcPr>
          <w:p w:rsidR="002055B4" w:rsidRPr="00B80EF9" w:rsidRDefault="002055B4" w:rsidP="00E81BAA">
            <w:r w:rsidRPr="00B80EF9">
              <w:t xml:space="preserve">Eliminates </w:t>
            </w:r>
            <w:r w:rsidR="00E81BAA">
              <w:t>K.C.C. Chapter</w:t>
            </w:r>
            <w:r w:rsidRPr="00B80EF9">
              <w:t xml:space="preserve"> 2.45 establishing commission and </w:t>
            </w:r>
            <w:r w:rsidR="00442685">
              <w:t>reporting requirement</w:t>
            </w:r>
            <w:r w:rsidRPr="00B80EF9">
              <w:t xml:space="preserve">, as Commission is no longer active </w:t>
            </w:r>
          </w:p>
        </w:tc>
        <w:tc>
          <w:tcPr>
            <w:tcW w:w="3973" w:type="dxa"/>
            <w:shd w:val="clear" w:color="auto" w:fill="auto"/>
            <w:vAlign w:val="bottom"/>
          </w:tcPr>
          <w:p w:rsidR="002055B4" w:rsidRDefault="00442685" w:rsidP="00BC2A16">
            <w:pPr>
              <w:pStyle w:val="ListParagraph"/>
              <w:numPr>
                <w:ilvl w:val="0"/>
                <w:numId w:val="10"/>
              </w:numPr>
            </w:pPr>
            <w:r>
              <w:t>Section 3</w:t>
            </w:r>
            <w:r w:rsidR="00BC2A16">
              <w:t>9</w:t>
            </w:r>
            <w:r>
              <w:t xml:space="preserve">: Repeals K.C.C. Chapter 2.45; </w:t>
            </w:r>
          </w:p>
        </w:tc>
      </w:tr>
      <w:tr w:rsidR="002055B4" w:rsidTr="008265C8">
        <w:trPr>
          <w:cantSplit/>
        </w:trPr>
        <w:tc>
          <w:tcPr>
            <w:tcW w:w="1174" w:type="dxa"/>
            <w:vAlign w:val="bottom"/>
          </w:tcPr>
          <w:p w:rsidR="002055B4" w:rsidRDefault="008E2437" w:rsidP="00895FC2">
            <w:r>
              <w:t>9E</w:t>
            </w:r>
          </w:p>
        </w:tc>
        <w:tc>
          <w:tcPr>
            <w:tcW w:w="4131" w:type="dxa"/>
            <w:vAlign w:val="bottom"/>
          </w:tcPr>
          <w:p w:rsidR="002055B4" w:rsidRDefault="008E2437" w:rsidP="00895FC2">
            <w:r>
              <w:t>Regional Animal Services reports on the number of animals taken into custody, average stay, number redeemed by owners, number adopted, number transferred to other animal welfare agencies, number euthanized (tracked by specific reasons), number spayed/neutered, etc., along with program revenues/expenditures</w:t>
            </w:r>
          </w:p>
        </w:tc>
        <w:tc>
          <w:tcPr>
            <w:tcW w:w="1440" w:type="dxa"/>
            <w:vAlign w:val="bottom"/>
          </w:tcPr>
          <w:p w:rsidR="002055B4" w:rsidRDefault="008E2437" w:rsidP="00895FC2">
            <w:r>
              <w:t>11.04.550</w:t>
            </w:r>
          </w:p>
        </w:tc>
        <w:tc>
          <w:tcPr>
            <w:tcW w:w="2160" w:type="dxa"/>
            <w:vAlign w:val="bottom"/>
          </w:tcPr>
          <w:p w:rsidR="002055B4" w:rsidRDefault="008265C8" w:rsidP="00895FC2">
            <w:r>
              <w:t>None</w:t>
            </w:r>
          </w:p>
        </w:tc>
        <w:tc>
          <w:tcPr>
            <w:tcW w:w="3690" w:type="dxa"/>
            <w:vAlign w:val="bottom"/>
          </w:tcPr>
          <w:p w:rsidR="002055B4" w:rsidRPr="00B80EF9" w:rsidRDefault="008E2437" w:rsidP="002055B4">
            <w:r w:rsidRPr="00B80EF9">
              <w:t>Eliminates reporting requirement</w:t>
            </w:r>
          </w:p>
        </w:tc>
        <w:tc>
          <w:tcPr>
            <w:tcW w:w="3973" w:type="dxa"/>
            <w:shd w:val="clear" w:color="auto" w:fill="auto"/>
            <w:vAlign w:val="bottom"/>
          </w:tcPr>
          <w:p w:rsidR="002055B4" w:rsidRDefault="008265C8" w:rsidP="00BC2A16">
            <w:pPr>
              <w:pStyle w:val="ListParagraph"/>
              <w:numPr>
                <w:ilvl w:val="0"/>
                <w:numId w:val="10"/>
              </w:numPr>
            </w:pPr>
            <w:r>
              <w:t>Section 3</w:t>
            </w:r>
            <w:r w:rsidR="00BC2A16">
              <w:t>9</w:t>
            </w:r>
            <w:r>
              <w:t xml:space="preserve">: Repeals code section, as code section </w:t>
            </w:r>
            <w:r w:rsidR="00AC0E05">
              <w:t>is</w:t>
            </w:r>
            <w:r>
              <w:t xml:space="preserve"> focused on this one report;</w:t>
            </w:r>
          </w:p>
        </w:tc>
      </w:tr>
      <w:tr w:rsidR="008E2437" w:rsidTr="00D43DF4">
        <w:trPr>
          <w:cantSplit/>
        </w:trPr>
        <w:tc>
          <w:tcPr>
            <w:tcW w:w="1174" w:type="dxa"/>
            <w:vAlign w:val="bottom"/>
          </w:tcPr>
          <w:p w:rsidR="008E2437" w:rsidRDefault="008E2437" w:rsidP="00895FC2">
            <w:r>
              <w:t>9C</w:t>
            </w:r>
          </w:p>
        </w:tc>
        <w:tc>
          <w:tcPr>
            <w:tcW w:w="4131" w:type="dxa"/>
            <w:vAlign w:val="bottom"/>
          </w:tcPr>
          <w:p w:rsidR="008E2437" w:rsidRDefault="008E2437" w:rsidP="00895FC2">
            <w:r>
              <w:t>DAJD reports on the number of immigration detainers received and the number accompanied by a federal judicial warrant</w:t>
            </w:r>
          </w:p>
        </w:tc>
        <w:tc>
          <w:tcPr>
            <w:tcW w:w="1440" w:type="dxa"/>
            <w:vAlign w:val="bottom"/>
          </w:tcPr>
          <w:p w:rsidR="008E2437" w:rsidRDefault="008E2437" w:rsidP="00895FC2">
            <w:r>
              <w:t>2.15.020</w:t>
            </w:r>
          </w:p>
        </w:tc>
        <w:tc>
          <w:tcPr>
            <w:tcW w:w="2160" w:type="dxa"/>
            <w:vAlign w:val="bottom"/>
          </w:tcPr>
          <w:p w:rsidR="008E2437" w:rsidRDefault="001A7ED7" w:rsidP="00895FC2">
            <w:r>
              <w:t>No change</w:t>
            </w:r>
          </w:p>
        </w:tc>
        <w:tc>
          <w:tcPr>
            <w:tcW w:w="3690" w:type="dxa"/>
            <w:vAlign w:val="bottom"/>
          </w:tcPr>
          <w:p w:rsidR="008E2437" w:rsidRPr="00B80EF9" w:rsidRDefault="001A7ED7" w:rsidP="002055B4">
            <w:r>
              <w:t>Changes from quarterly to annual frequency due by March 1</w:t>
            </w:r>
          </w:p>
        </w:tc>
        <w:tc>
          <w:tcPr>
            <w:tcW w:w="3973" w:type="dxa"/>
            <w:shd w:val="clear" w:color="auto" w:fill="auto"/>
            <w:vAlign w:val="bottom"/>
          </w:tcPr>
          <w:p w:rsidR="008E2437" w:rsidRDefault="001A7ED7" w:rsidP="001A7ED7">
            <w:pPr>
              <w:pStyle w:val="ListParagraph"/>
              <w:numPr>
                <w:ilvl w:val="0"/>
                <w:numId w:val="5"/>
              </w:numPr>
            </w:pPr>
            <w:r>
              <w:t>Section 5: Frequency change, establishes due date</w:t>
            </w:r>
            <w:r w:rsidR="008265C8">
              <w:t>;</w:t>
            </w:r>
          </w:p>
        </w:tc>
      </w:tr>
      <w:tr w:rsidR="008E2437" w:rsidTr="008265C8">
        <w:trPr>
          <w:cantSplit/>
        </w:trPr>
        <w:tc>
          <w:tcPr>
            <w:tcW w:w="1174" w:type="dxa"/>
            <w:vAlign w:val="bottom"/>
          </w:tcPr>
          <w:p w:rsidR="008E2437" w:rsidRDefault="008E2437" w:rsidP="00895FC2">
            <w:r>
              <w:lastRenderedPageBreak/>
              <w:t>10E</w:t>
            </w:r>
          </w:p>
        </w:tc>
        <w:tc>
          <w:tcPr>
            <w:tcW w:w="4131" w:type="dxa"/>
            <w:vAlign w:val="bottom"/>
          </w:tcPr>
          <w:p w:rsidR="008E2437" w:rsidRDefault="008E2437" w:rsidP="00895FC2">
            <w:r>
              <w:t>Behavioral Health and Recovery Division</w:t>
            </w:r>
            <w:r w:rsidR="00035B7C">
              <w:t xml:space="preserve"> reports on progress in implementing the recovery model and resiliency model, detailed information on programs/activities, and outcomes</w:t>
            </w:r>
          </w:p>
        </w:tc>
        <w:tc>
          <w:tcPr>
            <w:tcW w:w="1440" w:type="dxa"/>
            <w:vAlign w:val="bottom"/>
          </w:tcPr>
          <w:p w:rsidR="008E2437" w:rsidRDefault="00035B7C" w:rsidP="00E81BAA">
            <w:r>
              <w:t>2.4</w:t>
            </w:r>
            <w:r w:rsidR="00E81BAA">
              <w:t>3</w:t>
            </w:r>
            <w:r>
              <w:t>.025</w:t>
            </w:r>
          </w:p>
        </w:tc>
        <w:tc>
          <w:tcPr>
            <w:tcW w:w="2160" w:type="dxa"/>
            <w:vAlign w:val="bottom"/>
          </w:tcPr>
          <w:p w:rsidR="008E2437" w:rsidRDefault="008265C8" w:rsidP="00895FC2">
            <w:r>
              <w:t>None</w:t>
            </w:r>
          </w:p>
        </w:tc>
        <w:tc>
          <w:tcPr>
            <w:tcW w:w="3690" w:type="dxa"/>
            <w:vAlign w:val="bottom"/>
          </w:tcPr>
          <w:p w:rsidR="008E2437" w:rsidRPr="00B80EF9" w:rsidRDefault="00035B7C" w:rsidP="002055B4">
            <w:r w:rsidRPr="00B80EF9">
              <w:t>Eliminates reporting requirement</w:t>
            </w:r>
          </w:p>
        </w:tc>
        <w:tc>
          <w:tcPr>
            <w:tcW w:w="3973" w:type="dxa"/>
            <w:shd w:val="clear" w:color="auto" w:fill="auto"/>
            <w:vAlign w:val="bottom"/>
          </w:tcPr>
          <w:p w:rsidR="008E2437" w:rsidRDefault="008265C8" w:rsidP="00BC2A16">
            <w:pPr>
              <w:pStyle w:val="ListParagraph"/>
              <w:numPr>
                <w:ilvl w:val="0"/>
                <w:numId w:val="5"/>
              </w:numPr>
            </w:pPr>
            <w:r>
              <w:t>Section 3</w:t>
            </w:r>
            <w:r w:rsidR="00BC2A16">
              <w:t>9</w:t>
            </w:r>
            <w:r>
              <w:t xml:space="preserve">: Repeals code section, as code section </w:t>
            </w:r>
            <w:r w:rsidR="00AC0E05">
              <w:t>is</w:t>
            </w:r>
            <w:r>
              <w:t xml:space="preserve"> focused on this one report;</w:t>
            </w:r>
          </w:p>
        </w:tc>
      </w:tr>
      <w:tr w:rsidR="00035B7C" w:rsidTr="008265C8">
        <w:trPr>
          <w:cantSplit/>
        </w:trPr>
        <w:tc>
          <w:tcPr>
            <w:tcW w:w="1174" w:type="dxa"/>
            <w:vAlign w:val="bottom"/>
          </w:tcPr>
          <w:p w:rsidR="00035B7C" w:rsidRDefault="00035B7C" w:rsidP="00895FC2">
            <w:r>
              <w:t>10C</w:t>
            </w:r>
          </w:p>
        </w:tc>
        <w:tc>
          <w:tcPr>
            <w:tcW w:w="4131" w:type="dxa"/>
            <w:vAlign w:val="bottom"/>
          </w:tcPr>
          <w:p w:rsidR="00035B7C" w:rsidRDefault="00035B7C" w:rsidP="00895FC2">
            <w:r>
              <w:t>MIDD Annual Report. Executive provides evaluation summary for initiatives, programs, and services for the MIDD levy</w:t>
            </w:r>
          </w:p>
        </w:tc>
        <w:tc>
          <w:tcPr>
            <w:tcW w:w="1440" w:type="dxa"/>
            <w:vAlign w:val="bottom"/>
          </w:tcPr>
          <w:p w:rsidR="00035B7C" w:rsidRDefault="00035B7C" w:rsidP="00895FC2">
            <w:r>
              <w:t>4A.500.309</w:t>
            </w:r>
          </w:p>
        </w:tc>
        <w:tc>
          <w:tcPr>
            <w:tcW w:w="2160" w:type="dxa"/>
            <w:vAlign w:val="bottom"/>
          </w:tcPr>
          <w:p w:rsidR="00035B7C" w:rsidRDefault="008265C8" w:rsidP="00895FC2">
            <w:r>
              <w:t>No change</w:t>
            </w:r>
          </w:p>
        </w:tc>
        <w:tc>
          <w:tcPr>
            <w:tcW w:w="3690" w:type="dxa"/>
            <w:vAlign w:val="bottom"/>
          </w:tcPr>
          <w:p w:rsidR="00035B7C" w:rsidRPr="00B80EF9" w:rsidRDefault="003501D0" w:rsidP="008265C8">
            <w:r>
              <w:t>No change to annual report;</w:t>
            </w:r>
            <w:r w:rsidR="00035B7C" w:rsidRPr="00B80EF9">
              <w:t xml:space="preserve"> Removes reference to quarterly reports</w:t>
            </w:r>
            <w:r>
              <w:t xml:space="preserve"> in </w:t>
            </w:r>
            <w:r w:rsidR="008265C8">
              <w:t xml:space="preserve">same </w:t>
            </w:r>
            <w:r>
              <w:t>code</w:t>
            </w:r>
            <w:r w:rsidR="00E81BAA">
              <w:t xml:space="preserve"> section</w:t>
            </w:r>
            <w:r w:rsidR="00035B7C" w:rsidRPr="00B80EF9">
              <w:t>, which are no longer required.</w:t>
            </w:r>
          </w:p>
        </w:tc>
        <w:tc>
          <w:tcPr>
            <w:tcW w:w="3973" w:type="dxa"/>
            <w:shd w:val="clear" w:color="auto" w:fill="auto"/>
            <w:vAlign w:val="bottom"/>
          </w:tcPr>
          <w:p w:rsidR="00035B7C" w:rsidRDefault="008265C8" w:rsidP="00BC2A16">
            <w:pPr>
              <w:pStyle w:val="ListParagraph"/>
              <w:numPr>
                <w:ilvl w:val="0"/>
                <w:numId w:val="5"/>
              </w:numPr>
            </w:pPr>
            <w:r>
              <w:t>Section 2</w:t>
            </w:r>
            <w:r w:rsidR="00BC2A16">
              <w:t>5</w:t>
            </w:r>
            <w:r>
              <w:t>: Deletes reference to quarterly reports;</w:t>
            </w:r>
          </w:p>
        </w:tc>
      </w:tr>
      <w:tr w:rsidR="00035B7C" w:rsidTr="00AC0E05">
        <w:trPr>
          <w:cantSplit/>
        </w:trPr>
        <w:tc>
          <w:tcPr>
            <w:tcW w:w="1174" w:type="dxa"/>
            <w:vAlign w:val="bottom"/>
          </w:tcPr>
          <w:p w:rsidR="00035B7C" w:rsidRDefault="00035B7C" w:rsidP="00895FC2">
            <w:r>
              <w:t>11E</w:t>
            </w:r>
          </w:p>
        </w:tc>
        <w:tc>
          <w:tcPr>
            <w:tcW w:w="4131" w:type="dxa"/>
            <w:vAlign w:val="bottom"/>
          </w:tcPr>
          <w:p w:rsidR="00035B7C" w:rsidRDefault="00035B7C" w:rsidP="00895FC2">
            <w:r>
              <w:t xml:space="preserve">FBOD reports on contracts awarded for professional or technical services that exceed $25k and for which other than capital funds were committed </w:t>
            </w:r>
          </w:p>
        </w:tc>
        <w:tc>
          <w:tcPr>
            <w:tcW w:w="1440" w:type="dxa"/>
            <w:vAlign w:val="bottom"/>
          </w:tcPr>
          <w:p w:rsidR="00035B7C" w:rsidRDefault="00035B7C" w:rsidP="00895FC2">
            <w:r>
              <w:t>2.93.200</w:t>
            </w:r>
          </w:p>
        </w:tc>
        <w:tc>
          <w:tcPr>
            <w:tcW w:w="2160" w:type="dxa"/>
            <w:vAlign w:val="bottom"/>
          </w:tcPr>
          <w:p w:rsidR="00035B7C" w:rsidRDefault="00AC0E05" w:rsidP="00895FC2">
            <w:r>
              <w:t>None</w:t>
            </w:r>
          </w:p>
        </w:tc>
        <w:tc>
          <w:tcPr>
            <w:tcW w:w="3690" w:type="dxa"/>
            <w:vAlign w:val="bottom"/>
          </w:tcPr>
          <w:p w:rsidR="00035B7C" w:rsidRPr="00B80EF9" w:rsidRDefault="003B38E0" w:rsidP="002055B4">
            <w:r>
              <w:t>Eliminates</w:t>
            </w:r>
            <w:r w:rsidR="00035B7C" w:rsidRPr="00B80EF9">
              <w:t xml:space="preserve"> reporting requirement</w:t>
            </w:r>
          </w:p>
        </w:tc>
        <w:tc>
          <w:tcPr>
            <w:tcW w:w="3973" w:type="dxa"/>
            <w:shd w:val="clear" w:color="auto" w:fill="auto"/>
            <w:vAlign w:val="bottom"/>
          </w:tcPr>
          <w:p w:rsidR="00035B7C" w:rsidRDefault="00AC0E05" w:rsidP="00BC2A16">
            <w:pPr>
              <w:pStyle w:val="ListParagraph"/>
              <w:numPr>
                <w:ilvl w:val="0"/>
                <w:numId w:val="5"/>
              </w:numPr>
            </w:pPr>
            <w:r>
              <w:t>Section 3</w:t>
            </w:r>
            <w:r w:rsidR="00BC2A16">
              <w:t>9</w:t>
            </w:r>
            <w:r>
              <w:t>: Repeals code section, as code section is focused on this one report;</w:t>
            </w:r>
          </w:p>
        </w:tc>
      </w:tr>
      <w:tr w:rsidR="00035B7C" w:rsidTr="00AC0E05">
        <w:trPr>
          <w:cantSplit/>
        </w:trPr>
        <w:tc>
          <w:tcPr>
            <w:tcW w:w="1174" w:type="dxa"/>
            <w:vAlign w:val="bottom"/>
          </w:tcPr>
          <w:p w:rsidR="00035B7C" w:rsidRDefault="00035B7C" w:rsidP="00895FC2">
            <w:r>
              <w:t>12E</w:t>
            </w:r>
          </w:p>
        </w:tc>
        <w:tc>
          <w:tcPr>
            <w:tcW w:w="4131" w:type="dxa"/>
            <w:vAlign w:val="bottom"/>
          </w:tcPr>
          <w:p w:rsidR="00035B7C" w:rsidRDefault="00035B7C" w:rsidP="00895FC2">
            <w:r>
              <w:t>Fleet administration reports on losses of personal property assigned to employees to the Council, County Administrative Officer and Office of Risk Management</w:t>
            </w:r>
          </w:p>
        </w:tc>
        <w:tc>
          <w:tcPr>
            <w:tcW w:w="1440" w:type="dxa"/>
            <w:vAlign w:val="bottom"/>
          </w:tcPr>
          <w:p w:rsidR="00035B7C" w:rsidRDefault="00035B7C" w:rsidP="00895FC2">
            <w:r>
              <w:t>4.56.035</w:t>
            </w:r>
          </w:p>
        </w:tc>
        <w:tc>
          <w:tcPr>
            <w:tcW w:w="2160" w:type="dxa"/>
            <w:vAlign w:val="bottom"/>
          </w:tcPr>
          <w:p w:rsidR="00035B7C" w:rsidRDefault="00AC0E05" w:rsidP="00895FC2">
            <w:r>
              <w:t>No change</w:t>
            </w:r>
          </w:p>
        </w:tc>
        <w:tc>
          <w:tcPr>
            <w:tcW w:w="3690" w:type="dxa"/>
            <w:vAlign w:val="bottom"/>
          </w:tcPr>
          <w:p w:rsidR="00035B7C" w:rsidRPr="00B80EF9" w:rsidRDefault="00AC0E05" w:rsidP="002055B4">
            <w:r>
              <w:t>Specifies that report shall be transmitted with biennial budget</w:t>
            </w:r>
          </w:p>
        </w:tc>
        <w:tc>
          <w:tcPr>
            <w:tcW w:w="3973" w:type="dxa"/>
            <w:shd w:val="clear" w:color="auto" w:fill="auto"/>
            <w:vAlign w:val="bottom"/>
          </w:tcPr>
          <w:p w:rsidR="00035B7C" w:rsidRDefault="00AC0E05" w:rsidP="00BC2A16">
            <w:pPr>
              <w:pStyle w:val="ListParagraph"/>
              <w:numPr>
                <w:ilvl w:val="0"/>
                <w:numId w:val="5"/>
              </w:numPr>
            </w:pPr>
            <w:r>
              <w:t>Section 2</w:t>
            </w:r>
            <w:r w:rsidR="00BC2A16">
              <w:t>3</w:t>
            </w:r>
            <w:r>
              <w:t>: Establishes frequency;</w:t>
            </w:r>
          </w:p>
        </w:tc>
      </w:tr>
      <w:tr w:rsidR="00035B7C" w:rsidTr="00AC0E05">
        <w:trPr>
          <w:cantSplit/>
        </w:trPr>
        <w:tc>
          <w:tcPr>
            <w:tcW w:w="1174" w:type="dxa"/>
            <w:vAlign w:val="bottom"/>
          </w:tcPr>
          <w:p w:rsidR="00035B7C" w:rsidRDefault="00035B7C" w:rsidP="00895FC2">
            <w:r>
              <w:t>12C</w:t>
            </w:r>
          </w:p>
        </w:tc>
        <w:tc>
          <w:tcPr>
            <w:tcW w:w="4131" w:type="dxa"/>
            <w:vAlign w:val="bottom"/>
          </w:tcPr>
          <w:p w:rsidR="00035B7C" w:rsidRDefault="00035B7C" w:rsidP="00895FC2">
            <w:r>
              <w:t>Solid Waste Division reports on effectiveness of waste recycling and reduction program, along with progress on reaching goal of zero waste and annual projections of amounts diverted from landfills</w:t>
            </w:r>
          </w:p>
        </w:tc>
        <w:tc>
          <w:tcPr>
            <w:tcW w:w="1440" w:type="dxa"/>
            <w:vAlign w:val="bottom"/>
          </w:tcPr>
          <w:p w:rsidR="00035B7C" w:rsidRDefault="00035B7C" w:rsidP="00895FC2">
            <w:r>
              <w:t>10.14.080</w:t>
            </w:r>
          </w:p>
        </w:tc>
        <w:tc>
          <w:tcPr>
            <w:tcW w:w="2160" w:type="dxa"/>
            <w:vAlign w:val="bottom"/>
          </w:tcPr>
          <w:p w:rsidR="00035B7C" w:rsidRDefault="00AC0E05" w:rsidP="00895FC2">
            <w:r>
              <w:t>No change</w:t>
            </w:r>
          </w:p>
        </w:tc>
        <w:tc>
          <w:tcPr>
            <w:tcW w:w="3690" w:type="dxa"/>
            <w:vAlign w:val="bottom"/>
          </w:tcPr>
          <w:p w:rsidR="00035B7C" w:rsidRPr="00B80EF9" w:rsidRDefault="00AC0E05" w:rsidP="002055B4">
            <w:r>
              <w:t>Combines 12C and 13C into one annual report</w:t>
            </w:r>
            <w:r w:rsidR="00E81BAA">
              <w:t xml:space="preserve"> to align with SWD’s current practice of combining the reports</w:t>
            </w:r>
          </w:p>
        </w:tc>
        <w:tc>
          <w:tcPr>
            <w:tcW w:w="3973" w:type="dxa"/>
            <w:shd w:val="clear" w:color="auto" w:fill="auto"/>
            <w:vAlign w:val="bottom"/>
          </w:tcPr>
          <w:p w:rsidR="00035B7C" w:rsidRDefault="00AC0E05" w:rsidP="00BC2A16">
            <w:pPr>
              <w:pStyle w:val="ListParagraph"/>
              <w:numPr>
                <w:ilvl w:val="0"/>
                <w:numId w:val="5"/>
              </w:numPr>
            </w:pPr>
            <w:r>
              <w:t>Section 2</w:t>
            </w:r>
            <w:r w:rsidR="00BC2A16">
              <w:t>8</w:t>
            </w:r>
            <w:r>
              <w:t xml:space="preserve">: Requires Solid Waste Division to transmit information required by 13C with information required by 12C; </w:t>
            </w:r>
          </w:p>
        </w:tc>
      </w:tr>
      <w:tr w:rsidR="00035B7C" w:rsidTr="00AC0E05">
        <w:trPr>
          <w:cantSplit/>
        </w:trPr>
        <w:tc>
          <w:tcPr>
            <w:tcW w:w="1174" w:type="dxa"/>
            <w:vAlign w:val="bottom"/>
          </w:tcPr>
          <w:p w:rsidR="00035B7C" w:rsidRDefault="00035B7C" w:rsidP="00895FC2">
            <w:r>
              <w:t>13E</w:t>
            </w:r>
          </w:p>
        </w:tc>
        <w:tc>
          <w:tcPr>
            <w:tcW w:w="4131" w:type="dxa"/>
            <w:vAlign w:val="bottom"/>
          </w:tcPr>
          <w:p w:rsidR="00035B7C" w:rsidRDefault="00035B7C" w:rsidP="00895FC2">
            <w:r>
              <w:t>Parks reports on revenue targets, entrepreneurial strategies, pursuing gifts/donations, transferring parks, and community outreach</w:t>
            </w:r>
          </w:p>
        </w:tc>
        <w:tc>
          <w:tcPr>
            <w:tcW w:w="1440" w:type="dxa"/>
            <w:vAlign w:val="bottom"/>
          </w:tcPr>
          <w:p w:rsidR="00035B7C" w:rsidRDefault="00035B7C" w:rsidP="00895FC2">
            <w:r>
              <w:t>7.08.090</w:t>
            </w:r>
          </w:p>
        </w:tc>
        <w:tc>
          <w:tcPr>
            <w:tcW w:w="2160" w:type="dxa"/>
            <w:vAlign w:val="bottom"/>
          </w:tcPr>
          <w:p w:rsidR="00035B7C" w:rsidRDefault="00AC0E05" w:rsidP="00895FC2">
            <w:r>
              <w:t>None</w:t>
            </w:r>
          </w:p>
        </w:tc>
        <w:tc>
          <w:tcPr>
            <w:tcW w:w="3690" w:type="dxa"/>
            <w:vAlign w:val="bottom"/>
          </w:tcPr>
          <w:p w:rsidR="00035B7C" w:rsidRPr="00B80EF9" w:rsidRDefault="0065787B" w:rsidP="002055B4">
            <w:r w:rsidRPr="00B80EF9">
              <w:t>Eliminates</w:t>
            </w:r>
            <w:r w:rsidR="00035B7C" w:rsidRPr="00B80EF9">
              <w:t xml:space="preserve"> reporting requirement</w:t>
            </w:r>
          </w:p>
        </w:tc>
        <w:tc>
          <w:tcPr>
            <w:tcW w:w="3973" w:type="dxa"/>
            <w:shd w:val="clear" w:color="auto" w:fill="auto"/>
            <w:vAlign w:val="bottom"/>
          </w:tcPr>
          <w:p w:rsidR="00035B7C" w:rsidRDefault="00AC0E05" w:rsidP="00BC2A16">
            <w:pPr>
              <w:pStyle w:val="ListParagraph"/>
              <w:numPr>
                <w:ilvl w:val="0"/>
                <w:numId w:val="5"/>
              </w:numPr>
            </w:pPr>
            <w:r>
              <w:t>Section 3</w:t>
            </w:r>
            <w:r w:rsidR="00BC2A16">
              <w:t>9</w:t>
            </w:r>
            <w:r>
              <w:t>: Repeals code section, as code section is focused on this one report;</w:t>
            </w:r>
          </w:p>
        </w:tc>
      </w:tr>
      <w:tr w:rsidR="00773DF9" w:rsidTr="00AD7F28">
        <w:trPr>
          <w:cantSplit/>
        </w:trPr>
        <w:tc>
          <w:tcPr>
            <w:tcW w:w="1174" w:type="dxa"/>
            <w:vAlign w:val="bottom"/>
          </w:tcPr>
          <w:p w:rsidR="00773DF9" w:rsidRDefault="00773DF9" w:rsidP="00895FC2">
            <w:r>
              <w:lastRenderedPageBreak/>
              <w:t>13C</w:t>
            </w:r>
          </w:p>
        </w:tc>
        <w:tc>
          <w:tcPr>
            <w:tcW w:w="4131" w:type="dxa"/>
            <w:vAlign w:val="bottom"/>
          </w:tcPr>
          <w:p w:rsidR="00773DF9" w:rsidRDefault="00773DF9" w:rsidP="00895FC2">
            <w:r>
              <w:t>Solid Waste Division reports on progress toward objectives in Solid Waste Management Plan, as well as progress in implementing construction and demolition (C&amp;D) provisions</w:t>
            </w:r>
          </w:p>
        </w:tc>
        <w:tc>
          <w:tcPr>
            <w:tcW w:w="1440" w:type="dxa"/>
            <w:vAlign w:val="bottom"/>
          </w:tcPr>
          <w:p w:rsidR="00773DF9" w:rsidRDefault="00773DF9" w:rsidP="00895FC2">
            <w:r>
              <w:t>10.24.020</w:t>
            </w:r>
          </w:p>
        </w:tc>
        <w:tc>
          <w:tcPr>
            <w:tcW w:w="2160" w:type="dxa"/>
            <w:vAlign w:val="bottom"/>
          </w:tcPr>
          <w:p w:rsidR="00773DF9" w:rsidRDefault="00AD7F28" w:rsidP="00895FC2">
            <w:r>
              <w:t>10.14.080</w:t>
            </w:r>
          </w:p>
        </w:tc>
        <w:tc>
          <w:tcPr>
            <w:tcW w:w="3690" w:type="dxa"/>
            <w:vAlign w:val="bottom"/>
          </w:tcPr>
          <w:p w:rsidR="00773DF9" w:rsidRPr="00B80EF9" w:rsidRDefault="00E81BAA" w:rsidP="002055B4">
            <w:r>
              <w:t>Combines 12C and 13C into one annual report to align with SWD’s current practice of combining the reports</w:t>
            </w:r>
          </w:p>
        </w:tc>
        <w:tc>
          <w:tcPr>
            <w:tcW w:w="3973" w:type="dxa"/>
            <w:shd w:val="clear" w:color="auto" w:fill="auto"/>
            <w:vAlign w:val="bottom"/>
          </w:tcPr>
          <w:p w:rsidR="00773DF9" w:rsidRDefault="00AD7F28" w:rsidP="00AD7F28">
            <w:pPr>
              <w:pStyle w:val="ListParagraph"/>
              <w:numPr>
                <w:ilvl w:val="0"/>
                <w:numId w:val="5"/>
              </w:numPr>
            </w:pPr>
            <w:r>
              <w:t>Section 2</w:t>
            </w:r>
            <w:r w:rsidR="00BC2A16">
              <w:t>8</w:t>
            </w:r>
            <w:r>
              <w:t>: Requires Solid Waste Division to transmit information required by 13C with information required by 12C;</w:t>
            </w:r>
          </w:p>
          <w:p w:rsidR="00AD7F28" w:rsidRDefault="00AD7F28" w:rsidP="00BC2A16">
            <w:pPr>
              <w:pStyle w:val="ListParagraph"/>
              <w:numPr>
                <w:ilvl w:val="0"/>
                <w:numId w:val="6"/>
              </w:numPr>
            </w:pPr>
            <w:r>
              <w:t>Section 2</w:t>
            </w:r>
            <w:r w:rsidR="00BC2A16">
              <w:t>9</w:t>
            </w:r>
            <w:r>
              <w:t xml:space="preserve">: Deleted reporting requirement for 13C because requirement added in Section 27 of Ordinance; </w:t>
            </w:r>
          </w:p>
        </w:tc>
      </w:tr>
      <w:tr w:rsidR="00035B7C" w:rsidTr="00091FA1">
        <w:trPr>
          <w:cantSplit/>
        </w:trPr>
        <w:tc>
          <w:tcPr>
            <w:tcW w:w="1174" w:type="dxa"/>
            <w:vAlign w:val="bottom"/>
          </w:tcPr>
          <w:p w:rsidR="00035B7C" w:rsidRDefault="0065787B" w:rsidP="00895FC2">
            <w:r>
              <w:t>14E</w:t>
            </w:r>
          </w:p>
        </w:tc>
        <w:tc>
          <w:tcPr>
            <w:tcW w:w="4131" w:type="dxa"/>
            <w:vAlign w:val="bottom"/>
          </w:tcPr>
          <w:p w:rsidR="00035B7C" w:rsidRDefault="0065787B" w:rsidP="00895FC2">
            <w:r>
              <w:t>Executive reports on the implementation of the rural equestrian community trail incentives and regulations and for implementation of the active trail linkage provisions</w:t>
            </w:r>
          </w:p>
        </w:tc>
        <w:tc>
          <w:tcPr>
            <w:tcW w:w="1440" w:type="dxa"/>
            <w:vAlign w:val="bottom"/>
          </w:tcPr>
          <w:p w:rsidR="00035B7C" w:rsidRDefault="0065787B" w:rsidP="00895FC2">
            <w:r>
              <w:t>21A.14.410</w:t>
            </w:r>
          </w:p>
        </w:tc>
        <w:tc>
          <w:tcPr>
            <w:tcW w:w="2160" w:type="dxa"/>
            <w:vAlign w:val="bottom"/>
          </w:tcPr>
          <w:p w:rsidR="00035B7C" w:rsidRDefault="00091FA1" w:rsidP="00895FC2">
            <w:r>
              <w:t>None</w:t>
            </w:r>
          </w:p>
        </w:tc>
        <w:tc>
          <w:tcPr>
            <w:tcW w:w="3690" w:type="dxa"/>
            <w:vAlign w:val="bottom"/>
          </w:tcPr>
          <w:p w:rsidR="00035B7C" w:rsidRPr="00B80EF9" w:rsidRDefault="0065787B" w:rsidP="002055B4">
            <w:r w:rsidRPr="00B80EF9">
              <w:t>Eliminates reporting requirement</w:t>
            </w:r>
          </w:p>
        </w:tc>
        <w:tc>
          <w:tcPr>
            <w:tcW w:w="3973" w:type="dxa"/>
            <w:shd w:val="clear" w:color="auto" w:fill="auto"/>
            <w:vAlign w:val="bottom"/>
          </w:tcPr>
          <w:p w:rsidR="00035B7C" w:rsidRDefault="00091FA1" w:rsidP="00BC2A16">
            <w:pPr>
              <w:pStyle w:val="ListParagraph"/>
              <w:numPr>
                <w:ilvl w:val="0"/>
                <w:numId w:val="6"/>
              </w:numPr>
            </w:pPr>
            <w:r>
              <w:t>Section 3</w:t>
            </w:r>
            <w:r w:rsidR="00BC2A16">
              <w:t>9</w:t>
            </w:r>
            <w:r>
              <w:t>: Repeals code section, as code section is focused on this one report;</w:t>
            </w:r>
          </w:p>
        </w:tc>
      </w:tr>
      <w:tr w:rsidR="00773DF9" w:rsidTr="00091FA1">
        <w:trPr>
          <w:cantSplit/>
        </w:trPr>
        <w:tc>
          <w:tcPr>
            <w:tcW w:w="1174" w:type="dxa"/>
            <w:vAlign w:val="bottom"/>
          </w:tcPr>
          <w:p w:rsidR="00773DF9" w:rsidRDefault="00773DF9" w:rsidP="00895FC2">
            <w:r>
              <w:t>14C</w:t>
            </w:r>
          </w:p>
        </w:tc>
        <w:tc>
          <w:tcPr>
            <w:tcW w:w="4131" w:type="dxa"/>
            <w:vAlign w:val="bottom"/>
          </w:tcPr>
          <w:p w:rsidR="00773DF9" w:rsidRDefault="00773DF9" w:rsidP="00895FC2">
            <w:r>
              <w:t>Project Control Officer reports on compliance with construction management policies and procedures</w:t>
            </w:r>
          </w:p>
        </w:tc>
        <w:tc>
          <w:tcPr>
            <w:tcW w:w="1440" w:type="dxa"/>
            <w:vAlign w:val="bottom"/>
          </w:tcPr>
          <w:p w:rsidR="00773DF9" w:rsidRDefault="00773DF9" w:rsidP="00895FC2">
            <w:r>
              <w:t>N/A – Required by Motion</w:t>
            </w:r>
            <w:r w:rsidR="00091FA1">
              <w:t xml:space="preserve"> 13026</w:t>
            </w:r>
          </w:p>
        </w:tc>
        <w:tc>
          <w:tcPr>
            <w:tcW w:w="2160" w:type="dxa"/>
            <w:vAlign w:val="bottom"/>
          </w:tcPr>
          <w:p w:rsidR="00773DF9" w:rsidRDefault="00091FA1" w:rsidP="00895FC2">
            <w:r>
              <w:t>4A.100.100</w:t>
            </w:r>
          </w:p>
        </w:tc>
        <w:tc>
          <w:tcPr>
            <w:tcW w:w="3690" w:type="dxa"/>
            <w:vAlign w:val="bottom"/>
          </w:tcPr>
          <w:p w:rsidR="00773DF9" w:rsidRPr="00B80EF9" w:rsidRDefault="00091FA1" w:rsidP="002055B4">
            <w:r>
              <w:t xml:space="preserve">Changes </w:t>
            </w:r>
            <w:r w:rsidR="002A01AA">
              <w:t xml:space="preserve">from </w:t>
            </w:r>
            <w:r>
              <w:t>quarterly to annual frequency by June 1 and codifies requirement</w:t>
            </w:r>
          </w:p>
        </w:tc>
        <w:tc>
          <w:tcPr>
            <w:tcW w:w="3973" w:type="dxa"/>
            <w:shd w:val="clear" w:color="auto" w:fill="auto"/>
            <w:vAlign w:val="bottom"/>
          </w:tcPr>
          <w:p w:rsidR="00773DF9" w:rsidRDefault="00091FA1" w:rsidP="00BC2A16">
            <w:pPr>
              <w:pStyle w:val="ListParagraph"/>
              <w:numPr>
                <w:ilvl w:val="0"/>
                <w:numId w:val="6"/>
              </w:numPr>
            </w:pPr>
            <w:r>
              <w:t>Section 2</w:t>
            </w:r>
            <w:r w:rsidR="00BC2A16">
              <w:t>4</w:t>
            </w:r>
            <w:r>
              <w:t>: Changes frequency and establishes date; codifies reporting requirement previously only required by motion</w:t>
            </w:r>
          </w:p>
        </w:tc>
      </w:tr>
      <w:tr w:rsidR="0065787B" w:rsidTr="00091FA1">
        <w:trPr>
          <w:cantSplit/>
        </w:trPr>
        <w:tc>
          <w:tcPr>
            <w:tcW w:w="1174" w:type="dxa"/>
            <w:vAlign w:val="bottom"/>
          </w:tcPr>
          <w:p w:rsidR="0065787B" w:rsidRDefault="0065787B" w:rsidP="00895FC2">
            <w:r>
              <w:t>15E</w:t>
            </w:r>
          </w:p>
        </w:tc>
        <w:tc>
          <w:tcPr>
            <w:tcW w:w="4131" w:type="dxa"/>
            <w:vAlign w:val="bottom"/>
          </w:tcPr>
          <w:p w:rsidR="0065787B" w:rsidRDefault="0065787B" w:rsidP="00895FC2">
            <w:r>
              <w:t>Public Health reports on their review of the non-ionizing electromagnetic radiation standard and recommends if it should be changed</w:t>
            </w:r>
          </w:p>
        </w:tc>
        <w:tc>
          <w:tcPr>
            <w:tcW w:w="1440" w:type="dxa"/>
            <w:vAlign w:val="bottom"/>
          </w:tcPr>
          <w:p w:rsidR="0065787B" w:rsidRDefault="0065787B" w:rsidP="00895FC2">
            <w:r>
              <w:t>21A.26.200</w:t>
            </w:r>
          </w:p>
        </w:tc>
        <w:tc>
          <w:tcPr>
            <w:tcW w:w="2160" w:type="dxa"/>
            <w:vAlign w:val="bottom"/>
          </w:tcPr>
          <w:p w:rsidR="0065787B" w:rsidRDefault="00091FA1" w:rsidP="00895FC2">
            <w:r>
              <w:t>None</w:t>
            </w:r>
          </w:p>
        </w:tc>
        <w:tc>
          <w:tcPr>
            <w:tcW w:w="3690" w:type="dxa"/>
            <w:vAlign w:val="bottom"/>
          </w:tcPr>
          <w:p w:rsidR="0065787B" w:rsidRPr="00B80EF9" w:rsidRDefault="0065787B" w:rsidP="002055B4">
            <w:r w:rsidRPr="00B80EF9">
              <w:t>Eliminates reporting requirement</w:t>
            </w:r>
          </w:p>
        </w:tc>
        <w:tc>
          <w:tcPr>
            <w:tcW w:w="3973" w:type="dxa"/>
            <w:shd w:val="clear" w:color="auto" w:fill="auto"/>
            <w:vAlign w:val="bottom"/>
          </w:tcPr>
          <w:p w:rsidR="0065787B" w:rsidRDefault="00091FA1" w:rsidP="00BC2A16">
            <w:pPr>
              <w:pStyle w:val="ListParagraph"/>
              <w:numPr>
                <w:ilvl w:val="0"/>
                <w:numId w:val="6"/>
              </w:numPr>
            </w:pPr>
            <w:r>
              <w:t>Section 3</w:t>
            </w:r>
            <w:r w:rsidR="00BC2A16">
              <w:t>9</w:t>
            </w:r>
            <w:r>
              <w:t>: Repeals code section, as code section is focused on this one report;</w:t>
            </w:r>
          </w:p>
        </w:tc>
      </w:tr>
      <w:tr w:rsidR="00773DF9" w:rsidTr="008A6417">
        <w:trPr>
          <w:cantSplit/>
        </w:trPr>
        <w:tc>
          <w:tcPr>
            <w:tcW w:w="1174" w:type="dxa"/>
            <w:vAlign w:val="bottom"/>
          </w:tcPr>
          <w:p w:rsidR="00773DF9" w:rsidRDefault="00773DF9" w:rsidP="00895FC2">
            <w:r>
              <w:t>15C</w:t>
            </w:r>
          </w:p>
        </w:tc>
        <w:tc>
          <w:tcPr>
            <w:tcW w:w="4131" w:type="dxa"/>
            <w:vAlign w:val="bottom"/>
          </w:tcPr>
          <w:p w:rsidR="00773DF9" w:rsidRDefault="00773DF9" w:rsidP="00895FC2">
            <w:r>
              <w:t>Metro reports on agreements with commercial parking within park and ride lots, including revenues generated and comments from users</w:t>
            </w:r>
          </w:p>
        </w:tc>
        <w:tc>
          <w:tcPr>
            <w:tcW w:w="1440" w:type="dxa"/>
            <w:vAlign w:val="bottom"/>
          </w:tcPr>
          <w:p w:rsidR="00773DF9" w:rsidRDefault="00773DF9" w:rsidP="00895FC2">
            <w:r>
              <w:t>28.96.220</w:t>
            </w:r>
          </w:p>
        </w:tc>
        <w:tc>
          <w:tcPr>
            <w:tcW w:w="2160" w:type="dxa"/>
            <w:vAlign w:val="bottom"/>
          </w:tcPr>
          <w:p w:rsidR="00773DF9" w:rsidRDefault="00091FA1" w:rsidP="00895FC2">
            <w:r>
              <w:t>28.94.265</w:t>
            </w:r>
          </w:p>
        </w:tc>
        <w:tc>
          <w:tcPr>
            <w:tcW w:w="3690" w:type="dxa"/>
            <w:vAlign w:val="bottom"/>
          </w:tcPr>
          <w:p w:rsidR="00773DF9" w:rsidRPr="00B80EF9" w:rsidRDefault="00091FA1" w:rsidP="002055B4">
            <w:r>
              <w:t>Combine 15C with</w:t>
            </w:r>
            <w:r w:rsidR="008A6417">
              <w:t xml:space="preserve"> services and fares report (36K)</w:t>
            </w:r>
          </w:p>
        </w:tc>
        <w:tc>
          <w:tcPr>
            <w:tcW w:w="3973" w:type="dxa"/>
            <w:shd w:val="clear" w:color="auto" w:fill="auto"/>
            <w:vAlign w:val="bottom"/>
          </w:tcPr>
          <w:p w:rsidR="008A6417" w:rsidRDefault="008A6417" w:rsidP="008A6417">
            <w:pPr>
              <w:pStyle w:val="ListParagraph"/>
              <w:numPr>
                <w:ilvl w:val="0"/>
                <w:numId w:val="6"/>
              </w:numPr>
            </w:pPr>
            <w:r>
              <w:t>Section 3</w:t>
            </w:r>
            <w:r w:rsidR="00BC2A16">
              <w:t>7</w:t>
            </w:r>
            <w:r>
              <w:t>: Requires Transit Director to include information required by 15C in report 36K;</w:t>
            </w:r>
          </w:p>
          <w:p w:rsidR="00773DF9" w:rsidRDefault="008A6417" w:rsidP="00BC2A16">
            <w:pPr>
              <w:pStyle w:val="ListParagraph"/>
              <w:numPr>
                <w:ilvl w:val="0"/>
                <w:numId w:val="6"/>
              </w:numPr>
            </w:pPr>
            <w:r>
              <w:t>Section 3</w:t>
            </w:r>
            <w:r w:rsidR="00BC2A16">
              <w:t>8</w:t>
            </w:r>
            <w:r>
              <w:t>: Deleted reporting requirement for 15C because requirement added in Section 36 of Ordinance;</w:t>
            </w:r>
          </w:p>
        </w:tc>
      </w:tr>
      <w:tr w:rsidR="0065787B" w:rsidTr="008A6417">
        <w:trPr>
          <w:cantSplit/>
        </w:trPr>
        <w:tc>
          <w:tcPr>
            <w:tcW w:w="1174" w:type="dxa"/>
            <w:vAlign w:val="bottom"/>
          </w:tcPr>
          <w:p w:rsidR="0065787B" w:rsidRDefault="0065787B" w:rsidP="00895FC2">
            <w:r>
              <w:t>16E</w:t>
            </w:r>
          </w:p>
        </w:tc>
        <w:tc>
          <w:tcPr>
            <w:tcW w:w="4131" w:type="dxa"/>
            <w:vAlign w:val="bottom"/>
          </w:tcPr>
          <w:p w:rsidR="0065787B" w:rsidRDefault="0065787B" w:rsidP="00895FC2">
            <w:r>
              <w:t>Civic Television (CTV) Citizens Advisory Committee reports on the effectiveness of the CTV governance structure</w:t>
            </w:r>
          </w:p>
        </w:tc>
        <w:tc>
          <w:tcPr>
            <w:tcW w:w="1440" w:type="dxa"/>
            <w:vAlign w:val="bottom"/>
          </w:tcPr>
          <w:p w:rsidR="0065787B" w:rsidRDefault="0065787B" w:rsidP="00895FC2">
            <w:r>
              <w:t>2.59.110</w:t>
            </w:r>
          </w:p>
        </w:tc>
        <w:tc>
          <w:tcPr>
            <w:tcW w:w="2160" w:type="dxa"/>
            <w:vAlign w:val="bottom"/>
          </w:tcPr>
          <w:p w:rsidR="0065787B" w:rsidRDefault="008A6417" w:rsidP="00895FC2">
            <w:r>
              <w:t>None</w:t>
            </w:r>
          </w:p>
        </w:tc>
        <w:tc>
          <w:tcPr>
            <w:tcW w:w="3690" w:type="dxa"/>
            <w:vAlign w:val="bottom"/>
          </w:tcPr>
          <w:p w:rsidR="0065787B" w:rsidRPr="00B80EF9" w:rsidRDefault="0065787B" w:rsidP="002055B4">
            <w:r w:rsidRPr="00B80EF9">
              <w:t>Eliminates reporting requirement</w:t>
            </w:r>
          </w:p>
        </w:tc>
        <w:tc>
          <w:tcPr>
            <w:tcW w:w="3973" w:type="dxa"/>
            <w:shd w:val="clear" w:color="auto" w:fill="auto"/>
            <w:vAlign w:val="bottom"/>
          </w:tcPr>
          <w:p w:rsidR="0065787B" w:rsidRDefault="00B774FA" w:rsidP="00BC2A16">
            <w:pPr>
              <w:pStyle w:val="ListParagraph"/>
              <w:numPr>
                <w:ilvl w:val="0"/>
                <w:numId w:val="5"/>
              </w:numPr>
            </w:pPr>
            <w:r>
              <w:t>Section 1</w:t>
            </w:r>
            <w:r w:rsidR="00BC2A16">
              <w:t>2</w:t>
            </w:r>
            <w:r>
              <w:t>: Deletes reporting requirement</w:t>
            </w:r>
            <w:r w:rsidR="008A6417">
              <w:t>;</w:t>
            </w:r>
          </w:p>
        </w:tc>
      </w:tr>
      <w:tr w:rsidR="00773DF9" w:rsidTr="00450D76">
        <w:trPr>
          <w:cantSplit/>
        </w:trPr>
        <w:tc>
          <w:tcPr>
            <w:tcW w:w="1174" w:type="dxa"/>
            <w:vAlign w:val="bottom"/>
          </w:tcPr>
          <w:p w:rsidR="00773DF9" w:rsidRDefault="00773DF9" w:rsidP="00895FC2">
            <w:r>
              <w:lastRenderedPageBreak/>
              <w:t>16C</w:t>
            </w:r>
          </w:p>
        </w:tc>
        <w:tc>
          <w:tcPr>
            <w:tcW w:w="4131" w:type="dxa"/>
            <w:vAlign w:val="bottom"/>
          </w:tcPr>
          <w:p w:rsidR="00773DF9" w:rsidRDefault="00773DF9" w:rsidP="00895FC2">
            <w:r>
              <w:t>Executive reports on any waiver to county living wage requirements from the previous year</w:t>
            </w:r>
          </w:p>
        </w:tc>
        <w:tc>
          <w:tcPr>
            <w:tcW w:w="1440" w:type="dxa"/>
            <w:vAlign w:val="bottom"/>
          </w:tcPr>
          <w:p w:rsidR="00773DF9" w:rsidRDefault="00773DF9" w:rsidP="00895FC2">
            <w:r>
              <w:t>3.18.080</w:t>
            </w:r>
          </w:p>
        </w:tc>
        <w:tc>
          <w:tcPr>
            <w:tcW w:w="2160" w:type="dxa"/>
            <w:vAlign w:val="bottom"/>
          </w:tcPr>
          <w:p w:rsidR="00773DF9" w:rsidRDefault="00450D76" w:rsidP="00895FC2">
            <w:r>
              <w:t>No change</w:t>
            </w:r>
          </w:p>
        </w:tc>
        <w:tc>
          <w:tcPr>
            <w:tcW w:w="3690" w:type="dxa"/>
            <w:vAlign w:val="bottom"/>
          </w:tcPr>
          <w:p w:rsidR="00773DF9" w:rsidRPr="00B80EF9" w:rsidRDefault="00450D76" w:rsidP="002055B4">
            <w:r>
              <w:t>Change</w:t>
            </w:r>
            <w:r w:rsidR="00E81BAA">
              <w:t>s</w:t>
            </w:r>
            <w:r>
              <w:t xml:space="preserve"> reporting requirement such that the Executive only reports when a waiver was granted in the previous calendar year</w:t>
            </w:r>
            <w:r w:rsidR="00E81BAA">
              <w:t xml:space="preserve"> (instead of annual)</w:t>
            </w:r>
          </w:p>
        </w:tc>
        <w:tc>
          <w:tcPr>
            <w:tcW w:w="3973" w:type="dxa"/>
            <w:shd w:val="clear" w:color="auto" w:fill="auto"/>
            <w:vAlign w:val="bottom"/>
          </w:tcPr>
          <w:p w:rsidR="00773DF9" w:rsidRDefault="00450D76" w:rsidP="00BC2A16">
            <w:pPr>
              <w:pStyle w:val="ListParagraph"/>
              <w:numPr>
                <w:ilvl w:val="0"/>
                <w:numId w:val="5"/>
              </w:numPr>
            </w:pPr>
            <w:r>
              <w:t>Section 2</w:t>
            </w:r>
            <w:r w:rsidR="00BC2A16">
              <w:t>2</w:t>
            </w:r>
            <w:r>
              <w:t>: Changes frequency;</w:t>
            </w:r>
          </w:p>
        </w:tc>
      </w:tr>
      <w:tr w:rsidR="0065787B" w:rsidTr="002B4598">
        <w:trPr>
          <w:cantSplit/>
        </w:trPr>
        <w:tc>
          <w:tcPr>
            <w:tcW w:w="1174" w:type="dxa"/>
            <w:vAlign w:val="bottom"/>
          </w:tcPr>
          <w:p w:rsidR="0065787B" w:rsidRDefault="0065787B" w:rsidP="00895FC2">
            <w:r>
              <w:t>17E</w:t>
            </w:r>
          </w:p>
        </w:tc>
        <w:tc>
          <w:tcPr>
            <w:tcW w:w="4131" w:type="dxa"/>
            <w:vAlign w:val="bottom"/>
          </w:tcPr>
          <w:p w:rsidR="0065787B" w:rsidRDefault="0065787B" w:rsidP="00895FC2">
            <w:r>
              <w:t>DNRP reports on groundwater protection program including services provided in previous year, expenditures, and recommendations</w:t>
            </w:r>
          </w:p>
        </w:tc>
        <w:tc>
          <w:tcPr>
            <w:tcW w:w="1440" w:type="dxa"/>
            <w:vAlign w:val="bottom"/>
          </w:tcPr>
          <w:p w:rsidR="0065787B" w:rsidRDefault="0065787B" w:rsidP="00895FC2">
            <w:r>
              <w:t>9.14.050</w:t>
            </w:r>
          </w:p>
        </w:tc>
        <w:tc>
          <w:tcPr>
            <w:tcW w:w="2160" w:type="dxa"/>
            <w:vAlign w:val="bottom"/>
          </w:tcPr>
          <w:p w:rsidR="0065787B" w:rsidRDefault="002B4598" w:rsidP="00895FC2">
            <w:r>
              <w:t>None</w:t>
            </w:r>
          </w:p>
        </w:tc>
        <w:tc>
          <w:tcPr>
            <w:tcW w:w="3690" w:type="dxa"/>
            <w:vAlign w:val="bottom"/>
          </w:tcPr>
          <w:p w:rsidR="0065787B" w:rsidRPr="00B80EF9" w:rsidRDefault="0065787B" w:rsidP="002055B4">
            <w:r w:rsidRPr="00B80EF9">
              <w:t>Eliminates reporting requirement</w:t>
            </w:r>
          </w:p>
        </w:tc>
        <w:tc>
          <w:tcPr>
            <w:tcW w:w="3973" w:type="dxa"/>
            <w:shd w:val="clear" w:color="auto" w:fill="auto"/>
            <w:vAlign w:val="bottom"/>
          </w:tcPr>
          <w:p w:rsidR="0065787B" w:rsidRDefault="002B4598" w:rsidP="00BC2A16">
            <w:pPr>
              <w:pStyle w:val="ListParagraph"/>
              <w:numPr>
                <w:ilvl w:val="0"/>
                <w:numId w:val="5"/>
              </w:numPr>
            </w:pPr>
            <w:r>
              <w:t>Section 2</w:t>
            </w:r>
            <w:r w:rsidR="00BC2A16">
              <w:t>7</w:t>
            </w:r>
            <w:r>
              <w:t>: Deletes reporting requirement;</w:t>
            </w:r>
          </w:p>
        </w:tc>
      </w:tr>
      <w:tr w:rsidR="00770462" w:rsidTr="002B4598">
        <w:trPr>
          <w:cantSplit/>
        </w:trPr>
        <w:tc>
          <w:tcPr>
            <w:tcW w:w="1174" w:type="dxa"/>
            <w:vAlign w:val="bottom"/>
          </w:tcPr>
          <w:p w:rsidR="00770462" w:rsidRDefault="00770462" w:rsidP="00895FC2">
            <w:r>
              <w:t>17C</w:t>
            </w:r>
          </w:p>
        </w:tc>
        <w:tc>
          <w:tcPr>
            <w:tcW w:w="4131" w:type="dxa"/>
            <w:vAlign w:val="bottom"/>
          </w:tcPr>
          <w:p w:rsidR="00770462" w:rsidRDefault="00770462" w:rsidP="00895FC2">
            <w:r>
              <w:t>4Culture reports on financial position, significant accomplishments, projected operating budget, summary of programs for current year (and presents in COW twice per year)</w:t>
            </w:r>
          </w:p>
        </w:tc>
        <w:tc>
          <w:tcPr>
            <w:tcW w:w="1440" w:type="dxa"/>
            <w:vAlign w:val="bottom"/>
          </w:tcPr>
          <w:p w:rsidR="00770462" w:rsidRDefault="00770462" w:rsidP="00895FC2">
            <w:r>
              <w:t>2.49.160</w:t>
            </w:r>
          </w:p>
        </w:tc>
        <w:tc>
          <w:tcPr>
            <w:tcW w:w="2160" w:type="dxa"/>
            <w:vAlign w:val="bottom"/>
          </w:tcPr>
          <w:p w:rsidR="00770462" w:rsidRDefault="00770462" w:rsidP="00895FC2">
            <w:r>
              <w:t>No change</w:t>
            </w:r>
          </w:p>
        </w:tc>
        <w:tc>
          <w:tcPr>
            <w:tcW w:w="3690" w:type="dxa"/>
            <w:vAlign w:val="bottom"/>
          </w:tcPr>
          <w:p w:rsidR="00770462" w:rsidRPr="00B80EF9" w:rsidRDefault="00770462" w:rsidP="002055B4">
            <w:r>
              <w:t>No changes to annual report; Removes deadlines for COW meetings for greater flexibility</w:t>
            </w:r>
          </w:p>
        </w:tc>
        <w:tc>
          <w:tcPr>
            <w:tcW w:w="3973" w:type="dxa"/>
            <w:shd w:val="clear" w:color="auto" w:fill="auto"/>
            <w:vAlign w:val="bottom"/>
          </w:tcPr>
          <w:p w:rsidR="00770462" w:rsidRDefault="00770462" w:rsidP="002B4598">
            <w:pPr>
              <w:pStyle w:val="ListParagraph"/>
              <w:numPr>
                <w:ilvl w:val="0"/>
                <w:numId w:val="5"/>
              </w:numPr>
            </w:pPr>
            <w:r>
              <w:t>Section 10: Deletes deadlines for COW meeting</w:t>
            </w:r>
          </w:p>
        </w:tc>
      </w:tr>
      <w:tr w:rsidR="0065787B" w:rsidTr="002B4598">
        <w:trPr>
          <w:cantSplit/>
        </w:trPr>
        <w:tc>
          <w:tcPr>
            <w:tcW w:w="1174" w:type="dxa"/>
            <w:vAlign w:val="bottom"/>
          </w:tcPr>
          <w:p w:rsidR="0065787B" w:rsidRDefault="0065787B" w:rsidP="00895FC2">
            <w:r>
              <w:t>18E</w:t>
            </w:r>
          </w:p>
        </w:tc>
        <w:tc>
          <w:tcPr>
            <w:tcW w:w="4131" w:type="dxa"/>
            <w:vAlign w:val="bottom"/>
          </w:tcPr>
          <w:p w:rsidR="0065787B" w:rsidRDefault="0065787B" w:rsidP="00895FC2">
            <w:r>
              <w:t>Surface Water Management Program reports on results of revenue and expenditure analysis for capital improvement projects for each subarea within the service area</w:t>
            </w:r>
          </w:p>
        </w:tc>
        <w:tc>
          <w:tcPr>
            <w:tcW w:w="1440" w:type="dxa"/>
            <w:vAlign w:val="bottom"/>
          </w:tcPr>
          <w:p w:rsidR="0065787B" w:rsidRDefault="0065787B" w:rsidP="00895FC2">
            <w:r>
              <w:t>9.08.125</w:t>
            </w:r>
          </w:p>
        </w:tc>
        <w:tc>
          <w:tcPr>
            <w:tcW w:w="2160" w:type="dxa"/>
            <w:vAlign w:val="bottom"/>
          </w:tcPr>
          <w:p w:rsidR="0065787B" w:rsidRDefault="002B4598" w:rsidP="00895FC2">
            <w:r>
              <w:t>None</w:t>
            </w:r>
          </w:p>
        </w:tc>
        <w:tc>
          <w:tcPr>
            <w:tcW w:w="3690" w:type="dxa"/>
            <w:vAlign w:val="bottom"/>
          </w:tcPr>
          <w:p w:rsidR="0065787B" w:rsidRPr="00B80EF9" w:rsidRDefault="0065787B" w:rsidP="002055B4">
            <w:r w:rsidRPr="00B80EF9">
              <w:t>Eliminates reporting requirement</w:t>
            </w:r>
          </w:p>
        </w:tc>
        <w:tc>
          <w:tcPr>
            <w:tcW w:w="3973" w:type="dxa"/>
            <w:shd w:val="clear" w:color="auto" w:fill="auto"/>
            <w:vAlign w:val="bottom"/>
          </w:tcPr>
          <w:p w:rsidR="0065787B" w:rsidRDefault="002B4598" w:rsidP="00BC2A16">
            <w:pPr>
              <w:pStyle w:val="ListParagraph"/>
              <w:numPr>
                <w:ilvl w:val="0"/>
                <w:numId w:val="5"/>
              </w:numPr>
            </w:pPr>
            <w:r>
              <w:t>Section 3</w:t>
            </w:r>
            <w:r w:rsidR="00BC2A16">
              <w:t>9</w:t>
            </w:r>
            <w:r>
              <w:t>: Repeals code section, as code section is focused on this one report;</w:t>
            </w:r>
          </w:p>
        </w:tc>
      </w:tr>
      <w:tr w:rsidR="00773DF9" w:rsidTr="0094021D">
        <w:trPr>
          <w:cantSplit/>
        </w:trPr>
        <w:tc>
          <w:tcPr>
            <w:tcW w:w="1174" w:type="dxa"/>
            <w:vAlign w:val="bottom"/>
          </w:tcPr>
          <w:p w:rsidR="00773DF9" w:rsidRDefault="00773DF9" w:rsidP="00895FC2">
            <w:r>
              <w:t>18C</w:t>
            </w:r>
          </w:p>
        </w:tc>
        <w:tc>
          <w:tcPr>
            <w:tcW w:w="4131" w:type="dxa"/>
            <w:vAlign w:val="bottom"/>
          </w:tcPr>
          <w:p w:rsidR="00773DF9" w:rsidRDefault="00773DF9" w:rsidP="00895FC2">
            <w:r>
              <w:t>Executive transmits affirmative action plan, including information about workforce statistics, placement goals, implementation plans for departments, summary of results from previous plan</w:t>
            </w:r>
          </w:p>
        </w:tc>
        <w:tc>
          <w:tcPr>
            <w:tcW w:w="1440" w:type="dxa"/>
            <w:vAlign w:val="bottom"/>
          </w:tcPr>
          <w:p w:rsidR="00773DF9" w:rsidRDefault="00773DF9" w:rsidP="00895FC2">
            <w:r>
              <w:t>3.12.180</w:t>
            </w:r>
          </w:p>
        </w:tc>
        <w:tc>
          <w:tcPr>
            <w:tcW w:w="2160" w:type="dxa"/>
            <w:vAlign w:val="bottom"/>
          </w:tcPr>
          <w:p w:rsidR="00773DF9" w:rsidRDefault="0094021D" w:rsidP="00895FC2">
            <w:r>
              <w:t>No change</w:t>
            </w:r>
          </w:p>
        </w:tc>
        <w:tc>
          <w:tcPr>
            <w:tcW w:w="3690" w:type="dxa"/>
            <w:vAlign w:val="bottom"/>
          </w:tcPr>
          <w:p w:rsidR="00773DF9" w:rsidRPr="00B80EF9" w:rsidRDefault="007700BE" w:rsidP="002055B4">
            <w:r>
              <w:t>Changes from every-five years to every-four-years frequency</w:t>
            </w:r>
            <w:r>
              <w:rPr>
                <w:rStyle w:val="FootnoteReference"/>
              </w:rPr>
              <w:footnoteReference w:id="3"/>
            </w:r>
          </w:p>
        </w:tc>
        <w:tc>
          <w:tcPr>
            <w:tcW w:w="3973" w:type="dxa"/>
            <w:shd w:val="clear" w:color="auto" w:fill="auto"/>
            <w:vAlign w:val="bottom"/>
          </w:tcPr>
          <w:p w:rsidR="00773DF9" w:rsidRDefault="007700BE" w:rsidP="00BC2A16">
            <w:pPr>
              <w:pStyle w:val="ListParagraph"/>
              <w:numPr>
                <w:ilvl w:val="0"/>
                <w:numId w:val="5"/>
              </w:numPr>
            </w:pPr>
            <w:r>
              <w:t>Section 1</w:t>
            </w:r>
            <w:r w:rsidR="00BC2A16">
              <w:t>5</w:t>
            </w:r>
            <w:r>
              <w:t xml:space="preserve">: Changes frequency; </w:t>
            </w:r>
          </w:p>
        </w:tc>
      </w:tr>
      <w:tr w:rsidR="0065787B" w:rsidTr="0094021D">
        <w:trPr>
          <w:cantSplit/>
        </w:trPr>
        <w:tc>
          <w:tcPr>
            <w:tcW w:w="1174" w:type="dxa"/>
            <w:vAlign w:val="bottom"/>
          </w:tcPr>
          <w:p w:rsidR="0065787B" w:rsidRDefault="0065787B" w:rsidP="00895FC2">
            <w:r>
              <w:t>19E</w:t>
            </w:r>
          </w:p>
        </w:tc>
        <w:tc>
          <w:tcPr>
            <w:tcW w:w="4131" w:type="dxa"/>
            <w:vAlign w:val="bottom"/>
          </w:tcPr>
          <w:p w:rsidR="0065787B" w:rsidRDefault="0065787B" w:rsidP="00895FC2">
            <w:r>
              <w:t>County Personnel Board provides a status report of appeals filed with the Board</w:t>
            </w:r>
          </w:p>
        </w:tc>
        <w:tc>
          <w:tcPr>
            <w:tcW w:w="1440" w:type="dxa"/>
            <w:vAlign w:val="bottom"/>
          </w:tcPr>
          <w:p w:rsidR="0065787B" w:rsidRDefault="0065787B" w:rsidP="00895FC2">
            <w:r>
              <w:t>3.12.290</w:t>
            </w:r>
          </w:p>
        </w:tc>
        <w:tc>
          <w:tcPr>
            <w:tcW w:w="2160" w:type="dxa"/>
            <w:vAlign w:val="bottom"/>
          </w:tcPr>
          <w:p w:rsidR="0065787B" w:rsidRDefault="0094021D" w:rsidP="00895FC2">
            <w:r>
              <w:t>None</w:t>
            </w:r>
          </w:p>
        </w:tc>
        <w:tc>
          <w:tcPr>
            <w:tcW w:w="3690" w:type="dxa"/>
            <w:vAlign w:val="bottom"/>
          </w:tcPr>
          <w:p w:rsidR="0065787B" w:rsidRPr="00B80EF9" w:rsidRDefault="0065787B" w:rsidP="002055B4">
            <w:r w:rsidRPr="00B80EF9">
              <w:t>Eliminates reporting requirement</w:t>
            </w:r>
          </w:p>
        </w:tc>
        <w:tc>
          <w:tcPr>
            <w:tcW w:w="3973" w:type="dxa"/>
            <w:shd w:val="clear" w:color="auto" w:fill="auto"/>
            <w:vAlign w:val="bottom"/>
          </w:tcPr>
          <w:p w:rsidR="0065787B" w:rsidRDefault="007700BE" w:rsidP="00BC2A16">
            <w:pPr>
              <w:pStyle w:val="ListParagraph"/>
              <w:numPr>
                <w:ilvl w:val="0"/>
                <w:numId w:val="5"/>
              </w:numPr>
            </w:pPr>
            <w:r>
              <w:t>Section 1</w:t>
            </w:r>
            <w:r w:rsidR="00BC2A16">
              <w:t>6</w:t>
            </w:r>
            <w:r>
              <w:t xml:space="preserve">: </w:t>
            </w:r>
            <w:r w:rsidR="0094021D">
              <w:t>Deletes reporting requirement;</w:t>
            </w:r>
          </w:p>
        </w:tc>
      </w:tr>
      <w:tr w:rsidR="00773DF9" w:rsidTr="00E35581">
        <w:trPr>
          <w:cantSplit/>
        </w:trPr>
        <w:tc>
          <w:tcPr>
            <w:tcW w:w="1174" w:type="dxa"/>
            <w:vAlign w:val="bottom"/>
          </w:tcPr>
          <w:p w:rsidR="00773DF9" w:rsidRDefault="00773DF9" w:rsidP="00895FC2">
            <w:r>
              <w:t>19C</w:t>
            </w:r>
          </w:p>
        </w:tc>
        <w:tc>
          <w:tcPr>
            <w:tcW w:w="4131" w:type="dxa"/>
            <w:vAlign w:val="bottom"/>
          </w:tcPr>
          <w:p w:rsidR="00773DF9" w:rsidRDefault="00773DF9" w:rsidP="00895FC2">
            <w:r>
              <w:t>Harborview Medical Center reports on the extent and type of care provided to priority patients and proposed changes for improvement</w:t>
            </w:r>
          </w:p>
        </w:tc>
        <w:tc>
          <w:tcPr>
            <w:tcW w:w="1440" w:type="dxa"/>
            <w:vAlign w:val="bottom"/>
          </w:tcPr>
          <w:p w:rsidR="00773DF9" w:rsidRDefault="00773DF9" w:rsidP="00895FC2">
            <w:r>
              <w:t>2.42.090</w:t>
            </w:r>
          </w:p>
        </w:tc>
        <w:tc>
          <w:tcPr>
            <w:tcW w:w="2160" w:type="dxa"/>
            <w:vAlign w:val="bottom"/>
          </w:tcPr>
          <w:p w:rsidR="00773DF9" w:rsidRDefault="00E35581" w:rsidP="00895FC2">
            <w:r>
              <w:t>No change</w:t>
            </w:r>
          </w:p>
        </w:tc>
        <w:tc>
          <w:tcPr>
            <w:tcW w:w="3690" w:type="dxa"/>
            <w:vAlign w:val="bottom"/>
          </w:tcPr>
          <w:p w:rsidR="00773DF9" w:rsidRPr="00B80EF9" w:rsidRDefault="0083307E" w:rsidP="0040547D">
            <w:r w:rsidRPr="0083307E">
              <w:t>Combines 19C, 19K, 20C, and 20K into one annual report due by September 30 (previously each reporting element had a different due date)</w:t>
            </w:r>
          </w:p>
        </w:tc>
        <w:tc>
          <w:tcPr>
            <w:tcW w:w="3973" w:type="dxa"/>
            <w:shd w:val="clear" w:color="auto" w:fill="auto"/>
            <w:vAlign w:val="bottom"/>
          </w:tcPr>
          <w:p w:rsidR="00773DF9" w:rsidRDefault="00E35581" w:rsidP="0083307E">
            <w:pPr>
              <w:pStyle w:val="ListParagraph"/>
              <w:numPr>
                <w:ilvl w:val="0"/>
                <w:numId w:val="5"/>
              </w:numPr>
            </w:pPr>
            <w:r>
              <w:t>Section 9: Requires Harborview Board to produce annual report that includes information required by 19C</w:t>
            </w:r>
            <w:r w:rsidR="0083307E">
              <w:t>, 19K, 20</w:t>
            </w:r>
            <w:r>
              <w:t xml:space="preserve"> and 20C;</w:t>
            </w:r>
          </w:p>
        </w:tc>
      </w:tr>
      <w:tr w:rsidR="0083307E" w:rsidTr="00E35581">
        <w:trPr>
          <w:cantSplit/>
        </w:trPr>
        <w:tc>
          <w:tcPr>
            <w:tcW w:w="1174" w:type="dxa"/>
            <w:vAlign w:val="bottom"/>
          </w:tcPr>
          <w:p w:rsidR="0083307E" w:rsidRDefault="0083307E" w:rsidP="00895FC2">
            <w:r>
              <w:lastRenderedPageBreak/>
              <w:t>19K</w:t>
            </w:r>
          </w:p>
        </w:tc>
        <w:tc>
          <w:tcPr>
            <w:tcW w:w="4131" w:type="dxa"/>
            <w:vAlign w:val="bottom"/>
          </w:tcPr>
          <w:p w:rsidR="0083307E" w:rsidRDefault="0083307E" w:rsidP="00895FC2">
            <w:r>
              <w:t>Harborview Medical Center provides annual financial report and statement for the center’s preceding fiscal year, as well as descriptions of the proceedings of the board including attendance during the preceding fiscal year</w:t>
            </w:r>
          </w:p>
        </w:tc>
        <w:tc>
          <w:tcPr>
            <w:tcW w:w="1440" w:type="dxa"/>
            <w:vAlign w:val="bottom"/>
          </w:tcPr>
          <w:p w:rsidR="0083307E" w:rsidRDefault="0083307E" w:rsidP="00895FC2">
            <w:r>
              <w:t>2.42.090</w:t>
            </w:r>
          </w:p>
        </w:tc>
        <w:tc>
          <w:tcPr>
            <w:tcW w:w="2160" w:type="dxa"/>
            <w:vAlign w:val="bottom"/>
          </w:tcPr>
          <w:p w:rsidR="0083307E" w:rsidRDefault="0083307E" w:rsidP="00895FC2">
            <w:r>
              <w:t>No change</w:t>
            </w:r>
          </w:p>
        </w:tc>
        <w:tc>
          <w:tcPr>
            <w:tcW w:w="3690" w:type="dxa"/>
            <w:vAlign w:val="bottom"/>
          </w:tcPr>
          <w:p w:rsidR="0083307E" w:rsidRDefault="0083307E" w:rsidP="0040547D">
            <w:r w:rsidRPr="0083307E">
              <w:t>Combines 19C, 19K, 20C, and 20K into one annual report due by September 30 (previously each reporting element had a different due date)</w:t>
            </w:r>
          </w:p>
        </w:tc>
        <w:tc>
          <w:tcPr>
            <w:tcW w:w="3973" w:type="dxa"/>
            <w:shd w:val="clear" w:color="auto" w:fill="auto"/>
            <w:vAlign w:val="bottom"/>
          </w:tcPr>
          <w:p w:rsidR="0083307E" w:rsidRDefault="0083307E" w:rsidP="00E35581">
            <w:pPr>
              <w:pStyle w:val="ListParagraph"/>
              <w:numPr>
                <w:ilvl w:val="0"/>
                <w:numId w:val="5"/>
              </w:numPr>
            </w:pPr>
            <w:r>
              <w:t>Section 9: Requires Harborview Board to produce annual report that includes information required by 19C, 19K, 20 and 20C;</w:t>
            </w:r>
          </w:p>
        </w:tc>
      </w:tr>
      <w:tr w:rsidR="0065787B" w:rsidTr="00AA578C">
        <w:trPr>
          <w:cantSplit/>
        </w:trPr>
        <w:tc>
          <w:tcPr>
            <w:tcW w:w="1174" w:type="dxa"/>
            <w:vAlign w:val="bottom"/>
          </w:tcPr>
          <w:p w:rsidR="0065787B" w:rsidRDefault="0065787B" w:rsidP="00895FC2">
            <w:r>
              <w:t>20E</w:t>
            </w:r>
          </w:p>
        </w:tc>
        <w:tc>
          <w:tcPr>
            <w:tcW w:w="4131" w:type="dxa"/>
            <w:vAlign w:val="bottom"/>
          </w:tcPr>
          <w:p w:rsidR="0065787B" w:rsidRDefault="0065787B" w:rsidP="00895FC2">
            <w:r>
              <w:t>Bargaining agent reports on the status and maintenance necessary to comply with the requirement of maintaining a database of information (e.g., wages, hours, benefits, etc.) necessary to conduct effective negotiations</w:t>
            </w:r>
          </w:p>
        </w:tc>
        <w:tc>
          <w:tcPr>
            <w:tcW w:w="1440" w:type="dxa"/>
            <w:vAlign w:val="bottom"/>
          </w:tcPr>
          <w:p w:rsidR="0065787B" w:rsidRDefault="0065787B" w:rsidP="00895FC2">
            <w:r>
              <w:t>3.16.055</w:t>
            </w:r>
          </w:p>
        </w:tc>
        <w:tc>
          <w:tcPr>
            <w:tcW w:w="2160" w:type="dxa"/>
            <w:vAlign w:val="bottom"/>
          </w:tcPr>
          <w:p w:rsidR="0065787B" w:rsidRDefault="00AA578C" w:rsidP="00895FC2">
            <w:r>
              <w:t>None</w:t>
            </w:r>
          </w:p>
        </w:tc>
        <w:tc>
          <w:tcPr>
            <w:tcW w:w="3690" w:type="dxa"/>
            <w:vAlign w:val="bottom"/>
          </w:tcPr>
          <w:p w:rsidR="0065787B" w:rsidRPr="00B80EF9" w:rsidRDefault="0065787B" w:rsidP="002055B4">
            <w:r w:rsidRPr="00B80EF9">
              <w:t>Eliminates reporting requirement</w:t>
            </w:r>
          </w:p>
        </w:tc>
        <w:tc>
          <w:tcPr>
            <w:tcW w:w="3973" w:type="dxa"/>
            <w:shd w:val="clear" w:color="auto" w:fill="auto"/>
            <w:vAlign w:val="bottom"/>
          </w:tcPr>
          <w:p w:rsidR="00AA578C" w:rsidRDefault="00AA578C" w:rsidP="00AA578C">
            <w:pPr>
              <w:pStyle w:val="ListParagraph"/>
              <w:numPr>
                <w:ilvl w:val="0"/>
                <w:numId w:val="5"/>
              </w:numPr>
            </w:pPr>
            <w:r>
              <w:t xml:space="preserve">Section </w:t>
            </w:r>
            <w:r w:rsidR="00BC2A16">
              <w:t>20</w:t>
            </w:r>
            <w:r>
              <w:t>: Corrects reference due to re-lettering subsections;</w:t>
            </w:r>
          </w:p>
          <w:p w:rsidR="0065787B" w:rsidRDefault="00BC2A16" w:rsidP="00AA578C">
            <w:pPr>
              <w:pStyle w:val="ListParagraph"/>
              <w:numPr>
                <w:ilvl w:val="0"/>
                <w:numId w:val="5"/>
              </w:numPr>
            </w:pPr>
            <w:r>
              <w:t>Section 21</w:t>
            </w:r>
            <w:r w:rsidR="00AA578C">
              <w:t>: Deletes reporting requirement;</w:t>
            </w:r>
          </w:p>
        </w:tc>
      </w:tr>
      <w:tr w:rsidR="00773DF9" w:rsidTr="00AA578C">
        <w:trPr>
          <w:cantSplit/>
        </w:trPr>
        <w:tc>
          <w:tcPr>
            <w:tcW w:w="1174" w:type="dxa"/>
            <w:vAlign w:val="bottom"/>
          </w:tcPr>
          <w:p w:rsidR="00773DF9" w:rsidRDefault="00773DF9" w:rsidP="00895FC2">
            <w:r>
              <w:t>20C</w:t>
            </w:r>
          </w:p>
        </w:tc>
        <w:tc>
          <w:tcPr>
            <w:tcW w:w="4131" w:type="dxa"/>
            <w:vAlign w:val="bottom"/>
          </w:tcPr>
          <w:p w:rsidR="00773DF9" w:rsidRDefault="00773DF9" w:rsidP="00895FC2">
            <w:r>
              <w:t>Harborview Medical Center provides annual fixed assets inventory report for medical center property and equipment</w:t>
            </w:r>
          </w:p>
        </w:tc>
        <w:tc>
          <w:tcPr>
            <w:tcW w:w="1440" w:type="dxa"/>
            <w:vAlign w:val="bottom"/>
          </w:tcPr>
          <w:p w:rsidR="00773DF9" w:rsidRDefault="004045EC" w:rsidP="00895FC2">
            <w:r>
              <w:t>2.42.090</w:t>
            </w:r>
          </w:p>
        </w:tc>
        <w:tc>
          <w:tcPr>
            <w:tcW w:w="2160" w:type="dxa"/>
            <w:vAlign w:val="bottom"/>
          </w:tcPr>
          <w:p w:rsidR="00773DF9" w:rsidRDefault="00AA578C" w:rsidP="00895FC2">
            <w:r>
              <w:t>No change</w:t>
            </w:r>
          </w:p>
        </w:tc>
        <w:tc>
          <w:tcPr>
            <w:tcW w:w="3690" w:type="dxa"/>
            <w:shd w:val="clear" w:color="auto" w:fill="auto"/>
            <w:vAlign w:val="bottom"/>
          </w:tcPr>
          <w:p w:rsidR="00773DF9" w:rsidRPr="00B80EF9" w:rsidRDefault="0083307E" w:rsidP="002055B4">
            <w:r w:rsidRPr="0083307E">
              <w:t>Combines 19C, 19K, 20C, and 20K into one annual report due by September 30 (previously each reporting element had a different due date)</w:t>
            </w:r>
          </w:p>
        </w:tc>
        <w:tc>
          <w:tcPr>
            <w:tcW w:w="3973" w:type="dxa"/>
            <w:shd w:val="clear" w:color="auto" w:fill="auto"/>
            <w:vAlign w:val="bottom"/>
          </w:tcPr>
          <w:p w:rsidR="00773DF9" w:rsidRDefault="0083307E" w:rsidP="00AA578C">
            <w:pPr>
              <w:pStyle w:val="ListParagraph"/>
              <w:numPr>
                <w:ilvl w:val="0"/>
                <w:numId w:val="12"/>
              </w:numPr>
            </w:pPr>
            <w:r>
              <w:t>Section 9: Requires Harborview Board to produce annual report that includes information required by 19C, 19K, 20 and 20C;</w:t>
            </w:r>
          </w:p>
        </w:tc>
      </w:tr>
      <w:tr w:rsidR="0065787B" w:rsidTr="00AA578C">
        <w:trPr>
          <w:cantSplit/>
        </w:trPr>
        <w:tc>
          <w:tcPr>
            <w:tcW w:w="1174" w:type="dxa"/>
            <w:vAlign w:val="bottom"/>
          </w:tcPr>
          <w:p w:rsidR="0065787B" w:rsidRDefault="0065787B" w:rsidP="00895FC2">
            <w:r>
              <w:t>21E</w:t>
            </w:r>
          </w:p>
        </w:tc>
        <w:tc>
          <w:tcPr>
            <w:tcW w:w="4131" w:type="dxa"/>
            <w:vAlign w:val="bottom"/>
          </w:tcPr>
          <w:p w:rsidR="0065787B" w:rsidRDefault="0065787B" w:rsidP="00895FC2">
            <w:r>
              <w:t>HRD reports on number of employees who have received probationary-period pay increases exceeding Step 5</w:t>
            </w:r>
          </w:p>
        </w:tc>
        <w:tc>
          <w:tcPr>
            <w:tcW w:w="1440" w:type="dxa"/>
            <w:vAlign w:val="bottom"/>
          </w:tcPr>
          <w:p w:rsidR="0065787B" w:rsidRDefault="0065787B" w:rsidP="00895FC2">
            <w:r>
              <w:t>3.15.020</w:t>
            </w:r>
          </w:p>
        </w:tc>
        <w:tc>
          <w:tcPr>
            <w:tcW w:w="2160" w:type="dxa"/>
            <w:vAlign w:val="bottom"/>
          </w:tcPr>
          <w:p w:rsidR="0065787B" w:rsidRDefault="00AA578C" w:rsidP="00895FC2">
            <w:r>
              <w:t>None</w:t>
            </w:r>
          </w:p>
        </w:tc>
        <w:tc>
          <w:tcPr>
            <w:tcW w:w="3690" w:type="dxa"/>
            <w:vAlign w:val="bottom"/>
          </w:tcPr>
          <w:p w:rsidR="0065787B" w:rsidRPr="00B80EF9" w:rsidRDefault="0065787B" w:rsidP="002055B4">
            <w:r w:rsidRPr="00B80EF9">
              <w:t>Eliminates reporting requirement</w:t>
            </w:r>
          </w:p>
        </w:tc>
        <w:tc>
          <w:tcPr>
            <w:tcW w:w="3973" w:type="dxa"/>
            <w:shd w:val="clear" w:color="auto" w:fill="auto"/>
            <w:vAlign w:val="bottom"/>
          </w:tcPr>
          <w:p w:rsidR="0065787B" w:rsidRDefault="00AA578C" w:rsidP="00BC2A16">
            <w:pPr>
              <w:pStyle w:val="ListParagraph"/>
              <w:numPr>
                <w:ilvl w:val="0"/>
                <w:numId w:val="11"/>
              </w:numPr>
            </w:pPr>
            <w:r>
              <w:t>Section 1</w:t>
            </w:r>
            <w:r w:rsidR="00BC2A16">
              <w:t>7</w:t>
            </w:r>
            <w:r>
              <w:t>: Deletes reporting requirement;</w:t>
            </w:r>
          </w:p>
        </w:tc>
      </w:tr>
      <w:tr w:rsidR="0083307E" w:rsidTr="00AA578C">
        <w:trPr>
          <w:cantSplit/>
        </w:trPr>
        <w:tc>
          <w:tcPr>
            <w:tcW w:w="1174" w:type="dxa"/>
            <w:vAlign w:val="bottom"/>
          </w:tcPr>
          <w:p w:rsidR="0083307E" w:rsidRDefault="0083307E" w:rsidP="00895FC2">
            <w:r>
              <w:t>20K</w:t>
            </w:r>
          </w:p>
        </w:tc>
        <w:tc>
          <w:tcPr>
            <w:tcW w:w="4131" w:type="dxa"/>
            <w:vAlign w:val="bottom"/>
          </w:tcPr>
          <w:p w:rsidR="0083307E" w:rsidRDefault="0083307E" w:rsidP="00895FC2">
            <w:r>
              <w:t>Harborview Medical Center provides a summary of the annual proposed operating budget including anticipated plans and highlights for the coming year, along with a report on medical center programs and services and quality of care, and a capital plan and equipment reserve report</w:t>
            </w:r>
          </w:p>
        </w:tc>
        <w:tc>
          <w:tcPr>
            <w:tcW w:w="1440" w:type="dxa"/>
            <w:vAlign w:val="bottom"/>
          </w:tcPr>
          <w:p w:rsidR="0083307E" w:rsidRDefault="0083307E" w:rsidP="00895FC2">
            <w:r>
              <w:t>2.42.090</w:t>
            </w:r>
          </w:p>
        </w:tc>
        <w:tc>
          <w:tcPr>
            <w:tcW w:w="2160" w:type="dxa"/>
            <w:vAlign w:val="bottom"/>
          </w:tcPr>
          <w:p w:rsidR="0083307E" w:rsidRDefault="0083307E" w:rsidP="00895FC2">
            <w:r>
              <w:t>No change</w:t>
            </w:r>
          </w:p>
        </w:tc>
        <w:tc>
          <w:tcPr>
            <w:tcW w:w="3690" w:type="dxa"/>
            <w:vAlign w:val="bottom"/>
          </w:tcPr>
          <w:p w:rsidR="0083307E" w:rsidRPr="00B80EF9" w:rsidRDefault="0083307E" w:rsidP="002055B4">
            <w:r w:rsidRPr="0083307E">
              <w:t>Combines 19C, 19K, 20C, and 20K into one annual report due by September 30 (previously each reporting element had a different due date)</w:t>
            </w:r>
          </w:p>
        </w:tc>
        <w:tc>
          <w:tcPr>
            <w:tcW w:w="3973" w:type="dxa"/>
            <w:shd w:val="clear" w:color="auto" w:fill="auto"/>
            <w:vAlign w:val="bottom"/>
          </w:tcPr>
          <w:p w:rsidR="0083307E" w:rsidRDefault="0083307E" w:rsidP="0083307E">
            <w:pPr>
              <w:pStyle w:val="ListParagraph"/>
              <w:numPr>
                <w:ilvl w:val="0"/>
                <w:numId w:val="11"/>
              </w:numPr>
            </w:pPr>
            <w:r>
              <w:t>Section 9: Requires Harborview Board to produce annual report that includes information required by 19C, 19K, 20 and 20C; deletes reference to capital plant and equipment reserve, as there isn’t such a reserve;</w:t>
            </w:r>
          </w:p>
        </w:tc>
      </w:tr>
      <w:tr w:rsidR="0065787B" w:rsidTr="00AA578C">
        <w:trPr>
          <w:cantSplit/>
        </w:trPr>
        <w:tc>
          <w:tcPr>
            <w:tcW w:w="1174" w:type="dxa"/>
            <w:vAlign w:val="bottom"/>
          </w:tcPr>
          <w:p w:rsidR="0065787B" w:rsidRDefault="0065787B" w:rsidP="00895FC2">
            <w:r>
              <w:t>22E</w:t>
            </w:r>
          </w:p>
        </w:tc>
        <w:tc>
          <w:tcPr>
            <w:tcW w:w="4131" w:type="dxa"/>
            <w:vAlign w:val="bottom"/>
          </w:tcPr>
          <w:p w:rsidR="0065787B" w:rsidRDefault="0065787B" w:rsidP="00895FC2">
            <w:r>
              <w:t>HRD reports on the number of employees hired above a Step 5</w:t>
            </w:r>
          </w:p>
        </w:tc>
        <w:tc>
          <w:tcPr>
            <w:tcW w:w="1440" w:type="dxa"/>
            <w:vAlign w:val="bottom"/>
          </w:tcPr>
          <w:p w:rsidR="0065787B" w:rsidRDefault="0065787B" w:rsidP="00895FC2">
            <w:r>
              <w:t>3.15.120</w:t>
            </w:r>
          </w:p>
        </w:tc>
        <w:tc>
          <w:tcPr>
            <w:tcW w:w="2160" w:type="dxa"/>
            <w:vAlign w:val="bottom"/>
          </w:tcPr>
          <w:p w:rsidR="0065787B" w:rsidRDefault="00AA578C" w:rsidP="00895FC2">
            <w:r>
              <w:t>None</w:t>
            </w:r>
          </w:p>
        </w:tc>
        <w:tc>
          <w:tcPr>
            <w:tcW w:w="3690" w:type="dxa"/>
            <w:vAlign w:val="bottom"/>
          </w:tcPr>
          <w:p w:rsidR="0065787B" w:rsidRPr="00B80EF9" w:rsidRDefault="0065787B" w:rsidP="002055B4">
            <w:r w:rsidRPr="00B80EF9">
              <w:t>Eliminates reporting requirement</w:t>
            </w:r>
          </w:p>
        </w:tc>
        <w:tc>
          <w:tcPr>
            <w:tcW w:w="3973" w:type="dxa"/>
            <w:shd w:val="clear" w:color="auto" w:fill="auto"/>
            <w:vAlign w:val="bottom"/>
          </w:tcPr>
          <w:p w:rsidR="0065787B" w:rsidRDefault="00AA578C" w:rsidP="00BC2A16">
            <w:pPr>
              <w:pStyle w:val="ListParagraph"/>
              <w:numPr>
                <w:ilvl w:val="0"/>
                <w:numId w:val="11"/>
              </w:numPr>
            </w:pPr>
            <w:r>
              <w:t>Section 1</w:t>
            </w:r>
            <w:r w:rsidR="00BC2A16">
              <w:t>8</w:t>
            </w:r>
            <w:r>
              <w:t>: Deletes reporting requirement;</w:t>
            </w:r>
          </w:p>
        </w:tc>
      </w:tr>
      <w:tr w:rsidR="0065787B" w:rsidTr="00AA578C">
        <w:trPr>
          <w:cantSplit/>
        </w:trPr>
        <w:tc>
          <w:tcPr>
            <w:tcW w:w="1174" w:type="dxa"/>
            <w:vAlign w:val="bottom"/>
          </w:tcPr>
          <w:p w:rsidR="0065787B" w:rsidRDefault="0065787B" w:rsidP="00895FC2">
            <w:r>
              <w:t>23E</w:t>
            </w:r>
          </w:p>
        </w:tc>
        <w:tc>
          <w:tcPr>
            <w:tcW w:w="4131" w:type="dxa"/>
            <w:vAlign w:val="bottom"/>
          </w:tcPr>
          <w:p w:rsidR="0065787B" w:rsidRDefault="0065787B" w:rsidP="00895FC2">
            <w:r>
              <w:t>Executive reports on number of employees on special duty assignment</w:t>
            </w:r>
          </w:p>
        </w:tc>
        <w:tc>
          <w:tcPr>
            <w:tcW w:w="1440" w:type="dxa"/>
            <w:vAlign w:val="bottom"/>
          </w:tcPr>
          <w:p w:rsidR="0065787B" w:rsidRDefault="0065787B" w:rsidP="00895FC2">
            <w:r>
              <w:t>3.15.140</w:t>
            </w:r>
          </w:p>
        </w:tc>
        <w:tc>
          <w:tcPr>
            <w:tcW w:w="2160" w:type="dxa"/>
            <w:vAlign w:val="bottom"/>
          </w:tcPr>
          <w:p w:rsidR="0065787B" w:rsidRDefault="00AA578C" w:rsidP="00895FC2">
            <w:r>
              <w:t>None</w:t>
            </w:r>
          </w:p>
        </w:tc>
        <w:tc>
          <w:tcPr>
            <w:tcW w:w="3690" w:type="dxa"/>
            <w:vAlign w:val="bottom"/>
          </w:tcPr>
          <w:p w:rsidR="0065787B" w:rsidRPr="00B80EF9" w:rsidRDefault="0065787B" w:rsidP="002055B4">
            <w:r w:rsidRPr="00B80EF9">
              <w:t>Eliminates reporting requirement</w:t>
            </w:r>
          </w:p>
        </w:tc>
        <w:tc>
          <w:tcPr>
            <w:tcW w:w="3973" w:type="dxa"/>
            <w:shd w:val="clear" w:color="auto" w:fill="auto"/>
            <w:vAlign w:val="bottom"/>
          </w:tcPr>
          <w:p w:rsidR="0065787B" w:rsidRDefault="00AA578C" w:rsidP="00BC2A16">
            <w:pPr>
              <w:pStyle w:val="ListParagraph"/>
              <w:numPr>
                <w:ilvl w:val="0"/>
                <w:numId w:val="11"/>
              </w:numPr>
            </w:pPr>
            <w:r>
              <w:t>Section 1</w:t>
            </w:r>
            <w:r w:rsidR="00BC2A16">
              <w:t>9</w:t>
            </w:r>
            <w:r>
              <w:t>: Deletes reporting requirement;</w:t>
            </w:r>
          </w:p>
        </w:tc>
      </w:tr>
      <w:tr w:rsidR="0065787B" w:rsidTr="009D57A3">
        <w:trPr>
          <w:cantSplit/>
        </w:trPr>
        <w:tc>
          <w:tcPr>
            <w:tcW w:w="1174" w:type="dxa"/>
            <w:vAlign w:val="bottom"/>
          </w:tcPr>
          <w:p w:rsidR="0065787B" w:rsidRDefault="0065787B" w:rsidP="00895FC2">
            <w:r>
              <w:lastRenderedPageBreak/>
              <w:t>26E</w:t>
            </w:r>
          </w:p>
        </w:tc>
        <w:tc>
          <w:tcPr>
            <w:tcW w:w="4131" w:type="dxa"/>
            <w:vAlign w:val="bottom"/>
          </w:tcPr>
          <w:p w:rsidR="0065787B" w:rsidRDefault="0065787B" w:rsidP="00895FC2">
            <w:r>
              <w:t>Metro reports on number and nature of donations accepted and agreements entered into that mitigate adverse impacts of new or existing developments on public transportation</w:t>
            </w:r>
          </w:p>
        </w:tc>
        <w:tc>
          <w:tcPr>
            <w:tcW w:w="1440" w:type="dxa"/>
            <w:vAlign w:val="bottom"/>
          </w:tcPr>
          <w:p w:rsidR="0065787B" w:rsidRDefault="0065787B" w:rsidP="00895FC2">
            <w:r>
              <w:t>28.94.070</w:t>
            </w:r>
          </w:p>
        </w:tc>
        <w:tc>
          <w:tcPr>
            <w:tcW w:w="2160" w:type="dxa"/>
            <w:vAlign w:val="bottom"/>
          </w:tcPr>
          <w:p w:rsidR="0065787B" w:rsidRDefault="009D57A3" w:rsidP="00895FC2">
            <w:r>
              <w:t>None</w:t>
            </w:r>
          </w:p>
        </w:tc>
        <w:tc>
          <w:tcPr>
            <w:tcW w:w="3690" w:type="dxa"/>
            <w:vAlign w:val="bottom"/>
          </w:tcPr>
          <w:p w:rsidR="0065787B" w:rsidRPr="00B80EF9" w:rsidRDefault="0065787B" w:rsidP="002055B4">
            <w:r w:rsidRPr="00B80EF9">
              <w:t>Eliminates reporting requirement</w:t>
            </w:r>
          </w:p>
        </w:tc>
        <w:tc>
          <w:tcPr>
            <w:tcW w:w="3973" w:type="dxa"/>
            <w:shd w:val="clear" w:color="auto" w:fill="auto"/>
            <w:vAlign w:val="bottom"/>
          </w:tcPr>
          <w:p w:rsidR="0065787B" w:rsidRDefault="009D57A3" w:rsidP="00BC2A16">
            <w:pPr>
              <w:pStyle w:val="ListParagraph"/>
              <w:numPr>
                <w:ilvl w:val="0"/>
                <w:numId w:val="11"/>
              </w:numPr>
            </w:pPr>
            <w:r>
              <w:t>Section 3</w:t>
            </w:r>
            <w:r w:rsidR="00BC2A16">
              <w:t>6</w:t>
            </w:r>
            <w:r>
              <w:t>: Deletes reporting requirement;</w:t>
            </w:r>
          </w:p>
        </w:tc>
      </w:tr>
      <w:tr w:rsidR="000F0595" w:rsidTr="009D57A3">
        <w:trPr>
          <w:cantSplit/>
        </w:trPr>
        <w:tc>
          <w:tcPr>
            <w:tcW w:w="1174" w:type="dxa"/>
            <w:vAlign w:val="bottom"/>
          </w:tcPr>
          <w:p w:rsidR="000F0595" w:rsidRDefault="000F0595" w:rsidP="00895FC2">
            <w:r>
              <w:t>27E</w:t>
            </w:r>
          </w:p>
        </w:tc>
        <w:tc>
          <w:tcPr>
            <w:tcW w:w="4131" w:type="dxa"/>
            <w:vAlign w:val="bottom"/>
          </w:tcPr>
          <w:p w:rsidR="000F0595" w:rsidRDefault="000F0595" w:rsidP="00895FC2">
            <w:r>
              <w:t>Prosecuting Attorney and bargaining agent reports on all pending unfair labor practice charges and all pending litigation and arbitration involving represented employees</w:t>
            </w:r>
          </w:p>
        </w:tc>
        <w:tc>
          <w:tcPr>
            <w:tcW w:w="1440" w:type="dxa"/>
            <w:vAlign w:val="bottom"/>
          </w:tcPr>
          <w:p w:rsidR="000F0595" w:rsidRDefault="000F0595" w:rsidP="00895FC2">
            <w:r>
              <w:t>3.16.055</w:t>
            </w:r>
          </w:p>
        </w:tc>
        <w:tc>
          <w:tcPr>
            <w:tcW w:w="2160" w:type="dxa"/>
            <w:vAlign w:val="bottom"/>
          </w:tcPr>
          <w:p w:rsidR="000F0595" w:rsidRDefault="009D57A3" w:rsidP="00895FC2">
            <w:r>
              <w:t>No change</w:t>
            </w:r>
          </w:p>
        </w:tc>
        <w:tc>
          <w:tcPr>
            <w:tcW w:w="3690" w:type="dxa"/>
            <w:vAlign w:val="bottom"/>
          </w:tcPr>
          <w:p w:rsidR="000F0595" w:rsidRPr="00B80EF9" w:rsidRDefault="009D57A3" w:rsidP="009D57A3">
            <w:r>
              <w:t>Eliminates requirement to report on pending litigation involving represented employees as it is included in a quarterly report that Central staff receives, but maintains report on pending unfair labor practice charges and arbitration that is not included in quarterly staff report</w:t>
            </w:r>
          </w:p>
        </w:tc>
        <w:tc>
          <w:tcPr>
            <w:tcW w:w="3973" w:type="dxa"/>
            <w:shd w:val="clear" w:color="auto" w:fill="auto"/>
            <w:vAlign w:val="bottom"/>
          </w:tcPr>
          <w:p w:rsidR="000F0595" w:rsidRDefault="009D57A3" w:rsidP="00BC2A16">
            <w:pPr>
              <w:pStyle w:val="ListParagraph"/>
              <w:numPr>
                <w:ilvl w:val="0"/>
                <w:numId w:val="11"/>
              </w:numPr>
            </w:pPr>
            <w:r>
              <w:t>Section 2</w:t>
            </w:r>
            <w:r w:rsidR="00BC2A16">
              <w:t>1</w:t>
            </w:r>
            <w:r>
              <w:t>: Deletes requirement to include pending litigation in report;</w:t>
            </w:r>
          </w:p>
        </w:tc>
      </w:tr>
      <w:tr w:rsidR="0065787B" w:rsidTr="002955AE">
        <w:trPr>
          <w:cantSplit/>
        </w:trPr>
        <w:tc>
          <w:tcPr>
            <w:tcW w:w="1174" w:type="dxa"/>
            <w:vAlign w:val="bottom"/>
          </w:tcPr>
          <w:p w:rsidR="0065787B" w:rsidRDefault="0065787B" w:rsidP="00895FC2">
            <w:r>
              <w:t>28E</w:t>
            </w:r>
          </w:p>
        </w:tc>
        <w:tc>
          <w:tcPr>
            <w:tcW w:w="4131" w:type="dxa"/>
            <w:vAlign w:val="bottom"/>
          </w:tcPr>
          <w:p w:rsidR="0065787B" w:rsidRDefault="0065787B" w:rsidP="00895FC2">
            <w:r>
              <w:t xml:space="preserve">Prosecuting Attorney </w:t>
            </w:r>
            <w:r w:rsidR="00773DF9">
              <w:t>reports to labor policy committee all pending litigation involving nonrepresented employees</w:t>
            </w:r>
          </w:p>
        </w:tc>
        <w:tc>
          <w:tcPr>
            <w:tcW w:w="1440" w:type="dxa"/>
            <w:vAlign w:val="bottom"/>
          </w:tcPr>
          <w:p w:rsidR="0065787B" w:rsidRDefault="00773DF9" w:rsidP="00895FC2">
            <w:r>
              <w:t>3.16.050</w:t>
            </w:r>
          </w:p>
        </w:tc>
        <w:tc>
          <w:tcPr>
            <w:tcW w:w="2160" w:type="dxa"/>
            <w:vAlign w:val="bottom"/>
          </w:tcPr>
          <w:p w:rsidR="0065787B" w:rsidRDefault="002955AE" w:rsidP="00895FC2">
            <w:r>
              <w:t>None</w:t>
            </w:r>
          </w:p>
        </w:tc>
        <w:tc>
          <w:tcPr>
            <w:tcW w:w="3690" w:type="dxa"/>
            <w:vAlign w:val="bottom"/>
          </w:tcPr>
          <w:p w:rsidR="0065787B" w:rsidRPr="00B80EF9" w:rsidRDefault="00773DF9" w:rsidP="002055B4">
            <w:r w:rsidRPr="00B80EF9">
              <w:t>Eliminates reporting requirement</w:t>
            </w:r>
          </w:p>
        </w:tc>
        <w:tc>
          <w:tcPr>
            <w:tcW w:w="3973" w:type="dxa"/>
            <w:shd w:val="clear" w:color="auto" w:fill="auto"/>
            <w:vAlign w:val="bottom"/>
          </w:tcPr>
          <w:p w:rsidR="0065787B" w:rsidRDefault="002955AE" w:rsidP="00BC2A16">
            <w:pPr>
              <w:pStyle w:val="ListParagraph"/>
              <w:numPr>
                <w:ilvl w:val="0"/>
                <w:numId w:val="11"/>
              </w:numPr>
            </w:pPr>
            <w:r>
              <w:t xml:space="preserve">Section </w:t>
            </w:r>
            <w:r w:rsidR="00BC2A16">
              <w:t>20</w:t>
            </w:r>
            <w:r>
              <w:t>: Deletes reporting requirement;</w:t>
            </w:r>
          </w:p>
        </w:tc>
      </w:tr>
      <w:tr w:rsidR="00773DF9" w:rsidTr="002955AE">
        <w:trPr>
          <w:cantSplit/>
        </w:trPr>
        <w:tc>
          <w:tcPr>
            <w:tcW w:w="1174" w:type="dxa"/>
            <w:vAlign w:val="bottom"/>
          </w:tcPr>
          <w:p w:rsidR="00773DF9" w:rsidRDefault="00773DF9" w:rsidP="00895FC2">
            <w:r>
              <w:t>29E</w:t>
            </w:r>
          </w:p>
        </w:tc>
        <w:tc>
          <w:tcPr>
            <w:tcW w:w="4131" w:type="dxa"/>
            <w:vAlign w:val="bottom"/>
          </w:tcPr>
          <w:p w:rsidR="00773DF9" w:rsidRDefault="00773DF9" w:rsidP="00895FC2">
            <w:r>
              <w:t>Executive reports on the previous year’s achievements for the quality improvement employee awards program and recommendations for improvements to the program</w:t>
            </w:r>
          </w:p>
        </w:tc>
        <w:tc>
          <w:tcPr>
            <w:tcW w:w="1440" w:type="dxa"/>
            <w:vAlign w:val="bottom"/>
          </w:tcPr>
          <w:p w:rsidR="00773DF9" w:rsidRDefault="00773DF9" w:rsidP="00895FC2">
            <w:r>
              <w:t>3.13.015</w:t>
            </w:r>
          </w:p>
        </w:tc>
        <w:tc>
          <w:tcPr>
            <w:tcW w:w="2160" w:type="dxa"/>
            <w:vAlign w:val="bottom"/>
          </w:tcPr>
          <w:p w:rsidR="00773DF9" w:rsidRDefault="002955AE" w:rsidP="00895FC2">
            <w:r>
              <w:t>None</w:t>
            </w:r>
          </w:p>
        </w:tc>
        <w:tc>
          <w:tcPr>
            <w:tcW w:w="3690" w:type="dxa"/>
            <w:vAlign w:val="bottom"/>
          </w:tcPr>
          <w:p w:rsidR="00773DF9" w:rsidRPr="00B80EF9" w:rsidRDefault="00773DF9" w:rsidP="002955AE">
            <w:r w:rsidRPr="00B80EF9">
              <w:t xml:space="preserve">Eliminates </w:t>
            </w:r>
            <w:r w:rsidR="002955AE">
              <w:t>K.C.C. C</w:t>
            </w:r>
            <w:r w:rsidRPr="00B80EF9">
              <w:t>hapter 3.13 establishing program</w:t>
            </w:r>
            <w:r w:rsidR="002955AE">
              <w:t xml:space="preserve"> and reporting requirement</w:t>
            </w:r>
            <w:r w:rsidRPr="00B80EF9">
              <w:t>, as program is no longer active</w:t>
            </w:r>
          </w:p>
        </w:tc>
        <w:tc>
          <w:tcPr>
            <w:tcW w:w="3973" w:type="dxa"/>
            <w:shd w:val="clear" w:color="auto" w:fill="auto"/>
            <w:vAlign w:val="bottom"/>
          </w:tcPr>
          <w:p w:rsidR="00773DF9" w:rsidRDefault="002955AE" w:rsidP="00BC2A16">
            <w:pPr>
              <w:pStyle w:val="ListParagraph"/>
              <w:numPr>
                <w:ilvl w:val="0"/>
                <w:numId w:val="11"/>
              </w:numPr>
            </w:pPr>
            <w:r>
              <w:t>Section 3</w:t>
            </w:r>
            <w:r w:rsidR="00BC2A16">
              <w:t>9</w:t>
            </w:r>
            <w:r>
              <w:t>: Repeals K.C.C. Chapter 3.13;</w:t>
            </w:r>
          </w:p>
        </w:tc>
      </w:tr>
      <w:tr w:rsidR="00773DF9" w:rsidTr="00D43DF4">
        <w:trPr>
          <w:cantSplit/>
        </w:trPr>
        <w:tc>
          <w:tcPr>
            <w:tcW w:w="1174" w:type="dxa"/>
            <w:vAlign w:val="bottom"/>
          </w:tcPr>
          <w:p w:rsidR="00773DF9" w:rsidRDefault="00773DF9" w:rsidP="00895FC2">
            <w:r>
              <w:t>30E</w:t>
            </w:r>
          </w:p>
        </w:tc>
        <w:tc>
          <w:tcPr>
            <w:tcW w:w="4131" w:type="dxa"/>
            <w:vAlign w:val="bottom"/>
          </w:tcPr>
          <w:p w:rsidR="00773DF9" w:rsidRDefault="00773DF9" w:rsidP="00895FC2">
            <w:r>
              <w:t>Council Vacancy Report. HRD reports on vacant budgeted positions</w:t>
            </w:r>
          </w:p>
        </w:tc>
        <w:tc>
          <w:tcPr>
            <w:tcW w:w="1440" w:type="dxa"/>
            <w:vAlign w:val="bottom"/>
          </w:tcPr>
          <w:p w:rsidR="00773DF9" w:rsidRDefault="00773DF9" w:rsidP="00895FC2">
            <w:r>
              <w:t>N/A – Required by Motion</w:t>
            </w:r>
            <w:r w:rsidR="000D0419">
              <w:t xml:space="preserve"> 11154</w:t>
            </w:r>
          </w:p>
        </w:tc>
        <w:tc>
          <w:tcPr>
            <w:tcW w:w="2160" w:type="dxa"/>
            <w:vAlign w:val="bottom"/>
          </w:tcPr>
          <w:p w:rsidR="00773DF9" w:rsidRDefault="001F2083" w:rsidP="00895FC2">
            <w:r>
              <w:t>2.16.035</w:t>
            </w:r>
          </w:p>
        </w:tc>
        <w:tc>
          <w:tcPr>
            <w:tcW w:w="3690" w:type="dxa"/>
            <w:vAlign w:val="bottom"/>
          </w:tcPr>
          <w:p w:rsidR="00773DF9" w:rsidRPr="00B80EF9" w:rsidRDefault="00EA7BE4" w:rsidP="001F2083">
            <w:r>
              <w:t>Changes</w:t>
            </w:r>
            <w:r w:rsidR="000D0419">
              <w:t xml:space="preserve"> from monthly to quarterly frequency </w:t>
            </w:r>
            <w:r w:rsidR="003501D0">
              <w:t xml:space="preserve">due 30 days after the end of each quarter </w:t>
            </w:r>
            <w:r w:rsidR="000D0419">
              <w:t>and codifies reporting requirement</w:t>
            </w:r>
          </w:p>
        </w:tc>
        <w:tc>
          <w:tcPr>
            <w:tcW w:w="3973" w:type="dxa"/>
            <w:shd w:val="clear" w:color="auto" w:fill="auto"/>
            <w:vAlign w:val="bottom"/>
          </w:tcPr>
          <w:p w:rsidR="00773DF9" w:rsidRDefault="003501D0" w:rsidP="002955AE">
            <w:pPr>
              <w:pStyle w:val="ListParagraph"/>
              <w:numPr>
                <w:ilvl w:val="0"/>
                <w:numId w:val="5"/>
              </w:numPr>
            </w:pPr>
            <w:r>
              <w:t>Section 7:</w:t>
            </w:r>
            <w:r w:rsidR="002955AE">
              <w:t xml:space="preserve"> Changes f</w:t>
            </w:r>
            <w:r>
              <w:t>requency</w:t>
            </w:r>
            <w:r w:rsidR="002955AE">
              <w:t>,</w:t>
            </w:r>
            <w:r>
              <w:t xml:space="preserve"> establishes due date</w:t>
            </w:r>
            <w:r w:rsidR="002955AE">
              <w:t xml:space="preserve">, </w:t>
            </w:r>
            <w:r>
              <w:t>codifies reporting requirement</w:t>
            </w:r>
          </w:p>
        </w:tc>
      </w:tr>
      <w:tr w:rsidR="00773DF9" w:rsidTr="0040547D">
        <w:trPr>
          <w:cantSplit/>
        </w:trPr>
        <w:tc>
          <w:tcPr>
            <w:tcW w:w="1174" w:type="dxa"/>
            <w:vAlign w:val="bottom"/>
          </w:tcPr>
          <w:p w:rsidR="00773DF9" w:rsidRDefault="00773DF9" w:rsidP="00895FC2">
            <w:r>
              <w:t>31E</w:t>
            </w:r>
          </w:p>
        </w:tc>
        <w:tc>
          <w:tcPr>
            <w:tcW w:w="4131" w:type="dxa"/>
            <w:vAlign w:val="bottom"/>
          </w:tcPr>
          <w:p w:rsidR="00773DF9" w:rsidRDefault="00773DF9" w:rsidP="00895FC2">
            <w:r>
              <w:t>Harborview Medical Center reports on major moveable equipment, expenditures and revenue sources in major moveable equipment fund</w:t>
            </w:r>
          </w:p>
        </w:tc>
        <w:tc>
          <w:tcPr>
            <w:tcW w:w="1440" w:type="dxa"/>
            <w:vAlign w:val="bottom"/>
          </w:tcPr>
          <w:p w:rsidR="00773DF9" w:rsidRDefault="00773DF9" w:rsidP="00895FC2">
            <w:r>
              <w:t>2.42.080</w:t>
            </w:r>
          </w:p>
        </w:tc>
        <w:tc>
          <w:tcPr>
            <w:tcW w:w="2160" w:type="dxa"/>
            <w:vAlign w:val="bottom"/>
          </w:tcPr>
          <w:p w:rsidR="00773DF9" w:rsidRDefault="001F2083" w:rsidP="00895FC2">
            <w:r>
              <w:t>None</w:t>
            </w:r>
          </w:p>
        </w:tc>
        <w:tc>
          <w:tcPr>
            <w:tcW w:w="3690" w:type="dxa"/>
            <w:vAlign w:val="bottom"/>
          </w:tcPr>
          <w:p w:rsidR="00773DF9" w:rsidRPr="00B80EF9" w:rsidRDefault="00773DF9" w:rsidP="002055B4">
            <w:r w:rsidRPr="00B80EF9">
              <w:t>Eliminates reporting requirement</w:t>
            </w:r>
            <w:r w:rsidR="00E81BAA">
              <w:t>, as fund does not exist</w:t>
            </w:r>
          </w:p>
        </w:tc>
        <w:tc>
          <w:tcPr>
            <w:tcW w:w="3973" w:type="dxa"/>
            <w:shd w:val="clear" w:color="auto" w:fill="auto"/>
            <w:vAlign w:val="bottom"/>
          </w:tcPr>
          <w:p w:rsidR="00773DF9" w:rsidRDefault="003501D0" w:rsidP="003501D0">
            <w:pPr>
              <w:pStyle w:val="ListParagraph"/>
              <w:numPr>
                <w:ilvl w:val="0"/>
                <w:numId w:val="5"/>
              </w:numPr>
            </w:pPr>
            <w:r>
              <w:t>Section 8: Deletes reporting requirement and the provision allowing for transfers between the major moveable fund</w:t>
            </w:r>
            <w:r>
              <w:rPr>
                <w:rStyle w:val="FootnoteReference"/>
              </w:rPr>
              <w:footnoteReference w:id="4"/>
            </w:r>
            <w:r>
              <w:t xml:space="preserve"> and the building repair fund</w:t>
            </w:r>
          </w:p>
        </w:tc>
      </w:tr>
      <w:tr w:rsidR="00773DF9" w:rsidTr="009102F5">
        <w:trPr>
          <w:cantSplit/>
        </w:trPr>
        <w:tc>
          <w:tcPr>
            <w:tcW w:w="1174" w:type="dxa"/>
            <w:vAlign w:val="bottom"/>
          </w:tcPr>
          <w:p w:rsidR="00773DF9" w:rsidRDefault="00773DF9" w:rsidP="00895FC2">
            <w:r>
              <w:lastRenderedPageBreak/>
              <w:t>32E</w:t>
            </w:r>
          </w:p>
        </w:tc>
        <w:tc>
          <w:tcPr>
            <w:tcW w:w="4131" w:type="dxa"/>
            <w:vAlign w:val="bottom"/>
          </w:tcPr>
          <w:p w:rsidR="00773DF9" w:rsidRDefault="00773DF9" w:rsidP="00895FC2">
            <w:r>
              <w:t>Prosecuting Attorney reports all pending lawsuits alleging county has violated RCW 42.56 concerning public records</w:t>
            </w:r>
          </w:p>
        </w:tc>
        <w:tc>
          <w:tcPr>
            <w:tcW w:w="1440" w:type="dxa"/>
            <w:vAlign w:val="bottom"/>
          </w:tcPr>
          <w:p w:rsidR="00773DF9" w:rsidRDefault="00773DF9" w:rsidP="00895FC2">
            <w:r>
              <w:t>2.12.300</w:t>
            </w:r>
          </w:p>
        </w:tc>
        <w:tc>
          <w:tcPr>
            <w:tcW w:w="2160" w:type="dxa"/>
            <w:vAlign w:val="bottom"/>
          </w:tcPr>
          <w:p w:rsidR="00773DF9" w:rsidRDefault="001F2083" w:rsidP="00895FC2">
            <w:r>
              <w:t>None</w:t>
            </w:r>
          </w:p>
        </w:tc>
        <w:tc>
          <w:tcPr>
            <w:tcW w:w="3690" w:type="dxa"/>
            <w:vAlign w:val="bottom"/>
          </w:tcPr>
          <w:p w:rsidR="00773DF9" w:rsidRPr="00B80EF9" w:rsidRDefault="00773DF9" w:rsidP="002055B4">
            <w:r w:rsidRPr="00B80EF9">
              <w:t>Eliminates reporting requirement</w:t>
            </w:r>
          </w:p>
        </w:tc>
        <w:tc>
          <w:tcPr>
            <w:tcW w:w="3973" w:type="dxa"/>
            <w:shd w:val="clear" w:color="auto" w:fill="auto"/>
            <w:vAlign w:val="bottom"/>
          </w:tcPr>
          <w:p w:rsidR="00773DF9" w:rsidRDefault="001A7ED7" w:rsidP="001A7ED7">
            <w:pPr>
              <w:pStyle w:val="ListParagraph"/>
              <w:numPr>
                <w:ilvl w:val="0"/>
                <w:numId w:val="4"/>
              </w:numPr>
            </w:pPr>
            <w:r>
              <w:t>Section 3: Deletes reporting requirement</w:t>
            </w:r>
            <w:r w:rsidR="009102F5">
              <w:t>;</w:t>
            </w:r>
          </w:p>
        </w:tc>
      </w:tr>
      <w:tr w:rsidR="00773DF9" w:rsidTr="00D43DF4">
        <w:trPr>
          <w:cantSplit/>
        </w:trPr>
        <w:tc>
          <w:tcPr>
            <w:tcW w:w="1174" w:type="dxa"/>
            <w:vAlign w:val="bottom"/>
          </w:tcPr>
          <w:p w:rsidR="00773DF9" w:rsidRDefault="00773DF9" w:rsidP="00895FC2">
            <w:r>
              <w:t>32K</w:t>
            </w:r>
          </w:p>
        </w:tc>
        <w:tc>
          <w:tcPr>
            <w:tcW w:w="4131" w:type="dxa"/>
            <w:vAlign w:val="bottom"/>
          </w:tcPr>
          <w:p w:rsidR="00773DF9" w:rsidRDefault="00773DF9" w:rsidP="00895FC2">
            <w:r>
              <w:t>Annual Benefit Achievement Plan. Executive reports on benefits achieved from technology projects.</w:t>
            </w:r>
          </w:p>
        </w:tc>
        <w:tc>
          <w:tcPr>
            <w:tcW w:w="1440" w:type="dxa"/>
            <w:vAlign w:val="bottom"/>
          </w:tcPr>
          <w:p w:rsidR="00773DF9" w:rsidRDefault="00773DF9" w:rsidP="00895FC2">
            <w:r>
              <w:t>2.16.025</w:t>
            </w:r>
          </w:p>
        </w:tc>
        <w:tc>
          <w:tcPr>
            <w:tcW w:w="2160" w:type="dxa"/>
            <w:vAlign w:val="bottom"/>
          </w:tcPr>
          <w:p w:rsidR="00773DF9" w:rsidRDefault="00941611" w:rsidP="00895FC2">
            <w:r>
              <w:t>No change</w:t>
            </w:r>
          </w:p>
        </w:tc>
        <w:tc>
          <w:tcPr>
            <w:tcW w:w="3690" w:type="dxa"/>
            <w:vAlign w:val="bottom"/>
          </w:tcPr>
          <w:p w:rsidR="00773DF9" w:rsidRPr="00B80EF9" w:rsidRDefault="001A7ED7" w:rsidP="002055B4">
            <w:r>
              <w:t>Changes from annual to biennial (off-budget year)</w:t>
            </w:r>
          </w:p>
        </w:tc>
        <w:tc>
          <w:tcPr>
            <w:tcW w:w="3973" w:type="dxa"/>
            <w:shd w:val="clear" w:color="auto" w:fill="auto"/>
            <w:vAlign w:val="bottom"/>
          </w:tcPr>
          <w:p w:rsidR="00773DF9" w:rsidRPr="00D43DF4" w:rsidRDefault="001A7ED7" w:rsidP="003501D0">
            <w:pPr>
              <w:pStyle w:val="ListParagraph"/>
              <w:numPr>
                <w:ilvl w:val="0"/>
                <w:numId w:val="4"/>
              </w:numPr>
            </w:pPr>
            <w:r w:rsidRPr="00D43DF4">
              <w:t xml:space="preserve">Section 6: </w:t>
            </w:r>
            <w:r w:rsidR="003501D0" w:rsidRPr="00D43DF4">
              <w:t>Frequency change</w:t>
            </w:r>
            <w:r w:rsidR="00941611">
              <w:t>;</w:t>
            </w:r>
          </w:p>
        </w:tc>
      </w:tr>
      <w:tr w:rsidR="00A470C3" w:rsidTr="00D43DF4">
        <w:trPr>
          <w:cantSplit/>
        </w:trPr>
        <w:tc>
          <w:tcPr>
            <w:tcW w:w="1174" w:type="dxa"/>
            <w:vAlign w:val="bottom"/>
          </w:tcPr>
          <w:p w:rsidR="00A470C3" w:rsidRDefault="00A470C3" w:rsidP="00895FC2">
            <w:r>
              <w:t>36K</w:t>
            </w:r>
          </w:p>
        </w:tc>
        <w:tc>
          <w:tcPr>
            <w:tcW w:w="4131" w:type="dxa"/>
            <w:vAlign w:val="bottom"/>
          </w:tcPr>
          <w:p w:rsidR="00A470C3" w:rsidRDefault="00A470C3" w:rsidP="00895FC2">
            <w:r>
              <w:t>Metro reports on the services and fares</w:t>
            </w:r>
          </w:p>
        </w:tc>
        <w:tc>
          <w:tcPr>
            <w:tcW w:w="1440" w:type="dxa"/>
            <w:vAlign w:val="bottom"/>
          </w:tcPr>
          <w:p w:rsidR="00A470C3" w:rsidRDefault="00A470C3" w:rsidP="00895FC2">
            <w:r>
              <w:t>28.94.265</w:t>
            </w:r>
          </w:p>
        </w:tc>
        <w:tc>
          <w:tcPr>
            <w:tcW w:w="2160" w:type="dxa"/>
            <w:vAlign w:val="bottom"/>
          </w:tcPr>
          <w:p w:rsidR="00A470C3" w:rsidRDefault="00A470C3" w:rsidP="00895FC2">
            <w:r>
              <w:t>No change</w:t>
            </w:r>
          </w:p>
        </w:tc>
        <w:tc>
          <w:tcPr>
            <w:tcW w:w="3690" w:type="dxa"/>
            <w:vAlign w:val="bottom"/>
          </w:tcPr>
          <w:p w:rsidR="00A470C3" w:rsidRDefault="00A470C3" w:rsidP="002055B4">
            <w:r>
              <w:t>Combines 15C and 36K</w:t>
            </w:r>
          </w:p>
        </w:tc>
        <w:tc>
          <w:tcPr>
            <w:tcW w:w="3973" w:type="dxa"/>
            <w:shd w:val="clear" w:color="auto" w:fill="auto"/>
            <w:vAlign w:val="bottom"/>
          </w:tcPr>
          <w:p w:rsidR="00A470C3" w:rsidRPr="00D43DF4" w:rsidRDefault="00A470C3" w:rsidP="00A470C3">
            <w:pPr>
              <w:pStyle w:val="ListParagraph"/>
              <w:numPr>
                <w:ilvl w:val="0"/>
                <w:numId w:val="4"/>
              </w:numPr>
            </w:pPr>
            <w:r>
              <w:t>Section 37: Requires Transit Director to include information required by 15C in report 36K;</w:t>
            </w:r>
          </w:p>
        </w:tc>
      </w:tr>
    </w:tbl>
    <w:p w:rsidR="00CC054F" w:rsidRDefault="007A5C7A"/>
    <w:sectPr w:rsidR="00CC054F" w:rsidSect="00895FC2">
      <w:headerReference w:type="even" r:id="rId8"/>
      <w:headerReference w:type="default" r:id="rId9"/>
      <w:footerReference w:type="even" r:id="rId10"/>
      <w:footerReference w:type="default" r:id="rId11"/>
      <w:headerReference w:type="first" r:id="rId12"/>
      <w:footerReference w:type="first" r:id="rId13"/>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595" w:rsidRDefault="000F0595" w:rsidP="000F0595">
      <w:pPr>
        <w:spacing w:after="0" w:line="240" w:lineRule="auto"/>
      </w:pPr>
      <w:r>
        <w:separator/>
      </w:r>
    </w:p>
  </w:endnote>
  <w:endnote w:type="continuationSeparator" w:id="0">
    <w:p w:rsidR="000F0595" w:rsidRDefault="000F0595" w:rsidP="000F0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C7A" w:rsidRDefault="007A5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680356"/>
      <w:docPartObj>
        <w:docPartGallery w:val="Page Numbers (Bottom of Page)"/>
        <w:docPartUnique/>
      </w:docPartObj>
    </w:sdtPr>
    <w:sdtEndPr>
      <w:rPr>
        <w:noProof/>
      </w:rPr>
    </w:sdtEndPr>
    <w:sdtContent>
      <w:p w:rsidR="000F0595" w:rsidRDefault="000F0595">
        <w:pPr>
          <w:pStyle w:val="Footer"/>
          <w:jc w:val="right"/>
        </w:pPr>
        <w:r>
          <w:fldChar w:fldCharType="begin"/>
        </w:r>
        <w:r>
          <w:instrText xml:space="preserve"> PAGE   \* MERGEFORMAT </w:instrText>
        </w:r>
        <w:r>
          <w:fldChar w:fldCharType="separate"/>
        </w:r>
        <w:r w:rsidR="007A5C7A">
          <w:rPr>
            <w:noProof/>
          </w:rPr>
          <w:t>1</w:t>
        </w:r>
        <w:r>
          <w:rPr>
            <w:noProof/>
          </w:rPr>
          <w:fldChar w:fldCharType="end"/>
        </w:r>
      </w:p>
    </w:sdtContent>
  </w:sdt>
  <w:p w:rsidR="000F0595" w:rsidRDefault="000F0595">
    <w:pPr>
      <w:pStyle w:val="Footer"/>
    </w:pPr>
    <w:r>
      <w:t>*Report identifiers carried over from 9-20-17 Committee of the Whole briefing</w:t>
    </w:r>
  </w:p>
  <w:p w:rsidR="0004550A" w:rsidRDefault="0004550A">
    <w:pPr>
      <w:pStyle w:val="Footer"/>
    </w:pPr>
    <w:r>
      <w:t>**Proposed Ordinance also makes Code Reviser recommended technical corrections, where appropriate (for example, updating committee names)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C7A" w:rsidRDefault="007A5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595" w:rsidRDefault="000F0595" w:rsidP="000F0595">
      <w:pPr>
        <w:spacing w:after="0" w:line="240" w:lineRule="auto"/>
      </w:pPr>
      <w:r>
        <w:separator/>
      </w:r>
    </w:p>
  </w:footnote>
  <w:footnote w:type="continuationSeparator" w:id="0">
    <w:p w:rsidR="000F0595" w:rsidRDefault="000F0595" w:rsidP="000F0595">
      <w:pPr>
        <w:spacing w:after="0" w:line="240" w:lineRule="auto"/>
      </w:pPr>
      <w:r>
        <w:continuationSeparator/>
      </w:r>
    </w:p>
  </w:footnote>
  <w:footnote w:id="1">
    <w:p w:rsidR="00B80EF9" w:rsidRDefault="00B80EF9">
      <w:pPr>
        <w:pStyle w:val="FootnoteText"/>
      </w:pPr>
      <w:r>
        <w:rPr>
          <w:rStyle w:val="FootnoteReference"/>
        </w:rPr>
        <w:footnoteRef/>
      </w:r>
      <w:r>
        <w:t xml:space="preserve"> </w:t>
      </w:r>
      <w:r w:rsidRPr="00B80EF9">
        <w:t>In order to accomplish this, the information required by 4C will be first transmitted to the Chair of the Public Records Committee by February 15, who will batch them and include them with the information required by 5C and 6C.</w:t>
      </w:r>
    </w:p>
  </w:footnote>
  <w:footnote w:id="2">
    <w:p w:rsidR="00B80EF9" w:rsidRDefault="00B80EF9">
      <w:pPr>
        <w:pStyle w:val="FootnoteText"/>
      </w:pPr>
      <w:r>
        <w:rPr>
          <w:rStyle w:val="FootnoteReference"/>
        </w:rPr>
        <w:footnoteRef/>
      </w:r>
      <w:r>
        <w:t xml:space="preserve"> Motion 12511 approved the Charter of the Public Records Committee, which required annual reporti</w:t>
      </w:r>
      <w:r w:rsidR="00077B94">
        <w:t>ng to the Council no later than March 1.</w:t>
      </w:r>
    </w:p>
  </w:footnote>
  <w:footnote w:id="3">
    <w:p w:rsidR="007700BE" w:rsidRDefault="007700BE">
      <w:pPr>
        <w:pStyle w:val="FootnoteText"/>
      </w:pPr>
      <w:r>
        <w:rPr>
          <w:rStyle w:val="FootnoteReference"/>
        </w:rPr>
        <w:footnoteRef/>
      </w:r>
      <w:r>
        <w:t xml:space="preserve"> Executive staff requested frequency change in order to comply with federal requirement to apply for certain federal funds.  </w:t>
      </w:r>
    </w:p>
  </w:footnote>
  <w:footnote w:id="4">
    <w:p w:rsidR="003501D0" w:rsidRDefault="003501D0">
      <w:pPr>
        <w:pStyle w:val="FootnoteText"/>
      </w:pPr>
      <w:r>
        <w:rPr>
          <w:rStyle w:val="FootnoteReference"/>
        </w:rPr>
        <w:footnoteRef/>
      </w:r>
      <w:r>
        <w:t xml:space="preserve"> Major moveable fund does not exist and so it’s not possible to make transfers to or from.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C7A" w:rsidRDefault="007A5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595" w:rsidRDefault="000F0595" w:rsidP="007A5C7A">
    <w:pPr>
      <w:pStyle w:val="Header"/>
      <w:tabs>
        <w:tab w:val="clear" w:pos="4680"/>
        <w:tab w:val="clear" w:pos="9360"/>
        <w:tab w:val="left" w:pos="14400"/>
      </w:tabs>
    </w:pPr>
    <w:r>
      <w:t xml:space="preserve">Report Streamlining Proposed Ordinance </w:t>
    </w:r>
    <w:r w:rsidR="009102F5">
      <w:t>11-</w:t>
    </w:r>
    <w:r w:rsidR="00A470C3">
      <w:t>30</w:t>
    </w:r>
    <w:r w:rsidR="009102F5">
      <w:t>-17</w:t>
    </w:r>
    <w:r w:rsidR="007A5C7A">
      <w:tab/>
    </w:r>
    <w:bookmarkStart w:id="0" w:name="_GoBack"/>
    <w:r w:rsidR="007A5C7A" w:rsidRPr="007A5C7A">
      <w:rPr>
        <w:sz w:val="24"/>
        <w:szCs w:val="24"/>
      </w:rPr>
      <w:t>ATTACHMENT 4</w:t>
    </w:r>
    <w:r w:rsidR="007A5C7A" w:rsidRPr="007A5C7A">
      <w:rPr>
        <w:sz w:val="24"/>
        <w:szCs w:val="24"/>
      </w:rPr>
      <w:tab/>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C7A" w:rsidRDefault="007A5C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1D16"/>
    <w:multiLevelType w:val="hybridMultilevel"/>
    <w:tmpl w:val="92BCD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2602F"/>
    <w:multiLevelType w:val="hybridMultilevel"/>
    <w:tmpl w:val="165C1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611B13"/>
    <w:multiLevelType w:val="hybridMultilevel"/>
    <w:tmpl w:val="84043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5B6218"/>
    <w:multiLevelType w:val="hybridMultilevel"/>
    <w:tmpl w:val="152A6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9F5A01"/>
    <w:multiLevelType w:val="hybridMultilevel"/>
    <w:tmpl w:val="0FC0A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523599"/>
    <w:multiLevelType w:val="hybridMultilevel"/>
    <w:tmpl w:val="F050C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CD28AC"/>
    <w:multiLevelType w:val="hybridMultilevel"/>
    <w:tmpl w:val="42784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A42B39"/>
    <w:multiLevelType w:val="hybridMultilevel"/>
    <w:tmpl w:val="51024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E13B8A"/>
    <w:multiLevelType w:val="hybridMultilevel"/>
    <w:tmpl w:val="798E9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546743C"/>
    <w:multiLevelType w:val="hybridMultilevel"/>
    <w:tmpl w:val="F71A5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5A0C8E"/>
    <w:multiLevelType w:val="hybridMultilevel"/>
    <w:tmpl w:val="A1049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C21086"/>
    <w:multiLevelType w:val="hybridMultilevel"/>
    <w:tmpl w:val="0DB2D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4"/>
  </w:num>
  <w:num w:numId="4">
    <w:abstractNumId w:val="10"/>
  </w:num>
  <w:num w:numId="5">
    <w:abstractNumId w:val="7"/>
  </w:num>
  <w:num w:numId="6">
    <w:abstractNumId w:val="2"/>
  </w:num>
  <w:num w:numId="7">
    <w:abstractNumId w:val="6"/>
  </w:num>
  <w:num w:numId="8">
    <w:abstractNumId w:val="0"/>
  </w:num>
  <w:num w:numId="9">
    <w:abstractNumId w:val="1"/>
  </w:num>
  <w:num w:numId="10">
    <w:abstractNumId w:val="5"/>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FC2"/>
    <w:rsid w:val="00035B7C"/>
    <w:rsid w:val="0004550A"/>
    <w:rsid w:val="00077B94"/>
    <w:rsid w:val="00091FA1"/>
    <w:rsid w:val="000D0419"/>
    <w:rsid w:val="000F0595"/>
    <w:rsid w:val="001435A0"/>
    <w:rsid w:val="001A7ED7"/>
    <w:rsid w:val="001D26E2"/>
    <w:rsid w:val="001D6246"/>
    <w:rsid w:val="001F2083"/>
    <w:rsid w:val="002055B4"/>
    <w:rsid w:val="002955AE"/>
    <w:rsid w:val="002A01AA"/>
    <w:rsid w:val="002B4598"/>
    <w:rsid w:val="003315DD"/>
    <w:rsid w:val="003501D0"/>
    <w:rsid w:val="003B38E0"/>
    <w:rsid w:val="004045EC"/>
    <w:rsid w:val="0040547D"/>
    <w:rsid w:val="00442685"/>
    <w:rsid w:val="00450D76"/>
    <w:rsid w:val="00597FD6"/>
    <w:rsid w:val="0065787B"/>
    <w:rsid w:val="007700BE"/>
    <w:rsid w:val="00770462"/>
    <w:rsid w:val="00773DF9"/>
    <w:rsid w:val="007A5C7A"/>
    <w:rsid w:val="008265C8"/>
    <w:rsid w:val="00830FA5"/>
    <w:rsid w:val="0083307E"/>
    <w:rsid w:val="00895FC2"/>
    <w:rsid w:val="008A6417"/>
    <w:rsid w:val="008E2437"/>
    <w:rsid w:val="009102F5"/>
    <w:rsid w:val="0094021D"/>
    <w:rsid w:val="00941611"/>
    <w:rsid w:val="009A5120"/>
    <w:rsid w:val="009D57A3"/>
    <w:rsid w:val="00A470C3"/>
    <w:rsid w:val="00AA578C"/>
    <w:rsid w:val="00AB446D"/>
    <w:rsid w:val="00AC0E05"/>
    <w:rsid w:val="00AC5B8B"/>
    <w:rsid w:val="00AD7F28"/>
    <w:rsid w:val="00B774FA"/>
    <w:rsid w:val="00B80EF9"/>
    <w:rsid w:val="00BC2A16"/>
    <w:rsid w:val="00C36677"/>
    <w:rsid w:val="00C77DFC"/>
    <w:rsid w:val="00CC3E42"/>
    <w:rsid w:val="00CD22D8"/>
    <w:rsid w:val="00D43DF4"/>
    <w:rsid w:val="00E0335C"/>
    <w:rsid w:val="00E35581"/>
    <w:rsid w:val="00E81BAA"/>
    <w:rsid w:val="00EA7BE4"/>
    <w:rsid w:val="00EE284F"/>
    <w:rsid w:val="00F13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769B3-4C0F-4A3A-9501-E64382E5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5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595"/>
  </w:style>
  <w:style w:type="paragraph" w:styleId="Footer">
    <w:name w:val="footer"/>
    <w:basedOn w:val="Normal"/>
    <w:link w:val="FooterChar"/>
    <w:uiPriority w:val="99"/>
    <w:unhideWhenUsed/>
    <w:rsid w:val="000F0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595"/>
  </w:style>
  <w:style w:type="paragraph" w:styleId="ListParagraph">
    <w:name w:val="List Paragraph"/>
    <w:basedOn w:val="Normal"/>
    <w:uiPriority w:val="34"/>
    <w:qFormat/>
    <w:rsid w:val="003315DD"/>
    <w:pPr>
      <w:ind w:left="720"/>
      <w:contextualSpacing/>
    </w:pPr>
  </w:style>
  <w:style w:type="paragraph" w:styleId="FootnoteText">
    <w:name w:val="footnote text"/>
    <w:basedOn w:val="Normal"/>
    <w:link w:val="FootnoteTextChar"/>
    <w:uiPriority w:val="99"/>
    <w:semiHidden/>
    <w:unhideWhenUsed/>
    <w:rsid w:val="00B80E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0EF9"/>
    <w:rPr>
      <w:sz w:val="20"/>
      <w:szCs w:val="20"/>
    </w:rPr>
  </w:style>
  <w:style w:type="character" w:styleId="FootnoteReference">
    <w:name w:val="footnote reference"/>
    <w:basedOn w:val="DefaultParagraphFont"/>
    <w:uiPriority w:val="99"/>
    <w:semiHidden/>
    <w:unhideWhenUsed/>
    <w:rsid w:val="00B80EF9"/>
    <w:rPr>
      <w:vertAlign w:val="superscript"/>
    </w:rPr>
  </w:style>
  <w:style w:type="paragraph" w:styleId="BalloonText">
    <w:name w:val="Balloon Text"/>
    <w:basedOn w:val="Normal"/>
    <w:link w:val="BalloonTextChar"/>
    <w:uiPriority w:val="99"/>
    <w:semiHidden/>
    <w:unhideWhenUsed/>
    <w:rsid w:val="00CC3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E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5FFE4-7FCE-4679-94E1-764BF26EE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2694</Words>
  <Characters>15359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Terra</dc:creator>
  <cp:keywords/>
  <dc:description/>
  <cp:lastModifiedBy>Steadman, Marka</cp:lastModifiedBy>
  <cp:revision>3</cp:revision>
  <cp:lastPrinted>2017-11-28T01:03:00Z</cp:lastPrinted>
  <dcterms:created xsi:type="dcterms:W3CDTF">2017-11-30T20:46:00Z</dcterms:created>
  <dcterms:modified xsi:type="dcterms:W3CDTF">2017-12-04T17:36:00Z</dcterms:modified>
</cp:coreProperties>
</file>