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0BFE7" w14:textId="77777777" w:rsidR="00EB5A13" w:rsidRPr="00A46A5D" w:rsidRDefault="00EB5A13" w:rsidP="00EB5A13">
      <w:pPr>
        <w:pStyle w:val="Heading2"/>
        <w:rPr>
          <w:b w:val="0"/>
          <w:sz w:val="24"/>
          <w:u w:val="none"/>
        </w:rPr>
      </w:pPr>
    </w:p>
    <w:p w14:paraId="15BECA5A" w14:textId="33C32CE6"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3659278"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3F86ED20"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AB0F323"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716C74FB" w14:textId="625B3672" w:rsidR="00EB5A13" w:rsidRPr="009349D6" w:rsidRDefault="00E72B63" w:rsidP="00074A56">
            <w:pPr>
              <w:spacing w:before="40" w:after="40"/>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14:paraId="68D0B758"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2A16960B" w14:textId="77777777" w:rsidR="00EB5A13" w:rsidRPr="009349D6" w:rsidRDefault="00F36297" w:rsidP="00074A56">
            <w:pPr>
              <w:spacing w:before="40" w:after="40"/>
              <w:rPr>
                <w:rFonts w:ascii="Arial" w:hAnsi="Arial" w:cs="Arial"/>
              </w:rPr>
            </w:pPr>
            <w:r>
              <w:rPr>
                <w:rFonts w:ascii="Arial" w:hAnsi="Arial" w:cs="Arial"/>
              </w:rPr>
              <w:t>Hiedi Popochock</w:t>
            </w:r>
          </w:p>
        </w:tc>
      </w:tr>
      <w:tr w:rsidR="00EB5A13" w:rsidRPr="009349D6" w14:paraId="1C1DD3FD"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643C941"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618C9A47" w14:textId="48D0A5AC" w:rsidR="00EB5A13" w:rsidRPr="009349D6" w:rsidRDefault="00FF05E5" w:rsidP="00C07CFC">
            <w:pPr>
              <w:spacing w:before="40" w:after="40"/>
              <w:rPr>
                <w:rFonts w:ascii="Arial" w:hAnsi="Arial" w:cs="Arial"/>
              </w:rPr>
            </w:pPr>
            <w:r>
              <w:rPr>
                <w:rFonts w:ascii="Arial" w:hAnsi="Arial" w:cs="Arial"/>
              </w:rPr>
              <w:t>2016-0</w:t>
            </w:r>
            <w:r w:rsidR="00C07CFC">
              <w:rPr>
                <w:rFonts w:ascii="Arial" w:hAnsi="Arial" w:cs="Arial"/>
              </w:rPr>
              <w:t>512</w:t>
            </w:r>
          </w:p>
        </w:tc>
        <w:tc>
          <w:tcPr>
            <w:tcW w:w="1170" w:type="dxa"/>
            <w:tcBorders>
              <w:top w:val="single" w:sz="4" w:space="0" w:color="auto"/>
              <w:left w:val="single" w:sz="4" w:space="0" w:color="auto"/>
              <w:bottom w:val="single" w:sz="4" w:space="0" w:color="auto"/>
              <w:right w:val="single" w:sz="4" w:space="0" w:color="auto"/>
            </w:tcBorders>
            <w:vAlign w:val="center"/>
          </w:tcPr>
          <w:p w14:paraId="6A078390"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3D4F0920" w14:textId="0ACB16A6" w:rsidR="00EB5A13" w:rsidRPr="009349D6" w:rsidRDefault="00BC0D72" w:rsidP="00074A56">
            <w:pPr>
              <w:spacing w:before="40" w:after="40"/>
              <w:rPr>
                <w:rFonts w:ascii="Arial" w:hAnsi="Arial" w:cs="Arial"/>
              </w:rPr>
            </w:pPr>
            <w:r>
              <w:rPr>
                <w:rFonts w:ascii="Arial" w:hAnsi="Arial" w:cs="Arial"/>
              </w:rPr>
              <w:t>January 24</w:t>
            </w:r>
            <w:r w:rsidR="00C07CFC">
              <w:rPr>
                <w:rFonts w:ascii="Arial" w:hAnsi="Arial" w:cs="Arial"/>
              </w:rPr>
              <w:t>, 2017</w:t>
            </w:r>
          </w:p>
        </w:tc>
      </w:tr>
    </w:tbl>
    <w:p w14:paraId="085BECAE" w14:textId="77777777" w:rsidR="005E181A" w:rsidRDefault="005E181A" w:rsidP="005B478C">
      <w:pPr>
        <w:jc w:val="both"/>
        <w:rPr>
          <w:rFonts w:ascii="Arial" w:hAnsi="Arial" w:cs="Arial"/>
          <w:b/>
          <w:u w:val="single"/>
        </w:rPr>
      </w:pPr>
    </w:p>
    <w:p w14:paraId="309D6A81" w14:textId="77777777" w:rsidR="00C07CFC" w:rsidRDefault="00C07CFC" w:rsidP="005B478C">
      <w:pPr>
        <w:jc w:val="both"/>
        <w:rPr>
          <w:rFonts w:ascii="Arial" w:hAnsi="Arial" w:cs="Arial"/>
          <w:b/>
          <w:u w:val="single"/>
        </w:rPr>
      </w:pPr>
    </w:p>
    <w:p w14:paraId="3896CB18"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0BFA3828" w14:textId="77777777" w:rsidR="00074A56" w:rsidRDefault="00074A56" w:rsidP="005B478C">
      <w:pPr>
        <w:jc w:val="both"/>
        <w:rPr>
          <w:rFonts w:ascii="Arial" w:hAnsi="Arial" w:cs="Arial"/>
        </w:rPr>
      </w:pPr>
    </w:p>
    <w:p w14:paraId="1949013E" w14:textId="33591427" w:rsidR="00C75025" w:rsidRDefault="001C0CDD" w:rsidP="005B478C">
      <w:pPr>
        <w:jc w:val="both"/>
        <w:rPr>
          <w:rFonts w:ascii="Arial" w:hAnsi="Arial" w:cs="Arial"/>
        </w:rPr>
      </w:pPr>
      <w:r>
        <w:rPr>
          <w:rFonts w:ascii="Arial" w:hAnsi="Arial" w:cs="Arial"/>
        </w:rPr>
        <w:t xml:space="preserve">A Motion to approve </w:t>
      </w:r>
      <w:r w:rsidR="00D62AE1">
        <w:rPr>
          <w:rFonts w:ascii="Arial" w:hAnsi="Arial" w:cs="Arial"/>
        </w:rPr>
        <w:t xml:space="preserve">the Department of </w:t>
      </w:r>
      <w:r>
        <w:rPr>
          <w:rFonts w:ascii="Arial" w:hAnsi="Arial" w:cs="Arial"/>
        </w:rPr>
        <w:t xml:space="preserve">Elections’ </w:t>
      </w:r>
      <w:r w:rsidR="00C07CFC">
        <w:rPr>
          <w:rFonts w:ascii="Arial" w:hAnsi="Arial" w:cs="Arial"/>
        </w:rPr>
        <w:t>fourth</w:t>
      </w:r>
      <w:r>
        <w:rPr>
          <w:rFonts w:ascii="Arial" w:hAnsi="Arial" w:cs="Arial"/>
        </w:rPr>
        <w:t xml:space="preserve"> </w:t>
      </w:r>
      <w:r w:rsidR="00E9109E">
        <w:rPr>
          <w:rFonts w:ascii="Arial" w:hAnsi="Arial" w:cs="Arial"/>
        </w:rPr>
        <w:t>Limited English P</w:t>
      </w:r>
      <w:r w:rsidRPr="001C0CDD">
        <w:rPr>
          <w:rFonts w:ascii="Arial" w:hAnsi="Arial" w:cs="Arial"/>
        </w:rPr>
        <w:t xml:space="preserve">roficiency </w:t>
      </w:r>
      <w:r w:rsidR="00730B96">
        <w:rPr>
          <w:rFonts w:ascii="Arial" w:hAnsi="Arial" w:cs="Arial"/>
        </w:rPr>
        <w:t>Outreach R</w:t>
      </w:r>
      <w:r>
        <w:rPr>
          <w:rFonts w:ascii="Arial" w:hAnsi="Arial" w:cs="Arial"/>
        </w:rPr>
        <w:t>eport</w:t>
      </w:r>
      <w:r w:rsidRPr="001C0CDD">
        <w:rPr>
          <w:rFonts w:ascii="Arial" w:hAnsi="Arial" w:cs="Arial"/>
        </w:rPr>
        <w:t xml:space="preserve"> </w:t>
      </w:r>
      <w:r>
        <w:rPr>
          <w:rFonts w:ascii="Arial" w:hAnsi="Arial" w:cs="Arial"/>
        </w:rPr>
        <w:t>of the four semiannual reports as required by a 2015/2016 budget proviso.</w:t>
      </w:r>
    </w:p>
    <w:p w14:paraId="20C16F88" w14:textId="77777777" w:rsidR="001C0CDD" w:rsidRDefault="001C0CDD" w:rsidP="005B478C">
      <w:pPr>
        <w:jc w:val="both"/>
        <w:rPr>
          <w:rFonts w:ascii="Arial" w:hAnsi="Arial" w:cs="Arial"/>
          <w:b/>
          <w:smallCaps/>
          <w:szCs w:val="24"/>
          <w:u w:val="single"/>
        </w:rPr>
      </w:pPr>
    </w:p>
    <w:p w14:paraId="37E07D3D"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3A3155EB" w14:textId="77777777" w:rsidR="00074A56" w:rsidRDefault="00074A56" w:rsidP="005B478C">
      <w:pPr>
        <w:jc w:val="both"/>
        <w:rPr>
          <w:rFonts w:ascii="Arial" w:hAnsi="Arial" w:cs="Arial"/>
        </w:rPr>
      </w:pPr>
    </w:p>
    <w:p w14:paraId="11B9DA29" w14:textId="3E839BC6" w:rsidR="00946942" w:rsidRDefault="009635C3" w:rsidP="005B478C">
      <w:pPr>
        <w:jc w:val="both"/>
        <w:rPr>
          <w:rFonts w:ascii="Arial" w:hAnsi="Arial" w:cs="Arial"/>
        </w:rPr>
      </w:pPr>
      <w:r w:rsidRPr="009635C3">
        <w:rPr>
          <w:rFonts w:ascii="Arial" w:hAnsi="Arial" w:cs="Arial"/>
        </w:rPr>
        <w:t>Pro</w:t>
      </w:r>
      <w:r>
        <w:rPr>
          <w:rFonts w:ascii="Arial" w:hAnsi="Arial" w:cs="Arial"/>
        </w:rPr>
        <w:t>posed Motion 2016-0</w:t>
      </w:r>
      <w:r w:rsidR="00C07CFC">
        <w:rPr>
          <w:rFonts w:ascii="Arial" w:hAnsi="Arial" w:cs="Arial"/>
        </w:rPr>
        <w:t>512</w:t>
      </w:r>
      <w:r>
        <w:rPr>
          <w:rFonts w:ascii="Arial" w:hAnsi="Arial" w:cs="Arial"/>
        </w:rPr>
        <w:t xml:space="preserve"> would approve </w:t>
      </w:r>
      <w:r w:rsidR="00D62AE1">
        <w:rPr>
          <w:rFonts w:ascii="Arial" w:hAnsi="Arial" w:cs="Arial"/>
        </w:rPr>
        <w:t xml:space="preserve">the Department of </w:t>
      </w:r>
      <w:r>
        <w:rPr>
          <w:rFonts w:ascii="Arial" w:hAnsi="Arial" w:cs="Arial"/>
        </w:rPr>
        <w:t>El</w:t>
      </w:r>
      <w:r w:rsidR="00730B96">
        <w:rPr>
          <w:rFonts w:ascii="Arial" w:hAnsi="Arial" w:cs="Arial"/>
        </w:rPr>
        <w:t xml:space="preserve">ections’ </w:t>
      </w:r>
      <w:r w:rsidR="00C07CFC">
        <w:rPr>
          <w:rFonts w:ascii="Arial" w:hAnsi="Arial" w:cs="Arial"/>
        </w:rPr>
        <w:t>fourth</w:t>
      </w:r>
      <w:r w:rsidR="00730B96">
        <w:rPr>
          <w:rFonts w:ascii="Arial" w:hAnsi="Arial" w:cs="Arial"/>
        </w:rPr>
        <w:t xml:space="preserve"> Limited English Proficiency O</w:t>
      </w:r>
      <w:r>
        <w:rPr>
          <w:rFonts w:ascii="Arial" w:hAnsi="Arial" w:cs="Arial"/>
        </w:rPr>
        <w:t xml:space="preserve">utreach </w:t>
      </w:r>
      <w:r w:rsidR="00730B96">
        <w:rPr>
          <w:rFonts w:ascii="Arial" w:hAnsi="Arial" w:cs="Arial"/>
        </w:rPr>
        <w:t>R</w:t>
      </w:r>
      <w:r>
        <w:rPr>
          <w:rFonts w:ascii="Arial" w:hAnsi="Arial" w:cs="Arial"/>
        </w:rPr>
        <w:t>eport</w:t>
      </w:r>
      <w:r w:rsidR="000333A0">
        <w:rPr>
          <w:rFonts w:ascii="Arial" w:hAnsi="Arial" w:cs="Arial"/>
        </w:rPr>
        <w:t xml:space="preserve"> (Attachment A)</w:t>
      </w:r>
      <w:r>
        <w:rPr>
          <w:rFonts w:ascii="Arial" w:hAnsi="Arial" w:cs="Arial"/>
        </w:rPr>
        <w:t>.</w:t>
      </w:r>
      <w:r w:rsidR="00730B96">
        <w:rPr>
          <w:rFonts w:ascii="Arial" w:hAnsi="Arial" w:cs="Arial"/>
        </w:rPr>
        <w:t xml:space="preserve"> </w:t>
      </w:r>
    </w:p>
    <w:p w14:paraId="21F31CCE" w14:textId="77777777" w:rsidR="0083015E" w:rsidRDefault="0083015E" w:rsidP="005B478C">
      <w:pPr>
        <w:jc w:val="both"/>
        <w:rPr>
          <w:rFonts w:ascii="Arial" w:hAnsi="Arial" w:cs="Arial"/>
        </w:rPr>
      </w:pPr>
    </w:p>
    <w:p w14:paraId="06A4D060" w14:textId="3E7A004A" w:rsidR="0083015E" w:rsidRPr="00364EFF" w:rsidRDefault="0083015E" w:rsidP="0083015E">
      <w:pPr>
        <w:pStyle w:val="BodyText"/>
        <w:jc w:val="both"/>
        <w:rPr>
          <w:rFonts w:ascii="Arial" w:hAnsi="Arial" w:cs="Arial"/>
          <w:i w:val="0"/>
        </w:rPr>
      </w:pPr>
      <w:r w:rsidRPr="0083015E">
        <w:rPr>
          <w:rFonts w:ascii="Arial" w:hAnsi="Arial" w:cs="Arial"/>
          <w:i w:val="0"/>
        </w:rPr>
        <w:t xml:space="preserve">In the 2015/2016 Biennial Budget Ordinance (Ordinance 17941), Council approved a budget </w:t>
      </w:r>
      <w:r w:rsidR="00D0669E">
        <w:rPr>
          <w:rFonts w:ascii="Arial" w:hAnsi="Arial" w:cs="Arial"/>
          <w:i w:val="0"/>
        </w:rPr>
        <w:t>proviso that required the D</w:t>
      </w:r>
      <w:r w:rsidRPr="0083015E">
        <w:rPr>
          <w:rFonts w:ascii="Arial" w:hAnsi="Arial" w:cs="Arial"/>
          <w:i w:val="0"/>
        </w:rPr>
        <w:t xml:space="preserve">irector of Elections to provide four semiannual reports </w:t>
      </w:r>
      <w:proofErr w:type="gramStart"/>
      <w:r w:rsidRPr="0083015E">
        <w:rPr>
          <w:rFonts w:ascii="Arial" w:hAnsi="Arial" w:cs="Arial"/>
          <w:i w:val="0"/>
        </w:rPr>
        <w:t>on</w:t>
      </w:r>
      <w:proofErr w:type="gramEnd"/>
      <w:r w:rsidRPr="0083015E">
        <w:rPr>
          <w:rFonts w:ascii="Arial" w:hAnsi="Arial" w:cs="Arial"/>
          <w:i w:val="0"/>
        </w:rPr>
        <w:t xml:space="preserve"> the progress of the department’s limited English proficiency outreach efforts. The reports are to include</w:t>
      </w:r>
      <w:r>
        <w:rPr>
          <w:rFonts w:ascii="Arial" w:hAnsi="Arial" w:cs="Arial"/>
        </w:rPr>
        <w:t xml:space="preserve"> </w:t>
      </w:r>
      <w:r>
        <w:rPr>
          <w:rFonts w:ascii="Arial" w:hAnsi="Arial" w:cs="Arial"/>
          <w:i w:val="0"/>
        </w:rPr>
        <w:t>elements of Section IV</w:t>
      </w:r>
      <w:r w:rsidRPr="00364EFF">
        <w:t xml:space="preserve"> </w:t>
      </w:r>
      <w:r w:rsidRPr="00364EFF">
        <w:rPr>
          <w:rFonts w:ascii="Arial" w:hAnsi="Arial" w:cs="Arial"/>
          <w:i w:val="0"/>
        </w:rPr>
        <w:t xml:space="preserve">(Alternative translation materials and services) of </w:t>
      </w:r>
      <w:r>
        <w:rPr>
          <w:rFonts w:ascii="Arial" w:hAnsi="Arial" w:cs="Arial"/>
          <w:i w:val="0"/>
        </w:rPr>
        <w:t>2014-RPT0080, to which the 2015/</w:t>
      </w:r>
      <w:r w:rsidRPr="00364EFF">
        <w:rPr>
          <w:rFonts w:ascii="Arial" w:hAnsi="Arial" w:cs="Arial"/>
          <w:i w:val="0"/>
        </w:rPr>
        <w:t>2016 budget proviso ref</w:t>
      </w:r>
      <w:r>
        <w:rPr>
          <w:rFonts w:ascii="Arial" w:hAnsi="Arial" w:cs="Arial"/>
          <w:i w:val="0"/>
        </w:rPr>
        <w:t xml:space="preserve">ers, </w:t>
      </w:r>
      <w:r w:rsidR="008E0A8B">
        <w:rPr>
          <w:rFonts w:ascii="Arial" w:hAnsi="Arial" w:cs="Arial"/>
          <w:i w:val="0"/>
        </w:rPr>
        <w:t xml:space="preserve">which </w:t>
      </w:r>
      <w:r>
        <w:rPr>
          <w:rFonts w:ascii="Arial" w:hAnsi="Arial" w:cs="Arial"/>
          <w:i w:val="0"/>
        </w:rPr>
        <w:t>includes information on Elections’</w:t>
      </w:r>
      <w:r w:rsidRPr="00364EFF">
        <w:rPr>
          <w:rFonts w:ascii="Arial" w:hAnsi="Arial" w:cs="Arial"/>
          <w:i w:val="0"/>
        </w:rPr>
        <w:t xml:space="preserve"> </w:t>
      </w:r>
      <w:r>
        <w:rPr>
          <w:rFonts w:ascii="Arial" w:hAnsi="Arial" w:cs="Arial"/>
          <w:i w:val="0"/>
        </w:rPr>
        <w:t>i</w:t>
      </w:r>
      <w:r w:rsidRPr="0083015E">
        <w:rPr>
          <w:rFonts w:ascii="Arial" w:hAnsi="Arial" w:cs="Arial"/>
          <w:i w:val="0"/>
        </w:rPr>
        <w:t xml:space="preserve">nstructional brochure, </w:t>
      </w:r>
      <w:r>
        <w:rPr>
          <w:rFonts w:ascii="Arial" w:hAnsi="Arial" w:cs="Arial"/>
          <w:i w:val="0"/>
        </w:rPr>
        <w:t>o</w:t>
      </w:r>
      <w:r w:rsidRPr="0083015E">
        <w:rPr>
          <w:rFonts w:ascii="Arial" w:hAnsi="Arial" w:cs="Arial"/>
          <w:i w:val="0"/>
        </w:rPr>
        <w:t>nline tool</w:t>
      </w:r>
      <w:r w:rsidRPr="00E217AD">
        <w:rPr>
          <w:rFonts w:ascii="Arial" w:hAnsi="Arial" w:cs="Arial"/>
          <w:b/>
          <w:i w:val="0"/>
        </w:rPr>
        <w:t xml:space="preserve"> </w:t>
      </w:r>
      <w:r w:rsidRPr="0083015E">
        <w:rPr>
          <w:rFonts w:ascii="Arial" w:hAnsi="Arial" w:cs="Arial"/>
          <w:i w:val="0"/>
        </w:rPr>
        <w:t>kit</w:t>
      </w:r>
      <w:r>
        <w:rPr>
          <w:rFonts w:ascii="Arial" w:hAnsi="Arial" w:cs="Arial"/>
          <w:i w:val="0"/>
        </w:rPr>
        <w:t xml:space="preserve">, </w:t>
      </w:r>
      <w:r w:rsidRPr="0083015E">
        <w:rPr>
          <w:rFonts w:ascii="Arial" w:hAnsi="Arial" w:cs="Arial"/>
          <w:i w:val="0"/>
        </w:rPr>
        <w:t>Ambassador Program</w:t>
      </w:r>
      <w:r>
        <w:rPr>
          <w:rFonts w:ascii="Arial" w:hAnsi="Arial" w:cs="Arial"/>
          <w:i w:val="0"/>
        </w:rPr>
        <w:t xml:space="preserve"> and </w:t>
      </w:r>
      <w:r w:rsidRPr="0083015E">
        <w:rPr>
          <w:rFonts w:ascii="Arial" w:hAnsi="Arial" w:cs="Arial"/>
          <w:i w:val="0"/>
        </w:rPr>
        <w:t>civics engagement in schools</w:t>
      </w:r>
      <w:r>
        <w:rPr>
          <w:rFonts w:ascii="Arial" w:hAnsi="Arial" w:cs="Arial"/>
          <w:i w:val="0"/>
        </w:rPr>
        <w:t>.</w:t>
      </w:r>
      <w:r w:rsidR="00F7338E">
        <w:rPr>
          <w:rFonts w:ascii="Arial" w:hAnsi="Arial" w:cs="Arial"/>
          <w:i w:val="0"/>
        </w:rPr>
        <w:t xml:space="preserve"> </w:t>
      </w:r>
    </w:p>
    <w:p w14:paraId="7BDA9590" w14:textId="77777777" w:rsidR="0083015E" w:rsidRPr="009635C3" w:rsidRDefault="0083015E" w:rsidP="005B478C">
      <w:pPr>
        <w:jc w:val="both"/>
        <w:rPr>
          <w:rFonts w:ascii="Arial" w:hAnsi="Arial" w:cs="Arial"/>
        </w:rPr>
      </w:pPr>
    </w:p>
    <w:p w14:paraId="0BA8B957" w14:textId="17CAFD39" w:rsidR="00730B96" w:rsidRDefault="00541120" w:rsidP="00730B96">
      <w:pPr>
        <w:pStyle w:val="BodyText"/>
        <w:jc w:val="both"/>
        <w:rPr>
          <w:rFonts w:ascii="Arial" w:hAnsi="Arial" w:cs="Arial"/>
          <w:i w:val="0"/>
        </w:rPr>
      </w:pPr>
      <w:r>
        <w:rPr>
          <w:rFonts w:ascii="Arial" w:hAnsi="Arial" w:cs="Arial"/>
          <w:i w:val="0"/>
        </w:rPr>
        <w:t xml:space="preserve">The fourth </w:t>
      </w:r>
      <w:r w:rsidR="00005126">
        <w:rPr>
          <w:rFonts w:ascii="Arial" w:hAnsi="Arial" w:cs="Arial"/>
          <w:i w:val="0"/>
        </w:rPr>
        <w:t xml:space="preserve">and final </w:t>
      </w:r>
      <w:r>
        <w:rPr>
          <w:rFonts w:ascii="Arial" w:hAnsi="Arial" w:cs="Arial"/>
          <w:i w:val="0"/>
        </w:rPr>
        <w:t xml:space="preserve">Limited English Proficiency Outreach Report </w:t>
      </w:r>
      <w:r w:rsidR="00005126">
        <w:rPr>
          <w:rFonts w:ascii="Arial" w:hAnsi="Arial" w:cs="Arial"/>
          <w:i w:val="0"/>
        </w:rPr>
        <w:t xml:space="preserve">was transmitted on October 1, 2016, one day later than the budget proviso deadline of September 30. The Report includes </w:t>
      </w:r>
      <w:r>
        <w:rPr>
          <w:rFonts w:ascii="Arial" w:hAnsi="Arial" w:cs="Arial"/>
          <w:i w:val="0"/>
        </w:rPr>
        <w:t>the</w:t>
      </w:r>
      <w:r w:rsidR="00005126">
        <w:rPr>
          <w:rFonts w:ascii="Arial" w:hAnsi="Arial" w:cs="Arial"/>
          <w:i w:val="0"/>
        </w:rPr>
        <w:t xml:space="preserve"> five reporting</w:t>
      </w:r>
      <w:r>
        <w:rPr>
          <w:rFonts w:ascii="Arial" w:hAnsi="Arial" w:cs="Arial"/>
          <w:i w:val="0"/>
        </w:rPr>
        <w:t xml:space="preserve"> requirements of the budget proviso.</w:t>
      </w:r>
      <w:r w:rsidR="00754C82">
        <w:rPr>
          <w:rFonts w:ascii="Arial" w:hAnsi="Arial" w:cs="Arial"/>
          <w:i w:val="0"/>
        </w:rPr>
        <w:t xml:space="preserve"> </w:t>
      </w:r>
    </w:p>
    <w:p w14:paraId="52E0BFA4" w14:textId="77777777" w:rsidR="00C07CFC" w:rsidRDefault="00C07CFC" w:rsidP="00730B96">
      <w:pPr>
        <w:pStyle w:val="BodyText"/>
        <w:jc w:val="both"/>
        <w:rPr>
          <w:rFonts w:ascii="Arial" w:hAnsi="Arial" w:cs="Arial"/>
          <w:i w:val="0"/>
        </w:rPr>
      </w:pPr>
    </w:p>
    <w:p w14:paraId="04D65DAF"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ED4B54D" w14:textId="77777777" w:rsidR="00074A56" w:rsidRDefault="00074A56" w:rsidP="005B478C">
      <w:pPr>
        <w:jc w:val="both"/>
        <w:rPr>
          <w:rFonts w:ascii="Arial" w:hAnsi="Arial" w:cs="Arial"/>
        </w:rPr>
      </w:pPr>
    </w:p>
    <w:p w14:paraId="313C23B0" w14:textId="5B34BB9F" w:rsidR="00E6550A" w:rsidRDefault="00E6550A" w:rsidP="00925E0C">
      <w:pPr>
        <w:jc w:val="both"/>
        <w:rPr>
          <w:rFonts w:ascii="Arial" w:hAnsi="Arial" w:cs="Arial"/>
        </w:rPr>
      </w:pPr>
      <w:r>
        <w:rPr>
          <w:rFonts w:ascii="Arial" w:hAnsi="Arial" w:cs="Arial"/>
        </w:rPr>
        <w:t>In order t</w:t>
      </w:r>
      <w:r w:rsidR="00925E0C" w:rsidRPr="00F032C5">
        <w:rPr>
          <w:rFonts w:ascii="Arial" w:hAnsi="Arial" w:cs="Arial"/>
        </w:rPr>
        <w:t>o identify ways to increase access to King County government services and operations for L</w:t>
      </w:r>
      <w:r w:rsidR="00925E0C">
        <w:rPr>
          <w:rFonts w:ascii="Arial" w:hAnsi="Arial" w:cs="Arial"/>
        </w:rPr>
        <w:t>imited English Proficiency (L</w:t>
      </w:r>
      <w:r w:rsidR="00925E0C" w:rsidRPr="00F032C5">
        <w:rPr>
          <w:rFonts w:ascii="Arial" w:hAnsi="Arial" w:cs="Arial"/>
        </w:rPr>
        <w:t>EP</w:t>
      </w:r>
      <w:r w:rsidR="00925E0C">
        <w:rPr>
          <w:rFonts w:ascii="Arial" w:hAnsi="Arial" w:cs="Arial"/>
        </w:rPr>
        <w:t>)</w:t>
      </w:r>
      <w:r w:rsidR="00925E0C" w:rsidRPr="00F032C5">
        <w:rPr>
          <w:rFonts w:ascii="Arial" w:hAnsi="Arial" w:cs="Arial"/>
        </w:rPr>
        <w:t xml:space="preserve"> populations, Council adopted proviso language as part of the 2014 Budget Ordinance (Ordinance 17695), requesting a report </w:t>
      </w:r>
      <w:r w:rsidR="00D62AE1">
        <w:rPr>
          <w:rFonts w:ascii="Arial" w:hAnsi="Arial" w:cs="Arial"/>
        </w:rPr>
        <w:t xml:space="preserve">from the Department of Elections (“Elections”) </w:t>
      </w:r>
      <w:r w:rsidR="00925E0C" w:rsidRPr="00F032C5">
        <w:rPr>
          <w:rFonts w:ascii="Arial" w:hAnsi="Arial" w:cs="Arial"/>
        </w:rPr>
        <w:t>on current</w:t>
      </w:r>
      <w:r w:rsidR="008E0A8B">
        <w:rPr>
          <w:rFonts w:ascii="Arial" w:hAnsi="Arial" w:cs="Arial"/>
        </w:rPr>
        <w:t xml:space="preserve"> programs and future plans </w:t>
      </w:r>
      <w:r w:rsidR="00925E0C" w:rsidRPr="00F032C5">
        <w:rPr>
          <w:rFonts w:ascii="Arial" w:hAnsi="Arial" w:cs="Arial"/>
        </w:rPr>
        <w:t>for LEP engagement strategies and resources, including an analysis of alternatives for expanding minority language voting materials.</w:t>
      </w:r>
      <w:r w:rsidR="00925E0C">
        <w:rPr>
          <w:rFonts w:ascii="Arial" w:hAnsi="Arial" w:cs="Arial"/>
        </w:rPr>
        <w:t xml:space="preserve"> </w:t>
      </w:r>
    </w:p>
    <w:p w14:paraId="6B31F32C" w14:textId="77777777" w:rsidR="00E6550A" w:rsidRDefault="00E6550A" w:rsidP="00925E0C">
      <w:pPr>
        <w:jc w:val="both"/>
        <w:rPr>
          <w:rFonts w:ascii="Arial" w:hAnsi="Arial" w:cs="Arial"/>
        </w:rPr>
      </w:pPr>
    </w:p>
    <w:p w14:paraId="764ACFD3" w14:textId="7CFE7F0C" w:rsidR="00925E0C" w:rsidRDefault="00925E0C" w:rsidP="00B03CA4">
      <w:pPr>
        <w:jc w:val="both"/>
        <w:rPr>
          <w:rFonts w:ascii="Arial" w:hAnsi="Arial" w:cs="Arial"/>
        </w:rPr>
      </w:pPr>
      <w:r>
        <w:rPr>
          <w:rFonts w:ascii="Arial" w:hAnsi="Arial" w:cs="Arial"/>
        </w:rPr>
        <w:t xml:space="preserve">The </w:t>
      </w:r>
      <w:r w:rsidR="00091223">
        <w:rPr>
          <w:rFonts w:ascii="Arial" w:hAnsi="Arial" w:cs="Arial"/>
        </w:rPr>
        <w:t xml:space="preserve">2014 </w:t>
      </w:r>
      <w:r>
        <w:rPr>
          <w:rFonts w:ascii="Arial" w:hAnsi="Arial" w:cs="Arial"/>
        </w:rPr>
        <w:t xml:space="preserve">proviso </w:t>
      </w:r>
      <w:r w:rsidR="00091223">
        <w:rPr>
          <w:rFonts w:ascii="Arial" w:hAnsi="Arial" w:cs="Arial"/>
        </w:rPr>
        <w:t xml:space="preserve">required the following information related to </w:t>
      </w:r>
      <w:r>
        <w:rPr>
          <w:rFonts w:ascii="Arial" w:hAnsi="Arial" w:cs="Arial"/>
        </w:rPr>
        <w:t>elections-related services:</w:t>
      </w:r>
    </w:p>
    <w:p w14:paraId="2F13C0C6" w14:textId="77777777" w:rsidR="00925E0C" w:rsidRDefault="00925E0C" w:rsidP="00B03CA4">
      <w:pPr>
        <w:jc w:val="both"/>
        <w:rPr>
          <w:rFonts w:ascii="Arial" w:hAnsi="Arial" w:cs="Arial"/>
        </w:rPr>
      </w:pPr>
    </w:p>
    <w:p w14:paraId="23D72DCB" w14:textId="56B4EA9F" w:rsidR="00925E0C" w:rsidRPr="00E6550A" w:rsidRDefault="00E6550A" w:rsidP="00C07CFC">
      <w:pPr>
        <w:tabs>
          <w:tab w:val="left" w:pos="810"/>
        </w:tabs>
        <w:spacing w:line="276" w:lineRule="auto"/>
        <w:ind w:left="630" w:right="720" w:hanging="450"/>
        <w:jc w:val="both"/>
        <w:rPr>
          <w:rFonts w:ascii="Arial" w:hAnsi="Arial" w:cs="Arial"/>
          <w:i/>
        </w:rPr>
      </w:pPr>
      <w:r w:rsidRPr="00E6550A">
        <w:rPr>
          <w:rFonts w:ascii="Arial" w:hAnsi="Arial" w:cs="Arial"/>
          <w:i/>
        </w:rPr>
        <w:lastRenderedPageBreak/>
        <w:t>“B</w:t>
      </w:r>
      <w:proofErr w:type="gramStart"/>
      <w:r w:rsidRPr="00E6550A">
        <w:rPr>
          <w:rFonts w:ascii="Arial" w:hAnsi="Arial" w:cs="Arial"/>
          <w:i/>
        </w:rPr>
        <w:t xml:space="preserve">. </w:t>
      </w:r>
      <w:r w:rsidR="00C07CFC">
        <w:rPr>
          <w:rFonts w:ascii="Arial" w:hAnsi="Arial" w:cs="Arial"/>
          <w:i/>
        </w:rPr>
        <w:t xml:space="preserve"> </w:t>
      </w:r>
      <w:r w:rsidR="00925E0C" w:rsidRPr="00E6550A">
        <w:rPr>
          <w:rFonts w:ascii="Arial" w:hAnsi="Arial" w:cs="Arial"/>
          <w:i/>
        </w:rPr>
        <w:t>For</w:t>
      </w:r>
      <w:proofErr w:type="gramEnd"/>
      <w:r w:rsidR="00925E0C" w:rsidRPr="00E6550A">
        <w:rPr>
          <w:rFonts w:ascii="Arial" w:hAnsi="Arial" w:cs="Arial"/>
          <w:i/>
        </w:rPr>
        <w:t xml:space="preserve"> election-related services, an analysis of options or factors that could provide minority language voting materials for LEP populations in Tiers 1 and 2 that have not yet reached the thresholds required by Section 203 of the Voting Rights Act of 1965, as amended, at a cost lower than the current costs for such materials for minority languages required by the act. The analysis shall, at minimum, include the following:</w:t>
      </w:r>
    </w:p>
    <w:p w14:paraId="110491A0" w14:textId="77777777" w:rsidR="00925E0C" w:rsidRPr="00524B19" w:rsidRDefault="00925E0C" w:rsidP="00C07CFC">
      <w:pPr>
        <w:numPr>
          <w:ilvl w:val="1"/>
          <w:numId w:val="42"/>
        </w:numPr>
        <w:spacing w:line="276" w:lineRule="auto"/>
        <w:ind w:right="720"/>
        <w:jc w:val="both"/>
        <w:rPr>
          <w:rFonts w:ascii="Arial" w:hAnsi="Arial" w:cs="Arial"/>
          <w:i/>
        </w:rPr>
      </w:pPr>
      <w:r w:rsidRPr="00524B19">
        <w:rPr>
          <w:rFonts w:ascii="Arial" w:hAnsi="Arial" w:cs="Arial"/>
          <w:i/>
        </w:rPr>
        <w:t>A description of the alternative translation materials and services that could be provided to these LEP populations;</w:t>
      </w:r>
    </w:p>
    <w:p w14:paraId="77536889" w14:textId="77777777" w:rsidR="00925E0C" w:rsidRPr="00524B19" w:rsidRDefault="00925E0C" w:rsidP="00C07CFC">
      <w:pPr>
        <w:numPr>
          <w:ilvl w:val="1"/>
          <w:numId w:val="42"/>
        </w:numPr>
        <w:spacing w:line="276" w:lineRule="auto"/>
        <w:ind w:right="720"/>
        <w:jc w:val="both"/>
        <w:rPr>
          <w:rFonts w:ascii="Arial" w:hAnsi="Arial" w:cs="Arial"/>
          <w:i/>
        </w:rPr>
      </w:pPr>
      <w:r w:rsidRPr="00524B19">
        <w:rPr>
          <w:rFonts w:ascii="Arial" w:hAnsi="Arial" w:cs="Arial"/>
          <w:i/>
        </w:rPr>
        <w:t xml:space="preserve">Cost estimates related to each of the alternative options; and </w:t>
      </w:r>
    </w:p>
    <w:p w14:paraId="55DE3F90" w14:textId="77777777" w:rsidR="00925E0C" w:rsidRPr="00524B19" w:rsidRDefault="00925E0C" w:rsidP="00C07CFC">
      <w:pPr>
        <w:numPr>
          <w:ilvl w:val="1"/>
          <w:numId w:val="42"/>
        </w:numPr>
        <w:spacing w:line="276" w:lineRule="auto"/>
        <w:ind w:right="720"/>
        <w:jc w:val="both"/>
        <w:rPr>
          <w:rFonts w:ascii="Arial" w:hAnsi="Arial" w:cs="Arial"/>
          <w:i/>
        </w:rPr>
      </w:pPr>
      <w:r w:rsidRPr="00524B19">
        <w:rPr>
          <w:rFonts w:ascii="Arial" w:hAnsi="Arial" w:cs="Arial"/>
          <w:i/>
        </w:rPr>
        <w:t>The feasibility of implementing these alternative options.</w:t>
      </w:r>
      <w:r w:rsidR="00E6550A">
        <w:rPr>
          <w:rFonts w:ascii="Arial" w:hAnsi="Arial" w:cs="Arial"/>
          <w:i/>
        </w:rPr>
        <w:t>”</w:t>
      </w:r>
    </w:p>
    <w:p w14:paraId="4A395173" w14:textId="77777777" w:rsidR="00925E0C" w:rsidRDefault="00925E0C" w:rsidP="00925E0C">
      <w:pPr>
        <w:jc w:val="both"/>
        <w:rPr>
          <w:rFonts w:ascii="Arial" w:hAnsi="Arial" w:cs="Arial"/>
        </w:rPr>
      </w:pPr>
    </w:p>
    <w:p w14:paraId="13F69653" w14:textId="2016BCF3" w:rsidR="00925E0C" w:rsidRDefault="00925E0C" w:rsidP="00925E0C">
      <w:pPr>
        <w:jc w:val="both"/>
        <w:rPr>
          <w:rFonts w:ascii="Arial" w:hAnsi="Arial" w:cs="Arial"/>
        </w:rPr>
      </w:pPr>
      <w:r>
        <w:rPr>
          <w:rFonts w:ascii="Arial" w:hAnsi="Arial" w:cs="Arial"/>
        </w:rPr>
        <w:t xml:space="preserve">The </w:t>
      </w:r>
      <w:r w:rsidR="00D0669E">
        <w:rPr>
          <w:rFonts w:ascii="Arial" w:hAnsi="Arial" w:cs="Arial"/>
        </w:rPr>
        <w:t>D</w:t>
      </w:r>
      <w:r>
        <w:rPr>
          <w:rFonts w:ascii="Arial" w:hAnsi="Arial" w:cs="Arial"/>
        </w:rPr>
        <w:t xml:space="preserve">irector of Elections filed 2014-RPT0080 in June 2014 in response to this section of the 2014 budget proviso only, but the transmittal did not include a motion to </w:t>
      </w:r>
      <w:r w:rsidR="00A03872">
        <w:rPr>
          <w:rFonts w:ascii="Arial" w:hAnsi="Arial" w:cs="Arial"/>
        </w:rPr>
        <w:t>accept the proviso. During 2015/</w:t>
      </w:r>
      <w:r>
        <w:rPr>
          <w:rFonts w:ascii="Arial" w:hAnsi="Arial" w:cs="Arial"/>
        </w:rPr>
        <w:t>2016 budget deliberations, Councilmembers agreed to revise Ordinance 17695 to remove the proviso language, and t</w:t>
      </w:r>
      <w:r w:rsidR="00A03872">
        <w:rPr>
          <w:rFonts w:ascii="Arial" w:hAnsi="Arial" w:cs="Arial"/>
        </w:rPr>
        <w:t>he Council included in the 2015/2016 Biennial Budget O</w:t>
      </w:r>
      <w:r>
        <w:rPr>
          <w:rFonts w:ascii="Arial" w:hAnsi="Arial" w:cs="Arial"/>
        </w:rPr>
        <w:t xml:space="preserve">rdinance (Ordinance 17941) a proviso on the Elections budget (Section 34) requiring additional reporting on activities reported in 2014-RPT0080. </w:t>
      </w:r>
    </w:p>
    <w:p w14:paraId="75F1B70E" w14:textId="77777777" w:rsidR="00925E0C" w:rsidRDefault="00925E0C" w:rsidP="00925E0C">
      <w:pPr>
        <w:jc w:val="both"/>
        <w:rPr>
          <w:rFonts w:ascii="Arial" w:hAnsi="Arial" w:cs="Arial"/>
        </w:rPr>
      </w:pPr>
    </w:p>
    <w:p w14:paraId="55088A2C" w14:textId="0689A4C8" w:rsidR="00925E0C" w:rsidRDefault="007D2500" w:rsidP="00925E0C">
      <w:pPr>
        <w:jc w:val="both"/>
        <w:rPr>
          <w:rFonts w:ascii="Arial" w:hAnsi="Arial" w:cs="Arial"/>
        </w:rPr>
      </w:pPr>
      <w:r>
        <w:rPr>
          <w:rFonts w:ascii="Arial" w:hAnsi="Arial" w:cs="Arial"/>
        </w:rPr>
        <w:t xml:space="preserve">The </w:t>
      </w:r>
      <w:r w:rsidR="001C0CDD">
        <w:rPr>
          <w:rFonts w:ascii="Arial" w:hAnsi="Arial" w:cs="Arial"/>
        </w:rPr>
        <w:t>2015/</w:t>
      </w:r>
      <w:r w:rsidR="00925E0C">
        <w:rPr>
          <w:rFonts w:ascii="Arial" w:hAnsi="Arial" w:cs="Arial"/>
        </w:rPr>
        <w:t>2016 Biennial Budget Ordinance 17941, Section 34, Proviso P2</w:t>
      </w:r>
      <w:r w:rsidR="00091223">
        <w:rPr>
          <w:rFonts w:ascii="Arial" w:hAnsi="Arial" w:cs="Arial"/>
        </w:rPr>
        <w:t xml:space="preserve">, </w:t>
      </w:r>
      <w:r w:rsidR="00925E0C">
        <w:rPr>
          <w:rFonts w:ascii="Arial" w:hAnsi="Arial" w:cs="Arial"/>
        </w:rPr>
        <w:t>reads as follows:</w:t>
      </w:r>
    </w:p>
    <w:p w14:paraId="43A99E04" w14:textId="77777777" w:rsidR="00925E0C" w:rsidRPr="005E28C1" w:rsidRDefault="00925E0C" w:rsidP="00925E0C">
      <w:pPr>
        <w:autoSpaceDE w:val="0"/>
        <w:autoSpaceDN w:val="0"/>
        <w:adjustRightInd w:val="0"/>
        <w:rPr>
          <w:rFonts w:ascii="Arial" w:hAnsi="Arial" w:cs="Arial"/>
          <w:i/>
          <w:szCs w:val="24"/>
        </w:rPr>
      </w:pPr>
    </w:p>
    <w:p w14:paraId="5D1FC5BC" w14:textId="77777777" w:rsidR="00925E0C" w:rsidRPr="005E28C1" w:rsidRDefault="00925E0C" w:rsidP="00C07CFC">
      <w:pPr>
        <w:autoSpaceDE w:val="0"/>
        <w:autoSpaceDN w:val="0"/>
        <w:adjustRightInd w:val="0"/>
        <w:ind w:left="450" w:right="720" w:hanging="90"/>
        <w:jc w:val="both"/>
        <w:rPr>
          <w:rFonts w:ascii="Arial" w:hAnsi="Arial" w:cs="Arial"/>
          <w:i/>
          <w:szCs w:val="24"/>
        </w:rPr>
      </w:pPr>
      <w:r>
        <w:rPr>
          <w:rFonts w:ascii="Arial" w:hAnsi="Arial" w:cs="Arial"/>
          <w:i/>
          <w:szCs w:val="24"/>
        </w:rPr>
        <w:t>“</w:t>
      </w:r>
      <w:r w:rsidRPr="00105E20">
        <w:rPr>
          <w:rFonts w:ascii="Arial" w:hAnsi="Arial" w:cs="Arial"/>
          <w:i/>
          <w:szCs w:val="24"/>
        </w:rPr>
        <w:t xml:space="preserve">Of this appropriation, $250,000 shall not be expended or encumbered until the director of elections transmits four semiannual reports on the department's limited English proficiency outreach efforts and motions that approve each report and the motions are passed by the council. </w:t>
      </w:r>
      <w:r w:rsidRPr="005E28C1">
        <w:rPr>
          <w:rFonts w:ascii="Arial" w:hAnsi="Arial" w:cs="Arial"/>
          <w:i/>
          <w:szCs w:val="24"/>
        </w:rPr>
        <w:t xml:space="preserve">The motions shall reference the subject matter, the proviso's ordinance, </w:t>
      </w:r>
      <w:proofErr w:type="gramStart"/>
      <w:r w:rsidRPr="005E28C1">
        <w:rPr>
          <w:rFonts w:ascii="Arial" w:hAnsi="Arial" w:cs="Arial"/>
          <w:i/>
          <w:szCs w:val="24"/>
        </w:rPr>
        <w:t>ordinance</w:t>
      </w:r>
      <w:proofErr w:type="gramEnd"/>
      <w:r w:rsidRPr="005E28C1">
        <w:rPr>
          <w:rFonts w:ascii="Arial" w:hAnsi="Arial" w:cs="Arial"/>
          <w:i/>
          <w:szCs w:val="24"/>
        </w:rPr>
        <w:t xml:space="preserve"> section and proviso number in both the title and body of the motion. Upon transmittal of each report, $62,500 shall be released for expenditure.</w:t>
      </w:r>
    </w:p>
    <w:p w14:paraId="26F1A5AD" w14:textId="77777777" w:rsidR="00925E0C" w:rsidRDefault="00925E0C" w:rsidP="00C07CFC">
      <w:pPr>
        <w:autoSpaceDE w:val="0"/>
        <w:autoSpaceDN w:val="0"/>
        <w:adjustRightInd w:val="0"/>
        <w:ind w:left="450" w:right="720" w:hanging="450"/>
        <w:jc w:val="both"/>
        <w:rPr>
          <w:rFonts w:ascii="Arial" w:hAnsi="Arial" w:cs="Arial"/>
          <w:i/>
          <w:szCs w:val="24"/>
        </w:rPr>
      </w:pPr>
    </w:p>
    <w:p w14:paraId="1F6D924D" w14:textId="77777777" w:rsidR="00925E0C" w:rsidRPr="005E28C1" w:rsidRDefault="00925E0C" w:rsidP="00C07CFC">
      <w:pPr>
        <w:autoSpaceDE w:val="0"/>
        <w:autoSpaceDN w:val="0"/>
        <w:adjustRightInd w:val="0"/>
        <w:ind w:left="450" w:right="720"/>
        <w:jc w:val="both"/>
        <w:rPr>
          <w:rFonts w:ascii="Arial" w:hAnsi="Arial" w:cs="Arial"/>
          <w:i/>
          <w:szCs w:val="24"/>
        </w:rPr>
      </w:pPr>
      <w:r w:rsidRPr="00105E20">
        <w:rPr>
          <w:rFonts w:ascii="Arial" w:hAnsi="Arial" w:cs="Arial"/>
          <w:i/>
          <w:szCs w:val="24"/>
        </w:rPr>
        <w:t>Each report shall include, but not be limited to, a description of the department's limited English proficiency outreach efforts detailed in section IV of the report transmitted to the council by the department in June 2014 (2014-RPT0080) in response to Ordinance 17695, Section 33, Proviso P1, as well as goals and outcomes for each of those outreach efforts. The description shall include, but not be limited to, information on the department's progress relating to the implementation of the elections ambassador program, the development of an instruction brochure about voting and elections that has been translated into Tier 1 and 2 languages, the development of an online toolkit and the creation of a mock election program in primary and secondary schools.</w:t>
      </w:r>
      <w:r w:rsidRPr="005E28C1">
        <w:rPr>
          <w:rFonts w:ascii="Arial" w:hAnsi="Arial" w:cs="Arial"/>
          <w:i/>
          <w:szCs w:val="24"/>
        </w:rPr>
        <w:t xml:space="preserve"> </w:t>
      </w:r>
    </w:p>
    <w:p w14:paraId="49924D25" w14:textId="77777777" w:rsidR="00925E0C" w:rsidRPr="005E28C1" w:rsidRDefault="00925E0C" w:rsidP="00C07CFC">
      <w:pPr>
        <w:autoSpaceDE w:val="0"/>
        <w:autoSpaceDN w:val="0"/>
        <w:adjustRightInd w:val="0"/>
        <w:ind w:left="450" w:right="720"/>
        <w:jc w:val="both"/>
        <w:rPr>
          <w:rFonts w:ascii="Arial" w:hAnsi="Arial" w:cs="Arial"/>
          <w:i/>
          <w:szCs w:val="24"/>
        </w:rPr>
      </w:pPr>
    </w:p>
    <w:p w14:paraId="0CA64EA0" w14:textId="77777777" w:rsidR="00925E0C" w:rsidRPr="005E28C1" w:rsidRDefault="00925E0C" w:rsidP="00C07CFC">
      <w:pPr>
        <w:autoSpaceDE w:val="0"/>
        <w:autoSpaceDN w:val="0"/>
        <w:adjustRightInd w:val="0"/>
        <w:ind w:left="450" w:right="720"/>
        <w:jc w:val="both"/>
        <w:rPr>
          <w:rFonts w:ascii="Arial" w:hAnsi="Arial" w:cs="Arial"/>
          <w:i/>
          <w:szCs w:val="24"/>
        </w:rPr>
      </w:pPr>
      <w:r w:rsidRPr="005E28C1">
        <w:rPr>
          <w:rFonts w:ascii="Arial" w:hAnsi="Arial" w:cs="Arial"/>
          <w:i/>
          <w:szCs w:val="24"/>
        </w:rPr>
        <w:t xml:space="preserve">The director of elections must file the four semiannual reports by June 30, 2015, December 31, 2015, June 30, 2016, and September 30, 2016, respectively, and the motions required by this proviso by those same dates, in the form of a paper original and an electronic copy with the clerk of the council, who shall retain the original and provide an electronic copy to all councilmembers, the council chief of staff, the policy staff director and the </w:t>
      </w:r>
      <w:r w:rsidRPr="005E28C1">
        <w:rPr>
          <w:rFonts w:ascii="Arial" w:hAnsi="Arial" w:cs="Arial"/>
          <w:i/>
          <w:szCs w:val="24"/>
        </w:rPr>
        <w:lastRenderedPageBreak/>
        <w:t>lead staff for the committee of the whole or its successor and the citizens' elections oversight committee.</w:t>
      </w:r>
      <w:r>
        <w:rPr>
          <w:rFonts w:ascii="Arial" w:hAnsi="Arial" w:cs="Arial"/>
          <w:i/>
          <w:szCs w:val="24"/>
        </w:rPr>
        <w:t>”</w:t>
      </w:r>
    </w:p>
    <w:p w14:paraId="6322FCDB" w14:textId="77777777" w:rsidR="00575B03" w:rsidRDefault="00575B03" w:rsidP="005B478C">
      <w:pPr>
        <w:jc w:val="both"/>
        <w:rPr>
          <w:rFonts w:ascii="Arial" w:hAnsi="Arial" w:cs="Arial"/>
        </w:rPr>
      </w:pPr>
    </w:p>
    <w:p w14:paraId="504B4841"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7B6EC82A" w14:textId="77777777" w:rsidR="00575B03" w:rsidRDefault="00575B03" w:rsidP="005B478C">
      <w:pPr>
        <w:pStyle w:val="BodyText"/>
        <w:jc w:val="both"/>
        <w:rPr>
          <w:rFonts w:ascii="Arial" w:hAnsi="Arial" w:cs="Arial"/>
          <w:i w:val="0"/>
          <w:smallCaps/>
          <w:szCs w:val="24"/>
        </w:rPr>
      </w:pPr>
    </w:p>
    <w:p w14:paraId="298136FE" w14:textId="1779A632" w:rsidR="00D74E7D" w:rsidRPr="00D74E7D" w:rsidRDefault="00D74E7D" w:rsidP="00364EFF">
      <w:pPr>
        <w:pStyle w:val="BodyText"/>
        <w:jc w:val="both"/>
        <w:rPr>
          <w:rFonts w:ascii="Arial" w:hAnsi="Arial" w:cs="Arial"/>
          <w:i w:val="0"/>
        </w:rPr>
      </w:pPr>
      <w:r w:rsidRPr="00D74E7D">
        <w:rPr>
          <w:rFonts w:ascii="Arial" w:hAnsi="Arial" w:cs="Arial"/>
          <w:i w:val="0"/>
        </w:rPr>
        <w:t>Elections transmitted the fourth semiannual LEP Report (“the fourth Report”) on October 1, 2016, one day after the proviso deadline of September 30, 2016, according to the King County Council Clerk’s Office.  According to the proviso, funds would be released upon transmittal of the report.  Proposed Motion 2016-0512 would approve the Department of Elections’ fourth and final Limited English Proficiency Outreach Report as prescribed by the 2015/2016 budget proviso.</w:t>
      </w:r>
    </w:p>
    <w:p w14:paraId="5D276BA3" w14:textId="77777777" w:rsidR="00D74E7D" w:rsidRPr="00D74E7D" w:rsidRDefault="00D74E7D" w:rsidP="00364EFF">
      <w:pPr>
        <w:pStyle w:val="BodyText"/>
        <w:jc w:val="both"/>
        <w:rPr>
          <w:rFonts w:ascii="Arial" w:hAnsi="Arial" w:cs="Arial"/>
          <w:i w:val="0"/>
        </w:rPr>
      </w:pPr>
    </w:p>
    <w:p w14:paraId="6401EB5E" w14:textId="71F51EE3" w:rsidR="00364EFF" w:rsidRDefault="00B01E3A" w:rsidP="00364EFF">
      <w:pPr>
        <w:pStyle w:val="BodyText"/>
        <w:jc w:val="both"/>
        <w:rPr>
          <w:rFonts w:ascii="Arial" w:hAnsi="Arial" w:cs="Arial"/>
          <w:i w:val="0"/>
        </w:rPr>
      </w:pPr>
      <w:bookmarkStart w:id="0" w:name="_GoBack"/>
      <w:bookmarkEnd w:id="0"/>
      <w:r>
        <w:rPr>
          <w:rFonts w:ascii="Arial" w:hAnsi="Arial" w:cs="Arial"/>
          <w:i w:val="0"/>
        </w:rPr>
        <w:t xml:space="preserve">The </w:t>
      </w:r>
      <w:r w:rsidR="00C07CFC">
        <w:rPr>
          <w:rFonts w:ascii="Arial" w:hAnsi="Arial" w:cs="Arial"/>
          <w:i w:val="0"/>
        </w:rPr>
        <w:t>fourth</w:t>
      </w:r>
      <w:r w:rsidR="00C72CCA">
        <w:rPr>
          <w:rFonts w:ascii="Arial" w:hAnsi="Arial" w:cs="Arial"/>
          <w:i w:val="0"/>
        </w:rPr>
        <w:t xml:space="preserve"> </w:t>
      </w:r>
      <w:r>
        <w:rPr>
          <w:rFonts w:ascii="Arial" w:hAnsi="Arial" w:cs="Arial"/>
          <w:i w:val="0"/>
        </w:rPr>
        <w:t>Report</w:t>
      </w:r>
      <w:r w:rsidR="002057DD">
        <w:rPr>
          <w:rFonts w:ascii="Arial" w:hAnsi="Arial" w:cs="Arial"/>
          <w:i w:val="0"/>
        </w:rPr>
        <w:t xml:space="preserve"> (Attachment A)</w:t>
      </w:r>
      <w:r>
        <w:rPr>
          <w:rFonts w:ascii="Arial" w:hAnsi="Arial" w:cs="Arial"/>
          <w:i w:val="0"/>
        </w:rPr>
        <w:t xml:space="preserve"> includes</w:t>
      </w:r>
      <w:r w:rsidR="00364EFF">
        <w:rPr>
          <w:rFonts w:ascii="Arial" w:hAnsi="Arial" w:cs="Arial"/>
          <w:i w:val="0"/>
        </w:rPr>
        <w:t xml:space="preserve"> elements of Section IV</w:t>
      </w:r>
      <w:r w:rsidR="00364EFF" w:rsidRPr="00364EFF">
        <w:t xml:space="preserve"> </w:t>
      </w:r>
      <w:r w:rsidR="00364EFF" w:rsidRPr="00364EFF">
        <w:rPr>
          <w:rFonts w:ascii="Arial" w:hAnsi="Arial" w:cs="Arial"/>
          <w:i w:val="0"/>
        </w:rPr>
        <w:t xml:space="preserve">(Alternative translation materials and services) of </w:t>
      </w:r>
      <w:r w:rsidR="00E217AD">
        <w:rPr>
          <w:rFonts w:ascii="Arial" w:hAnsi="Arial" w:cs="Arial"/>
          <w:i w:val="0"/>
        </w:rPr>
        <w:t>2014-RPT0080, to which the 2015/</w:t>
      </w:r>
      <w:r w:rsidR="00364EFF" w:rsidRPr="00364EFF">
        <w:rPr>
          <w:rFonts w:ascii="Arial" w:hAnsi="Arial" w:cs="Arial"/>
          <w:i w:val="0"/>
        </w:rPr>
        <w:t>2016 budget proviso refers, includes information on the following LEP outreach efforts:</w:t>
      </w:r>
    </w:p>
    <w:p w14:paraId="38AF5595" w14:textId="77777777" w:rsidR="00364EFF" w:rsidRPr="00364EFF" w:rsidRDefault="00364EFF" w:rsidP="00364EFF">
      <w:pPr>
        <w:pStyle w:val="BodyText"/>
        <w:jc w:val="both"/>
        <w:rPr>
          <w:rFonts w:ascii="Arial" w:hAnsi="Arial" w:cs="Arial"/>
          <w:i w:val="0"/>
        </w:rPr>
      </w:pPr>
    </w:p>
    <w:p w14:paraId="39730634" w14:textId="77777777" w:rsidR="00E217AD" w:rsidRDefault="00364EFF" w:rsidP="00E217AD">
      <w:pPr>
        <w:pStyle w:val="BodyText"/>
        <w:numPr>
          <w:ilvl w:val="0"/>
          <w:numId w:val="44"/>
        </w:numPr>
        <w:jc w:val="both"/>
        <w:rPr>
          <w:rFonts w:ascii="Arial" w:hAnsi="Arial" w:cs="Arial"/>
          <w:i w:val="0"/>
        </w:rPr>
      </w:pPr>
      <w:r w:rsidRPr="00E217AD">
        <w:rPr>
          <w:rFonts w:ascii="Arial" w:hAnsi="Arial" w:cs="Arial"/>
          <w:b/>
          <w:i w:val="0"/>
        </w:rPr>
        <w:t>Instructional brochure</w:t>
      </w:r>
      <w:r w:rsidRPr="00364EFF">
        <w:rPr>
          <w:rFonts w:ascii="Arial" w:hAnsi="Arial" w:cs="Arial"/>
          <w:i w:val="0"/>
        </w:rPr>
        <w:t xml:space="preserve"> to be translated into Tier 1 and Tier 2 languages </w:t>
      </w:r>
    </w:p>
    <w:p w14:paraId="0CC1C0E6" w14:textId="77777777" w:rsidR="00364EFF" w:rsidRPr="00364EFF" w:rsidRDefault="00364EFF" w:rsidP="00E217AD">
      <w:pPr>
        <w:pStyle w:val="BodyText"/>
        <w:ind w:left="720"/>
        <w:jc w:val="both"/>
        <w:rPr>
          <w:rFonts w:ascii="Arial" w:hAnsi="Arial" w:cs="Arial"/>
          <w:i w:val="0"/>
        </w:rPr>
      </w:pPr>
      <w:r w:rsidRPr="00364EFF">
        <w:rPr>
          <w:rFonts w:ascii="Arial" w:hAnsi="Arial" w:cs="Arial"/>
          <w:i w:val="0"/>
        </w:rPr>
        <w:t xml:space="preserve"> </w:t>
      </w:r>
    </w:p>
    <w:p w14:paraId="00120064" w14:textId="77777777" w:rsidR="00364EFF" w:rsidRDefault="00E217AD" w:rsidP="00E217AD">
      <w:pPr>
        <w:pStyle w:val="BodyText"/>
        <w:numPr>
          <w:ilvl w:val="0"/>
          <w:numId w:val="44"/>
        </w:numPr>
        <w:jc w:val="both"/>
        <w:rPr>
          <w:rFonts w:ascii="Arial" w:hAnsi="Arial" w:cs="Arial"/>
          <w:i w:val="0"/>
        </w:rPr>
      </w:pPr>
      <w:r w:rsidRPr="00E217AD">
        <w:rPr>
          <w:rFonts w:ascii="Arial" w:hAnsi="Arial" w:cs="Arial"/>
          <w:b/>
          <w:i w:val="0"/>
        </w:rPr>
        <w:t>Online tool k</w:t>
      </w:r>
      <w:r w:rsidR="00364EFF" w:rsidRPr="00E217AD">
        <w:rPr>
          <w:rFonts w:ascii="Arial" w:hAnsi="Arial" w:cs="Arial"/>
          <w:b/>
          <w:i w:val="0"/>
        </w:rPr>
        <w:t>it</w:t>
      </w:r>
      <w:r w:rsidR="00364EFF" w:rsidRPr="00364EFF">
        <w:rPr>
          <w:rFonts w:ascii="Arial" w:hAnsi="Arial" w:cs="Arial"/>
          <w:i w:val="0"/>
        </w:rPr>
        <w:t xml:space="preserve"> – online voter education and outreach materials in simplified language</w:t>
      </w:r>
    </w:p>
    <w:p w14:paraId="4DA59EB8" w14:textId="77777777" w:rsidR="00E217AD" w:rsidRPr="00E217AD" w:rsidRDefault="00E217AD" w:rsidP="00E217AD">
      <w:pPr>
        <w:pStyle w:val="BodyText"/>
        <w:jc w:val="both"/>
        <w:rPr>
          <w:rFonts w:ascii="Arial" w:hAnsi="Arial" w:cs="Arial"/>
          <w:i w:val="0"/>
        </w:rPr>
      </w:pPr>
    </w:p>
    <w:p w14:paraId="65C6E0FE" w14:textId="77777777" w:rsidR="00364EFF" w:rsidRDefault="00364EFF" w:rsidP="00E217AD">
      <w:pPr>
        <w:pStyle w:val="BodyText"/>
        <w:numPr>
          <w:ilvl w:val="0"/>
          <w:numId w:val="44"/>
        </w:numPr>
        <w:jc w:val="both"/>
        <w:rPr>
          <w:rFonts w:ascii="Arial" w:hAnsi="Arial" w:cs="Arial"/>
          <w:i w:val="0"/>
        </w:rPr>
      </w:pPr>
      <w:r w:rsidRPr="00E217AD">
        <w:rPr>
          <w:rFonts w:ascii="Arial" w:hAnsi="Arial" w:cs="Arial"/>
          <w:b/>
          <w:i w:val="0"/>
        </w:rPr>
        <w:t>Elections Ambassador Program</w:t>
      </w:r>
      <w:r w:rsidRPr="00364EFF">
        <w:rPr>
          <w:rFonts w:ascii="Arial" w:hAnsi="Arial" w:cs="Arial"/>
          <w:i w:val="0"/>
        </w:rPr>
        <w:t xml:space="preserve"> – recruitment and training of experienced civic activists from identified language communities "to assist Elections with interpretation and facilitation services"</w:t>
      </w:r>
    </w:p>
    <w:p w14:paraId="19B26A2F" w14:textId="77777777" w:rsidR="00E217AD" w:rsidRPr="00E217AD" w:rsidRDefault="00E217AD" w:rsidP="00E217AD">
      <w:pPr>
        <w:pStyle w:val="BodyText"/>
        <w:jc w:val="both"/>
        <w:rPr>
          <w:rFonts w:ascii="Arial" w:hAnsi="Arial" w:cs="Arial"/>
          <w:i w:val="0"/>
        </w:rPr>
      </w:pPr>
    </w:p>
    <w:p w14:paraId="6CA054DA" w14:textId="77777777" w:rsidR="00364EFF" w:rsidRPr="00364EFF" w:rsidRDefault="00364EFF" w:rsidP="00364EFF">
      <w:pPr>
        <w:pStyle w:val="BodyText"/>
        <w:ind w:left="720" w:hanging="360"/>
        <w:jc w:val="both"/>
        <w:rPr>
          <w:rFonts w:ascii="Arial" w:hAnsi="Arial" w:cs="Arial"/>
          <w:i w:val="0"/>
        </w:rPr>
      </w:pPr>
      <w:r w:rsidRPr="00364EFF">
        <w:rPr>
          <w:rFonts w:ascii="Arial" w:hAnsi="Arial" w:cs="Arial"/>
          <w:i w:val="0"/>
        </w:rPr>
        <w:t>4.</w:t>
      </w:r>
      <w:r w:rsidRPr="00364EFF">
        <w:rPr>
          <w:rFonts w:ascii="Arial" w:hAnsi="Arial" w:cs="Arial"/>
          <w:i w:val="0"/>
        </w:rPr>
        <w:tab/>
      </w:r>
      <w:r w:rsidRPr="00E217AD">
        <w:rPr>
          <w:rFonts w:ascii="Arial" w:hAnsi="Arial" w:cs="Arial"/>
          <w:b/>
          <w:i w:val="0"/>
        </w:rPr>
        <w:t>Civics engagement in schools</w:t>
      </w:r>
      <w:r w:rsidRPr="00364EFF">
        <w:rPr>
          <w:rFonts w:ascii="Arial" w:hAnsi="Arial" w:cs="Arial"/>
          <w:i w:val="0"/>
        </w:rPr>
        <w:t xml:space="preserve"> – support of mock election in Seattle School </w:t>
      </w:r>
      <w:r w:rsidR="001D4FDB">
        <w:rPr>
          <w:rFonts w:ascii="Arial" w:hAnsi="Arial" w:cs="Arial"/>
          <w:i w:val="0"/>
        </w:rPr>
        <w:t xml:space="preserve">District </w:t>
      </w:r>
      <w:r w:rsidRPr="00364EFF">
        <w:rPr>
          <w:rFonts w:ascii="Arial" w:hAnsi="Arial" w:cs="Arial"/>
          <w:i w:val="0"/>
        </w:rPr>
        <w:t>"to improve and empower all communities through an enhanced awareness of voting and participating in government"</w:t>
      </w:r>
    </w:p>
    <w:p w14:paraId="5DE42FD8" w14:textId="77777777" w:rsidR="00364EFF" w:rsidRPr="00364EFF" w:rsidRDefault="00364EFF" w:rsidP="00364EFF">
      <w:pPr>
        <w:pStyle w:val="BodyText"/>
        <w:jc w:val="both"/>
        <w:rPr>
          <w:rFonts w:ascii="Arial" w:hAnsi="Arial" w:cs="Arial"/>
          <w:i w:val="0"/>
        </w:rPr>
      </w:pPr>
    </w:p>
    <w:p w14:paraId="160C6D07" w14:textId="1A368AC0" w:rsidR="006028EB" w:rsidRPr="006028EB" w:rsidRDefault="006028EB" w:rsidP="00DA71B3">
      <w:pPr>
        <w:pStyle w:val="BodyText"/>
        <w:jc w:val="both"/>
        <w:rPr>
          <w:rFonts w:ascii="Arial" w:hAnsi="Arial" w:cs="Arial"/>
          <w:i w:val="0"/>
        </w:rPr>
      </w:pPr>
      <w:r>
        <w:rPr>
          <w:rFonts w:ascii="Arial" w:hAnsi="Arial" w:cs="Arial"/>
          <w:i w:val="0"/>
        </w:rPr>
        <w:t>Elections’ most recent ac</w:t>
      </w:r>
      <w:r w:rsidR="00751EA9">
        <w:rPr>
          <w:rFonts w:ascii="Arial" w:hAnsi="Arial" w:cs="Arial"/>
          <w:i w:val="0"/>
        </w:rPr>
        <w:t>tivities in the four categories listed</w:t>
      </w:r>
      <w:r>
        <w:rPr>
          <w:rFonts w:ascii="Arial" w:hAnsi="Arial" w:cs="Arial"/>
          <w:i w:val="0"/>
        </w:rPr>
        <w:t xml:space="preserve"> above are </w:t>
      </w:r>
      <w:r w:rsidR="00751EA9">
        <w:rPr>
          <w:rFonts w:ascii="Arial" w:hAnsi="Arial" w:cs="Arial"/>
          <w:i w:val="0"/>
        </w:rPr>
        <w:t>described</w:t>
      </w:r>
      <w:r>
        <w:rPr>
          <w:rFonts w:ascii="Arial" w:hAnsi="Arial" w:cs="Arial"/>
          <w:i w:val="0"/>
        </w:rPr>
        <w:t xml:space="preserve"> below.</w:t>
      </w:r>
    </w:p>
    <w:p w14:paraId="75BF6D2C" w14:textId="77777777" w:rsidR="006028EB" w:rsidRDefault="006028EB" w:rsidP="00DA71B3">
      <w:pPr>
        <w:pStyle w:val="BodyText"/>
        <w:jc w:val="both"/>
        <w:rPr>
          <w:rFonts w:ascii="Arial" w:hAnsi="Arial" w:cs="Arial"/>
          <w:b/>
          <w:i w:val="0"/>
        </w:rPr>
      </w:pPr>
    </w:p>
    <w:p w14:paraId="4BCC23B3" w14:textId="1E12CB8E" w:rsidR="00751EA9" w:rsidRDefault="00DA71B3" w:rsidP="00DA71B3">
      <w:pPr>
        <w:pStyle w:val="BodyText"/>
        <w:jc w:val="both"/>
        <w:rPr>
          <w:rFonts w:ascii="Arial" w:hAnsi="Arial" w:cs="Arial"/>
          <w:i w:val="0"/>
        </w:rPr>
      </w:pPr>
      <w:r w:rsidRPr="008C33E0">
        <w:rPr>
          <w:rFonts w:ascii="Arial" w:hAnsi="Arial" w:cs="Arial"/>
          <w:b/>
          <w:i w:val="0"/>
        </w:rPr>
        <w:t>Instructional Brochure.</w:t>
      </w:r>
      <w:r w:rsidR="00751EA9">
        <w:rPr>
          <w:rFonts w:ascii="Arial" w:hAnsi="Arial" w:cs="Arial"/>
          <w:i w:val="0"/>
        </w:rPr>
        <w:t xml:space="preserve">  </w:t>
      </w:r>
      <w:r w:rsidR="00C72CCA">
        <w:rPr>
          <w:rFonts w:ascii="Arial" w:hAnsi="Arial" w:cs="Arial"/>
          <w:i w:val="0"/>
        </w:rPr>
        <w:t>T</w:t>
      </w:r>
      <w:r w:rsidR="000B6410">
        <w:rPr>
          <w:rFonts w:ascii="Arial" w:hAnsi="Arial" w:cs="Arial"/>
          <w:i w:val="0"/>
        </w:rPr>
        <w:t xml:space="preserve">he second semiannual </w:t>
      </w:r>
      <w:r w:rsidR="00730B96">
        <w:rPr>
          <w:rFonts w:ascii="Arial" w:hAnsi="Arial" w:cs="Arial"/>
          <w:i w:val="0"/>
        </w:rPr>
        <w:t>LEP</w:t>
      </w:r>
      <w:r w:rsidR="009B06C3">
        <w:rPr>
          <w:rFonts w:ascii="Arial" w:hAnsi="Arial" w:cs="Arial"/>
          <w:i w:val="0"/>
        </w:rPr>
        <w:t xml:space="preserve"> Outreach</w:t>
      </w:r>
      <w:r w:rsidR="000B6410">
        <w:rPr>
          <w:rFonts w:ascii="Arial" w:hAnsi="Arial" w:cs="Arial"/>
          <w:i w:val="0"/>
        </w:rPr>
        <w:t xml:space="preserve"> </w:t>
      </w:r>
      <w:r w:rsidR="00751EA9">
        <w:rPr>
          <w:rFonts w:ascii="Arial" w:hAnsi="Arial" w:cs="Arial"/>
          <w:i w:val="0"/>
        </w:rPr>
        <w:t>R</w:t>
      </w:r>
      <w:r w:rsidR="000B6410">
        <w:rPr>
          <w:rFonts w:ascii="Arial" w:hAnsi="Arial" w:cs="Arial"/>
          <w:i w:val="0"/>
        </w:rPr>
        <w:t>eport</w:t>
      </w:r>
      <w:r w:rsidR="001723A6">
        <w:rPr>
          <w:rFonts w:ascii="Arial" w:hAnsi="Arial" w:cs="Arial"/>
          <w:i w:val="0"/>
        </w:rPr>
        <w:t>, approved by Motion 14579,</w:t>
      </w:r>
      <w:r w:rsidR="000B6410">
        <w:rPr>
          <w:rFonts w:ascii="Arial" w:hAnsi="Arial" w:cs="Arial"/>
          <w:i w:val="0"/>
        </w:rPr>
        <w:t xml:space="preserve"> reported that </w:t>
      </w:r>
      <w:r w:rsidR="00C72CCA">
        <w:rPr>
          <w:rFonts w:ascii="Arial" w:hAnsi="Arial" w:cs="Arial"/>
          <w:i w:val="0"/>
        </w:rPr>
        <w:t>Elections</w:t>
      </w:r>
      <w:r w:rsidR="000B6410">
        <w:rPr>
          <w:rFonts w:ascii="Arial" w:hAnsi="Arial" w:cs="Arial"/>
          <w:i w:val="0"/>
        </w:rPr>
        <w:t xml:space="preserve"> </w:t>
      </w:r>
      <w:r w:rsidRPr="00364EFF">
        <w:rPr>
          <w:rFonts w:ascii="Arial" w:hAnsi="Arial" w:cs="Arial"/>
          <w:i w:val="0"/>
        </w:rPr>
        <w:t>complet</w:t>
      </w:r>
      <w:r w:rsidR="000B6410">
        <w:rPr>
          <w:rFonts w:ascii="Arial" w:hAnsi="Arial" w:cs="Arial"/>
          <w:i w:val="0"/>
        </w:rPr>
        <w:t>ed the</w:t>
      </w:r>
      <w:r w:rsidRPr="00364EFF">
        <w:rPr>
          <w:rFonts w:ascii="Arial" w:hAnsi="Arial" w:cs="Arial"/>
          <w:i w:val="0"/>
        </w:rPr>
        <w:t xml:space="preserve"> development and translation of an inst</w:t>
      </w:r>
      <w:r w:rsidR="00751EA9">
        <w:rPr>
          <w:rFonts w:ascii="Arial" w:hAnsi="Arial" w:cs="Arial"/>
          <w:i w:val="0"/>
        </w:rPr>
        <w:t>ructional brochure and created</w:t>
      </w:r>
      <w:r w:rsidRPr="00364EFF">
        <w:rPr>
          <w:rFonts w:ascii="Arial" w:hAnsi="Arial" w:cs="Arial"/>
          <w:i w:val="0"/>
        </w:rPr>
        <w:t xml:space="preserve"> a web page f</w:t>
      </w:r>
      <w:r w:rsidR="005B4652">
        <w:rPr>
          <w:rFonts w:ascii="Arial" w:hAnsi="Arial" w:cs="Arial"/>
          <w:i w:val="0"/>
        </w:rPr>
        <w:t xml:space="preserve">or voter education and outreach. </w:t>
      </w:r>
      <w:r w:rsidR="00890A72">
        <w:rPr>
          <w:rFonts w:ascii="Arial" w:hAnsi="Arial" w:cs="Arial"/>
          <w:i w:val="0"/>
        </w:rPr>
        <w:t xml:space="preserve">For this reason, the </w:t>
      </w:r>
      <w:r w:rsidR="00C07CFC">
        <w:rPr>
          <w:rFonts w:ascii="Arial" w:hAnsi="Arial" w:cs="Arial"/>
          <w:i w:val="0"/>
        </w:rPr>
        <w:t xml:space="preserve">fourth </w:t>
      </w:r>
      <w:r w:rsidR="00890A72">
        <w:rPr>
          <w:rFonts w:ascii="Arial" w:hAnsi="Arial" w:cs="Arial"/>
          <w:i w:val="0"/>
        </w:rPr>
        <w:t xml:space="preserve">Report does not include an update on this item. </w:t>
      </w:r>
    </w:p>
    <w:p w14:paraId="3EC5B715" w14:textId="77777777" w:rsidR="007571F2" w:rsidRDefault="007571F2" w:rsidP="00DA71B3">
      <w:pPr>
        <w:pStyle w:val="BodyText"/>
        <w:jc w:val="both"/>
        <w:rPr>
          <w:rFonts w:ascii="Arial" w:hAnsi="Arial" w:cs="Arial"/>
          <w:i w:val="0"/>
        </w:rPr>
      </w:pPr>
    </w:p>
    <w:p w14:paraId="420D6869" w14:textId="7FBDC4DC" w:rsidR="00DA71B3" w:rsidRPr="005B4652" w:rsidRDefault="00DA71B3" w:rsidP="00DA71B3">
      <w:pPr>
        <w:pStyle w:val="BodyText"/>
        <w:jc w:val="both"/>
        <w:rPr>
          <w:rFonts w:ascii="Arial" w:hAnsi="Arial" w:cs="Arial"/>
          <w:i w:val="0"/>
        </w:rPr>
      </w:pPr>
      <w:r w:rsidRPr="00DA71B3">
        <w:rPr>
          <w:rFonts w:ascii="Arial" w:hAnsi="Arial" w:cs="Arial"/>
          <w:b/>
          <w:i w:val="0"/>
        </w:rPr>
        <w:t>Online Toolkit</w:t>
      </w:r>
      <w:r>
        <w:rPr>
          <w:rFonts w:ascii="Arial" w:hAnsi="Arial" w:cs="Arial"/>
          <w:b/>
          <w:i w:val="0"/>
        </w:rPr>
        <w:t>.</w:t>
      </w:r>
      <w:r w:rsidR="005B4652">
        <w:rPr>
          <w:rFonts w:ascii="Arial" w:hAnsi="Arial" w:cs="Arial"/>
          <w:b/>
          <w:i w:val="0"/>
        </w:rPr>
        <w:t xml:space="preserve">  </w:t>
      </w:r>
      <w:r w:rsidR="00C72CCA" w:rsidRPr="00342FFE">
        <w:rPr>
          <w:rFonts w:ascii="Arial" w:hAnsi="Arial" w:cs="Arial"/>
          <w:i w:val="0"/>
        </w:rPr>
        <w:t xml:space="preserve">The </w:t>
      </w:r>
      <w:r w:rsidR="00342FFE" w:rsidRPr="00342FFE">
        <w:rPr>
          <w:rFonts w:ascii="Arial" w:hAnsi="Arial" w:cs="Arial"/>
          <w:i w:val="0"/>
        </w:rPr>
        <w:t xml:space="preserve">third </w:t>
      </w:r>
      <w:r w:rsidR="007F4D35" w:rsidRPr="00342FFE">
        <w:rPr>
          <w:rFonts w:ascii="Arial" w:hAnsi="Arial" w:cs="Arial"/>
          <w:i w:val="0"/>
        </w:rPr>
        <w:t>semiannual</w:t>
      </w:r>
      <w:r w:rsidR="00342FFE" w:rsidRPr="00342FFE">
        <w:rPr>
          <w:rFonts w:ascii="Arial" w:hAnsi="Arial" w:cs="Arial"/>
          <w:i w:val="0"/>
        </w:rPr>
        <w:t xml:space="preserve"> LEP Outreach</w:t>
      </w:r>
      <w:r w:rsidR="00C3029E">
        <w:rPr>
          <w:rFonts w:ascii="Arial" w:hAnsi="Arial" w:cs="Arial"/>
          <w:i w:val="0"/>
        </w:rPr>
        <w:t xml:space="preserve"> </w:t>
      </w:r>
      <w:r w:rsidR="0027194C" w:rsidRPr="00342FFE">
        <w:rPr>
          <w:rFonts w:ascii="Arial" w:hAnsi="Arial" w:cs="Arial"/>
          <w:i w:val="0"/>
        </w:rPr>
        <w:t>R</w:t>
      </w:r>
      <w:r w:rsidR="00C72CCA" w:rsidRPr="00342FFE">
        <w:rPr>
          <w:rFonts w:ascii="Arial" w:hAnsi="Arial" w:cs="Arial"/>
          <w:i w:val="0"/>
        </w:rPr>
        <w:t>eport</w:t>
      </w:r>
      <w:r w:rsidR="00342FFE" w:rsidRPr="00342FFE">
        <w:rPr>
          <w:rFonts w:ascii="Arial" w:hAnsi="Arial" w:cs="Arial"/>
          <w:i w:val="0"/>
        </w:rPr>
        <w:t xml:space="preserve">, approved by Motion </w:t>
      </w:r>
      <w:r w:rsidR="00A8264F" w:rsidRPr="00A8264F">
        <w:rPr>
          <w:rFonts w:ascii="Arial" w:hAnsi="Arial" w:cs="Arial"/>
          <w:i w:val="0"/>
        </w:rPr>
        <w:t>1</w:t>
      </w:r>
      <w:r w:rsidR="00A8264F">
        <w:rPr>
          <w:rFonts w:ascii="Arial" w:hAnsi="Arial" w:cs="Arial"/>
          <w:i w:val="0"/>
        </w:rPr>
        <w:t>4704</w:t>
      </w:r>
      <w:r w:rsidR="00342FFE" w:rsidRPr="00342FFE">
        <w:rPr>
          <w:rFonts w:ascii="Arial" w:hAnsi="Arial" w:cs="Arial"/>
          <w:i w:val="0"/>
        </w:rPr>
        <w:t>, highlighted</w:t>
      </w:r>
      <w:r w:rsidR="005B4652" w:rsidRPr="00342FFE">
        <w:rPr>
          <w:rFonts w:ascii="Arial" w:hAnsi="Arial" w:cs="Arial"/>
          <w:i w:val="0"/>
        </w:rPr>
        <w:t xml:space="preserve"> </w:t>
      </w:r>
      <w:r w:rsidR="00C72CCA" w:rsidRPr="00342FFE">
        <w:rPr>
          <w:rFonts w:ascii="Arial" w:hAnsi="Arial" w:cs="Arial"/>
          <w:i w:val="0"/>
        </w:rPr>
        <w:t>Elections’</w:t>
      </w:r>
      <w:r w:rsidR="007571F2" w:rsidRPr="00342FFE">
        <w:rPr>
          <w:rFonts w:ascii="Arial" w:hAnsi="Arial" w:cs="Arial"/>
          <w:i w:val="0"/>
        </w:rPr>
        <w:t xml:space="preserve"> expanded online translation materials. For example, </w:t>
      </w:r>
      <w:r w:rsidR="00624FE1" w:rsidRPr="00342FFE">
        <w:rPr>
          <w:rFonts w:ascii="Arial" w:hAnsi="Arial" w:cs="Arial"/>
          <w:i w:val="0"/>
        </w:rPr>
        <w:t>voters will have the opportunity to complete a language preference form online to receive their ballot materials in Chinese, Vietnamese, Korean and Spanish.</w:t>
      </w:r>
      <w:r w:rsidR="00342FFE">
        <w:rPr>
          <w:rFonts w:ascii="Arial" w:hAnsi="Arial" w:cs="Arial"/>
          <w:i w:val="0"/>
        </w:rPr>
        <w:t xml:space="preserve"> According to Elections’ fourth Report, there are </w:t>
      </w:r>
      <w:r w:rsidR="003A0EF6">
        <w:rPr>
          <w:rFonts w:ascii="Arial" w:hAnsi="Arial" w:cs="Arial"/>
          <w:i w:val="0"/>
        </w:rPr>
        <w:t xml:space="preserve">no </w:t>
      </w:r>
      <w:r w:rsidR="00342FFE">
        <w:rPr>
          <w:rFonts w:ascii="Arial" w:hAnsi="Arial" w:cs="Arial"/>
          <w:i w:val="0"/>
        </w:rPr>
        <w:t>new developments since the last report.</w:t>
      </w:r>
    </w:p>
    <w:p w14:paraId="176B5E70" w14:textId="77777777" w:rsidR="00364EFF" w:rsidRDefault="00364EFF" w:rsidP="005B478C">
      <w:pPr>
        <w:pStyle w:val="BodyText"/>
        <w:jc w:val="both"/>
        <w:rPr>
          <w:rFonts w:ascii="Arial" w:hAnsi="Arial" w:cs="Arial"/>
          <w:i w:val="0"/>
        </w:rPr>
      </w:pPr>
    </w:p>
    <w:p w14:paraId="0D129D72" w14:textId="361DD83A" w:rsidR="00771193" w:rsidRPr="00C07CFC" w:rsidRDefault="00364EFF" w:rsidP="00771193">
      <w:pPr>
        <w:pStyle w:val="BodyText"/>
        <w:jc w:val="both"/>
        <w:rPr>
          <w:rFonts w:ascii="Arial" w:hAnsi="Arial" w:cs="Arial"/>
          <w:i w:val="0"/>
        </w:rPr>
      </w:pPr>
      <w:r w:rsidRPr="008C33E0">
        <w:rPr>
          <w:rFonts w:ascii="Arial" w:hAnsi="Arial" w:cs="Arial"/>
          <w:b/>
          <w:i w:val="0"/>
        </w:rPr>
        <w:t>Elections Ambassador Program</w:t>
      </w:r>
      <w:r w:rsidR="008C33E0">
        <w:rPr>
          <w:rFonts w:ascii="Arial" w:hAnsi="Arial" w:cs="Arial"/>
          <w:b/>
          <w:i w:val="0"/>
        </w:rPr>
        <w:t>.</w:t>
      </w:r>
      <w:r w:rsidR="008C33E0">
        <w:rPr>
          <w:rFonts w:ascii="Arial" w:hAnsi="Arial" w:cs="Arial"/>
          <w:i w:val="0"/>
        </w:rPr>
        <w:t xml:space="preserve"> </w:t>
      </w:r>
      <w:r w:rsidR="00624FE1">
        <w:rPr>
          <w:rFonts w:ascii="Arial" w:hAnsi="Arial" w:cs="Arial"/>
          <w:i w:val="0"/>
        </w:rPr>
        <w:t xml:space="preserve"> </w:t>
      </w:r>
      <w:r w:rsidR="00730B96" w:rsidRPr="00342FFE">
        <w:rPr>
          <w:rFonts w:ascii="Arial" w:hAnsi="Arial" w:cs="Arial"/>
          <w:i w:val="0"/>
        </w:rPr>
        <w:t xml:space="preserve">The </w:t>
      </w:r>
      <w:r w:rsidR="00771193" w:rsidRPr="00342FFE">
        <w:rPr>
          <w:rFonts w:ascii="Arial" w:hAnsi="Arial" w:cs="Arial"/>
          <w:i w:val="0"/>
        </w:rPr>
        <w:t>fourth</w:t>
      </w:r>
      <w:r w:rsidR="00D62AE1" w:rsidRPr="00342FFE">
        <w:rPr>
          <w:rFonts w:ascii="Arial" w:hAnsi="Arial" w:cs="Arial"/>
          <w:i w:val="0"/>
        </w:rPr>
        <w:t xml:space="preserve"> </w:t>
      </w:r>
      <w:r w:rsidR="00342FFE" w:rsidRPr="00342FFE">
        <w:rPr>
          <w:rFonts w:ascii="Arial" w:hAnsi="Arial" w:cs="Arial"/>
          <w:i w:val="0"/>
        </w:rPr>
        <w:t xml:space="preserve">Report notes that Elections has hired four community ambassadors to serve as liaisons and technical resources to Ethiopian, Filipino, Russian and </w:t>
      </w:r>
      <w:proofErr w:type="spellStart"/>
      <w:r w:rsidR="00342FFE" w:rsidRPr="00342FFE">
        <w:rPr>
          <w:rFonts w:ascii="Arial" w:hAnsi="Arial" w:cs="Arial"/>
          <w:i w:val="0"/>
        </w:rPr>
        <w:t>Ukranian</w:t>
      </w:r>
      <w:proofErr w:type="spellEnd"/>
      <w:r w:rsidR="00342FFE" w:rsidRPr="00342FFE">
        <w:rPr>
          <w:rFonts w:ascii="Arial" w:hAnsi="Arial" w:cs="Arial"/>
          <w:i w:val="0"/>
        </w:rPr>
        <w:t>, and Samoan communities.</w:t>
      </w:r>
    </w:p>
    <w:p w14:paraId="771179A5" w14:textId="77777777" w:rsidR="00636C7D" w:rsidRDefault="00636C7D" w:rsidP="005B478C">
      <w:pPr>
        <w:pStyle w:val="BodyText"/>
        <w:jc w:val="both"/>
        <w:rPr>
          <w:rFonts w:ascii="Arial" w:hAnsi="Arial" w:cs="Arial"/>
          <w:i w:val="0"/>
        </w:rPr>
      </w:pPr>
    </w:p>
    <w:p w14:paraId="747498BD" w14:textId="3E9D897F" w:rsidR="00E9109E" w:rsidRDefault="00E9109E" w:rsidP="005B478C">
      <w:pPr>
        <w:pStyle w:val="BodyText"/>
        <w:jc w:val="both"/>
        <w:rPr>
          <w:rFonts w:ascii="Arial" w:hAnsi="Arial" w:cs="Arial"/>
          <w:i w:val="0"/>
        </w:rPr>
      </w:pPr>
      <w:r w:rsidRPr="00E9109E">
        <w:rPr>
          <w:rFonts w:ascii="Arial" w:hAnsi="Arial" w:cs="Arial"/>
          <w:b/>
          <w:i w:val="0"/>
        </w:rPr>
        <w:t>Partnerships with Community-Based Organizations.</w:t>
      </w:r>
      <w:r>
        <w:rPr>
          <w:rFonts w:ascii="Arial" w:hAnsi="Arial" w:cs="Arial"/>
          <w:i w:val="0"/>
        </w:rPr>
        <w:t xml:space="preserve">  </w:t>
      </w:r>
      <w:r w:rsidRPr="009B303D">
        <w:rPr>
          <w:rFonts w:ascii="Arial" w:hAnsi="Arial" w:cs="Arial"/>
          <w:i w:val="0"/>
        </w:rPr>
        <w:t xml:space="preserve">In addition to the required reporting categories, the </w:t>
      </w:r>
      <w:r w:rsidR="00771193" w:rsidRPr="009B303D">
        <w:rPr>
          <w:rFonts w:ascii="Arial" w:hAnsi="Arial" w:cs="Arial"/>
          <w:i w:val="0"/>
        </w:rPr>
        <w:t>fourth</w:t>
      </w:r>
      <w:r w:rsidR="00DF6228" w:rsidRPr="009B303D">
        <w:rPr>
          <w:rFonts w:ascii="Arial" w:hAnsi="Arial" w:cs="Arial"/>
          <w:i w:val="0"/>
        </w:rPr>
        <w:t xml:space="preserve"> </w:t>
      </w:r>
      <w:r w:rsidRPr="009B303D">
        <w:rPr>
          <w:rFonts w:ascii="Arial" w:hAnsi="Arial" w:cs="Arial"/>
          <w:i w:val="0"/>
        </w:rPr>
        <w:t xml:space="preserve">Report describes Elections’ new activities in partnering with community-based organizations. </w:t>
      </w:r>
      <w:r w:rsidR="00342FFE" w:rsidRPr="009B303D">
        <w:rPr>
          <w:rFonts w:ascii="Arial" w:hAnsi="Arial" w:cs="Arial"/>
          <w:i w:val="0"/>
        </w:rPr>
        <w:t>The fourth</w:t>
      </w:r>
      <w:r w:rsidR="00D62AE1" w:rsidRPr="009B303D">
        <w:rPr>
          <w:rFonts w:ascii="Arial" w:hAnsi="Arial" w:cs="Arial"/>
          <w:i w:val="0"/>
        </w:rPr>
        <w:t xml:space="preserve"> Report </w:t>
      </w:r>
      <w:r w:rsidR="00C836A9" w:rsidRPr="009B303D">
        <w:rPr>
          <w:rFonts w:ascii="Arial" w:hAnsi="Arial" w:cs="Arial"/>
          <w:i w:val="0"/>
        </w:rPr>
        <w:t>state</w:t>
      </w:r>
      <w:r w:rsidR="00D62AE1" w:rsidRPr="009B303D">
        <w:rPr>
          <w:rFonts w:ascii="Arial" w:hAnsi="Arial" w:cs="Arial"/>
          <w:i w:val="0"/>
        </w:rPr>
        <w:t>s</w:t>
      </w:r>
      <w:r w:rsidRPr="009B303D">
        <w:rPr>
          <w:rFonts w:ascii="Arial" w:hAnsi="Arial" w:cs="Arial"/>
          <w:i w:val="0"/>
        </w:rPr>
        <w:t xml:space="preserve"> that</w:t>
      </w:r>
      <w:r w:rsidR="00D62AE1" w:rsidRPr="009B303D">
        <w:rPr>
          <w:rFonts w:ascii="Arial" w:hAnsi="Arial" w:cs="Arial"/>
          <w:i w:val="0"/>
        </w:rPr>
        <w:t>,</w:t>
      </w:r>
      <w:r w:rsidR="00342FFE" w:rsidRPr="009B303D">
        <w:rPr>
          <w:rFonts w:ascii="Arial" w:hAnsi="Arial" w:cs="Arial"/>
          <w:i w:val="0"/>
        </w:rPr>
        <w:t xml:space="preserve"> with</w:t>
      </w:r>
      <w:r w:rsidRPr="009B303D">
        <w:rPr>
          <w:rFonts w:ascii="Arial" w:hAnsi="Arial" w:cs="Arial"/>
          <w:i w:val="0"/>
        </w:rPr>
        <w:t xml:space="preserve"> funding </w:t>
      </w:r>
      <w:r w:rsidRPr="009B303D">
        <w:rPr>
          <w:rFonts w:ascii="Arial" w:hAnsi="Arial" w:cs="Arial"/>
          <w:i w:val="0"/>
        </w:rPr>
        <w:lastRenderedPageBreak/>
        <w:t xml:space="preserve">approved by the Council in 2016 (Ordinance 18239), </w:t>
      </w:r>
      <w:r w:rsidR="00D62AE1" w:rsidRPr="009B303D">
        <w:rPr>
          <w:rFonts w:ascii="Arial" w:hAnsi="Arial" w:cs="Arial"/>
          <w:i w:val="0"/>
        </w:rPr>
        <w:t>Elections has</w:t>
      </w:r>
      <w:r w:rsidRPr="009B303D">
        <w:rPr>
          <w:rFonts w:ascii="Arial" w:hAnsi="Arial" w:cs="Arial"/>
          <w:i w:val="0"/>
        </w:rPr>
        <w:t xml:space="preserve"> launched </w:t>
      </w:r>
      <w:r w:rsidR="0027307C" w:rsidRPr="009B303D">
        <w:rPr>
          <w:rFonts w:ascii="Arial" w:hAnsi="Arial" w:cs="Arial"/>
          <w:i w:val="0"/>
        </w:rPr>
        <w:t>its</w:t>
      </w:r>
      <w:r w:rsidRPr="009B303D">
        <w:rPr>
          <w:rFonts w:ascii="Arial" w:hAnsi="Arial" w:cs="Arial"/>
          <w:i w:val="0"/>
        </w:rPr>
        <w:t xml:space="preserve"> community partnership pilot program that </w:t>
      </w:r>
      <w:r w:rsidR="0027307C" w:rsidRPr="009B303D">
        <w:rPr>
          <w:rFonts w:ascii="Arial" w:hAnsi="Arial" w:cs="Arial"/>
          <w:i w:val="0"/>
        </w:rPr>
        <w:t>awarded</w:t>
      </w:r>
      <w:r w:rsidRPr="009B303D">
        <w:rPr>
          <w:rFonts w:ascii="Arial" w:hAnsi="Arial" w:cs="Arial"/>
          <w:i w:val="0"/>
        </w:rPr>
        <w:t xml:space="preserve"> </w:t>
      </w:r>
      <w:r w:rsidR="00DF6228" w:rsidRPr="009B303D">
        <w:rPr>
          <w:rFonts w:ascii="Arial" w:hAnsi="Arial" w:cs="Arial"/>
          <w:i w:val="0"/>
        </w:rPr>
        <w:t xml:space="preserve">funding to </w:t>
      </w:r>
      <w:r w:rsidR="0027307C" w:rsidRPr="009B303D">
        <w:rPr>
          <w:rFonts w:ascii="Arial" w:hAnsi="Arial" w:cs="Arial"/>
          <w:i w:val="0"/>
        </w:rPr>
        <w:t xml:space="preserve">22 </w:t>
      </w:r>
      <w:r w:rsidRPr="009B303D">
        <w:rPr>
          <w:rFonts w:ascii="Arial" w:hAnsi="Arial" w:cs="Arial"/>
          <w:i w:val="0"/>
        </w:rPr>
        <w:t>community-based organizations</w:t>
      </w:r>
      <w:r w:rsidR="00DF6228" w:rsidRPr="009B303D">
        <w:rPr>
          <w:rFonts w:ascii="Arial" w:hAnsi="Arial" w:cs="Arial"/>
          <w:i w:val="0"/>
        </w:rPr>
        <w:t xml:space="preserve"> </w:t>
      </w:r>
      <w:r w:rsidRPr="009B303D">
        <w:rPr>
          <w:rFonts w:ascii="Arial" w:hAnsi="Arial" w:cs="Arial"/>
          <w:i w:val="0"/>
        </w:rPr>
        <w:t>through a competitive process</w:t>
      </w:r>
      <w:r w:rsidR="00DF6228" w:rsidRPr="009B303D">
        <w:rPr>
          <w:rFonts w:ascii="Arial" w:hAnsi="Arial" w:cs="Arial"/>
          <w:i w:val="0"/>
        </w:rPr>
        <w:t>,</w:t>
      </w:r>
      <w:r w:rsidRPr="009B303D">
        <w:rPr>
          <w:rFonts w:ascii="Arial" w:hAnsi="Arial" w:cs="Arial"/>
          <w:i w:val="0"/>
        </w:rPr>
        <w:t xml:space="preserve"> </w:t>
      </w:r>
      <w:r w:rsidR="00DF6228" w:rsidRPr="009B303D">
        <w:rPr>
          <w:rFonts w:ascii="Arial" w:hAnsi="Arial" w:cs="Arial"/>
          <w:i w:val="0"/>
        </w:rPr>
        <w:t xml:space="preserve">in order </w:t>
      </w:r>
      <w:r w:rsidRPr="009B303D">
        <w:rPr>
          <w:rFonts w:ascii="Arial" w:hAnsi="Arial" w:cs="Arial"/>
          <w:i w:val="0"/>
        </w:rPr>
        <w:t>to provide voter outreach in various languages.</w:t>
      </w:r>
      <w:r w:rsidRPr="009B303D">
        <w:rPr>
          <w:rStyle w:val="FootnoteReference"/>
          <w:rFonts w:ascii="Arial" w:hAnsi="Arial" w:cs="Arial"/>
          <w:i w:val="0"/>
        </w:rPr>
        <w:footnoteReference w:id="1"/>
      </w:r>
    </w:p>
    <w:p w14:paraId="5FC0FA53" w14:textId="77777777" w:rsidR="00B57F82" w:rsidRDefault="00B57F82" w:rsidP="005B478C">
      <w:pPr>
        <w:pStyle w:val="BodyText"/>
        <w:jc w:val="both"/>
        <w:rPr>
          <w:rFonts w:ascii="Arial" w:hAnsi="Arial" w:cs="Arial"/>
          <w:i w:val="0"/>
        </w:rPr>
      </w:pPr>
    </w:p>
    <w:p w14:paraId="09503911" w14:textId="0835E8F6" w:rsidR="00B57F82" w:rsidRDefault="00B57F82" w:rsidP="005B478C">
      <w:pPr>
        <w:pStyle w:val="BodyText"/>
        <w:jc w:val="both"/>
        <w:rPr>
          <w:rFonts w:ascii="Arial" w:hAnsi="Arial" w:cs="Arial"/>
          <w:i w:val="0"/>
        </w:rPr>
      </w:pPr>
      <w:r>
        <w:rPr>
          <w:rFonts w:ascii="Arial" w:hAnsi="Arial" w:cs="Arial"/>
          <w:i w:val="0"/>
        </w:rPr>
        <w:t xml:space="preserve">The fourth Report indicates that the community-based organizations held over 75 events in the targeted communities. Table 1 below illustrates the </w:t>
      </w:r>
      <w:r w:rsidR="00073AF6">
        <w:rPr>
          <w:rFonts w:ascii="Arial" w:hAnsi="Arial" w:cs="Arial"/>
          <w:i w:val="0"/>
        </w:rPr>
        <w:t xml:space="preserve">data by </w:t>
      </w:r>
      <w:r>
        <w:rPr>
          <w:rFonts w:ascii="Arial" w:hAnsi="Arial" w:cs="Arial"/>
          <w:i w:val="0"/>
        </w:rPr>
        <w:t>language</w:t>
      </w:r>
      <w:r w:rsidR="00585F26">
        <w:rPr>
          <w:rFonts w:ascii="Arial" w:hAnsi="Arial" w:cs="Arial"/>
          <w:i w:val="0"/>
        </w:rPr>
        <w:t xml:space="preserve"> (other than English)</w:t>
      </w:r>
      <w:r>
        <w:rPr>
          <w:rFonts w:ascii="Arial" w:hAnsi="Arial" w:cs="Arial"/>
          <w:i w:val="0"/>
        </w:rPr>
        <w:t xml:space="preserve"> reported collectively, by the organizations.</w:t>
      </w:r>
      <w:r w:rsidR="00B65EF6">
        <w:rPr>
          <w:rFonts w:ascii="Arial" w:hAnsi="Arial" w:cs="Arial"/>
          <w:i w:val="0"/>
        </w:rPr>
        <w:t xml:space="preserve"> The data in the table provides the number of new voter registrations based on the preferred language requested to receive voting materials. It also shows the number of language preference cards that were completed by existing registered voters. The language preference cards allows registered voters to request voting materials in their preferred language, if available. </w:t>
      </w:r>
    </w:p>
    <w:p w14:paraId="46E7F168" w14:textId="77777777" w:rsidR="00B57F82" w:rsidRDefault="00B57F82" w:rsidP="005B478C">
      <w:pPr>
        <w:pStyle w:val="BodyText"/>
        <w:jc w:val="both"/>
        <w:rPr>
          <w:rFonts w:ascii="Arial" w:hAnsi="Arial" w:cs="Arial"/>
          <w:i w:val="0"/>
        </w:rPr>
      </w:pPr>
    </w:p>
    <w:p w14:paraId="6466B828" w14:textId="5FF3AD28" w:rsidR="00B57F82" w:rsidRPr="00B57F82" w:rsidRDefault="00073AF6" w:rsidP="00B57F82">
      <w:pPr>
        <w:pStyle w:val="BodyText"/>
        <w:jc w:val="center"/>
        <w:rPr>
          <w:rFonts w:ascii="Arial" w:hAnsi="Arial" w:cs="Arial"/>
          <w:b/>
          <w:i w:val="0"/>
        </w:rPr>
      </w:pPr>
      <w:r>
        <w:rPr>
          <w:rFonts w:ascii="Arial" w:hAnsi="Arial" w:cs="Arial"/>
          <w:b/>
          <w:i w:val="0"/>
        </w:rPr>
        <w:t>Table 1. Voter Outrea</w:t>
      </w:r>
      <w:r w:rsidR="00B57F82" w:rsidRPr="00B57F82">
        <w:rPr>
          <w:rFonts w:ascii="Arial" w:hAnsi="Arial" w:cs="Arial"/>
          <w:b/>
          <w:i w:val="0"/>
        </w:rPr>
        <w:t>ch Data by Language</w:t>
      </w:r>
    </w:p>
    <w:p w14:paraId="766B0111" w14:textId="77777777" w:rsidR="00B57F82" w:rsidRDefault="00B57F82" w:rsidP="005B478C">
      <w:pPr>
        <w:pStyle w:val="BodyText"/>
        <w:jc w:val="both"/>
        <w:rPr>
          <w:rFonts w:ascii="Arial" w:hAnsi="Arial" w:cs="Arial"/>
          <w:i w:val="0"/>
        </w:rPr>
      </w:pPr>
    </w:p>
    <w:tbl>
      <w:tblPr>
        <w:tblStyle w:val="TableGrid"/>
        <w:tblW w:w="0" w:type="auto"/>
        <w:jc w:val="center"/>
        <w:tblLook w:val="04A0" w:firstRow="1" w:lastRow="0" w:firstColumn="1" w:lastColumn="0" w:noHBand="0" w:noVBand="1"/>
      </w:tblPr>
      <w:tblGrid>
        <w:gridCol w:w="1931"/>
        <w:gridCol w:w="1931"/>
        <w:gridCol w:w="2275"/>
      </w:tblGrid>
      <w:tr w:rsidR="00B57F82" w14:paraId="011022DE" w14:textId="77777777" w:rsidTr="00B65EF6">
        <w:trPr>
          <w:trHeight w:val="293"/>
          <w:jc w:val="center"/>
        </w:trPr>
        <w:tc>
          <w:tcPr>
            <w:tcW w:w="1931" w:type="dxa"/>
            <w:shd w:val="clear" w:color="auto" w:fill="000000" w:themeFill="text1"/>
            <w:vAlign w:val="center"/>
          </w:tcPr>
          <w:p w14:paraId="41F6D041" w14:textId="35B20F2E" w:rsidR="00B57F82" w:rsidRPr="00B57F82" w:rsidRDefault="00B57F82" w:rsidP="00B57F82">
            <w:pPr>
              <w:pStyle w:val="BodyText"/>
              <w:jc w:val="center"/>
              <w:rPr>
                <w:rFonts w:ascii="Arial" w:hAnsi="Arial" w:cs="Arial"/>
                <w:b/>
                <w:i w:val="0"/>
              </w:rPr>
            </w:pPr>
            <w:r w:rsidRPr="00B57F82">
              <w:rPr>
                <w:rFonts w:ascii="Arial" w:hAnsi="Arial" w:cs="Arial"/>
                <w:b/>
                <w:i w:val="0"/>
              </w:rPr>
              <w:t>Language</w:t>
            </w:r>
          </w:p>
        </w:tc>
        <w:tc>
          <w:tcPr>
            <w:tcW w:w="1931" w:type="dxa"/>
            <w:shd w:val="clear" w:color="auto" w:fill="000000" w:themeFill="text1"/>
            <w:vAlign w:val="center"/>
          </w:tcPr>
          <w:p w14:paraId="34A015B2" w14:textId="6E592D8B" w:rsidR="00B57F82" w:rsidRPr="00B57F82" w:rsidRDefault="00B65EF6" w:rsidP="00B57F82">
            <w:pPr>
              <w:pStyle w:val="BodyText"/>
              <w:jc w:val="center"/>
              <w:rPr>
                <w:rFonts w:ascii="Arial" w:hAnsi="Arial" w:cs="Arial"/>
                <w:b/>
                <w:i w:val="0"/>
              </w:rPr>
            </w:pPr>
            <w:r>
              <w:rPr>
                <w:rFonts w:ascii="Arial" w:hAnsi="Arial" w:cs="Arial"/>
                <w:b/>
                <w:i w:val="0"/>
              </w:rPr>
              <w:t xml:space="preserve">Number of </w:t>
            </w:r>
            <w:r w:rsidR="00B57F82" w:rsidRPr="00B57F82">
              <w:rPr>
                <w:rFonts w:ascii="Arial" w:hAnsi="Arial" w:cs="Arial"/>
                <w:b/>
                <w:i w:val="0"/>
              </w:rPr>
              <w:t>New Voter Registrations</w:t>
            </w:r>
          </w:p>
        </w:tc>
        <w:tc>
          <w:tcPr>
            <w:tcW w:w="2275" w:type="dxa"/>
            <w:shd w:val="clear" w:color="auto" w:fill="000000" w:themeFill="text1"/>
            <w:vAlign w:val="center"/>
          </w:tcPr>
          <w:p w14:paraId="7C6D1D76" w14:textId="05CE6451" w:rsidR="00B57F82" w:rsidRPr="00B57F82" w:rsidRDefault="00B65EF6" w:rsidP="00B57F82">
            <w:pPr>
              <w:pStyle w:val="BodyText"/>
              <w:jc w:val="center"/>
              <w:rPr>
                <w:rFonts w:ascii="Arial" w:hAnsi="Arial" w:cs="Arial"/>
                <w:b/>
                <w:i w:val="0"/>
              </w:rPr>
            </w:pPr>
            <w:r>
              <w:rPr>
                <w:rFonts w:ascii="Arial" w:hAnsi="Arial" w:cs="Arial"/>
                <w:b/>
                <w:i w:val="0"/>
              </w:rPr>
              <w:t xml:space="preserve">Number of </w:t>
            </w:r>
            <w:r w:rsidR="00B57F82" w:rsidRPr="00B57F82">
              <w:rPr>
                <w:rFonts w:ascii="Arial" w:hAnsi="Arial" w:cs="Arial"/>
                <w:b/>
                <w:i w:val="0"/>
              </w:rPr>
              <w:t>Language Preference</w:t>
            </w:r>
            <w:r>
              <w:rPr>
                <w:rFonts w:ascii="Arial" w:hAnsi="Arial" w:cs="Arial"/>
                <w:b/>
                <w:i w:val="0"/>
              </w:rPr>
              <w:t xml:space="preserve"> Cards</w:t>
            </w:r>
          </w:p>
        </w:tc>
      </w:tr>
      <w:tr w:rsidR="00B57F82" w:rsidRPr="00B57F82" w14:paraId="6E4B0A54" w14:textId="77777777" w:rsidTr="00B65EF6">
        <w:trPr>
          <w:trHeight w:val="293"/>
          <w:jc w:val="center"/>
        </w:trPr>
        <w:tc>
          <w:tcPr>
            <w:tcW w:w="1931" w:type="dxa"/>
            <w:vAlign w:val="center"/>
          </w:tcPr>
          <w:p w14:paraId="631660CF" w14:textId="2E2594E9" w:rsidR="00B57F82" w:rsidRDefault="00B57F82" w:rsidP="00B57F82">
            <w:pPr>
              <w:pStyle w:val="BodyText"/>
              <w:rPr>
                <w:rFonts w:ascii="Arial" w:hAnsi="Arial" w:cs="Arial"/>
                <w:i w:val="0"/>
              </w:rPr>
            </w:pPr>
            <w:r>
              <w:rPr>
                <w:rFonts w:ascii="Arial" w:hAnsi="Arial" w:cs="Arial"/>
                <w:i w:val="0"/>
              </w:rPr>
              <w:t>Chinese</w:t>
            </w:r>
          </w:p>
        </w:tc>
        <w:tc>
          <w:tcPr>
            <w:tcW w:w="1931" w:type="dxa"/>
            <w:vAlign w:val="center"/>
          </w:tcPr>
          <w:p w14:paraId="6C8CCDF3" w14:textId="72CE7885" w:rsidR="00B57F82" w:rsidRDefault="00B57F82" w:rsidP="00B57F82">
            <w:pPr>
              <w:pStyle w:val="BodyText"/>
              <w:jc w:val="center"/>
              <w:rPr>
                <w:rFonts w:ascii="Arial" w:hAnsi="Arial" w:cs="Arial"/>
                <w:i w:val="0"/>
              </w:rPr>
            </w:pPr>
            <w:r>
              <w:rPr>
                <w:rFonts w:ascii="Arial" w:hAnsi="Arial" w:cs="Arial"/>
                <w:i w:val="0"/>
              </w:rPr>
              <w:t>283</w:t>
            </w:r>
          </w:p>
        </w:tc>
        <w:tc>
          <w:tcPr>
            <w:tcW w:w="2275" w:type="dxa"/>
            <w:vAlign w:val="center"/>
          </w:tcPr>
          <w:p w14:paraId="70C5C608" w14:textId="75F28A43" w:rsidR="00B57F82" w:rsidRDefault="00B57F82" w:rsidP="00B57F82">
            <w:pPr>
              <w:pStyle w:val="BodyText"/>
              <w:jc w:val="center"/>
              <w:rPr>
                <w:rFonts w:ascii="Arial" w:hAnsi="Arial" w:cs="Arial"/>
                <w:i w:val="0"/>
              </w:rPr>
            </w:pPr>
            <w:r>
              <w:rPr>
                <w:rFonts w:ascii="Arial" w:hAnsi="Arial" w:cs="Arial"/>
                <w:i w:val="0"/>
              </w:rPr>
              <w:t>99</w:t>
            </w:r>
          </w:p>
        </w:tc>
      </w:tr>
      <w:tr w:rsidR="00B57F82" w:rsidRPr="00B57F82" w14:paraId="4A0F947A" w14:textId="77777777" w:rsidTr="00B65EF6">
        <w:trPr>
          <w:trHeight w:val="293"/>
          <w:jc w:val="center"/>
        </w:trPr>
        <w:tc>
          <w:tcPr>
            <w:tcW w:w="1931" w:type="dxa"/>
            <w:vAlign w:val="center"/>
          </w:tcPr>
          <w:p w14:paraId="4FD8283C" w14:textId="74AF2798" w:rsidR="00B57F82" w:rsidRDefault="00B57F82" w:rsidP="00B57F82">
            <w:pPr>
              <w:pStyle w:val="BodyText"/>
              <w:rPr>
                <w:rFonts w:ascii="Arial" w:hAnsi="Arial" w:cs="Arial"/>
                <w:i w:val="0"/>
              </w:rPr>
            </w:pPr>
            <w:r>
              <w:rPr>
                <w:rFonts w:ascii="Arial" w:hAnsi="Arial" w:cs="Arial"/>
                <w:i w:val="0"/>
              </w:rPr>
              <w:t>Korean</w:t>
            </w:r>
          </w:p>
        </w:tc>
        <w:tc>
          <w:tcPr>
            <w:tcW w:w="1931" w:type="dxa"/>
            <w:vAlign w:val="center"/>
          </w:tcPr>
          <w:p w14:paraId="328C590B" w14:textId="7E8EEAC6" w:rsidR="00B57F82" w:rsidRDefault="00B57F82" w:rsidP="00B57F82">
            <w:pPr>
              <w:pStyle w:val="BodyText"/>
              <w:jc w:val="center"/>
              <w:rPr>
                <w:rFonts w:ascii="Arial" w:hAnsi="Arial" w:cs="Arial"/>
                <w:i w:val="0"/>
              </w:rPr>
            </w:pPr>
            <w:r>
              <w:rPr>
                <w:rFonts w:ascii="Arial" w:hAnsi="Arial" w:cs="Arial"/>
                <w:i w:val="0"/>
              </w:rPr>
              <w:t>39</w:t>
            </w:r>
          </w:p>
        </w:tc>
        <w:tc>
          <w:tcPr>
            <w:tcW w:w="2275" w:type="dxa"/>
            <w:vAlign w:val="center"/>
          </w:tcPr>
          <w:p w14:paraId="4D40CD44" w14:textId="4BD1B82C" w:rsidR="00B57F82" w:rsidRDefault="00B57F82" w:rsidP="00B57F82">
            <w:pPr>
              <w:pStyle w:val="BodyText"/>
              <w:jc w:val="center"/>
              <w:rPr>
                <w:rFonts w:ascii="Arial" w:hAnsi="Arial" w:cs="Arial"/>
                <w:i w:val="0"/>
              </w:rPr>
            </w:pPr>
            <w:r>
              <w:rPr>
                <w:rFonts w:ascii="Arial" w:hAnsi="Arial" w:cs="Arial"/>
                <w:i w:val="0"/>
              </w:rPr>
              <w:t>208</w:t>
            </w:r>
          </w:p>
        </w:tc>
      </w:tr>
      <w:tr w:rsidR="00B57F82" w:rsidRPr="00B57F82" w14:paraId="6DC9C192" w14:textId="77777777" w:rsidTr="00B65EF6">
        <w:trPr>
          <w:trHeight w:val="293"/>
          <w:jc w:val="center"/>
        </w:trPr>
        <w:tc>
          <w:tcPr>
            <w:tcW w:w="1931" w:type="dxa"/>
            <w:vAlign w:val="center"/>
          </w:tcPr>
          <w:p w14:paraId="52BFDFF1" w14:textId="47934EC5" w:rsidR="00B57F82" w:rsidRDefault="00B57F82" w:rsidP="00B57F82">
            <w:pPr>
              <w:pStyle w:val="BodyText"/>
              <w:rPr>
                <w:rFonts w:ascii="Arial" w:hAnsi="Arial" w:cs="Arial"/>
                <w:i w:val="0"/>
              </w:rPr>
            </w:pPr>
            <w:r>
              <w:rPr>
                <w:rFonts w:ascii="Arial" w:hAnsi="Arial" w:cs="Arial"/>
                <w:i w:val="0"/>
              </w:rPr>
              <w:t>Spanish</w:t>
            </w:r>
          </w:p>
        </w:tc>
        <w:tc>
          <w:tcPr>
            <w:tcW w:w="1931" w:type="dxa"/>
            <w:vAlign w:val="center"/>
          </w:tcPr>
          <w:p w14:paraId="25FEEF4D" w14:textId="7941ACC9" w:rsidR="00B57F82" w:rsidRDefault="00B57F82" w:rsidP="00B57F82">
            <w:pPr>
              <w:pStyle w:val="BodyText"/>
              <w:jc w:val="center"/>
              <w:rPr>
                <w:rFonts w:ascii="Arial" w:hAnsi="Arial" w:cs="Arial"/>
                <w:i w:val="0"/>
              </w:rPr>
            </w:pPr>
            <w:r>
              <w:rPr>
                <w:rFonts w:ascii="Arial" w:hAnsi="Arial" w:cs="Arial"/>
                <w:i w:val="0"/>
              </w:rPr>
              <w:t>140</w:t>
            </w:r>
          </w:p>
        </w:tc>
        <w:tc>
          <w:tcPr>
            <w:tcW w:w="2275" w:type="dxa"/>
            <w:vAlign w:val="center"/>
          </w:tcPr>
          <w:p w14:paraId="402F3324" w14:textId="678E9753" w:rsidR="00B57F82" w:rsidRDefault="00B57F82" w:rsidP="00B57F82">
            <w:pPr>
              <w:pStyle w:val="BodyText"/>
              <w:jc w:val="center"/>
              <w:rPr>
                <w:rFonts w:ascii="Arial" w:hAnsi="Arial" w:cs="Arial"/>
                <w:i w:val="0"/>
              </w:rPr>
            </w:pPr>
            <w:r>
              <w:rPr>
                <w:rFonts w:ascii="Arial" w:hAnsi="Arial" w:cs="Arial"/>
                <w:i w:val="0"/>
              </w:rPr>
              <w:t>50</w:t>
            </w:r>
          </w:p>
        </w:tc>
      </w:tr>
      <w:tr w:rsidR="00B57F82" w:rsidRPr="00B57F82" w14:paraId="2B228506" w14:textId="77777777" w:rsidTr="00B65EF6">
        <w:trPr>
          <w:trHeight w:val="293"/>
          <w:jc w:val="center"/>
        </w:trPr>
        <w:tc>
          <w:tcPr>
            <w:tcW w:w="1931" w:type="dxa"/>
            <w:vAlign w:val="center"/>
          </w:tcPr>
          <w:p w14:paraId="7013E18B" w14:textId="6450322D" w:rsidR="00B57F82" w:rsidRDefault="00B57F82" w:rsidP="00B57F82">
            <w:pPr>
              <w:pStyle w:val="BodyText"/>
              <w:rPr>
                <w:rFonts w:ascii="Arial" w:hAnsi="Arial" w:cs="Arial"/>
                <w:i w:val="0"/>
              </w:rPr>
            </w:pPr>
            <w:r>
              <w:rPr>
                <w:rFonts w:ascii="Arial" w:hAnsi="Arial" w:cs="Arial"/>
                <w:i w:val="0"/>
              </w:rPr>
              <w:t>Vietnamese</w:t>
            </w:r>
          </w:p>
        </w:tc>
        <w:tc>
          <w:tcPr>
            <w:tcW w:w="1931" w:type="dxa"/>
            <w:vAlign w:val="center"/>
          </w:tcPr>
          <w:p w14:paraId="45C073BA" w14:textId="73A1DF2E" w:rsidR="00B57F82" w:rsidRDefault="00B57F82" w:rsidP="00B57F82">
            <w:pPr>
              <w:pStyle w:val="BodyText"/>
              <w:jc w:val="center"/>
              <w:rPr>
                <w:rFonts w:ascii="Arial" w:hAnsi="Arial" w:cs="Arial"/>
                <w:i w:val="0"/>
              </w:rPr>
            </w:pPr>
            <w:r>
              <w:rPr>
                <w:rFonts w:ascii="Arial" w:hAnsi="Arial" w:cs="Arial"/>
                <w:i w:val="0"/>
              </w:rPr>
              <w:t>229</w:t>
            </w:r>
          </w:p>
        </w:tc>
        <w:tc>
          <w:tcPr>
            <w:tcW w:w="2275" w:type="dxa"/>
            <w:vAlign w:val="center"/>
          </w:tcPr>
          <w:p w14:paraId="03248582" w14:textId="23FBEB10" w:rsidR="00B57F82" w:rsidRDefault="00B57F82" w:rsidP="00B57F82">
            <w:pPr>
              <w:pStyle w:val="BodyText"/>
              <w:jc w:val="center"/>
              <w:rPr>
                <w:rFonts w:ascii="Arial" w:hAnsi="Arial" w:cs="Arial"/>
                <w:i w:val="0"/>
              </w:rPr>
            </w:pPr>
            <w:r>
              <w:rPr>
                <w:rFonts w:ascii="Arial" w:hAnsi="Arial" w:cs="Arial"/>
                <w:i w:val="0"/>
              </w:rPr>
              <w:t>153</w:t>
            </w:r>
          </w:p>
        </w:tc>
      </w:tr>
      <w:tr w:rsidR="00B57F82" w:rsidRPr="00B57F82" w14:paraId="7E6CB448" w14:textId="77777777" w:rsidTr="00B65EF6">
        <w:trPr>
          <w:trHeight w:val="309"/>
          <w:jc w:val="center"/>
        </w:trPr>
        <w:tc>
          <w:tcPr>
            <w:tcW w:w="1931" w:type="dxa"/>
            <w:shd w:val="clear" w:color="auto" w:fill="D9D9D9" w:themeFill="background1" w:themeFillShade="D9"/>
            <w:vAlign w:val="center"/>
          </w:tcPr>
          <w:p w14:paraId="665604E1" w14:textId="12758853" w:rsidR="00B57F82" w:rsidRPr="00B57F82" w:rsidRDefault="00B57F82" w:rsidP="00B57F82">
            <w:pPr>
              <w:pStyle w:val="BodyText"/>
              <w:jc w:val="right"/>
              <w:rPr>
                <w:rFonts w:ascii="Arial" w:hAnsi="Arial" w:cs="Arial"/>
                <w:b/>
                <w:i w:val="0"/>
              </w:rPr>
            </w:pPr>
            <w:r w:rsidRPr="00B57F82">
              <w:rPr>
                <w:rFonts w:ascii="Arial" w:hAnsi="Arial" w:cs="Arial"/>
                <w:b/>
                <w:i w:val="0"/>
              </w:rPr>
              <w:t>Total</w:t>
            </w:r>
          </w:p>
        </w:tc>
        <w:tc>
          <w:tcPr>
            <w:tcW w:w="1931" w:type="dxa"/>
            <w:shd w:val="clear" w:color="auto" w:fill="D9D9D9" w:themeFill="background1" w:themeFillShade="D9"/>
            <w:vAlign w:val="center"/>
          </w:tcPr>
          <w:p w14:paraId="0D062A72" w14:textId="41FBA4E1" w:rsidR="00B57F82" w:rsidRPr="00B57F82" w:rsidRDefault="00B57F82" w:rsidP="00B57F82">
            <w:pPr>
              <w:pStyle w:val="BodyText"/>
              <w:jc w:val="center"/>
              <w:rPr>
                <w:rFonts w:ascii="Arial" w:hAnsi="Arial" w:cs="Arial"/>
                <w:b/>
                <w:i w:val="0"/>
              </w:rPr>
            </w:pPr>
            <w:r w:rsidRPr="00B57F82">
              <w:rPr>
                <w:rFonts w:ascii="Arial" w:hAnsi="Arial" w:cs="Arial"/>
                <w:b/>
                <w:i w:val="0"/>
              </w:rPr>
              <w:t>691</w:t>
            </w:r>
          </w:p>
        </w:tc>
        <w:tc>
          <w:tcPr>
            <w:tcW w:w="2275" w:type="dxa"/>
            <w:shd w:val="clear" w:color="auto" w:fill="D9D9D9" w:themeFill="background1" w:themeFillShade="D9"/>
            <w:vAlign w:val="center"/>
          </w:tcPr>
          <w:p w14:paraId="409710CF" w14:textId="6DF12593" w:rsidR="00B57F82" w:rsidRPr="00B57F82" w:rsidRDefault="00B57F82" w:rsidP="00B57F82">
            <w:pPr>
              <w:pStyle w:val="BodyText"/>
              <w:jc w:val="center"/>
              <w:rPr>
                <w:rFonts w:ascii="Arial" w:hAnsi="Arial" w:cs="Arial"/>
                <w:b/>
                <w:i w:val="0"/>
              </w:rPr>
            </w:pPr>
            <w:r w:rsidRPr="00B57F82">
              <w:rPr>
                <w:rFonts w:ascii="Arial" w:hAnsi="Arial" w:cs="Arial"/>
                <w:b/>
                <w:i w:val="0"/>
              </w:rPr>
              <w:t>510</w:t>
            </w:r>
          </w:p>
        </w:tc>
      </w:tr>
    </w:tbl>
    <w:p w14:paraId="381476C8" w14:textId="77777777" w:rsidR="00E9109E" w:rsidRDefault="00E9109E" w:rsidP="005B478C">
      <w:pPr>
        <w:pStyle w:val="BodyText"/>
        <w:jc w:val="both"/>
        <w:rPr>
          <w:rFonts w:ascii="Arial" w:hAnsi="Arial" w:cs="Arial"/>
          <w:i w:val="0"/>
        </w:rPr>
      </w:pPr>
    </w:p>
    <w:p w14:paraId="5F997039" w14:textId="77777777" w:rsidR="00B57F82" w:rsidRDefault="00B57F82" w:rsidP="005B478C">
      <w:pPr>
        <w:pStyle w:val="BodyText"/>
        <w:jc w:val="both"/>
        <w:rPr>
          <w:rFonts w:ascii="Arial" w:hAnsi="Arial" w:cs="Arial"/>
          <w:i w:val="0"/>
        </w:rPr>
      </w:pPr>
    </w:p>
    <w:p w14:paraId="041DB4B2" w14:textId="4ED2E1C8" w:rsidR="00364EFF" w:rsidRPr="00C836A9" w:rsidRDefault="00364EFF" w:rsidP="005B478C">
      <w:pPr>
        <w:pStyle w:val="BodyText"/>
        <w:jc w:val="both"/>
        <w:rPr>
          <w:rFonts w:ascii="Arial" w:hAnsi="Arial" w:cs="Arial"/>
          <w:i w:val="0"/>
        </w:rPr>
      </w:pPr>
      <w:r w:rsidRPr="00DA71B3">
        <w:rPr>
          <w:rFonts w:ascii="Arial" w:hAnsi="Arial" w:cs="Arial"/>
          <w:b/>
          <w:i w:val="0"/>
        </w:rPr>
        <w:t>Civic engagement in schools</w:t>
      </w:r>
      <w:r w:rsidR="00DA71B3">
        <w:rPr>
          <w:rFonts w:ascii="Arial" w:hAnsi="Arial" w:cs="Arial"/>
          <w:b/>
          <w:i w:val="0"/>
        </w:rPr>
        <w:t>.</w:t>
      </w:r>
      <w:r w:rsidR="00C836A9">
        <w:rPr>
          <w:rFonts w:ascii="Arial" w:hAnsi="Arial" w:cs="Arial"/>
          <w:i w:val="0"/>
        </w:rPr>
        <w:t xml:space="preserve">  </w:t>
      </w:r>
      <w:r w:rsidR="00D62AE1" w:rsidRPr="00541120">
        <w:rPr>
          <w:rFonts w:ascii="Arial" w:hAnsi="Arial" w:cs="Arial"/>
          <w:i w:val="0"/>
        </w:rPr>
        <w:t>T</w:t>
      </w:r>
      <w:r w:rsidR="00C836A9" w:rsidRPr="00541120">
        <w:rPr>
          <w:rFonts w:ascii="Arial" w:hAnsi="Arial" w:cs="Arial"/>
          <w:i w:val="0"/>
        </w:rPr>
        <w:t>he</w:t>
      </w:r>
      <w:r w:rsidR="00D62AE1" w:rsidRPr="00541120">
        <w:rPr>
          <w:rFonts w:ascii="Arial" w:hAnsi="Arial" w:cs="Arial"/>
          <w:i w:val="0"/>
        </w:rPr>
        <w:t xml:space="preserve"> </w:t>
      </w:r>
      <w:r w:rsidR="00771193" w:rsidRPr="00541120">
        <w:rPr>
          <w:rFonts w:ascii="Arial" w:hAnsi="Arial" w:cs="Arial"/>
          <w:i w:val="0"/>
        </w:rPr>
        <w:t xml:space="preserve">fourth </w:t>
      </w:r>
      <w:r w:rsidR="00C836A9" w:rsidRPr="00541120">
        <w:rPr>
          <w:rFonts w:ascii="Arial" w:hAnsi="Arial" w:cs="Arial"/>
          <w:i w:val="0"/>
        </w:rPr>
        <w:t>Report</w:t>
      </w:r>
      <w:r w:rsidR="00E12E8C" w:rsidRPr="00541120">
        <w:rPr>
          <w:rFonts w:ascii="Arial" w:hAnsi="Arial" w:cs="Arial"/>
          <w:i w:val="0"/>
        </w:rPr>
        <w:t xml:space="preserve"> </w:t>
      </w:r>
      <w:r w:rsidR="00C836A9" w:rsidRPr="00541120">
        <w:rPr>
          <w:rFonts w:ascii="Arial" w:hAnsi="Arial" w:cs="Arial"/>
          <w:i w:val="0"/>
        </w:rPr>
        <w:t>highlight</w:t>
      </w:r>
      <w:r w:rsidR="00D62AE1" w:rsidRPr="00541120">
        <w:rPr>
          <w:rFonts w:ascii="Arial" w:hAnsi="Arial" w:cs="Arial"/>
          <w:i w:val="0"/>
        </w:rPr>
        <w:t>s</w:t>
      </w:r>
      <w:r w:rsidR="00C836A9" w:rsidRPr="00541120">
        <w:rPr>
          <w:rFonts w:ascii="Arial" w:hAnsi="Arial" w:cs="Arial"/>
          <w:i w:val="0"/>
        </w:rPr>
        <w:t xml:space="preserve"> that </w:t>
      </w:r>
      <w:r w:rsidR="00D62AE1" w:rsidRPr="00541120">
        <w:rPr>
          <w:rFonts w:ascii="Arial" w:hAnsi="Arial" w:cs="Arial"/>
          <w:i w:val="0"/>
        </w:rPr>
        <w:t>Elections</w:t>
      </w:r>
      <w:r w:rsidR="00C836A9" w:rsidRPr="00541120">
        <w:rPr>
          <w:rFonts w:ascii="Arial" w:hAnsi="Arial" w:cs="Arial"/>
          <w:i w:val="0"/>
        </w:rPr>
        <w:t xml:space="preserve"> continue</w:t>
      </w:r>
      <w:r w:rsidR="00D62AE1" w:rsidRPr="00541120">
        <w:rPr>
          <w:rFonts w:ascii="Arial" w:hAnsi="Arial" w:cs="Arial"/>
          <w:i w:val="0"/>
        </w:rPr>
        <w:t>s</w:t>
      </w:r>
      <w:r w:rsidR="00C836A9" w:rsidRPr="00541120">
        <w:rPr>
          <w:rFonts w:ascii="Arial" w:hAnsi="Arial" w:cs="Arial"/>
          <w:i w:val="0"/>
        </w:rPr>
        <w:t xml:space="preserve"> to work with Seattle Public Schools</w:t>
      </w:r>
      <w:r w:rsidR="000B78D4" w:rsidRPr="00541120">
        <w:rPr>
          <w:rFonts w:ascii="Arial" w:hAnsi="Arial" w:cs="Arial"/>
          <w:i w:val="0"/>
        </w:rPr>
        <w:t xml:space="preserve"> </w:t>
      </w:r>
      <w:r w:rsidR="00541120">
        <w:rPr>
          <w:rFonts w:ascii="Arial" w:hAnsi="Arial" w:cs="Arial"/>
          <w:i w:val="0"/>
        </w:rPr>
        <w:t>to support school and classroom participation in mock elections.</w:t>
      </w:r>
    </w:p>
    <w:p w14:paraId="6F2BEE32" w14:textId="77777777" w:rsidR="000333A0" w:rsidRDefault="000333A0" w:rsidP="000333A0">
      <w:pPr>
        <w:jc w:val="both"/>
        <w:rPr>
          <w:rFonts w:ascii="Arial" w:hAnsi="Arial" w:cs="Arial"/>
        </w:rPr>
      </w:pPr>
    </w:p>
    <w:p w14:paraId="6932DE75" w14:textId="77777777" w:rsidR="000333A0" w:rsidRPr="000333A0" w:rsidRDefault="000333A0" w:rsidP="000333A0">
      <w:pPr>
        <w:jc w:val="both"/>
        <w:rPr>
          <w:rFonts w:ascii="Arial" w:hAnsi="Arial" w:cs="Arial"/>
          <w:b/>
          <w:smallCaps/>
          <w:szCs w:val="24"/>
          <w:u w:val="single"/>
        </w:rPr>
      </w:pPr>
      <w:r w:rsidRPr="000333A0">
        <w:rPr>
          <w:rFonts w:ascii="Arial" w:hAnsi="Arial" w:cs="Arial"/>
          <w:b/>
          <w:smallCaps/>
          <w:szCs w:val="24"/>
          <w:u w:val="single"/>
        </w:rPr>
        <w:t>ATTACHMENTS</w:t>
      </w:r>
    </w:p>
    <w:p w14:paraId="5F8D28C9" w14:textId="526D19CC" w:rsidR="000333A0" w:rsidRDefault="000333A0" w:rsidP="000333A0">
      <w:pPr>
        <w:pStyle w:val="List-NoSpaces"/>
      </w:pPr>
      <w:r>
        <w:t>Proposed Motion 2016-0512 and Attachment A</w:t>
      </w:r>
    </w:p>
    <w:p w14:paraId="456291A4" w14:textId="77777777" w:rsidR="000333A0" w:rsidRDefault="000333A0" w:rsidP="000333A0">
      <w:pPr>
        <w:pStyle w:val="List-NoSpaces"/>
      </w:pPr>
      <w:r>
        <w:t>Transmittal letter</w:t>
      </w:r>
    </w:p>
    <w:p w14:paraId="3AC59D2D" w14:textId="77777777" w:rsidR="00736707" w:rsidRDefault="00736707" w:rsidP="00736707">
      <w:pPr>
        <w:jc w:val="both"/>
        <w:rPr>
          <w:rFonts w:ascii="Arial" w:hAnsi="Arial" w:cs="Arial"/>
          <w:b/>
          <w:smallCaps/>
          <w:szCs w:val="24"/>
          <w:u w:val="single"/>
        </w:rPr>
      </w:pPr>
      <w:r>
        <w:rPr>
          <w:rFonts w:ascii="Arial" w:hAnsi="Arial" w:cs="Arial"/>
          <w:b/>
          <w:smallCaps/>
          <w:szCs w:val="24"/>
          <w:u w:val="single"/>
        </w:rPr>
        <w:t>INVITED</w:t>
      </w:r>
    </w:p>
    <w:p w14:paraId="4A2B87F0" w14:textId="77777777" w:rsidR="00736707" w:rsidRDefault="00736707" w:rsidP="00736707">
      <w:pPr>
        <w:jc w:val="both"/>
        <w:rPr>
          <w:rFonts w:ascii="Arial" w:hAnsi="Arial" w:cs="Arial"/>
          <w:b/>
          <w:smallCaps/>
          <w:szCs w:val="24"/>
          <w:u w:val="single"/>
        </w:rPr>
      </w:pPr>
    </w:p>
    <w:p w14:paraId="030ACBB2" w14:textId="77777777" w:rsidR="00736707" w:rsidRDefault="00736707" w:rsidP="00736707">
      <w:pPr>
        <w:pStyle w:val="ListParagraph0"/>
        <w:numPr>
          <w:ilvl w:val="0"/>
          <w:numId w:val="45"/>
        </w:numPr>
        <w:jc w:val="both"/>
        <w:rPr>
          <w:rFonts w:ascii="Arial" w:hAnsi="Arial" w:cs="Arial"/>
        </w:rPr>
      </w:pPr>
      <w:r>
        <w:rPr>
          <w:rFonts w:ascii="Arial" w:hAnsi="Arial" w:cs="Arial"/>
        </w:rPr>
        <w:t>Julie Wise, Director, King County Department of Elections</w:t>
      </w:r>
    </w:p>
    <w:p w14:paraId="5808EB2C" w14:textId="77777777" w:rsidR="000333A0" w:rsidRPr="000333A0" w:rsidRDefault="000333A0" w:rsidP="000333A0">
      <w:pPr>
        <w:jc w:val="both"/>
        <w:rPr>
          <w:rFonts w:ascii="Arial" w:hAnsi="Arial" w:cs="Arial"/>
        </w:rPr>
      </w:pPr>
    </w:p>
    <w:sectPr w:rsidR="000333A0" w:rsidRPr="000333A0"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C9A52" w14:textId="77777777" w:rsidR="001E4F68" w:rsidRDefault="001E4F68">
      <w:r>
        <w:separator/>
      </w:r>
    </w:p>
  </w:endnote>
  <w:endnote w:type="continuationSeparator" w:id="0">
    <w:p w14:paraId="2CC27D83" w14:textId="77777777" w:rsidR="001E4F68" w:rsidRDefault="001E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C193E" w14:textId="77777777" w:rsidR="00074E9A" w:rsidRDefault="00074E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6F6FA" w14:textId="77777777" w:rsidR="00074E9A" w:rsidRDefault="00074E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7B8B8" w14:textId="77777777" w:rsidR="00074E9A" w:rsidRDefault="00074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391EA" w14:textId="77777777" w:rsidR="001E4F68" w:rsidRDefault="001E4F68">
      <w:r>
        <w:separator/>
      </w:r>
    </w:p>
  </w:footnote>
  <w:footnote w:type="continuationSeparator" w:id="0">
    <w:p w14:paraId="37E2EF10" w14:textId="77777777" w:rsidR="001E4F68" w:rsidRDefault="001E4F68">
      <w:r>
        <w:continuationSeparator/>
      </w:r>
    </w:p>
  </w:footnote>
  <w:footnote w:id="1">
    <w:p w14:paraId="749BB29D" w14:textId="77777777" w:rsidR="00E9109E" w:rsidRPr="000578E2" w:rsidRDefault="00E9109E" w:rsidP="004943A9">
      <w:pPr>
        <w:pStyle w:val="FootnoteText"/>
        <w:jc w:val="both"/>
        <w:rPr>
          <w:rFonts w:ascii="Arial" w:hAnsi="Arial" w:cs="Arial"/>
        </w:rPr>
      </w:pPr>
      <w:r w:rsidRPr="000578E2">
        <w:rPr>
          <w:rStyle w:val="FootnoteReference"/>
          <w:rFonts w:ascii="Arial" w:hAnsi="Arial" w:cs="Arial"/>
          <w:sz w:val="18"/>
        </w:rPr>
        <w:footnoteRef/>
      </w:r>
      <w:r w:rsidRPr="000578E2">
        <w:rPr>
          <w:rFonts w:ascii="Arial" w:hAnsi="Arial" w:cs="Arial"/>
          <w:sz w:val="18"/>
        </w:rPr>
        <w:t xml:space="preserve"> </w:t>
      </w:r>
      <w:r>
        <w:rPr>
          <w:rFonts w:ascii="Arial" w:hAnsi="Arial" w:cs="Arial"/>
          <w:sz w:val="18"/>
        </w:rPr>
        <w:t xml:space="preserve">The first phase of the grants includes Chinese, Vietnamese, </w:t>
      </w:r>
      <w:proofErr w:type="gramStart"/>
      <w:r>
        <w:rPr>
          <w:rFonts w:ascii="Arial" w:hAnsi="Arial" w:cs="Arial"/>
          <w:sz w:val="18"/>
        </w:rPr>
        <w:t>Spanish</w:t>
      </w:r>
      <w:proofErr w:type="gramEnd"/>
      <w:r>
        <w:rPr>
          <w:rFonts w:ascii="Arial" w:hAnsi="Arial" w:cs="Arial"/>
          <w:sz w:val="18"/>
        </w:rPr>
        <w:t xml:space="preserve"> and Korean-speaking communities. The second phase of grants includes East African, Native, Asian, </w:t>
      </w:r>
      <w:proofErr w:type="gramStart"/>
      <w:r>
        <w:rPr>
          <w:rFonts w:ascii="Arial" w:hAnsi="Arial" w:cs="Arial"/>
          <w:sz w:val="18"/>
        </w:rPr>
        <w:t>Pacific</w:t>
      </w:r>
      <w:proofErr w:type="gramEnd"/>
      <w:r>
        <w:rPr>
          <w:rFonts w:ascii="Arial" w:hAnsi="Arial" w:cs="Arial"/>
          <w:sz w:val="18"/>
        </w:rPr>
        <w:t xml:space="preserve"> Islander, Middle Eastern and European communities.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408C2" w14:textId="77777777" w:rsidR="00074E9A" w:rsidRDefault="00074E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778B4" w14:textId="77777777" w:rsidR="00074E9A" w:rsidRDefault="00074E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9C19B" w14:textId="77777777" w:rsidR="00C75025" w:rsidRDefault="00C75025" w:rsidP="00C75025">
    <w:pPr>
      <w:jc w:val="center"/>
    </w:pPr>
    <w:r>
      <w:rPr>
        <w:noProof/>
      </w:rPr>
      <w:drawing>
        <wp:inline distT="0" distB="0" distL="0" distR="0" wp14:anchorId="1C27EF87" wp14:editId="431CBD53">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C253126" w14:textId="77777777" w:rsidR="00C75025" w:rsidRPr="003B03EF" w:rsidRDefault="00C75025" w:rsidP="00C75025">
    <w:pPr>
      <w:jc w:val="center"/>
      <w:rPr>
        <w:rFonts w:ascii="Arial" w:hAnsi="Arial"/>
        <w:szCs w:val="22"/>
      </w:rPr>
    </w:pPr>
  </w:p>
  <w:p w14:paraId="29DB507A"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5DAB31B5" w14:textId="77777777" w:rsidR="00C75025" w:rsidRPr="004A1D48" w:rsidRDefault="00074E9A" w:rsidP="00C75025">
    <w:pPr>
      <w:jc w:val="center"/>
      <w:rPr>
        <w:rFonts w:ascii="Verdana" w:hAnsi="Verdana"/>
        <w:b/>
        <w:sz w:val="28"/>
        <w:szCs w:val="28"/>
      </w:rPr>
    </w:pPr>
    <w:r>
      <w:rPr>
        <w:rFonts w:ascii="Verdana" w:hAnsi="Verdana"/>
        <w:b/>
        <w:sz w:val="28"/>
        <w:szCs w:val="28"/>
      </w:rPr>
      <w:t>Government Accountability and Oversight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5D26DE"/>
    <w:multiLevelType w:val="hybridMultilevel"/>
    <w:tmpl w:val="D79AAC8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B41791"/>
    <w:multiLevelType w:val="hybridMultilevel"/>
    <w:tmpl w:val="3FA02E26"/>
    <w:lvl w:ilvl="0" w:tplc="74AA07AE">
      <w:start w:val="1"/>
      <w:numFmt w:val="decimal"/>
      <w:pStyle w:val="List-NoSpaces"/>
      <w:lvlText w:val="%1."/>
      <w:lvlJc w:val="left"/>
      <w:pPr>
        <w:ind w:left="360" w:hanging="360"/>
      </w:pPr>
      <w:rPr>
        <w:rFonts w:ascii="Arial" w:hAnsi="Arial" w:hint="default"/>
        <w:caps w:val="0"/>
        <w:strike w:val="0"/>
        <w:dstrike w:val="0"/>
        <w:vanish w:val="0"/>
        <w:sz w:val="24"/>
        <w:vertAlign w:val="baseline"/>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505661"/>
    <w:multiLevelType w:val="hybridMultilevel"/>
    <w:tmpl w:val="DDBCF7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E763BA"/>
    <w:multiLevelType w:val="hybridMultilevel"/>
    <w:tmpl w:val="DA7C5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1D187C"/>
    <w:multiLevelType w:val="hybridMultilevel"/>
    <w:tmpl w:val="063EE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1"/>
  </w:num>
  <w:num w:numId="3">
    <w:abstractNumId w:val="12"/>
  </w:num>
  <w:num w:numId="4">
    <w:abstractNumId w:val="44"/>
  </w:num>
  <w:num w:numId="5">
    <w:abstractNumId w:val="40"/>
  </w:num>
  <w:num w:numId="6">
    <w:abstractNumId w:val="13"/>
  </w:num>
  <w:num w:numId="7">
    <w:abstractNumId w:val="41"/>
  </w:num>
  <w:num w:numId="8">
    <w:abstractNumId w:val="15"/>
  </w:num>
  <w:num w:numId="9">
    <w:abstractNumId w:val="3"/>
  </w:num>
  <w:num w:numId="10">
    <w:abstractNumId w:val="43"/>
  </w:num>
  <w:num w:numId="11">
    <w:abstractNumId w:val="2"/>
  </w:num>
  <w:num w:numId="12">
    <w:abstractNumId w:val="19"/>
  </w:num>
  <w:num w:numId="13">
    <w:abstractNumId w:val="23"/>
  </w:num>
  <w:num w:numId="14">
    <w:abstractNumId w:val="17"/>
  </w:num>
  <w:num w:numId="15">
    <w:abstractNumId w:val="25"/>
  </w:num>
  <w:num w:numId="16">
    <w:abstractNumId w:val="16"/>
  </w:num>
  <w:num w:numId="17">
    <w:abstractNumId w:val="35"/>
  </w:num>
  <w:num w:numId="18">
    <w:abstractNumId w:val="24"/>
  </w:num>
  <w:num w:numId="19">
    <w:abstractNumId w:val="32"/>
  </w:num>
  <w:num w:numId="20">
    <w:abstractNumId w:val="27"/>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2"/>
  </w:num>
  <w:num w:numId="28">
    <w:abstractNumId w:val="10"/>
  </w:num>
  <w:num w:numId="29">
    <w:abstractNumId w:val="29"/>
  </w:num>
  <w:num w:numId="30">
    <w:abstractNumId w:val="1"/>
  </w:num>
  <w:num w:numId="31">
    <w:abstractNumId w:val="34"/>
  </w:num>
  <w:num w:numId="32">
    <w:abstractNumId w:val="36"/>
  </w:num>
  <w:num w:numId="33">
    <w:abstractNumId w:val="14"/>
  </w:num>
  <w:num w:numId="34">
    <w:abstractNumId w:val="11"/>
  </w:num>
  <w:num w:numId="35">
    <w:abstractNumId w:val="7"/>
  </w:num>
  <w:num w:numId="36">
    <w:abstractNumId w:val="28"/>
  </w:num>
  <w:num w:numId="37">
    <w:abstractNumId w:val="37"/>
  </w:num>
  <w:num w:numId="38">
    <w:abstractNumId w:val="21"/>
  </w:num>
  <w:num w:numId="39">
    <w:abstractNumId w:val="33"/>
  </w:num>
  <w:num w:numId="40">
    <w:abstractNumId w:val="30"/>
  </w:num>
  <w:num w:numId="41">
    <w:abstractNumId w:val="38"/>
  </w:num>
  <w:num w:numId="42">
    <w:abstractNumId w:val="26"/>
  </w:num>
  <w:num w:numId="43">
    <w:abstractNumId w:val="18"/>
  </w:num>
  <w:num w:numId="44">
    <w:abstractNumId w:val="42"/>
  </w:num>
  <w:num w:numId="45">
    <w:abstractNumId w:val="45"/>
  </w:num>
  <w:num w:numId="4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6F5"/>
    <w:rsid w:val="00002EFF"/>
    <w:rsid w:val="000038DD"/>
    <w:rsid w:val="000048A8"/>
    <w:rsid w:val="00005126"/>
    <w:rsid w:val="00006AAA"/>
    <w:rsid w:val="00007170"/>
    <w:rsid w:val="000079A1"/>
    <w:rsid w:val="00007A33"/>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A0"/>
    <w:rsid w:val="000333D7"/>
    <w:rsid w:val="000333DA"/>
    <w:rsid w:val="000351B5"/>
    <w:rsid w:val="00042A88"/>
    <w:rsid w:val="0004549A"/>
    <w:rsid w:val="00046824"/>
    <w:rsid w:val="000470FF"/>
    <w:rsid w:val="0005201B"/>
    <w:rsid w:val="0005270D"/>
    <w:rsid w:val="000533AF"/>
    <w:rsid w:val="000553F5"/>
    <w:rsid w:val="00055B9A"/>
    <w:rsid w:val="00056C81"/>
    <w:rsid w:val="000577A3"/>
    <w:rsid w:val="000578E2"/>
    <w:rsid w:val="00060235"/>
    <w:rsid w:val="00060D99"/>
    <w:rsid w:val="0006124B"/>
    <w:rsid w:val="00061676"/>
    <w:rsid w:val="00062056"/>
    <w:rsid w:val="00063E46"/>
    <w:rsid w:val="00066CEA"/>
    <w:rsid w:val="000722EA"/>
    <w:rsid w:val="000736F6"/>
    <w:rsid w:val="00073AF6"/>
    <w:rsid w:val="00074A56"/>
    <w:rsid w:val="00074E9A"/>
    <w:rsid w:val="000766A2"/>
    <w:rsid w:val="00076F58"/>
    <w:rsid w:val="00080295"/>
    <w:rsid w:val="00081382"/>
    <w:rsid w:val="00082009"/>
    <w:rsid w:val="0008325A"/>
    <w:rsid w:val="00086A9B"/>
    <w:rsid w:val="00087BF6"/>
    <w:rsid w:val="00091223"/>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410"/>
    <w:rsid w:val="000B650C"/>
    <w:rsid w:val="000B70C3"/>
    <w:rsid w:val="000B78D4"/>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B00"/>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A70"/>
    <w:rsid w:val="00141B7A"/>
    <w:rsid w:val="001426ED"/>
    <w:rsid w:val="00142F7E"/>
    <w:rsid w:val="001440C8"/>
    <w:rsid w:val="001440E6"/>
    <w:rsid w:val="001444E7"/>
    <w:rsid w:val="001463CF"/>
    <w:rsid w:val="001509B2"/>
    <w:rsid w:val="0015229A"/>
    <w:rsid w:val="00152D09"/>
    <w:rsid w:val="00154E2E"/>
    <w:rsid w:val="00157334"/>
    <w:rsid w:val="00163DEF"/>
    <w:rsid w:val="0016552E"/>
    <w:rsid w:val="00166774"/>
    <w:rsid w:val="001702C8"/>
    <w:rsid w:val="00170A6A"/>
    <w:rsid w:val="001718C9"/>
    <w:rsid w:val="00171FE0"/>
    <w:rsid w:val="001723A6"/>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0CDD"/>
    <w:rsid w:val="001C254D"/>
    <w:rsid w:val="001C4B19"/>
    <w:rsid w:val="001C4EAE"/>
    <w:rsid w:val="001D0111"/>
    <w:rsid w:val="001D15FF"/>
    <w:rsid w:val="001D2DDB"/>
    <w:rsid w:val="001D396A"/>
    <w:rsid w:val="001D4FDB"/>
    <w:rsid w:val="001D525A"/>
    <w:rsid w:val="001D6FB9"/>
    <w:rsid w:val="001D7004"/>
    <w:rsid w:val="001D718E"/>
    <w:rsid w:val="001E067E"/>
    <w:rsid w:val="001E0DD3"/>
    <w:rsid w:val="001E0E59"/>
    <w:rsid w:val="001E1042"/>
    <w:rsid w:val="001E2BAC"/>
    <w:rsid w:val="001E45BF"/>
    <w:rsid w:val="001E4F68"/>
    <w:rsid w:val="001E5D41"/>
    <w:rsid w:val="001E6331"/>
    <w:rsid w:val="001E6DFB"/>
    <w:rsid w:val="001E7A70"/>
    <w:rsid w:val="001F018C"/>
    <w:rsid w:val="001F1B21"/>
    <w:rsid w:val="001F3766"/>
    <w:rsid w:val="001F3991"/>
    <w:rsid w:val="001F3996"/>
    <w:rsid w:val="001F447F"/>
    <w:rsid w:val="001F4FC3"/>
    <w:rsid w:val="001F5169"/>
    <w:rsid w:val="001F6119"/>
    <w:rsid w:val="001F624F"/>
    <w:rsid w:val="002005DF"/>
    <w:rsid w:val="00201498"/>
    <w:rsid w:val="002054F9"/>
    <w:rsid w:val="002057DD"/>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0E3"/>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194C"/>
    <w:rsid w:val="002720F5"/>
    <w:rsid w:val="00272475"/>
    <w:rsid w:val="0027307C"/>
    <w:rsid w:val="00275B58"/>
    <w:rsid w:val="00276EE4"/>
    <w:rsid w:val="00276FDA"/>
    <w:rsid w:val="00281509"/>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2FFE"/>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4EFF"/>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0EF6"/>
    <w:rsid w:val="003A12AE"/>
    <w:rsid w:val="003A213C"/>
    <w:rsid w:val="003A2203"/>
    <w:rsid w:val="003A24D6"/>
    <w:rsid w:val="003A2766"/>
    <w:rsid w:val="003A374B"/>
    <w:rsid w:val="003A3E0B"/>
    <w:rsid w:val="003A6408"/>
    <w:rsid w:val="003B0446"/>
    <w:rsid w:val="003B09C1"/>
    <w:rsid w:val="003B184F"/>
    <w:rsid w:val="003B1B3D"/>
    <w:rsid w:val="003B2D4C"/>
    <w:rsid w:val="003B3318"/>
    <w:rsid w:val="003B3572"/>
    <w:rsid w:val="003B4653"/>
    <w:rsid w:val="003B52A7"/>
    <w:rsid w:val="003C027F"/>
    <w:rsid w:val="003C094F"/>
    <w:rsid w:val="003C3117"/>
    <w:rsid w:val="003C31C2"/>
    <w:rsid w:val="003C3AE8"/>
    <w:rsid w:val="003C6B62"/>
    <w:rsid w:val="003C7596"/>
    <w:rsid w:val="003C78B5"/>
    <w:rsid w:val="003D06D2"/>
    <w:rsid w:val="003D24A2"/>
    <w:rsid w:val="003D33A2"/>
    <w:rsid w:val="003D3E56"/>
    <w:rsid w:val="003D7347"/>
    <w:rsid w:val="003E0A75"/>
    <w:rsid w:val="003E2957"/>
    <w:rsid w:val="003E32E3"/>
    <w:rsid w:val="003E52FC"/>
    <w:rsid w:val="003E54B1"/>
    <w:rsid w:val="003F252B"/>
    <w:rsid w:val="003F3805"/>
    <w:rsid w:val="003F635B"/>
    <w:rsid w:val="003F78CA"/>
    <w:rsid w:val="003F7F18"/>
    <w:rsid w:val="004004FE"/>
    <w:rsid w:val="00400A17"/>
    <w:rsid w:val="00400C1C"/>
    <w:rsid w:val="00401E29"/>
    <w:rsid w:val="00402D08"/>
    <w:rsid w:val="00403695"/>
    <w:rsid w:val="00404F31"/>
    <w:rsid w:val="00405402"/>
    <w:rsid w:val="004067FF"/>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3A9"/>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01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4F7C72"/>
    <w:rsid w:val="00500D13"/>
    <w:rsid w:val="00501362"/>
    <w:rsid w:val="00502028"/>
    <w:rsid w:val="0050458D"/>
    <w:rsid w:val="00504C1B"/>
    <w:rsid w:val="0050528E"/>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5CFC"/>
    <w:rsid w:val="00527709"/>
    <w:rsid w:val="0053306D"/>
    <w:rsid w:val="00537A1F"/>
    <w:rsid w:val="00537B98"/>
    <w:rsid w:val="00541120"/>
    <w:rsid w:val="005412CF"/>
    <w:rsid w:val="00541E71"/>
    <w:rsid w:val="00544229"/>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5F26"/>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652"/>
    <w:rsid w:val="005B478C"/>
    <w:rsid w:val="005B7D1A"/>
    <w:rsid w:val="005C2C4A"/>
    <w:rsid w:val="005C44C6"/>
    <w:rsid w:val="005C4BCC"/>
    <w:rsid w:val="005C624B"/>
    <w:rsid w:val="005D056C"/>
    <w:rsid w:val="005E181A"/>
    <w:rsid w:val="005E440F"/>
    <w:rsid w:val="005E59DE"/>
    <w:rsid w:val="005E611A"/>
    <w:rsid w:val="005E7CF0"/>
    <w:rsid w:val="005F14B4"/>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28E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4FE1"/>
    <w:rsid w:val="00626066"/>
    <w:rsid w:val="006270DE"/>
    <w:rsid w:val="006315D7"/>
    <w:rsid w:val="006317CD"/>
    <w:rsid w:val="0063186B"/>
    <w:rsid w:val="00632319"/>
    <w:rsid w:val="00632ED8"/>
    <w:rsid w:val="00636C7D"/>
    <w:rsid w:val="0064116C"/>
    <w:rsid w:val="00641390"/>
    <w:rsid w:val="006425FE"/>
    <w:rsid w:val="00643BA7"/>
    <w:rsid w:val="00643DFB"/>
    <w:rsid w:val="00643E28"/>
    <w:rsid w:val="00645C5A"/>
    <w:rsid w:val="00647D53"/>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6CC3"/>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D79BA"/>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2E1B"/>
    <w:rsid w:val="00716FDD"/>
    <w:rsid w:val="007216BF"/>
    <w:rsid w:val="007219D8"/>
    <w:rsid w:val="00722569"/>
    <w:rsid w:val="007244A4"/>
    <w:rsid w:val="00724D34"/>
    <w:rsid w:val="007260A1"/>
    <w:rsid w:val="0073043C"/>
    <w:rsid w:val="00730621"/>
    <w:rsid w:val="00730B96"/>
    <w:rsid w:val="00731CC6"/>
    <w:rsid w:val="007335BD"/>
    <w:rsid w:val="00734103"/>
    <w:rsid w:val="0073475E"/>
    <w:rsid w:val="00734CFE"/>
    <w:rsid w:val="00734F1B"/>
    <w:rsid w:val="00734F2E"/>
    <w:rsid w:val="007362F4"/>
    <w:rsid w:val="00736707"/>
    <w:rsid w:val="007374DB"/>
    <w:rsid w:val="007404DF"/>
    <w:rsid w:val="007470ED"/>
    <w:rsid w:val="00750388"/>
    <w:rsid w:val="007506B8"/>
    <w:rsid w:val="00751EA9"/>
    <w:rsid w:val="007532A9"/>
    <w:rsid w:val="00753E84"/>
    <w:rsid w:val="00754C82"/>
    <w:rsid w:val="00755A77"/>
    <w:rsid w:val="00755B13"/>
    <w:rsid w:val="00755C37"/>
    <w:rsid w:val="00756DB3"/>
    <w:rsid w:val="007571F2"/>
    <w:rsid w:val="007574DF"/>
    <w:rsid w:val="007607D5"/>
    <w:rsid w:val="007635B2"/>
    <w:rsid w:val="0076386D"/>
    <w:rsid w:val="00765EB5"/>
    <w:rsid w:val="00767B3E"/>
    <w:rsid w:val="00771193"/>
    <w:rsid w:val="00771486"/>
    <w:rsid w:val="00772135"/>
    <w:rsid w:val="00772261"/>
    <w:rsid w:val="00773139"/>
    <w:rsid w:val="00773149"/>
    <w:rsid w:val="00774989"/>
    <w:rsid w:val="00774CF8"/>
    <w:rsid w:val="007814FF"/>
    <w:rsid w:val="0078206A"/>
    <w:rsid w:val="00782F7C"/>
    <w:rsid w:val="0078331E"/>
    <w:rsid w:val="007836C0"/>
    <w:rsid w:val="00784160"/>
    <w:rsid w:val="00790106"/>
    <w:rsid w:val="00790D5F"/>
    <w:rsid w:val="00791045"/>
    <w:rsid w:val="00795056"/>
    <w:rsid w:val="00797229"/>
    <w:rsid w:val="00797DDB"/>
    <w:rsid w:val="007A0645"/>
    <w:rsid w:val="007A0F27"/>
    <w:rsid w:val="007B1136"/>
    <w:rsid w:val="007B3A44"/>
    <w:rsid w:val="007B4108"/>
    <w:rsid w:val="007B5ED6"/>
    <w:rsid w:val="007B63B1"/>
    <w:rsid w:val="007B688B"/>
    <w:rsid w:val="007B76B3"/>
    <w:rsid w:val="007C20EE"/>
    <w:rsid w:val="007C2BBA"/>
    <w:rsid w:val="007C6843"/>
    <w:rsid w:val="007C7BDF"/>
    <w:rsid w:val="007D178B"/>
    <w:rsid w:val="007D17ED"/>
    <w:rsid w:val="007D2500"/>
    <w:rsid w:val="007D2C57"/>
    <w:rsid w:val="007D72EC"/>
    <w:rsid w:val="007D78E8"/>
    <w:rsid w:val="007D7D5A"/>
    <w:rsid w:val="007E3231"/>
    <w:rsid w:val="007F0F9A"/>
    <w:rsid w:val="007F2EFD"/>
    <w:rsid w:val="007F4D35"/>
    <w:rsid w:val="007F566F"/>
    <w:rsid w:val="007F74CE"/>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15E"/>
    <w:rsid w:val="00830BB1"/>
    <w:rsid w:val="008327CE"/>
    <w:rsid w:val="00833D81"/>
    <w:rsid w:val="0083560B"/>
    <w:rsid w:val="00836694"/>
    <w:rsid w:val="008376FD"/>
    <w:rsid w:val="008444FD"/>
    <w:rsid w:val="008455FA"/>
    <w:rsid w:val="0084565D"/>
    <w:rsid w:val="008462F0"/>
    <w:rsid w:val="00846649"/>
    <w:rsid w:val="0085431F"/>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761"/>
    <w:rsid w:val="00885C43"/>
    <w:rsid w:val="00886402"/>
    <w:rsid w:val="00887986"/>
    <w:rsid w:val="00890A72"/>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E0"/>
    <w:rsid w:val="008C33F8"/>
    <w:rsid w:val="008C468E"/>
    <w:rsid w:val="008C6271"/>
    <w:rsid w:val="008C6FBE"/>
    <w:rsid w:val="008C7211"/>
    <w:rsid w:val="008D07F4"/>
    <w:rsid w:val="008D125C"/>
    <w:rsid w:val="008D2884"/>
    <w:rsid w:val="008D2E17"/>
    <w:rsid w:val="008D460A"/>
    <w:rsid w:val="008D79B2"/>
    <w:rsid w:val="008D7ED0"/>
    <w:rsid w:val="008E0A8B"/>
    <w:rsid w:val="008E2972"/>
    <w:rsid w:val="008E30E9"/>
    <w:rsid w:val="008E5F44"/>
    <w:rsid w:val="008F18D1"/>
    <w:rsid w:val="008F3077"/>
    <w:rsid w:val="008F4FEE"/>
    <w:rsid w:val="008F5106"/>
    <w:rsid w:val="008F5B95"/>
    <w:rsid w:val="0090274A"/>
    <w:rsid w:val="00902F50"/>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5E0C"/>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35C3"/>
    <w:rsid w:val="009648D4"/>
    <w:rsid w:val="0096513A"/>
    <w:rsid w:val="009652F7"/>
    <w:rsid w:val="009667CE"/>
    <w:rsid w:val="00966881"/>
    <w:rsid w:val="00967CB3"/>
    <w:rsid w:val="00970704"/>
    <w:rsid w:val="00970AEA"/>
    <w:rsid w:val="009716A9"/>
    <w:rsid w:val="009718BD"/>
    <w:rsid w:val="00971D46"/>
    <w:rsid w:val="00972E6E"/>
    <w:rsid w:val="00973523"/>
    <w:rsid w:val="00973B0C"/>
    <w:rsid w:val="00976143"/>
    <w:rsid w:val="0097695C"/>
    <w:rsid w:val="00976A46"/>
    <w:rsid w:val="00977C67"/>
    <w:rsid w:val="009805F0"/>
    <w:rsid w:val="00981128"/>
    <w:rsid w:val="00981767"/>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6C3"/>
    <w:rsid w:val="009B0F66"/>
    <w:rsid w:val="009B17E9"/>
    <w:rsid w:val="009B29D4"/>
    <w:rsid w:val="009B2F8B"/>
    <w:rsid w:val="009B303D"/>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9F7BBB"/>
    <w:rsid w:val="00A02216"/>
    <w:rsid w:val="00A0380E"/>
    <w:rsid w:val="00A03872"/>
    <w:rsid w:val="00A06458"/>
    <w:rsid w:val="00A06776"/>
    <w:rsid w:val="00A07959"/>
    <w:rsid w:val="00A124BC"/>
    <w:rsid w:val="00A13877"/>
    <w:rsid w:val="00A15161"/>
    <w:rsid w:val="00A1689C"/>
    <w:rsid w:val="00A20459"/>
    <w:rsid w:val="00A21507"/>
    <w:rsid w:val="00A23355"/>
    <w:rsid w:val="00A24B24"/>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5F32"/>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264F"/>
    <w:rsid w:val="00A8300F"/>
    <w:rsid w:val="00A83DB8"/>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93A"/>
    <w:rsid w:val="00AA7ACA"/>
    <w:rsid w:val="00AA7D7D"/>
    <w:rsid w:val="00AB0779"/>
    <w:rsid w:val="00AB2549"/>
    <w:rsid w:val="00AB546C"/>
    <w:rsid w:val="00AB5D11"/>
    <w:rsid w:val="00AB62CD"/>
    <w:rsid w:val="00AB745F"/>
    <w:rsid w:val="00AB7EDB"/>
    <w:rsid w:val="00AC1CD2"/>
    <w:rsid w:val="00AC515D"/>
    <w:rsid w:val="00AC730A"/>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1E3A"/>
    <w:rsid w:val="00B039FE"/>
    <w:rsid w:val="00B03C3D"/>
    <w:rsid w:val="00B03CA4"/>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544E"/>
    <w:rsid w:val="00B46027"/>
    <w:rsid w:val="00B47954"/>
    <w:rsid w:val="00B5059B"/>
    <w:rsid w:val="00B51CA8"/>
    <w:rsid w:val="00B51EFC"/>
    <w:rsid w:val="00B5298C"/>
    <w:rsid w:val="00B57F82"/>
    <w:rsid w:val="00B65EB6"/>
    <w:rsid w:val="00B65EF6"/>
    <w:rsid w:val="00B66304"/>
    <w:rsid w:val="00B67C32"/>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E38"/>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B7D71"/>
    <w:rsid w:val="00BC0755"/>
    <w:rsid w:val="00BC0D72"/>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07CFC"/>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29E"/>
    <w:rsid w:val="00C30C8A"/>
    <w:rsid w:val="00C315A7"/>
    <w:rsid w:val="00C3183B"/>
    <w:rsid w:val="00C3244B"/>
    <w:rsid w:val="00C32980"/>
    <w:rsid w:val="00C34B4C"/>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2CCA"/>
    <w:rsid w:val="00C731F0"/>
    <w:rsid w:val="00C74F26"/>
    <w:rsid w:val="00C75025"/>
    <w:rsid w:val="00C7503E"/>
    <w:rsid w:val="00C75C10"/>
    <w:rsid w:val="00C75E36"/>
    <w:rsid w:val="00C771DE"/>
    <w:rsid w:val="00C814A3"/>
    <w:rsid w:val="00C81634"/>
    <w:rsid w:val="00C81879"/>
    <w:rsid w:val="00C822A0"/>
    <w:rsid w:val="00C836A9"/>
    <w:rsid w:val="00C8489E"/>
    <w:rsid w:val="00C84D9E"/>
    <w:rsid w:val="00C85437"/>
    <w:rsid w:val="00C856CB"/>
    <w:rsid w:val="00C8595A"/>
    <w:rsid w:val="00C86972"/>
    <w:rsid w:val="00C9201A"/>
    <w:rsid w:val="00C95318"/>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0669E"/>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57CF2"/>
    <w:rsid w:val="00D6024D"/>
    <w:rsid w:val="00D61327"/>
    <w:rsid w:val="00D6181B"/>
    <w:rsid w:val="00D62AE1"/>
    <w:rsid w:val="00D63329"/>
    <w:rsid w:val="00D63A1D"/>
    <w:rsid w:val="00D64838"/>
    <w:rsid w:val="00D652F6"/>
    <w:rsid w:val="00D65414"/>
    <w:rsid w:val="00D706C7"/>
    <w:rsid w:val="00D70AEC"/>
    <w:rsid w:val="00D72AE4"/>
    <w:rsid w:val="00D742A4"/>
    <w:rsid w:val="00D744E8"/>
    <w:rsid w:val="00D74E7D"/>
    <w:rsid w:val="00D75405"/>
    <w:rsid w:val="00D76D98"/>
    <w:rsid w:val="00D77FF5"/>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1B3"/>
    <w:rsid w:val="00DA7766"/>
    <w:rsid w:val="00DB0574"/>
    <w:rsid w:val="00DB0D15"/>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6228"/>
    <w:rsid w:val="00DF747E"/>
    <w:rsid w:val="00E003CD"/>
    <w:rsid w:val="00E03679"/>
    <w:rsid w:val="00E03BED"/>
    <w:rsid w:val="00E04DC5"/>
    <w:rsid w:val="00E05578"/>
    <w:rsid w:val="00E07502"/>
    <w:rsid w:val="00E12E8C"/>
    <w:rsid w:val="00E1337E"/>
    <w:rsid w:val="00E147A2"/>
    <w:rsid w:val="00E15C29"/>
    <w:rsid w:val="00E15DB3"/>
    <w:rsid w:val="00E17D34"/>
    <w:rsid w:val="00E17FF3"/>
    <w:rsid w:val="00E21079"/>
    <w:rsid w:val="00E217AD"/>
    <w:rsid w:val="00E23E0E"/>
    <w:rsid w:val="00E244B3"/>
    <w:rsid w:val="00E245DC"/>
    <w:rsid w:val="00E272C6"/>
    <w:rsid w:val="00E274FC"/>
    <w:rsid w:val="00E27805"/>
    <w:rsid w:val="00E2792C"/>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2B1"/>
    <w:rsid w:val="00E53A87"/>
    <w:rsid w:val="00E5424C"/>
    <w:rsid w:val="00E56250"/>
    <w:rsid w:val="00E60649"/>
    <w:rsid w:val="00E60EB8"/>
    <w:rsid w:val="00E61433"/>
    <w:rsid w:val="00E61726"/>
    <w:rsid w:val="00E623AE"/>
    <w:rsid w:val="00E6300F"/>
    <w:rsid w:val="00E63A0B"/>
    <w:rsid w:val="00E63B4A"/>
    <w:rsid w:val="00E64C83"/>
    <w:rsid w:val="00E6550A"/>
    <w:rsid w:val="00E7163A"/>
    <w:rsid w:val="00E723C8"/>
    <w:rsid w:val="00E72B63"/>
    <w:rsid w:val="00E75041"/>
    <w:rsid w:val="00E75710"/>
    <w:rsid w:val="00E75A6E"/>
    <w:rsid w:val="00E773DF"/>
    <w:rsid w:val="00E77788"/>
    <w:rsid w:val="00E85DF1"/>
    <w:rsid w:val="00E86124"/>
    <w:rsid w:val="00E866FF"/>
    <w:rsid w:val="00E867BD"/>
    <w:rsid w:val="00E9054A"/>
    <w:rsid w:val="00E91025"/>
    <w:rsid w:val="00E9109E"/>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5FE"/>
    <w:rsid w:val="00F028A0"/>
    <w:rsid w:val="00F02BC8"/>
    <w:rsid w:val="00F051CE"/>
    <w:rsid w:val="00F06C8C"/>
    <w:rsid w:val="00F14ED2"/>
    <w:rsid w:val="00F20B79"/>
    <w:rsid w:val="00F20BE0"/>
    <w:rsid w:val="00F2238C"/>
    <w:rsid w:val="00F230D6"/>
    <w:rsid w:val="00F275EE"/>
    <w:rsid w:val="00F27CFB"/>
    <w:rsid w:val="00F301F8"/>
    <w:rsid w:val="00F31CDD"/>
    <w:rsid w:val="00F32E77"/>
    <w:rsid w:val="00F3629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115C"/>
    <w:rsid w:val="00F628E5"/>
    <w:rsid w:val="00F62D63"/>
    <w:rsid w:val="00F63B30"/>
    <w:rsid w:val="00F65642"/>
    <w:rsid w:val="00F6619B"/>
    <w:rsid w:val="00F66401"/>
    <w:rsid w:val="00F7338E"/>
    <w:rsid w:val="00F768EB"/>
    <w:rsid w:val="00F77845"/>
    <w:rsid w:val="00F8004A"/>
    <w:rsid w:val="00F80769"/>
    <w:rsid w:val="00F80B33"/>
    <w:rsid w:val="00F8340D"/>
    <w:rsid w:val="00F835BA"/>
    <w:rsid w:val="00F85B55"/>
    <w:rsid w:val="00F864A5"/>
    <w:rsid w:val="00F8749A"/>
    <w:rsid w:val="00F90F69"/>
    <w:rsid w:val="00F92AB0"/>
    <w:rsid w:val="00F92F32"/>
    <w:rsid w:val="00F92FA0"/>
    <w:rsid w:val="00F94922"/>
    <w:rsid w:val="00F964B6"/>
    <w:rsid w:val="00F968C9"/>
    <w:rsid w:val="00F97CCD"/>
    <w:rsid w:val="00FA09E1"/>
    <w:rsid w:val="00FA0A00"/>
    <w:rsid w:val="00FA594E"/>
    <w:rsid w:val="00FA7679"/>
    <w:rsid w:val="00FB2A39"/>
    <w:rsid w:val="00FB4D01"/>
    <w:rsid w:val="00FB500C"/>
    <w:rsid w:val="00FB574A"/>
    <w:rsid w:val="00FB66FD"/>
    <w:rsid w:val="00FB684A"/>
    <w:rsid w:val="00FC09F4"/>
    <w:rsid w:val="00FC1854"/>
    <w:rsid w:val="00FC3DA6"/>
    <w:rsid w:val="00FC417B"/>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E7FAB"/>
    <w:rsid w:val="00FF05E5"/>
    <w:rsid w:val="00FF18E0"/>
    <w:rsid w:val="00FF1E49"/>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1C045D"/>
  <w15:docId w15:val="{61ED1B89-1827-421E-9621-D38261E5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1">
    <w:name w:val="heading 1"/>
    <w:basedOn w:val="Normal"/>
    <w:next w:val="Normal"/>
    <w:link w:val="Heading1Char"/>
    <w:uiPriority w:val="9"/>
    <w:qFormat/>
    <w:rsid w:val="000333A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925E0C"/>
  </w:style>
  <w:style w:type="character" w:customStyle="1" w:styleId="Heading1Char">
    <w:name w:val="Heading 1 Char"/>
    <w:basedOn w:val="DefaultParagraphFont"/>
    <w:link w:val="Heading1"/>
    <w:uiPriority w:val="9"/>
    <w:rsid w:val="000333A0"/>
    <w:rPr>
      <w:rFonts w:asciiTheme="majorHAnsi" w:eastAsiaTheme="majorEastAsia" w:hAnsiTheme="majorHAnsi" w:cstheme="majorBidi"/>
      <w:color w:val="365F91" w:themeColor="accent1" w:themeShade="BF"/>
      <w:sz w:val="32"/>
      <w:szCs w:val="32"/>
    </w:rPr>
  </w:style>
  <w:style w:type="paragraph" w:customStyle="1" w:styleId="List-NoSpaces">
    <w:name w:val="# List - No Spaces"/>
    <w:basedOn w:val="Normal"/>
    <w:link w:val="List-NoSpacesChar"/>
    <w:qFormat/>
    <w:rsid w:val="000333A0"/>
    <w:pPr>
      <w:numPr>
        <w:numId w:val="46"/>
      </w:numPr>
      <w:spacing w:before="240" w:after="240"/>
      <w:contextualSpacing/>
      <w:jc w:val="both"/>
    </w:pPr>
    <w:rPr>
      <w:rFonts w:ascii="Arial" w:eastAsiaTheme="minorHAnsi" w:hAnsi="Arial" w:cstheme="minorBidi"/>
      <w:szCs w:val="24"/>
    </w:rPr>
  </w:style>
  <w:style w:type="character" w:customStyle="1" w:styleId="List-NoSpacesChar">
    <w:name w:val="# List - No Spaces Char"/>
    <w:basedOn w:val="DefaultParagraphFont"/>
    <w:link w:val="List-NoSpaces"/>
    <w:rsid w:val="000333A0"/>
    <w:rPr>
      <w:rFonts w:ascii="Arial" w:eastAsiaTheme="minorHAnsi" w:hAnsi="Arial"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C4AA5-7326-4E4E-A46E-7A9D77D4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Popochock, Hiedi</cp:lastModifiedBy>
  <cp:revision>9</cp:revision>
  <cp:lastPrinted>2017-01-06T17:39:00Z</cp:lastPrinted>
  <dcterms:created xsi:type="dcterms:W3CDTF">2017-01-06T22:40:00Z</dcterms:created>
  <dcterms:modified xsi:type="dcterms:W3CDTF">2017-01-18T22:28:00Z</dcterms:modified>
</cp:coreProperties>
</file>