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1980"/>
        <w:gridCol w:w="1620"/>
        <w:gridCol w:w="3150"/>
      </w:tblGrid>
      <w:tr w:rsidR="007A0C3D" w:rsidRPr="004C7887" w14:paraId="02F064AB" w14:textId="77777777" w:rsidTr="004F1768">
        <w:tc>
          <w:tcPr>
            <w:tcW w:w="2322" w:type="dxa"/>
            <w:vAlign w:val="center"/>
          </w:tcPr>
          <w:p w14:paraId="08594716" w14:textId="77777777" w:rsidR="007A0C3D" w:rsidRPr="004C7887" w:rsidRDefault="007A0C3D">
            <w:pPr>
              <w:snapToGrid w:val="0"/>
              <w:spacing w:before="20" w:after="20"/>
              <w:ind w:left="-3"/>
              <w:rPr>
                <w:rFonts w:ascii="Arial" w:hAnsi="Arial" w:cs="Arial"/>
                <w:b/>
              </w:rPr>
            </w:pPr>
            <w:r w:rsidRPr="004C7887">
              <w:rPr>
                <w:rFonts w:ascii="Arial" w:hAnsi="Arial" w:cs="Arial"/>
                <w:b/>
              </w:rPr>
              <w:t>Agenda Item No.:</w:t>
            </w:r>
          </w:p>
        </w:tc>
        <w:tc>
          <w:tcPr>
            <w:tcW w:w="1980" w:type="dxa"/>
            <w:vAlign w:val="center"/>
          </w:tcPr>
          <w:p w14:paraId="6408DDF3" w14:textId="2FA6B14D" w:rsidR="007A0C3D" w:rsidRPr="006F74CC" w:rsidRDefault="00A84FAA" w:rsidP="00DB46C0">
            <w:pPr>
              <w:snapToGrid w:val="0"/>
              <w:spacing w:before="20" w:after="20"/>
              <w:ind w:left="-3"/>
              <w:rPr>
                <w:rFonts w:ascii="Arial" w:hAnsi="Arial" w:cs="Arial"/>
              </w:rPr>
            </w:pPr>
            <w:r>
              <w:rPr>
                <w:rFonts w:ascii="Arial" w:hAnsi="Arial" w:cs="Arial"/>
              </w:rPr>
              <w:t>5</w:t>
            </w:r>
          </w:p>
        </w:tc>
        <w:tc>
          <w:tcPr>
            <w:tcW w:w="1620" w:type="dxa"/>
            <w:vAlign w:val="center"/>
          </w:tcPr>
          <w:p w14:paraId="43378DA4" w14:textId="77777777" w:rsidR="007A0C3D" w:rsidRPr="004C7887" w:rsidRDefault="007A0C3D">
            <w:pPr>
              <w:snapToGrid w:val="0"/>
              <w:spacing w:before="20" w:after="20"/>
              <w:ind w:left="-3"/>
              <w:rPr>
                <w:rFonts w:ascii="Arial" w:hAnsi="Arial" w:cs="Arial"/>
                <w:b/>
              </w:rPr>
            </w:pPr>
            <w:r w:rsidRPr="004C7887">
              <w:rPr>
                <w:rFonts w:ascii="Arial" w:hAnsi="Arial" w:cs="Arial"/>
                <w:b/>
              </w:rPr>
              <w:t>Date:</w:t>
            </w:r>
          </w:p>
        </w:tc>
        <w:tc>
          <w:tcPr>
            <w:tcW w:w="3150" w:type="dxa"/>
            <w:vAlign w:val="center"/>
          </w:tcPr>
          <w:p w14:paraId="4541A8AA" w14:textId="0C70B026" w:rsidR="007A0C3D" w:rsidRPr="006F74CC" w:rsidRDefault="007324F5">
            <w:pPr>
              <w:snapToGrid w:val="0"/>
              <w:spacing w:before="20" w:after="20"/>
              <w:ind w:left="-3"/>
              <w:rPr>
                <w:rFonts w:ascii="Arial" w:hAnsi="Arial" w:cs="Arial"/>
              </w:rPr>
            </w:pPr>
            <w:r>
              <w:rPr>
                <w:rFonts w:ascii="Arial" w:hAnsi="Arial" w:cs="Arial"/>
              </w:rPr>
              <w:t>March 15, 2016</w:t>
            </w:r>
          </w:p>
        </w:tc>
      </w:tr>
      <w:tr w:rsidR="007A0C3D" w:rsidRPr="004C7887" w14:paraId="2AE9B9C4" w14:textId="77777777" w:rsidTr="004F1768">
        <w:tc>
          <w:tcPr>
            <w:tcW w:w="2322" w:type="dxa"/>
          </w:tcPr>
          <w:p w14:paraId="5B529E9B" w14:textId="77777777" w:rsidR="007A0C3D" w:rsidRPr="004C7887" w:rsidRDefault="00E2358A" w:rsidP="00CC2C91">
            <w:pPr>
              <w:snapToGrid w:val="0"/>
              <w:spacing w:before="20" w:after="20"/>
              <w:ind w:left="-3"/>
              <w:rPr>
                <w:rFonts w:ascii="Arial" w:hAnsi="Arial" w:cs="Arial"/>
                <w:b/>
              </w:rPr>
            </w:pPr>
            <w:r w:rsidRPr="004C7887">
              <w:rPr>
                <w:rFonts w:ascii="Arial" w:hAnsi="Arial" w:cs="Arial"/>
                <w:b/>
              </w:rPr>
              <w:t xml:space="preserve">Proposed </w:t>
            </w:r>
            <w:r w:rsidR="007A0C3D" w:rsidRPr="004C7887">
              <w:rPr>
                <w:rFonts w:ascii="Arial" w:hAnsi="Arial" w:cs="Arial"/>
                <w:b/>
              </w:rPr>
              <w:t>No.:</w:t>
            </w:r>
          </w:p>
        </w:tc>
        <w:tc>
          <w:tcPr>
            <w:tcW w:w="1980" w:type="dxa"/>
          </w:tcPr>
          <w:p w14:paraId="0B9B79C7" w14:textId="3F16B1A5" w:rsidR="007A0C3D" w:rsidRPr="006F74CC" w:rsidRDefault="00F64FED" w:rsidP="00DD0705">
            <w:pPr>
              <w:snapToGrid w:val="0"/>
              <w:spacing w:before="20" w:after="20"/>
              <w:ind w:left="-3"/>
              <w:rPr>
                <w:rFonts w:ascii="Arial" w:hAnsi="Arial" w:cs="Arial"/>
              </w:rPr>
            </w:pPr>
            <w:r>
              <w:rPr>
                <w:rFonts w:ascii="Arial" w:hAnsi="Arial" w:cs="Arial"/>
              </w:rPr>
              <w:t>2016-0116</w:t>
            </w:r>
          </w:p>
        </w:tc>
        <w:tc>
          <w:tcPr>
            <w:tcW w:w="1620" w:type="dxa"/>
          </w:tcPr>
          <w:p w14:paraId="669B8D20" w14:textId="77777777" w:rsidR="007A0C3D" w:rsidRPr="004C7887" w:rsidRDefault="007A0C3D">
            <w:pPr>
              <w:snapToGrid w:val="0"/>
              <w:spacing w:before="20" w:after="20"/>
              <w:ind w:left="-3"/>
              <w:rPr>
                <w:rFonts w:ascii="Arial" w:hAnsi="Arial" w:cs="Arial"/>
                <w:b/>
              </w:rPr>
            </w:pPr>
            <w:r w:rsidRPr="004C7887">
              <w:rPr>
                <w:rFonts w:ascii="Arial" w:hAnsi="Arial" w:cs="Arial"/>
                <w:b/>
              </w:rPr>
              <w:t>Prepared by:</w:t>
            </w:r>
          </w:p>
        </w:tc>
        <w:tc>
          <w:tcPr>
            <w:tcW w:w="3150" w:type="dxa"/>
          </w:tcPr>
          <w:p w14:paraId="7881E98D" w14:textId="5E7310BC" w:rsidR="00E96D7C" w:rsidRPr="006F74CC" w:rsidRDefault="00A93043" w:rsidP="003919EE">
            <w:pPr>
              <w:snapToGrid w:val="0"/>
              <w:spacing w:before="20" w:after="20"/>
              <w:ind w:left="-3"/>
              <w:rPr>
                <w:rFonts w:ascii="Arial" w:hAnsi="Arial" w:cs="Arial"/>
              </w:rPr>
            </w:pPr>
            <w:r>
              <w:rPr>
                <w:rFonts w:ascii="Arial" w:hAnsi="Arial" w:cs="Arial"/>
              </w:rPr>
              <w:t>Scarlett Aldebot-Green</w:t>
            </w:r>
          </w:p>
        </w:tc>
      </w:tr>
    </w:tbl>
    <w:p w14:paraId="63884B46" w14:textId="52A13DAA" w:rsidR="007A0C3D" w:rsidRPr="004C7887" w:rsidRDefault="007A0C3D">
      <w:pPr>
        <w:jc w:val="center"/>
        <w:rPr>
          <w:rFonts w:ascii="Arial" w:hAnsi="Arial" w:cs="Arial"/>
        </w:rPr>
      </w:pPr>
    </w:p>
    <w:p w14:paraId="6A18216E" w14:textId="77777777" w:rsidR="008778F7" w:rsidRDefault="008778F7" w:rsidP="008778F7">
      <w:pPr>
        <w:tabs>
          <w:tab w:val="left" w:pos="360"/>
        </w:tabs>
        <w:spacing w:after="240"/>
        <w:rPr>
          <w:rFonts w:ascii="Arial" w:hAnsi="Arial" w:cs="Arial"/>
          <w:b/>
          <w:caps/>
          <w:color w:val="000000"/>
          <w:u w:val="single"/>
        </w:rPr>
      </w:pPr>
      <w:r w:rsidRPr="003C2A86">
        <w:rPr>
          <w:rFonts w:ascii="Arial" w:hAnsi="Arial" w:cs="Arial"/>
          <w:b/>
          <w:caps/>
          <w:color w:val="000000"/>
          <w:u w:val="single"/>
        </w:rPr>
        <w:t>SU</w:t>
      </w:r>
      <w:r>
        <w:rPr>
          <w:rFonts w:ascii="Arial" w:hAnsi="Arial" w:cs="Arial"/>
          <w:b/>
          <w:caps/>
          <w:color w:val="000000"/>
          <w:u w:val="single"/>
        </w:rPr>
        <w:t>BJECT</w:t>
      </w:r>
    </w:p>
    <w:p w14:paraId="6EDECFFB" w14:textId="77607ABF" w:rsidR="00BB6F96" w:rsidRDefault="008A4C13" w:rsidP="00D91E9D">
      <w:pPr>
        <w:tabs>
          <w:tab w:val="left" w:pos="360"/>
        </w:tabs>
        <w:spacing w:after="240"/>
        <w:jc w:val="both"/>
        <w:rPr>
          <w:rFonts w:ascii="Arial" w:hAnsi="Arial" w:cs="Arial"/>
          <w:color w:val="000000"/>
        </w:rPr>
      </w:pPr>
      <w:r>
        <w:rPr>
          <w:rFonts w:ascii="Arial" w:hAnsi="Arial" w:cs="Arial"/>
          <w:color w:val="000000"/>
        </w:rPr>
        <w:t xml:space="preserve">A </w:t>
      </w:r>
      <w:r w:rsidR="007D4D82">
        <w:rPr>
          <w:rFonts w:ascii="Arial" w:hAnsi="Arial" w:cs="Arial"/>
          <w:color w:val="000000"/>
        </w:rPr>
        <w:t xml:space="preserve">MOTION accepting the Department of Community and Human Services </w:t>
      </w:r>
      <w:r w:rsidR="0005258C">
        <w:rPr>
          <w:rFonts w:ascii="Arial" w:hAnsi="Arial" w:cs="Arial"/>
          <w:color w:val="000000"/>
        </w:rPr>
        <w:t xml:space="preserve">(DCHS) </w:t>
      </w:r>
      <w:r w:rsidR="007D4D82">
        <w:rPr>
          <w:rFonts w:ascii="Arial" w:hAnsi="Arial" w:cs="Arial"/>
          <w:color w:val="000000"/>
        </w:rPr>
        <w:t xml:space="preserve">Behavioral Health Integration IT </w:t>
      </w:r>
      <w:r w:rsidR="0005258C">
        <w:rPr>
          <w:rFonts w:ascii="Arial" w:hAnsi="Arial" w:cs="Arial"/>
          <w:color w:val="000000"/>
        </w:rPr>
        <w:t xml:space="preserve">Data Consolidation </w:t>
      </w:r>
      <w:r w:rsidR="007D4D82">
        <w:rPr>
          <w:rFonts w:ascii="Arial" w:hAnsi="Arial" w:cs="Arial"/>
          <w:color w:val="000000"/>
        </w:rPr>
        <w:t>project</w:t>
      </w:r>
      <w:r w:rsidR="00F64FED">
        <w:rPr>
          <w:rFonts w:ascii="Arial" w:hAnsi="Arial" w:cs="Arial"/>
          <w:color w:val="000000"/>
        </w:rPr>
        <w:t>’s second</w:t>
      </w:r>
      <w:r w:rsidR="007D4D82">
        <w:rPr>
          <w:rFonts w:ascii="Arial" w:hAnsi="Arial" w:cs="Arial"/>
          <w:color w:val="000000"/>
        </w:rPr>
        <w:t xml:space="preserve"> status report.</w:t>
      </w:r>
    </w:p>
    <w:p w14:paraId="7EBCA9AC" w14:textId="77777777" w:rsidR="0048481F" w:rsidRDefault="004C7887" w:rsidP="0031607A">
      <w:pPr>
        <w:tabs>
          <w:tab w:val="left" w:pos="360"/>
        </w:tabs>
        <w:spacing w:after="240"/>
        <w:jc w:val="both"/>
        <w:rPr>
          <w:rFonts w:ascii="Arial" w:hAnsi="Arial" w:cs="Arial"/>
          <w:b/>
          <w:caps/>
          <w:color w:val="000000"/>
          <w:u w:val="single"/>
        </w:rPr>
      </w:pPr>
      <w:r w:rsidRPr="003C2A86">
        <w:rPr>
          <w:rFonts w:ascii="Arial" w:hAnsi="Arial" w:cs="Arial"/>
          <w:b/>
          <w:caps/>
          <w:color w:val="000000"/>
          <w:u w:val="single"/>
        </w:rPr>
        <w:t>SUMMARY</w:t>
      </w:r>
    </w:p>
    <w:p w14:paraId="453C5D83" w14:textId="4F209872" w:rsidR="007D4D82" w:rsidRDefault="007D4D82" w:rsidP="00A85C5A">
      <w:pPr>
        <w:rPr>
          <w:rFonts w:ascii="Arial" w:hAnsi="Arial" w:cs="Arial"/>
          <w:color w:val="000000"/>
        </w:rPr>
      </w:pPr>
      <w:r>
        <w:rPr>
          <w:rFonts w:ascii="Arial" w:hAnsi="Arial" w:cs="Arial"/>
          <w:color w:val="000000"/>
        </w:rPr>
        <w:t xml:space="preserve">Ordinance 18810, Section 60, </w:t>
      </w:r>
      <w:r w:rsidR="0001409C">
        <w:rPr>
          <w:rFonts w:ascii="Arial" w:hAnsi="Arial" w:cs="Arial"/>
          <w:color w:val="000000"/>
        </w:rPr>
        <w:t>Proviso P10, passed by the c</w:t>
      </w:r>
      <w:r>
        <w:rPr>
          <w:rFonts w:ascii="Arial" w:hAnsi="Arial" w:cs="Arial"/>
          <w:color w:val="000000"/>
        </w:rPr>
        <w:t>ouncil on September 2015, required the executive to develop and submit for council review and approval two reports on the status of the Behavioral Health Integration IT Data Consolidation project.</w:t>
      </w:r>
      <w:r w:rsidR="0005258C">
        <w:rPr>
          <w:rFonts w:ascii="Arial" w:hAnsi="Arial" w:cs="Arial"/>
          <w:color w:val="000000"/>
        </w:rPr>
        <w:t xml:space="preserve"> Specifically, the</w:t>
      </w:r>
      <w:r w:rsidR="0001409C">
        <w:rPr>
          <w:rFonts w:ascii="Arial" w:hAnsi="Arial" w:cs="Arial"/>
          <w:color w:val="000000"/>
        </w:rPr>
        <w:t xml:space="preserve"> proviso</w:t>
      </w:r>
      <w:r w:rsidR="0005258C">
        <w:rPr>
          <w:rFonts w:ascii="Arial" w:hAnsi="Arial" w:cs="Arial"/>
          <w:color w:val="000000"/>
        </w:rPr>
        <w:t xml:space="preserve"> required</w:t>
      </w:r>
      <w:r w:rsidR="0001409C">
        <w:rPr>
          <w:rFonts w:ascii="Arial" w:hAnsi="Arial" w:cs="Arial"/>
          <w:color w:val="000000"/>
        </w:rPr>
        <w:t xml:space="preserve"> the report to include</w:t>
      </w:r>
      <w:r w:rsidR="0005258C">
        <w:rPr>
          <w:rFonts w:ascii="Arial" w:hAnsi="Arial" w:cs="Arial"/>
          <w:color w:val="000000"/>
        </w:rPr>
        <w:t xml:space="preserve"> an enumeration of expenditures to date; the status of state of Washington dependencies and their impact on the IT project including the status of the state database and the status on guidelines around federal confidentiality rules; and the status and timeline of provider readiness.  The proviso encumbered $400,000 appropriated to DCHS for the behavioral health integration IT project, $200,000 of which shall be released for expenditure upon transmittal of each report.  The first of these reports, due Nov. 16, 2015</w:t>
      </w:r>
      <w:r w:rsidR="0001409C">
        <w:rPr>
          <w:rFonts w:ascii="Arial" w:hAnsi="Arial" w:cs="Arial"/>
          <w:color w:val="000000"/>
        </w:rPr>
        <w:t>, was transmitted to c</w:t>
      </w:r>
      <w:r w:rsidR="0005258C">
        <w:rPr>
          <w:rFonts w:ascii="Arial" w:hAnsi="Arial" w:cs="Arial"/>
          <w:color w:val="000000"/>
        </w:rPr>
        <w:t xml:space="preserve">ouncil </w:t>
      </w:r>
      <w:r w:rsidR="00491EC6">
        <w:rPr>
          <w:rFonts w:ascii="Arial" w:hAnsi="Arial" w:cs="Arial"/>
          <w:color w:val="000000"/>
        </w:rPr>
        <w:t>before the deadline</w:t>
      </w:r>
      <w:r w:rsidR="00F64FED">
        <w:rPr>
          <w:rFonts w:ascii="Arial" w:hAnsi="Arial" w:cs="Arial"/>
          <w:color w:val="000000"/>
        </w:rPr>
        <w:t xml:space="preserve"> and was briefed before this committee on December 15, 2016.  </w:t>
      </w:r>
      <w:r w:rsidR="00EF7A28">
        <w:rPr>
          <w:rFonts w:ascii="Arial" w:hAnsi="Arial" w:cs="Arial"/>
          <w:color w:val="000000"/>
        </w:rPr>
        <w:t>Proposed Motion 2016-0116</w:t>
      </w:r>
      <w:r w:rsidR="00F64FED">
        <w:rPr>
          <w:rFonts w:ascii="Arial" w:hAnsi="Arial" w:cs="Arial"/>
          <w:color w:val="000000"/>
        </w:rPr>
        <w:t xml:space="preserve"> concerns the second of these reports, 2016-RPT0022.  </w:t>
      </w:r>
      <w:r w:rsidR="00E346FD">
        <w:rPr>
          <w:rFonts w:ascii="Arial" w:hAnsi="Arial" w:cs="Arial"/>
          <w:color w:val="000000"/>
        </w:rPr>
        <w:t>The latter</w:t>
      </w:r>
      <w:r w:rsidR="00F64FED">
        <w:rPr>
          <w:rFonts w:ascii="Arial" w:hAnsi="Arial" w:cs="Arial"/>
          <w:color w:val="000000"/>
        </w:rPr>
        <w:t xml:space="preserve"> report </w:t>
      </w:r>
      <w:r w:rsidR="0005258C">
        <w:rPr>
          <w:rFonts w:ascii="Arial" w:hAnsi="Arial" w:cs="Arial"/>
          <w:color w:val="000000"/>
        </w:rPr>
        <w:t>meets the proviso requirements.</w:t>
      </w:r>
    </w:p>
    <w:p w14:paraId="580CD4FF" w14:textId="77777777" w:rsidR="0005258C" w:rsidRDefault="0005258C" w:rsidP="00A85C5A">
      <w:pPr>
        <w:rPr>
          <w:rFonts w:ascii="Arial" w:hAnsi="Arial" w:cs="Arial"/>
          <w:color w:val="000000"/>
        </w:rPr>
      </w:pPr>
    </w:p>
    <w:p w14:paraId="0397C699" w14:textId="45BEECC2" w:rsidR="002672E0" w:rsidRDefault="0005258C" w:rsidP="002672E0">
      <w:pPr>
        <w:tabs>
          <w:tab w:val="left" w:pos="360"/>
        </w:tabs>
        <w:spacing w:after="240"/>
        <w:jc w:val="both"/>
        <w:rPr>
          <w:rFonts w:ascii="Arial" w:hAnsi="Arial" w:cs="Arial"/>
          <w:b/>
          <w:caps/>
          <w:color w:val="000000"/>
          <w:u w:val="single"/>
        </w:rPr>
      </w:pPr>
      <w:r>
        <w:rPr>
          <w:rFonts w:ascii="Arial" w:hAnsi="Arial" w:cs="Arial"/>
          <w:b/>
          <w:caps/>
          <w:color w:val="000000"/>
          <w:u w:val="single"/>
        </w:rPr>
        <w:t>B</w:t>
      </w:r>
      <w:r w:rsidR="002672E0">
        <w:rPr>
          <w:rFonts w:ascii="Arial" w:hAnsi="Arial" w:cs="Arial"/>
          <w:b/>
          <w:caps/>
          <w:color w:val="000000"/>
          <w:u w:val="single"/>
        </w:rPr>
        <w:t>ackground</w:t>
      </w:r>
    </w:p>
    <w:p w14:paraId="5022F43E" w14:textId="77777777" w:rsidR="009D3F4F" w:rsidRDefault="009D3F4F" w:rsidP="009D3F4F">
      <w:pPr>
        <w:rPr>
          <w:rFonts w:ascii="Arial" w:hAnsi="Arial" w:cs="Arial"/>
        </w:rPr>
      </w:pPr>
      <w:r>
        <w:rPr>
          <w:rFonts w:ascii="Arial" w:hAnsi="Arial" w:cs="Arial"/>
        </w:rPr>
        <w:t xml:space="preserve">In 2014, the Washington State Legislature passed Senate Bill 6312, which directed the state Department of Social and Health Services (DSHS) to restructure how it purchases chemical dependency and mental health services.  Presently, the process for purchasing mental health services and chemical dependency services are separate and different.  Per Senate Bill 6312, the state will be purchasing both of these services through regionally operated Behavioral Health Organizations (BHOs) via a managed care structure, or integrated purchasing, by April 1, 2016.  </w:t>
      </w:r>
    </w:p>
    <w:p w14:paraId="6C829FBB" w14:textId="77777777" w:rsidR="009D3F4F" w:rsidRDefault="009D3F4F" w:rsidP="00A85C5A">
      <w:pPr>
        <w:rPr>
          <w:rFonts w:ascii="Arial" w:hAnsi="Arial" w:cs="Arial"/>
          <w:color w:val="000000"/>
        </w:rPr>
      </w:pPr>
    </w:p>
    <w:p w14:paraId="0F6CD71D" w14:textId="0F63B191" w:rsidR="00D20670" w:rsidRDefault="00F35F83" w:rsidP="00A85C5A">
      <w:pPr>
        <w:rPr>
          <w:rFonts w:ascii="Arial" w:hAnsi="Arial" w:cs="Arial"/>
          <w:color w:val="000000"/>
        </w:rPr>
      </w:pPr>
      <w:r>
        <w:rPr>
          <w:rFonts w:ascii="Arial" w:hAnsi="Arial" w:cs="Arial"/>
          <w:color w:val="000000"/>
        </w:rPr>
        <w:lastRenderedPageBreak/>
        <w:t>The Behavioral Health and Recovery Division (BHRD)</w:t>
      </w:r>
      <w:r w:rsidRPr="00F35F83">
        <w:rPr>
          <w:rStyle w:val="FootnoteReference"/>
          <w:rFonts w:ascii="Arial" w:hAnsi="Arial" w:cs="Arial"/>
          <w:color w:val="000000"/>
        </w:rPr>
        <w:t xml:space="preserve"> </w:t>
      </w:r>
      <w:r>
        <w:rPr>
          <w:rStyle w:val="FootnoteReference"/>
          <w:rFonts w:ascii="Arial" w:hAnsi="Arial" w:cs="Arial"/>
          <w:color w:val="000000"/>
        </w:rPr>
        <w:footnoteReference w:id="1"/>
      </w:r>
      <w:r>
        <w:rPr>
          <w:rFonts w:ascii="Arial" w:hAnsi="Arial" w:cs="Arial"/>
          <w:color w:val="000000"/>
        </w:rPr>
        <w:t xml:space="preserve"> of the Department of Community and Human Services (DCHS) has been approved by WA State to serve</w:t>
      </w:r>
      <w:r w:rsidR="00CB3E1D">
        <w:rPr>
          <w:rFonts w:ascii="Arial" w:hAnsi="Arial" w:cs="Arial"/>
          <w:color w:val="000000"/>
        </w:rPr>
        <w:t xml:space="preserve"> as the Behavioral Health Organization (BHO) for the King County Region.  To serve as such, BHRD </w:t>
      </w:r>
      <w:r w:rsidR="00D20670">
        <w:rPr>
          <w:rFonts w:ascii="Arial" w:hAnsi="Arial" w:cs="Arial"/>
          <w:color w:val="000000"/>
        </w:rPr>
        <w:t xml:space="preserve">must upgrade its </w:t>
      </w:r>
      <w:r w:rsidR="005638FC">
        <w:rPr>
          <w:rFonts w:ascii="Arial" w:hAnsi="Arial" w:cs="Arial"/>
          <w:color w:val="000000"/>
        </w:rPr>
        <w:t>syst</w:t>
      </w:r>
      <w:r w:rsidR="00D20670">
        <w:rPr>
          <w:rFonts w:ascii="Arial" w:hAnsi="Arial" w:cs="Arial"/>
          <w:color w:val="000000"/>
        </w:rPr>
        <w:t xml:space="preserve">em for managing mental health services (MH) to allow for client recordkeeping, </w:t>
      </w:r>
      <w:r w:rsidR="00BE0F57">
        <w:rPr>
          <w:rFonts w:ascii="Arial" w:hAnsi="Arial" w:cs="Arial"/>
          <w:color w:val="000000"/>
        </w:rPr>
        <w:t xml:space="preserve">authorization of benefits, </w:t>
      </w:r>
      <w:r w:rsidR="00D20670">
        <w:rPr>
          <w:rFonts w:ascii="Arial" w:hAnsi="Arial" w:cs="Arial"/>
          <w:color w:val="000000"/>
        </w:rPr>
        <w:t>billing and payment for Substance Use Disorder (SUD) providers contracting with the county</w:t>
      </w:r>
      <w:r w:rsidR="005638FC">
        <w:rPr>
          <w:rFonts w:ascii="Arial" w:hAnsi="Arial" w:cs="Arial"/>
          <w:color w:val="000000"/>
        </w:rPr>
        <w:t xml:space="preserve"> under integrated care</w:t>
      </w:r>
      <w:r w:rsidR="00D20670">
        <w:rPr>
          <w:rFonts w:ascii="Arial" w:hAnsi="Arial" w:cs="Arial"/>
          <w:color w:val="000000"/>
        </w:rPr>
        <w:t xml:space="preserve">. </w:t>
      </w:r>
      <w:r w:rsidR="006432FB">
        <w:rPr>
          <w:rFonts w:ascii="Arial" w:hAnsi="Arial" w:cs="Arial"/>
          <w:color w:val="000000"/>
        </w:rPr>
        <w:t>BHRD sought to do this through the Behavioral Health Integration IT Data Consolidation project</w:t>
      </w:r>
      <w:r w:rsidR="001210AE">
        <w:rPr>
          <w:rFonts w:ascii="Arial" w:hAnsi="Arial" w:cs="Arial"/>
          <w:color w:val="000000"/>
        </w:rPr>
        <w:t>.  That project also</w:t>
      </w:r>
      <w:r w:rsidR="006432FB">
        <w:rPr>
          <w:rFonts w:ascii="Arial" w:hAnsi="Arial" w:cs="Arial"/>
          <w:color w:val="000000"/>
        </w:rPr>
        <w:t xml:space="preserve"> </w:t>
      </w:r>
      <w:r w:rsidR="0001409C">
        <w:rPr>
          <w:rFonts w:ascii="Arial" w:hAnsi="Arial" w:cs="Arial"/>
          <w:color w:val="000000"/>
        </w:rPr>
        <w:t>aimed</w:t>
      </w:r>
      <w:r w:rsidR="00D20670">
        <w:rPr>
          <w:rFonts w:ascii="Arial" w:hAnsi="Arial" w:cs="Arial"/>
          <w:color w:val="000000"/>
        </w:rPr>
        <w:t xml:space="preserve"> </w:t>
      </w:r>
      <w:r w:rsidR="0001409C">
        <w:rPr>
          <w:rFonts w:ascii="Arial" w:hAnsi="Arial" w:cs="Arial"/>
          <w:color w:val="000000"/>
        </w:rPr>
        <w:t>to modify the</w:t>
      </w:r>
      <w:r w:rsidR="00D20670">
        <w:rPr>
          <w:rFonts w:ascii="Arial" w:hAnsi="Arial" w:cs="Arial"/>
          <w:color w:val="000000"/>
        </w:rPr>
        <w:t xml:space="preserve"> system to </w:t>
      </w:r>
      <w:r w:rsidR="0001409C">
        <w:rPr>
          <w:rFonts w:ascii="Arial" w:hAnsi="Arial" w:cs="Arial"/>
          <w:color w:val="000000"/>
        </w:rPr>
        <w:t>facilitate its interfacing with new and modified databases</w:t>
      </w:r>
      <w:r w:rsidR="005638FC">
        <w:rPr>
          <w:rFonts w:ascii="Arial" w:hAnsi="Arial" w:cs="Arial"/>
          <w:color w:val="000000"/>
        </w:rPr>
        <w:t>.</w:t>
      </w:r>
      <w:r w:rsidR="00D20670">
        <w:rPr>
          <w:rFonts w:ascii="Arial" w:hAnsi="Arial" w:cs="Arial"/>
          <w:color w:val="000000"/>
        </w:rPr>
        <w:t xml:space="preserve">  </w:t>
      </w:r>
    </w:p>
    <w:p w14:paraId="6095F229" w14:textId="77777777" w:rsidR="00BE0F57" w:rsidRDefault="00BE0F57" w:rsidP="00A85C5A">
      <w:pPr>
        <w:rPr>
          <w:rFonts w:ascii="Arial" w:hAnsi="Arial" w:cs="Arial"/>
          <w:color w:val="000000"/>
        </w:rPr>
      </w:pPr>
    </w:p>
    <w:p w14:paraId="7DE22CD7" w14:textId="47C2C8B3" w:rsidR="007065FC" w:rsidRDefault="0001409C" w:rsidP="00A85C5A">
      <w:pPr>
        <w:rPr>
          <w:rFonts w:ascii="Arial" w:hAnsi="Arial" w:cs="Arial"/>
          <w:color w:val="000000"/>
        </w:rPr>
      </w:pPr>
      <w:r>
        <w:rPr>
          <w:rFonts w:ascii="Arial" w:hAnsi="Arial" w:cs="Arial"/>
          <w:color w:val="000000"/>
        </w:rPr>
        <w:t xml:space="preserve">The </w:t>
      </w:r>
      <w:r w:rsidR="00D20670">
        <w:rPr>
          <w:rFonts w:ascii="Arial" w:hAnsi="Arial" w:cs="Arial"/>
          <w:color w:val="000000"/>
        </w:rPr>
        <w:t>project propose</w:t>
      </w:r>
      <w:r w:rsidR="007065FC">
        <w:rPr>
          <w:rFonts w:ascii="Arial" w:hAnsi="Arial" w:cs="Arial"/>
          <w:color w:val="000000"/>
        </w:rPr>
        <w:t xml:space="preserve">d a range of changes to the mental health data system in order to adequately expand that system to serve the needs of the integrated BHO IT system.  </w:t>
      </w:r>
      <w:r w:rsidR="00E346FD">
        <w:rPr>
          <w:rFonts w:ascii="Arial" w:hAnsi="Arial" w:cs="Arial"/>
          <w:color w:val="000000"/>
        </w:rPr>
        <w:t xml:space="preserve">In September 2015, </w:t>
      </w:r>
      <w:r w:rsidR="009D3F4F">
        <w:rPr>
          <w:rFonts w:ascii="Arial" w:hAnsi="Arial" w:cs="Arial"/>
          <w:color w:val="000000"/>
        </w:rPr>
        <w:t>Council approved a $982,633 app</w:t>
      </w:r>
      <w:r w:rsidR="007065FC">
        <w:rPr>
          <w:rFonts w:ascii="Arial" w:hAnsi="Arial" w:cs="Arial"/>
          <w:color w:val="000000"/>
        </w:rPr>
        <w:t>ropriation request from DCHS</w:t>
      </w:r>
      <w:r w:rsidR="00E346FD">
        <w:rPr>
          <w:rFonts w:ascii="Arial" w:hAnsi="Arial" w:cs="Arial"/>
          <w:color w:val="000000"/>
        </w:rPr>
        <w:t xml:space="preserve"> to complete the project.</w:t>
      </w:r>
    </w:p>
    <w:p w14:paraId="485A4D41" w14:textId="77777777" w:rsidR="007065FC" w:rsidRDefault="007065FC" w:rsidP="00A85C5A">
      <w:pPr>
        <w:rPr>
          <w:rFonts w:ascii="Arial" w:hAnsi="Arial" w:cs="Arial"/>
          <w:color w:val="000000"/>
        </w:rPr>
      </w:pPr>
    </w:p>
    <w:p w14:paraId="294D3403" w14:textId="169A63C5" w:rsidR="001210AE" w:rsidRDefault="005638FC" w:rsidP="00A85C5A">
      <w:pPr>
        <w:rPr>
          <w:rFonts w:ascii="Arial" w:hAnsi="Arial" w:cs="Arial"/>
          <w:color w:val="000000"/>
        </w:rPr>
      </w:pPr>
      <w:r>
        <w:rPr>
          <w:rFonts w:ascii="Arial" w:hAnsi="Arial" w:cs="Arial"/>
          <w:color w:val="000000"/>
        </w:rPr>
        <w:t>Council provisoed $400,000</w:t>
      </w:r>
      <w:r w:rsidR="007065FC">
        <w:rPr>
          <w:rFonts w:ascii="Arial" w:hAnsi="Arial" w:cs="Arial"/>
          <w:color w:val="000000"/>
        </w:rPr>
        <w:t xml:space="preserve"> </w:t>
      </w:r>
      <w:r w:rsidR="001210AE">
        <w:rPr>
          <w:rFonts w:ascii="Arial" w:hAnsi="Arial" w:cs="Arial"/>
          <w:color w:val="000000"/>
        </w:rPr>
        <w:t>of that</w:t>
      </w:r>
      <w:r>
        <w:rPr>
          <w:rFonts w:ascii="Arial" w:hAnsi="Arial" w:cs="Arial"/>
          <w:color w:val="000000"/>
        </w:rPr>
        <w:t xml:space="preserve"> appropriation </w:t>
      </w:r>
      <w:r w:rsidR="007065FC">
        <w:rPr>
          <w:rFonts w:ascii="Arial" w:hAnsi="Arial" w:cs="Arial"/>
          <w:color w:val="000000"/>
        </w:rPr>
        <w:t xml:space="preserve">contingent on the transmittal of two reports on </w:t>
      </w:r>
      <w:r>
        <w:rPr>
          <w:rFonts w:ascii="Arial" w:hAnsi="Arial" w:cs="Arial"/>
          <w:color w:val="000000"/>
        </w:rPr>
        <w:t xml:space="preserve">expenditure status, </w:t>
      </w:r>
      <w:r w:rsidR="007065FC">
        <w:rPr>
          <w:rFonts w:ascii="Arial" w:hAnsi="Arial" w:cs="Arial"/>
          <w:color w:val="000000"/>
        </w:rPr>
        <w:t>state dependencies that could</w:t>
      </w:r>
      <w:r>
        <w:rPr>
          <w:rFonts w:ascii="Arial" w:hAnsi="Arial" w:cs="Arial"/>
          <w:color w:val="000000"/>
        </w:rPr>
        <w:t xml:space="preserve"> potentially impact the project and provider readiness.  </w:t>
      </w:r>
      <w:r w:rsidR="007065FC">
        <w:rPr>
          <w:rFonts w:ascii="Arial" w:hAnsi="Arial" w:cs="Arial"/>
          <w:color w:val="000000"/>
        </w:rPr>
        <w:t xml:space="preserve">Upon transmittal of each report, $200,000 of the encumbered funds shall be released for expenditure.  </w:t>
      </w:r>
      <w:r w:rsidR="001210AE">
        <w:rPr>
          <w:rFonts w:ascii="Arial" w:hAnsi="Arial" w:cs="Arial"/>
          <w:color w:val="000000"/>
        </w:rPr>
        <w:t>The first of these reports was transmitted in late 2015 and was briefed before this committee on Dec. 15, 2015.  The second report is the subject of today’s proposed motion, which would accept the report.</w:t>
      </w:r>
    </w:p>
    <w:p w14:paraId="1CA601CE" w14:textId="77777777" w:rsidR="001210AE" w:rsidRDefault="001210AE" w:rsidP="00A85C5A">
      <w:pPr>
        <w:rPr>
          <w:rFonts w:ascii="Arial" w:hAnsi="Arial" w:cs="Arial"/>
          <w:color w:val="000000"/>
        </w:rPr>
      </w:pPr>
    </w:p>
    <w:p w14:paraId="268030ED" w14:textId="77777777" w:rsidR="00DD6DD8" w:rsidRDefault="00DD6DD8" w:rsidP="00A85C5A">
      <w:pPr>
        <w:rPr>
          <w:rFonts w:ascii="Arial" w:hAnsi="Arial" w:cs="Arial"/>
        </w:rPr>
      </w:pPr>
    </w:p>
    <w:p w14:paraId="643E0C96" w14:textId="50F15551" w:rsidR="00DD6DD8" w:rsidRDefault="00DD6DD8" w:rsidP="00DD6DD8">
      <w:pPr>
        <w:tabs>
          <w:tab w:val="left" w:pos="360"/>
        </w:tabs>
        <w:spacing w:after="240"/>
        <w:jc w:val="both"/>
        <w:rPr>
          <w:rFonts w:ascii="Arial" w:hAnsi="Arial" w:cs="Arial"/>
          <w:b/>
          <w:caps/>
          <w:color w:val="000000"/>
          <w:u w:val="single"/>
        </w:rPr>
      </w:pPr>
      <w:r>
        <w:rPr>
          <w:rFonts w:ascii="Arial" w:hAnsi="Arial" w:cs="Arial"/>
          <w:b/>
          <w:caps/>
          <w:color w:val="000000"/>
          <w:u w:val="single"/>
        </w:rPr>
        <w:t>ANALYSIS</w:t>
      </w:r>
    </w:p>
    <w:p w14:paraId="5C8EA9E1" w14:textId="7786F9EE" w:rsidR="00D34D43" w:rsidRDefault="00630A2B" w:rsidP="00DD6DD8">
      <w:pPr>
        <w:tabs>
          <w:tab w:val="left" w:pos="360"/>
        </w:tabs>
        <w:spacing w:after="240"/>
        <w:jc w:val="both"/>
        <w:rPr>
          <w:rFonts w:ascii="Arial" w:hAnsi="Arial" w:cs="Arial"/>
          <w:color w:val="000000"/>
        </w:rPr>
      </w:pPr>
      <w:r>
        <w:rPr>
          <w:rFonts w:ascii="Arial" w:hAnsi="Arial" w:cs="Arial"/>
          <w:color w:val="000000"/>
        </w:rPr>
        <w:t>The proviso required t</w:t>
      </w:r>
      <w:r w:rsidR="00D34D43">
        <w:rPr>
          <w:rFonts w:ascii="Arial" w:hAnsi="Arial" w:cs="Arial"/>
          <w:color w:val="000000"/>
        </w:rPr>
        <w:t>he status reports to include an</w:t>
      </w:r>
      <w:r>
        <w:rPr>
          <w:rFonts w:ascii="Arial" w:hAnsi="Arial" w:cs="Arial"/>
          <w:color w:val="000000"/>
        </w:rPr>
        <w:t xml:space="preserve"> enumeration of the expenditures on the project to date; the status of state dependencies and their impact on the project; and the status and timeline of provider readiness.  Below is an ana</w:t>
      </w:r>
      <w:r w:rsidR="00D34D43">
        <w:rPr>
          <w:rFonts w:ascii="Arial" w:hAnsi="Arial" w:cs="Arial"/>
          <w:color w:val="000000"/>
        </w:rPr>
        <w:t>lysis of each of these requirements:</w:t>
      </w:r>
    </w:p>
    <w:p w14:paraId="09C23097" w14:textId="2B3E7C9C" w:rsidR="00D34D43" w:rsidRDefault="00D34D43" w:rsidP="00DD6DD8">
      <w:pPr>
        <w:tabs>
          <w:tab w:val="left" w:pos="360"/>
        </w:tabs>
        <w:spacing w:after="240"/>
        <w:jc w:val="both"/>
        <w:rPr>
          <w:rFonts w:ascii="Arial" w:hAnsi="Arial" w:cs="Arial"/>
          <w:color w:val="000000"/>
        </w:rPr>
      </w:pPr>
      <w:r>
        <w:rPr>
          <w:rFonts w:ascii="Arial" w:hAnsi="Arial" w:cs="Arial"/>
          <w:b/>
          <w:color w:val="000000"/>
        </w:rPr>
        <w:t xml:space="preserve">Expenditures to Date.  </w:t>
      </w:r>
      <w:r w:rsidR="00994ABE">
        <w:rPr>
          <w:rFonts w:ascii="Arial" w:hAnsi="Arial" w:cs="Arial"/>
          <w:color w:val="000000"/>
        </w:rPr>
        <w:t>According to the second report, of the total Capital Appropriation of $982,633, total project spending through the end of December was $227,544.</w:t>
      </w:r>
    </w:p>
    <w:p w14:paraId="1850E8A8" w14:textId="77777777" w:rsidR="00994ABE" w:rsidRDefault="00D34D43" w:rsidP="00DD6DD8">
      <w:pPr>
        <w:tabs>
          <w:tab w:val="left" w:pos="360"/>
        </w:tabs>
        <w:spacing w:after="240"/>
        <w:jc w:val="both"/>
        <w:rPr>
          <w:rFonts w:ascii="Arial" w:hAnsi="Arial" w:cs="Arial"/>
          <w:color w:val="000000"/>
        </w:rPr>
      </w:pPr>
      <w:r>
        <w:rPr>
          <w:rFonts w:ascii="Arial" w:hAnsi="Arial" w:cs="Arial"/>
          <w:b/>
          <w:color w:val="000000"/>
        </w:rPr>
        <w:t>Status of State Dependencies.</w:t>
      </w:r>
      <w:r>
        <w:rPr>
          <w:rFonts w:ascii="Arial" w:hAnsi="Arial" w:cs="Arial"/>
          <w:color w:val="000000"/>
        </w:rPr>
        <w:t xml:space="preserve">  The proviso required a report on two state dependencies:  the status of the state database with which the county database must interface and </w:t>
      </w:r>
      <w:r w:rsidR="007777EB">
        <w:rPr>
          <w:rFonts w:ascii="Arial" w:hAnsi="Arial" w:cs="Arial"/>
          <w:color w:val="000000"/>
        </w:rPr>
        <w:t xml:space="preserve">state </w:t>
      </w:r>
      <w:r>
        <w:rPr>
          <w:rFonts w:ascii="Arial" w:hAnsi="Arial" w:cs="Arial"/>
          <w:color w:val="000000"/>
        </w:rPr>
        <w:t xml:space="preserve">guidance </w:t>
      </w:r>
      <w:r w:rsidR="007777EB">
        <w:rPr>
          <w:rFonts w:ascii="Arial" w:hAnsi="Arial" w:cs="Arial"/>
          <w:color w:val="000000"/>
        </w:rPr>
        <w:t xml:space="preserve">to the county on </w:t>
      </w:r>
      <w:r>
        <w:rPr>
          <w:rFonts w:ascii="Arial" w:hAnsi="Arial" w:cs="Arial"/>
          <w:color w:val="000000"/>
        </w:rPr>
        <w:t>federal confidentiality rules</w:t>
      </w:r>
      <w:r w:rsidR="007777EB">
        <w:rPr>
          <w:rFonts w:ascii="Arial" w:hAnsi="Arial" w:cs="Arial"/>
          <w:color w:val="000000"/>
        </w:rPr>
        <w:t xml:space="preserve"> around patient information sharing</w:t>
      </w:r>
      <w:r>
        <w:rPr>
          <w:rFonts w:ascii="Arial" w:hAnsi="Arial" w:cs="Arial"/>
          <w:color w:val="000000"/>
        </w:rPr>
        <w:t xml:space="preserve">.  </w:t>
      </w:r>
    </w:p>
    <w:p w14:paraId="1BA781DD" w14:textId="77777777" w:rsidR="00994ABE" w:rsidRDefault="00994ABE" w:rsidP="00994ABE">
      <w:pPr>
        <w:tabs>
          <w:tab w:val="left" w:pos="360"/>
        </w:tabs>
        <w:jc w:val="both"/>
        <w:rPr>
          <w:rFonts w:ascii="Arial" w:hAnsi="Arial" w:cs="Arial"/>
          <w:color w:val="000000"/>
          <w:u w:val="single"/>
        </w:rPr>
      </w:pPr>
      <w:r>
        <w:rPr>
          <w:rFonts w:ascii="Arial" w:hAnsi="Arial" w:cs="Arial"/>
          <w:color w:val="000000"/>
          <w:u w:val="single"/>
        </w:rPr>
        <w:t>Status of the State Database</w:t>
      </w:r>
    </w:p>
    <w:p w14:paraId="736C8AA7" w14:textId="77777777" w:rsidR="00FF18E7" w:rsidRDefault="00994ABE" w:rsidP="00994ABE">
      <w:pPr>
        <w:tabs>
          <w:tab w:val="left" w:pos="360"/>
        </w:tabs>
        <w:jc w:val="both"/>
        <w:rPr>
          <w:rFonts w:ascii="Arial" w:hAnsi="Arial" w:cs="Arial"/>
          <w:color w:val="000000"/>
        </w:rPr>
      </w:pPr>
      <w:r>
        <w:rPr>
          <w:rFonts w:ascii="Arial" w:hAnsi="Arial" w:cs="Arial"/>
          <w:color w:val="000000"/>
        </w:rPr>
        <w:t xml:space="preserve">The status report notes that on January 4, 2016 the state Division of Behavioral Health and Recovery (DBHR) held a meeting where final requirements for interfacing with the state data system were expected to be provided.  The state further delayed </w:t>
      </w:r>
      <w:r>
        <w:rPr>
          <w:rFonts w:ascii="Arial" w:hAnsi="Arial" w:cs="Arial"/>
          <w:color w:val="000000"/>
        </w:rPr>
        <w:lastRenderedPageBreak/>
        <w:t>the release of the final versions of certain elements (BHO Data Dictionary, BHO Access to Care Guide, and Service Encounter Reporting Instructions) until January 15, 2016.  The report notes that the BHI IT team mitigated delays by moving forward with development of a King County internal provider data dictionary, a draft version of which was provided to partner providers on January 8, 2016.</w:t>
      </w:r>
      <w:r w:rsidR="00FF18E7">
        <w:rPr>
          <w:rFonts w:ascii="Arial" w:hAnsi="Arial" w:cs="Arial"/>
          <w:color w:val="000000"/>
        </w:rPr>
        <w:t xml:space="preserve">  </w:t>
      </w:r>
    </w:p>
    <w:p w14:paraId="54D76684" w14:textId="77777777" w:rsidR="00FF18E7" w:rsidRDefault="00FF18E7" w:rsidP="00994ABE">
      <w:pPr>
        <w:tabs>
          <w:tab w:val="left" w:pos="360"/>
        </w:tabs>
        <w:jc w:val="both"/>
        <w:rPr>
          <w:rFonts w:ascii="Arial" w:hAnsi="Arial" w:cs="Arial"/>
          <w:color w:val="000000"/>
        </w:rPr>
      </w:pPr>
    </w:p>
    <w:p w14:paraId="173F314F" w14:textId="3EF7D869" w:rsidR="00994ABE" w:rsidRPr="00994ABE" w:rsidRDefault="00FF18E7" w:rsidP="00994ABE">
      <w:pPr>
        <w:tabs>
          <w:tab w:val="left" w:pos="360"/>
        </w:tabs>
        <w:jc w:val="both"/>
        <w:rPr>
          <w:rFonts w:ascii="Arial" w:hAnsi="Arial" w:cs="Arial"/>
          <w:color w:val="000000"/>
          <w:u w:val="single"/>
        </w:rPr>
      </w:pPr>
      <w:r>
        <w:rPr>
          <w:rFonts w:ascii="Arial" w:hAnsi="Arial" w:cs="Arial"/>
          <w:color w:val="000000"/>
        </w:rPr>
        <w:t>Since the writing of the report, executive staff indicate that the county has received the final SERI and Access to Care Guide and have confirmed that there will be no significant</w:t>
      </w:r>
      <w:bookmarkStart w:id="0" w:name="_GoBack"/>
      <w:bookmarkEnd w:id="0"/>
      <w:r>
        <w:rPr>
          <w:rFonts w:ascii="Arial" w:hAnsi="Arial" w:cs="Arial"/>
          <w:color w:val="000000"/>
        </w:rPr>
        <w:t xml:space="preserve"> impact on providers.</w:t>
      </w:r>
      <w:r w:rsidR="00994ABE">
        <w:rPr>
          <w:rFonts w:ascii="Arial" w:hAnsi="Arial" w:cs="Arial"/>
          <w:color w:val="000000"/>
        </w:rPr>
        <w:t xml:space="preserve"> </w:t>
      </w:r>
    </w:p>
    <w:p w14:paraId="107791AD" w14:textId="77777777" w:rsidR="00994ABE" w:rsidRDefault="00994ABE" w:rsidP="00DD6DD8">
      <w:pPr>
        <w:tabs>
          <w:tab w:val="left" w:pos="360"/>
        </w:tabs>
        <w:spacing w:after="240"/>
        <w:jc w:val="both"/>
        <w:rPr>
          <w:rFonts w:ascii="Arial" w:hAnsi="Arial" w:cs="Arial"/>
          <w:color w:val="000000"/>
        </w:rPr>
      </w:pPr>
    </w:p>
    <w:p w14:paraId="39436F77" w14:textId="77777777" w:rsidR="0036600B" w:rsidRDefault="00994ABE" w:rsidP="0036600B">
      <w:pPr>
        <w:tabs>
          <w:tab w:val="left" w:pos="360"/>
        </w:tabs>
        <w:jc w:val="both"/>
        <w:rPr>
          <w:rFonts w:ascii="Arial" w:hAnsi="Arial" w:cs="Arial"/>
          <w:color w:val="000000"/>
          <w:u w:val="single"/>
        </w:rPr>
      </w:pPr>
      <w:r>
        <w:rPr>
          <w:rFonts w:ascii="Arial" w:hAnsi="Arial" w:cs="Arial"/>
          <w:color w:val="000000"/>
          <w:u w:val="single"/>
        </w:rPr>
        <w:t>Confidentiality</w:t>
      </w:r>
    </w:p>
    <w:p w14:paraId="61D1CA67" w14:textId="59D1FA0F" w:rsidR="00CD586F" w:rsidRDefault="00CD586F" w:rsidP="0036600B">
      <w:pPr>
        <w:tabs>
          <w:tab w:val="left" w:pos="360"/>
        </w:tabs>
        <w:jc w:val="both"/>
        <w:rPr>
          <w:rFonts w:ascii="Arial" w:hAnsi="Arial" w:cs="Arial"/>
          <w:color w:val="000000"/>
        </w:rPr>
      </w:pPr>
      <w:r>
        <w:rPr>
          <w:rFonts w:ascii="Arial" w:hAnsi="Arial" w:cs="Arial"/>
          <w:color w:val="000000"/>
        </w:rPr>
        <w:t xml:space="preserve">Absent state </w:t>
      </w:r>
      <w:r w:rsidR="005C1F05">
        <w:rPr>
          <w:rFonts w:ascii="Arial" w:hAnsi="Arial" w:cs="Arial"/>
          <w:color w:val="000000"/>
        </w:rPr>
        <w:t>guidance on the issue of confidentiality vis a vis sharing client data between substance use providers and mental health providers in light of more stringent Federal guidelines with respect to substance use provider data</w:t>
      </w:r>
      <w:r>
        <w:rPr>
          <w:rFonts w:ascii="Arial" w:hAnsi="Arial" w:cs="Arial"/>
          <w:color w:val="000000"/>
        </w:rPr>
        <w:t>, the BHRD has moved forward with the process it outlined in the prior status report.</w:t>
      </w:r>
      <w:r w:rsidR="00CC26D9">
        <w:rPr>
          <w:rFonts w:ascii="Arial" w:hAnsi="Arial" w:cs="Arial"/>
          <w:color w:val="000000"/>
        </w:rPr>
        <w:t xml:space="preserve">  Namely, the division, in consultation with the prosecuting attorney’s office, has determined that it can receive substance use data and store it in a single database with the mental health data.  King County Information Technology is modifying the current data system to accommodate the collection of substance use disorder (SUD) data as required by the state and the King County BHO operational needs.  </w:t>
      </w:r>
    </w:p>
    <w:p w14:paraId="070EB211" w14:textId="77777777" w:rsidR="00CC26D9" w:rsidRDefault="00CC26D9" w:rsidP="0036600B">
      <w:pPr>
        <w:tabs>
          <w:tab w:val="left" w:pos="360"/>
        </w:tabs>
        <w:jc w:val="both"/>
        <w:rPr>
          <w:rFonts w:ascii="Arial" w:hAnsi="Arial" w:cs="Arial"/>
          <w:color w:val="000000"/>
        </w:rPr>
      </w:pPr>
    </w:p>
    <w:p w14:paraId="41FAE20D" w14:textId="162537F3" w:rsidR="00CC26D9" w:rsidRDefault="00CC26D9" w:rsidP="0036600B">
      <w:pPr>
        <w:tabs>
          <w:tab w:val="left" w:pos="360"/>
        </w:tabs>
        <w:jc w:val="both"/>
        <w:rPr>
          <w:rFonts w:ascii="Arial" w:hAnsi="Arial" w:cs="Arial"/>
          <w:color w:val="000000"/>
        </w:rPr>
      </w:pPr>
      <w:r>
        <w:rPr>
          <w:rFonts w:ascii="Arial" w:hAnsi="Arial" w:cs="Arial"/>
          <w:color w:val="000000"/>
        </w:rPr>
        <w:t>It is contemplated that a release of information (ROI) form, which has already been developed, will provide authorization from patients to providers to share confidential SUD data with BHRD.  The ROI was shared with providers in a preparation for transition forum in January.  Providers were trained on the use of the ROI at this forum as it will be required in order for clients to receive services through the BHO</w:t>
      </w:r>
      <w:r w:rsidR="00065C2E">
        <w:rPr>
          <w:rFonts w:ascii="Arial" w:hAnsi="Arial" w:cs="Arial"/>
          <w:color w:val="000000"/>
        </w:rPr>
        <w:t>.</w:t>
      </w:r>
      <w:r>
        <w:rPr>
          <w:rFonts w:ascii="Arial" w:hAnsi="Arial" w:cs="Arial"/>
          <w:color w:val="000000"/>
        </w:rPr>
        <w:t xml:space="preserve"> </w:t>
      </w:r>
      <w:r w:rsidR="00065C2E">
        <w:rPr>
          <w:rFonts w:ascii="Arial" w:hAnsi="Arial" w:cs="Arial"/>
          <w:color w:val="000000"/>
        </w:rPr>
        <w:t>Refusal</w:t>
      </w:r>
      <w:r>
        <w:rPr>
          <w:rFonts w:ascii="Arial" w:hAnsi="Arial" w:cs="Arial"/>
          <w:color w:val="000000"/>
        </w:rPr>
        <w:t xml:space="preserve"> to sign the ROI by a client means that the provider agency will not be able to share client data with the BHRD, thus benefits will not be able to be approved </w:t>
      </w:r>
      <w:r w:rsidR="00065C2E">
        <w:rPr>
          <w:rFonts w:ascii="Arial" w:hAnsi="Arial" w:cs="Arial"/>
          <w:color w:val="000000"/>
        </w:rPr>
        <w:t xml:space="preserve">nor </w:t>
      </w:r>
      <w:r>
        <w:rPr>
          <w:rFonts w:ascii="Arial" w:hAnsi="Arial" w:cs="Arial"/>
          <w:color w:val="000000"/>
        </w:rPr>
        <w:t>payment to providers rendered.</w:t>
      </w:r>
    </w:p>
    <w:p w14:paraId="41ADEB61" w14:textId="77777777" w:rsidR="00CC26D9" w:rsidRDefault="00CC26D9" w:rsidP="0036600B">
      <w:pPr>
        <w:tabs>
          <w:tab w:val="left" w:pos="360"/>
        </w:tabs>
        <w:jc w:val="both"/>
        <w:rPr>
          <w:rFonts w:ascii="Arial" w:hAnsi="Arial" w:cs="Arial"/>
          <w:color w:val="000000"/>
        </w:rPr>
      </w:pPr>
    </w:p>
    <w:p w14:paraId="53BB342D" w14:textId="79CAEEB9" w:rsidR="00CC26D9" w:rsidRDefault="00CC26D9" w:rsidP="0036600B">
      <w:pPr>
        <w:tabs>
          <w:tab w:val="left" w:pos="360"/>
        </w:tabs>
        <w:jc w:val="both"/>
        <w:rPr>
          <w:rFonts w:ascii="Arial" w:hAnsi="Arial" w:cs="Arial"/>
          <w:color w:val="000000"/>
        </w:rPr>
      </w:pPr>
      <w:r>
        <w:rPr>
          <w:rFonts w:ascii="Arial" w:hAnsi="Arial" w:cs="Arial"/>
          <w:color w:val="000000"/>
        </w:rPr>
        <w:t>Also in consultation with PAO, BHRD has created another ROI (providers had this provided and were trained on the same date as they were on the prior ROI) that authorizes BHRD to make a certain amount of limited client information available to other providers in the network in order to coordinate care.  This ROI is not required to receive services.  If a client refuses to sign this document, the system will have safeguards to guard against sharing limited client info with the provider network.</w:t>
      </w:r>
      <w:r w:rsidR="00FF18E7">
        <w:rPr>
          <w:rStyle w:val="FootnoteReference"/>
          <w:rFonts w:ascii="Arial" w:hAnsi="Arial" w:cs="Arial"/>
          <w:color w:val="000000"/>
        </w:rPr>
        <w:footnoteReference w:id="2"/>
      </w:r>
    </w:p>
    <w:p w14:paraId="3D41662C" w14:textId="77777777" w:rsidR="00CC26D9" w:rsidRDefault="00CC26D9" w:rsidP="0036600B">
      <w:pPr>
        <w:tabs>
          <w:tab w:val="left" w:pos="360"/>
        </w:tabs>
        <w:jc w:val="both"/>
        <w:rPr>
          <w:rFonts w:ascii="Arial" w:hAnsi="Arial" w:cs="Arial"/>
          <w:color w:val="000000"/>
        </w:rPr>
      </w:pPr>
    </w:p>
    <w:p w14:paraId="10F97363" w14:textId="416943A1" w:rsidR="00CC26D9" w:rsidRDefault="00CC26D9" w:rsidP="0036600B">
      <w:pPr>
        <w:tabs>
          <w:tab w:val="left" w:pos="360"/>
        </w:tabs>
        <w:jc w:val="both"/>
        <w:rPr>
          <w:rFonts w:ascii="Arial" w:hAnsi="Arial" w:cs="Arial"/>
          <w:color w:val="000000"/>
        </w:rPr>
      </w:pPr>
      <w:r>
        <w:rPr>
          <w:rFonts w:ascii="Arial" w:hAnsi="Arial" w:cs="Arial"/>
          <w:color w:val="000000"/>
        </w:rPr>
        <w:t>Lastly, for SUD providers who do not submit electronic data to BHRD, the division has created a new Business Associate Agreement (BAA) that will allow these providers to connect with the data system to test data transactions and submissions before April 1, 2015.</w:t>
      </w:r>
      <w:r w:rsidR="00FF18E7">
        <w:rPr>
          <w:rFonts w:ascii="Arial" w:hAnsi="Arial" w:cs="Arial"/>
          <w:color w:val="000000"/>
        </w:rPr>
        <w:t xml:space="preserve"> Executive staff indicate that this BAA is required for all new SUD </w:t>
      </w:r>
      <w:r w:rsidR="00FF18E7">
        <w:rPr>
          <w:rFonts w:ascii="Arial" w:hAnsi="Arial" w:cs="Arial"/>
          <w:color w:val="000000"/>
        </w:rPr>
        <w:lastRenderedPageBreak/>
        <w:t>only providers, the agreements were mailed out on Feb. 3 to eleven providers, all of whom have signed and returned the BAA.</w:t>
      </w:r>
    </w:p>
    <w:p w14:paraId="3A53D74A" w14:textId="77777777" w:rsidR="00CD586F" w:rsidRDefault="00CD586F" w:rsidP="0036600B">
      <w:pPr>
        <w:tabs>
          <w:tab w:val="left" w:pos="360"/>
        </w:tabs>
        <w:jc w:val="both"/>
        <w:rPr>
          <w:rFonts w:ascii="Arial" w:hAnsi="Arial" w:cs="Arial"/>
          <w:color w:val="000000"/>
        </w:rPr>
      </w:pPr>
    </w:p>
    <w:p w14:paraId="2D43EF5D" w14:textId="3D1963E0" w:rsidR="00CC26D9" w:rsidRDefault="00E9591E" w:rsidP="00DD6DD8">
      <w:pPr>
        <w:tabs>
          <w:tab w:val="left" w:pos="360"/>
        </w:tabs>
        <w:spacing w:after="240"/>
        <w:jc w:val="both"/>
        <w:rPr>
          <w:rFonts w:ascii="Arial" w:hAnsi="Arial" w:cs="Arial"/>
          <w:color w:val="000000"/>
        </w:rPr>
      </w:pPr>
      <w:r>
        <w:rPr>
          <w:rFonts w:ascii="Arial" w:hAnsi="Arial" w:cs="Arial"/>
          <w:b/>
          <w:color w:val="000000"/>
        </w:rPr>
        <w:t>Status and timeline of provider readiness.</w:t>
      </w:r>
      <w:r w:rsidR="00BF13DF">
        <w:rPr>
          <w:rFonts w:ascii="Arial" w:hAnsi="Arial" w:cs="Arial"/>
          <w:b/>
          <w:color w:val="000000"/>
        </w:rPr>
        <w:t xml:space="preserve">  </w:t>
      </w:r>
      <w:r>
        <w:rPr>
          <w:rFonts w:ascii="Arial" w:hAnsi="Arial" w:cs="Arial"/>
          <w:color w:val="000000"/>
        </w:rPr>
        <w:t xml:space="preserve">DCHS reports </w:t>
      </w:r>
      <w:r w:rsidR="00D91F70">
        <w:rPr>
          <w:rFonts w:ascii="Arial" w:hAnsi="Arial" w:cs="Arial"/>
          <w:color w:val="000000"/>
        </w:rPr>
        <w:t>that at this</w:t>
      </w:r>
      <w:r w:rsidR="00CC26D9">
        <w:rPr>
          <w:rFonts w:ascii="Arial" w:hAnsi="Arial" w:cs="Arial"/>
          <w:color w:val="000000"/>
        </w:rPr>
        <w:t xml:space="preserve"> final stage, it is working closely with providers to mitigate any delays including development of a manual web form to enable </w:t>
      </w:r>
      <w:r w:rsidR="00D91F70">
        <w:rPr>
          <w:rFonts w:ascii="Arial" w:hAnsi="Arial" w:cs="Arial"/>
          <w:color w:val="000000"/>
        </w:rPr>
        <w:t xml:space="preserve">some </w:t>
      </w:r>
      <w:r w:rsidR="00CC26D9">
        <w:rPr>
          <w:rFonts w:ascii="Arial" w:hAnsi="Arial" w:cs="Arial"/>
          <w:color w:val="000000"/>
        </w:rPr>
        <w:t xml:space="preserve">SUD providers to enter data </w:t>
      </w:r>
      <w:r w:rsidR="00D91F70">
        <w:rPr>
          <w:rFonts w:ascii="Arial" w:hAnsi="Arial" w:cs="Arial"/>
          <w:color w:val="000000"/>
        </w:rPr>
        <w:t xml:space="preserve">manually.  That data </w:t>
      </w:r>
      <w:r w:rsidR="00CC26D9">
        <w:rPr>
          <w:rFonts w:ascii="Arial" w:hAnsi="Arial" w:cs="Arial"/>
          <w:color w:val="000000"/>
        </w:rPr>
        <w:t xml:space="preserve">will then be loaded into the IT system.  </w:t>
      </w:r>
      <w:r w:rsidR="000C73C9">
        <w:rPr>
          <w:rFonts w:ascii="Arial" w:hAnsi="Arial" w:cs="Arial"/>
          <w:color w:val="000000"/>
        </w:rPr>
        <w:t xml:space="preserve">Because this web form interface is similar to the present (TARGET) system already in use by the </w:t>
      </w:r>
      <w:r w:rsidR="00D91F70">
        <w:rPr>
          <w:rFonts w:ascii="Arial" w:hAnsi="Arial" w:cs="Arial"/>
          <w:color w:val="000000"/>
        </w:rPr>
        <w:t>state, the usage of the web form</w:t>
      </w:r>
      <w:r w:rsidR="000C73C9">
        <w:rPr>
          <w:rFonts w:ascii="Arial" w:hAnsi="Arial" w:cs="Arial"/>
          <w:color w:val="000000"/>
        </w:rPr>
        <w:t xml:space="preserve"> should not be burdensome to SUD providers.  Additionally, IT and business exec. staff are acting as provider liaisons to continue to provide support during the transition.</w:t>
      </w:r>
    </w:p>
    <w:p w14:paraId="62C29DF6" w14:textId="5F32C167" w:rsidR="00E9591E" w:rsidRDefault="00E9591E" w:rsidP="00E9591E">
      <w:pPr>
        <w:tabs>
          <w:tab w:val="left" w:pos="360"/>
        </w:tabs>
        <w:spacing w:after="240"/>
        <w:jc w:val="both"/>
        <w:rPr>
          <w:rFonts w:ascii="Arial" w:hAnsi="Arial" w:cs="Arial"/>
          <w:color w:val="000000"/>
        </w:rPr>
      </w:pPr>
      <w:r>
        <w:rPr>
          <w:rFonts w:ascii="Arial" w:hAnsi="Arial" w:cs="Arial"/>
          <w:color w:val="000000"/>
        </w:rPr>
        <w:t>The information furnished in the report is complies with the proviso requirement.</w:t>
      </w:r>
    </w:p>
    <w:p w14:paraId="61C1FDAF" w14:textId="05B14CB6" w:rsidR="00FB6E17" w:rsidRDefault="00FB6E17" w:rsidP="004F1768">
      <w:pPr>
        <w:keepNext/>
        <w:jc w:val="both"/>
        <w:rPr>
          <w:rFonts w:ascii="Arial" w:hAnsi="Arial" w:cs="Arial"/>
          <w:b/>
          <w:color w:val="000000"/>
          <w:u w:val="single"/>
        </w:rPr>
      </w:pPr>
      <w:r w:rsidRPr="00FB6E17">
        <w:rPr>
          <w:rFonts w:ascii="Arial" w:hAnsi="Arial" w:cs="Arial"/>
          <w:b/>
          <w:color w:val="000000"/>
          <w:u w:val="single"/>
        </w:rPr>
        <w:t>INVITED</w:t>
      </w:r>
    </w:p>
    <w:p w14:paraId="03BE49F8" w14:textId="77777777" w:rsidR="00A8246A" w:rsidRPr="00FB6E17" w:rsidRDefault="00A8246A" w:rsidP="004F1768">
      <w:pPr>
        <w:keepNext/>
        <w:jc w:val="both"/>
        <w:rPr>
          <w:rFonts w:ascii="Arial" w:hAnsi="Arial" w:cs="Arial"/>
          <w:b/>
          <w:color w:val="000000"/>
          <w:u w:val="single"/>
        </w:rPr>
      </w:pPr>
    </w:p>
    <w:p w14:paraId="25AC1A44" w14:textId="590B132F" w:rsidR="008F5F9F" w:rsidRPr="00B97FB6" w:rsidRDefault="00EA16BD" w:rsidP="00B97FB6">
      <w:pPr>
        <w:pStyle w:val="ListParagraph"/>
        <w:keepNext/>
        <w:numPr>
          <w:ilvl w:val="0"/>
          <w:numId w:val="3"/>
        </w:numPr>
        <w:contextualSpacing w:val="0"/>
        <w:jc w:val="both"/>
        <w:rPr>
          <w:rFonts w:ascii="Arial" w:hAnsi="Arial" w:cs="Arial"/>
          <w:color w:val="000000"/>
        </w:rPr>
      </w:pPr>
      <w:r>
        <w:rPr>
          <w:rFonts w:ascii="Arial" w:hAnsi="Arial" w:cs="Arial"/>
          <w:color w:val="000000"/>
        </w:rPr>
        <w:t xml:space="preserve">Susan McLaughlin, Health </w:t>
      </w:r>
      <w:r w:rsidR="008F5F9F">
        <w:rPr>
          <w:rFonts w:ascii="Arial" w:hAnsi="Arial" w:cs="Arial"/>
          <w:color w:val="000000"/>
        </w:rPr>
        <w:t xml:space="preserve">and Human Services </w:t>
      </w:r>
      <w:r>
        <w:rPr>
          <w:rFonts w:ascii="Arial" w:hAnsi="Arial" w:cs="Arial"/>
          <w:color w:val="000000"/>
        </w:rPr>
        <w:t>Integration Manager, DCHS</w:t>
      </w:r>
    </w:p>
    <w:p w14:paraId="3E82FBF3" w14:textId="77777777" w:rsidR="00A8246A" w:rsidRDefault="00A8246A" w:rsidP="004F1768">
      <w:pPr>
        <w:pStyle w:val="BodyText"/>
        <w:keepNext/>
        <w:tabs>
          <w:tab w:val="right" w:pos="9180"/>
        </w:tabs>
        <w:spacing w:after="0"/>
        <w:jc w:val="both"/>
        <w:rPr>
          <w:rFonts w:ascii="Arial" w:hAnsi="Arial" w:cs="Arial"/>
          <w:b/>
          <w:color w:val="000000"/>
          <w:u w:val="single"/>
        </w:rPr>
      </w:pPr>
    </w:p>
    <w:p w14:paraId="420862DB" w14:textId="77777777" w:rsidR="00A8246A" w:rsidRDefault="004C7887" w:rsidP="004F1768">
      <w:pPr>
        <w:pStyle w:val="BodyText"/>
        <w:keepNext/>
        <w:tabs>
          <w:tab w:val="right" w:pos="9180"/>
        </w:tabs>
        <w:spacing w:after="0"/>
        <w:jc w:val="both"/>
        <w:rPr>
          <w:rFonts w:ascii="Arial" w:hAnsi="Arial" w:cs="Arial"/>
          <w:b/>
          <w:color w:val="000000"/>
          <w:u w:val="single"/>
        </w:rPr>
      </w:pPr>
      <w:r w:rsidRPr="001412DA">
        <w:rPr>
          <w:rFonts w:ascii="Arial" w:hAnsi="Arial" w:cs="Arial"/>
          <w:b/>
          <w:color w:val="000000"/>
          <w:u w:val="single"/>
        </w:rPr>
        <w:t>ATTACHMENTS</w:t>
      </w:r>
    </w:p>
    <w:p w14:paraId="57F03BD1" w14:textId="56C553A2" w:rsidR="004C7887" w:rsidRPr="001412DA" w:rsidRDefault="004C7887" w:rsidP="004F1768">
      <w:pPr>
        <w:pStyle w:val="BodyText"/>
        <w:keepNext/>
        <w:tabs>
          <w:tab w:val="right" w:pos="9180"/>
        </w:tabs>
        <w:spacing w:after="0"/>
        <w:jc w:val="both"/>
        <w:rPr>
          <w:rFonts w:ascii="Arial" w:hAnsi="Arial" w:cs="Arial"/>
          <w:b/>
          <w:color w:val="000000"/>
        </w:rPr>
      </w:pPr>
      <w:r w:rsidRPr="001412DA">
        <w:rPr>
          <w:rFonts w:ascii="Arial" w:hAnsi="Arial" w:cs="Arial"/>
          <w:b/>
          <w:color w:val="000000"/>
        </w:rPr>
        <w:tab/>
      </w:r>
    </w:p>
    <w:p w14:paraId="58EA9385" w14:textId="1D47695A" w:rsidR="00EA16BD" w:rsidRPr="00EA16BD" w:rsidRDefault="00EA16BD" w:rsidP="008125A3">
      <w:pPr>
        <w:pStyle w:val="BodyText"/>
        <w:numPr>
          <w:ilvl w:val="0"/>
          <w:numId w:val="1"/>
        </w:numPr>
        <w:tabs>
          <w:tab w:val="left" w:pos="360"/>
          <w:tab w:val="left" w:pos="1080"/>
          <w:tab w:val="left" w:pos="1440"/>
          <w:tab w:val="right" w:leader="dot" w:pos="9090"/>
        </w:tabs>
        <w:spacing w:after="0"/>
      </w:pPr>
      <w:r>
        <w:rPr>
          <w:rFonts w:ascii="Arial" w:hAnsi="Arial" w:cs="Arial"/>
        </w:rPr>
        <w:t xml:space="preserve">Proposed Motion </w:t>
      </w:r>
      <w:r w:rsidR="000C73C9">
        <w:rPr>
          <w:rFonts w:ascii="Arial" w:hAnsi="Arial" w:cs="Arial"/>
        </w:rPr>
        <w:t>2016-0116</w:t>
      </w:r>
    </w:p>
    <w:p w14:paraId="037B6533" w14:textId="6630096B" w:rsidR="00EA16BD" w:rsidRPr="00EA16BD" w:rsidRDefault="00EA16BD" w:rsidP="00EA16BD">
      <w:pPr>
        <w:pStyle w:val="BodyText"/>
        <w:numPr>
          <w:ilvl w:val="1"/>
          <w:numId w:val="1"/>
        </w:numPr>
        <w:tabs>
          <w:tab w:val="left" w:pos="360"/>
          <w:tab w:val="left" w:pos="1080"/>
          <w:tab w:val="right" w:leader="dot" w:pos="9090"/>
        </w:tabs>
        <w:spacing w:after="0"/>
      </w:pPr>
      <w:r>
        <w:rPr>
          <w:rFonts w:ascii="Arial" w:hAnsi="Arial" w:cs="Arial"/>
        </w:rPr>
        <w:t>Behavioral Health Integration IT Data Consol</w:t>
      </w:r>
      <w:r w:rsidR="000C73C9">
        <w:rPr>
          <w:rFonts w:ascii="Arial" w:hAnsi="Arial" w:cs="Arial"/>
        </w:rPr>
        <w:t>idation Project, Status Report 2</w:t>
      </w:r>
    </w:p>
    <w:p w14:paraId="26273CC2" w14:textId="7A3B4963" w:rsidR="00FF0EFD" w:rsidRPr="008125A3" w:rsidRDefault="00EA16BD" w:rsidP="008125A3">
      <w:pPr>
        <w:pStyle w:val="BodyText"/>
        <w:numPr>
          <w:ilvl w:val="0"/>
          <w:numId w:val="1"/>
        </w:numPr>
        <w:tabs>
          <w:tab w:val="left" w:pos="360"/>
          <w:tab w:val="left" w:pos="1080"/>
          <w:tab w:val="left" w:pos="1440"/>
          <w:tab w:val="right" w:leader="dot" w:pos="9090"/>
        </w:tabs>
        <w:spacing w:after="0"/>
      </w:pPr>
      <w:r>
        <w:rPr>
          <w:rFonts w:ascii="Arial" w:hAnsi="Arial" w:cs="Arial"/>
        </w:rPr>
        <w:t xml:space="preserve">Transmittal Letter, </w:t>
      </w:r>
      <w:r w:rsidR="000C73C9">
        <w:rPr>
          <w:rFonts w:ascii="Arial" w:hAnsi="Arial" w:cs="Arial"/>
        </w:rPr>
        <w:t>February 11, 2016</w:t>
      </w:r>
    </w:p>
    <w:p w14:paraId="08E1EB7D" w14:textId="77777777" w:rsidR="008125A3" w:rsidRDefault="008125A3" w:rsidP="00FF0EFD">
      <w:pPr>
        <w:pStyle w:val="BodyText"/>
        <w:tabs>
          <w:tab w:val="left" w:pos="360"/>
          <w:tab w:val="left" w:pos="1080"/>
          <w:tab w:val="left" w:pos="1440"/>
          <w:tab w:val="right" w:leader="dot" w:pos="9090"/>
        </w:tabs>
        <w:spacing w:after="0"/>
        <w:ind w:left="360"/>
      </w:pPr>
    </w:p>
    <w:sectPr w:rsidR="008125A3" w:rsidSect="00516B79">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26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1752" w14:textId="77777777" w:rsidR="000C702D" w:rsidRDefault="000C702D">
      <w:r>
        <w:separator/>
      </w:r>
    </w:p>
  </w:endnote>
  <w:endnote w:type="continuationSeparator" w:id="0">
    <w:p w14:paraId="6ED4ADD0" w14:textId="77777777" w:rsidR="000C702D" w:rsidRDefault="000C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nst777 Cn BT">
    <w:altName w:val="Humnst777 Cn B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8B9D" w14:textId="77777777" w:rsidR="00566DA4" w:rsidRDefault="0056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6A13" w14:textId="77777777" w:rsidR="00566DA4" w:rsidRDefault="00566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09C0" w14:textId="77777777" w:rsidR="00F518AC" w:rsidRDefault="00F518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ECF5" w14:textId="77777777" w:rsidR="000C702D" w:rsidRDefault="000C702D">
      <w:r>
        <w:separator/>
      </w:r>
    </w:p>
  </w:footnote>
  <w:footnote w:type="continuationSeparator" w:id="0">
    <w:p w14:paraId="6545636B" w14:textId="77777777" w:rsidR="000C702D" w:rsidRDefault="000C702D">
      <w:r>
        <w:continuationSeparator/>
      </w:r>
    </w:p>
  </w:footnote>
  <w:footnote w:id="1">
    <w:p w14:paraId="3E1028AB" w14:textId="4B4ACEBA" w:rsidR="00F35F83" w:rsidRDefault="00F35F83" w:rsidP="00F35F83">
      <w:pPr>
        <w:pStyle w:val="FootnoteText"/>
      </w:pPr>
      <w:r>
        <w:rPr>
          <w:rStyle w:val="FootnoteReference"/>
        </w:rPr>
        <w:footnoteRef/>
      </w:r>
      <w:r>
        <w:t xml:space="preserve"> </w:t>
      </w:r>
      <w:r>
        <w:rPr>
          <w:rFonts w:cs="Arial"/>
          <w:color w:val="000000"/>
        </w:rPr>
        <w:t xml:space="preserve">See Ordinance 18171 renaming the Mental Health, Chemical Abuse and Dependency Services Division the Behavioral Health and Recovery Division (BHRD) passed by the King County Council on Nov. 23, 2015. </w:t>
      </w:r>
    </w:p>
  </w:footnote>
  <w:footnote w:id="2">
    <w:p w14:paraId="7935285D" w14:textId="148F80FB" w:rsidR="00FF18E7" w:rsidRDefault="00FF18E7">
      <w:pPr>
        <w:pStyle w:val="FootnoteText"/>
      </w:pPr>
      <w:r>
        <w:rPr>
          <w:rStyle w:val="FootnoteReference"/>
        </w:rPr>
        <w:footnoteRef/>
      </w:r>
      <w:r>
        <w:t xml:space="preserve"> Executive staff note that while </w:t>
      </w:r>
      <w:r>
        <w:t xml:space="preserve">the state </w:t>
      </w:r>
      <w:r>
        <w:t>did not provide specific guidance, it has acknowledged the county’s process by developing a similar protocol at the state.  County staff indicate that the state has since de</w:t>
      </w:r>
      <w:r>
        <w:t>veloped a sample ROI and created a data flag in the state’s TARGET system</w:t>
      </w:r>
      <w:r>
        <w:t xml:space="preserve"> (akin to the flag in the KC BHRD system) and has con</w:t>
      </w:r>
      <w:r>
        <w:t>firmed the need for a separate ROI for data sharing with the BHO.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FD37" w14:textId="77777777" w:rsidR="00566DA4" w:rsidRDefault="0056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A0FC" w14:textId="034AF0B9" w:rsidR="00566DA4" w:rsidRDefault="0056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A513" w14:textId="243617BA" w:rsidR="00F518AC" w:rsidRDefault="00F518AC">
    <w:pPr>
      <w:jc w:val="center"/>
      <w:rPr>
        <w:rFonts w:ascii="Verdana" w:hAnsi="Verdana"/>
        <w:b/>
        <w:sz w:val="28"/>
        <w:szCs w:val="30"/>
      </w:rPr>
    </w:pPr>
    <w:r>
      <w:rPr>
        <w:rFonts w:ascii="Arial" w:hAnsi="Arial"/>
        <w:noProof/>
        <w:sz w:val="22"/>
        <w:szCs w:val="22"/>
        <w:lang w:eastAsia="en-US"/>
      </w:rPr>
      <w:drawing>
        <wp:inline distT="0" distB="0" distL="0" distR="0" wp14:anchorId="369BAA14" wp14:editId="0CD88873">
          <wp:extent cx="1115695" cy="7797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6BBDA16B" w14:textId="77777777" w:rsidR="00F518AC" w:rsidRPr="00BC457B" w:rsidRDefault="00F518AC">
    <w:pPr>
      <w:spacing w:before="60"/>
      <w:jc w:val="center"/>
      <w:rPr>
        <w:rFonts w:ascii="Verdana" w:hAnsi="Verdana"/>
        <w:b/>
        <w:sz w:val="26"/>
        <w:szCs w:val="30"/>
      </w:rPr>
    </w:pPr>
    <w:r w:rsidRPr="00BC457B">
      <w:rPr>
        <w:rFonts w:ascii="Verdana" w:hAnsi="Verdana"/>
        <w:b/>
        <w:sz w:val="26"/>
        <w:szCs w:val="30"/>
      </w:rPr>
      <w:t>Metropolitan King County Council</w:t>
    </w:r>
  </w:p>
  <w:p w14:paraId="64E665B4" w14:textId="504F05E0" w:rsidR="00F518AC" w:rsidRPr="00795DDF" w:rsidRDefault="008208FC">
    <w:pPr>
      <w:jc w:val="center"/>
      <w:rPr>
        <w:rFonts w:ascii="Verdana" w:hAnsi="Verdana"/>
        <w:b/>
        <w:szCs w:val="30"/>
      </w:rPr>
    </w:pPr>
    <w:r>
      <w:rPr>
        <w:rFonts w:ascii="Verdana" w:hAnsi="Verdana"/>
        <w:b/>
        <w:szCs w:val="30"/>
      </w:rPr>
      <w:t>Health, Housing and Human Services Committee</w:t>
    </w:r>
  </w:p>
  <w:p w14:paraId="75D89084" w14:textId="77777777" w:rsidR="00F518AC" w:rsidRPr="00BE5727" w:rsidRDefault="00F518AC">
    <w:pPr>
      <w:spacing w:before="240"/>
      <w:jc w:val="center"/>
      <w:rPr>
        <w:rFonts w:ascii="Verdana" w:hAnsi="Verdana"/>
        <w:b/>
      </w:rPr>
    </w:pPr>
    <w:r w:rsidRPr="00BE5727">
      <w:rPr>
        <w:rFonts w:ascii="Verdana" w:hAnsi="Verdana"/>
        <w:b/>
      </w:rPr>
      <w:t>STAFF REPORT</w:t>
    </w:r>
  </w:p>
  <w:p w14:paraId="102D07E6" w14:textId="77777777" w:rsidR="00F518AC" w:rsidRDefault="00F51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A2A"/>
    <w:multiLevelType w:val="hybridMultilevel"/>
    <w:tmpl w:val="AE50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3D2B"/>
    <w:multiLevelType w:val="hybridMultilevel"/>
    <w:tmpl w:val="7294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7372C"/>
    <w:multiLevelType w:val="hybridMultilevel"/>
    <w:tmpl w:val="8622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73280"/>
    <w:multiLevelType w:val="hybridMultilevel"/>
    <w:tmpl w:val="9AD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706"/>
    <w:multiLevelType w:val="hybridMultilevel"/>
    <w:tmpl w:val="AFC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623D"/>
    <w:multiLevelType w:val="hybridMultilevel"/>
    <w:tmpl w:val="28C0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913"/>
    <w:multiLevelType w:val="hybridMultilevel"/>
    <w:tmpl w:val="818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763AB"/>
    <w:multiLevelType w:val="hybridMultilevel"/>
    <w:tmpl w:val="BC2A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2416"/>
    <w:multiLevelType w:val="hybridMultilevel"/>
    <w:tmpl w:val="37B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9641E"/>
    <w:multiLevelType w:val="hybridMultilevel"/>
    <w:tmpl w:val="345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F0F1B"/>
    <w:multiLevelType w:val="hybridMultilevel"/>
    <w:tmpl w:val="6A44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07A98"/>
    <w:multiLevelType w:val="hybridMultilevel"/>
    <w:tmpl w:val="7F8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765B"/>
    <w:multiLevelType w:val="hybridMultilevel"/>
    <w:tmpl w:val="8F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04C49"/>
    <w:multiLevelType w:val="hybridMultilevel"/>
    <w:tmpl w:val="3892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745EFF"/>
    <w:multiLevelType w:val="hybridMultilevel"/>
    <w:tmpl w:val="3E826C00"/>
    <w:lvl w:ilvl="0" w:tplc="EDA47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E60CC"/>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C7859"/>
    <w:multiLevelType w:val="hybridMultilevel"/>
    <w:tmpl w:val="7294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A44B1"/>
    <w:multiLevelType w:val="hybridMultilevel"/>
    <w:tmpl w:val="E48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D7132"/>
    <w:multiLevelType w:val="hybridMultilevel"/>
    <w:tmpl w:val="989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32BA"/>
    <w:multiLevelType w:val="hybridMultilevel"/>
    <w:tmpl w:val="B2A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17B92"/>
    <w:multiLevelType w:val="hybridMultilevel"/>
    <w:tmpl w:val="D0C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0546C"/>
    <w:multiLevelType w:val="hybridMultilevel"/>
    <w:tmpl w:val="ACB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21"/>
  </w:num>
  <w:num w:numId="5">
    <w:abstractNumId w:val="8"/>
  </w:num>
  <w:num w:numId="6">
    <w:abstractNumId w:val="1"/>
  </w:num>
  <w:num w:numId="7">
    <w:abstractNumId w:val="12"/>
  </w:num>
  <w:num w:numId="8">
    <w:abstractNumId w:val="3"/>
  </w:num>
  <w:num w:numId="9">
    <w:abstractNumId w:val="5"/>
  </w:num>
  <w:num w:numId="10">
    <w:abstractNumId w:val="0"/>
  </w:num>
  <w:num w:numId="11">
    <w:abstractNumId w:val="7"/>
  </w:num>
  <w:num w:numId="12">
    <w:abstractNumId w:val="11"/>
  </w:num>
  <w:num w:numId="13">
    <w:abstractNumId w:val="18"/>
  </w:num>
  <w:num w:numId="14">
    <w:abstractNumId w:val="15"/>
  </w:num>
  <w:num w:numId="15">
    <w:abstractNumId w:val="10"/>
  </w:num>
  <w:num w:numId="16">
    <w:abstractNumId w:val="22"/>
  </w:num>
  <w:num w:numId="17">
    <w:abstractNumId w:val="19"/>
  </w:num>
  <w:num w:numId="18">
    <w:abstractNumId w:val="13"/>
  </w:num>
  <w:num w:numId="19">
    <w:abstractNumId w:val="16"/>
  </w:num>
  <w:num w:numId="20">
    <w:abstractNumId w:val="6"/>
  </w:num>
  <w:num w:numId="21">
    <w:abstractNumId w:val="20"/>
  </w:num>
  <w:num w:numId="22">
    <w:abstractNumId w:val="4"/>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D0"/>
    <w:rsid w:val="000034D5"/>
    <w:rsid w:val="00003F85"/>
    <w:rsid w:val="0000478C"/>
    <w:rsid w:val="00007598"/>
    <w:rsid w:val="00010071"/>
    <w:rsid w:val="00010AFD"/>
    <w:rsid w:val="000138B0"/>
    <w:rsid w:val="00013AAD"/>
    <w:rsid w:val="0001409C"/>
    <w:rsid w:val="00015C71"/>
    <w:rsid w:val="00020F35"/>
    <w:rsid w:val="00022457"/>
    <w:rsid w:val="0002467D"/>
    <w:rsid w:val="000333E1"/>
    <w:rsid w:val="000339A5"/>
    <w:rsid w:val="0004082B"/>
    <w:rsid w:val="000448F4"/>
    <w:rsid w:val="0004679B"/>
    <w:rsid w:val="00052487"/>
    <w:rsid w:val="0005258C"/>
    <w:rsid w:val="00055382"/>
    <w:rsid w:val="00057422"/>
    <w:rsid w:val="00060D87"/>
    <w:rsid w:val="00061E56"/>
    <w:rsid w:val="00065C2E"/>
    <w:rsid w:val="0006667C"/>
    <w:rsid w:val="00072EB0"/>
    <w:rsid w:val="00075A08"/>
    <w:rsid w:val="00085572"/>
    <w:rsid w:val="00087A5D"/>
    <w:rsid w:val="00087CE1"/>
    <w:rsid w:val="000904BC"/>
    <w:rsid w:val="00090E39"/>
    <w:rsid w:val="000A04E9"/>
    <w:rsid w:val="000A05F2"/>
    <w:rsid w:val="000A0AD3"/>
    <w:rsid w:val="000A6E26"/>
    <w:rsid w:val="000A7E6F"/>
    <w:rsid w:val="000B06AD"/>
    <w:rsid w:val="000B34B7"/>
    <w:rsid w:val="000B72C8"/>
    <w:rsid w:val="000B7B51"/>
    <w:rsid w:val="000C2AF2"/>
    <w:rsid w:val="000C33C3"/>
    <w:rsid w:val="000C58C5"/>
    <w:rsid w:val="000C6FE8"/>
    <w:rsid w:val="000C702D"/>
    <w:rsid w:val="000C73C9"/>
    <w:rsid w:val="000D089F"/>
    <w:rsid w:val="000D0CF0"/>
    <w:rsid w:val="000D357F"/>
    <w:rsid w:val="000D3E32"/>
    <w:rsid w:val="000D5F67"/>
    <w:rsid w:val="000E066B"/>
    <w:rsid w:val="000E6038"/>
    <w:rsid w:val="000E60FA"/>
    <w:rsid w:val="000E61BE"/>
    <w:rsid w:val="000E7058"/>
    <w:rsid w:val="000E7E83"/>
    <w:rsid w:val="000F2E58"/>
    <w:rsid w:val="000F3515"/>
    <w:rsid w:val="000F5618"/>
    <w:rsid w:val="000F6AB5"/>
    <w:rsid w:val="00100738"/>
    <w:rsid w:val="001043B5"/>
    <w:rsid w:val="00107AF1"/>
    <w:rsid w:val="00110758"/>
    <w:rsid w:val="001118E6"/>
    <w:rsid w:val="00112E76"/>
    <w:rsid w:val="0011415F"/>
    <w:rsid w:val="001156C7"/>
    <w:rsid w:val="001210AE"/>
    <w:rsid w:val="00133388"/>
    <w:rsid w:val="00135951"/>
    <w:rsid w:val="00136040"/>
    <w:rsid w:val="001412DA"/>
    <w:rsid w:val="00141F2F"/>
    <w:rsid w:val="00142625"/>
    <w:rsid w:val="00145DD1"/>
    <w:rsid w:val="001473CC"/>
    <w:rsid w:val="00152A0D"/>
    <w:rsid w:val="00154B05"/>
    <w:rsid w:val="001559DA"/>
    <w:rsid w:val="001613B9"/>
    <w:rsid w:val="00161F50"/>
    <w:rsid w:val="00174104"/>
    <w:rsid w:val="0017456B"/>
    <w:rsid w:val="00174D95"/>
    <w:rsid w:val="00176171"/>
    <w:rsid w:val="00181680"/>
    <w:rsid w:val="001829D3"/>
    <w:rsid w:val="00182F5F"/>
    <w:rsid w:val="0018346C"/>
    <w:rsid w:val="00185A0D"/>
    <w:rsid w:val="00191315"/>
    <w:rsid w:val="0019435D"/>
    <w:rsid w:val="001969ED"/>
    <w:rsid w:val="001A2489"/>
    <w:rsid w:val="001B4DDF"/>
    <w:rsid w:val="001B56D1"/>
    <w:rsid w:val="001C2690"/>
    <w:rsid w:val="001C48AB"/>
    <w:rsid w:val="001C616B"/>
    <w:rsid w:val="001D010D"/>
    <w:rsid w:val="001D037D"/>
    <w:rsid w:val="001D069A"/>
    <w:rsid w:val="001D124C"/>
    <w:rsid w:val="001D14A3"/>
    <w:rsid w:val="001D226B"/>
    <w:rsid w:val="001D3B6B"/>
    <w:rsid w:val="001D684A"/>
    <w:rsid w:val="001E4785"/>
    <w:rsid w:val="001E5E07"/>
    <w:rsid w:val="001F25FD"/>
    <w:rsid w:val="001F28A1"/>
    <w:rsid w:val="001F3D4F"/>
    <w:rsid w:val="001F49B5"/>
    <w:rsid w:val="001F6518"/>
    <w:rsid w:val="001F6746"/>
    <w:rsid w:val="00203472"/>
    <w:rsid w:val="002037B6"/>
    <w:rsid w:val="00206F06"/>
    <w:rsid w:val="00207A5A"/>
    <w:rsid w:val="0021400C"/>
    <w:rsid w:val="0021662B"/>
    <w:rsid w:val="00217D79"/>
    <w:rsid w:val="00220202"/>
    <w:rsid w:val="002209C1"/>
    <w:rsid w:val="002221E0"/>
    <w:rsid w:val="002254EE"/>
    <w:rsid w:val="0022571E"/>
    <w:rsid w:val="00225DF4"/>
    <w:rsid w:val="002270C5"/>
    <w:rsid w:val="00227EE2"/>
    <w:rsid w:val="00230442"/>
    <w:rsid w:val="00231604"/>
    <w:rsid w:val="00232013"/>
    <w:rsid w:val="0023291F"/>
    <w:rsid w:val="00234C83"/>
    <w:rsid w:val="00240849"/>
    <w:rsid w:val="00242095"/>
    <w:rsid w:val="002421DA"/>
    <w:rsid w:val="002428A6"/>
    <w:rsid w:val="002440CD"/>
    <w:rsid w:val="002575A4"/>
    <w:rsid w:val="002601CE"/>
    <w:rsid w:val="002606E5"/>
    <w:rsid w:val="00261A65"/>
    <w:rsid w:val="0026223B"/>
    <w:rsid w:val="0026267A"/>
    <w:rsid w:val="00265205"/>
    <w:rsid w:val="002672E0"/>
    <w:rsid w:val="0027200B"/>
    <w:rsid w:val="00273620"/>
    <w:rsid w:val="00276131"/>
    <w:rsid w:val="002770FD"/>
    <w:rsid w:val="002846A8"/>
    <w:rsid w:val="00287E62"/>
    <w:rsid w:val="002909F4"/>
    <w:rsid w:val="00294428"/>
    <w:rsid w:val="00295865"/>
    <w:rsid w:val="002A4DBD"/>
    <w:rsid w:val="002A7DA0"/>
    <w:rsid w:val="002B3843"/>
    <w:rsid w:val="002B4307"/>
    <w:rsid w:val="002C44D0"/>
    <w:rsid w:val="002C5263"/>
    <w:rsid w:val="002D0D73"/>
    <w:rsid w:val="002D1F57"/>
    <w:rsid w:val="002D49C4"/>
    <w:rsid w:val="002E3485"/>
    <w:rsid w:val="002F1C58"/>
    <w:rsid w:val="002F2217"/>
    <w:rsid w:val="002F2398"/>
    <w:rsid w:val="002F3061"/>
    <w:rsid w:val="002F581B"/>
    <w:rsid w:val="002F58E4"/>
    <w:rsid w:val="00313A11"/>
    <w:rsid w:val="00315FF8"/>
    <w:rsid w:val="0031607A"/>
    <w:rsid w:val="00316322"/>
    <w:rsid w:val="0031794C"/>
    <w:rsid w:val="00320C96"/>
    <w:rsid w:val="00320EED"/>
    <w:rsid w:val="00325785"/>
    <w:rsid w:val="00326AE0"/>
    <w:rsid w:val="0032765B"/>
    <w:rsid w:val="00330223"/>
    <w:rsid w:val="0033484F"/>
    <w:rsid w:val="003353DD"/>
    <w:rsid w:val="0034355D"/>
    <w:rsid w:val="00343A41"/>
    <w:rsid w:val="00345C1C"/>
    <w:rsid w:val="00346324"/>
    <w:rsid w:val="00350033"/>
    <w:rsid w:val="0035125C"/>
    <w:rsid w:val="00352994"/>
    <w:rsid w:val="00352BA1"/>
    <w:rsid w:val="00356144"/>
    <w:rsid w:val="00356F94"/>
    <w:rsid w:val="00360277"/>
    <w:rsid w:val="00361B81"/>
    <w:rsid w:val="0036600B"/>
    <w:rsid w:val="00371EB3"/>
    <w:rsid w:val="003747FC"/>
    <w:rsid w:val="003764F7"/>
    <w:rsid w:val="00387EA2"/>
    <w:rsid w:val="003919EE"/>
    <w:rsid w:val="00392F33"/>
    <w:rsid w:val="003A06D3"/>
    <w:rsid w:val="003A25DE"/>
    <w:rsid w:val="003A6D0E"/>
    <w:rsid w:val="003B0B92"/>
    <w:rsid w:val="003B17EC"/>
    <w:rsid w:val="003B59B0"/>
    <w:rsid w:val="003B6160"/>
    <w:rsid w:val="003B75D8"/>
    <w:rsid w:val="003C28BB"/>
    <w:rsid w:val="003C61C1"/>
    <w:rsid w:val="003C61E2"/>
    <w:rsid w:val="003D1756"/>
    <w:rsid w:val="003D2595"/>
    <w:rsid w:val="003D37C1"/>
    <w:rsid w:val="003D72D3"/>
    <w:rsid w:val="003F0AFF"/>
    <w:rsid w:val="003F41AB"/>
    <w:rsid w:val="003F4F80"/>
    <w:rsid w:val="00407D69"/>
    <w:rsid w:val="0041034A"/>
    <w:rsid w:val="004130EF"/>
    <w:rsid w:val="0041367C"/>
    <w:rsid w:val="00416B4F"/>
    <w:rsid w:val="00420E60"/>
    <w:rsid w:val="00422621"/>
    <w:rsid w:val="004258EF"/>
    <w:rsid w:val="004265E1"/>
    <w:rsid w:val="00427777"/>
    <w:rsid w:val="004402DB"/>
    <w:rsid w:val="00444D19"/>
    <w:rsid w:val="00455B76"/>
    <w:rsid w:val="00456F62"/>
    <w:rsid w:val="0045737A"/>
    <w:rsid w:val="00460A3A"/>
    <w:rsid w:val="004622AA"/>
    <w:rsid w:val="00464D79"/>
    <w:rsid w:val="004667E3"/>
    <w:rsid w:val="0047222B"/>
    <w:rsid w:val="00474227"/>
    <w:rsid w:val="0048481F"/>
    <w:rsid w:val="00491882"/>
    <w:rsid w:val="00491EC6"/>
    <w:rsid w:val="00494106"/>
    <w:rsid w:val="00496655"/>
    <w:rsid w:val="004969DF"/>
    <w:rsid w:val="004A21DA"/>
    <w:rsid w:val="004A6993"/>
    <w:rsid w:val="004A75AE"/>
    <w:rsid w:val="004A7D91"/>
    <w:rsid w:val="004B5CD0"/>
    <w:rsid w:val="004B71F2"/>
    <w:rsid w:val="004C5EDB"/>
    <w:rsid w:val="004C7887"/>
    <w:rsid w:val="004D4C66"/>
    <w:rsid w:val="004E232E"/>
    <w:rsid w:val="004E2332"/>
    <w:rsid w:val="004E2E14"/>
    <w:rsid w:val="004F09C2"/>
    <w:rsid w:val="004F1768"/>
    <w:rsid w:val="005023BE"/>
    <w:rsid w:val="00503E8B"/>
    <w:rsid w:val="00506A45"/>
    <w:rsid w:val="005116D4"/>
    <w:rsid w:val="00514B0B"/>
    <w:rsid w:val="00516B79"/>
    <w:rsid w:val="00526413"/>
    <w:rsid w:val="0053025F"/>
    <w:rsid w:val="00536312"/>
    <w:rsid w:val="00540303"/>
    <w:rsid w:val="00542756"/>
    <w:rsid w:val="00544290"/>
    <w:rsid w:val="005462B4"/>
    <w:rsid w:val="00553662"/>
    <w:rsid w:val="005568AA"/>
    <w:rsid w:val="005572D8"/>
    <w:rsid w:val="005621E6"/>
    <w:rsid w:val="00562AE3"/>
    <w:rsid w:val="00562D38"/>
    <w:rsid w:val="005638FC"/>
    <w:rsid w:val="0056401F"/>
    <w:rsid w:val="005647CB"/>
    <w:rsid w:val="00566DA4"/>
    <w:rsid w:val="00566DBF"/>
    <w:rsid w:val="00574A54"/>
    <w:rsid w:val="0059004B"/>
    <w:rsid w:val="0059022D"/>
    <w:rsid w:val="00592083"/>
    <w:rsid w:val="005968C7"/>
    <w:rsid w:val="005A079B"/>
    <w:rsid w:val="005A52D9"/>
    <w:rsid w:val="005B334D"/>
    <w:rsid w:val="005B791E"/>
    <w:rsid w:val="005C01E2"/>
    <w:rsid w:val="005C1A0D"/>
    <w:rsid w:val="005C1F05"/>
    <w:rsid w:val="005D3538"/>
    <w:rsid w:val="005D52F0"/>
    <w:rsid w:val="005E11A3"/>
    <w:rsid w:val="005E2657"/>
    <w:rsid w:val="005E27E4"/>
    <w:rsid w:val="005E314E"/>
    <w:rsid w:val="005E492A"/>
    <w:rsid w:val="005E4DA5"/>
    <w:rsid w:val="005E53FD"/>
    <w:rsid w:val="005F3A0B"/>
    <w:rsid w:val="00603058"/>
    <w:rsid w:val="00604CB2"/>
    <w:rsid w:val="00606AE7"/>
    <w:rsid w:val="00610F45"/>
    <w:rsid w:val="00630A2B"/>
    <w:rsid w:val="0063471E"/>
    <w:rsid w:val="006349CB"/>
    <w:rsid w:val="00636E8D"/>
    <w:rsid w:val="00637716"/>
    <w:rsid w:val="0064128D"/>
    <w:rsid w:val="006426E9"/>
    <w:rsid w:val="006432FB"/>
    <w:rsid w:val="00645BF5"/>
    <w:rsid w:val="00652F40"/>
    <w:rsid w:val="006577FD"/>
    <w:rsid w:val="0066104C"/>
    <w:rsid w:val="00661CFB"/>
    <w:rsid w:val="006637F7"/>
    <w:rsid w:val="00663ABA"/>
    <w:rsid w:val="006646BB"/>
    <w:rsid w:val="006648C2"/>
    <w:rsid w:val="00666414"/>
    <w:rsid w:val="006710F3"/>
    <w:rsid w:val="00676D30"/>
    <w:rsid w:val="00682425"/>
    <w:rsid w:val="0068263A"/>
    <w:rsid w:val="006828A8"/>
    <w:rsid w:val="00684DE1"/>
    <w:rsid w:val="0068613C"/>
    <w:rsid w:val="00686F30"/>
    <w:rsid w:val="0069336D"/>
    <w:rsid w:val="00695990"/>
    <w:rsid w:val="006A154A"/>
    <w:rsid w:val="006A5448"/>
    <w:rsid w:val="006A57A9"/>
    <w:rsid w:val="006A6BB2"/>
    <w:rsid w:val="006B06D7"/>
    <w:rsid w:val="006B1490"/>
    <w:rsid w:val="006C36F5"/>
    <w:rsid w:val="006C4347"/>
    <w:rsid w:val="006C4769"/>
    <w:rsid w:val="006D3F2A"/>
    <w:rsid w:val="006D483D"/>
    <w:rsid w:val="006D5808"/>
    <w:rsid w:val="006D77DC"/>
    <w:rsid w:val="006E07D7"/>
    <w:rsid w:val="006E1C78"/>
    <w:rsid w:val="006E7875"/>
    <w:rsid w:val="006F0253"/>
    <w:rsid w:val="006F2696"/>
    <w:rsid w:val="006F428D"/>
    <w:rsid w:val="006F532D"/>
    <w:rsid w:val="006F5C87"/>
    <w:rsid w:val="006F5D4A"/>
    <w:rsid w:val="006F74CC"/>
    <w:rsid w:val="007029F6"/>
    <w:rsid w:val="0070355F"/>
    <w:rsid w:val="007043FD"/>
    <w:rsid w:val="00704CAF"/>
    <w:rsid w:val="007065FC"/>
    <w:rsid w:val="00707E6F"/>
    <w:rsid w:val="0071483C"/>
    <w:rsid w:val="00715682"/>
    <w:rsid w:val="00717D5A"/>
    <w:rsid w:val="00720450"/>
    <w:rsid w:val="00722949"/>
    <w:rsid w:val="00723E5F"/>
    <w:rsid w:val="00724A9B"/>
    <w:rsid w:val="007258DA"/>
    <w:rsid w:val="00726944"/>
    <w:rsid w:val="0072767A"/>
    <w:rsid w:val="007324F5"/>
    <w:rsid w:val="00733B5E"/>
    <w:rsid w:val="007355D7"/>
    <w:rsid w:val="00741F22"/>
    <w:rsid w:val="0075037F"/>
    <w:rsid w:val="007602AD"/>
    <w:rsid w:val="007633BE"/>
    <w:rsid w:val="00764F26"/>
    <w:rsid w:val="00772D41"/>
    <w:rsid w:val="00774232"/>
    <w:rsid w:val="00775232"/>
    <w:rsid w:val="00775B77"/>
    <w:rsid w:val="0077726E"/>
    <w:rsid w:val="007777EB"/>
    <w:rsid w:val="00792A52"/>
    <w:rsid w:val="00793A28"/>
    <w:rsid w:val="00795B87"/>
    <w:rsid w:val="007A0C3D"/>
    <w:rsid w:val="007A475C"/>
    <w:rsid w:val="007A553D"/>
    <w:rsid w:val="007A61FB"/>
    <w:rsid w:val="007B1A32"/>
    <w:rsid w:val="007B69E7"/>
    <w:rsid w:val="007B6AA8"/>
    <w:rsid w:val="007C05C7"/>
    <w:rsid w:val="007C743D"/>
    <w:rsid w:val="007D0E30"/>
    <w:rsid w:val="007D1F98"/>
    <w:rsid w:val="007D257A"/>
    <w:rsid w:val="007D4D82"/>
    <w:rsid w:val="007E5F83"/>
    <w:rsid w:val="007E7C9C"/>
    <w:rsid w:val="007F036C"/>
    <w:rsid w:val="007F34A4"/>
    <w:rsid w:val="007F63FF"/>
    <w:rsid w:val="00800EC8"/>
    <w:rsid w:val="00802961"/>
    <w:rsid w:val="00803B86"/>
    <w:rsid w:val="008066DA"/>
    <w:rsid w:val="00807521"/>
    <w:rsid w:val="00807C1F"/>
    <w:rsid w:val="00812187"/>
    <w:rsid w:val="008125A3"/>
    <w:rsid w:val="0081297B"/>
    <w:rsid w:val="00816E00"/>
    <w:rsid w:val="00817B29"/>
    <w:rsid w:val="008208FC"/>
    <w:rsid w:val="00820BDF"/>
    <w:rsid w:val="008306CB"/>
    <w:rsid w:val="00832E43"/>
    <w:rsid w:val="008351D8"/>
    <w:rsid w:val="00836FE1"/>
    <w:rsid w:val="00843475"/>
    <w:rsid w:val="00846125"/>
    <w:rsid w:val="00846C10"/>
    <w:rsid w:val="00852C89"/>
    <w:rsid w:val="00857CBE"/>
    <w:rsid w:val="008608C0"/>
    <w:rsid w:val="00866A3B"/>
    <w:rsid w:val="00867609"/>
    <w:rsid w:val="0087148B"/>
    <w:rsid w:val="00871FBF"/>
    <w:rsid w:val="00875325"/>
    <w:rsid w:val="008778F7"/>
    <w:rsid w:val="0088330B"/>
    <w:rsid w:val="00885F7D"/>
    <w:rsid w:val="00886FCD"/>
    <w:rsid w:val="008917C1"/>
    <w:rsid w:val="008925A2"/>
    <w:rsid w:val="00895BCA"/>
    <w:rsid w:val="0089604B"/>
    <w:rsid w:val="00896709"/>
    <w:rsid w:val="008A1E8D"/>
    <w:rsid w:val="008A37D3"/>
    <w:rsid w:val="008A4C13"/>
    <w:rsid w:val="008A6B28"/>
    <w:rsid w:val="008B09A0"/>
    <w:rsid w:val="008B1873"/>
    <w:rsid w:val="008B19C8"/>
    <w:rsid w:val="008B21B6"/>
    <w:rsid w:val="008B6B86"/>
    <w:rsid w:val="008B729D"/>
    <w:rsid w:val="008C08DB"/>
    <w:rsid w:val="008C1DC5"/>
    <w:rsid w:val="008C4C29"/>
    <w:rsid w:val="008C4D84"/>
    <w:rsid w:val="008C6C32"/>
    <w:rsid w:val="008D06DF"/>
    <w:rsid w:val="008D0A5C"/>
    <w:rsid w:val="008D5D1A"/>
    <w:rsid w:val="008D7BEB"/>
    <w:rsid w:val="008E766C"/>
    <w:rsid w:val="008F4AE2"/>
    <w:rsid w:val="008F5F9F"/>
    <w:rsid w:val="008F6390"/>
    <w:rsid w:val="009004AB"/>
    <w:rsid w:val="009006B9"/>
    <w:rsid w:val="00900C86"/>
    <w:rsid w:val="0090176A"/>
    <w:rsid w:val="00904290"/>
    <w:rsid w:val="0090530F"/>
    <w:rsid w:val="0091269A"/>
    <w:rsid w:val="00923838"/>
    <w:rsid w:val="0092424A"/>
    <w:rsid w:val="00927FDD"/>
    <w:rsid w:val="009302E2"/>
    <w:rsid w:val="009315DB"/>
    <w:rsid w:val="00931CF3"/>
    <w:rsid w:val="009343B9"/>
    <w:rsid w:val="00942408"/>
    <w:rsid w:val="00944343"/>
    <w:rsid w:val="00944449"/>
    <w:rsid w:val="009455D1"/>
    <w:rsid w:val="00946447"/>
    <w:rsid w:val="00951085"/>
    <w:rsid w:val="0095352B"/>
    <w:rsid w:val="00956F75"/>
    <w:rsid w:val="00961433"/>
    <w:rsid w:val="00963607"/>
    <w:rsid w:val="009656FB"/>
    <w:rsid w:val="00966FB6"/>
    <w:rsid w:val="00967FB1"/>
    <w:rsid w:val="00970DD3"/>
    <w:rsid w:val="00973002"/>
    <w:rsid w:val="009746C8"/>
    <w:rsid w:val="00980163"/>
    <w:rsid w:val="009826D6"/>
    <w:rsid w:val="0098371C"/>
    <w:rsid w:val="00985790"/>
    <w:rsid w:val="009933BD"/>
    <w:rsid w:val="00994ABE"/>
    <w:rsid w:val="00994C2C"/>
    <w:rsid w:val="009A21DF"/>
    <w:rsid w:val="009A51E2"/>
    <w:rsid w:val="009A67BC"/>
    <w:rsid w:val="009A6913"/>
    <w:rsid w:val="009A7488"/>
    <w:rsid w:val="009B0753"/>
    <w:rsid w:val="009B0ECD"/>
    <w:rsid w:val="009B247A"/>
    <w:rsid w:val="009B70CE"/>
    <w:rsid w:val="009B7CA5"/>
    <w:rsid w:val="009C572A"/>
    <w:rsid w:val="009D030D"/>
    <w:rsid w:val="009D3F4F"/>
    <w:rsid w:val="009D44CA"/>
    <w:rsid w:val="009D7438"/>
    <w:rsid w:val="009E0BAC"/>
    <w:rsid w:val="009E1623"/>
    <w:rsid w:val="009E560D"/>
    <w:rsid w:val="009E5D81"/>
    <w:rsid w:val="009E5E5D"/>
    <w:rsid w:val="009E601F"/>
    <w:rsid w:val="009E67D5"/>
    <w:rsid w:val="009F1405"/>
    <w:rsid w:val="009F3BDB"/>
    <w:rsid w:val="009F4AAB"/>
    <w:rsid w:val="00A01F64"/>
    <w:rsid w:val="00A02F86"/>
    <w:rsid w:val="00A04076"/>
    <w:rsid w:val="00A10724"/>
    <w:rsid w:val="00A13CA1"/>
    <w:rsid w:val="00A208B0"/>
    <w:rsid w:val="00A226D1"/>
    <w:rsid w:val="00A23C31"/>
    <w:rsid w:val="00A27332"/>
    <w:rsid w:val="00A35C49"/>
    <w:rsid w:val="00A35E1C"/>
    <w:rsid w:val="00A40CDE"/>
    <w:rsid w:val="00A43F3E"/>
    <w:rsid w:val="00A66099"/>
    <w:rsid w:val="00A705B6"/>
    <w:rsid w:val="00A724AB"/>
    <w:rsid w:val="00A81562"/>
    <w:rsid w:val="00A81571"/>
    <w:rsid w:val="00A8246A"/>
    <w:rsid w:val="00A83BBE"/>
    <w:rsid w:val="00A84FAA"/>
    <w:rsid w:val="00A85C5A"/>
    <w:rsid w:val="00A8796D"/>
    <w:rsid w:val="00A902FF"/>
    <w:rsid w:val="00A92326"/>
    <w:rsid w:val="00A92889"/>
    <w:rsid w:val="00A92CAC"/>
    <w:rsid w:val="00A93043"/>
    <w:rsid w:val="00A955E2"/>
    <w:rsid w:val="00A96027"/>
    <w:rsid w:val="00A96CED"/>
    <w:rsid w:val="00AA6173"/>
    <w:rsid w:val="00AA6FA0"/>
    <w:rsid w:val="00AB0FA8"/>
    <w:rsid w:val="00AB66A0"/>
    <w:rsid w:val="00AB7D45"/>
    <w:rsid w:val="00AB7DD4"/>
    <w:rsid w:val="00AC5D9B"/>
    <w:rsid w:val="00AC6342"/>
    <w:rsid w:val="00AD0EC9"/>
    <w:rsid w:val="00AD5A52"/>
    <w:rsid w:val="00AD6F9C"/>
    <w:rsid w:val="00AD7601"/>
    <w:rsid w:val="00AE2272"/>
    <w:rsid w:val="00AF0554"/>
    <w:rsid w:val="00AF41D7"/>
    <w:rsid w:val="00AF52B4"/>
    <w:rsid w:val="00AF6792"/>
    <w:rsid w:val="00B00456"/>
    <w:rsid w:val="00B114D5"/>
    <w:rsid w:val="00B11625"/>
    <w:rsid w:val="00B132AE"/>
    <w:rsid w:val="00B1692D"/>
    <w:rsid w:val="00B205F8"/>
    <w:rsid w:val="00B206A9"/>
    <w:rsid w:val="00B21813"/>
    <w:rsid w:val="00B23F96"/>
    <w:rsid w:val="00B263EE"/>
    <w:rsid w:val="00B30A94"/>
    <w:rsid w:val="00B3252C"/>
    <w:rsid w:val="00B36737"/>
    <w:rsid w:val="00B36CB4"/>
    <w:rsid w:val="00B5366A"/>
    <w:rsid w:val="00B54F99"/>
    <w:rsid w:val="00B62CAC"/>
    <w:rsid w:val="00B64C1B"/>
    <w:rsid w:val="00B65DE2"/>
    <w:rsid w:val="00B70873"/>
    <w:rsid w:val="00B70A99"/>
    <w:rsid w:val="00B71F6E"/>
    <w:rsid w:val="00B72402"/>
    <w:rsid w:val="00B73B6B"/>
    <w:rsid w:val="00B82F06"/>
    <w:rsid w:val="00B8651E"/>
    <w:rsid w:val="00B928DD"/>
    <w:rsid w:val="00B95293"/>
    <w:rsid w:val="00B97FB6"/>
    <w:rsid w:val="00BA038A"/>
    <w:rsid w:val="00BA0A71"/>
    <w:rsid w:val="00BA164C"/>
    <w:rsid w:val="00BA34F6"/>
    <w:rsid w:val="00BA4A78"/>
    <w:rsid w:val="00BA4EF1"/>
    <w:rsid w:val="00BB2472"/>
    <w:rsid w:val="00BB4E98"/>
    <w:rsid w:val="00BB632F"/>
    <w:rsid w:val="00BB6F96"/>
    <w:rsid w:val="00BC4042"/>
    <w:rsid w:val="00BD1C62"/>
    <w:rsid w:val="00BD584B"/>
    <w:rsid w:val="00BE0F57"/>
    <w:rsid w:val="00BE2AB1"/>
    <w:rsid w:val="00BE5727"/>
    <w:rsid w:val="00BE6180"/>
    <w:rsid w:val="00BF13DF"/>
    <w:rsid w:val="00BF2B1D"/>
    <w:rsid w:val="00BF381F"/>
    <w:rsid w:val="00BF4CFD"/>
    <w:rsid w:val="00C0413C"/>
    <w:rsid w:val="00C047AA"/>
    <w:rsid w:val="00C07F34"/>
    <w:rsid w:val="00C10875"/>
    <w:rsid w:val="00C11F3F"/>
    <w:rsid w:val="00C11FCD"/>
    <w:rsid w:val="00C12486"/>
    <w:rsid w:val="00C14A44"/>
    <w:rsid w:val="00C178E3"/>
    <w:rsid w:val="00C220EB"/>
    <w:rsid w:val="00C2497A"/>
    <w:rsid w:val="00C2540A"/>
    <w:rsid w:val="00C27A8E"/>
    <w:rsid w:val="00C317D6"/>
    <w:rsid w:val="00C325CE"/>
    <w:rsid w:val="00C35E0E"/>
    <w:rsid w:val="00C36E77"/>
    <w:rsid w:val="00C370D7"/>
    <w:rsid w:val="00C40B72"/>
    <w:rsid w:val="00C4105B"/>
    <w:rsid w:val="00C44992"/>
    <w:rsid w:val="00C553F7"/>
    <w:rsid w:val="00C635FB"/>
    <w:rsid w:val="00C66052"/>
    <w:rsid w:val="00C67733"/>
    <w:rsid w:val="00C70AEA"/>
    <w:rsid w:val="00C74744"/>
    <w:rsid w:val="00C85CC8"/>
    <w:rsid w:val="00C8684E"/>
    <w:rsid w:val="00C9121E"/>
    <w:rsid w:val="00CA0600"/>
    <w:rsid w:val="00CA1207"/>
    <w:rsid w:val="00CA60E2"/>
    <w:rsid w:val="00CA61DB"/>
    <w:rsid w:val="00CA7158"/>
    <w:rsid w:val="00CB03A0"/>
    <w:rsid w:val="00CB0BDC"/>
    <w:rsid w:val="00CB31A7"/>
    <w:rsid w:val="00CB3E1D"/>
    <w:rsid w:val="00CB4B33"/>
    <w:rsid w:val="00CB6475"/>
    <w:rsid w:val="00CC002D"/>
    <w:rsid w:val="00CC26D9"/>
    <w:rsid w:val="00CC2C91"/>
    <w:rsid w:val="00CC3C60"/>
    <w:rsid w:val="00CD0B6A"/>
    <w:rsid w:val="00CD2004"/>
    <w:rsid w:val="00CD3BD2"/>
    <w:rsid w:val="00CD586F"/>
    <w:rsid w:val="00CD7132"/>
    <w:rsid w:val="00CD7138"/>
    <w:rsid w:val="00CE6A7E"/>
    <w:rsid w:val="00CE6FE0"/>
    <w:rsid w:val="00CF0FCD"/>
    <w:rsid w:val="00CF192E"/>
    <w:rsid w:val="00CF3A73"/>
    <w:rsid w:val="00CF7183"/>
    <w:rsid w:val="00CF7892"/>
    <w:rsid w:val="00D0093B"/>
    <w:rsid w:val="00D103BE"/>
    <w:rsid w:val="00D1128B"/>
    <w:rsid w:val="00D1381D"/>
    <w:rsid w:val="00D15ABD"/>
    <w:rsid w:val="00D15F81"/>
    <w:rsid w:val="00D16FEB"/>
    <w:rsid w:val="00D20670"/>
    <w:rsid w:val="00D2224E"/>
    <w:rsid w:val="00D277BF"/>
    <w:rsid w:val="00D27CF1"/>
    <w:rsid w:val="00D315F8"/>
    <w:rsid w:val="00D33ED8"/>
    <w:rsid w:val="00D34D43"/>
    <w:rsid w:val="00D362E1"/>
    <w:rsid w:val="00D3635B"/>
    <w:rsid w:val="00D44948"/>
    <w:rsid w:val="00D45012"/>
    <w:rsid w:val="00D46382"/>
    <w:rsid w:val="00D53118"/>
    <w:rsid w:val="00D5335A"/>
    <w:rsid w:val="00D56211"/>
    <w:rsid w:val="00D56BA0"/>
    <w:rsid w:val="00D56C4E"/>
    <w:rsid w:val="00D60A4A"/>
    <w:rsid w:val="00D6119B"/>
    <w:rsid w:val="00D62074"/>
    <w:rsid w:val="00D663F6"/>
    <w:rsid w:val="00D66A21"/>
    <w:rsid w:val="00D719C5"/>
    <w:rsid w:val="00D743A2"/>
    <w:rsid w:val="00D74BAB"/>
    <w:rsid w:val="00D84648"/>
    <w:rsid w:val="00D848E5"/>
    <w:rsid w:val="00D90491"/>
    <w:rsid w:val="00D90537"/>
    <w:rsid w:val="00D91526"/>
    <w:rsid w:val="00D91E9D"/>
    <w:rsid w:val="00D91F70"/>
    <w:rsid w:val="00D92480"/>
    <w:rsid w:val="00D95E2E"/>
    <w:rsid w:val="00D96F91"/>
    <w:rsid w:val="00DA21A9"/>
    <w:rsid w:val="00DA4A4A"/>
    <w:rsid w:val="00DA734D"/>
    <w:rsid w:val="00DB17E5"/>
    <w:rsid w:val="00DB46C0"/>
    <w:rsid w:val="00DC13D3"/>
    <w:rsid w:val="00DC2936"/>
    <w:rsid w:val="00DD0705"/>
    <w:rsid w:val="00DD09CE"/>
    <w:rsid w:val="00DD6DD8"/>
    <w:rsid w:val="00DD7339"/>
    <w:rsid w:val="00DE62CC"/>
    <w:rsid w:val="00DE6518"/>
    <w:rsid w:val="00DE74F2"/>
    <w:rsid w:val="00DF4049"/>
    <w:rsid w:val="00DF7253"/>
    <w:rsid w:val="00DF734D"/>
    <w:rsid w:val="00E0045D"/>
    <w:rsid w:val="00E01CB0"/>
    <w:rsid w:val="00E028AD"/>
    <w:rsid w:val="00E03D35"/>
    <w:rsid w:val="00E05634"/>
    <w:rsid w:val="00E10980"/>
    <w:rsid w:val="00E10D8C"/>
    <w:rsid w:val="00E14802"/>
    <w:rsid w:val="00E161F2"/>
    <w:rsid w:val="00E17C67"/>
    <w:rsid w:val="00E224FB"/>
    <w:rsid w:val="00E2358A"/>
    <w:rsid w:val="00E2614D"/>
    <w:rsid w:val="00E26803"/>
    <w:rsid w:val="00E30A16"/>
    <w:rsid w:val="00E330A3"/>
    <w:rsid w:val="00E346FD"/>
    <w:rsid w:val="00E34DF1"/>
    <w:rsid w:val="00E35E93"/>
    <w:rsid w:val="00E47400"/>
    <w:rsid w:val="00E54642"/>
    <w:rsid w:val="00E558C9"/>
    <w:rsid w:val="00E579E4"/>
    <w:rsid w:val="00E57C95"/>
    <w:rsid w:val="00E6245A"/>
    <w:rsid w:val="00E66C95"/>
    <w:rsid w:val="00E73624"/>
    <w:rsid w:val="00E748C0"/>
    <w:rsid w:val="00E75374"/>
    <w:rsid w:val="00E779B5"/>
    <w:rsid w:val="00E8320D"/>
    <w:rsid w:val="00E855D0"/>
    <w:rsid w:val="00E869AE"/>
    <w:rsid w:val="00E87446"/>
    <w:rsid w:val="00E87CC9"/>
    <w:rsid w:val="00E91D13"/>
    <w:rsid w:val="00E93664"/>
    <w:rsid w:val="00E9591E"/>
    <w:rsid w:val="00E965B8"/>
    <w:rsid w:val="00E96D7C"/>
    <w:rsid w:val="00EA16BD"/>
    <w:rsid w:val="00EA2B23"/>
    <w:rsid w:val="00EA47EF"/>
    <w:rsid w:val="00EA546C"/>
    <w:rsid w:val="00EB0A1F"/>
    <w:rsid w:val="00EB2AF1"/>
    <w:rsid w:val="00EB7DF2"/>
    <w:rsid w:val="00EC4EDE"/>
    <w:rsid w:val="00ED0A45"/>
    <w:rsid w:val="00ED33DD"/>
    <w:rsid w:val="00ED5326"/>
    <w:rsid w:val="00ED758D"/>
    <w:rsid w:val="00EE2141"/>
    <w:rsid w:val="00EE64A5"/>
    <w:rsid w:val="00EF1F35"/>
    <w:rsid w:val="00EF306A"/>
    <w:rsid w:val="00EF7A28"/>
    <w:rsid w:val="00F05EAC"/>
    <w:rsid w:val="00F06A06"/>
    <w:rsid w:val="00F11A1C"/>
    <w:rsid w:val="00F15E3A"/>
    <w:rsid w:val="00F17001"/>
    <w:rsid w:val="00F17EF0"/>
    <w:rsid w:val="00F207C6"/>
    <w:rsid w:val="00F257F6"/>
    <w:rsid w:val="00F27FC2"/>
    <w:rsid w:val="00F31926"/>
    <w:rsid w:val="00F34737"/>
    <w:rsid w:val="00F35F83"/>
    <w:rsid w:val="00F45104"/>
    <w:rsid w:val="00F518AC"/>
    <w:rsid w:val="00F51D00"/>
    <w:rsid w:val="00F53D7B"/>
    <w:rsid w:val="00F54BDA"/>
    <w:rsid w:val="00F5536B"/>
    <w:rsid w:val="00F56A72"/>
    <w:rsid w:val="00F6044D"/>
    <w:rsid w:val="00F64B3F"/>
    <w:rsid w:val="00F64FED"/>
    <w:rsid w:val="00F66EB2"/>
    <w:rsid w:val="00F67F5C"/>
    <w:rsid w:val="00F81EA5"/>
    <w:rsid w:val="00F82AC0"/>
    <w:rsid w:val="00F83838"/>
    <w:rsid w:val="00F91386"/>
    <w:rsid w:val="00F928AA"/>
    <w:rsid w:val="00F95C7D"/>
    <w:rsid w:val="00FA00E5"/>
    <w:rsid w:val="00FA0222"/>
    <w:rsid w:val="00FA0DBF"/>
    <w:rsid w:val="00FB4CF3"/>
    <w:rsid w:val="00FB6577"/>
    <w:rsid w:val="00FB6E17"/>
    <w:rsid w:val="00FC7815"/>
    <w:rsid w:val="00FD16CA"/>
    <w:rsid w:val="00FE461D"/>
    <w:rsid w:val="00FE70EB"/>
    <w:rsid w:val="00FF021A"/>
    <w:rsid w:val="00FF0B64"/>
    <w:rsid w:val="00FF0EFD"/>
    <w:rsid w:val="00FF18E7"/>
    <w:rsid w:val="00FF2340"/>
    <w:rsid w:val="00FF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5411454C"/>
  <w15:docId w15:val="{4B58811D-E51F-40FD-9F07-5CEC1411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qFormat/>
    <w:rsid w:val="00CA60E2"/>
    <w:rPr>
      <w:rFonts w:ascii="Arial" w:hAnsi="Arial"/>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39"/>
    <w:rsid w:val="007F7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rsid w:val="00CA60E2"/>
    <w:rPr>
      <w:rFonts w:ascii="Arial" w:hAnsi="Arial"/>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31607A"/>
    <w:rPr>
      <w:sz w:val="16"/>
      <w:szCs w:val="16"/>
    </w:rPr>
  </w:style>
  <w:style w:type="paragraph" w:styleId="CommentText">
    <w:name w:val="annotation text"/>
    <w:basedOn w:val="Normal"/>
    <w:link w:val="CommentTextChar"/>
    <w:uiPriority w:val="99"/>
    <w:semiHidden/>
    <w:unhideWhenUsed/>
    <w:rsid w:val="0031607A"/>
    <w:rPr>
      <w:sz w:val="20"/>
      <w:szCs w:val="20"/>
    </w:rPr>
  </w:style>
  <w:style w:type="character" w:customStyle="1" w:styleId="CommentTextChar">
    <w:name w:val="Comment Text Char"/>
    <w:basedOn w:val="DefaultParagraphFont"/>
    <w:link w:val="CommentText"/>
    <w:uiPriority w:val="99"/>
    <w:semiHidden/>
    <w:rsid w:val="0031607A"/>
    <w:rPr>
      <w:lang w:eastAsia="ar-SA"/>
    </w:rPr>
  </w:style>
  <w:style w:type="paragraph" w:styleId="CommentSubject">
    <w:name w:val="annotation subject"/>
    <w:basedOn w:val="CommentText"/>
    <w:next w:val="CommentText"/>
    <w:link w:val="CommentSubjectChar"/>
    <w:uiPriority w:val="99"/>
    <w:semiHidden/>
    <w:unhideWhenUsed/>
    <w:rsid w:val="0031607A"/>
    <w:rPr>
      <w:b/>
      <w:bCs/>
    </w:rPr>
  </w:style>
  <w:style w:type="character" w:customStyle="1" w:styleId="CommentSubjectChar">
    <w:name w:val="Comment Subject Char"/>
    <w:basedOn w:val="CommentTextChar"/>
    <w:link w:val="CommentSubject"/>
    <w:uiPriority w:val="99"/>
    <w:semiHidden/>
    <w:rsid w:val="0031607A"/>
    <w:rPr>
      <w:b/>
      <w:bCs/>
      <w:lang w:eastAsia="ar-SA"/>
    </w:rPr>
  </w:style>
  <w:style w:type="character" w:styleId="Hyperlink">
    <w:name w:val="Hyperlink"/>
    <w:basedOn w:val="DefaultParagraphFont"/>
    <w:uiPriority w:val="99"/>
    <w:unhideWhenUsed/>
    <w:rsid w:val="002575A4"/>
    <w:rPr>
      <w:color w:val="0000FF"/>
      <w:u w:val="single"/>
    </w:rPr>
  </w:style>
  <w:style w:type="paragraph" w:styleId="NormalWeb">
    <w:name w:val="Normal (Web)"/>
    <w:basedOn w:val="Normal"/>
    <w:uiPriority w:val="99"/>
    <w:semiHidden/>
    <w:unhideWhenUsed/>
    <w:rsid w:val="002575A4"/>
    <w:pPr>
      <w:suppressAutoHyphens w:val="0"/>
      <w:spacing w:before="100" w:beforeAutospacing="1" w:after="100" w:afterAutospacing="1"/>
    </w:pPr>
    <w:rPr>
      <w:rFonts w:eastAsiaTheme="minorHAnsi"/>
      <w:lang w:eastAsia="en-US"/>
    </w:rPr>
  </w:style>
  <w:style w:type="character" w:customStyle="1" w:styleId="apple-converted-space">
    <w:name w:val="apple-converted-space"/>
    <w:basedOn w:val="DefaultParagraphFont"/>
    <w:rsid w:val="002575A4"/>
  </w:style>
  <w:style w:type="paragraph" w:customStyle="1" w:styleId="Default">
    <w:name w:val="Default"/>
    <w:rsid w:val="00FA00E5"/>
    <w:pPr>
      <w:autoSpaceDE w:val="0"/>
      <w:autoSpaceDN w:val="0"/>
      <w:adjustRightInd w:val="0"/>
    </w:pPr>
    <w:rPr>
      <w:rFonts w:ascii="Calibri" w:hAnsi="Calibri" w:cs="Calibri"/>
      <w:color w:val="000000"/>
      <w:sz w:val="24"/>
      <w:szCs w:val="24"/>
    </w:rPr>
  </w:style>
  <w:style w:type="paragraph" w:styleId="NoSpacing">
    <w:name w:val="No Spacing"/>
    <w:uiPriority w:val="1"/>
    <w:qFormat/>
    <w:rsid w:val="000B06AD"/>
    <w:rPr>
      <w:rFonts w:ascii="Arial" w:eastAsia="Calibri" w:hAnsi="Arial" w:cs="Arial"/>
      <w:sz w:val="24"/>
      <w:szCs w:val="24"/>
    </w:rPr>
  </w:style>
  <w:style w:type="paragraph" w:customStyle="1" w:styleId="Pa36">
    <w:name w:val="Pa36"/>
    <w:basedOn w:val="Normal"/>
    <w:next w:val="Normal"/>
    <w:uiPriority w:val="99"/>
    <w:rsid w:val="000E7058"/>
    <w:pPr>
      <w:widowControl w:val="0"/>
      <w:suppressAutoHyphens w:val="0"/>
      <w:autoSpaceDE w:val="0"/>
      <w:autoSpaceDN w:val="0"/>
      <w:adjustRightInd w:val="0"/>
      <w:spacing w:line="201" w:lineRule="atLeast"/>
    </w:pPr>
    <w:rPr>
      <w:rFonts w:ascii="Humnst777 Cn BT" w:eastAsiaTheme="minorHAnsi" w:hAnsi="Humnst777 Cn BT"/>
      <w:lang w:eastAsia="en-US"/>
    </w:rPr>
  </w:style>
  <w:style w:type="paragraph" w:customStyle="1" w:styleId="Pa35">
    <w:name w:val="Pa35"/>
    <w:basedOn w:val="Normal"/>
    <w:next w:val="Normal"/>
    <w:uiPriority w:val="99"/>
    <w:rsid w:val="000E7058"/>
    <w:pPr>
      <w:widowControl w:val="0"/>
      <w:suppressAutoHyphens w:val="0"/>
      <w:autoSpaceDE w:val="0"/>
      <w:autoSpaceDN w:val="0"/>
      <w:adjustRightInd w:val="0"/>
      <w:spacing w:line="221" w:lineRule="atLeast"/>
    </w:pPr>
    <w:rPr>
      <w:rFonts w:ascii="Humnst777 Cn BT" w:eastAsiaTheme="minorHAnsi" w:hAnsi="Humnst777 Cn BT"/>
      <w:lang w:eastAsia="en-US"/>
    </w:rPr>
  </w:style>
  <w:style w:type="paragraph" w:customStyle="1" w:styleId="Pa27">
    <w:name w:val="Pa27"/>
    <w:basedOn w:val="Normal"/>
    <w:next w:val="Normal"/>
    <w:uiPriority w:val="99"/>
    <w:rsid w:val="000E7058"/>
    <w:pPr>
      <w:widowControl w:val="0"/>
      <w:suppressAutoHyphens w:val="0"/>
      <w:autoSpaceDE w:val="0"/>
      <w:autoSpaceDN w:val="0"/>
      <w:adjustRightInd w:val="0"/>
      <w:spacing w:line="201" w:lineRule="atLeast"/>
    </w:pPr>
    <w:rPr>
      <w:rFonts w:ascii="Humnst777 Cn BT" w:eastAsiaTheme="minorHAnsi" w:hAnsi="Humnst777 Cn BT"/>
      <w:lang w:eastAsia="en-US"/>
    </w:rPr>
  </w:style>
  <w:style w:type="character" w:styleId="Emphasis">
    <w:name w:val="Emphasis"/>
    <w:basedOn w:val="DefaultParagraphFont"/>
    <w:uiPriority w:val="20"/>
    <w:qFormat/>
    <w:rsid w:val="00F35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52">
      <w:bodyDiv w:val="1"/>
      <w:marLeft w:val="0"/>
      <w:marRight w:val="0"/>
      <w:marTop w:val="0"/>
      <w:marBottom w:val="0"/>
      <w:divBdr>
        <w:top w:val="none" w:sz="0" w:space="0" w:color="auto"/>
        <w:left w:val="none" w:sz="0" w:space="0" w:color="auto"/>
        <w:bottom w:val="none" w:sz="0" w:space="0" w:color="auto"/>
        <w:right w:val="none" w:sz="0" w:space="0" w:color="auto"/>
      </w:divBdr>
    </w:div>
    <w:div w:id="66653701">
      <w:bodyDiv w:val="1"/>
      <w:marLeft w:val="0"/>
      <w:marRight w:val="0"/>
      <w:marTop w:val="0"/>
      <w:marBottom w:val="0"/>
      <w:divBdr>
        <w:top w:val="none" w:sz="0" w:space="0" w:color="auto"/>
        <w:left w:val="none" w:sz="0" w:space="0" w:color="auto"/>
        <w:bottom w:val="none" w:sz="0" w:space="0" w:color="auto"/>
        <w:right w:val="none" w:sz="0" w:space="0" w:color="auto"/>
      </w:divBdr>
    </w:div>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398290036">
      <w:bodyDiv w:val="1"/>
      <w:marLeft w:val="0"/>
      <w:marRight w:val="0"/>
      <w:marTop w:val="0"/>
      <w:marBottom w:val="0"/>
      <w:divBdr>
        <w:top w:val="none" w:sz="0" w:space="0" w:color="auto"/>
        <w:left w:val="none" w:sz="0" w:space="0" w:color="auto"/>
        <w:bottom w:val="none" w:sz="0" w:space="0" w:color="auto"/>
        <w:right w:val="none" w:sz="0" w:space="0" w:color="auto"/>
      </w:divBdr>
    </w:div>
    <w:div w:id="561135088">
      <w:bodyDiv w:val="1"/>
      <w:marLeft w:val="0"/>
      <w:marRight w:val="0"/>
      <w:marTop w:val="0"/>
      <w:marBottom w:val="0"/>
      <w:divBdr>
        <w:top w:val="none" w:sz="0" w:space="0" w:color="auto"/>
        <w:left w:val="none" w:sz="0" w:space="0" w:color="auto"/>
        <w:bottom w:val="none" w:sz="0" w:space="0" w:color="auto"/>
        <w:right w:val="none" w:sz="0" w:space="0" w:color="auto"/>
      </w:divBdr>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360278841">
      <w:bodyDiv w:val="1"/>
      <w:marLeft w:val="0"/>
      <w:marRight w:val="0"/>
      <w:marTop w:val="0"/>
      <w:marBottom w:val="0"/>
      <w:divBdr>
        <w:top w:val="none" w:sz="0" w:space="0" w:color="auto"/>
        <w:left w:val="none" w:sz="0" w:space="0" w:color="auto"/>
        <w:bottom w:val="none" w:sz="0" w:space="0" w:color="auto"/>
        <w:right w:val="none" w:sz="0" w:space="0" w:color="auto"/>
      </w:divBdr>
    </w:div>
    <w:div w:id="1459568056">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 w:id="1588417006">
      <w:bodyDiv w:val="1"/>
      <w:marLeft w:val="0"/>
      <w:marRight w:val="0"/>
      <w:marTop w:val="0"/>
      <w:marBottom w:val="0"/>
      <w:divBdr>
        <w:top w:val="none" w:sz="0" w:space="0" w:color="auto"/>
        <w:left w:val="none" w:sz="0" w:space="0" w:color="auto"/>
        <w:bottom w:val="none" w:sz="0" w:space="0" w:color="auto"/>
        <w:right w:val="none" w:sz="0" w:space="0" w:color="auto"/>
      </w:divBdr>
      <w:divsChild>
        <w:div w:id="1000503494">
          <w:marLeft w:val="0"/>
          <w:marRight w:val="0"/>
          <w:marTop w:val="0"/>
          <w:marBottom w:val="0"/>
          <w:divBdr>
            <w:top w:val="none" w:sz="0" w:space="0" w:color="auto"/>
            <w:left w:val="none" w:sz="0" w:space="0" w:color="auto"/>
            <w:bottom w:val="none" w:sz="0" w:space="0" w:color="auto"/>
            <w:right w:val="none" w:sz="0" w:space="0" w:color="auto"/>
          </w:divBdr>
        </w:div>
        <w:div w:id="1635603046">
          <w:marLeft w:val="0"/>
          <w:marRight w:val="0"/>
          <w:marTop w:val="0"/>
          <w:marBottom w:val="0"/>
          <w:divBdr>
            <w:top w:val="none" w:sz="0" w:space="0" w:color="auto"/>
            <w:left w:val="none" w:sz="0" w:space="0" w:color="auto"/>
            <w:bottom w:val="none" w:sz="0" w:space="0" w:color="auto"/>
            <w:right w:val="none" w:sz="0" w:space="0" w:color="auto"/>
          </w:divBdr>
        </w:div>
        <w:div w:id="897400707">
          <w:marLeft w:val="0"/>
          <w:marRight w:val="0"/>
          <w:marTop w:val="0"/>
          <w:marBottom w:val="0"/>
          <w:divBdr>
            <w:top w:val="none" w:sz="0" w:space="0" w:color="auto"/>
            <w:left w:val="none" w:sz="0" w:space="0" w:color="auto"/>
            <w:bottom w:val="none" w:sz="0" w:space="0" w:color="auto"/>
            <w:right w:val="none" w:sz="0" w:space="0" w:color="auto"/>
          </w:divBdr>
        </w:div>
        <w:div w:id="726957789">
          <w:marLeft w:val="0"/>
          <w:marRight w:val="0"/>
          <w:marTop w:val="0"/>
          <w:marBottom w:val="0"/>
          <w:divBdr>
            <w:top w:val="none" w:sz="0" w:space="0" w:color="auto"/>
            <w:left w:val="none" w:sz="0" w:space="0" w:color="auto"/>
            <w:bottom w:val="none" w:sz="0" w:space="0" w:color="auto"/>
            <w:right w:val="none" w:sz="0" w:space="0" w:color="auto"/>
          </w:divBdr>
        </w:div>
        <w:div w:id="456678471">
          <w:marLeft w:val="0"/>
          <w:marRight w:val="0"/>
          <w:marTop w:val="0"/>
          <w:marBottom w:val="0"/>
          <w:divBdr>
            <w:top w:val="none" w:sz="0" w:space="0" w:color="auto"/>
            <w:left w:val="none" w:sz="0" w:space="0" w:color="auto"/>
            <w:bottom w:val="none" w:sz="0" w:space="0" w:color="auto"/>
            <w:right w:val="none" w:sz="0" w:space="0" w:color="auto"/>
          </w:divBdr>
        </w:div>
        <w:div w:id="692608314">
          <w:marLeft w:val="720"/>
          <w:marRight w:val="0"/>
          <w:marTop w:val="0"/>
          <w:marBottom w:val="0"/>
          <w:divBdr>
            <w:top w:val="none" w:sz="0" w:space="0" w:color="auto"/>
            <w:left w:val="none" w:sz="0" w:space="0" w:color="auto"/>
            <w:bottom w:val="none" w:sz="0" w:space="0" w:color="auto"/>
            <w:right w:val="none" w:sz="0" w:space="0" w:color="auto"/>
          </w:divBdr>
        </w:div>
        <w:div w:id="212934338">
          <w:marLeft w:val="720"/>
          <w:marRight w:val="0"/>
          <w:marTop w:val="0"/>
          <w:marBottom w:val="0"/>
          <w:divBdr>
            <w:top w:val="none" w:sz="0" w:space="0" w:color="auto"/>
            <w:left w:val="none" w:sz="0" w:space="0" w:color="auto"/>
            <w:bottom w:val="none" w:sz="0" w:space="0" w:color="auto"/>
            <w:right w:val="none" w:sz="0" w:space="0" w:color="auto"/>
          </w:divBdr>
        </w:div>
        <w:div w:id="445202038">
          <w:marLeft w:val="720"/>
          <w:marRight w:val="0"/>
          <w:marTop w:val="0"/>
          <w:marBottom w:val="0"/>
          <w:divBdr>
            <w:top w:val="none" w:sz="0" w:space="0" w:color="auto"/>
            <w:left w:val="none" w:sz="0" w:space="0" w:color="auto"/>
            <w:bottom w:val="none" w:sz="0" w:space="0" w:color="auto"/>
            <w:right w:val="none" w:sz="0" w:space="0" w:color="auto"/>
          </w:divBdr>
        </w:div>
        <w:div w:id="1616712113">
          <w:marLeft w:val="720"/>
          <w:marRight w:val="0"/>
          <w:marTop w:val="0"/>
          <w:marBottom w:val="0"/>
          <w:divBdr>
            <w:top w:val="none" w:sz="0" w:space="0" w:color="auto"/>
            <w:left w:val="none" w:sz="0" w:space="0" w:color="auto"/>
            <w:bottom w:val="none" w:sz="0" w:space="0" w:color="auto"/>
            <w:right w:val="none" w:sz="0" w:space="0" w:color="auto"/>
          </w:divBdr>
        </w:div>
        <w:div w:id="863641094">
          <w:marLeft w:val="720"/>
          <w:marRight w:val="0"/>
          <w:marTop w:val="0"/>
          <w:marBottom w:val="0"/>
          <w:divBdr>
            <w:top w:val="none" w:sz="0" w:space="0" w:color="auto"/>
            <w:left w:val="none" w:sz="0" w:space="0" w:color="auto"/>
            <w:bottom w:val="none" w:sz="0" w:space="0" w:color="auto"/>
            <w:right w:val="none" w:sz="0" w:space="0" w:color="auto"/>
          </w:divBdr>
        </w:div>
        <w:div w:id="1578588003">
          <w:marLeft w:val="720"/>
          <w:marRight w:val="0"/>
          <w:marTop w:val="0"/>
          <w:marBottom w:val="0"/>
          <w:divBdr>
            <w:top w:val="none" w:sz="0" w:space="0" w:color="auto"/>
            <w:left w:val="none" w:sz="0" w:space="0" w:color="auto"/>
            <w:bottom w:val="none" w:sz="0" w:space="0" w:color="auto"/>
            <w:right w:val="none" w:sz="0" w:space="0" w:color="auto"/>
          </w:divBdr>
        </w:div>
        <w:div w:id="329064751">
          <w:marLeft w:val="720"/>
          <w:marRight w:val="0"/>
          <w:marTop w:val="0"/>
          <w:marBottom w:val="0"/>
          <w:divBdr>
            <w:top w:val="none" w:sz="0" w:space="0" w:color="auto"/>
            <w:left w:val="none" w:sz="0" w:space="0" w:color="auto"/>
            <w:bottom w:val="none" w:sz="0" w:space="0" w:color="auto"/>
            <w:right w:val="none" w:sz="0" w:space="0" w:color="auto"/>
          </w:divBdr>
        </w:div>
        <w:div w:id="327252341">
          <w:marLeft w:val="720"/>
          <w:marRight w:val="0"/>
          <w:marTop w:val="0"/>
          <w:marBottom w:val="0"/>
          <w:divBdr>
            <w:top w:val="none" w:sz="0" w:space="0" w:color="auto"/>
            <w:left w:val="none" w:sz="0" w:space="0" w:color="auto"/>
            <w:bottom w:val="none" w:sz="0" w:space="0" w:color="auto"/>
            <w:right w:val="none" w:sz="0" w:space="0" w:color="auto"/>
          </w:divBdr>
        </w:div>
        <w:div w:id="533612744">
          <w:marLeft w:val="0"/>
          <w:marRight w:val="0"/>
          <w:marTop w:val="0"/>
          <w:marBottom w:val="0"/>
          <w:divBdr>
            <w:top w:val="none" w:sz="0" w:space="0" w:color="auto"/>
            <w:left w:val="none" w:sz="0" w:space="0" w:color="auto"/>
            <w:bottom w:val="none" w:sz="0" w:space="0" w:color="auto"/>
            <w:right w:val="none" w:sz="0" w:space="0" w:color="auto"/>
          </w:divBdr>
        </w:div>
        <w:div w:id="1166436270">
          <w:marLeft w:val="0"/>
          <w:marRight w:val="0"/>
          <w:marTop w:val="0"/>
          <w:marBottom w:val="0"/>
          <w:divBdr>
            <w:top w:val="none" w:sz="0" w:space="0" w:color="auto"/>
            <w:left w:val="none" w:sz="0" w:space="0" w:color="auto"/>
            <w:bottom w:val="none" w:sz="0" w:space="0" w:color="auto"/>
            <w:right w:val="none" w:sz="0" w:space="0" w:color="auto"/>
          </w:divBdr>
        </w:div>
        <w:div w:id="783695224">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0"/>
          <w:divBdr>
            <w:top w:val="none" w:sz="0" w:space="0" w:color="auto"/>
            <w:left w:val="none" w:sz="0" w:space="0" w:color="auto"/>
            <w:bottom w:val="none" w:sz="0" w:space="0" w:color="auto"/>
            <w:right w:val="none" w:sz="0" w:space="0" w:color="auto"/>
          </w:divBdr>
        </w:div>
      </w:divsChild>
    </w:div>
    <w:div w:id="1642688291">
      <w:bodyDiv w:val="1"/>
      <w:marLeft w:val="0"/>
      <w:marRight w:val="0"/>
      <w:marTop w:val="0"/>
      <w:marBottom w:val="0"/>
      <w:divBdr>
        <w:top w:val="none" w:sz="0" w:space="0" w:color="auto"/>
        <w:left w:val="none" w:sz="0" w:space="0" w:color="auto"/>
        <w:bottom w:val="none" w:sz="0" w:space="0" w:color="auto"/>
        <w:right w:val="none" w:sz="0" w:space="0" w:color="auto"/>
      </w:divBdr>
    </w:div>
    <w:div w:id="1674140168">
      <w:bodyDiv w:val="1"/>
      <w:marLeft w:val="0"/>
      <w:marRight w:val="0"/>
      <w:marTop w:val="0"/>
      <w:marBottom w:val="0"/>
      <w:divBdr>
        <w:top w:val="none" w:sz="0" w:space="0" w:color="auto"/>
        <w:left w:val="none" w:sz="0" w:space="0" w:color="auto"/>
        <w:bottom w:val="none" w:sz="0" w:space="0" w:color="auto"/>
        <w:right w:val="none" w:sz="0" w:space="0" w:color="auto"/>
      </w:divBdr>
    </w:div>
    <w:div w:id="1792556179">
      <w:bodyDiv w:val="1"/>
      <w:marLeft w:val="0"/>
      <w:marRight w:val="0"/>
      <w:marTop w:val="0"/>
      <w:marBottom w:val="0"/>
      <w:divBdr>
        <w:top w:val="none" w:sz="0" w:space="0" w:color="auto"/>
        <w:left w:val="none" w:sz="0" w:space="0" w:color="auto"/>
        <w:bottom w:val="none" w:sz="0" w:space="0" w:color="auto"/>
        <w:right w:val="none" w:sz="0" w:space="0" w:color="auto"/>
      </w:divBdr>
    </w:div>
    <w:div w:id="1875845336">
      <w:bodyDiv w:val="1"/>
      <w:marLeft w:val="0"/>
      <w:marRight w:val="0"/>
      <w:marTop w:val="0"/>
      <w:marBottom w:val="0"/>
      <w:divBdr>
        <w:top w:val="none" w:sz="0" w:space="0" w:color="auto"/>
        <w:left w:val="none" w:sz="0" w:space="0" w:color="auto"/>
        <w:bottom w:val="none" w:sz="0" w:space="0" w:color="auto"/>
        <w:right w:val="none" w:sz="0" w:space="0" w:color="auto"/>
      </w:divBdr>
    </w:div>
    <w:div w:id="20323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TrEE%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E98A-3B11-42C5-9462-66223876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TrEE staff report template.dotx</Template>
  <TotalTime>2</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Wagner</dc:creator>
  <cp:lastModifiedBy>Aldebot-Green, Scarlett</cp:lastModifiedBy>
  <cp:revision>3</cp:revision>
  <cp:lastPrinted>2015-07-16T23:06:00Z</cp:lastPrinted>
  <dcterms:created xsi:type="dcterms:W3CDTF">2016-03-10T22:12:00Z</dcterms:created>
  <dcterms:modified xsi:type="dcterms:W3CDTF">2016-03-10T22:14:00Z</dcterms:modified>
</cp:coreProperties>
</file>