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4B0967" w:rsidRPr="004B0967" w:rsidRDefault="004B0967" w:rsidP="004B0967"/>
    <w:tbl>
      <w:tblPr>
        <w:tblW w:w="945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30"/>
        <w:gridCol w:w="1170"/>
        <w:gridCol w:w="3960"/>
      </w:tblGrid>
      <w:tr w:rsidR="004B0967" w:rsidRPr="009349D6" w:rsidTr="00F252EE"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9349D6" w:rsidRDefault="004B0967" w:rsidP="00F252EE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FC4DEC" w:rsidRDefault="000F78EA" w:rsidP="00F252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9349D6" w:rsidRDefault="004B0967" w:rsidP="00F252EE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9349D6" w:rsidRDefault="004B4A8B" w:rsidP="00F252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Clifton Curry</w:t>
            </w:r>
          </w:p>
        </w:tc>
      </w:tr>
      <w:tr w:rsidR="004B0967" w:rsidRPr="009349D6" w:rsidTr="00F252EE"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9349D6" w:rsidRDefault="004B0967" w:rsidP="00F252EE">
            <w:pPr>
              <w:spacing w:before="60" w:after="6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F45BF7" w:rsidRDefault="004B4A8B" w:rsidP="00F252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9349D6" w:rsidRDefault="004B0967" w:rsidP="00F252EE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7" w:rsidRPr="009349D6" w:rsidRDefault="006959C0" w:rsidP="00F252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23</w:t>
            </w:r>
            <w:r w:rsidR="004B4A8B">
              <w:rPr>
                <w:rFonts w:ascii="Arial" w:hAnsi="Arial" w:cs="Arial"/>
              </w:rPr>
              <w:t>, 2016</w:t>
            </w:r>
          </w:p>
        </w:tc>
      </w:tr>
    </w:tbl>
    <w:p w:rsidR="004B0967" w:rsidRDefault="004B0967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C75025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C75025" w:rsidRDefault="00C75025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4B0967" w:rsidRDefault="004B0967" w:rsidP="004B0967">
      <w:pPr>
        <w:jc w:val="both"/>
        <w:rPr>
          <w:rFonts w:ascii="Arial" w:hAnsi="Arial" w:cs="Arial"/>
        </w:rPr>
      </w:pPr>
      <w:r w:rsidRPr="00082A61">
        <w:rPr>
          <w:rFonts w:ascii="Arial" w:hAnsi="Arial" w:cs="Arial"/>
        </w:rPr>
        <w:t xml:space="preserve">An ordinance adopting the revision of voting precincts </w:t>
      </w:r>
      <w:r w:rsidR="004B4A8B">
        <w:rPr>
          <w:rFonts w:ascii="Arial" w:hAnsi="Arial" w:cs="Arial"/>
        </w:rPr>
        <w:t>of King County for the year 2016</w:t>
      </w:r>
      <w:r w:rsidRPr="00082A61">
        <w:rPr>
          <w:rFonts w:ascii="Arial" w:hAnsi="Arial" w:cs="Arial"/>
        </w:rPr>
        <w:t>.</w:t>
      </w:r>
    </w:p>
    <w:p w:rsidR="004B0967" w:rsidRDefault="004B0967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Default="007470ED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  <w:r w:rsidR="00082009">
        <w:rPr>
          <w:rFonts w:ascii="Arial" w:hAnsi="Arial" w:cs="Arial"/>
          <w:b/>
          <w:smallCaps/>
          <w:szCs w:val="24"/>
          <w:u w:val="single"/>
        </w:rPr>
        <w:t>:</w:t>
      </w:r>
    </w:p>
    <w:p w:rsidR="004B0967" w:rsidRDefault="004B0967" w:rsidP="004B0967">
      <w:pPr>
        <w:jc w:val="both"/>
        <w:rPr>
          <w:rFonts w:ascii="Arial" w:hAnsi="Arial" w:cs="Arial"/>
        </w:rPr>
      </w:pPr>
    </w:p>
    <w:p w:rsidR="00AD1475" w:rsidRDefault="004B0967" w:rsidP="004B0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required by state law and King County Code, this ordinance would adopt boundary revisions to the voting precincts o</w:t>
      </w:r>
      <w:r w:rsidR="001F414F">
        <w:rPr>
          <w:rFonts w:ascii="Arial" w:hAnsi="Arial" w:cs="Arial"/>
        </w:rPr>
        <w:t>f King</w:t>
      </w:r>
      <w:r w:rsidR="004B4A8B">
        <w:rPr>
          <w:rFonts w:ascii="Arial" w:hAnsi="Arial" w:cs="Arial"/>
        </w:rPr>
        <w:t xml:space="preserve"> County for the year 2016</w:t>
      </w:r>
      <w:r w:rsidR="0095772C">
        <w:rPr>
          <w:rFonts w:ascii="Arial" w:hAnsi="Arial" w:cs="Arial"/>
        </w:rPr>
        <w:t>.  These</w:t>
      </w:r>
      <w:r w:rsidR="001F414F">
        <w:rPr>
          <w:rFonts w:ascii="Arial" w:hAnsi="Arial" w:cs="Arial"/>
        </w:rPr>
        <w:t xml:space="preserve"> alterations will</w:t>
      </w:r>
      <w:r>
        <w:rPr>
          <w:rFonts w:ascii="Arial" w:hAnsi="Arial" w:cs="Arial"/>
        </w:rPr>
        <w:t xml:space="preserve"> equalize precinct populations, reflect annexation activity, and ease election administration.  </w:t>
      </w:r>
    </w:p>
    <w:p w:rsidR="00AD1475" w:rsidRDefault="00AD1475" w:rsidP="004B0967">
      <w:pPr>
        <w:jc w:val="both"/>
        <w:rPr>
          <w:rFonts w:ascii="Arial" w:hAnsi="Arial" w:cs="Arial"/>
        </w:rPr>
      </w:pPr>
    </w:p>
    <w:p w:rsidR="00BA6AA9" w:rsidRPr="004B0967" w:rsidRDefault="00BA6AA9" w:rsidP="004B09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</w:t>
      </w:r>
      <w:r w:rsidR="001257A1" w:rsidRPr="001257A1">
        <w:rPr>
          <w:rFonts w:ascii="Arial" w:hAnsi="Arial" w:cs="Arial"/>
        </w:rPr>
        <w:t xml:space="preserve"> precinct alteration process include</w:t>
      </w:r>
      <w:r>
        <w:rPr>
          <w:rFonts w:ascii="Arial" w:hAnsi="Arial" w:cs="Arial"/>
        </w:rPr>
        <w:t>s</w:t>
      </w:r>
      <w:r w:rsidR="001257A1" w:rsidRPr="001257A1">
        <w:rPr>
          <w:rFonts w:ascii="Arial" w:hAnsi="Arial" w:cs="Arial"/>
        </w:rPr>
        <w:t xml:space="preserve"> </w:t>
      </w:r>
      <w:r w:rsidR="00083F61">
        <w:rPr>
          <w:rFonts w:ascii="Arial" w:hAnsi="Arial" w:cs="Arial"/>
        </w:rPr>
        <w:t xml:space="preserve">a public review period of not less than 10 days and </w:t>
      </w:r>
      <w:r w:rsidR="001257A1" w:rsidRPr="001257A1">
        <w:rPr>
          <w:rFonts w:ascii="Arial" w:hAnsi="Arial" w:cs="Arial"/>
        </w:rPr>
        <w:t>input and review by both major political parties in King County</w:t>
      </w:r>
      <w:r w:rsidR="00083F61">
        <w:rPr>
          <w:rFonts w:ascii="Arial" w:hAnsi="Arial" w:cs="Arial"/>
        </w:rPr>
        <w:t>.  This year</w:t>
      </w:r>
      <w:r w:rsidR="004B4A8B">
        <w:rPr>
          <w:rFonts w:ascii="Arial" w:hAnsi="Arial" w:cs="Arial"/>
        </w:rPr>
        <w:t xml:space="preserve"> a 12</w:t>
      </w:r>
      <w:r w:rsidR="001257A1">
        <w:rPr>
          <w:rFonts w:ascii="Arial" w:hAnsi="Arial" w:cs="Arial"/>
        </w:rPr>
        <w:t>-</w:t>
      </w:r>
      <w:r w:rsidR="001257A1" w:rsidRPr="001257A1">
        <w:rPr>
          <w:rFonts w:ascii="Arial" w:hAnsi="Arial" w:cs="Arial"/>
        </w:rPr>
        <w:t>day public review period</w:t>
      </w:r>
      <w:r>
        <w:rPr>
          <w:rFonts w:ascii="Arial" w:hAnsi="Arial" w:cs="Arial"/>
        </w:rPr>
        <w:t xml:space="preserve"> </w:t>
      </w:r>
      <w:r w:rsidR="00083F61">
        <w:rPr>
          <w:rFonts w:ascii="Arial" w:hAnsi="Arial" w:cs="Arial"/>
        </w:rPr>
        <w:t xml:space="preserve">was </w:t>
      </w:r>
      <w:r w:rsidR="00184425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>prior to transmittal of the proposed ordinance to the Council</w:t>
      </w:r>
      <w:r w:rsidR="001257A1" w:rsidRPr="001257A1">
        <w:rPr>
          <w:rFonts w:ascii="Arial" w:hAnsi="Arial" w:cs="Arial"/>
        </w:rPr>
        <w:t xml:space="preserve">.  </w:t>
      </w:r>
      <w:r w:rsidR="001F414F">
        <w:rPr>
          <w:rFonts w:ascii="Arial" w:hAnsi="Arial" w:cs="Arial"/>
        </w:rPr>
        <w:t>According to the Department of Elections, n</w:t>
      </w:r>
      <w:r>
        <w:rPr>
          <w:rFonts w:ascii="Arial" w:hAnsi="Arial" w:cs="Arial"/>
        </w:rPr>
        <w:t>o public comments were received on this year's proposed alterations.</w:t>
      </w:r>
      <w:r w:rsidR="004B09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To comply with state law, the proposed ordinance making the annual precinct alterations must be effective by </w:t>
      </w:r>
      <w:r w:rsidRPr="00ED011B">
        <w:rPr>
          <w:rFonts w:ascii="Arial" w:hAnsi="Arial" w:cs="Arial"/>
        </w:rPr>
        <w:t xml:space="preserve">April </w:t>
      </w:r>
      <w:r w:rsidR="004B4A8B">
        <w:rPr>
          <w:rFonts w:ascii="Arial" w:hAnsi="Arial" w:cs="Arial"/>
        </w:rPr>
        <w:t>25, 2016</w:t>
      </w:r>
      <w:r>
        <w:rPr>
          <w:rFonts w:ascii="Arial" w:hAnsi="Arial" w:cs="Arial"/>
        </w:rPr>
        <w:t>.</w:t>
      </w:r>
    </w:p>
    <w:p w:rsidR="00C75025" w:rsidRDefault="00C75025" w:rsidP="004B0967">
      <w:pPr>
        <w:jc w:val="both"/>
        <w:rPr>
          <w:rFonts w:ascii="Arial" w:hAnsi="Arial" w:cs="Arial"/>
          <w:szCs w:val="24"/>
        </w:rPr>
      </w:pPr>
    </w:p>
    <w:p w:rsidR="00E15C29" w:rsidRDefault="00E15C29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: </w:t>
      </w:r>
    </w:p>
    <w:p w:rsidR="001257A1" w:rsidRDefault="001257A1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1257A1" w:rsidRPr="00F65771" w:rsidRDefault="001257A1" w:rsidP="004B0967">
      <w:pPr>
        <w:jc w:val="both"/>
        <w:rPr>
          <w:rFonts w:ascii="Arial" w:hAnsi="Arial" w:cs="Arial"/>
        </w:rPr>
      </w:pPr>
      <w:r w:rsidRPr="00F65771">
        <w:rPr>
          <w:rFonts w:ascii="Arial" w:hAnsi="Arial" w:cs="Arial"/>
        </w:rPr>
        <w:t>The Revised Code of Washington (RCW 29A.16.040-050</w:t>
      </w:r>
      <w:r w:rsidR="0095772C">
        <w:rPr>
          <w:rFonts w:ascii="Arial" w:hAnsi="Arial" w:cs="Arial"/>
        </w:rPr>
        <w:t>)</w:t>
      </w:r>
      <w:r w:rsidRPr="00F65771">
        <w:rPr>
          <w:rFonts w:ascii="Arial" w:hAnsi="Arial" w:cs="Arial"/>
        </w:rPr>
        <w:t xml:space="preserve"> and King County Code (KCC 1.12.010) require the </w:t>
      </w:r>
      <w:r w:rsidR="0095772C">
        <w:rPr>
          <w:rFonts w:ascii="Arial" w:hAnsi="Arial" w:cs="Arial"/>
        </w:rPr>
        <w:t xml:space="preserve">review and </w:t>
      </w:r>
      <w:r w:rsidRPr="00F65771">
        <w:rPr>
          <w:rFonts w:ascii="Arial" w:hAnsi="Arial" w:cs="Arial"/>
        </w:rPr>
        <w:t>alteration of preci</w:t>
      </w:r>
      <w:r w:rsidR="0095772C">
        <w:rPr>
          <w:rFonts w:ascii="Arial" w:hAnsi="Arial" w:cs="Arial"/>
        </w:rPr>
        <w:t>ncts annually</w:t>
      </w:r>
      <w:r w:rsidRPr="00F657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proposed ordinance making these changes must be effective by </w:t>
      </w:r>
      <w:r w:rsidR="00BA6AA9" w:rsidRPr="00ED011B">
        <w:rPr>
          <w:rFonts w:ascii="Arial" w:hAnsi="Arial" w:cs="Arial"/>
        </w:rPr>
        <w:t xml:space="preserve">April </w:t>
      </w:r>
      <w:r w:rsidR="000A1227">
        <w:rPr>
          <w:rFonts w:ascii="Arial" w:hAnsi="Arial" w:cs="Arial"/>
        </w:rPr>
        <w:t>25, 2016</w:t>
      </w:r>
      <w:r w:rsidRPr="00ED011B">
        <w:rPr>
          <w:rFonts w:ascii="Arial" w:hAnsi="Arial" w:cs="Arial"/>
        </w:rPr>
        <w:t xml:space="preserve">. </w:t>
      </w:r>
      <w:r w:rsidRPr="00F65771">
        <w:rPr>
          <w:rFonts w:ascii="Arial" w:hAnsi="Arial" w:cs="Arial"/>
        </w:rPr>
        <w:t xml:space="preserve">The reasons for </w:t>
      </w:r>
      <w:r>
        <w:rPr>
          <w:rFonts w:ascii="Arial" w:hAnsi="Arial" w:cs="Arial"/>
        </w:rPr>
        <w:t>adjusting the precincts</w:t>
      </w:r>
      <w:r w:rsidRPr="00F65771">
        <w:rPr>
          <w:rFonts w:ascii="Arial" w:hAnsi="Arial" w:cs="Arial"/>
        </w:rPr>
        <w:t xml:space="preserve"> are:</w:t>
      </w:r>
    </w:p>
    <w:p w:rsidR="001257A1" w:rsidRPr="00ED011B" w:rsidRDefault="001257A1" w:rsidP="004B0967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6A6CED" w:rsidRDefault="001257A1" w:rsidP="004B0967">
      <w:pPr>
        <w:numPr>
          <w:ilvl w:val="0"/>
          <w:numId w:val="42"/>
        </w:numPr>
        <w:spacing w:line="300" w:lineRule="exact"/>
        <w:jc w:val="both"/>
        <w:rPr>
          <w:rFonts w:ascii="Arial" w:hAnsi="Arial" w:cs="Arial"/>
        </w:rPr>
      </w:pPr>
      <w:r w:rsidRPr="00F65771">
        <w:rPr>
          <w:rFonts w:ascii="Arial" w:hAnsi="Arial" w:cs="Arial"/>
        </w:rPr>
        <w:t>To adjust precinct boundaries to comply with recent city annexation or incorporation activity.</w:t>
      </w:r>
    </w:p>
    <w:p w:rsidR="001257A1" w:rsidRPr="007F17F3" w:rsidRDefault="001257A1" w:rsidP="004B0967">
      <w:pPr>
        <w:numPr>
          <w:ilvl w:val="0"/>
          <w:numId w:val="42"/>
        </w:numPr>
        <w:spacing w:line="300" w:lineRule="exact"/>
        <w:jc w:val="both"/>
        <w:rPr>
          <w:rFonts w:ascii="Arial" w:hAnsi="Arial" w:cs="Arial"/>
        </w:rPr>
      </w:pPr>
      <w:r w:rsidRPr="00F65771">
        <w:rPr>
          <w:rFonts w:ascii="Arial" w:hAnsi="Arial" w:cs="Arial"/>
        </w:rPr>
        <w:t>To equalize voter population of precincts in compliance with the limits prescribed by state law and King County Code.</w:t>
      </w:r>
    </w:p>
    <w:p w:rsidR="001257A1" w:rsidRPr="001B0F6A" w:rsidRDefault="001257A1" w:rsidP="004B0967">
      <w:pPr>
        <w:pStyle w:val="NoSpacing"/>
        <w:numPr>
          <w:ilvl w:val="0"/>
          <w:numId w:val="42"/>
        </w:numPr>
        <w:jc w:val="both"/>
        <w:rPr>
          <w:rFonts w:ascii="Arial" w:hAnsi="Arial" w:cs="Arial"/>
        </w:rPr>
      </w:pPr>
      <w:r w:rsidRPr="001B0F6A">
        <w:rPr>
          <w:rFonts w:ascii="Arial" w:hAnsi="Arial" w:cs="Arial"/>
        </w:rPr>
        <w:t>To ease election administration.</w:t>
      </w:r>
    </w:p>
    <w:p w:rsidR="00A77CB9" w:rsidRDefault="00A77CB9" w:rsidP="004B0967">
      <w:pPr>
        <w:jc w:val="both"/>
        <w:rPr>
          <w:rFonts w:ascii="Arial" w:hAnsi="Arial" w:cs="Arial"/>
          <w:szCs w:val="24"/>
        </w:rPr>
      </w:pPr>
    </w:p>
    <w:p w:rsidR="006F108C" w:rsidRDefault="00184425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</w:rPr>
        <w:t xml:space="preserve">In 2013, the Council adopted </w:t>
      </w:r>
      <w:r w:rsidRPr="008939F0">
        <w:rPr>
          <w:rFonts w:ascii="Arial" w:hAnsi="Arial" w:cs="Arial"/>
        </w:rPr>
        <w:t>Ordinance 17655</w:t>
      </w:r>
      <w:r>
        <w:rPr>
          <w:rFonts w:ascii="Arial" w:hAnsi="Arial" w:cs="Arial"/>
        </w:rPr>
        <w:t xml:space="preserve">, which </w:t>
      </w:r>
      <w:r w:rsidRPr="008939F0">
        <w:rPr>
          <w:rFonts w:ascii="Arial" w:hAnsi="Arial" w:cs="Arial"/>
        </w:rPr>
        <w:t>requires the Director of Elections to provide a 10-day comment period on proposed precinct changes for the political parties and the public prior to the transmittal of the ordinance to Council</w:t>
      </w:r>
      <w:r>
        <w:rPr>
          <w:rFonts w:ascii="Arial" w:hAnsi="Arial" w:cs="Arial"/>
        </w:rPr>
        <w:t>.</w:t>
      </w:r>
    </w:p>
    <w:p w:rsidR="007F17F3" w:rsidRDefault="007F17F3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C15BC" w:rsidRDefault="00CC15BC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264BE1" w:rsidRDefault="00264BE1" w:rsidP="004B0967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lastRenderedPageBreak/>
        <w:t>ANALYSIS</w:t>
      </w:r>
      <w:r w:rsidR="00082009">
        <w:rPr>
          <w:rFonts w:ascii="Arial" w:hAnsi="Arial" w:cs="Arial"/>
          <w:b/>
          <w:smallCaps/>
          <w:szCs w:val="24"/>
          <w:u w:val="single"/>
        </w:rPr>
        <w:t>:</w:t>
      </w:r>
    </w:p>
    <w:p w:rsidR="006C19F3" w:rsidRDefault="006C19F3" w:rsidP="004B0967">
      <w:pPr>
        <w:pStyle w:val="NoSpacing"/>
        <w:jc w:val="both"/>
        <w:rPr>
          <w:rFonts w:ascii="Arial" w:hAnsi="Arial" w:cs="Arial"/>
          <w:b/>
          <w:bCs/>
          <w:kern w:val="32"/>
          <w:szCs w:val="32"/>
        </w:rPr>
      </w:pPr>
    </w:p>
    <w:p w:rsidR="004B0967" w:rsidRDefault="004B0967" w:rsidP="004B0967">
      <w:pPr>
        <w:pStyle w:val="NoSpacing"/>
        <w:jc w:val="both"/>
        <w:rPr>
          <w:rFonts w:ascii="Arial" w:hAnsi="Arial" w:cs="Arial"/>
        </w:rPr>
      </w:pPr>
      <w:r w:rsidRPr="004B0967">
        <w:rPr>
          <w:rFonts w:ascii="Arial" w:hAnsi="Arial" w:cs="Arial"/>
        </w:rPr>
        <w:t>Table</w:t>
      </w:r>
      <w:r>
        <w:rPr>
          <w:rFonts w:ascii="Arial" w:hAnsi="Arial" w:cs="Arial"/>
          <w:b/>
        </w:rPr>
        <w:t xml:space="preserve"> </w:t>
      </w:r>
      <w:r w:rsidR="006A6CED" w:rsidRPr="00CC15BC">
        <w:rPr>
          <w:rFonts w:ascii="Arial" w:hAnsi="Arial" w:cs="Arial"/>
        </w:rPr>
        <w:t xml:space="preserve">1 </w:t>
      </w:r>
      <w:r w:rsidRPr="001B0F6A">
        <w:rPr>
          <w:rFonts w:ascii="Arial" w:hAnsi="Arial" w:cs="Arial"/>
        </w:rPr>
        <w:t>presents a countywide summary of changes to voting precincts</w:t>
      </w:r>
      <w:r w:rsidR="002B48FF">
        <w:rPr>
          <w:rFonts w:ascii="Arial" w:hAnsi="Arial" w:cs="Arial"/>
        </w:rPr>
        <w:t xml:space="preserve"> as adopted in 2014 and proposed for 2015</w:t>
      </w:r>
      <w:r w:rsidRPr="001B0F6A">
        <w:rPr>
          <w:rFonts w:ascii="Arial" w:hAnsi="Arial" w:cs="Arial"/>
        </w:rPr>
        <w:t xml:space="preserve">.  Overall there </w:t>
      </w:r>
      <w:r w:rsidR="002B48FF">
        <w:rPr>
          <w:rFonts w:ascii="Arial" w:hAnsi="Arial" w:cs="Arial"/>
        </w:rPr>
        <w:t>are</w:t>
      </w:r>
      <w:r w:rsidR="002B48FF" w:rsidRPr="001B0F6A">
        <w:rPr>
          <w:rFonts w:ascii="Arial" w:hAnsi="Arial" w:cs="Arial"/>
        </w:rPr>
        <w:t xml:space="preserve"> </w:t>
      </w:r>
      <w:r w:rsidRPr="001B0F6A">
        <w:rPr>
          <w:rFonts w:ascii="Arial" w:hAnsi="Arial" w:cs="Arial"/>
        </w:rPr>
        <w:t>relatively few precinct changes proposed for 201</w:t>
      </w:r>
      <w:r w:rsidR="0095772C">
        <w:rPr>
          <w:rFonts w:ascii="Arial" w:hAnsi="Arial" w:cs="Arial"/>
        </w:rPr>
        <w:t>5</w:t>
      </w:r>
      <w:r w:rsidRPr="001B0F6A">
        <w:rPr>
          <w:rFonts w:ascii="Arial" w:hAnsi="Arial" w:cs="Arial"/>
        </w:rPr>
        <w:t xml:space="preserve">.  </w:t>
      </w:r>
    </w:p>
    <w:p w:rsidR="004B0967" w:rsidRDefault="004B0967" w:rsidP="004B0967">
      <w:pPr>
        <w:pStyle w:val="NoSpacing"/>
        <w:jc w:val="both"/>
        <w:rPr>
          <w:rFonts w:ascii="Arial" w:hAnsi="Arial" w:cs="Arial"/>
        </w:rPr>
      </w:pPr>
    </w:p>
    <w:p w:rsidR="004B0967" w:rsidRPr="008939F0" w:rsidRDefault="004B0967" w:rsidP="004B0967">
      <w:pPr>
        <w:pStyle w:val="NoSpacing"/>
        <w:jc w:val="center"/>
        <w:rPr>
          <w:rFonts w:ascii="Arial" w:hAnsi="Arial" w:cs="Arial"/>
          <w:b/>
        </w:rPr>
      </w:pPr>
      <w:r w:rsidRPr="008939F0">
        <w:rPr>
          <w:rFonts w:ascii="Arial" w:hAnsi="Arial" w:cs="Arial"/>
          <w:b/>
        </w:rPr>
        <w:t>Table 1</w:t>
      </w:r>
    </w:p>
    <w:p w:rsidR="002B48FF" w:rsidRDefault="002B48FF" w:rsidP="002B48FF">
      <w:pPr>
        <w:jc w:val="center"/>
        <w:rPr>
          <w:rFonts w:ascii="Arial" w:hAnsi="Arial" w:cs="Arial"/>
          <w:b/>
        </w:rPr>
      </w:pPr>
      <w:r w:rsidRPr="007E4488">
        <w:rPr>
          <w:rFonts w:ascii="Arial" w:hAnsi="Arial" w:cs="Arial"/>
          <w:b/>
        </w:rPr>
        <w:t>Countywide Summary of Precinct Changes</w:t>
      </w:r>
      <w:r w:rsidR="000A1227">
        <w:rPr>
          <w:rFonts w:ascii="Arial" w:hAnsi="Arial" w:cs="Arial"/>
          <w:b/>
        </w:rPr>
        <w:t>, 2015-2016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1945"/>
        <w:gridCol w:w="1943"/>
      </w:tblGrid>
      <w:tr w:rsidR="002B48FF" w:rsidRPr="006C19F3" w:rsidTr="00CC15BC">
        <w:trPr>
          <w:jc w:val="center"/>
        </w:trPr>
        <w:tc>
          <w:tcPr>
            <w:tcW w:w="2453" w:type="pct"/>
            <w:shd w:val="clear" w:color="auto" w:fill="BFBFBF" w:themeFill="background1" w:themeFillShade="BF"/>
            <w:vAlign w:val="center"/>
          </w:tcPr>
          <w:p w:rsidR="002B48FF" w:rsidRPr="006C19F3" w:rsidRDefault="002B48FF" w:rsidP="00400A5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4" w:type="pct"/>
            <w:shd w:val="clear" w:color="auto" w:fill="BFBFBF" w:themeFill="background1" w:themeFillShade="BF"/>
          </w:tcPr>
          <w:p w:rsidR="002B48FF" w:rsidRPr="006C19F3" w:rsidRDefault="002B48FF" w:rsidP="00400A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C19F3">
              <w:rPr>
                <w:rFonts w:ascii="Arial" w:hAnsi="Arial" w:cs="Arial"/>
                <w:b/>
              </w:rPr>
              <w:t>201</w:t>
            </w:r>
            <w:r w:rsidR="000A12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4" w:type="pct"/>
            <w:shd w:val="clear" w:color="auto" w:fill="BFBFBF" w:themeFill="background1" w:themeFillShade="BF"/>
          </w:tcPr>
          <w:p w:rsidR="002B48FF" w:rsidRPr="006C19F3" w:rsidRDefault="002B48FF" w:rsidP="00400A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C19F3">
              <w:rPr>
                <w:rFonts w:ascii="Arial" w:hAnsi="Arial" w:cs="Arial"/>
                <w:b/>
              </w:rPr>
              <w:t>Proposed 201</w:t>
            </w:r>
            <w:r w:rsidR="000A1227">
              <w:rPr>
                <w:rFonts w:ascii="Arial" w:hAnsi="Arial" w:cs="Arial"/>
                <w:b/>
              </w:rPr>
              <w:t>6</w:t>
            </w:r>
          </w:p>
        </w:tc>
      </w:tr>
      <w:tr w:rsidR="002B48FF" w:rsidRPr="007842A3" w:rsidTr="00CC15BC">
        <w:trPr>
          <w:jc w:val="center"/>
        </w:trPr>
        <w:tc>
          <w:tcPr>
            <w:tcW w:w="2453" w:type="pct"/>
            <w:vAlign w:val="center"/>
          </w:tcPr>
          <w:p w:rsidR="002B48FF" w:rsidRPr="007842A3" w:rsidRDefault="002B48FF" w:rsidP="00400A55">
            <w:pPr>
              <w:spacing w:before="60" w:after="60"/>
              <w:rPr>
                <w:rFonts w:ascii="Arial" w:hAnsi="Arial" w:cs="Arial"/>
              </w:rPr>
            </w:pPr>
            <w:r w:rsidRPr="007842A3">
              <w:rPr>
                <w:rFonts w:ascii="Arial" w:hAnsi="Arial" w:cs="Arial"/>
              </w:rPr>
              <w:t>Precincts altered</w:t>
            </w:r>
          </w:p>
        </w:tc>
        <w:tc>
          <w:tcPr>
            <w:tcW w:w="1274" w:type="pct"/>
            <w:vAlign w:val="center"/>
          </w:tcPr>
          <w:p w:rsidR="002B48FF" w:rsidRPr="007842A3" w:rsidRDefault="000A1227" w:rsidP="00400A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74" w:type="pct"/>
          </w:tcPr>
          <w:p w:rsidR="002B48FF" w:rsidRPr="006C19F3" w:rsidRDefault="000A1227" w:rsidP="00400A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2B48FF" w:rsidRPr="007842A3" w:rsidTr="00CC15BC">
        <w:trPr>
          <w:jc w:val="center"/>
        </w:trPr>
        <w:tc>
          <w:tcPr>
            <w:tcW w:w="2453" w:type="pct"/>
            <w:vAlign w:val="center"/>
          </w:tcPr>
          <w:p w:rsidR="002B48FF" w:rsidRPr="007842A3" w:rsidRDefault="002B48FF" w:rsidP="00400A55">
            <w:pPr>
              <w:spacing w:before="60" w:after="60"/>
              <w:rPr>
                <w:rFonts w:ascii="Arial" w:hAnsi="Arial" w:cs="Arial"/>
              </w:rPr>
            </w:pPr>
            <w:r w:rsidRPr="007842A3">
              <w:rPr>
                <w:rFonts w:ascii="Arial" w:hAnsi="Arial" w:cs="Arial"/>
              </w:rPr>
              <w:t>Precincts added</w:t>
            </w:r>
          </w:p>
        </w:tc>
        <w:tc>
          <w:tcPr>
            <w:tcW w:w="1274" w:type="pct"/>
            <w:vAlign w:val="center"/>
          </w:tcPr>
          <w:p w:rsidR="002B48FF" w:rsidRPr="007842A3" w:rsidRDefault="002B48FF" w:rsidP="00400A5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842A3">
              <w:rPr>
                <w:rFonts w:ascii="Arial" w:hAnsi="Arial" w:cs="Arial"/>
              </w:rPr>
              <w:t>1</w:t>
            </w:r>
            <w:r w:rsidR="000A1227">
              <w:rPr>
                <w:rFonts w:ascii="Arial" w:hAnsi="Arial" w:cs="Arial"/>
              </w:rPr>
              <w:t>0</w:t>
            </w:r>
          </w:p>
        </w:tc>
        <w:tc>
          <w:tcPr>
            <w:tcW w:w="1274" w:type="pct"/>
          </w:tcPr>
          <w:p w:rsidR="002B48FF" w:rsidRPr="006C19F3" w:rsidRDefault="002B48FF" w:rsidP="00400A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C19F3">
              <w:rPr>
                <w:rFonts w:ascii="Arial" w:hAnsi="Arial" w:cs="Arial"/>
                <w:b/>
              </w:rPr>
              <w:t>1</w:t>
            </w:r>
            <w:r w:rsidR="000A1227">
              <w:rPr>
                <w:rFonts w:ascii="Arial" w:hAnsi="Arial" w:cs="Arial"/>
                <w:b/>
              </w:rPr>
              <w:t>4</w:t>
            </w:r>
          </w:p>
        </w:tc>
      </w:tr>
      <w:tr w:rsidR="002B48FF" w:rsidRPr="007842A3" w:rsidTr="00CC15BC">
        <w:trPr>
          <w:jc w:val="center"/>
        </w:trPr>
        <w:tc>
          <w:tcPr>
            <w:tcW w:w="2453" w:type="pct"/>
            <w:vAlign w:val="center"/>
          </w:tcPr>
          <w:p w:rsidR="002B48FF" w:rsidRPr="007842A3" w:rsidRDefault="002B48FF" w:rsidP="00400A55">
            <w:pPr>
              <w:spacing w:before="60" w:after="60"/>
              <w:rPr>
                <w:rFonts w:ascii="Arial" w:hAnsi="Arial" w:cs="Arial"/>
              </w:rPr>
            </w:pPr>
            <w:r w:rsidRPr="007842A3">
              <w:rPr>
                <w:rFonts w:ascii="Arial" w:hAnsi="Arial" w:cs="Arial"/>
              </w:rPr>
              <w:t>Precincts abolished</w:t>
            </w:r>
          </w:p>
        </w:tc>
        <w:tc>
          <w:tcPr>
            <w:tcW w:w="1274" w:type="pct"/>
            <w:vAlign w:val="center"/>
          </w:tcPr>
          <w:p w:rsidR="002B48FF" w:rsidRPr="007842A3" w:rsidRDefault="002B48FF" w:rsidP="00400A5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842A3">
              <w:rPr>
                <w:rFonts w:ascii="Arial" w:hAnsi="Arial" w:cs="Arial"/>
              </w:rPr>
              <w:t>1</w:t>
            </w:r>
          </w:p>
        </w:tc>
        <w:tc>
          <w:tcPr>
            <w:tcW w:w="1274" w:type="pct"/>
          </w:tcPr>
          <w:p w:rsidR="002B48FF" w:rsidRPr="006C19F3" w:rsidRDefault="002B48FF" w:rsidP="00400A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2B48FF" w:rsidRPr="007842A3" w:rsidTr="00CC15BC">
        <w:trPr>
          <w:jc w:val="center"/>
        </w:trPr>
        <w:tc>
          <w:tcPr>
            <w:tcW w:w="2453" w:type="pct"/>
            <w:vAlign w:val="center"/>
          </w:tcPr>
          <w:p w:rsidR="002B48FF" w:rsidRPr="007842A3" w:rsidRDefault="002B48FF" w:rsidP="00400A55">
            <w:pPr>
              <w:spacing w:before="60" w:after="60"/>
              <w:rPr>
                <w:rFonts w:ascii="Arial" w:hAnsi="Arial" w:cs="Arial"/>
              </w:rPr>
            </w:pPr>
            <w:r w:rsidRPr="007842A3">
              <w:rPr>
                <w:rFonts w:ascii="Arial" w:hAnsi="Arial" w:cs="Arial"/>
              </w:rPr>
              <w:t>Net gain/loss of precincts</w:t>
            </w:r>
          </w:p>
        </w:tc>
        <w:tc>
          <w:tcPr>
            <w:tcW w:w="1274" w:type="pct"/>
            <w:vAlign w:val="center"/>
          </w:tcPr>
          <w:p w:rsidR="002B48FF" w:rsidRPr="007842A3" w:rsidRDefault="000A1227" w:rsidP="00400A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4" w:type="pct"/>
          </w:tcPr>
          <w:p w:rsidR="002B48FF" w:rsidRPr="006C19F3" w:rsidRDefault="000A1227" w:rsidP="00400A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4B0967" w:rsidRDefault="004B0967" w:rsidP="004B0967">
      <w:pPr>
        <w:pStyle w:val="NoSpacing"/>
        <w:jc w:val="both"/>
        <w:rPr>
          <w:rFonts w:ascii="Arial" w:hAnsi="Arial" w:cs="Arial"/>
        </w:rPr>
      </w:pPr>
    </w:p>
    <w:p w:rsidR="004B0967" w:rsidRPr="001B0F6A" w:rsidRDefault="000A1227" w:rsidP="004B096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As proposed for 2016</w:t>
      </w:r>
      <w:r w:rsidR="002B48FF">
        <w:rPr>
          <w:rFonts w:ascii="Arial" w:hAnsi="Arial" w:cs="Arial"/>
        </w:rPr>
        <w:t>, o</w:t>
      </w:r>
      <w:r w:rsidR="004B0967" w:rsidRPr="001B0F6A">
        <w:rPr>
          <w:rFonts w:ascii="Arial" w:hAnsi="Arial" w:cs="Arial"/>
        </w:rPr>
        <w:t xml:space="preserve">f the current </w:t>
      </w:r>
      <w:r w:rsidR="004B0967" w:rsidRPr="00C4388E">
        <w:rPr>
          <w:rFonts w:ascii="Arial" w:hAnsi="Arial" w:cs="Arial"/>
        </w:rPr>
        <w:t>2,51</w:t>
      </w:r>
      <w:r>
        <w:rPr>
          <w:rFonts w:ascii="Arial" w:hAnsi="Arial" w:cs="Arial"/>
        </w:rPr>
        <w:t>9</w:t>
      </w:r>
      <w:r w:rsidR="004B0967" w:rsidRPr="001B0F6A">
        <w:rPr>
          <w:rFonts w:ascii="Arial" w:hAnsi="Arial" w:cs="Arial"/>
        </w:rPr>
        <w:t xml:space="preserve"> voting precincts</w:t>
      </w:r>
      <w:r w:rsidR="004B0967">
        <w:rPr>
          <w:rFonts w:ascii="Arial" w:hAnsi="Arial" w:cs="Arial"/>
        </w:rPr>
        <w:t xml:space="preserve"> in King County</w:t>
      </w:r>
      <w:smartTag w:uri="urn:schemas-microsoft-com:office:smarttags" w:element="PersonName">
        <w:r w:rsidR="004B0967" w:rsidRPr="001B0F6A">
          <w:rPr>
            <w:rFonts w:ascii="Arial" w:hAnsi="Arial" w:cs="Arial"/>
          </w:rPr>
          <w:t>,</w:t>
        </w:r>
      </w:smartTag>
      <w:r w:rsidR="004B0967" w:rsidRPr="001B0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="004B0967" w:rsidRPr="001B0F6A">
        <w:rPr>
          <w:rFonts w:ascii="Arial" w:hAnsi="Arial" w:cs="Arial"/>
        </w:rPr>
        <w:t xml:space="preserve"> precincts were altered</w:t>
      </w:r>
      <w:smartTag w:uri="urn:schemas-microsoft-com:office:smarttags" w:element="PersonName">
        <w:r w:rsidR="004B0967" w:rsidRPr="001B0F6A">
          <w:rPr>
            <w:rFonts w:ascii="Arial" w:hAnsi="Arial" w:cs="Arial"/>
          </w:rPr>
          <w:t>,</w:t>
        </w:r>
      </w:smartTag>
      <w:r w:rsidR="004B0967" w:rsidRPr="001B0F6A">
        <w:rPr>
          <w:rFonts w:ascii="Arial" w:hAnsi="Arial" w:cs="Arial"/>
        </w:rPr>
        <w:t xml:space="preserve"> </w:t>
      </w:r>
      <w:r w:rsidR="004B096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4B0967" w:rsidRPr="001B0F6A">
        <w:rPr>
          <w:rFonts w:ascii="Arial" w:hAnsi="Arial" w:cs="Arial"/>
        </w:rPr>
        <w:t xml:space="preserve"> precincts were added</w:t>
      </w:r>
      <w:r w:rsidR="006F108C">
        <w:rPr>
          <w:rFonts w:ascii="Arial" w:hAnsi="Arial" w:cs="Arial"/>
        </w:rPr>
        <w:t>,</w:t>
      </w:r>
      <w:r w:rsidR="004B0967" w:rsidRPr="001B0F6A">
        <w:rPr>
          <w:rFonts w:ascii="Arial" w:hAnsi="Arial" w:cs="Arial"/>
        </w:rPr>
        <w:t xml:space="preserve"> and </w:t>
      </w:r>
      <w:r w:rsidR="002B48FF">
        <w:rPr>
          <w:rFonts w:ascii="Arial" w:hAnsi="Arial" w:cs="Arial"/>
        </w:rPr>
        <w:t>one</w:t>
      </w:r>
      <w:r w:rsidR="002B48FF" w:rsidRPr="001B0F6A">
        <w:rPr>
          <w:rFonts w:ascii="Arial" w:hAnsi="Arial" w:cs="Arial"/>
        </w:rPr>
        <w:t xml:space="preserve"> </w:t>
      </w:r>
      <w:r w:rsidR="004B0967" w:rsidRPr="001B0F6A">
        <w:rPr>
          <w:rFonts w:ascii="Arial" w:hAnsi="Arial" w:cs="Arial"/>
        </w:rPr>
        <w:t>precinct w</w:t>
      </w:r>
      <w:r w:rsidR="005877E6">
        <w:rPr>
          <w:rFonts w:ascii="Arial" w:hAnsi="Arial" w:cs="Arial"/>
        </w:rPr>
        <w:t>as</w:t>
      </w:r>
      <w:r w:rsidR="004B0967" w:rsidRPr="001B0F6A">
        <w:rPr>
          <w:rFonts w:ascii="Arial" w:hAnsi="Arial" w:cs="Arial"/>
        </w:rPr>
        <w:t xml:space="preserve"> abolished</w:t>
      </w:r>
      <w:r w:rsidR="002B48FF">
        <w:rPr>
          <w:rFonts w:ascii="Arial" w:hAnsi="Arial" w:cs="Arial"/>
        </w:rPr>
        <w:t>,</w:t>
      </w:r>
      <w:r w:rsidR="004B0967" w:rsidRPr="001B0F6A">
        <w:rPr>
          <w:rFonts w:ascii="Arial" w:hAnsi="Arial" w:cs="Arial"/>
        </w:rPr>
        <w:t xml:space="preserve"> for a net </w:t>
      </w:r>
      <w:r w:rsidR="005877E6">
        <w:rPr>
          <w:rFonts w:ascii="Arial" w:hAnsi="Arial" w:cs="Arial"/>
        </w:rPr>
        <w:t>increase</w:t>
      </w:r>
      <w:r w:rsidR="004B0967" w:rsidRPr="001B0F6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13</w:t>
      </w:r>
      <w:r w:rsidR="004B0967" w:rsidRPr="001B0F6A">
        <w:rPr>
          <w:rFonts w:ascii="Arial" w:hAnsi="Arial" w:cs="Arial"/>
        </w:rPr>
        <w:t xml:space="preserve"> precincts. </w:t>
      </w:r>
      <w:r w:rsidR="004B0967">
        <w:rPr>
          <w:rFonts w:ascii="Arial" w:hAnsi="Arial" w:cs="Arial"/>
        </w:rPr>
        <w:t xml:space="preserve"> If adopted, this</w:t>
      </w:r>
      <w:r>
        <w:rPr>
          <w:rFonts w:ascii="Arial" w:hAnsi="Arial" w:cs="Arial"/>
        </w:rPr>
        <w:t xml:space="preserve"> legislation will result in 2,532</w:t>
      </w:r>
      <w:r w:rsidR="004B096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recincts in King County for 2016</w:t>
      </w:r>
      <w:r w:rsidR="004B0967">
        <w:rPr>
          <w:rFonts w:ascii="Arial" w:hAnsi="Arial" w:cs="Arial"/>
        </w:rPr>
        <w:t>.</w:t>
      </w:r>
    </w:p>
    <w:p w:rsidR="004B0967" w:rsidRPr="001B0F6A" w:rsidRDefault="004B0967" w:rsidP="004B0967">
      <w:pPr>
        <w:pStyle w:val="NoSpacing"/>
        <w:rPr>
          <w:rFonts w:ascii="Arial" w:hAnsi="Arial" w:cs="Arial"/>
          <w:sz w:val="16"/>
          <w:szCs w:val="16"/>
        </w:rPr>
      </w:pPr>
    </w:p>
    <w:p w:rsidR="004B0967" w:rsidRDefault="00B36885" w:rsidP="004B096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Table 2</w:t>
      </w:r>
      <w:r w:rsidR="004B0967">
        <w:rPr>
          <w:rFonts w:ascii="Arial" w:hAnsi="Arial" w:cs="Arial"/>
        </w:rPr>
        <w:t xml:space="preserve"> </w:t>
      </w:r>
      <w:r w:rsidR="004B0967" w:rsidRPr="001B0F6A">
        <w:rPr>
          <w:rFonts w:ascii="Arial" w:hAnsi="Arial" w:cs="Arial"/>
        </w:rPr>
        <w:t xml:space="preserve">shows the </w:t>
      </w:r>
      <w:r w:rsidR="004B0967">
        <w:rPr>
          <w:rFonts w:ascii="Arial" w:hAnsi="Arial" w:cs="Arial"/>
        </w:rPr>
        <w:t xml:space="preserve">proposed </w:t>
      </w:r>
      <w:r w:rsidR="004B0967" w:rsidRPr="001B0F6A">
        <w:rPr>
          <w:rFonts w:ascii="Arial" w:hAnsi="Arial" w:cs="Arial"/>
        </w:rPr>
        <w:t xml:space="preserve">precinct changes </w:t>
      </w:r>
      <w:r w:rsidR="000A1227">
        <w:rPr>
          <w:rFonts w:ascii="Arial" w:hAnsi="Arial" w:cs="Arial"/>
        </w:rPr>
        <w:t>for 2016</w:t>
      </w:r>
      <w:r w:rsidR="006A6CED">
        <w:rPr>
          <w:rFonts w:ascii="Arial" w:hAnsi="Arial" w:cs="Arial"/>
        </w:rPr>
        <w:t xml:space="preserve"> </w:t>
      </w:r>
      <w:r w:rsidR="004B0967" w:rsidRPr="001B0F6A">
        <w:rPr>
          <w:rFonts w:ascii="Arial" w:hAnsi="Arial" w:cs="Arial"/>
        </w:rPr>
        <w:t xml:space="preserve">by Council district.  </w:t>
      </w:r>
    </w:p>
    <w:p w:rsidR="002B48FF" w:rsidRDefault="002B48FF" w:rsidP="004B0967">
      <w:pPr>
        <w:pStyle w:val="NoSpacing"/>
        <w:jc w:val="both"/>
        <w:rPr>
          <w:rFonts w:ascii="Arial" w:hAnsi="Arial" w:cs="Arial"/>
        </w:rPr>
      </w:pPr>
    </w:p>
    <w:p w:rsidR="004B0967" w:rsidRPr="00B2722D" w:rsidRDefault="004B0967" w:rsidP="004B0967">
      <w:pPr>
        <w:pStyle w:val="NoSpacing"/>
        <w:jc w:val="center"/>
        <w:rPr>
          <w:rFonts w:ascii="Arial" w:hAnsi="Arial" w:cs="Arial"/>
          <w:b/>
        </w:rPr>
      </w:pPr>
      <w:r w:rsidRPr="00B2722D">
        <w:rPr>
          <w:rFonts w:ascii="Arial" w:hAnsi="Arial" w:cs="Arial"/>
          <w:b/>
        </w:rPr>
        <w:t xml:space="preserve">Table </w:t>
      </w:r>
      <w:r w:rsidR="002B48FF">
        <w:rPr>
          <w:rFonts w:ascii="Arial" w:hAnsi="Arial" w:cs="Arial"/>
          <w:b/>
        </w:rPr>
        <w:t>2</w:t>
      </w:r>
    </w:p>
    <w:p w:rsidR="004B0967" w:rsidRPr="00B2722D" w:rsidRDefault="004B0967" w:rsidP="004B0967">
      <w:pPr>
        <w:pStyle w:val="NoSpacing"/>
        <w:jc w:val="center"/>
        <w:rPr>
          <w:rFonts w:ascii="Arial" w:hAnsi="Arial" w:cs="Arial"/>
          <w:b/>
        </w:rPr>
      </w:pPr>
      <w:r w:rsidRPr="00B2722D">
        <w:rPr>
          <w:rFonts w:ascii="Arial" w:hAnsi="Arial" w:cs="Arial"/>
          <w:b/>
        </w:rPr>
        <w:t xml:space="preserve">Summary of </w:t>
      </w:r>
      <w:r w:rsidR="0095772C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</w:t>
      </w:r>
      <w:r w:rsidRPr="00B2722D">
        <w:rPr>
          <w:rFonts w:ascii="Arial" w:hAnsi="Arial" w:cs="Arial"/>
          <w:b/>
        </w:rPr>
        <w:t>Changes by Council District</w:t>
      </w:r>
    </w:p>
    <w:tbl>
      <w:tblPr>
        <w:tblW w:w="882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967">
              <w:rPr>
                <w:rFonts w:ascii="Arial" w:hAnsi="Arial" w:cs="Arial"/>
                <w:b/>
                <w:sz w:val="22"/>
                <w:szCs w:val="22"/>
              </w:rPr>
              <w:t>Council District</w:t>
            </w:r>
          </w:p>
        </w:tc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967">
              <w:rPr>
                <w:rFonts w:ascii="Arial" w:hAnsi="Arial" w:cs="Arial"/>
                <w:b/>
                <w:sz w:val="22"/>
                <w:szCs w:val="22"/>
              </w:rPr>
              <w:t>Altered</w:t>
            </w:r>
          </w:p>
        </w:tc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967">
              <w:rPr>
                <w:rFonts w:ascii="Arial" w:hAnsi="Arial" w:cs="Arial"/>
                <w:b/>
                <w:sz w:val="22"/>
                <w:szCs w:val="22"/>
              </w:rPr>
              <w:t>Added</w:t>
            </w:r>
          </w:p>
        </w:tc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967">
              <w:rPr>
                <w:rFonts w:ascii="Arial" w:hAnsi="Arial" w:cs="Arial"/>
                <w:b/>
                <w:sz w:val="22"/>
                <w:szCs w:val="22"/>
              </w:rPr>
              <w:t>Abolished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4B0967" w:rsidRPr="004B0967" w:rsidRDefault="005877E6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5" w:type="dxa"/>
            <w:vAlign w:val="center"/>
          </w:tcPr>
          <w:p w:rsidR="004B0967" w:rsidRPr="004B0967" w:rsidRDefault="005877E6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5" w:type="dxa"/>
            <w:vAlign w:val="center"/>
          </w:tcPr>
          <w:p w:rsidR="004B0967" w:rsidRPr="004B0967" w:rsidRDefault="005877E6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4B0967" w:rsidRPr="004B0967" w:rsidRDefault="005877E6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4B0967" w:rsidRPr="004B0967" w:rsidRDefault="005877E6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B0967" w:rsidRPr="007E4488" w:rsidTr="00F252EE">
        <w:tc>
          <w:tcPr>
            <w:tcW w:w="2205" w:type="dxa"/>
            <w:vAlign w:val="center"/>
          </w:tcPr>
          <w:p w:rsidR="004B0967" w:rsidRPr="004B0967" w:rsidRDefault="004B0967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9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05" w:type="dxa"/>
            <w:vAlign w:val="center"/>
          </w:tcPr>
          <w:p w:rsidR="004B0967" w:rsidRPr="004B0967" w:rsidRDefault="00B3688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05" w:type="dxa"/>
            <w:vAlign w:val="center"/>
          </w:tcPr>
          <w:p w:rsidR="004B0967" w:rsidRPr="004B0967" w:rsidRDefault="00786555" w:rsidP="00F252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B0967" w:rsidRPr="007842A3" w:rsidRDefault="004B0967" w:rsidP="004B0967">
      <w:pPr>
        <w:pStyle w:val="NoSpacing"/>
        <w:rPr>
          <w:sz w:val="16"/>
          <w:szCs w:val="16"/>
        </w:rPr>
      </w:pPr>
    </w:p>
    <w:p w:rsidR="004B0967" w:rsidRDefault="00B36885" w:rsidP="004B096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According to the department, the p</w:t>
      </w:r>
      <w:r w:rsidRPr="000A1227">
        <w:rPr>
          <w:rFonts w:ascii="Arial" w:hAnsi="Arial" w:cs="Arial"/>
        </w:rPr>
        <w:t xml:space="preserve">recinct alterations </w:t>
      </w:r>
      <w:r>
        <w:rPr>
          <w:rFonts w:ascii="Arial" w:hAnsi="Arial" w:cs="Arial"/>
        </w:rPr>
        <w:t xml:space="preserve">being proposed </w:t>
      </w:r>
      <w:r w:rsidRPr="000A1227">
        <w:rPr>
          <w:rFonts w:ascii="Arial" w:hAnsi="Arial" w:cs="Arial"/>
        </w:rPr>
        <w:t>for 2016 are the result of boundary changes to accommodate precinct balancing, city annexations, and election administrative maintenance.</w:t>
      </w:r>
    </w:p>
    <w:p w:rsidR="00B36885" w:rsidRDefault="00B36885" w:rsidP="004B0967">
      <w:pPr>
        <w:pStyle w:val="NoSpacing"/>
        <w:jc w:val="both"/>
        <w:rPr>
          <w:rFonts w:ascii="Arial" w:hAnsi="Arial" w:cs="Arial"/>
        </w:rPr>
      </w:pPr>
    </w:p>
    <w:p w:rsidR="004B0967" w:rsidRDefault="006F108C" w:rsidP="004B096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Comment Periods.  </w:t>
      </w:r>
      <w:r>
        <w:rPr>
          <w:rFonts w:ascii="Arial" w:hAnsi="Arial" w:cs="Arial"/>
        </w:rPr>
        <w:t>The</w:t>
      </w:r>
      <w:r w:rsidRPr="001257A1">
        <w:rPr>
          <w:rFonts w:ascii="Arial" w:hAnsi="Arial" w:cs="Arial"/>
        </w:rPr>
        <w:t xml:space="preserve"> precinct alteration process include</w:t>
      </w:r>
      <w:r>
        <w:rPr>
          <w:rFonts w:ascii="Arial" w:hAnsi="Arial" w:cs="Arial"/>
        </w:rPr>
        <w:t>s</w:t>
      </w:r>
      <w:r w:rsidRPr="001257A1">
        <w:rPr>
          <w:rFonts w:ascii="Arial" w:hAnsi="Arial" w:cs="Arial"/>
        </w:rPr>
        <w:t xml:space="preserve"> input and review by both major political parties in King County</w:t>
      </w:r>
      <w:r>
        <w:rPr>
          <w:rFonts w:ascii="Arial" w:hAnsi="Arial" w:cs="Arial"/>
        </w:rPr>
        <w:t xml:space="preserve">.  </w:t>
      </w:r>
      <w:r w:rsidR="000D35E8">
        <w:rPr>
          <w:rFonts w:ascii="Arial" w:hAnsi="Arial" w:cs="Arial"/>
        </w:rPr>
        <w:t>The department</w:t>
      </w:r>
      <w:r w:rsidR="004B0967">
        <w:rPr>
          <w:rFonts w:ascii="Arial" w:hAnsi="Arial" w:cs="Arial"/>
        </w:rPr>
        <w:t xml:space="preserve"> conduct</w:t>
      </w:r>
      <w:r w:rsidR="000D35E8">
        <w:rPr>
          <w:rFonts w:ascii="Arial" w:hAnsi="Arial" w:cs="Arial"/>
        </w:rPr>
        <w:t>ed a</w:t>
      </w:r>
      <w:r w:rsidR="00B36885">
        <w:rPr>
          <w:rFonts w:ascii="Arial" w:hAnsi="Arial" w:cs="Arial"/>
        </w:rPr>
        <w:t xml:space="preserve"> 12</w:t>
      </w:r>
      <w:r w:rsidR="004B0967">
        <w:rPr>
          <w:rFonts w:ascii="Arial" w:hAnsi="Arial" w:cs="Arial"/>
        </w:rPr>
        <w:t xml:space="preserve">-day </w:t>
      </w:r>
      <w:r w:rsidR="008D3F2E">
        <w:rPr>
          <w:rFonts w:ascii="Arial" w:hAnsi="Arial" w:cs="Arial"/>
        </w:rPr>
        <w:t xml:space="preserve">public comment period and </w:t>
      </w:r>
      <w:r w:rsidR="004B0967">
        <w:rPr>
          <w:rFonts w:ascii="Arial" w:hAnsi="Arial" w:cs="Arial"/>
        </w:rPr>
        <w:t xml:space="preserve">review of the proposed </w:t>
      </w:r>
      <w:r w:rsidR="00B36885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="004B0967">
        <w:rPr>
          <w:rFonts w:ascii="Arial" w:hAnsi="Arial" w:cs="Arial"/>
        </w:rPr>
        <w:t xml:space="preserve">changes prior to </w:t>
      </w:r>
      <w:r w:rsidR="005467B9">
        <w:rPr>
          <w:rFonts w:ascii="Arial" w:hAnsi="Arial" w:cs="Arial"/>
        </w:rPr>
        <w:t xml:space="preserve">meeting with the parties and </w:t>
      </w:r>
      <w:r w:rsidR="004B0967">
        <w:rPr>
          <w:rFonts w:ascii="Arial" w:hAnsi="Arial" w:cs="Arial"/>
        </w:rPr>
        <w:t xml:space="preserve">transmittal to Council.  According to the </w:t>
      </w:r>
      <w:r w:rsidR="006A6CED">
        <w:rPr>
          <w:rFonts w:ascii="Arial" w:hAnsi="Arial" w:cs="Arial"/>
        </w:rPr>
        <w:t>department</w:t>
      </w:r>
      <w:r w:rsidR="004B0967">
        <w:rPr>
          <w:rFonts w:ascii="Arial" w:hAnsi="Arial" w:cs="Arial"/>
        </w:rPr>
        <w:t>, n</w:t>
      </w:r>
      <w:r w:rsidR="004B0967" w:rsidRPr="008939F0">
        <w:rPr>
          <w:rFonts w:ascii="Arial" w:hAnsi="Arial" w:cs="Arial"/>
        </w:rPr>
        <w:t xml:space="preserve">o </w:t>
      </w:r>
      <w:r w:rsidR="004B0967">
        <w:rPr>
          <w:rFonts w:ascii="Arial" w:hAnsi="Arial" w:cs="Arial"/>
        </w:rPr>
        <w:t>c</w:t>
      </w:r>
      <w:r w:rsidR="004B0967" w:rsidRPr="008939F0">
        <w:rPr>
          <w:rFonts w:ascii="Arial" w:hAnsi="Arial" w:cs="Arial"/>
        </w:rPr>
        <w:t>omments were received.</w:t>
      </w:r>
    </w:p>
    <w:p w:rsidR="004B0967" w:rsidRDefault="004B0967" w:rsidP="004B0967">
      <w:pPr>
        <w:pStyle w:val="NoSpacing"/>
        <w:jc w:val="both"/>
        <w:rPr>
          <w:rFonts w:ascii="Arial" w:hAnsi="Arial" w:cs="Arial"/>
        </w:rPr>
      </w:pPr>
    </w:p>
    <w:p w:rsidR="006C19F3" w:rsidRPr="004B0967" w:rsidRDefault="006C19F3" w:rsidP="004B0967">
      <w:pPr>
        <w:pStyle w:val="NoSpacing"/>
        <w:jc w:val="both"/>
        <w:rPr>
          <w:rFonts w:ascii="Arial" w:hAnsi="Arial" w:cs="Arial"/>
          <w:b/>
          <w:bCs/>
          <w:kern w:val="32"/>
          <w:szCs w:val="32"/>
        </w:rPr>
      </w:pPr>
      <w:r w:rsidRPr="00B2722D">
        <w:rPr>
          <w:rFonts w:ascii="Arial" w:hAnsi="Arial" w:cs="Arial"/>
          <w:b/>
          <w:bCs/>
          <w:kern w:val="32"/>
          <w:szCs w:val="32"/>
        </w:rPr>
        <w:lastRenderedPageBreak/>
        <w:t>Notifying Voters</w:t>
      </w:r>
      <w:r w:rsidR="004B0967">
        <w:rPr>
          <w:rFonts w:ascii="Arial" w:hAnsi="Arial" w:cs="Arial"/>
          <w:b/>
          <w:bCs/>
          <w:kern w:val="32"/>
          <w:szCs w:val="32"/>
        </w:rPr>
        <w:t xml:space="preserve">.  </w:t>
      </w:r>
      <w:r w:rsidRPr="00F65771">
        <w:rPr>
          <w:rFonts w:ascii="Arial" w:hAnsi="Arial" w:cs="Arial"/>
        </w:rPr>
        <w:t>The ordinance and attachment</w:t>
      </w:r>
      <w:r w:rsidR="004B0967">
        <w:rPr>
          <w:rFonts w:ascii="Arial" w:hAnsi="Arial" w:cs="Arial"/>
        </w:rPr>
        <w:t>s</w:t>
      </w:r>
      <w:r w:rsidRPr="00F65771">
        <w:rPr>
          <w:rFonts w:ascii="Arial" w:hAnsi="Arial" w:cs="Arial"/>
        </w:rPr>
        <w:t xml:space="preserve"> become an amendment to the official list of County voting precincts.  </w:t>
      </w:r>
      <w:r w:rsidR="006A6CED">
        <w:rPr>
          <w:rFonts w:ascii="Arial" w:hAnsi="Arial" w:cs="Arial"/>
        </w:rPr>
        <w:t>The department</w:t>
      </w:r>
      <w:r w:rsidR="006A6CED" w:rsidRPr="00F65771">
        <w:rPr>
          <w:rFonts w:ascii="Arial" w:hAnsi="Arial" w:cs="Arial"/>
        </w:rPr>
        <w:t xml:space="preserve"> </w:t>
      </w:r>
      <w:r w:rsidRPr="00F65771">
        <w:rPr>
          <w:rFonts w:ascii="Arial" w:hAnsi="Arial" w:cs="Arial"/>
        </w:rPr>
        <w:t>will notify voters of their new precinct status following the Coun</w:t>
      </w:r>
      <w:r>
        <w:rPr>
          <w:rFonts w:ascii="Arial" w:hAnsi="Arial" w:cs="Arial"/>
        </w:rPr>
        <w:t>cil’s adoption of the ordinance.</w:t>
      </w:r>
    </w:p>
    <w:p w:rsidR="00184425" w:rsidRDefault="00184425" w:rsidP="00184425">
      <w:pPr>
        <w:jc w:val="both"/>
        <w:rPr>
          <w:rFonts w:ascii="Arial" w:hAnsi="Arial" w:cs="Arial"/>
        </w:rPr>
      </w:pPr>
    </w:p>
    <w:p w:rsidR="00184425" w:rsidRPr="001C4B19" w:rsidRDefault="00184425" w:rsidP="00184425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INVITED:</w:t>
      </w:r>
    </w:p>
    <w:p w:rsidR="00184425" w:rsidRPr="001C4B19" w:rsidRDefault="00184425" w:rsidP="00184425">
      <w:pPr>
        <w:jc w:val="both"/>
        <w:rPr>
          <w:rFonts w:ascii="Arial" w:hAnsi="Arial" w:cs="Arial"/>
          <w:szCs w:val="24"/>
        </w:rPr>
      </w:pPr>
    </w:p>
    <w:p w:rsidR="00184425" w:rsidRDefault="00B36885" w:rsidP="006959C0">
      <w:pPr>
        <w:pStyle w:val="ListParagraph0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Wise</w:t>
      </w:r>
      <w:r w:rsidR="00184425" w:rsidRPr="001C4B19">
        <w:rPr>
          <w:rFonts w:ascii="Arial" w:hAnsi="Arial" w:cs="Arial"/>
        </w:rPr>
        <w:t xml:space="preserve">, </w:t>
      </w:r>
      <w:r w:rsidR="00184425">
        <w:rPr>
          <w:rFonts w:ascii="Arial" w:hAnsi="Arial" w:cs="Arial"/>
        </w:rPr>
        <w:t>Director</w:t>
      </w:r>
      <w:r w:rsidR="00184425" w:rsidRPr="001C4B19">
        <w:rPr>
          <w:rFonts w:ascii="Arial" w:hAnsi="Arial" w:cs="Arial"/>
        </w:rPr>
        <w:t xml:space="preserve">, Department </w:t>
      </w:r>
      <w:r w:rsidR="00184425">
        <w:rPr>
          <w:rFonts w:ascii="Arial" w:hAnsi="Arial" w:cs="Arial"/>
        </w:rPr>
        <w:t>of Elections</w:t>
      </w:r>
    </w:p>
    <w:p w:rsidR="00184425" w:rsidRPr="001C4B19" w:rsidRDefault="00184425" w:rsidP="006959C0">
      <w:pPr>
        <w:pStyle w:val="ListParagraph0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Dave Wilson, GIS Supervisor, </w:t>
      </w:r>
      <w:r w:rsidRPr="001C4B19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>of Elections</w:t>
      </w:r>
    </w:p>
    <w:p w:rsidR="00184425" w:rsidRDefault="00184425" w:rsidP="00184425">
      <w:pPr>
        <w:jc w:val="both"/>
        <w:rPr>
          <w:rFonts w:ascii="Arial" w:hAnsi="Arial" w:cs="Arial"/>
        </w:rPr>
      </w:pPr>
    </w:p>
    <w:p w:rsidR="006959C0" w:rsidRDefault="006959C0" w:rsidP="006959C0">
      <w:pPr>
        <w:jc w:val="both"/>
        <w:rPr>
          <w:rFonts w:ascii="Arial" w:hAnsi="Arial" w:cs="Arial"/>
          <w:b/>
          <w:u w:val="single"/>
        </w:rPr>
      </w:pPr>
      <w:r w:rsidRPr="00C747C4">
        <w:rPr>
          <w:rFonts w:ascii="Arial" w:hAnsi="Arial" w:cs="Arial"/>
          <w:b/>
          <w:u w:val="single"/>
        </w:rPr>
        <w:t>ATTACHMENTS</w:t>
      </w:r>
    </w:p>
    <w:p w:rsidR="006959C0" w:rsidRPr="00B2722D" w:rsidRDefault="006959C0" w:rsidP="006959C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959C0" w:rsidRDefault="006959C0" w:rsidP="006959C0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03001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Ordinance</w:t>
      </w:r>
      <w:r w:rsidRPr="00503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2016-0122</w:t>
      </w:r>
      <w:r w:rsidRPr="00503001">
        <w:rPr>
          <w:rFonts w:ascii="Arial" w:hAnsi="Arial" w:cs="Arial"/>
        </w:rPr>
        <w:t>, with attachment</w:t>
      </w:r>
      <w:r>
        <w:rPr>
          <w:rFonts w:ascii="Arial" w:hAnsi="Arial" w:cs="Arial"/>
        </w:rPr>
        <w:t>s</w:t>
      </w:r>
    </w:p>
    <w:p w:rsidR="006959C0" w:rsidRDefault="006959C0" w:rsidP="006959C0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:rsidR="00C521D8" w:rsidRPr="001C4B19" w:rsidRDefault="00C521D8" w:rsidP="001C4B19">
      <w:pPr>
        <w:pStyle w:val="BodyText"/>
        <w:rPr>
          <w:rFonts w:ascii="Arial" w:hAnsi="Arial" w:cs="Arial"/>
          <w:b/>
          <w:i w:val="0"/>
          <w:szCs w:val="24"/>
          <w:u w:val="single"/>
        </w:rPr>
      </w:pPr>
    </w:p>
    <w:p w:rsidR="001C4B19" w:rsidRPr="001C4B19" w:rsidRDefault="001C4B19" w:rsidP="007F17F3">
      <w:pPr>
        <w:rPr>
          <w:rFonts w:ascii="Arial" w:hAnsi="Arial" w:cs="Arial"/>
          <w:szCs w:val="24"/>
        </w:rPr>
      </w:pPr>
    </w:p>
    <w:p w:rsidR="001C4B19" w:rsidRPr="001C4B19" w:rsidRDefault="001C4B19" w:rsidP="001C4B19">
      <w:pPr>
        <w:rPr>
          <w:rFonts w:ascii="Arial" w:hAnsi="Arial" w:cs="Arial"/>
          <w:szCs w:val="24"/>
        </w:rPr>
      </w:pPr>
    </w:p>
    <w:sectPr w:rsidR="001C4B19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6E" w:rsidRDefault="00882E6E">
      <w:r>
        <w:separator/>
      </w:r>
    </w:p>
  </w:endnote>
  <w:endnote w:type="continuationSeparator" w:id="0">
    <w:p w:rsidR="00882E6E" w:rsidRDefault="0088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6E" w:rsidRDefault="00882E6E">
      <w:r>
        <w:separator/>
      </w:r>
    </w:p>
  </w:footnote>
  <w:footnote w:type="continuationSeparator" w:id="0">
    <w:p w:rsidR="00882E6E" w:rsidRDefault="0088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0DD1B40D" wp14:editId="40F4FDD6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6A643A" w:rsidP="006A643A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Government Accountability and Oversight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A2778"/>
    <w:multiLevelType w:val="hybridMultilevel"/>
    <w:tmpl w:val="6D003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A49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454D"/>
    <w:multiLevelType w:val="hybridMultilevel"/>
    <w:tmpl w:val="88DAA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06CF7"/>
    <w:multiLevelType w:val="hybridMultilevel"/>
    <w:tmpl w:val="425AE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4C0765"/>
    <w:multiLevelType w:val="hybridMultilevel"/>
    <w:tmpl w:val="E3EC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14"/>
  </w:num>
  <w:num w:numId="4">
    <w:abstractNumId w:val="44"/>
  </w:num>
  <w:num w:numId="5">
    <w:abstractNumId w:val="41"/>
  </w:num>
  <w:num w:numId="6">
    <w:abstractNumId w:val="16"/>
  </w:num>
  <w:num w:numId="7">
    <w:abstractNumId w:val="42"/>
  </w:num>
  <w:num w:numId="8">
    <w:abstractNumId w:val="18"/>
  </w:num>
  <w:num w:numId="9">
    <w:abstractNumId w:val="3"/>
  </w:num>
  <w:num w:numId="10">
    <w:abstractNumId w:val="43"/>
  </w:num>
  <w:num w:numId="11">
    <w:abstractNumId w:val="2"/>
  </w:num>
  <w:num w:numId="12">
    <w:abstractNumId w:val="21"/>
  </w:num>
  <w:num w:numId="13">
    <w:abstractNumId w:val="24"/>
  </w:num>
  <w:num w:numId="14">
    <w:abstractNumId w:val="20"/>
  </w:num>
  <w:num w:numId="15">
    <w:abstractNumId w:val="27"/>
  </w:num>
  <w:num w:numId="16">
    <w:abstractNumId w:val="19"/>
  </w:num>
  <w:num w:numId="17">
    <w:abstractNumId w:val="36"/>
  </w:num>
  <w:num w:numId="18">
    <w:abstractNumId w:val="26"/>
  </w:num>
  <w:num w:numId="19">
    <w:abstractNumId w:val="33"/>
  </w:num>
  <w:num w:numId="20">
    <w:abstractNumId w:val="28"/>
  </w:num>
  <w:num w:numId="21">
    <w:abstractNumId w:val="10"/>
  </w:num>
  <w:num w:numId="22">
    <w:abstractNumId w:val="11"/>
  </w:num>
  <w:num w:numId="23">
    <w:abstractNumId w:val="0"/>
  </w:num>
  <w:num w:numId="24">
    <w:abstractNumId w:val="7"/>
  </w:num>
  <w:num w:numId="25">
    <w:abstractNumId w:val="5"/>
  </w:num>
  <w:num w:numId="26">
    <w:abstractNumId w:val="6"/>
  </w:num>
  <w:num w:numId="27">
    <w:abstractNumId w:val="23"/>
  </w:num>
  <w:num w:numId="28">
    <w:abstractNumId w:val="12"/>
  </w:num>
  <w:num w:numId="29">
    <w:abstractNumId w:val="30"/>
  </w:num>
  <w:num w:numId="30">
    <w:abstractNumId w:val="1"/>
  </w:num>
  <w:num w:numId="31">
    <w:abstractNumId w:val="35"/>
  </w:num>
  <w:num w:numId="32">
    <w:abstractNumId w:val="37"/>
  </w:num>
  <w:num w:numId="33">
    <w:abstractNumId w:val="17"/>
  </w:num>
  <w:num w:numId="34">
    <w:abstractNumId w:val="13"/>
  </w:num>
  <w:num w:numId="35">
    <w:abstractNumId w:val="8"/>
  </w:num>
  <w:num w:numId="36">
    <w:abstractNumId w:val="29"/>
  </w:num>
  <w:num w:numId="37">
    <w:abstractNumId w:val="38"/>
  </w:num>
  <w:num w:numId="38">
    <w:abstractNumId w:val="22"/>
  </w:num>
  <w:num w:numId="39">
    <w:abstractNumId w:val="34"/>
  </w:num>
  <w:num w:numId="40">
    <w:abstractNumId w:val="31"/>
  </w:num>
  <w:num w:numId="41">
    <w:abstractNumId w:val="39"/>
  </w:num>
  <w:num w:numId="42">
    <w:abstractNumId w:val="9"/>
  </w:num>
  <w:num w:numId="43">
    <w:abstractNumId w:val="25"/>
  </w:num>
  <w:num w:numId="44">
    <w:abstractNumId w:val="4"/>
  </w:num>
  <w:num w:numId="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66A2"/>
    <w:rsid w:val="00076F58"/>
    <w:rsid w:val="00080295"/>
    <w:rsid w:val="00081382"/>
    <w:rsid w:val="00082009"/>
    <w:rsid w:val="0008325A"/>
    <w:rsid w:val="00083F61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1227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35E8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0F78EA"/>
    <w:rsid w:val="001014A5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57A1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4425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14F"/>
    <w:rsid w:val="001F447F"/>
    <w:rsid w:val="001F4FC3"/>
    <w:rsid w:val="001F5169"/>
    <w:rsid w:val="001F6119"/>
    <w:rsid w:val="001F624F"/>
    <w:rsid w:val="001F6527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37C0A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511A"/>
    <w:rsid w:val="00296690"/>
    <w:rsid w:val="002A1127"/>
    <w:rsid w:val="002A1228"/>
    <w:rsid w:val="002A2420"/>
    <w:rsid w:val="002A6326"/>
    <w:rsid w:val="002B0E1F"/>
    <w:rsid w:val="002B376D"/>
    <w:rsid w:val="002B48FF"/>
    <w:rsid w:val="002B76A4"/>
    <w:rsid w:val="002B7D72"/>
    <w:rsid w:val="002C13D3"/>
    <w:rsid w:val="002C1543"/>
    <w:rsid w:val="002C42B2"/>
    <w:rsid w:val="002C4D38"/>
    <w:rsid w:val="002D1993"/>
    <w:rsid w:val="002D2EB9"/>
    <w:rsid w:val="002D6D64"/>
    <w:rsid w:val="002E0EBA"/>
    <w:rsid w:val="002E4150"/>
    <w:rsid w:val="002E6164"/>
    <w:rsid w:val="002E61CB"/>
    <w:rsid w:val="002E64EF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0F54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967"/>
    <w:rsid w:val="004B0F80"/>
    <w:rsid w:val="004B21CD"/>
    <w:rsid w:val="004B4A8B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7B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7E6"/>
    <w:rsid w:val="005878CE"/>
    <w:rsid w:val="00590A54"/>
    <w:rsid w:val="00590C7D"/>
    <w:rsid w:val="00592A33"/>
    <w:rsid w:val="00592FFC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7D1A"/>
    <w:rsid w:val="005C0117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59C0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643A"/>
    <w:rsid w:val="006A6CED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19F3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08C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86555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17F3"/>
    <w:rsid w:val="007F249E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2E6E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50F2"/>
    <w:rsid w:val="008C6271"/>
    <w:rsid w:val="008C6FBE"/>
    <w:rsid w:val="008C7211"/>
    <w:rsid w:val="008D07F4"/>
    <w:rsid w:val="008D125C"/>
    <w:rsid w:val="008D2884"/>
    <w:rsid w:val="008D2E17"/>
    <w:rsid w:val="008D3F2E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5772C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807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975C8"/>
    <w:rsid w:val="009A11A6"/>
    <w:rsid w:val="009A2222"/>
    <w:rsid w:val="009A36D0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1475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6885"/>
    <w:rsid w:val="00B37B8A"/>
    <w:rsid w:val="00B410AF"/>
    <w:rsid w:val="00B41281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6AA9"/>
    <w:rsid w:val="00BA7B02"/>
    <w:rsid w:val="00BB0831"/>
    <w:rsid w:val="00BB0D89"/>
    <w:rsid w:val="00BB2F7B"/>
    <w:rsid w:val="00BB4CB6"/>
    <w:rsid w:val="00BB57BD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5660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15BC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654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110E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EE0A301-098E-4106-99B7-24E936A9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BE66-25DE-4F94-9EC0-06AE1A26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3</cp:revision>
  <cp:lastPrinted>2016-02-22T17:14:00Z</cp:lastPrinted>
  <dcterms:created xsi:type="dcterms:W3CDTF">2016-02-22T17:36:00Z</dcterms:created>
  <dcterms:modified xsi:type="dcterms:W3CDTF">2016-02-22T17:57:00Z</dcterms:modified>
</cp:coreProperties>
</file>