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000" w:firstRow="0" w:lastRow="0" w:firstColumn="0" w:lastColumn="0" w:noHBand="0" w:noVBand="0"/>
      </w:tblPr>
      <w:tblGrid>
        <w:gridCol w:w="3227"/>
        <w:gridCol w:w="1633"/>
        <w:gridCol w:w="2345"/>
        <w:gridCol w:w="1435"/>
      </w:tblGrid>
      <w:tr w:rsidR="007D7888" w:rsidRPr="0066169B" w14:paraId="5A17235D" w14:textId="77777777" w:rsidTr="00602B62">
        <w:trPr>
          <w:trHeight w:val="890"/>
        </w:trPr>
        <w:tc>
          <w:tcPr>
            <w:tcW w:w="3227" w:type="dxa"/>
          </w:tcPr>
          <w:p w14:paraId="60A44318" w14:textId="77777777" w:rsidR="007D7888" w:rsidRPr="0066169B" w:rsidRDefault="007D7888"/>
          <w:p w14:paraId="18AED733" w14:textId="77777777" w:rsidR="003678C8" w:rsidRPr="0066169B" w:rsidRDefault="003678C8"/>
          <w:p w14:paraId="06826D16" w14:textId="77777777" w:rsidR="003678C8" w:rsidRPr="0066169B" w:rsidRDefault="008A20CC" w:rsidP="000C76D5">
            <w:r>
              <w:t>2-9-16</w:t>
            </w:r>
          </w:p>
        </w:tc>
        <w:tc>
          <w:tcPr>
            <w:tcW w:w="1633" w:type="dxa"/>
          </w:tcPr>
          <w:p w14:paraId="549FA940" w14:textId="77777777" w:rsidR="007D7888" w:rsidRPr="0066169B" w:rsidRDefault="007D7888"/>
        </w:tc>
        <w:tc>
          <w:tcPr>
            <w:tcW w:w="2345" w:type="dxa"/>
            <w:tcBorders>
              <w:right w:val="single" w:sz="4" w:space="0" w:color="auto"/>
            </w:tcBorders>
          </w:tcPr>
          <w:p w14:paraId="0C2CE84D" w14:textId="76649D39" w:rsidR="007D7888" w:rsidRPr="0066169B" w:rsidRDefault="007D7888"/>
        </w:tc>
        <w:tc>
          <w:tcPr>
            <w:tcW w:w="1435" w:type="dxa"/>
            <w:tcBorders>
              <w:top w:val="single" w:sz="4" w:space="0" w:color="auto"/>
              <w:left w:val="single" w:sz="4" w:space="0" w:color="auto"/>
              <w:bottom w:val="single" w:sz="4" w:space="0" w:color="auto"/>
              <w:right w:val="single" w:sz="4" w:space="0" w:color="auto"/>
            </w:tcBorders>
          </w:tcPr>
          <w:p w14:paraId="31D8829A" w14:textId="60946C1A" w:rsidR="007D7888" w:rsidRPr="0066169B" w:rsidRDefault="006E6F03" w:rsidP="00602B62">
            <w:pPr>
              <w:ind w:left="18"/>
              <w:jc w:val="center"/>
              <w:rPr>
                <w:b/>
                <w:sz w:val="72"/>
                <w:szCs w:val="72"/>
              </w:rPr>
            </w:pPr>
            <w:r>
              <w:rPr>
                <w:b/>
                <w:sz w:val="72"/>
                <w:szCs w:val="72"/>
              </w:rPr>
              <w:t>S1</w:t>
            </w:r>
          </w:p>
        </w:tc>
      </w:tr>
      <w:tr w:rsidR="007D7888" w:rsidRPr="0066169B" w14:paraId="2A0FFA9C" w14:textId="77777777" w:rsidTr="00602B62">
        <w:tc>
          <w:tcPr>
            <w:tcW w:w="3227" w:type="dxa"/>
          </w:tcPr>
          <w:p w14:paraId="44B48352" w14:textId="77777777" w:rsidR="007D7888" w:rsidRPr="0066169B" w:rsidRDefault="007D7888"/>
        </w:tc>
        <w:tc>
          <w:tcPr>
            <w:tcW w:w="1633" w:type="dxa"/>
          </w:tcPr>
          <w:p w14:paraId="5C1EC724" w14:textId="77777777" w:rsidR="007D7888" w:rsidRPr="0066169B" w:rsidRDefault="007D7888"/>
        </w:tc>
        <w:tc>
          <w:tcPr>
            <w:tcW w:w="2345" w:type="dxa"/>
          </w:tcPr>
          <w:p w14:paraId="23CA8E91" w14:textId="77777777" w:rsidR="007D7888" w:rsidRPr="0066169B" w:rsidRDefault="007D7888"/>
        </w:tc>
        <w:tc>
          <w:tcPr>
            <w:tcW w:w="1435" w:type="dxa"/>
            <w:tcBorders>
              <w:top w:val="single" w:sz="4" w:space="0" w:color="auto"/>
            </w:tcBorders>
          </w:tcPr>
          <w:p w14:paraId="2CCC0607" w14:textId="77777777" w:rsidR="007D7888" w:rsidRPr="0066169B" w:rsidRDefault="007D7888"/>
        </w:tc>
      </w:tr>
      <w:tr w:rsidR="007D7888" w:rsidRPr="0066169B" w14:paraId="1068E3EB" w14:textId="77777777" w:rsidTr="00602B62">
        <w:tc>
          <w:tcPr>
            <w:tcW w:w="3227" w:type="dxa"/>
          </w:tcPr>
          <w:p w14:paraId="420DF1C3" w14:textId="77777777" w:rsidR="007D7888" w:rsidRPr="0066169B" w:rsidRDefault="007D7888"/>
        </w:tc>
        <w:tc>
          <w:tcPr>
            <w:tcW w:w="1633" w:type="dxa"/>
          </w:tcPr>
          <w:p w14:paraId="2C009D6F" w14:textId="77777777" w:rsidR="007D7888" w:rsidRPr="0066169B" w:rsidRDefault="007D7888"/>
        </w:tc>
        <w:tc>
          <w:tcPr>
            <w:tcW w:w="2345" w:type="dxa"/>
          </w:tcPr>
          <w:p w14:paraId="2EA46BC4" w14:textId="77777777" w:rsidR="007D7888" w:rsidRPr="0066169B" w:rsidRDefault="007D7888"/>
        </w:tc>
        <w:tc>
          <w:tcPr>
            <w:tcW w:w="1435" w:type="dxa"/>
          </w:tcPr>
          <w:p w14:paraId="74C6F9C5" w14:textId="77777777" w:rsidR="007D7888" w:rsidRPr="0066169B" w:rsidRDefault="007D7888"/>
        </w:tc>
      </w:tr>
      <w:tr w:rsidR="003678C8" w:rsidRPr="0066169B" w14:paraId="17065565" w14:textId="77777777" w:rsidTr="00602B62">
        <w:tc>
          <w:tcPr>
            <w:tcW w:w="3227" w:type="dxa"/>
          </w:tcPr>
          <w:p w14:paraId="22FC70D6" w14:textId="77777777" w:rsidR="003678C8" w:rsidRPr="0066169B" w:rsidRDefault="003678C8"/>
        </w:tc>
        <w:tc>
          <w:tcPr>
            <w:tcW w:w="1633" w:type="dxa"/>
          </w:tcPr>
          <w:p w14:paraId="498179A3" w14:textId="77777777" w:rsidR="003678C8" w:rsidRPr="0066169B" w:rsidRDefault="003678C8">
            <w:r w:rsidRPr="0066169B">
              <w:t>Sponsor:</w:t>
            </w:r>
          </w:p>
        </w:tc>
        <w:tc>
          <w:tcPr>
            <w:tcW w:w="3780" w:type="dxa"/>
            <w:gridSpan w:val="2"/>
            <w:tcBorders>
              <w:bottom w:val="single" w:sz="4" w:space="0" w:color="auto"/>
            </w:tcBorders>
          </w:tcPr>
          <w:p w14:paraId="07244F64" w14:textId="77777777" w:rsidR="003678C8" w:rsidRPr="0066169B" w:rsidRDefault="008A20CC">
            <w:r>
              <w:t>Kohl-Welles &amp; Upthegrove</w:t>
            </w:r>
          </w:p>
        </w:tc>
      </w:tr>
      <w:tr w:rsidR="007D7888" w:rsidRPr="0066169B" w14:paraId="3557ED77" w14:textId="77777777" w:rsidTr="00602B62">
        <w:tc>
          <w:tcPr>
            <w:tcW w:w="3227" w:type="dxa"/>
          </w:tcPr>
          <w:p w14:paraId="6906C1A8" w14:textId="77777777" w:rsidR="007D7888" w:rsidRPr="0066169B" w:rsidRDefault="008A20CC" w:rsidP="008A20CC">
            <w:r>
              <w:t>REC</w:t>
            </w:r>
          </w:p>
        </w:tc>
        <w:tc>
          <w:tcPr>
            <w:tcW w:w="1633" w:type="dxa"/>
          </w:tcPr>
          <w:p w14:paraId="43402C30" w14:textId="77777777" w:rsidR="007D7888" w:rsidRPr="0066169B" w:rsidRDefault="007D7888"/>
        </w:tc>
        <w:tc>
          <w:tcPr>
            <w:tcW w:w="2345" w:type="dxa"/>
            <w:tcBorders>
              <w:top w:val="single" w:sz="4" w:space="0" w:color="auto"/>
            </w:tcBorders>
          </w:tcPr>
          <w:p w14:paraId="0FEC0555" w14:textId="77777777" w:rsidR="007D7888" w:rsidRPr="0066169B" w:rsidRDefault="007D7888"/>
        </w:tc>
        <w:tc>
          <w:tcPr>
            <w:tcW w:w="1435" w:type="dxa"/>
            <w:tcBorders>
              <w:top w:val="single" w:sz="4" w:space="0" w:color="auto"/>
            </w:tcBorders>
          </w:tcPr>
          <w:p w14:paraId="6C9543D3" w14:textId="77777777" w:rsidR="007D7888" w:rsidRPr="0066169B" w:rsidRDefault="007D7888"/>
        </w:tc>
      </w:tr>
      <w:tr w:rsidR="003678C8" w:rsidRPr="0066169B" w14:paraId="5EDD3A5D" w14:textId="77777777" w:rsidTr="00602B62">
        <w:tc>
          <w:tcPr>
            <w:tcW w:w="3227" w:type="dxa"/>
          </w:tcPr>
          <w:p w14:paraId="093DB2CB" w14:textId="77777777" w:rsidR="003678C8" w:rsidRPr="0066169B" w:rsidRDefault="003678C8"/>
        </w:tc>
        <w:tc>
          <w:tcPr>
            <w:tcW w:w="1633" w:type="dxa"/>
          </w:tcPr>
          <w:p w14:paraId="1F00D0F1" w14:textId="77777777" w:rsidR="003678C8" w:rsidRPr="0066169B" w:rsidRDefault="003678C8">
            <w:r w:rsidRPr="0066169B">
              <w:t>Proposed No.:</w:t>
            </w:r>
          </w:p>
        </w:tc>
        <w:tc>
          <w:tcPr>
            <w:tcW w:w="3780" w:type="dxa"/>
            <w:gridSpan w:val="2"/>
            <w:tcBorders>
              <w:bottom w:val="single" w:sz="4" w:space="0" w:color="auto"/>
            </w:tcBorders>
          </w:tcPr>
          <w:p w14:paraId="7D5C740E" w14:textId="77777777" w:rsidR="003678C8" w:rsidRPr="0066169B" w:rsidRDefault="008A20CC" w:rsidP="008A20CC">
            <w:r>
              <w:t>2015</w:t>
            </w:r>
            <w:r w:rsidR="003A0154" w:rsidRPr="0066169B">
              <w:t>-</w:t>
            </w:r>
            <w:r>
              <w:t>0363</w:t>
            </w:r>
            <w:r w:rsidRPr="0066169B">
              <w:t xml:space="preserve"> </w:t>
            </w:r>
          </w:p>
        </w:tc>
      </w:tr>
      <w:tr w:rsidR="007D7888" w:rsidRPr="0066169B" w14:paraId="13E7D92A" w14:textId="77777777" w:rsidTr="00602B62">
        <w:tc>
          <w:tcPr>
            <w:tcW w:w="3227" w:type="dxa"/>
          </w:tcPr>
          <w:p w14:paraId="6814F699" w14:textId="77777777" w:rsidR="007D7888" w:rsidRPr="0066169B" w:rsidRDefault="007D7888"/>
        </w:tc>
        <w:tc>
          <w:tcPr>
            <w:tcW w:w="1633" w:type="dxa"/>
          </w:tcPr>
          <w:p w14:paraId="07452C3E" w14:textId="77777777" w:rsidR="007D7888" w:rsidRPr="0066169B" w:rsidRDefault="007D7888"/>
        </w:tc>
        <w:tc>
          <w:tcPr>
            <w:tcW w:w="2345" w:type="dxa"/>
            <w:tcBorders>
              <w:top w:val="single" w:sz="4" w:space="0" w:color="auto"/>
            </w:tcBorders>
          </w:tcPr>
          <w:p w14:paraId="03BF0624" w14:textId="77777777" w:rsidR="007D7888" w:rsidRPr="0066169B" w:rsidRDefault="007D7888"/>
        </w:tc>
        <w:tc>
          <w:tcPr>
            <w:tcW w:w="1435" w:type="dxa"/>
            <w:tcBorders>
              <w:top w:val="single" w:sz="4" w:space="0" w:color="auto"/>
            </w:tcBorders>
          </w:tcPr>
          <w:p w14:paraId="525B4EB8" w14:textId="77777777" w:rsidR="007D7888" w:rsidRPr="0066169B" w:rsidRDefault="007D7888"/>
        </w:tc>
      </w:tr>
      <w:tr w:rsidR="007D7888" w:rsidRPr="0066169B" w14:paraId="17AC1CF4" w14:textId="77777777" w:rsidTr="00602B62">
        <w:tc>
          <w:tcPr>
            <w:tcW w:w="3227" w:type="dxa"/>
          </w:tcPr>
          <w:p w14:paraId="4082DE73" w14:textId="77777777" w:rsidR="007D7888" w:rsidRPr="0066169B" w:rsidRDefault="007D7888"/>
        </w:tc>
        <w:tc>
          <w:tcPr>
            <w:tcW w:w="1633" w:type="dxa"/>
          </w:tcPr>
          <w:p w14:paraId="779CB279" w14:textId="77777777" w:rsidR="007D7888" w:rsidRPr="0066169B" w:rsidRDefault="007D7888"/>
        </w:tc>
        <w:tc>
          <w:tcPr>
            <w:tcW w:w="2345" w:type="dxa"/>
          </w:tcPr>
          <w:p w14:paraId="5177BDD9" w14:textId="77777777" w:rsidR="007D7888" w:rsidRPr="0066169B" w:rsidRDefault="007D7888"/>
        </w:tc>
        <w:tc>
          <w:tcPr>
            <w:tcW w:w="1435" w:type="dxa"/>
          </w:tcPr>
          <w:p w14:paraId="79BB0B44" w14:textId="77777777" w:rsidR="007D7888" w:rsidRPr="0066169B" w:rsidRDefault="007D7888"/>
        </w:tc>
      </w:tr>
      <w:tr w:rsidR="007D7888" w:rsidRPr="0066169B" w14:paraId="32D43E32" w14:textId="77777777" w:rsidTr="00602B62">
        <w:tc>
          <w:tcPr>
            <w:tcW w:w="3227" w:type="dxa"/>
          </w:tcPr>
          <w:p w14:paraId="40DF69D3" w14:textId="77777777" w:rsidR="007D7888" w:rsidRPr="0066169B" w:rsidRDefault="007D7888"/>
        </w:tc>
        <w:tc>
          <w:tcPr>
            <w:tcW w:w="1633" w:type="dxa"/>
          </w:tcPr>
          <w:p w14:paraId="55EB8B6F" w14:textId="77777777" w:rsidR="007D7888" w:rsidRPr="0066169B" w:rsidRDefault="007D7888"/>
        </w:tc>
        <w:tc>
          <w:tcPr>
            <w:tcW w:w="2345" w:type="dxa"/>
          </w:tcPr>
          <w:p w14:paraId="4850FB9D" w14:textId="77777777" w:rsidR="007D7888" w:rsidRPr="0066169B" w:rsidRDefault="007D7888"/>
        </w:tc>
        <w:tc>
          <w:tcPr>
            <w:tcW w:w="1435" w:type="dxa"/>
          </w:tcPr>
          <w:p w14:paraId="65D18B27" w14:textId="77777777" w:rsidR="007D7888" w:rsidRPr="0066169B" w:rsidRDefault="007D7888"/>
        </w:tc>
      </w:tr>
      <w:tr w:rsidR="007D7888" w:rsidRPr="0066169B" w14:paraId="5774CB63" w14:textId="77777777" w:rsidTr="00602B62">
        <w:tc>
          <w:tcPr>
            <w:tcW w:w="3227" w:type="dxa"/>
          </w:tcPr>
          <w:p w14:paraId="1362D4A4" w14:textId="77777777" w:rsidR="007D7888" w:rsidRPr="0066169B" w:rsidRDefault="007D7888"/>
        </w:tc>
        <w:tc>
          <w:tcPr>
            <w:tcW w:w="1633" w:type="dxa"/>
          </w:tcPr>
          <w:p w14:paraId="51844E33" w14:textId="77777777" w:rsidR="007D7888" w:rsidRPr="0066169B" w:rsidRDefault="007D7888"/>
        </w:tc>
        <w:tc>
          <w:tcPr>
            <w:tcW w:w="2345" w:type="dxa"/>
          </w:tcPr>
          <w:p w14:paraId="5BB8E453" w14:textId="77777777" w:rsidR="007D7888" w:rsidRPr="0066169B" w:rsidRDefault="007D7888"/>
        </w:tc>
        <w:tc>
          <w:tcPr>
            <w:tcW w:w="1435" w:type="dxa"/>
          </w:tcPr>
          <w:p w14:paraId="5F1C3046" w14:textId="77777777" w:rsidR="007D7888" w:rsidRPr="0066169B" w:rsidRDefault="007D7888"/>
        </w:tc>
      </w:tr>
    </w:tbl>
    <w:p w14:paraId="36AB8CA0" w14:textId="77777777" w:rsidR="007D7888" w:rsidRPr="0066169B" w:rsidRDefault="003678C8" w:rsidP="003678C8">
      <w:pPr>
        <w:spacing w:line="480" w:lineRule="auto"/>
        <w:rPr>
          <w:b/>
          <w:u w:val="single"/>
        </w:rPr>
      </w:pPr>
      <w:r w:rsidRPr="0066169B">
        <w:rPr>
          <w:b/>
          <w:u w:val="single"/>
        </w:rPr>
        <w:t>STRIKING AMENDMENT TO PROPOSED ORDINANCE</w:t>
      </w:r>
      <w:r w:rsidR="00722FC3" w:rsidRPr="0066169B">
        <w:rPr>
          <w:b/>
          <w:u w:val="single"/>
        </w:rPr>
        <w:t xml:space="preserve"> </w:t>
      </w:r>
      <w:r w:rsidR="008A20CC">
        <w:rPr>
          <w:b/>
          <w:u w:val="single"/>
        </w:rPr>
        <w:t>2016-0363</w:t>
      </w:r>
      <w:r w:rsidR="00657D63" w:rsidRPr="0066169B">
        <w:rPr>
          <w:b/>
          <w:u w:val="single"/>
        </w:rPr>
        <w:t xml:space="preserve">, VERSION </w:t>
      </w:r>
      <w:r w:rsidR="008A20CC">
        <w:rPr>
          <w:b/>
          <w:u w:val="single"/>
        </w:rPr>
        <w:t>1</w:t>
      </w:r>
    </w:p>
    <w:p w14:paraId="6E3EB309" w14:textId="77777777" w:rsidR="00F42799" w:rsidRPr="0066169B" w:rsidRDefault="003678C8" w:rsidP="003678C8">
      <w:pPr>
        <w:spacing w:line="480" w:lineRule="auto"/>
      </w:pPr>
      <w:r w:rsidRPr="0066169B">
        <w:t xml:space="preserve">On page </w:t>
      </w:r>
      <w:r w:rsidR="008A20CC">
        <w:t>1</w:t>
      </w:r>
      <w:r w:rsidRPr="0066169B">
        <w:t xml:space="preserve">, </w:t>
      </w:r>
      <w:r w:rsidR="00F42799" w:rsidRPr="0066169B">
        <w:t xml:space="preserve">beginning on line </w:t>
      </w:r>
      <w:r w:rsidR="008A20CC">
        <w:t>11</w:t>
      </w:r>
      <w:r w:rsidR="00F42799" w:rsidRPr="0066169B">
        <w:t xml:space="preserve">, strike everything through page </w:t>
      </w:r>
      <w:r w:rsidR="008A20CC">
        <w:t>5</w:t>
      </w:r>
      <w:r w:rsidR="00F42799" w:rsidRPr="0066169B">
        <w:t xml:space="preserve">, line </w:t>
      </w:r>
      <w:r w:rsidR="008A20CC">
        <w:t>75</w:t>
      </w:r>
      <w:r w:rsidR="00F42799" w:rsidRPr="0066169B">
        <w:t>, and insert:</w:t>
      </w:r>
    </w:p>
    <w:p w14:paraId="76674319" w14:textId="77777777" w:rsidR="008A20CC" w:rsidRDefault="00C462B4" w:rsidP="008A20C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ight="720"/>
        <w:rPr>
          <w:rFonts w:ascii="Times New Roman" w:eastAsia="Times New Roman" w:hAnsi="Times New Roman"/>
          <w:lang w:bidi="en-US"/>
        </w:rPr>
      </w:pPr>
      <w:r w:rsidRPr="0066169B">
        <w:t>"</w:t>
      </w:r>
      <w:bookmarkStart w:id="0" w:name="Text6"/>
      <w:r w:rsidR="008A20CC">
        <w:rPr>
          <w:rFonts w:ascii="Times New Roman" w:eastAsia="Times New Roman" w:hAnsi="Times New Roman"/>
          <w:lang w:bidi="en-US"/>
        </w:rPr>
        <w:t xml:space="preserve">STATEMENT OF FACTS: </w:t>
      </w:r>
    </w:p>
    <w:p w14:paraId="72860666" w14:textId="77777777" w:rsidR="008A20CC" w:rsidRDefault="008A20CC" w:rsidP="008A20C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ight="720"/>
        <w:rPr>
          <w:rFonts w:ascii="Times New Roman" w:eastAsia="Times New Roman" w:hAnsi="Times New Roman"/>
          <w:lang w:bidi="en-US"/>
        </w:rPr>
      </w:pPr>
      <w:r>
        <w:rPr>
          <w:rFonts w:ascii="Times New Roman" w:eastAsia="Times New Roman" w:hAnsi="Times New Roman"/>
          <w:lang w:bidi="en-US"/>
        </w:rPr>
        <w:t xml:space="preserve">1.  Historically, </w:t>
      </w:r>
      <w:r w:rsidR="007D2076">
        <w:rPr>
          <w:rFonts w:ascii="Times New Roman" w:eastAsia="Times New Roman" w:hAnsi="Times New Roman"/>
          <w:lang w:bidi="en-US"/>
        </w:rPr>
        <w:t xml:space="preserve">the department of public health </w:t>
      </w:r>
      <w:r>
        <w:rPr>
          <w:rFonts w:ascii="Times New Roman" w:eastAsia="Times New Roman" w:hAnsi="Times New Roman"/>
          <w:lang w:bidi="en-US"/>
        </w:rPr>
        <w:t xml:space="preserve">has received unsolicited donations in support of specific services or programs such as the </w:t>
      </w:r>
      <w:r w:rsidR="007D2076">
        <w:rPr>
          <w:rFonts w:ascii="Times New Roman" w:eastAsia="Times New Roman" w:hAnsi="Times New Roman"/>
          <w:lang w:bidi="en-US"/>
        </w:rPr>
        <w:t>h</w:t>
      </w:r>
      <w:r>
        <w:rPr>
          <w:rFonts w:ascii="Times New Roman" w:eastAsia="Times New Roman" w:hAnsi="Times New Roman"/>
          <w:lang w:bidi="en-US"/>
        </w:rPr>
        <w:t xml:space="preserve">ealth </w:t>
      </w:r>
      <w:r w:rsidR="007D2076">
        <w:rPr>
          <w:rFonts w:ascii="Times New Roman" w:eastAsia="Times New Roman" w:hAnsi="Times New Roman"/>
          <w:lang w:bidi="en-US"/>
        </w:rPr>
        <w:t>c</w:t>
      </w:r>
      <w:r>
        <w:rPr>
          <w:rFonts w:ascii="Times New Roman" w:eastAsia="Times New Roman" w:hAnsi="Times New Roman"/>
          <w:lang w:bidi="en-US"/>
        </w:rPr>
        <w:t xml:space="preserve">are for the </w:t>
      </w:r>
      <w:r w:rsidR="007D2076">
        <w:rPr>
          <w:rFonts w:ascii="Times New Roman" w:eastAsia="Times New Roman" w:hAnsi="Times New Roman"/>
          <w:lang w:bidi="en-US"/>
        </w:rPr>
        <w:t>h</w:t>
      </w:r>
      <w:r>
        <w:rPr>
          <w:rFonts w:ascii="Times New Roman" w:eastAsia="Times New Roman" w:hAnsi="Times New Roman"/>
          <w:lang w:bidi="en-US"/>
        </w:rPr>
        <w:t>omeless respite program and the preparedness unit.</w:t>
      </w:r>
    </w:p>
    <w:p w14:paraId="1AB05BB0" w14:textId="77777777" w:rsidR="008A20CC" w:rsidRDefault="008A20CC" w:rsidP="008A20C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ight="720"/>
        <w:rPr>
          <w:rFonts w:ascii="Times New Roman" w:eastAsia="Times New Roman" w:hAnsi="Times New Roman"/>
          <w:u w:val="single"/>
          <w:lang w:bidi="en-US"/>
        </w:rPr>
      </w:pPr>
      <w:r>
        <w:rPr>
          <w:rFonts w:ascii="Times New Roman" w:eastAsia="Times New Roman" w:hAnsi="Times New Roman"/>
          <w:lang w:bidi="en-US"/>
        </w:rPr>
        <w:t xml:space="preserve">2.  A program to actively solicit donations could result in an increased level of support and help address </w:t>
      </w:r>
      <w:r w:rsidR="007D2076">
        <w:rPr>
          <w:rFonts w:ascii="Times New Roman" w:eastAsia="Times New Roman" w:hAnsi="Times New Roman"/>
          <w:lang w:bidi="en-US"/>
        </w:rPr>
        <w:t>the department of public health</w:t>
      </w:r>
      <w:r>
        <w:rPr>
          <w:rFonts w:ascii="Times New Roman" w:eastAsia="Times New Roman" w:hAnsi="Times New Roman"/>
          <w:lang w:bidi="en-US"/>
        </w:rPr>
        <w:t xml:space="preserve">'s financial challenges.  The program could include adding </w:t>
      </w:r>
      <w:r w:rsidR="007D2076">
        <w:rPr>
          <w:rFonts w:ascii="Times New Roman" w:eastAsia="Times New Roman" w:hAnsi="Times New Roman"/>
          <w:lang w:bidi="en-US"/>
        </w:rPr>
        <w:t>the department of public health</w:t>
      </w:r>
      <w:r>
        <w:rPr>
          <w:rFonts w:ascii="Times New Roman" w:eastAsia="Times New Roman" w:hAnsi="Times New Roman"/>
          <w:lang w:bidi="en-US"/>
        </w:rPr>
        <w:t xml:space="preserve"> to the </w:t>
      </w:r>
      <w:r w:rsidR="007D2076">
        <w:rPr>
          <w:rFonts w:ascii="Times New Roman" w:eastAsia="Times New Roman" w:hAnsi="Times New Roman"/>
          <w:lang w:bidi="en-US"/>
        </w:rPr>
        <w:t>King County employee giving p</w:t>
      </w:r>
      <w:r>
        <w:rPr>
          <w:rFonts w:ascii="Times New Roman" w:eastAsia="Times New Roman" w:hAnsi="Times New Roman"/>
          <w:lang w:bidi="en-US"/>
        </w:rPr>
        <w:t xml:space="preserve">rogram so that </w:t>
      </w:r>
      <w:r w:rsidR="007D2076">
        <w:rPr>
          <w:rFonts w:ascii="Times New Roman" w:eastAsia="Times New Roman" w:hAnsi="Times New Roman"/>
          <w:lang w:bidi="en-US"/>
        </w:rPr>
        <w:t>the department of public health</w:t>
      </w:r>
      <w:r>
        <w:rPr>
          <w:rFonts w:ascii="Times New Roman" w:eastAsia="Times New Roman" w:hAnsi="Times New Roman"/>
          <w:lang w:bidi="en-US"/>
        </w:rPr>
        <w:t xml:space="preserve"> could solicit and accept donations from employees during the annual giving drive.</w:t>
      </w:r>
    </w:p>
    <w:p w14:paraId="7ABA2050" w14:textId="77777777" w:rsidR="008A20CC" w:rsidRDefault="008A20CC" w:rsidP="008A20C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ight="720"/>
        <w:rPr>
          <w:rFonts w:ascii="Times New Roman" w:eastAsia="Times New Roman" w:hAnsi="Times New Roman"/>
          <w:lang w:bidi="en-US"/>
        </w:rPr>
      </w:pPr>
      <w:r>
        <w:rPr>
          <w:rFonts w:ascii="Times New Roman" w:eastAsia="Times New Roman" w:hAnsi="Times New Roman"/>
          <w:lang w:bidi="en-US"/>
        </w:rPr>
        <w:t xml:space="preserve">3.  Under existing King County Code provisions, </w:t>
      </w:r>
      <w:r w:rsidR="007D2076">
        <w:rPr>
          <w:rFonts w:ascii="Times New Roman" w:eastAsia="Times New Roman" w:hAnsi="Times New Roman"/>
          <w:lang w:bidi="en-US"/>
        </w:rPr>
        <w:t>the department of public health</w:t>
      </w:r>
      <w:r>
        <w:rPr>
          <w:rFonts w:ascii="Times New Roman" w:eastAsia="Times New Roman" w:hAnsi="Times New Roman"/>
          <w:lang w:bidi="en-US"/>
        </w:rPr>
        <w:t xml:space="preserve"> is not authorized to solicit donations.  Additionally, with the exception of the emergency medical services division, donations of more </w:t>
      </w:r>
      <w:r>
        <w:rPr>
          <w:rFonts w:ascii="Times New Roman" w:eastAsia="Times New Roman" w:hAnsi="Times New Roman"/>
          <w:lang w:bidi="en-US"/>
        </w:rPr>
        <w:lastRenderedPageBreak/>
        <w:t>than two thousand dollars must be accepted by motion of the county council.</w:t>
      </w:r>
    </w:p>
    <w:p w14:paraId="517691CD" w14:textId="77777777" w:rsidR="008A20CC" w:rsidRDefault="008A20CC" w:rsidP="008A20C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ight="720"/>
        <w:rPr>
          <w:rFonts w:ascii="Times New Roman" w:eastAsia="Times New Roman" w:hAnsi="Times New Roman"/>
          <w:u w:val="single"/>
          <w:lang w:bidi="en-US"/>
        </w:rPr>
      </w:pPr>
      <w:r>
        <w:rPr>
          <w:rFonts w:ascii="Times New Roman" w:eastAsia="Times New Roman" w:hAnsi="Times New Roman"/>
          <w:lang w:bidi="en-US"/>
        </w:rPr>
        <w:t>4.  The procedures that govern acceptance of donations by the emergency medical services division, which were adopted in 1986 in Motion 6605, are out of date.</w:t>
      </w:r>
    </w:p>
    <w:p w14:paraId="4CC43F50" w14:textId="77777777" w:rsidR="008A20CC" w:rsidRDefault="008A20CC" w:rsidP="008A20C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BE IT ORDAINED BY THE COUNCIL OF KING COUNTY:</w:t>
      </w:r>
    </w:p>
    <w:p w14:paraId="1FBDB1BD" w14:textId="77777777" w:rsidR="008A20CC" w:rsidRDefault="008A20CC" w:rsidP="008A20C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bidi="en-US"/>
        </w:rPr>
      </w:pPr>
      <w:r>
        <w:rPr>
          <w:rFonts w:ascii="Times New Roman" w:eastAsia="Times New Roman" w:hAnsi="Times New Roman"/>
          <w:lang w:bidi="en-US"/>
        </w:rPr>
        <w:tab/>
      </w:r>
      <w:r>
        <w:rPr>
          <w:rFonts w:ascii="Times New Roman" w:eastAsia="Times New Roman" w:hAnsi="Times New Roman"/>
          <w:u w:val="single"/>
          <w:lang w:bidi="en-US"/>
        </w:rPr>
        <w:t>NEW SECTION.  SECTION 1.</w:t>
      </w:r>
      <w:r>
        <w:rPr>
          <w:rFonts w:ascii="Times New Roman" w:eastAsia="Times New Roman" w:hAnsi="Times New Roman"/>
          <w:lang w:bidi="en-US"/>
        </w:rPr>
        <w:t xml:space="preserve">  There is hereby added to K.C.C. chapter 2.35A a new section to read as follows:</w:t>
      </w:r>
    </w:p>
    <w:p w14:paraId="4B5852B0" w14:textId="77777777" w:rsidR="008A20CC" w:rsidRDefault="008A20CC" w:rsidP="008A20C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720"/>
        <w:rPr>
          <w:rFonts w:ascii="Times New Roman" w:eastAsia="Times New Roman" w:hAnsi="Times New Roman"/>
          <w:lang w:bidi="en-US"/>
        </w:rPr>
      </w:pPr>
      <w:r>
        <w:rPr>
          <w:rFonts w:ascii="Times New Roman" w:eastAsia="Times New Roman" w:hAnsi="Times New Roman"/>
          <w:lang w:bidi="en-US"/>
        </w:rPr>
        <w:t>A.  The executive, the director of the department of executive services, the director of the department of public health, councilmembers and staff who report directly to those officers or officials and who do so at those officers' or officials' direction, may solicit or accept from the general public and business communities and all other persons, gifts, bequests and donations in support of department of public health services.</w:t>
      </w:r>
    </w:p>
    <w:p w14:paraId="1668F82A" w14:textId="77777777" w:rsidR="008A20CC" w:rsidRDefault="008A20CC" w:rsidP="008A20C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B.  All gifts, bequests or donations of money to the county for department of public health purposes shall be deposited and credited as follows:</w:t>
      </w:r>
    </w:p>
    <w:p w14:paraId="54052F02" w14:textId="77777777" w:rsidR="008A20CC" w:rsidRDefault="008A20CC" w:rsidP="008A20C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 xml:space="preserve">  1.  For emergency medical services purposes, to the emergency medical services fund under K.C.C. 4A.200.268;</w:t>
      </w:r>
    </w:p>
    <w:p w14:paraId="65E95211" w14:textId="77777777" w:rsidR="008A20CC" w:rsidRDefault="008A20CC" w:rsidP="008A20C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 xml:space="preserve">  2.  For environmental health purposes, to the environmental health fund under K.C.C. 4A.200.281;</w:t>
      </w:r>
    </w:p>
    <w:p w14:paraId="42FE370F" w14:textId="77777777" w:rsidR="008A20CC" w:rsidRDefault="008A20CC" w:rsidP="008A20C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 xml:space="preserve">  3.  For local hazardous waste management program purposes, to the local hazardous waste fund under K.C.C. 4A.200.400; and</w:t>
      </w:r>
    </w:p>
    <w:p w14:paraId="2D930EF8" w14:textId="77777777" w:rsidR="008A20CC" w:rsidRDefault="008A20CC" w:rsidP="008A20C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 xml:space="preserve">  4.  For all other department of public health services, to a subfund of the public health fund under K.C.C. 4A.200.520.</w:t>
      </w:r>
    </w:p>
    <w:p w14:paraId="7DB215BC" w14:textId="77777777" w:rsidR="000338CC" w:rsidRDefault="008A20CC" w:rsidP="008A20C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C.  Once the gift, bequest or donation is accepted, the director of the department of public health shall ensure that expenditures from the gift, bequest or donation are consistent with the terms, i</w:t>
      </w:r>
      <w:r w:rsidR="007D2076">
        <w:rPr>
          <w:rFonts w:ascii="Times New Roman" w:eastAsia="Times New Roman" w:hAnsi="Times New Roman"/>
          <w:lang w:bidi="en-US"/>
        </w:rPr>
        <w:t>f any, requested by the grantor.</w:t>
      </w:r>
    </w:p>
    <w:p w14:paraId="33F8BEBD" w14:textId="001EEE6B" w:rsidR="007D2076" w:rsidRDefault="000338CC" w:rsidP="008A20C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 xml:space="preserve">D.  The acceptance and use of a gift, bequest or donation </w:t>
      </w:r>
      <w:r w:rsidR="007C28FF">
        <w:rPr>
          <w:rFonts w:ascii="Times New Roman" w:eastAsia="Times New Roman" w:hAnsi="Times New Roman"/>
          <w:lang w:bidi="en-US"/>
        </w:rPr>
        <w:t xml:space="preserve">to the county for </w:t>
      </w:r>
      <w:r w:rsidR="001A585E">
        <w:rPr>
          <w:rFonts w:ascii="Times New Roman" w:eastAsia="Times New Roman" w:hAnsi="Times New Roman"/>
          <w:lang w:bidi="en-US"/>
        </w:rPr>
        <w:t xml:space="preserve">department of </w:t>
      </w:r>
      <w:r w:rsidR="007C28FF">
        <w:rPr>
          <w:rFonts w:ascii="Times New Roman" w:eastAsia="Times New Roman" w:hAnsi="Times New Roman"/>
          <w:lang w:bidi="en-US"/>
        </w:rPr>
        <w:t>public health purposes</w:t>
      </w:r>
      <w:r>
        <w:rPr>
          <w:rFonts w:ascii="Times New Roman" w:eastAsia="Times New Roman" w:hAnsi="Times New Roman"/>
          <w:lang w:bidi="en-US"/>
        </w:rPr>
        <w:t xml:space="preserve"> shall not create an ongoing obligation on the part of the county or the department to carry out any program or service funded with the gift, bequest or donation</w:t>
      </w:r>
      <w:r w:rsidR="007C28FF">
        <w:rPr>
          <w:rFonts w:ascii="Times New Roman" w:eastAsia="Times New Roman" w:hAnsi="Times New Roman"/>
          <w:lang w:bidi="en-US"/>
        </w:rPr>
        <w:t xml:space="preserve"> after the gift, bequest or donation has been spent</w:t>
      </w:r>
      <w:r>
        <w:rPr>
          <w:rFonts w:ascii="Times New Roman" w:eastAsia="Times New Roman" w:hAnsi="Times New Roman"/>
          <w:lang w:bidi="en-US"/>
        </w:rPr>
        <w:t>.</w:t>
      </w:r>
    </w:p>
    <w:p w14:paraId="68BA32CC" w14:textId="77777777" w:rsidR="008A20CC" w:rsidRDefault="008A20CC" w:rsidP="008A20C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r>
      <w:r>
        <w:rPr>
          <w:rFonts w:ascii="Times New Roman" w:eastAsia="Times New Roman" w:hAnsi="Times New Roman"/>
          <w:u w:val="single"/>
          <w:lang w:bidi="en-US"/>
        </w:rPr>
        <w:t>NEW SECTION.  SECTION 2.</w:t>
      </w:r>
      <w:r>
        <w:rPr>
          <w:rFonts w:ascii="Times New Roman" w:eastAsia="Times New Roman" w:hAnsi="Times New Roman"/>
          <w:lang w:bidi="en-US"/>
        </w:rPr>
        <w:t xml:space="preserve">  There is hereby added to K.C.C. chapter 2.80 a new section to read as follows:</w:t>
      </w:r>
    </w:p>
    <w:p w14:paraId="4A3BA9A7" w14:textId="352FB783" w:rsidR="008A20CC" w:rsidRDefault="008A20CC" w:rsidP="008A20C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bidi="en-US"/>
        </w:rPr>
      </w:pPr>
      <w:r>
        <w:rPr>
          <w:rFonts w:ascii="Times New Roman" w:eastAsia="Times New Roman" w:hAnsi="Times New Roman"/>
          <w:lang w:bidi="en-US"/>
        </w:rPr>
        <w:tab/>
        <w:t xml:space="preserve">This chapter does not apply to gifts, bequests or donations, of under </w:t>
      </w:r>
      <w:r w:rsidR="000338CC">
        <w:rPr>
          <w:rFonts w:ascii="Times New Roman" w:eastAsia="Times New Roman" w:hAnsi="Times New Roman"/>
          <w:lang w:bidi="en-US"/>
        </w:rPr>
        <w:t xml:space="preserve">fifty </w:t>
      </w:r>
      <w:r>
        <w:rPr>
          <w:rFonts w:ascii="Times New Roman" w:eastAsia="Times New Roman" w:hAnsi="Times New Roman"/>
          <w:lang w:bidi="en-US"/>
        </w:rPr>
        <w:t>thousand dollars,</w:t>
      </w:r>
      <w:r w:rsidRPr="00CF6E80">
        <w:rPr>
          <w:rFonts w:ascii="Times New Roman" w:eastAsia="Times New Roman" w:hAnsi="Times New Roman"/>
          <w:lang w:bidi="en-US"/>
        </w:rPr>
        <w:t xml:space="preserve"> </w:t>
      </w:r>
      <w:r>
        <w:rPr>
          <w:rFonts w:ascii="Times New Roman" w:eastAsia="Times New Roman" w:hAnsi="Times New Roman"/>
          <w:lang w:bidi="en-US"/>
        </w:rPr>
        <w:t>received for department of public health purposes.</w:t>
      </w:r>
    </w:p>
    <w:bookmarkEnd w:id="0"/>
    <w:p w14:paraId="6DE85AEF" w14:textId="77777777" w:rsidR="008A20CC" w:rsidRDefault="008A20CC" w:rsidP="008A20C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u w:val="single"/>
          <w:lang w:bidi="en-US"/>
        </w:rPr>
      </w:pPr>
      <w:r w:rsidRPr="008A20CC">
        <w:rPr>
          <w:rFonts w:ascii="Times New Roman" w:eastAsia="Times New Roman" w:hAnsi="Times New Roman"/>
          <w:lang w:bidi="en-US"/>
        </w:rPr>
        <w:tab/>
      </w:r>
      <w:r>
        <w:rPr>
          <w:rFonts w:ascii="Times New Roman" w:eastAsia="Times New Roman" w:hAnsi="Times New Roman"/>
          <w:u w:val="single"/>
          <w:lang w:bidi="en-US"/>
        </w:rPr>
        <w:t>NEW SECTION.  SECTION 3.</w:t>
      </w:r>
      <w:r>
        <w:rPr>
          <w:rFonts w:ascii="Times New Roman" w:eastAsia="Times New Roman" w:hAnsi="Times New Roman"/>
          <w:lang w:bidi="en-US"/>
        </w:rPr>
        <w:t xml:space="preserve">  There is hereby added to K.C.C. chapter 3.04 a new section to read as follows:</w:t>
      </w:r>
    </w:p>
    <w:p w14:paraId="05F578EA" w14:textId="77777777" w:rsidR="008A20CC" w:rsidRDefault="008A20CC" w:rsidP="008A20C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 xml:space="preserve"> </w:t>
      </w:r>
      <w:r>
        <w:rPr>
          <w:rFonts w:ascii="Times New Roman" w:eastAsia="Times New Roman" w:hAnsi="Times New Roman"/>
          <w:lang w:bidi="en-US"/>
        </w:rPr>
        <w:tab/>
        <w:t>Neither the solicitation nor the acceptance of gifts, bequests or donations permitted under K.C.C. chapter 2.35A constitutes a violation of this chapter.</w:t>
      </w:r>
    </w:p>
    <w:p w14:paraId="352C66AD" w14:textId="77777777" w:rsidR="008A20CC" w:rsidRDefault="007D2076" w:rsidP="008A20C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sidRPr="007D2076">
        <w:rPr>
          <w:rFonts w:ascii="Times New Roman" w:eastAsia="Times New Roman" w:hAnsi="Times New Roman"/>
          <w:lang w:bidi="en-US"/>
        </w:rPr>
        <w:tab/>
      </w:r>
      <w:r w:rsidR="008A20CC">
        <w:rPr>
          <w:rFonts w:ascii="Times New Roman" w:eastAsia="Times New Roman" w:hAnsi="Times New Roman"/>
          <w:u w:val="single"/>
          <w:lang w:bidi="en-US"/>
        </w:rPr>
        <w:t>SECTION 4.</w:t>
      </w:r>
      <w:r w:rsidR="008A20CC">
        <w:rPr>
          <w:rFonts w:ascii="Times New Roman" w:eastAsia="Times New Roman" w:hAnsi="Times New Roman"/>
          <w:lang w:bidi="en-US"/>
        </w:rPr>
        <w:t xml:space="preserve">  Ordinance 12075, Section 19, and K.C.C. 4A.200.300 are hereby amended to read as follows:</w:t>
      </w:r>
    </w:p>
    <w:p w14:paraId="036BC122" w14:textId="77777777" w:rsidR="008A20CC" w:rsidRPr="007475EE" w:rsidRDefault="008A20CC" w:rsidP="008A20CC">
      <w:pPr>
        <w:pStyle w:val="tx"/>
        <w:spacing w:line="480" w:lineRule="auto"/>
        <w:jc w:val="left"/>
        <w:rPr>
          <w:rFonts w:ascii="Times New Roman" w:hAnsi="Times New Roman"/>
        </w:rPr>
      </w:pPr>
      <w:r>
        <w:rPr>
          <w:rFonts w:ascii="Times New Roman" w:hAnsi="Times New Roman"/>
          <w:spacing w:val="-2"/>
        </w:rPr>
        <w:tab/>
      </w:r>
      <w:r w:rsidRPr="007475EE">
        <w:rPr>
          <w:rFonts w:ascii="Times New Roman" w:hAnsi="Times New Roman"/>
          <w:spacing w:val="-2"/>
        </w:rPr>
        <w:t>A.</w:t>
      </w:r>
      <w:r>
        <w:rPr>
          <w:rFonts w:ascii="Times New Roman" w:hAnsi="Times New Roman"/>
          <w:spacing w:val="-2"/>
        </w:rPr>
        <w:t xml:space="preserve"> </w:t>
      </w:r>
      <w:r w:rsidRPr="007475EE">
        <w:rPr>
          <w:rFonts w:ascii="Times New Roman" w:hAnsi="Times New Roman"/>
          <w:spacing w:val="-2"/>
        </w:rPr>
        <w:t xml:space="preserve"> A financial gifts trust and contribution fund is hereby created.</w:t>
      </w:r>
    </w:p>
    <w:p w14:paraId="57DCF75D" w14:textId="77777777" w:rsidR="008A20CC" w:rsidRPr="007475EE" w:rsidRDefault="008A20CC" w:rsidP="008A20CC">
      <w:pPr>
        <w:pStyle w:val="tx"/>
        <w:spacing w:line="480" w:lineRule="auto"/>
        <w:jc w:val="left"/>
        <w:rPr>
          <w:rFonts w:ascii="Times New Roman" w:hAnsi="Times New Roman"/>
        </w:rPr>
      </w:pPr>
      <w:r>
        <w:rPr>
          <w:rFonts w:ascii="Times New Roman" w:hAnsi="Times New Roman"/>
          <w:spacing w:val="-2"/>
        </w:rPr>
        <w:tab/>
      </w:r>
      <w:r w:rsidRPr="007475EE">
        <w:rPr>
          <w:rFonts w:ascii="Times New Roman" w:hAnsi="Times New Roman"/>
          <w:spacing w:val="-2"/>
        </w:rPr>
        <w:t>B.</w:t>
      </w:r>
      <w:r>
        <w:rPr>
          <w:rFonts w:ascii="Times New Roman" w:hAnsi="Times New Roman"/>
          <w:spacing w:val="-2"/>
        </w:rPr>
        <w:t xml:space="preserve"> </w:t>
      </w:r>
      <w:r w:rsidRPr="007475EE">
        <w:rPr>
          <w:rFonts w:ascii="Times New Roman" w:hAnsi="Times New Roman"/>
          <w:spacing w:val="-2"/>
        </w:rPr>
        <w:t xml:space="preserve"> The fund is a first tier fund.</w:t>
      </w:r>
      <w:r>
        <w:rPr>
          <w:rFonts w:ascii="Times New Roman" w:hAnsi="Times New Roman"/>
          <w:spacing w:val="-2"/>
        </w:rPr>
        <w:t xml:space="preserve"> </w:t>
      </w:r>
      <w:r w:rsidRPr="007475EE">
        <w:rPr>
          <w:rFonts w:ascii="Times New Roman" w:hAnsi="Times New Roman"/>
          <w:spacing w:val="-2"/>
        </w:rPr>
        <w:t xml:space="preserve"> It is a special revenue fund.</w:t>
      </w:r>
    </w:p>
    <w:p w14:paraId="530A8599" w14:textId="77777777" w:rsidR="008A20CC" w:rsidRPr="007475EE" w:rsidRDefault="008A20CC" w:rsidP="008A20CC">
      <w:pPr>
        <w:pStyle w:val="tx"/>
        <w:spacing w:line="480" w:lineRule="auto"/>
        <w:jc w:val="left"/>
        <w:rPr>
          <w:rFonts w:ascii="Times New Roman" w:hAnsi="Times New Roman"/>
        </w:rPr>
      </w:pPr>
      <w:r>
        <w:rPr>
          <w:rFonts w:ascii="Times New Roman" w:hAnsi="Times New Roman"/>
          <w:spacing w:val="-2"/>
        </w:rPr>
        <w:tab/>
      </w:r>
      <w:r w:rsidRPr="007475EE">
        <w:rPr>
          <w:rFonts w:ascii="Times New Roman" w:hAnsi="Times New Roman"/>
          <w:spacing w:val="-2"/>
        </w:rPr>
        <w:t>C.</w:t>
      </w:r>
      <w:r>
        <w:rPr>
          <w:rFonts w:ascii="Times New Roman" w:hAnsi="Times New Roman"/>
          <w:spacing w:val="-2"/>
        </w:rPr>
        <w:t xml:space="preserve"> </w:t>
      </w:r>
      <w:r w:rsidRPr="007475EE">
        <w:rPr>
          <w:rFonts w:ascii="Times New Roman" w:hAnsi="Times New Roman"/>
          <w:spacing w:val="-2"/>
        </w:rPr>
        <w:t xml:space="preserve"> The director of the department of executive services shall be the manager of the fund.</w:t>
      </w:r>
    </w:p>
    <w:p w14:paraId="55B41E1D" w14:textId="77777777" w:rsidR="008A20CC" w:rsidRPr="007475EE" w:rsidRDefault="008A20CC" w:rsidP="008A20CC">
      <w:pPr>
        <w:pStyle w:val="tx"/>
        <w:spacing w:line="480" w:lineRule="auto"/>
        <w:jc w:val="left"/>
        <w:rPr>
          <w:rFonts w:ascii="Times New Roman" w:hAnsi="Times New Roman"/>
        </w:rPr>
      </w:pPr>
      <w:r>
        <w:rPr>
          <w:rFonts w:ascii="Times New Roman" w:hAnsi="Times New Roman"/>
          <w:spacing w:val="-2"/>
        </w:rPr>
        <w:tab/>
      </w:r>
      <w:r w:rsidRPr="007475EE">
        <w:rPr>
          <w:rFonts w:ascii="Times New Roman" w:hAnsi="Times New Roman"/>
          <w:spacing w:val="-2"/>
        </w:rPr>
        <w:t>D.</w:t>
      </w:r>
      <w:r>
        <w:rPr>
          <w:rFonts w:ascii="Times New Roman" w:hAnsi="Times New Roman"/>
          <w:spacing w:val="-2"/>
        </w:rPr>
        <w:t xml:space="preserve"> </w:t>
      </w:r>
      <w:r w:rsidRPr="007475EE">
        <w:rPr>
          <w:rFonts w:ascii="Times New Roman" w:hAnsi="Times New Roman"/>
          <w:spacing w:val="-2"/>
        </w:rPr>
        <w:t xml:space="preserve"> All gifts, bequests and donations of financial assets to the county for purposes specified by the grantor shall be deposited and credited to the fund, except as authorized in K.C.C. 2.80.053, 2.80.055, ((</w:t>
      </w:r>
      <w:r w:rsidRPr="007475EE">
        <w:rPr>
          <w:rFonts w:ascii="Times New Roman" w:hAnsi="Times New Roman"/>
          <w:strike/>
          <w:spacing w:val="-2"/>
        </w:rPr>
        <w:t>2.80.057,</w:t>
      </w:r>
      <w:r w:rsidRPr="007475EE">
        <w:rPr>
          <w:rFonts w:ascii="Times New Roman" w:hAnsi="Times New Roman"/>
          <w:spacing w:val="-2"/>
        </w:rPr>
        <w:t>)) 2.80.060</w:t>
      </w:r>
      <w:r w:rsidRPr="007475EE">
        <w:rPr>
          <w:rFonts w:ascii="Times New Roman" w:hAnsi="Times New Roman"/>
          <w:spacing w:val="-2"/>
          <w:u w:val="single"/>
        </w:rPr>
        <w:t>,</w:t>
      </w:r>
      <w:r w:rsidRPr="007475EE">
        <w:rPr>
          <w:rFonts w:ascii="Times New Roman" w:hAnsi="Times New Roman"/>
          <w:spacing w:val="-2"/>
        </w:rPr>
        <w:t xml:space="preserve"> ((</w:t>
      </w:r>
      <w:r w:rsidRPr="007475EE">
        <w:rPr>
          <w:rFonts w:ascii="Times New Roman" w:hAnsi="Times New Roman"/>
          <w:strike/>
          <w:spacing w:val="-2"/>
        </w:rPr>
        <w:t>and</w:t>
      </w:r>
      <w:r w:rsidRPr="007475EE">
        <w:rPr>
          <w:rFonts w:ascii="Times New Roman" w:hAnsi="Times New Roman"/>
          <w:spacing w:val="-2"/>
        </w:rPr>
        <w:t>)) 2.80.070</w:t>
      </w:r>
      <w:r w:rsidRPr="001A585E">
        <w:rPr>
          <w:rFonts w:ascii="Times New Roman" w:hAnsi="Times New Roman"/>
          <w:spacing w:val="-2"/>
          <w:u w:val="single"/>
        </w:rPr>
        <w:t xml:space="preserve">, </w:t>
      </w:r>
      <w:r w:rsidRPr="007475EE">
        <w:rPr>
          <w:rFonts w:ascii="Times New Roman" w:hAnsi="Times New Roman"/>
          <w:spacing w:val="-2"/>
          <w:u w:val="single"/>
        </w:rPr>
        <w:t xml:space="preserve">2.80.080 and </w:t>
      </w:r>
      <w:r>
        <w:rPr>
          <w:rFonts w:ascii="Times New Roman" w:hAnsi="Times New Roman"/>
          <w:spacing w:val="-2"/>
          <w:u w:val="single"/>
        </w:rPr>
        <w:t>section 2 of this ordinance</w:t>
      </w:r>
      <w:r w:rsidRPr="007475EE">
        <w:rPr>
          <w:rFonts w:ascii="Times New Roman" w:hAnsi="Times New Roman"/>
          <w:spacing w:val="-2"/>
        </w:rPr>
        <w:t>.</w:t>
      </w:r>
    </w:p>
    <w:p w14:paraId="79F42F13" w14:textId="77777777" w:rsidR="008A20CC" w:rsidRPr="007475EE" w:rsidRDefault="008A20CC" w:rsidP="008A20CC">
      <w:pPr>
        <w:spacing w:line="480" w:lineRule="auto"/>
      </w:pPr>
      <w:r>
        <w:rPr>
          <w:spacing w:val="-2"/>
        </w:rPr>
        <w:tab/>
      </w:r>
      <w:r w:rsidRPr="007475EE">
        <w:rPr>
          <w:spacing w:val="-2"/>
        </w:rPr>
        <w:t>E.</w:t>
      </w:r>
      <w:r>
        <w:rPr>
          <w:spacing w:val="-2"/>
        </w:rPr>
        <w:t xml:space="preserve"> </w:t>
      </w:r>
      <w:r w:rsidRPr="007475EE">
        <w:rPr>
          <w:spacing w:val="-2"/>
        </w:rPr>
        <w:t xml:space="preserve"> The moneys shall be used for the purposes specified in the gift, bequest or donation.</w:t>
      </w:r>
      <w:r>
        <w:rPr>
          <w:spacing w:val="-2"/>
        </w:rPr>
        <w:t xml:space="preserve">  </w:t>
      </w:r>
      <w:r w:rsidRPr="007475EE">
        <w:rPr>
          <w:spacing w:val="-2"/>
        </w:rPr>
        <w:t xml:space="preserve">Each gift, bequest or donation to the county for a specified purpose shall be accounted for individually within the fund </w:t>
      </w:r>
      <w:r w:rsidRPr="007475EE">
        <w:t>until that gift, bequest or donation has been fully expended.</w:t>
      </w:r>
    </w:p>
    <w:p w14:paraId="27BEE55D" w14:textId="77777777" w:rsidR="008A20CC" w:rsidRDefault="008A20CC" w:rsidP="008A20CC">
      <w:pPr>
        <w:spacing w:line="480" w:lineRule="auto"/>
        <w:rPr>
          <w:lang w:bidi="en-US"/>
        </w:rPr>
      </w:pPr>
      <w:r>
        <w:rPr>
          <w:lang w:bidi="en-US"/>
        </w:rPr>
        <w:tab/>
      </w:r>
      <w:r w:rsidRPr="00DE2885">
        <w:rPr>
          <w:u w:val="single"/>
          <w:lang w:bidi="en-US"/>
        </w:rPr>
        <w:t>SECTION 5.</w:t>
      </w:r>
      <w:r>
        <w:rPr>
          <w:lang w:bidi="en-US"/>
        </w:rPr>
        <w:t xml:space="preserve">  Ordinance 12525, Section 7, as amended, and K.C.C. 4A.200.520 are hereby amended to read as follows:</w:t>
      </w:r>
    </w:p>
    <w:p w14:paraId="6171E531" w14:textId="77777777" w:rsidR="008A20CC" w:rsidRDefault="008A20CC" w:rsidP="008A20C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A.  There is hereby created the public health fund.</w:t>
      </w:r>
    </w:p>
    <w:p w14:paraId="697282C8" w14:textId="77777777" w:rsidR="008A20CC" w:rsidRDefault="008A20CC" w:rsidP="008A20C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B.  The fund shall be a second tier fund.  It is a special revenue fund.</w:t>
      </w:r>
    </w:p>
    <w:p w14:paraId="691027C4" w14:textId="77777777" w:rsidR="008A20CC" w:rsidRDefault="008A20CC" w:rsidP="008A20C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C.  The director of the department of public health shall be the manager of the fund.</w:t>
      </w:r>
    </w:p>
    <w:p w14:paraId="2BD286BC" w14:textId="77777777" w:rsidR="008A20CC" w:rsidRDefault="008A20CC" w:rsidP="008A20C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t>D.  All receipts from federal, state and local sources, including license</w:t>
      </w:r>
      <w:r>
        <w:rPr>
          <w:rFonts w:ascii="Times New Roman" w:eastAsia="Times New Roman" w:hAnsi="Times New Roman"/>
          <w:u w:val="single"/>
          <w:lang w:bidi="en-US"/>
        </w:rPr>
        <w:t>,</w:t>
      </w:r>
      <w:r>
        <w:rPr>
          <w:rFonts w:ascii="Times New Roman" w:eastAsia="Times New Roman" w:hAnsi="Times New Roman"/>
          <w:lang w:bidi="en-US"/>
        </w:rPr>
        <w:t xml:space="preserve"> ((</w:t>
      </w:r>
      <w:r>
        <w:rPr>
          <w:rFonts w:ascii="Times New Roman" w:eastAsia="Times New Roman" w:hAnsi="Times New Roman"/>
          <w:strike/>
          <w:lang w:bidi="en-US"/>
        </w:rPr>
        <w:t>and))</w:t>
      </w:r>
      <w:r>
        <w:rPr>
          <w:rFonts w:ascii="Times New Roman" w:eastAsia="Times New Roman" w:hAnsi="Times New Roman"/>
          <w:lang w:bidi="en-US"/>
        </w:rPr>
        <w:t xml:space="preserve"> permit </w:t>
      </w:r>
      <w:r>
        <w:rPr>
          <w:rFonts w:ascii="Times New Roman" w:eastAsia="Times New Roman" w:hAnsi="Times New Roman"/>
          <w:u w:val="single"/>
          <w:lang w:bidi="en-US"/>
        </w:rPr>
        <w:t>and other</w:t>
      </w:r>
      <w:r>
        <w:rPr>
          <w:rFonts w:ascii="Times New Roman" w:eastAsia="Times New Roman" w:hAnsi="Times New Roman"/>
          <w:lang w:bidi="en-US"/>
        </w:rPr>
        <w:t xml:space="preserve"> fees administered by the department of public health, shall be deposited in the fund</w:t>
      </w:r>
      <w:r>
        <w:rPr>
          <w:rFonts w:ascii="Times New Roman" w:eastAsia="Times New Roman" w:hAnsi="Times New Roman"/>
          <w:u w:val="single"/>
          <w:lang w:bidi="en-US"/>
        </w:rPr>
        <w:t>, except that gifts, bequests or donations for department of public health purposes under section 1.B.4. of this ordinance shall be deposited in a subfund in the public health fund</w:t>
      </w:r>
      <w:r>
        <w:rPr>
          <w:rFonts w:ascii="Times New Roman" w:eastAsia="Times New Roman" w:hAnsi="Times New Roman"/>
          <w:lang w:bidi="en-US"/>
        </w:rPr>
        <w:t>.</w:t>
      </w:r>
    </w:p>
    <w:p w14:paraId="4687AFCA" w14:textId="77777777" w:rsidR="008A20CC" w:rsidRDefault="008A20CC" w:rsidP="008A20C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lang w:bidi="en-US"/>
        </w:rPr>
      </w:pPr>
      <w:r>
        <w:rPr>
          <w:rFonts w:ascii="Times New Roman" w:eastAsia="Times New Roman" w:hAnsi="Times New Roman"/>
          <w:lang w:bidi="en-US"/>
        </w:rPr>
        <w:tab/>
      </w:r>
      <w:r>
        <w:rPr>
          <w:rFonts w:ascii="Times New Roman" w:eastAsia="Times New Roman" w:hAnsi="Times New Roman"/>
          <w:u w:val="single"/>
          <w:lang w:bidi="en-US"/>
        </w:rPr>
        <w:t>SECTION 6.</w:t>
      </w:r>
      <w:r>
        <w:rPr>
          <w:rFonts w:ascii="Times New Roman" w:eastAsia="Times New Roman" w:hAnsi="Times New Roman"/>
          <w:lang w:bidi="en-US"/>
        </w:rPr>
        <w:t xml:space="preserve">  The following are each hereby repealed:</w:t>
      </w:r>
    </w:p>
    <w:p w14:paraId="5E6FBBE3" w14:textId="77777777" w:rsidR="008A20CC" w:rsidRDefault="008A20CC" w:rsidP="008A20CC">
      <w:pPr>
        <w:numPr>
          <w:ilvl w:val="0"/>
          <w:numId w:val="1"/>
        </w:numPr>
        <w:spacing w:line="480" w:lineRule="auto"/>
        <w:rPr>
          <w:lang w:bidi="en-US"/>
        </w:rPr>
      </w:pPr>
      <w:r>
        <w:rPr>
          <w:lang w:bidi="en-US"/>
        </w:rPr>
        <w:t>Ordinance 17226, Section 1, and K.C.C. 2.16.081;</w:t>
      </w:r>
    </w:p>
    <w:p w14:paraId="7F87D5B1" w14:textId="77777777" w:rsidR="008A20CC" w:rsidRDefault="008A20CC" w:rsidP="008A20CC">
      <w:pPr>
        <w:numPr>
          <w:ilvl w:val="0"/>
          <w:numId w:val="1"/>
        </w:numPr>
        <w:spacing w:line="480" w:lineRule="auto"/>
        <w:rPr>
          <w:lang w:bidi="en-US"/>
        </w:rPr>
      </w:pPr>
      <w:r w:rsidRPr="008A20CC">
        <w:rPr>
          <w:lang w:bidi="en-US"/>
        </w:rPr>
        <w:t>Ordinance 17226, Section 2, and K.C.C. 2.80.057; and</w:t>
      </w:r>
    </w:p>
    <w:p w14:paraId="191DEC87" w14:textId="77777777" w:rsidR="003678C8" w:rsidRPr="0066169B" w:rsidRDefault="008A20CC" w:rsidP="008A20CC">
      <w:pPr>
        <w:numPr>
          <w:ilvl w:val="0"/>
          <w:numId w:val="1"/>
        </w:numPr>
        <w:spacing w:line="480" w:lineRule="auto"/>
        <w:rPr>
          <w:lang w:bidi="en-US"/>
        </w:rPr>
      </w:pPr>
      <w:r w:rsidRPr="008A20CC">
        <w:rPr>
          <w:lang w:bidi="en-US"/>
        </w:rPr>
        <w:t>Ordinance 17226, Section 3, and K.C.C. 3.04.200.</w:t>
      </w:r>
      <w:r w:rsidR="00C462B4" w:rsidRPr="0066169B">
        <w:t>"</w:t>
      </w:r>
    </w:p>
    <w:p w14:paraId="2C07A906" w14:textId="0609B4DF" w:rsidR="003678C8" w:rsidRPr="003678C8" w:rsidRDefault="003678C8" w:rsidP="003678C8">
      <w:pPr>
        <w:spacing w:line="480" w:lineRule="auto"/>
      </w:pPr>
      <w:r w:rsidRPr="0066169B">
        <w:rPr>
          <w:b/>
        </w:rPr>
        <w:t>EFFECT:</w:t>
      </w:r>
      <w:r w:rsidR="003A51A4" w:rsidRPr="0066169B">
        <w:rPr>
          <w:b/>
        </w:rPr>
        <w:t xml:space="preserve"> </w:t>
      </w:r>
      <w:r w:rsidR="002F4DBE">
        <w:t>The amendment r</w:t>
      </w:r>
      <w:r w:rsidR="002F4DBE" w:rsidRPr="00F7054B">
        <w:t xml:space="preserve">evises </w:t>
      </w:r>
      <w:r w:rsidR="008A20CC" w:rsidRPr="00F7054B">
        <w:t>K.C.C. 4A.200.300, to add gifts to Public Health to the list of exceptions to county policy directing that gifts be credited to the general county gifts trust and contribution fund, and revises the language describing the Public Health exception in K.C.C. 2.80 to align it with existing Code language around such exceptions.</w:t>
      </w:r>
      <w:r w:rsidR="002F4DBE">
        <w:t xml:space="preserve">  The amendment also clarifies that the acceptance and use of donated amounts for a program or service does not create an ongoing obligation on the part of the County or Public Health to continue to fund that program or service after the donated amounts have been spent.  Finally, the amendment allows Public Health to accept donations up to $50,000 without Council approval, which is the same amount as other departments that have been provided an exemption to the County’s general rules.</w:t>
      </w:r>
    </w:p>
    <w:sectPr w:rsidR="003678C8" w:rsidRPr="003678C8" w:rsidSect="00DB096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lnNumType w:countBy="1" w:restart="continuous"/>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B8461E" w14:textId="77777777" w:rsidR="00DD3398" w:rsidRDefault="00DD3398">
      <w:r>
        <w:separator/>
      </w:r>
    </w:p>
  </w:endnote>
  <w:endnote w:type="continuationSeparator" w:id="0">
    <w:p w14:paraId="74998643" w14:textId="77777777" w:rsidR="00DD3398" w:rsidRDefault="00DD3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7818C" w14:textId="77777777" w:rsidR="007E48C5" w:rsidRDefault="007E48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71B2" w14:textId="77777777" w:rsidR="00915EEA" w:rsidRDefault="00B472B2" w:rsidP="00DB0960">
    <w:pPr>
      <w:pStyle w:val="Footer"/>
      <w:jc w:val="center"/>
    </w:pPr>
    <w:r>
      <w:rPr>
        <w:rStyle w:val="PageNumber"/>
      </w:rPr>
      <w:fldChar w:fldCharType="begin"/>
    </w:r>
    <w:r w:rsidR="00915EEA">
      <w:rPr>
        <w:rStyle w:val="PageNumber"/>
      </w:rPr>
      <w:instrText xml:space="preserve"> PAGE </w:instrText>
    </w:r>
    <w:r>
      <w:rPr>
        <w:rStyle w:val="PageNumber"/>
      </w:rPr>
      <w:fldChar w:fldCharType="separate"/>
    </w:r>
    <w:r w:rsidR="007E48C5">
      <w:rPr>
        <w:rStyle w:val="PageNumber"/>
        <w:noProof/>
      </w:rPr>
      <w:t>- 1 -</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E25F0" w14:textId="77777777" w:rsidR="007E48C5" w:rsidRDefault="007E48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C134E7" w14:textId="77777777" w:rsidR="00DD3398" w:rsidRDefault="00DD3398">
      <w:r>
        <w:separator/>
      </w:r>
    </w:p>
  </w:footnote>
  <w:footnote w:type="continuationSeparator" w:id="0">
    <w:p w14:paraId="2898BC25" w14:textId="77777777" w:rsidR="00DD3398" w:rsidRDefault="00DD33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94C0B" w14:textId="77777777" w:rsidR="007E48C5" w:rsidRDefault="007E48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5AA16" w14:textId="263CADFD" w:rsidR="007E48C5" w:rsidRDefault="007E48C5" w:rsidP="007E48C5">
    <w:pPr>
      <w:pStyle w:val="Header"/>
      <w:jc w:val="right"/>
    </w:pPr>
    <w:r>
      <w:t>ATTACHMENT 2</w:t>
    </w: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85E72" w14:textId="77777777" w:rsidR="007E48C5" w:rsidRDefault="007E48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076230"/>
    <w:multiLevelType w:val="hybridMultilevel"/>
    <w:tmpl w:val="F52C51B4"/>
    <w:lvl w:ilvl="0" w:tplc="C14AA5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20CC"/>
    <w:rsid w:val="000104CF"/>
    <w:rsid w:val="000338CC"/>
    <w:rsid w:val="00066D1D"/>
    <w:rsid w:val="000906C8"/>
    <w:rsid w:val="000C76D5"/>
    <w:rsid w:val="000E446D"/>
    <w:rsid w:val="001A585E"/>
    <w:rsid w:val="002F4DBE"/>
    <w:rsid w:val="003678C8"/>
    <w:rsid w:val="00375A64"/>
    <w:rsid w:val="003A0154"/>
    <w:rsid w:val="003A51A4"/>
    <w:rsid w:val="003A7C94"/>
    <w:rsid w:val="003C2A54"/>
    <w:rsid w:val="004670B0"/>
    <w:rsid w:val="005008BA"/>
    <w:rsid w:val="00513DD5"/>
    <w:rsid w:val="00597DC2"/>
    <w:rsid w:val="005A3276"/>
    <w:rsid w:val="00601EA2"/>
    <w:rsid w:val="00602B62"/>
    <w:rsid w:val="00657D63"/>
    <w:rsid w:val="0066169B"/>
    <w:rsid w:val="006E6F03"/>
    <w:rsid w:val="006F6AD6"/>
    <w:rsid w:val="00722FC3"/>
    <w:rsid w:val="007C28FF"/>
    <w:rsid w:val="007D2076"/>
    <w:rsid w:val="007D7888"/>
    <w:rsid w:val="007E48C5"/>
    <w:rsid w:val="00801116"/>
    <w:rsid w:val="00864501"/>
    <w:rsid w:val="008A20CC"/>
    <w:rsid w:val="009060D6"/>
    <w:rsid w:val="00915EEA"/>
    <w:rsid w:val="009213FE"/>
    <w:rsid w:val="0099294E"/>
    <w:rsid w:val="00A435A4"/>
    <w:rsid w:val="00B472B2"/>
    <w:rsid w:val="00BA11DD"/>
    <w:rsid w:val="00BD7775"/>
    <w:rsid w:val="00C04466"/>
    <w:rsid w:val="00C177CF"/>
    <w:rsid w:val="00C462B4"/>
    <w:rsid w:val="00C833AE"/>
    <w:rsid w:val="00DB0960"/>
    <w:rsid w:val="00DD3398"/>
    <w:rsid w:val="00DF720F"/>
    <w:rsid w:val="00EF7017"/>
    <w:rsid w:val="00F42799"/>
    <w:rsid w:val="00F44843"/>
    <w:rsid w:val="00FD1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756AD0"/>
  <w15:chartTrackingRefBased/>
  <w15:docId w15:val="{ACF2BC10-BCA1-462F-B706-3313ADA0A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2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DB0960"/>
  </w:style>
  <w:style w:type="paragraph" w:styleId="Header">
    <w:name w:val="header"/>
    <w:basedOn w:val="Normal"/>
    <w:rsid w:val="00DB0960"/>
    <w:pPr>
      <w:tabs>
        <w:tab w:val="center" w:pos="4320"/>
        <w:tab w:val="right" w:pos="8640"/>
      </w:tabs>
    </w:pPr>
  </w:style>
  <w:style w:type="paragraph" w:styleId="Footer">
    <w:name w:val="footer"/>
    <w:basedOn w:val="Normal"/>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semiHidden/>
    <w:rsid w:val="00722FC3"/>
    <w:rPr>
      <w:rFonts w:ascii="Tahoma" w:hAnsi="Tahoma" w:cs="Tahoma"/>
      <w:sz w:val="16"/>
      <w:szCs w:val="16"/>
    </w:rPr>
  </w:style>
  <w:style w:type="paragraph" w:customStyle="1" w:styleId="Normal0">
    <w:name w:val="[Normal]"/>
    <w:rsid w:val="008A20CC"/>
    <w:rPr>
      <w:rFonts w:ascii="Arial" w:eastAsia="Arial" w:hAnsi="Arial"/>
      <w:sz w:val="24"/>
      <w:szCs w:val="24"/>
    </w:rPr>
  </w:style>
  <w:style w:type="paragraph" w:customStyle="1" w:styleId="tx">
    <w:name w:val="tx"/>
    <w:basedOn w:val="Normal"/>
    <w:rsid w:val="008A20CC"/>
    <w:pPr>
      <w:jc w:val="both"/>
    </w:pPr>
    <w:rPr>
      <w:rFonts w:ascii="Courier" w:hAnsi="Courier"/>
    </w:rPr>
  </w:style>
  <w:style w:type="character" w:styleId="CommentReference">
    <w:name w:val="annotation reference"/>
    <w:basedOn w:val="DefaultParagraphFont"/>
    <w:uiPriority w:val="99"/>
    <w:semiHidden/>
    <w:unhideWhenUsed/>
    <w:rsid w:val="00FD1CD6"/>
    <w:rPr>
      <w:sz w:val="16"/>
      <w:szCs w:val="16"/>
    </w:rPr>
  </w:style>
  <w:style w:type="paragraph" w:styleId="CommentText">
    <w:name w:val="annotation text"/>
    <w:basedOn w:val="Normal"/>
    <w:link w:val="CommentTextChar"/>
    <w:uiPriority w:val="99"/>
    <w:semiHidden/>
    <w:unhideWhenUsed/>
    <w:rsid w:val="00FD1CD6"/>
    <w:rPr>
      <w:sz w:val="20"/>
      <w:szCs w:val="20"/>
    </w:rPr>
  </w:style>
  <w:style w:type="character" w:customStyle="1" w:styleId="CommentTextChar">
    <w:name w:val="Comment Text Char"/>
    <w:basedOn w:val="DefaultParagraphFont"/>
    <w:link w:val="CommentText"/>
    <w:uiPriority w:val="99"/>
    <w:semiHidden/>
    <w:rsid w:val="00FD1CD6"/>
  </w:style>
  <w:style w:type="paragraph" w:styleId="CommentSubject">
    <w:name w:val="annotation subject"/>
    <w:basedOn w:val="CommentText"/>
    <w:next w:val="CommentText"/>
    <w:link w:val="CommentSubjectChar"/>
    <w:uiPriority w:val="99"/>
    <w:semiHidden/>
    <w:unhideWhenUsed/>
    <w:rsid w:val="00FD1CD6"/>
    <w:rPr>
      <w:b/>
      <w:bCs/>
    </w:rPr>
  </w:style>
  <w:style w:type="character" w:customStyle="1" w:styleId="CommentSubjectChar">
    <w:name w:val="Comment Subject Char"/>
    <w:basedOn w:val="CommentTextChar"/>
    <w:link w:val="CommentSubject"/>
    <w:uiPriority w:val="99"/>
    <w:semiHidden/>
    <w:rsid w:val="00FD1C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uncil2\shared\computer\workgroup%20templates\Striking%20amendment%20with%20NO%20changes%20to%20attach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39D09-5BD0-41CC-A42D-1F47FA88D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Striking amendment with NO changes to attachment.dot</Template>
  <TotalTime>8</TotalTime>
  <Pages>5</Pages>
  <Words>975</Words>
  <Characters>5278</Characters>
  <Application>Microsoft Office Word</Application>
  <DocSecurity>0</DocSecurity>
  <Lines>142</Lines>
  <Paragraphs>57</Paragraphs>
  <ScaleCrop>false</ScaleCrop>
  <HeadingPairs>
    <vt:vector size="2" baseType="variant">
      <vt:variant>
        <vt:lpstr>Title</vt:lpstr>
      </vt:variant>
      <vt:variant>
        <vt:i4>1</vt:i4>
      </vt:variant>
    </vt:vector>
  </HeadingPairs>
  <TitlesOfParts>
    <vt:vector size="1" baseType="lpstr">
      <vt:lpstr>&lt;Date&gt;</vt:lpstr>
    </vt:vector>
  </TitlesOfParts>
  <Company>King County Council</Company>
  <LinksUpToDate>false</LinksUpToDate>
  <CharactersWithSpaces>6196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&lt;Date&gt;</dc:title>
  <dc:subject/>
  <dc:creator>Celebrezze, Rachelle</dc:creator>
  <cp:keywords/>
  <dc:description/>
  <cp:lastModifiedBy>Daly, Sharon</cp:lastModifiedBy>
  <cp:revision>6</cp:revision>
  <cp:lastPrinted>2003-02-07T18:37:00Z</cp:lastPrinted>
  <dcterms:created xsi:type="dcterms:W3CDTF">2016-02-10T17:13:00Z</dcterms:created>
  <dcterms:modified xsi:type="dcterms:W3CDTF">2016-02-12T18:18:00Z</dcterms:modified>
</cp:coreProperties>
</file>