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7455" w:type="dxa"/>
        <w:tblLook w:val="04A0" w:firstRow="1" w:lastRow="0" w:firstColumn="1" w:lastColumn="0" w:noHBand="0" w:noVBand="1"/>
      </w:tblPr>
      <w:tblGrid>
        <w:gridCol w:w="1462"/>
        <w:gridCol w:w="3933"/>
        <w:gridCol w:w="3870"/>
        <w:gridCol w:w="4590"/>
        <w:gridCol w:w="3600"/>
      </w:tblGrid>
      <w:tr w:rsidR="005210D0" w:rsidRPr="006C35EC" w:rsidTr="00F86FBC">
        <w:tc>
          <w:tcPr>
            <w:tcW w:w="1462" w:type="dxa"/>
            <w:shd w:val="clear" w:color="auto" w:fill="2E74B5" w:themeFill="accent1" w:themeFillShade="BF"/>
            <w:vAlign w:val="bottom"/>
          </w:tcPr>
          <w:p w:rsidR="005210D0" w:rsidRPr="002C5933" w:rsidRDefault="005210D0" w:rsidP="006C35EC">
            <w:pPr>
              <w:jc w:val="center"/>
              <w:rPr>
                <w:rFonts w:ascii="Arial" w:hAnsi="Arial" w:cs="Arial"/>
                <w:b/>
                <w:color w:val="FFFFFF" w:themeColor="background1"/>
                <w:sz w:val="20"/>
                <w:szCs w:val="20"/>
              </w:rPr>
            </w:pPr>
            <w:bookmarkStart w:id="0" w:name="_GoBack"/>
            <w:bookmarkEnd w:id="0"/>
          </w:p>
        </w:tc>
        <w:tc>
          <w:tcPr>
            <w:tcW w:w="3933" w:type="dxa"/>
            <w:shd w:val="clear" w:color="auto" w:fill="2E74B5" w:themeFill="accent1" w:themeFillShade="BF"/>
            <w:vAlign w:val="bottom"/>
          </w:tcPr>
          <w:p w:rsidR="005210D0" w:rsidRPr="002C5933" w:rsidRDefault="00FA19DB" w:rsidP="006C35EC">
            <w:pPr>
              <w:jc w:val="center"/>
              <w:rPr>
                <w:rFonts w:ascii="Arial" w:hAnsi="Arial" w:cs="Arial"/>
                <w:b/>
                <w:color w:val="FFFFFF" w:themeColor="background1"/>
                <w:sz w:val="20"/>
                <w:szCs w:val="20"/>
              </w:rPr>
            </w:pPr>
            <w:r>
              <w:rPr>
                <w:rFonts w:ascii="Arial" w:hAnsi="Arial" w:cs="Arial"/>
                <w:b/>
                <w:color w:val="FFFFFF" w:themeColor="background1"/>
                <w:sz w:val="20"/>
                <w:szCs w:val="20"/>
              </w:rPr>
              <w:t>Veterans and Human Services Levy</w:t>
            </w:r>
            <w:r w:rsidR="005210D0" w:rsidRPr="002C5933">
              <w:rPr>
                <w:rFonts w:ascii="Arial" w:hAnsi="Arial" w:cs="Arial"/>
                <w:b/>
                <w:color w:val="FFFFFF" w:themeColor="background1"/>
                <w:sz w:val="20"/>
                <w:szCs w:val="20"/>
              </w:rPr>
              <w:t xml:space="preserve"> </w:t>
            </w:r>
          </w:p>
          <w:p w:rsidR="005210D0" w:rsidRPr="002C5933" w:rsidRDefault="005210D0" w:rsidP="006C35EC">
            <w:pPr>
              <w:jc w:val="center"/>
              <w:rPr>
                <w:rFonts w:ascii="Arial" w:hAnsi="Arial" w:cs="Arial"/>
                <w:b/>
                <w:color w:val="FFFFFF" w:themeColor="background1"/>
                <w:sz w:val="20"/>
                <w:szCs w:val="20"/>
              </w:rPr>
            </w:pPr>
            <w:r>
              <w:rPr>
                <w:rFonts w:ascii="Arial" w:hAnsi="Arial" w:cs="Arial"/>
                <w:b/>
                <w:color w:val="FFFFFF" w:themeColor="background1"/>
                <w:sz w:val="20"/>
                <w:szCs w:val="20"/>
              </w:rPr>
              <w:t>2005</w:t>
            </w:r>
          </w:p>
          <w:p w:rsidR="005210D0" w:rsidRPr="002C5933" w:rsidRDefault="005210D0" w:rsidP="006C35EC">
            <w:pPr>
              <w:jc w:val="center"/>
              <w:rPr>
                <w:rFonts w:ascii="Arial" w:hAnsi="Arial" w:cs="Arial"/>
                <w:b/>
                <w:color w:val="FFFFFF" w:themeColor="background1"/>
                <w:sz w:val="20"/>
                <w:szCs w:val="20"/>
              </w:rPr>
            </w:pPr>
            <w:r>
              <w:rPr>
                <w:rFonts w:ascii="Arial" w:hAnsi="Arial" w:cs="Arial"/>
                <w:b/>
                <w:color w:val="FFFFFF" w:themeColor="background1"/>
                <w:sz w:val="20"/>
                <w:szCs w:val="20"/>
              </w:rPr>
              <w:t>(Ordinance 15279</w:t>
            </w:r>
            <w:r w:rsidRPr="002C5933">
              <w:rPr>
                <w:rFonts w:ascii="Arial" w:hAnsi="Arial" w:cs="Arial"/>
                <w:b/>
                <w:color w:val="FFFFFF" w:themeColor="background1"/>
                <w:sz w:val="20"/>
                <w:szCs w:val="20"/>
              </w:rPr>
              <w:t>)</w:t>
            </w:r>
          </w:p>
        </w:tc>
        <w:tc>
          <w:tcPr>
            <w:tcW w:w="3870" w:type="dxa"/>
            <w:shd w:val="clear" w:color="auto" w:fill="2E74B5" w:themeFill="accent1" w:themeFillShade="BF"/>
          </w:tcPr>
          <w:p w:rsidR="005210D0" w:rsidRPr="002C5933" w:rsidRDefault="00FA19DB" w:rsidP="005210D0">
            <w:pPr>
              <w:jc w:val="center"/>
              <w:rPr>
                <w:rFonts w:ascii="Arial" w:hAnsi="Arial" w:cs="Arial"/>
                <w:b/>
                <w:color w:val="FFFFFF" w:themeColor="background1"/>
                <w:sz w:val="20"/>
                <w:szCs w:val="20"/>
              </w:rPr>
            </w:pPr>
            <w:r>
              <w:rPr>
                <w:rFonts w:ascii="Arial" w:hAnsi="Arial" w:cs="Arial"/>
                <w:b/>
                <w:color w:val="FFFFFF" w:themeColor="background1"/>
                <w:sz w:val="20"/>
                <w:szCs w:val="20"/>
              </w:rPr>
              <w:t>Veterans and Human Services Levy</w:t>
            </w:r>
            <w:r w:rsidR="005210D0" w:rsidRPr="002C5933">
              <w:rPr>
                <w:rFonts w:ascii="Arial" w:hAnsi="Arial" w:cs="Arial"/>
                <w:b/>
                <w:color w:val="FFFFFF" w:themeColor="background1"/>
                <w:sz w:val="20"/>
                <w:szCs w:val="20"/>
              </w:rPr>
              <w:t xml:space="preserve"> </w:t>
            </w:r>
          </w:p>
          <w:p w:rsidR="005210D0" w:rsidRPr="002C5933" w:rsidRDefault="00576A1F" w:rsidP="005210D0">
            <w:pPr>
              <w:jc w:val="center"/>
              <w:rPr>
                <w:rFonts w:ascii="Arial" w:hAnsi="Arial" w:cs="Arial"/>
                <w:b/>
                <w:color w:val="FFFFFF" w:themeColor="background1"/>
                <w:sz w:val="20"/>
                <w:szCs w:val="20"/>
              </w:rPr>
            </w:pPr>
            <w:r>
              <w:rPr>
                <w:rFonts w:ascii="Arial" w:hAnsi="Arial" w:cs="Arial"/>
                <w:b/>
                <w:color w:val="FFFFFF" w:themeColor="background1"/>
                <w:sz w:val="20"/>
                <w:szCs w:val="20"/>
              </w:rPr>
              <w:t>2011</w:t>
            </w:r>
          </w:p>
          <w:p w:rsidR="005210D0" w:rsidRPr="002C5933" w:rsidRDefault="005210D0" w:rsidP="00576A1F">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(Ordinance </w:t>
            </w:r>
            <w:r w:rsidR="00576A1F">
              <w:rPr>
                <w:rFonts w:ascii="Arial" w:hAnsi="Arial" w:cs="Arial"/>
                <w:b/>
                <w:color w:val="FFFFFF" w:themeColor="background1"/>
                <w:sz w:val="20"/>
                <w:szCs w:val="20"/>
              </w:rPr>
              <w:t>17072</w:t>
            </w:r>
            <w:r w:rsidRPr="002C5933">
              <w:rPr>
                <w:rFonts w:ascii="Arial" w:hAnsi="Arial" w:cs="Arial"/>
                <w:b/>
                <w:color w:val="FFFFFF" w:themeColor="background1"/>
                <w:sz w:val="20"/>
                <w:szCs w:val="20"/>
              </w:rPr>
              <w:t>)</w:t>
            </w:r>
          </w:p>
        </w:tc>
        <w:tc>
          <w:tcPr>
            <w:tcW w:w="4590" w:type="dxa"/>
            <w:shd w:val="clear" w:color="auto" w:fill="2E74B5" w:themeFill="accent1" w:themeFillShade="BF"/>
            <w:vAlign w:val="bottom"/>
          </w:tcPr>
          <w:p w:rsidR="005210D0" w:rsidRPr="002C5933" w:rsidRDefault="005210D0" w:rsidP="006C35EC">
            <w:pPr>
              <w:jc w:val="center"/>
              <w:rPr>
                <w:rFonts w:ascii="Arial" w:hAnsi="Arial" w:cs="Arial"/>
                <w:b/>
                <w:color w:val="FFFFFF" w:themeColor="background1"/>
                <w:sz w:val="20"/>
                <w:szCs w:val="20"/>
              </w:rPr>
            </w:pPr>
            <w:r w:rsidRPr="002C5933">
              <w:rPr>
                <w:rFonts w:ascii="Arial" w:hAnsi="Arial" w:cs="Arial"/>
                <w:b/>
                <w:color w:val="FFFFFF" w:themeColor="background1"/>
                <w:sz w:val="20"/>
                <w:szCs w:val="20"/>
              </w:rPr>
              <w:t>M</w:t>
            </w:r>
            <w:r w:rsidR="00FA19DB">
              <w:rPr>
                <w:rFonts w:ascii="Arial" w:hAnsi="Arial" w:cs="Arial"/>
                <w:b/>
                <w:color w:val="FFFFFF" w:themeColor="background1"/>
                <w:sz w:val="20"/>
                <w:szCs w:val="20"/>
              </w:rPr>
              <w:t>ental Illness &amp; Drug Dependency Sales Tax</w:t>
            </w:r>
          </w:p>
          <w:p w:rsidR="005210D0" w:rsidRPr="002C5933" w:rsidRDefault="005210D0" w:rsidP="006C35EC">
            <w:pPr>
              <w:jc w:val="center"/>
              <w:rPr>
                <w:rFonts w:ascii="Arial" w:hAnsi="Arial" w:cs="Arial"/>
                <w:b/>
                <w:color w:val="FFFFFF" w:themeColor="background1"/>
                <w:sz w:val="20"/>
                <w:szCs w:val="20"/>
              </w:rPr>
            </w:pPr>
            <w:r w:rsidRPr="002C5933">
              <w:rPr>
                <w:rFonts w:ascii="Arial" w:hAnsi="Arial" w:cs="Arial"/>
                <w:b/>
                <w:color w:val="FFFFFF" w:themeColor="background1"/>
                <w:sz w:val="20"/>
                <w:szCs w:val="20"/>
              </w:rPr>
              <w:t>2007</w:t>
            </w:r>
          </w:p>
          <w:p w:rsidR="005210D0" w:rsidRPr="002C5933" w:rsidRDefault="005210D0" w:rsidP="006C35EC">
            <w:pPr>
              <w:jc w:val="center"/>
              <w:rPr>
                <w:rFonts w:ascii="Arial" w:hAnsi="Arial" w:cs="Arial"/>
                <w:b/>
                <w:color w:val="FFFFFF" w:themeColor="background1"/>
                <w:sz w:val="20"/>
                <w:szCs w:val="20"/>
              </w:rPr>
            </w:pPr>
            <w:r w:rsidRPr="002C5933">
              <w:rPr>
                <w:rFonts w:ascii="Arial" w:hAnsi="Arial" w:cs="Arial"/>
                <w:b/>
                <w:color w:val="FFFFFF" w:themeColor="background1"/>
                <w:sz w:val="20"/>
                <w:szCs w:val="20"/>
              </w:rPr>
              <w:t>(Ordinance 15959)</w:t>
            </w:r>
          </w:p>
        </w:tc>
        <w:tc>
          <w:tcPr>
            <w:tcW w:w="3600" w:type="dxa"/>
            <w:shd w:val="clear" w:color="auto" w:fill="2E74B5" w:themeFill="accent1" w:themeFillShade="BF"/>
            <w:vAlign w:val="bottom"/>
          </w:tcPr>
          <w:p w:rsidR="005210D0" w:rsidRPr="002C5933" w:rsidRDefault="005210D0" w:rsidP="006C35EC">
            <w:pPr>
              <w:jc w:val="center"/>
              <w:rPr>
                <w:rFonts w:ascii="Arial" w:hAnsi="Arial" w:cs="Arial"/>
                <w:b/>
                <w:color w:val="FFFFFF" w:themeColor="background1"/>
                <w:sz w:val="20"/>
                <w:szCs w:val="20"/>
              </w:rPr>
            </w:pPr>
            <w:r w:rsidRPr="002C5933">
              <w:rPr>
                <w:rFonts w:ascii="Arial" w:hAnsi="Arial" w:cs="Arial"/>
                <w:b/>
                <w:color w:val="FFFFFF" w:themeColor="background1"/>
                <w:sz w:val="20"/>
                <w:szCs w:val="20"/>
              </w:rPr>
              <w:t>Best Starts for Kids</w:t>
            </w:r>
            <w:r w:rsidR="00FA19DB">
              <w:rPr>
                <w:rFonts w:ascii="Arial" w:hAnsi="Arial" w:cs="Arial"/>
                <w:b/>
                <w:color w:val="FFFFFF" w:themeColor="background1"/>
                <w:sz w:val="20"/>
                <w:szCs w:val="20"/>
              </w:rPr>
              <w:t xml:space="preserve"> Levy</w:t>
            </w:r>
          </w:p>
          <w:p w:rsidR="005210D0" w:rsidRPr="002C5933" w:rsidRDefault="005210D0" w:rsidP="006C35EC">
            <w:pPr>
              <w:jc w:val="center"/>
              <w:rPr>
                <w:rFonts w:ascii="Arial" w:hAnsi="Arial" w:cs="Arial"/>
                <w:b/>
                <w:color w:val="FFFFFF" w:themeColor="background1"/>
                <w:sz w:val="20"/>
                <w:szCs w:val="20"/>
              </w:rPr>
            </w:pPr>
            <w:r w:rsidRPr="002C5933">
              <w:rPr>
                <w:rFonts w:ascii="Arial" w:hAnsi="Arial" w:cs="Arial"/>
                <w:b/>
                <w:color w:val="FFFFFF" w:themeColor="background1"/>
                <w:sz w:val="20"/>
                <w:szCs w:val="20"/>
              </w:rPr>
              <w:t>(Proposed</w:t>
            </w:r>
            <w:r w:rsidR="00AD0CE9">
              <w:rPr>
                <w:rFonts w:ascii="Arial" w:hAnsi="Arial" w:cs="Arial"/>
                <w:b/>
                <w:color w:val="FFFFFF" w:themeColor="background1"/>
                <w:sz w:val="20"/>
                <w:szCs w:val="20"/>
              </w:rPr>
              <w:t xml:space="preserve"> Ordinance 2015-0177</w:t>
            </w:r>
            <w:r w:rsidRPr="002C5933">
              <w:rPr>
                <w:rFonts w:ascii="Arial" w:hAnsi="Arial" w:cs="Arial"/>
                <w:b/>
                <w:color w:val="FFFFFF" w:themeColor="background1"/>
                <w:sz w:val="20"/>
                <w:szCs w:val="20"/>
              </w:rPr>
              <w:t>)</w:t>
            </w:r>
          </w:p>
        </w:tc>
      </w:tr>
      <w:tr w:rsidR="005210D0" w:rsidTr="00F86FBC">
        <w:tc>
          <w:tcPr>
            <w:tcW w:w="1462" w:type="dxa"/>
            <w:vAlign w:val="center"/>
          </w:tcPr>
          <w:p w:rsidR="005210D0" w:rsidRPr="002C5933" w:rsidRDefault="005210D0" w:rsidP="006C35EC">
            <w:pPr>
              <w:rPr>
                <w:rFonts w:ascii="Arial" w:hAnsi="Arial" w:cs="Arial"/>
                <w:sz w:val="20"/>
                <w:szCs w:val="20"/>
              </w:rPr>
            </w:pPr>
            <w:r w:rsidRPr="002C5933">
              <w:rPr>
                <w:rFonts w:ascii="Arial" w:hAnsi="Arial" w:cs="Arial"/>
                <w:sz w:val="20"/>
                <w:szCs w:val="20"/>
              </w:rPr>
              <w:t>Authorization</w:t>
            </w:r>
          </w:p>
        </w:tc>
        <w:tc>
          <w:tcPr>
            <w:tcW w:w="3933" w:type="dxa"/>
            <w:vAlign w:val="center"/>
          </w:tcPr>
          <w:p w:rsidR="005210D0" w:rsidRPr="002C5933" w:rsidRDefault="005210D0" w:rsidP="006C35EC">
            <w:pPr>
              <w:rPr>
                <w:rFonts w:ascii="Arial" w:hAnsi="Arial" w:cs="Arial"/>
                <w:sz w:val="20"/>
                <w:szCs w:val="20"/>
              </w:rPr>
            </w:pPr>
            <w:r>
              <w:rPr>
                <w:rFonts w:ascii="Arial" w:hAnsi="Arial" w:cs="Arial"/>
                <w:sz w:val="20"/>
                <w:szCs w:val="20"/>
              </w:rPr>
              <w:t>Voter approved</w:t>
            </w:r>
          </w:p>
        </w:tc>
        <w:tc>
          <w:tcPr>
            <w:tcW w:w="3870" w:type="dxa"/>
          </w:tcPr>
          <w:p w:rsidR="005210D0" w:rsidRPr="002C5933" w:rsidRDefault="00576A1F" w:rsidP="006C35EC">
            <w:pPr>
              <w:rPr>
                <w:rFonts w:ascii="Arial" w:hAnsi="Arial" w:cs="Arial"/>
                <w:sz w:val="20"/>
                <w:szCs w:val="20"/>
              </w:rPr>
            </w:pPr>
            <w:r>
              <w:rPr>
                <w:rFonts w:ascii="Arial" w:hAnsi="Arial" w:cs="Arial"/>
                <w:sz w:val="20"/>
                <w:szCs w:val="20"/>
              </w:rPr>
              <w:t>Voter approved</w:t>
            </w:r>
          </w:p>
        </w:tc>
        <w:tc>
          <w:tcPr>
            <w:tcW w:w="4590" w:type="dxa"/>
            <w:vAlign w:val="center"/>
          </w:tcPr>
          <w:p w:rsidR="005210D0" w:rsidRPr="002C5933" w:rsidRDefault="005210D0" w:rsidP="00012F5A">
            <w:pPr>
              <w:rPr>
                <w:rFonts w:ascii="Arial" w:hAnsi="Arial" w:cs="Arial"/>
                <w:sz w:val="20"/>
                <w:szCs w:val="20"/>
              </w:rPr>
            </w:pPr>
            <w:proofErr w:type="spellStart"/>
            <w:r w:rsidRPr="002C5933">
              <w:rPr>
                <w:rFonts w:ascii="Arial" w:hAnsi="Arial" w:cs="Arial"/>
                <w:sz w:val="20"/>
                <w:szCs w:val="20"/>
              </w:rPr>
              <w:t>Councilmanic</w:t>
            </w:r>
            <w:proofErr w:type="spellEnd"/>
            <w:r w:rsidR="00012F5A">
              <w:rPr>
                <w:rFonts w:ascii="Arial" w:hAnsi="Arial" w:cs="Arial"/>
                <w:sz w:val="20"/>
                <w:szCs w:val="20"/>
              </w:rPr>
              <w:t xml:space="preserve"> approval</w:t>
            </w:r>
          </w:p>
        </w:tc>
        <w:tc>
          <w:tcPr>
            <w:tcW w:w="3600" w:type="dxa"/>
            <w:vAlign w:val="center"/>
          </w:tcPr>
          <w:p w:rsidR="005210D0" w:rsidRPr="002C5933" w:rsidRDefault="005210D0" w:rsidP="006C35EC">
            <w:pPr>
              <w:rPr>
                <w:rFonts w:ascii="Arial" w:hAnsi="Arial" w:cs="Arial"/>
                <w:sz w:val="20"/>
                <w:szCs w:val="20"/>
              </w:rPr>
            </w:pPr>
            <w:r w:rsidRPr="002C5933">
              <w:rPr>
                <w:rFonts w:ascii="Arial" w:hAnsi="Arial" w:cs="Arial"/>
                <w:sz w:val="20"/>
                <w:szCs w:val="20"/>
              </w:rPr>
              <w:t>Voter approval</w:t>
            </w:r>
            <w:r>
              <w:rPr>
                <w:rFonts w:ascii="Arial" w:hAnsi="Arial" w:cs="Arial"/>
                <w:sz w:val="20"/>
                <w:szCs w:val="20"/>
              </w:rPr>
              <w:t xml:space="preserve"> required</w:t>
            </w:r>
          </w:p>
        </w:tc>
      </w:tr>
      <w:tr w:rsidR="005210D0" w:rsidTr="00F86FBC">
        <w:tc>
          <w:tcPr>
            <w:tcW w:w="1462" w:type="dxa"/>
            <w:vAlign w:val="center"/>
          </w:tcPr>
          <w:p w:rsidR="005210D0" w:rsidRPr="002C5933" w:rsidRDefault="005210D0" w:rsidP="002C5933">
            <w:pPr>
              <w:rPr>
                <w:rFonts w:ascii="Arial" w:hAnsi="Arial" w:cs="Arial"/>
                <w:sz w:val="20"/>
                <w:szCs w:val="20"/>
              </w:rPr>
            </w:pPr>
            <w:r>
              <w:rPr>
                <w:rFonts w:ascii="Arial" w:hAnsi="Arial" w:cs="Arial"/>
                <w:sz w:val="20"/>
                <w:szCs w:val="20"/>
              </w:rPr>
              <w:t>Governance Requirements</w:t>
            </w:r>
          </w:p>
        </w:tc>
        <w:tc>
          <w:tcPr>
            <w:tcW w:w="3933" w:type="dxa"/>
            <w:vAlign w:val="center"/>
          </w:tcPr>
          <w:p w:rsidR="005210D0" w:rsidRPr="005210D0" w:rsidRDefault="005210D0" w:rsidP="00310CFD">
            <w:pPr>
              <w:rPr>
                <w:rFonts w:ascii="Arial" w:hAnsi="Arial" w:cs="Arial"/>
                <w:sz w:val="20"/>
                <w:szCs w:val="20"/>
              </w:rPr>
            </w:pPr>
            <w:r>
              <w:rPr>
                <w:rFonts w:ascii="Arial" w:hAnsi="Arial" w:cs="Arial"/>
                <w:sz w:val="20"/>
                <w:szCs w:val="20"/>
              </w:rPr>
              <w:t>Ordinance 15279</w:t>
            </w:r>
            <w:r w:rsidR="00244DF3">
              <w:rPr>
                <w:rFonts w:ascii="Arial" w:hAnsi="Arial" w:cs="Arial"/>
                <w:sz w:val="20"/>
                <w:szCs w:val="20"/>
              </w:rPr>
              <w:t xml:space="preserve"> specified a fifty percent allocation to services for veterans, military personnel and their families and fifty percent </w:t>
            </w:r>
            <w:r w:rsidR="00310CFD">
              <w:rPr>
                <w:rFonts w:ascii="Arial" w:hAnsi="Arial" w:cs="Arial"/>
                <w:sz w:val="20"/>
                <w:szCs w:val="20"/>
              </w:rPr>
              <w:t>to</w:t>
            </w:r>
            <w:r w:rsidR="00244DF3">
              <w:rPr>
                <w:rFonts w:ascii="Arial" w:hAnsi="Arial" w:cs="Arial"/>
                <w:sz w:val="20"/>
                <w:szCs w:val="20"/>
              </w:rPr>
              <w:t xml:space="preserve"> other regional human services. The ordinance also </w:t>
            </w:r>
            <w:r w:rsidR="00576A1F">
              <w:rPr>
                <w:rFonts w:ascii="Arial" w:hAnsi="Arial" w:cs="Arial"/>
                <w:sz w:val="20"/>
                <w:szCs w:val="20"/>
              </w:rPr>
              <w:t xml:space="preserve">established two </w:t>
            </w:r>
            <w:r>
              <w:rPr>
                <w:rFonts w:ascii="Arial" w:hAnsi="Arial" w:cs="Arial"/>
                <w:sz w:val="20"/>
                <w:szCs w:val="20"/>
              </w:rPr>
              <w:t>county citizen oversight boards</w:t>
            </w:r>
            <w:r w:rsidR="00533D71">
              <w:rPr>
                <w:rFonts w:ascii="Arial" w:hAnsi="Arial" w:cs="Arial"/>
                <w:sz w:val="20"/>
                <w:szCs w:val="20"/>
              </w:rPr>
              <w:t xml:space="preserve"> and specified the composition of the boards</w:t>
            </w:r>
            <w:r w:rsidR="00576A1F">
              <w:rPr>
                <w:rFonts w:ascii="Arial" w:hAnsi="Arial" w:cs="Arial"/>
                <w:sz w:val="20"/>
                <w:szCs w:val="20"/>
              </w:rPr>
              <w:t>.</w:t>
            </w:r>
          </w:p>
        </w:tc>
        <w:tc>
          <w:tcPr>
            <w:tcW w:w="3870" w:type="dxa"/>
            <w:vAlign w:val="center"/>
          </w:tcPr>
          <w:p w:rsidR="005210D0" w:rsidRPr="002C5933" w:rsidRDefault="00576A1F" w:rsidP="00576A1F">
            <w:pPr>
              <w:rPr>
                <w:rFonts w:ascii="Arial" w:hAnsi="Arial" w:cs="Arial"/>
                <w:sz w:val="20"/>
                <w:szCs w:val="20"/>
              </w:rPr>
            </w:pPr>
            <w:r>
              <w:rPr>
                <w:rFonts w:ascii="Arial" w:hAnsi="Arial" w:cs="Arial"/>
                <w:sz w:val="20"/>
                <w:szCs w:val="20"/>
              </w:rPr>
              <w:t xml:space="preserve">Ordinance 17072 continued the </w:t>
            </w:r>
            <w:r w:rsidR="00310CFD">
              <w:rPr>
                <w:rFonts w:ascii="Arial" w:hAnsi="Arial" w:cs="Arial"/>
                <w:sz w:val="20"/>
                <w:szCs w:val="20"/>
              </w:rPr>
              <w:t xml:space="preserve">fifty percent allocation to veterans, military personnel and their families and fifty percent to other regional human services. The ordinance also continued the </w:t>
            </w:r>
            <w:r>
              <w:rPr>
                <w:rFonts w:ascii="Arial" w:hAnsi="Arial" w:cs="Arial"/>
                <w:sz w:val="20"/>
                <w:szCs w:val="20"/>
              </w:rPr>
              <w:t>existing oversight boards.</w:t>
            </w:r>
          </w:p>
        </w:tc>
        <w:tc>
          <w:tcPr>
            <w:tcW w:w="4590" w:type="dxa"/>
            <w:vAlign w:val="center"/>
          </w:tcPr>
          <w:p w:rsidR="005210D0" w:rsidRPr="002C5933" w:rsidRDefault="005210D0" w:rsidP="002C5933">
            <w:pPr>
              <w:rPr>
                <w:rFonts w:ascii="Arial" w:hAnsi="Arial" w:cs="Arial"/>
                <w:sz w:val="20"/>
                <w:szCs w:val="20"/>
              </w:rPr>
            </w:pPr>
            <w:r w:rsidRPr="002C5933">
              <w:rPr>
                <w:rFonts w:ascii="Arial" w:hAnsi="Arial" w:cs="Arial"/>
                <w:sz w:val="20"/>
                <w:szCs w:val="20"/>
              </w:rPr>
              <w:t xml:space="preserve">Ordinance 15969 </w:t>
            </w:r>
            <w:r w:rsidR="00576A1F">
              <w:rPr>
                <w:rFonts w:ascii="Arial" w:hAnsi="Arial" w:cs="Arial"/>
                <w:sz w:val="20"/>
                <w:szCs w:val="20"/>
              </w:rPr>
              <w:t xml:space="preserve">established five policy goals and </w:t>
            </w:r>
            <w:r w:rsidRPr="002C5933">
              <w:rPr>
                <w:rFonts w:ascii="Arial" w:hAnsi="Arial" w:cs="Arial"/>
                <w:sz w:val="20"/>
                <w:szCs w:val="20"/>
              </w:rPr>
              <w:t>required development of implementation</w:t>
            </w:r>
            <w:r>
              <w:rPr>
                <w:rFonts w:ascii="Arial" w:hAnsi="Arial" w:cs="Arial"/>
                <w:sz w:val="20"/>
                <w:szCs w:val="20"/>
              </w:rPr>
              <w:t>, oversight and evaluation plans</w:t>
            </w:r>
            <w:r w:rsidRPr="002C5933">
              <w:rPr>
                <w:rFonts w:ascii="Arial" w:hAnsi="Arial" w:cs="Arial"/>
                <w:sz w:val="20"/>
                <w:szCs w:val="20"/>
              </w:rPr>
              <w:t xml:space="preserve"> for subsequent review and approval by council</w:t>
            </w:r>
            <w:r w:rsidR="00576A1F">
              <w:rPr>
                <w:rFonts w:ascii="Arial" w:hAnsi="Arial" w:cs="Arial"/>
                <w:sz w:val="20"/>
                <w:szCs w:val="20"/>
              </w:rPr>
              <w:t>.</w:t>
            </w:r>
          </w:p>
        </w:tc>
        <w:tc>
          <w:tcPr>
            <w:tcW w:w="3600" w:type="dxa"/>
            <w:vAlign w:val="center"/>
          </w:tcPr>
          <w:p w:rsidR="005210D0" w:rsidRPr="002C5933" w:rsidRDefault="00A31959" w:rsidP="006C35EC">
            <w:pPr>
              <w:rPr>
                <w:rFonts w:ascii="Arial" w:hAnsi="Arial" w:cs="Arial"/>
                <w:sz w:val="20"/>
                <w:szCs w:val="20"/>
              </w:rPr>
            </w:pPr>
            <w:r>
              <w:rPr>
                <w:rFonts w:ascii="Arial" w:hAnsi="Arial" w:cs="Arial"/>
                <w:sz w:val="20"/>
                <w:szCs w:val="20"/>
              </w:rPr>
              <w:t xml:space="preserve">PO 2015-0177 specifies allocations for broad categories of spending and </w:t>
            </w:r>
            <w:r w:rsidR="0036285E">
              <w:rPr>
                <w:rFonts w:ascii="Arial" w:hAnsi="Arial" w:cs="Arial"/>
                <w:sz w:val="20"/>
                <w:szCs w:val="20"/>
              </w:rPr>
              <w:t>establishes two advisory boards.</w:t>
            </w:r>
          </w:p>
        </w:tc>
      </w:tr>
      <w:tr w:rsidR="005210D0" w:rsidTr="00F86FBC">
        <w:tc>
          <w:tcPr>
            <w:tcW w:w="1462" w:type="dxa"/>
            <w:vAlign w:val="center"/>
          </w:tcPr>
          <w:p w:rsidR="005210D0" w:rsidRPr="002C5933" w:rsidRDefault="005210D0" w:rsidP="006C35EC">
            <w:pPr>
              <w:rPr>
                <w:rFonts w:ascii="Arial" w:hAnsi="Arial" w:cs="Arial"/>
                <w:sz w:val="20"/>
                <w:szCs w:val="20"/>
              </w:rPr>
            </w:pPr>
            <w:r w:rsidRPr="002C5933">
              <w:rPr>
                <w:rFonts w:ascii="Arial" w:hAnsi="Arial" w:cs="Arial"/>
                <w:sz w:val="20"/>
                <w:szCs w:val="20"/>
              </w:rPr>
              <w:t>Process for Determining Priorities and Funding of Strategies</w:t>
            </w:r>
          </w:p>
        </w:tc>
        <w:tc>
          <w:tcPr>
            <w:tcW w:w="3933" w:type="dxa"/>
            <w:vAlign w:val="center"/>
          </w:tcPr>
          <w:p w:rsidR="005210D0" w:rsidRDefault="007404BE" w:rsidP="005210D0">
            <w:pPr>
              <w:rPr>
                <w:rFonts w:ascii="Arial" w:hAnsi="Arial" w:cs="Arial"/>
                <w:sz w:val="20"/>
                <w:szCs w:val="20"/>
              </w:rPr>
            </w:pPr>
            <w:r>
              <w:rPr>
                <w:rFonts w:ascii="Arial" w:hAnsi="Arial" w:cs="Arial"/>
                <w:sz w:val="20"/>
                <w:szCs w:val="20"/>
              </w:rPr>
              <w:t>The levy ordinance did not set forth a process for determining priorities or strategies within the two broad allocations. However, s</w:t>
            </w:r>
            <w:r w:rsidR="005210D0">
              <w:rPr>
                <w:rFonts w:ascii="Arial" w:hAnsi="Arial" w:cs="Arial"/>
                <w:sz w:val="20"/>
                <w:szCs w:val="20"/>
              </w:rPr>
              <w:t xml:space="preserve">ubsequent legislation (Ordinance 15406) required development of a service improvement plan </w:t>
            </w:r>
            <w:r w:rsidR="00576A1F">
              <w:rPr>
                <w:rFonts w:ascii="Arial" w:hAnsi="Arial" w:cs="Arial"/>
                <w:sz w:val="20"/>
                <w:szCs w:val="20"/>
              </w:rPr>
              <w:t>for review and approval by the council and regional policy committee. The plan was to include</w:t>
            </w:r>
            <w:r w:rsidR="005210D0">
              <w:rPr>
                <w:rFonts w:ascii="Arial" w:hAnsi="Arial" w:cs="Arial"/>
                <w:sz w:val="20"/>
                <w:szCs w:val="20"/>
              </w:rPr>
              <w:t>:</w:t>
            </w:r>
          </w:p>
          <w:p w:rsidR="005210D0" w:rsidRDefault="005210D0" w:rsidP="005210D0">
            <w:pPr>
              <w:rPr>
                <w:rFonts w:ascii="Arial" w:hAnsi="Arial" w:cs="Arial"/>
                <w:sz w:val="20"/>
                <w:szCs w:val="20"/>
              </w:rPr>
            </w:pPr>
          </w:p>
          <w:p w:rsidR="005210D0" w:rsidRPr="005210D0" w:rsidRDefault="005210D0" w:rsidP="005210D0">
            <w:pPr>
              <w:pStyle w:val="ListParagraph"/>
              <w:numPr>
                <w:ilvl w:val="0"/>
                <w:numId w:val="3"/>
              </w:numPr>
              <w:ind w:left="237" w:hanging="180"/>
              <w:rPr>
                <w:rFonts w:ascii="Arial" w:hAnsi="Arial" w:cs="Arial"/>
                <w:sz w:val="20"/>
                <w:szCs w:val="20"/>
              </w:rPr>
            </w:pPr>
            <w:r>
              <w:rPr>
                <w:rFonts w:ascii="Arial" w:hAnsi="Arial" w:cs="Arial"/>
                <w:sz w:val="20"/>
                <w:szCs w:val="20"/>
              </w:rPr>
              <w:t>R</w:t>
            </w:r>
            <w:r w:rsidRPr="005210D0">
              <w:rPr>
                <w:rFonts w:ascii="Arial" w:hAnsi="Arial" w:cs="Arial"/>
                <w:sz w:val="20"/>
                <w:szCs w:val="20"/>
              </w:rPr>
              <w:t xml:space="preserve">eview of current services and resources </w:t>
            </w:r>
          </w:p>
          <w:p w:rsidR="005210D0" w:rsidRPr="005210D0" w:rsidRDefault="005210D0" w:rsidP="005210D0">
            <w:pPr>
              <w:pStyle w:val="ListParagraph"/>
              <w:numPr>
                <w:ilvl w:val="0"/>
                <w:numId w:val="3"/>
              </w:numPr>
              <w:ind w:left="237" w:hanging="180"/>
              <w:rPr>
                <w:rFonts w:ascii="Arial" w:hAnsi="Arial" w:cs="Arial"/>
                <w:sz w:val="20"/>
                <w:szCs w:val="20"/>
              </w:rPr>
            </w:pPr>
            <w:r>
              <w:rPr>
                <w:rFonts w:ascii="Arial" w:hAnsi="Arial" w:cs="Arial"/>
                <w:sz w:val="20"/>
                <w:szCs w:val="20"/>
              </w:rPr>
              <w:t>D</w:t>
            </w:r>
            <w:r w:rsidRPr="005210D0">
              <w:rPr>
                <w:rFonts w:ascii="Arial" w:hAnsi="Arial" w:cs="Arial"/>
                <w:sz w:val="20"/>
                <w:szCs w:val="20"/>
              </w:rPr>
              <w:t>escription of proposed priority investment area</w:t>
            </w:r>
            <w:r>
              <w:rPr>
                <w:rFonts w:ascii="Arial" w:hAnsi="Arial" w:cs="Arial"/>
                <w:sz w:val="20"/>
                <w:szCs w:val="20"/>
              </w:rPr>
              <w:t>s</w:t>
            </w:r>
          </w:p>
          <w:p w:rsidR="005210D0" w:rsidRPr="005210D0" w:rsidRDefault="005210D0" w:rsidP="005210D0">
            <w:pPr>
              <w:pStyle w:val="ListParagraph"/>
              <w:numPr>
                <w:ilvl w:val="0"/>
                <w:numId w:val="3"/>
              </w:numPr>
              <w:ind w:left="237" w:hanging="180"/>
              <w:rPr>
                <w:rFonts w:ascii="Arial" w:hAnsi="Arial" w:cs="Arial"/>
                <w:sz w:val="20"/>
                <w:szCs w:val="20"/>
              </w:rPr>
            </w:pPr>
            <w:r>
              <w:rPr>
                <w:rFonts w:ascii="Arial" w:hAnsi="Arial" w:cs="Arial"/>
                <w:sz w:val="20"/>
                <w:szCs w:val="20"/>
              </w:rPr>
              <w:t>A</w:t>
            </w:r>
            <w:r w:rsidRPr="005210D0">
              <w:rPr>
                <w:rFonts w:ascii="Arial" w:hAnsi="Arial" w:cs="Arial"/>
                <w:sz w:val="20"/>
                <w:szCs w:val="20"/>
              </w:rPr>
              <w:t>nnual al</w:t>
            </w:r>
            <w:r>
              <w:rPr>
                <w:rFonts w:ascii="Arial" w:hAnsi="Arial" w:cs="Arial"/>
                <w:sz w:val="20"/>
                <w:szCs w:val="20"/>
              </w:rPr>
              <w:t>location plan</w:t>
            </w:r>
          </w:p>
          <w:p w:rsidR="005210D0" w:rsidRDefault="005210D0" w:rsidP="005210D0">
            <w:pPr>
              <w:pStyle w:val="ListParagraph"/>
              <w:numPr>
                <w:ilvl w:val="0"/>
                <w:numId w:val="3"/>
              </w:numPr>
              <w:ind w:left="237" w:hanging="180"/>
              <w:rPr>
                <w:rFonts w:ascii="Arial" w:hAnsi="Arial" w:cs="Arial"/>
                <w:sz w:val="20"/>
                <w:szCs w:val="20"/>
              </w:rPr>
            </w:pPr>
            <w:r>
              <w:rPr>
                <w:rFonts w:ascii="Arial" w:hAnsi="Arial" w:cs="Arial"/>
                <w:sz w:val="20"/>
                <w:szCs w:val="20"/>
              </w:rPr>
              <w:t>I</w:t>
            </w:r>
            <w:r w:rsidRPr="005210D0">
              <w:rPr>
                <w:rFonts w:ascii="Arial" w:hAnsi="Arial" w:cs="Arial"/>
                <w:sz w:val="20"/>
                <w:szCs w:val="20"/>
              </w:rPr>
              <w:t>mplementation plan for each investment ar</w:t>
            </w:r>
            <w:r>
              <w:rPr>
                <w:rFonts w:ascii="Arial" w:hAnsi="Arial" w:cs="Arial"/>
                <w:sz w:val="20"/>
                <w:szCs w:val="20"/>
              </w:rPr>
              <w:t>ea</w:t>
            </w:r>
          </w:p>
          <w:p w:rsidR="005210D0" w:rsidRDefault="005210D0" w:rsidP="005210D0">
            <w:pPr>
              <w:ind w:left="57"/>
              <w:rPr>
                <w:rFonts w:ascii="Arial" w:hAnsi="Arial" w:cs="Arial"/>
                <w:sz w:val="20"/>
                <w:szCs w:val="20"/>
              </w:rPr>
            </w:pPr>
          </w:p>
          <w:p w:rsidR="005210D0" w:rsidRPr="005210D0" w:rsidRDefault="005210D0" w:rsidP="005210D0">
            <w:pPr>
              <w:rPr>
                <w:rFonts w:ascii="Arial" w:hAnsi="Arial" w:cs="Arial"/>
                <w:sz w:val="20"/>
                <w:szCs w:val="20"/>
              </w:rPr>
            </w:pPr>
            <w:r>
              <w:rPr>
                <w:rFonts w:ascii="Arial" w:hAnsi="Arial" w:cs="Arial"/>
                <w:sz w:val="20"/>
                <w:szCs w:val="20"/>
              </w:rPr>
              <w:t>Council adopted the service improvement plan in August 2006 (Ordinance 15632)</w:t>
            </w:r>
            <w:r w:rsidR="00FC0DC0">
              <w:rPr>
                <w:rFonts w:ascii="Arial" w:hAnsi="Arial" w:cs="Arial"/>
                <w:sz w:val="20"/>
                <w:szCs w:val="20"/>
              </w:rPr>
              <w:t>.</w:t>
            </w:r>
          </w:p>
        </w:tc>
        <w:tc>
          <w:tcPr>
            <w:tcW w:w="3870" w:type="dxa"/>
            <w:vAlign w:val="center"/>
          </w:tcPr>
          <w:p w:rsidR="005210D0" w:rsidRDefault="00576A1F" w:rsidP="00576A1F">
            <w:pPr>
              <w:rPr>
                <w:rFonts w:ascii="Arial" w:hAnsi="Arial" w:cs="Arial"/>
                <w:sz w:val="20"/>
                <w:szCs w:val="20"/>
              </w:rPr>
            </w:pPr>
            <w:r>
              <w:rPr>
                <w:rFonts w:ascii="Arial" w:hAnsi="Arial" w:cs="Arial"/>
                <w:sz w:val="20"/>
                <w:szCs w:val="20"/>
              </w:rPr>
              <w:t>Council adopted an updated service improvement plan</w:t>
            </w:r>
            <w:r w:rsidR="00FC0DC0">
              <w:rPr>
                <w:rFonts w:ascii="Arial" w:hAnsi="Arial" w:cs="Arial"/>
                <w:sz w:val="20"/>
                <w:szCs w:val="20"/>
              </w:rPr>
              <w:t xml:space="preserve"> to guide the goals, investments and implementation of the levy proceeds</w:t>
            </w:r>
            <w:r>
              <w:rPr>
                <w:rFonts w:ascii="Arial" w:hAnsi="Arial" w:cs="Arial"/>
                <w:sz w:val="20"/>
                <w:szCs w:val="20"/>
              </w:rPr>
              <w:t xml:space="preserve"> </w:t>
            </w:r>
            <w:r w:rsidR="00FC0DC0">
              <w:rPr>
                <w:rFonts w:ascii="Arial" w:hAnsi="Arial" w:cs="Arial"/>
                <w:sz w:val="20"/>
                <w:szCs w:val="20"/>
              </w:rPr>
              <w:t>(Ordinance 17236).</w:t>
            </w:r>
          </w:p>
        </w:tc>
        <w:tc>
          <w:tcPr>
            <w:tcW w:w="4590" w:type="dxa"/>
            <w:vAlign w:val="center"/>
          </w:tcPr>
          <w:p w:rsidR="005210D0" w:rsidRPr="002C5933" w:rsidRDefault="005210D0" w:rsidP="008A2C5B">
            <w:pPr>
              <w:rPr>
                <w:rFonts w:ascii="Arial" w:hAnsi="Arial" w:cs="Arial"/>
                <w:sz w:val="20"/>
                <w:szCs w:val="20"/>
              </w:rPr>
            </w:pPr>
            <w:r>
              <w:rPr>
                <w:rFonts w:ascii="Arial" w:hAnsi="Arial" w:cs="Arial"/>
                <w:sz w:val="20"/>
                <w:szCs w:val="20"/>
              </w:rPr>
              <w:t>Ordinance 15969 required the implementation plan to include</w:t>
            </w:r>
            <w:r w:rsidRPr="002C5933">
              <w:rPr>
                <w:rFonts w:ascii="Arial" w:hAnsi="Arial" w:cs="Arial"/>
                <w:sz w:val="20"/>
                <w:szCs w:val="20"/>
              </w:rPr>
              <w:t xml:space="preserve">: </w:t>
            </w:r>
          </w:p>
          <w:p w:rsidR="005210D0" w:rsidRPr="002C5933" w:rsidRDefault="005210D0" w:rsidP="008A2C5B">
            <w:pPr>
              <w:rPr>
                <w:rFonts w:ascii="Arial" w:hAnsi="Arial" w:cs="Arial"/>
                <w:sz w:val="20"/>
                <w:szCs w:val="20"/>
              </w:rPr>
            </w:pPr>
          </w:p>
          <w:p w:rsidR="005210D0" w:rsidRPr="002C5933" w:rsidRDefault="005210D0" w:rsidP="008A2C5B">
            <w:pPr>
              <w:pStyle w:val="ListParagraph"/>
              <w:numPr>
                <w:ilvl w:val="0"/>
                <w:numId w:val="1"/>
              </w:numPr>
              <w:ind w:left="261" w:hanging="278"/>
              <w:rPr>
                <w:rFonts w:ascii="Arial" w:hAnsi="Arial" w:cs="Arial"/>
                <w:sz w:val="20"/>
                <w:szCs w:val="20"/>
              </w:rPr>
            </w:pPr>
            <w:r w:rsidRPr="002C5933">
              <w:rPr>
                <w:rFonts w:ascii="Arial" w:hAnsi="Arial" w:cs="Arial"/>
                <w:sz w:val="20"/>
                <w:szCs w:val="20"/>
              </w:rPr>
              <w:t>Spending plan</w:t>
            </w:r>
          </w:p>
          <w:p w:rsidR="005210D0" w:rsidRPr="002C5933" w:rsidRDefault="005210D0" w:rsidP="008A2C5B">
            <w:pPr>
              <w:pStyle w:val="ListParagraph"/>
              <w:numPr>
                <w:ilvl w:val="0"/>
                <w:numId w:val="1"/>
              </w:numPr>
              <w:ind w:left="261" w:hanging="278"/>
              <w:rPr>
                <w:rFonts w:ascii="Arial" w:hAnsi="Arial" w:cs="Arial"/>
                <w:sz w:val="20"/>
                <w:szCs w:val="20"/>
              </w:rPr>
            </w:pPr>
            <w:r w:rsidRPr="002C5933">
              <w:rPr>
                <w:rFonts w:ascii="Arial" w:hAnsi="Arial" w:cs="Arial"/>
                <w:sz w:val="20"/>
                <w:szCs w:val="20"/>
              </w:rPr>
              <w:t>Implementation schedule</w:t>
            </w:r>
          </w:p>
          <w:p w:rsidR="005210D0" w:rsidRPr="002C5933" w:rsidRDefault="005210D0" w:rsidP="008A2C5B">
            <w:pPr>
              <w:pStyle w:val="ListParagraph"/>
              <w:numPr>
                <w:ilvl w:val="0"/>
                <w:numId w:val="1"/>
              </w:numPr>
              <w:ind w:left="261" w:hanging="278"/>
              <w:rPr>
                <w:rFonts w:ascii="Arial" w:hAnsi="Arial" w:cs="Arial"/>
                <w:sz w:val="20"/>
                <w:szCs w:val="20"/>
              </w:rPr>
            </w:pPr>
            <w:r w:rsidRPr="002C5933">
              <w:rPr>
                <w:rFonts w:ascii="Arial" w:hAnsi="Arial" w:cs="Arial"/>
                <w:sz w:val="20"/>
                <w:szCs w:val="20"/>
              </w:rPr>
              <w:t>Discussion of needed resources</w:t>
            </w:r>
          </w:p>
          <w:p w:rsidR="005210D0" w:rsidRPr="002C5933" w:rsidRDefault="005210D0" w:rsidP="008A2C5B">
            <w:pPr>
              <w:pStyle w:val="ListParagraph"/>
              <w:numPr>
                <w:ilvl w:val="0"/>
                <w:numId w:val="1"/>
              </w:numPr>
              <w:ind w:left="261" w:hanging="278"/>
              <w:rPr>
                <w:rFonts w:ascii="Arial" w:hAnsi="Arial" w:cs="Arial"/>
                <w:sz w:val="20"/>
                <w:szCs w:val="20"/>
              </w:rPr>
            </w:pPr>
            <w:r w:rsidRPr="002C5933">
              <w:rPr>
                <w:rFonts w:ascii="Arial" w:hAnsi="Arial" w:cs="Arial"/>
                <w:sz w:val="20"/>
                <w:szCs w:val="20"/>
              </w:rPr>
              <w:t>Implementation milestones</w:t>
            </w:r>
          </w:p>
          <w:p w:rsidR="005210D0" w:rsidRPr="002C5933" w:rsidRDefault="005210D0" w:rsidP="008A2C5B">
            <w:pPr>
              <w:pStyle w:val="ListParagraph"/>
              <w:ind w:left="261"/>
              <w:rPr>
                <w:rFonts w:ascii="Arial" w:hAnsi="Arial" w:cs="Arial"/>
                <w:sz w:val="20"/>
                <w:szCs w:val="20"/>
              </w:rPr>
            </w:pPr>
          </w:p>
          <w:p w:rsidR="005210D0" w:rsidRPr="002C5933" w:rsidRDefault="005210D0" w:rsidP="002C5933">
            <w:pPr>
              <w:rPr>
                <w:rFonts w:ascii="Arial" w:hAnsi="Arial" w:cs="Arial"/>
                <w:sz w:val="20"/>
                <w:szCs w:val="20"/>
              </w:rPr>
            </w:pPr>
            <w:r>
              <w:rPr>
                <w:rFonts w:ascii="Arial" w:hAnsi="Arial" w:cs="Arial"/>
                <w:sz w:val="20"/>
                <w:szCs w:val="20"/>
              </w:rPr>
              <w:t>Council adopted the i</w:t>
            </w:r>
            <w:r w:rsidRPr="002C5933">
              <w:rPr>
                <w:rFonts w:ascii="Arial" w:hAnsi="Arial" w:cs="Arial"/>
                <w:sz w:val="20"/>
                <w:szCs w:val="20"/>
              </w:rPr>
              <w:t>mplementation plan in October 2008 (Ordinance 16261)</w:t>
            </w:r>
            <w:r>
              <w:rPr>
                <w:rFonts w:ascii="Arial" w:hAnsi="Arial" w:cs="Arial"/>
                <w:sz w:val="20"/>
                <w:szCs w:val="20"/>
              </w:rPr>
              <w:t>.</w:t>
            </w:r>
          </w:p>
        </w:tc>
        <w:tc>
          <w:tcPr>
            <w:tcW w:w="3600" w:type="dxa"/>
            <w:vAlign w:val="center"/>
          </w:tcPr>
          <w:p w:rsidR="005210D0" w:rsidRPr="002C5933" w:rsidRDefault="00840D97" w:rsidP="00840D97">
            <w:pPr>
              <w:rPr>
                <w:rFonts w:ascii="Arial" w:hAnsi="Arial" w:cs="Arial"/>
                <w:sz w:val="20"/>
                <w:szCs w:val="20"/>
              </w:rPr>
            </w:pPr>
            <w:r>
              <w:rPr>
                <w:rFonts w:ascii="Arial" w:hAnsi="Arial" w:cs="Arial"/>
                <w:sz w:val="20"/>
                <w:szCs w:val="20"/>
              </w:rPr>
              <w:t xml:space="preserve">PO 2015-0177 specifies portions of the levy proceeds to be allocated to broad categories of spending. The legislation does not set forth a process for determining priorities or strategies within the broad categories. </w:t>
            </w:r>
          </w:p>
        </w:tc>
      </w:tr>
      <w:tr w:rsidR="005210D0" w:rsidTr="00F86FBC">
        <w:tc>
          <w:tcPr>
            <w:tcW w:w="1462" w:type="dxa"/>
            <w:vAlign w:val="center"/>
          </w:tcPr>
          <w:p w:rsidR="005210D0" w:rsidRPr="002C5933" w:rsidRDefault="005210D0" w:rsidP="006C35EC">
            <w:pPr>
              <w:rPr>
                <w:rFonts w:ascii="Arial" w:hAnsi="Arial" w:cs="Arial"/>
                <w:sz w:val="20"/>
                <w:szCs w:val="20"/>
              </w:rPr>
            </w:pPr>
            <w:r w:rsidRPr="002C5933">
              <w:rPr>
                <w:rFonts w:ascii="Arial" w:hAnsi="Arial" w:cs="Arial"/>
                <w:sz w:val="20"/>
                <w:szCs w:val="20"/>
              </w:rPr>
              <w:t>Oversight</w:t>
            </w:r>
          </w:p>
        </w:tc>
        <w:tc>
          <w:tcPr>
            <w:tcW w:w="3933" w:type="dxa"/>
            <w:vAlign w:val="center"/>
          </w:tcPr>
          <w:p w:rsidR="005210D0" w:rsidRPr="002C5933" w:rsidRDefault="00576A1F" w:rsidP="00576A1F">
            <w:pPr>
              <w:rPr>
                <w:rFonts w:ascii="Arial" w:hAnsi="Arial" w:cs="Arial"/>
                <w:sz w:val="20"/>
                <w:szCs w:val="20"/>
              </w:rPr>
            </w:pPr>
            <w:r>
              <w:rPr>
                <w:rFonts w:ascii="Arial" w:hAnsi="Arial" w:cs="Arial"/>
                <w:sz w:val="20"/>
                <w:szCs w:val="20"/>
              </w:rPr>
              <w:t xml:space="preserve">Ordinance 15279 established two 12-member county citizen oversight boards to review and report annually to the executive and council on expenditure of proceeds. </w:t>
            </w:r>
          </w:p>
        </w:tc>
        <w:tc>
          <w:tcPr>
            <w:tcW w:w="3870" w:type="dxa"/>
            <w:vAlign w:val="center"/>
          </w:tcPr>
          <w:p w:rsidR="005210D0" w:rsidRDefault="00B51A99" w:rsidP="00B51A99">
            <w:pPr>
              <w:rPr>
                <w:rFonts w:ascii="Arial" w:hAnsi="Arial" w:cs="Arial"/>
                <w:sz w:val="20"/>
                <w:szCs w:val="20"/>
              </w:rPr>
            </w:pPr>
            <w:r>
              <w:rPr>
                <w:rFonts w:ascii="Arial" w:hAnsi="Arial" w:cs="Arial"/>
                <w:sz w:val="20"/>
                <w:szCs w:val="20"/>
              </w:rPr>
              <w:t>Ordinance 17072 continued the existing oversight boards.</w:t>
            </w:r>
          </w:p>
        </w:tc>
        <w:tc>
          <w:tcPr>
            <w:tcW w:w="4590" w:type="dxa"/>
            <w:vAlign w:val="center"/>
          </w:tcPr>
          <w:p w:rsidR="005210D0" w:rsidRPr="002C5933" w:rsidRDefault="005210D0" w:rsidP="00533D71">
            <w:pPr>
              <w:rPr>
                <w:rFonts w:ascii="Arial" w:hAnsi="Arial" w:cs="Arial"/>
                <w:sz w:val="20"/>
                <w:szCs w:val="20"/>
              </w:rPr>
            </w:pPr>
            <w:r>
              <w:rPr>
                <w:rFonts w:ascii="Arial" w:hAnsi="Arial" w:cs="Arial"/>
                <w:sz w:val="20"/>
                <w:szCs w:val="20"/>
              </w:rPr>
              <w:t xml:space="preserve">Council adopted the </w:t>
            </w:r>
            <w:r w:rsidRPr="002C5933">
              <w:rPr>
                <w:rFonts w:ascii="Arial" w:hAnsi="Arial" w:cs="Arial"/>
                <w:sz w:val="20"/>
                <w:szCs w:val="20"/>
              </w:rPr>
              <w:t>MIDD Oversight Plan in October 2008, establishing the MIDD Oversight Committee (Ordinance 16077) as an advisory body consisting of county officials, providers and other stakeholders, and representatives from Seattle and the suburban cities.</w:t>
            </w:r>
            <w:r w:rsidR="00533D71">
              <w:rPr>
                <w:rFonts w:ascii="Arial" w:hAnsi="Arial" w:cs="Arial"/>
                <w:sz w:val="20"/>
                <w:szCs w:val="20"/>
              </w:rPr>
              <w:t xml:space="preserve"> Ordinance 16077 specified the duties and responsibilities of the oversight committee.</w:t>
            </w:r>
          </w:p>
        </w:tc>
        <w:tc>
          <w:tcPr>
            <w:tcW w:w="3600" w:type="dxa"/>
            <w:vAlign w:val="center"/>
          </w:tcPr>
          <w:p w:rsidR="00161023" w:rsidRDefault="00161023" w:rsidP="00161023">
            <w:pPr>
              <w:rPr>
                <w:rFonts w:ascii="Arial" w:hAnsi="Arial" w:cs="Arial"/>
                <w:sz w:val="20"/>
                <w:szCs w:val="20"/>
              </w:rPr>
            </w:pPr>
            <w:r>
              <w:rPr>
                <w:rFonts w:ascii="Arial" w:hAnsi="Arial" w:cs="Arial"/>
                <w:sz w:val="20"/>
                <w:szCs w:val="20"/>
              </w:rPr>
              <w:t xml:space="preserve">PO 2015-0177 establishes two advisory boards: </w:t>
            </w:r>
          </w:p>
          <w:p w:rsidR="00161023" w:rsidRDefault="00161023" w:rsidP="00161023">
            <w:pPr>
              <w:rPr>
                <w:rFonts w:ascii="Arial" w:hAnsi="Arial" w:cs="Arial"/>
                <w:sz w:val="20"/>
                <w:szCs w:val="20"/>
              </w:rPr>
            </w:pPr>
          </w:p>
          <w:p w:rsidR="00161023" w:rsidRDefault="00161023" w:rsidP="00161023">
            <w:pPr>
              <w:pStyle w:val="ListParagraph"/>
              <w:numPr>
                <w:ilvl w:val="0"/>
                <w:numId w:val="5"/>
              </w:numPr>
              <w:ind w:left="162" w:hanging="180"/>
              <w:rPr>
                <w:rFonts w:ascii="Arial" w:hAnsi="Arial" w:cs="Arial"/>
                <w:sz w:val="20"/>
                <w:szCs w:val="20"/>
              </w:rPr>
            </w:pPr>
            <w:r w:rsidRPr="00161023">
              <w:rPr>
                <w:rFonts w:ascii="Arial" w:hAnsi="Arial" w:cs="Arial"/>
                <w:sz w:val="20"/>
                <w:szCs w:val="20"/>
              </w:rPr>
              <w:t xml:space="preserve">If a children and youth advisory board is established in accordance with the recommendation of the </w:t>
            </w:r>
            <w:r w:rsidR="00F86FBC">
              <w:rPr>
                <w:rFonts w:ascii="Arial" w:hAnsi="Arial" w:cs="Arial"/>
                <w:sz w:val="20"/>
                <w:szCs w:val="20"/>
              </w:rPr>
              <w:t>youth action plan task force (PM</w:t>
            </w:r>
            <w:r w:rsidRPr="00161023">
              <w:rPr>
                <w:rFonts w:ascii="Arial" w:hAnsi="Arial" w:cs="Arial"/>
                <w:sz w:val="20"/>
                <w:szCs w:val="20"/>
              </w:rPr>
              <w:t xml:space="preserve"> 2015-</w:t>
            </w:r>
            <w:r w:rsidR="00F86FBC" w:rsidRPr="00F86FBC">
              <w:rPr>
                <w:rFonts w:ascii="Arial" w:hAnsi="Arial" w:cs="Arial"/>
                <w:sz w:val="20"/>
                <w:szCs w:val="20"/>
              </w:rPr>
              <w:t>0162</w:t>
            </w:r>
            <w:r w:rsidRPr="00161023">
              <w:rPr>
                <w:rFonts w:ascii="Arial" w:hAnsi="Arial" w:cs="Arial"/>
                <w:sz w:val="20"/>
                <w:szCs w:val="20"/>
              </w:rPr>
              <w:t xml:space="preserve">), the board would serve </w:t>
            </w:r>
            <w:r>
              <w:rPr>
                <w:rFonts w:ascii="Arial" w:hAnsi="Arial" w:cs="Arial"/>
                <w:sz w:val="20"/>
                <w:szCs w:val="20"/>
              </w:rPr>
              <w:t xml:space="preserve">as the advisory board for the levy </w:t>
            </w:r>
            <w:r>
              <w:rPr>
                <w:rFonts w:ascii="Arial" w:hAnsi="Arial" w:cs="Arial"/>
                <w:sz w:val="20"/>
                <w:szCs w:val="20"/>
              </w:rPr>
              <w:lastRenderedPageBreak/>
              <w:t>proceeds not allocated to Communities of Opportunity. If the council does not establish a children and youth advisory board, the executive would appoint and the council would confirm an advisory board.</w:t>
            </w:r>
          </w:p>
          <w:p w:rsidR="00161023" w:rsidRPr="00161023" w:rsidRDefault="00161023" w:rsidP="00161023">
            <w:pPr>
              <w:pStyle w:val="ListParagraph"/>
              <w:numPr>
                <w:ilvl w:val="0"/>
                <w:numId w:val="5"/>
              </w:numPr>
              <w:ind w:left="162" w:hanging="180"/>
              <w:rPr>
                <w:rFonts w:ascii="Arial" w:hAnsi="Arial" w:cs="Arial"/>
                <w:sz w:val="20"/>
                <w:szCs w:val="20"/>
              </w:rPr>
            </w:pPr>
            <w:r>
              <w:rPr>
                <w:rFonts w:ascii="Arial" w:hAnsi="Arial" w:cs="Arial"/>
                <w:sz w:val="20"/>
                <w:szCs w:val="20"/>
              </w:rPr>
              <w:t>The existing Communities of Opportunity interim governance group would serve as the advisory board for the levy proceeds allocated to Communities of Opportunity.</w:t>
            </w:r>
          </w:p>
          <w:p w:rsidR="00161023" w:rsidRDefault="00161023" w:rsidP="00161023">
            <w:pPr>
              <w:rPr>
                <w:rFonts w:ascii="Arial" w:hAnsi="Arial" w:cs="Arial"/>
                <w:sz w:val="20"/>
                <w:szCs w:val="20"/>
              </w:rPr>
            </w:pPr>
          </w:p>
          <w:p w:rsidR="005210D0" w:rsidRDefault="00161023" w:rsidP="00161023">
            <w:pPr>
              <w:rPr>
                <w:rFonts w:ascii="Arial" w:hAnsi="Arial" w:cs="Arial"/>
                <w:sz w:val="20"/>
                <w:szCs w:val="20"/>
              </w:rPr>
            </w:pPr>
            <w:r>
              <w:rPr>
                <w:rFonts w:ascii="Arial" w:hAnsi="Arial" w:cs="Arial"/>
                <w:sz w:val="20"/>
                <w:szCs w:val="20"/>
              </w:rPr>
              <w:t xml:space="preserve">The </w:t>
            </w:r>
            <w:r w:rsidR="00711A92">
              <w:rPr>
                <w:rFonts w:ascii="Arial" w:hAnsi="Arial" w:cs="Arial"/>
                <w:sz w:val="20"/>
                <w:szCs w:val="20"/>
              </w:rPr>
              <w:t xml:space="preserve">legislation does not specify the </w:t>
            </w:r>
            <w:r>
              <w:rPr>
                <w:rFonts w:ascii="Arial" w:hAnsi="Arial" w:cs="Arial"/>
                <w:sz w:val="20"/>
                <w:szCs w:val="20"/>
              </w:rPr>
              <w:t>duties of the boards</w:t>
            </w:r>
            <w:r w:rsidR="00711A92">
              <w:rPr>
                <w:rFonts w:ascii="Arial" w:hAnsi="Arial" w:cs="Arial"/>
                <w:sz w:val="20"/>
                <w:szCs w:val="20"/>
              </w:rPr>
              <w:t>, nor does it set forth a process for specifying the duties of the boards.</w:t>
            </w:r>
          </w:p>
          <w:p w:rsidR="00161023" w:rsidRDefault="00161023" w:rsidP="00161023">
            <w:pPr>
              <w:rPr>
                <w:rFonts w:ascii="Arial" w:hAnsi="Arial" w:cs="Arial"/>
                <w:sz w:val="20"/>
                <w:szCs w:val="20"/>
              </w:rPr>
            </w:pPr>
          </w:p>
          <w:p w:rsidR="00161023" w:rsidRPr="002C5933" w:rsidRDefault="00161023" w:rsidP="000971A8">
            <w:pPr>
              <w:rPr>
                <w:rFonts w:ascii="Arial" w:hAnsi="Arial" w:cs="Arial"/>
                <w:sz w:val="20"/>
                <w:szCs w:val="20"/>
              </w:rPr>
            </w:pPr>
            <w:r>
              <w:rPr>
                <w:rFonts w:ascii="Arial" w:hAnsi="Arial" w:cs="Arial"/>
                <w:sz w:val="20"/>
                <w:szCs w:val="20"/>
              </w:rPr>
              <w:t>The legislation does not specify the composition of an advisory board in the event a children and youth advisory board is not established in accordance with the youth action plan</w:t>
            </w:r>
            <w:r w:rsidR="00711A92">
              <w:rPr>
                <w:rFonts w:ascii="Arial" w:hAnsi="Arial" w:cs="Arial"/>
                <w:sz w:val="20"/>
                <w:szCs w:val="20"/>
              </w:rPr>
              <w:t>, nor does it set forth a process for determining the composition</w:t>
            </w:r>
            <w:r>
              <w:rPr>
                <w:rFonts w:ascii="Arial" w:hAnsi="Arial" w:cs="Arial"/>
                <w:sz w:val="20"/>
                <w:szCs w:val="20"/>
              </w:rPr>
              <w:t>.</w:t>
            </w:r>
          </w:p>
        </w:tc>
      </w:tr>
      <w:tr w:rsidR="005210D0" w:rsidTr="00F86FBC">
        <w:tc>
          <w:tcPr>
            <w:tcW w:w="1462" w:type="dxa"/>
            <w:vAlign w:val="center"/>
          </w:tcPr>
          <w:p w:rsidR="005210D0" w:rsidRPr="002C5933" w:rsidRDefault="005210D0" w:rsidP="006C35EC">
            <w:pPr>
              <w:rPr>
                <w:rFonts w:ascii="Arial" w:hAnsi="Arial" w:cs="Arial"/>
                <w:sz w:val="20"/>
                <w:szCs w:val="20"/>
              </w:rPr>
            </w:pPr>
            <w:r w:rsidRPr="002C5933">
              <w:rPr>
                <w:rFonts w:ascii="Arial" w:hAnsi="Arial" w:cs="Arial"/>
                <w:sz w:val="20"/>
                <w:szCs w:val="20"/>
              </w:rPr>
              <w:lastRenderedPageBreak/>
              <w:t>Evaluation</w:t>
            </w:r>
          </w:p>
        </w:tc>
        <w:tc>
          <w:tcPr>
            <w:tcW w:w="3933" w:type="dxa"/>
            <w:vAlign w:val="center"/>
          </w:tcPr>
          <w:p w:rsidR="005210D0" w:rsidRPr="002C5933" w:rsidRDefault="00FC0DC0" w:rsidP="00B51A99">
            <w:pPr>
              <w:rPr>
                <w:rFonts w:ascii="Arial" w:hAnsi="Arial" w:cs="Arial"/>
                <w:sz w:val="20"/>
                <w:szCs w:val="20"/>
              </w:rPr>
            </w:pPr>
            <w:r>
              <w:rPr>
                <w:rFonts w:ascii="Arial" w:hAnsi="Arial" w:cs="Arial"/>
                <w:sz w:val="20"/>
                <w:szCs w:val="20"/>
              </w:rPr>
              <w:t xml:space="preserve">The council-adopted service improvement plan </w:t>
            </w:r>
            <w:r w:rsidR="00012F5A">
              <w:rPr>
                <w:rFonts w:ascii="Arial" w:hAnsi="Arial" w:cs="Arial"/>
                <w:sz w:val="20"/>
                <w:szCs w:val="20"/>
              </w:rPr>
              <w:t xml:space="preserve">set forth reporting requirements and </w:t>
            </w:r>
            <w:r w:rsidR="00B51A99">
              <w:rPr>
                <w:rFonts w:ascii="Arial" w:hAnsi="Arial" w:cs="Arial"/>
                <w:sz w:val="20"/>
                <w:szCs w:val="20"/>
              </w:rPr>
              <w:t>described evaluation processes</w:t>
            </w:r>
            <w:r w:rsidR="00012F5A">
              <w:rPr>
                <w:rFonts w:ascii="Arial" w:hAnsi="Arial" w:cs="Arial"/>
                <w:sz w:val="20"/>
                <w:szCs w:val="20"/>
              </w:rPr>
              <w:t xml:space="preserve"> that would be conducted</w:t>
            </w:r>
            <w:r>
              <w:rPr>
                <w:rFonts w:ascii="Arial" w:hAnsi="Arial" w:cs="Arial"/>
                <w:sz w:val="20"/>
                <w:szCs w:val="20"/>
              </w:rPr>
              <w:t>.</w:t>
            </w:r>
          </w:p>
        </w:tc>
        <w:tc>
          <w:tcPr>
            <w:tcW w:w="3870" w:type="dxa"/>
            <w:vAlign w:val="center"/>
          </w:tcPr>
          <w:p w:rsidR="005210D0" w:rsidRPr="002C5933" w:rsidRDefault="00FC0DC0" w:rsidP="00B51A99">
            <w:pPr>
              <w:rPr>
                <w:rFonts w:ascii="Arial" w:hAnsi="Arial" w:cs="Arial"/>
                <w:sz w:val="20"/>
                <w:szCs w:val="20"/>
              </w:rPr>
            </w:pPr>
            <w:r>
              <w:rPr>
                <w:rFonts w:ascii="Arial" w:hAnsi="Arial" w:cs="Arial"/>
                <w:sz w:val="20"/>
                <w:szCs w:val="20"/>
              </w:rPr>
              <w:t>The council-adopted service improvement plan set forth</w:t>
            </w:r>
            <w:r w:rsidR="00CA4674">
              <w:rPr>
                <w:rFonts w:ascii="Arial" w:hAnsi="Arial" w:cs="Arial"/>
                <w:sz w:val="20"/>
                <w:szCs w:val="20"/>
              </w:rPr>
              <w:t xml:space="preserve"> strengthened</w:t>
            </w:r>
            <w:r>
              <w:rPr>
                <w:rFonts w:ascii="Arial" w:hAnsi="Arial" w:cs="Arial"/>
                <w:sz w:val="20"/>
                <w:szCs w:val="20"/>
              </w:rPr>
              <w:t xml:space="preserve"> annual evaluation and reporting requirements.</w:t>
            </w:r>
          </w:p>
        </w:tc>
        <w:tc>
          <w:tcPr>
            <w:tcW w:w="4590" w:type="dxa"/>
            <w:vAlign w:val="center"/>
          </w:tcPr>
          <w:p w:rsidR="005210D0" w:rsidRPr="002C5933" w:rsidRDefault="005210D0" w:rsidP="002C5933">
            <w:pPr>
              <w:rPr>
                <w:rFonts w:ascii="Arial" w:hAnsi="Arial" w:cs="Arial"/>
                <w:sz w:val="20"/>
                <w:szCs w:val="20"/>
              </w:rPr>
            </w:pPr>
            <w:r w:rsidRPr="002C5933">
              <w:rPr>
                <w:rFonts w:ascii="Arial" w:hAnsi="Arial" w:cs="Arial"/>
                <w:sz w:val="20"/>
                <w:szCs w:val="20"/>
              </w:rPr>
              <w:t xml:space="preserve">Ordinance 15969 required </w:t>
            </w:r>
            <w:r>
              <w:rPr>
                <w:rFonts w:ascii="Arial" w:hAnsi="Arial" w:cs="Arial"/>
                <w:sz w:val="20"/>
                <w:szCs w:val="20"/>
              </w:rPr>
              <w:t>that the evaluation plan identify the evaluation process, a proposed evaluation schedule, performance measurements and targets, and data to be used for reporting and evaluations. Council adopted the evaluation plan in October 2008 (Ordinance 16262).</w:t>
            </w:r>
          </w:p>
        </w:tc>
        <w:tc>
          <w:tcPr>
            <w:tcW w:w="3600" w:type="dxa"/>
            <w:vAlign w:val="center"/>
          </w:tcPr>
          <w:p w:rsidR="005210D0" w:rsidRPr="002C5933" w:rsidRDefault="00161023" w:rsidP="00161023">
            <w:pPr>
              <w:rPr>
                <w:rFonts w:ascii="Arial" w:hAnsi="Arial" w:cs="Arial"/>
                <w:sz w:val="20"/>
                <w:szCs w:val="20"/>
              </w:rPr>
            </w:pPr>
            <w:r>
              <w:rPr>
                <w:rFonts w:ascii="Arial" w:hAnsi="Arial" w:cs="Arial"/>
                <w:sz w:val="20"/>
                <w:szCs w:val="20"/>
              </w:rPr>
              <w:t>Six percent of the levy proceeds would be spent on evaluation, data collection and improving service delivery. However, the legislation does not identify any specific reporting or evaluation requirements, nor does it set forth a process for determining such requirements.</w:t>
            </w:r>
          </w:p>
        </w:tc>
      </w:tr>
    </w:tbl>
    <w:p w:rsidR="003749DE" w:rsidRPr="006C35EC" w:rsidRDefault="003749DE">
      <w:pPr>
        <w:rPr>
          <w:rFonts w:ascii="Arial" w:hAnsi="Arial" w:cs="Arial"/>
          <w:sz w:val="24"/>
          <w:szCs w:val="24"/>
        </w:rPr>
      </w:pPr>
    </w:p>
    <w:sectPr w:rsidR="003749DE" w:rsidRPr="006C35EC" w:rsidSect="00FC0DC0">
      <w:head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B1" w:rsidRDefault="006011B1" w:rsidP="006011B1">
      <w:pPr>
        <w:spacing w:after="0" w:line="240" w:lineRule="auto"/>
      </w:pPr>
      <w:r>
        <w:separator/>
      </w:r>
    </w:p>
  </w:endnote>
  <w:endnote w:type="continuationSeparator" w:id="0">
    <w:p w:rsidR="006011B1" w:rsidRDefault="006011B1" w:rsidP="0060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B1" w:rsidRDefault="006011B1" w:rsidP="006011B1">
      <w:pPr>
        <w:spacing w:after="0" w:line="240" w:lineRule="auto"/>
      </w:pPr>
      <w:r>
        <w:separator/>
      </w:r>
    </w:p>
  </w:footnote>
  <w:footnote w:type="continuationSeparator" w:id="0">
    <w:p w:rsidR="006011B1" w:rsidRDefault="006011B1" w:rsidP="00601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B1" w:rsidRDefault="006011B1" w:rsidP="006011B1">
    <w:pPr>
      <w:pStyle w:val="Header"/>
      <w:jc w:val="right"/>
    </w:pPr>
    <w:r>
      <w:t>ATTACHMENT 7</w:t>
    </w:r>
  </w:p>
  <w:p w:rsidR="006011B1" w:rsidRDefault="00601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AB2"/>
    <w:multiLevelType w:val="hybridMultilevel"/>
    <w:tmpl w:val="605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34677"/>
    <w:multiLevelType w:val="hybridMultilevel"/>
    <w:tmpl w:val="23DAA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86C49"/>
    <w:multiLevelType w:val="hybridMultilevel"/>
    <w:tmpl w:val="0634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83128"/>
    <w:multiLevelType w:val="hybridMultilevel"/>
    <w:tmpl w:val="F160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E2638"/>
    <w:multiLevelType w:val="hybridMultilevel"/>
    <w:tmpl w:val="2D023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EC"/>
    <w:rsid w:val="00012F5A"/>
    <w:rsid w:val="000971A8"/>
    <w:rsid w:val="00161023"/>
    <w:rsid w:val="00192C81"/>
    <w:rsid w:val="00244DF3"/>
    <w:rsid w:val="002679CE"/>
    <w:rsid w:val="002C5933"/>
    <w:rsid w:val="00310CFD"/>
    <w:rsid w:val="0036285E"/>
    <w:rsid w:val="003749DE"/>
    <w:rsid w:val="005210D0"/>
    <w:rsid w:val="00533D71"/>
    <w:rsid w:val="00576A1F"/>
    <w:rsid w:val="006011B1"/>
    <w:rsid w:val="006C35EC"/>
    <w:rsid w:val="00711A92"/>
    <w:rsid w:val="007404BE"/>
    <w:rsid w:val="00840D97"/>
    <w:rsid w:val="008A2C5B"/>
    <w:rsid w:val="00971D4A"/>
    <w:rsid w:val="00A31959"/>
    <w:rsid w:val="00AD0CE9"/>
    <w:rsid w:val="00B51A99"/>
    <w:rsid w:val="00BD042E"/>
    <w:rsid w:val="00C955CF"/>
    <w:rsid w:val="00CA4674"/>
    <w:rsid w:val="00E400C8"/>
    <w:rsid w:val="00F86FBC"/>
    <w:rsid w:val="00FA19DB"/>
    <w:rsid w:val="00FC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C5B"/>
    <w:pPr>
      <w:ind w:left="720"/>
      <w:contextualSpacing/>
    </w:pPr>
  </w:style>
  <w:style w:type="paragraph" w:styleId="Header">
    <w:name w:val="header"/>
    <w:basedOn w:val="Normal"/>
    <w:link w:val="HeaderChar"/>
    <w:uiPriority w:val="99"/>
    <w:unhideWhenUsed/>
    <w:rsid w:val="0060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B1"/>
  </w:style>
  <w:style w:type="paragraph" w:styleId="Footer">
    <w:name w:val="footer"/>
    <w:basedOn w:val="Normal"/>
    <w:link w:val="FooterChar"/>
    <w:uiPriority w:val="99"/>
    <w:unhideWhenUsed/>
    <w:rsid w:val="0060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B1"/>
  </w:style>
  <w:style w:type="paragraph" w:styleId="BalloonText">
    <w:name w:val="Balloon Text"/>
    <w:basedOn w:val="Normal"/>
    <w:link w:val="BalloonTextChar"/>
    <w:uiPriority w:val="99"/>
    <w:semiHidden/>
    <w:unhideWhenUsed/>
    <w:rsid w:val="00601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C5B"/>
    <w:pPr>
      <w:ind w:left="720"/>
      <w:contextualSpacing/>
    </w:pPr>
  </w:style>
  <w:style w:type="paragraph" w:styleId="Header">
    <w:name w:val="header"/>
    <w:basedOn w:val="Normal"/>
    <w:link w:val="HeaderChar"/>
    <w:uiPriority w:val="99"/>
    <w:unhideWhenUsed/>
    <w:rsid w:val="0060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B1"/>
  </w:style>
  <w:style w:type="paragraph" w:styleId="Footer">
    <w:name w:val="footer"/>
    <w:basedOn w:val="Normal"/>
    <w:link w:val="FooterChar"/>
    <w:uiPriority w:val="99"/>
    <w:unhideWhenUsed/>
    <w:rsid w:val="0060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B1"/>
  </w:style>
  <w:style w:type="paragraph" w:styleId="BalloonText">
    <w:name w:val="Balloon Text"/>
    <w:basedOn w:val="Normal"/>
    <w:link w:val="BalloonTextChar"/>
    <w:uiPriority w:val="99"/>
    <w:semiHidden/>
    <w:unhideWhenUsed/>
    <w:rsid w:val="00601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Soohoo, Wendy</dc:creator>
  <cp:lastModifiedBy>Daly, Sharon</cp:lastModifiedBy>
  <cp:revision>3</cp:revision>
  <cp:lastPrinted>2015-06-02T18:09:00Z</cp:lastPrinted>
  <dcterms:created xsi:type="dcterms:W3CDTF">2015-06-01T05:37:00Z</dcterms:created>
  <dcterms:modified xsi:type="dcterms:W3CDTF">2015-06-02T18:10:00Z</dcterms:modified>
</cp:coreProperties>
</file>