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227"/>
        <w:gridCol w:w="1633"/>
        <w:gridCol w:w="2345"/>
        <w:gridCol w:w="1435"/>
      </w:tblGrid>
      <w:tr w:rsidR="002D243D" w:rsidRPr="00840C1E" w:rsidTr="0096378F">
        <w:trPr>
          <w:trHeight w:val="890"/>
        </w:trPr>
        <w:tc>
          <w:tcPr>
            <w:tcW w:w="3227" w:type="dxa"/>
          </w:tcPr>
          <w:p w:rsidR="002D243D" w:rsidRPr="00840C1E" w:rsidRDefault="002D243D" w:rsidP="0096378F">
            <w:bookmarkStart w:id="0" w:name="_GoBack"/>
            <w:bookmarkEnd w:id="0"/>
          </w:p>
          <w:p w:rsidR="002D243D" w:rsidRPr="00840C1E" w:rsidRDefault="002D243D" w:rsidP="0096378F"/>
          <w:p w:rsidR="002D243D" w:rsidRPr="00840C1E" w:rsidRDefault="00173F01" w:rsidP="0096378F">
            <w:r>
              <w:t>April 21, 2015</w:t>
            </w:r>
          </w:p>
        </w:tc>
        <w:tc>
          <w:tcPr>
            <w:tcW w:w="1633" w:type="dxa"/>
          </w:tcPr>
          <w:p w:rsidR="002D243D" w:rsidRPr="00840C1E" w:rsidRDefault="002D243D" w:rsidP="0096378F"/>
        </w:tc>
        <w:tc>
          <w:tcPr>
            <w:tcW w:w="2345" w:type="dxa"/>
            <w:tcBorders>
              <w:right w:val="single" w:sz="4" w:space="0" w:color="auto"/>
            </w:tcBorders>
          </w:tcPr>
          <w:p w:rsidR="002D243D" w:rsidRPr="00840C1E" w:rsidRDefault="00E62F78" w:rsidP="0096378F">
            <w:r>
              <w:t>Chair’s Striker</w:t>
            </w:r>
          </w:p>
        </w:tc>
        <w:tc>
          <w:tcPr>
            <w:tcW w:w="1435" w:type="dxa"/>
            <w:tcBorders>
              <w:top w:val="single" w:sz="4" w:space="0" w:color="auto"/>
              <w:left w:val="single" w:sz="4" w:space="0" w:color="auto"/>
              <w:bottom w:val="single" w:sz="4" w:space="0" w:color="auto"/>
              <w:right w:val="single" w:sz="4" w:space="0" w:color="auto"/>
            </w:tcBorders>
          </w:tcPr>
          <w:p w:rsidR="002D243D" w:rsidRPr="00840C1E" w:rsidRDefault="00E62F78" w:rsidP="0096378F">
            <w:pPr>
              <w:ind w:left="18"/>
              <w:jc w:val="center"/>
              <w:rPr>
                <w:b/>
                <w:sz w:val="72"/>
                <w:szCs w:val="72"/>
              </w:rPr>
            </w:pPr>
            <w:r>
              <w:rPr>
                <w:b/>
                <w:sz w:val="72"/>
                <w:szCs w:val="72"/>
              </w:rPr>
              <w:t>S</w:t>
            </w:r>
            <w:r w:rsidR="0018644F">
              <w:rPr>
                <w:b/>
                <w:sz w:val="72"/>
                <w:szCs w:val="72"/>
              </w:rPr>
              <w:t>1</w:t>
            </w:r>
          </w:p>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r w:rsidRPr="00840C1E">
              <w:t>Sponsor:</w:t>
            </w:r>
          </w:p>
        </w:tc>
        <w:tc>
          <w:tcPr>
            <w:tcW w:w="3780" w:type="dxa"/>
            <w:gridSpan w:val="2"/>
            <w:tcBorders>
              <w:bottom w:val="single" w:sz="4" w:space="0" w:color="auto"/>
            </w:tcBorders>
          </w:tcPr>
          <w:p w:rsidR="002D243D" w:rsidRPr="00840C1E" w:rsidRDefault="00481205" w:rsidP="0096378F">
            <w:r>
              <w:t xml:space="preserve">Chair </w:t>
            </w:r>
            <w:r w:rsidR="0018644F">
              <w:t>Dembowski</w:t>
            </w:r>
          </w:p>
        </w:tc>
      </w:tr>
      <w:tr w:rsidR="002D243D" w:rsidRPr="00840C1E" w:rsidTr="0096378F">
        <w:tc>
          <w:tcPr>
            <w:tcW w:w="3227" w:type="dxa"/>
          </w:tcPr>
          <w:p w:rsidR="002D243D" w:rsidRPr="00840C1E" w:rsidRDefault="00A9282D" w:rsidP="0096378F">
            <w:proofErr w:type="spellStart"/>
            <w:r>
              <w:t>cmj</w:t>
            </w:r>
            <w:proofErr w:type="spellEnd"/>
          </w:p>
        </w:tc>
        <w:tc>
          <w:tcPr>
            <w:tcW w:w="1633" w:type="dxa"/>
          </w:tcPr>
          <w:p w:rsidR="002D243D" w:rsidRPr="00840C1E" w:rsidRDefault="002D243D" w:rsidP="0096378F"/>
        </w:tc>
        <w:tc>
          <w:tcPr>
            <w:tcW w:w="2345" w:type="dxa"/>
            <w:tcBorders>
              <w:top w:val="single" w:sz="4" w:space="0" w:color="auto"/>
            </w:tcBorders>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r w:rsidRPr="00840C1E">
              <w:t>Proposed No.:</w:t>
            </w:r>
          </w:p>
        </w:tc>
        <w:tc>
          <w:tcPr>
            <w:tcW w:w="3780" w:type="dxa"/>
            <w:gridSpan w:val="2"/>
            <w:tcBorders>
              <w:bottom w:val="single" w:sz="4" w:space="0" w:color="auto"/>
            </w:tcBorders>
          </w:tcPr>
          <w:p w:rsidR="002D243D" w:rsidRPr="00840C1E" w:rsidRDefault="0018644F" w:rsidP="0096378F">
            <w:r>
              <w:t>2015-0104</w:t>
            </w:r>
          </w:p>
        </w:tc>
      </w:tr>
      <w:tr w:rsidR="002D243D" w:rsidRPr="00840C1E" w:rsidTr="0096378F">
        <w:trPr>
          <w:trHeight w:val="305"/>
        </w:trPr>
        <w:tc>
          <w:tcPr>
            <w:tcW w:w="3227" w:type="dxa"/>
          </w:tcPr>
          <w:p w:rsidR="002D243D" w:rsidRPr="00840C1E" w:rsidRDefault="002D243D" w:rsidP="0096378F"/>
        </w:tc>
        <w:tc>
          <w:tcPr>
            <w:tcW w:w="1633" w:type="dxa"/>
          </w:tcPr>
          <w:p w:rsidR="002D243D" w:rsidRPr="00840C1E" w:rsidRDefault="002D243D" w:rsidP="0096378F"/>
        </w:tc>
        <w:tc>
          <w:tcPr>
            <w:tcW w:w="2345" w:type="dxa"/>
            <w:tcBorders>
              <w:top w:val="single" w:sz="4" w:space="0" w:color="auto"/>
            </w:tcBorders>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bl>
    <w:p w:rsidR="002D243D" w:rsidRPr="00840C1E" w:rsidRDefault="007657DC" w:rsidP="002D243D">
      <w:pPr>
        <w:spacing w:line="480" w:lineRule="auto"/>
        <w:rPr>
          <w:b/>
          <w:u w:val="single"/>
        </w:rPr>
      </w:pPr>
      <w:r>
        <w:rPr>
          <w:b/>
          <w:u w:val="single"/>
        </w:rPr>
        <w:t xml:space="preserve">STRIKING </w:t>
      </w:r>
      <w:r w:rsidR="002D243D" w:rsidRPr="00840C1E">
        <w:rPr>
          <w:b/>
          <w:u w:val="single"/>
        </w:rPr>
        <w:t xml:space="preserve">AMENDMENT TO PROPOSED </w:t>
      </w:r>
      <w:r w:rsidR="0018644F">
        <w:rPr>
          <w:b/>
          <w:u w:val="single"/>
        </w:rPr>
        <w:t>MOTION</w:t>
      </w:r>
      <w:r w:rsidR="002D243D" w:rsidRPr="00840C1E">
        <w:rPr>
          <w:b/>
          <w:u w:val="single"/>
        </w:rPr>
        <w:t xml:space="preserve"> </w:t>
      </w:r>
      <w:r w:rsidR="001806A9">
        <w:rPr>
          <w:b/>
          <w:u w:val="single"/>
        </w:rPr>
        <w:t>2015</w:t>
      </w:r>
      <w:r w:rsidR="002D243D" w:rsidRPr="00840C1E">
        <w:rPr>
          <w:b/>
          <w:u w:val="single"/>
        </w:rPr>
        <w:t>-</w:t>
      </w:r>
      <w:r w:rsidR="001806A9">
        <w:rPr>
          <w:b/>
          <w:u w:val="single"/>
        </w:rPr>
        <w:t>0104</w:t>
      </w:r>
      <w:r>
        <w:rPr>
          <w:b/>
          <w:u w:val="single"/>
        </w:rPr>
        <w:t>, VERSION 1</w:t>
      </w:r>
    </w:p>
    <w:p w:rsidR="002D243D" w:rsidRPr="00840C1E" w:rsidRDefault="002D243D" w:rsidP="002D243D">
      <w:pPr>
        <w:spacing w:line="480" w:lineRule="auto"/>
      </w:pPr>
      <w:r w:rsidRPr="00840C1E">
        <w:t xml:space="preserve">On page </w:t>
      </w:r>
      <w:r w:rsidR="00157E0D">
        <w:t>1</w:t>
      </w:r>
      <w:r w:rsidRPr="00840C1E">
        <w:t xml:space="preserve">, </w:t>
      </w:r>
      <w:r w:rsidR="007657DC">
        <w:t>beginning on line 5</w:t>
      </w:r>
      <w:r w:rsidR="00157E0D">
        <w:t>5</w:t>
      </w:r>
      <w:r w:rsidR="007657DC">
        <w:t>, strike everything</w:t>
      </w:r>
      <w:r w:rsidRPr="00840C1E">
        <w:t xml:space="preserve"> through </w:t>
      </w:r>
      <w:r w:rsidR="007657DC">
        <w:t xml:space="preserve"> page 3, line 26</w:t>
      </w:r>
      <w:r w:rsidRPr="00840C1E">
        <w:t>, and insert:</w:t>
      </w:r>
    </w:p>
    <w:p w:rsidR="00590842" w:rsidRDefault="00590842" w:rsidP="005908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sidR="007657DC">
        <w:rPr>
          <w:rFonts w:ascii="Times New Roman" w:eastAsia="Times New Roman" w:hAnsi="Times New Roman"/>
          <w:lang w:val="de-DE" w:eastAsia="de-DE" w:bidi="de-DE"/>
        </w:rPr>
        <w:t>"</w:t>
      </w:r>
      <w:r>
        <w:rPr>
          <w:rFonts w:ascii="Times New Roman" w:eastAsia="Times New Roman" w:hAnsi="Times New Roman"/>
          <w:lang w:val="de-DE" w:eastAsia="de-DE" w:bidi="de-DE"/>
        </w:rPr>
        <w:t>WHEREAS, King County enacted the 1994 King County Comprehensive Plan ("the plan") to meet the requirements of the Washington State Growth Management Act (GMA), and</w:t>
      </w:r>
    </w:p>
    <w:p w:rsidR="00590842" w:rsidRDefault="00590842" w:rsidP="005908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WHEREAS, in RCW 36.70A.130, the GMA requires cities and counties to update their comprehensive plans once every eight years.  The GMA authorizes, but does not require, cities and counties to amend their comprehensive plans annually.  For King County, the next required GMA deadlines are in 2015 and 2023, and</w:t>
      </w:r>
    </w:p>
    <w:p w:rsidR="00590842" w:rsidRDefault="00590842" w:rsidP="005908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WHEREAS, King County comprehensive plan policies and K.C.C. chapter 20.18 establish a process for amending the plan and a program for public participation.  King County authorizes limited comprehensive plan changes annually and a more comprehensive review every four years, and</w:t>
      </w:r>
    </w:p>
    <w:p w:rsidR="00590842" w:rsidRDefault="00590842" w:rsidP="005908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WHEREAS, in 2012, King County updated its comprehensive plan via Ordinance 17485 and thereby satisfied the GMA requirement to update its comprehensive plan by 2015, and</w:t>
      </w:r>
    </w:p>
    <w:p w:rsidR="00590842" w:rsidRDefault="00590842" w:rsidP="005908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lastRenderedPageBreak/>
        <w:tab/>
        <w:t>WHEREAS, 2016 marks the fifth four-year review of the plan.  Under the county</w:t>
      </w:r>
      <w:r w:rsidR="007657DC">
        <w:rPr>
          <w:rFonts w:ascii="Times New Roman" w:eastAsia="Times New Roman" w:hAnsi="Times New Roman"/>
          <w:lang w:val="de-DE" w:eastAsia="de-DE" w:bidi="de-DE"/>
        </w:rPr>
        <w:t>'</w:t>
      </w:r>
      <w:r>
        <w:rPr>
          <w:rFonts w:ascii="Times New Roman" w:eastAsia="Times New Roman" w:hAnsi="Times New Roman"/>
          <w:lang w:val="de-DE" w:eastAsia="de-DE" w:bidi="de-DE"/>
        </w:rPr>
        <w:t>s policies and regulations, the 2016 review consitutes a four-year amendment, and</w:t>
      </w:r>
    </w:p>
    <w:p w:rsidR="00590842" w:rsidRDefault="00590842" w:rsidP="005908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WHEREAS, under GMA requirements, the county</w:t>
      </w:r>
      <w:r w:rsidR="007657DC">
        <w:rPr>
          <w:rFonts w:ascii="Times New Roman" w:eastAsia="Times New Roman" w:hAnsi="Times New Roman"/>
          <w:lang w:val="de-DE" w:eastAsia="de-DE" w:bidi="de-DE"/>
        </w:rPr>
        <w:t>'</w:t>
      </w:r>
      <w:r>
        <w:rPr>
          <w:rFonts w:ascii="Times New Roman" w:eastAsia="Times New Roman" w:hAnsi="Times New Roman"/>
          <w:lang w:val="de-DE" w:eastAsia="de-DE" w:bidi="de-DE"/>
        </w:rPr>
        <w:t>s 2016 review is subject to the rules applicable to an annual amendment.  The GMA does not require the county to complete another comprehensive update until 2023.  Under the county</w:t>
      </w:r>
      <w:r w:rsidR="007657DC">
        <w:rPr>
          <w:rFonts w:ascii="Times New Roman" w:eastAsia="Times New Roman" w:hAnsi="Times New Roman"/>
          <w:lang w:val="de-DE" w:eastAsia="de-DE" w:bidi="de-DE"/>
        </w:rPr>
        <w:t>'</w:t>
      </w:r>
      <w:r>
        <w:rPr>
          <w:rFonts w:ascii="Times New Roman" w:eastAsia="Times New Roman" w:hAnsi="Times New Roman"/>
          <w:lang w:val="de-DE" w:eastAsia="de-DE" w:bidi="de-DE"/>
        </w:rPr>
        <w:t>s current policies and code, the county will complete this update in 2020, and</w:t>
      </w:r>
    </w:p>
    <w:p w:rsidR="00590842" w:rsidRDefault="00590842" w:rsidP="005908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WHEREAS, King County and cities within the county have successfully focused the vast majority of new residential growth into the Urban Growth Area, proceeding from eighty-eight percent in 1994 to more than ninety-eight percent urban in 2013, and</w:t>
      </w:r>
    </w:p>
    <w:p w:rsidR="00590842" w:rsidRDefault="00590842" w:rsidP="005908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WHEREAS, King County has worked hard to protect critical areas and endangered species such as salmon, has promoted affordable housing and has committed resources to enrich its less advantaged communities, and</w:t>
      </w:r>
    </w:p>
    <w:p w:rsidR="00590842" w:rsidRDefault="00590842" w:rsidP="005908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WHEREAS, King County must build on these successes and ensure that they continue into the future;</w:t>
      </w:r>
    </w:p>
    <w:p w:rsidR="00590842" w:rsidRDefault="00590842" w:rsidP="005908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NOW, THEREFORE, BE IT MOVED by the Council of King County:</w:t>
      </w:r>
    </w:p>
    <w:p w:rsidR="002D243D" w:rsidRPr="00590842" w:rsidRDefault="00590842" w:rsidP="005908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scope of work for the 2016 King County Comprehensive Plan Update in Attachment A to this motion and the work program for public involvement in Attachment B to this motion are hereby approved as the basis for developing the amendments for the King County Comprehensive Plan to be transmitted to the council by March 1, 2016, and for performing the associated environmental analysis.</w:t>
      </w:r>
      <w:r w:rsidR="002D243D" w:rsidRPr="00840C1E">
        <w:t>"</w:t>
      </w:r>
    </w:p>
    <w:p w:rsidR="00BA0B7F" w:rsidRDefault="00BA0B7F" w:rsidP="00BA0B7F">
      <w:pPr>
        <w:shd w:val="clear" w:color="auto" w:fill="FFFFFF"/>
        <w:spacing w:line="480" w:lineRule="auto"/>
      </w:pPr>
    </w:p>
    <w:p w:rsidR="00173F01" w:rsidRDefault="00173F01" w:rsidP="002D243D">
      <w:pPr>
        <w:spacing w:line="480" w:lineRule="auto"/>
      </w:pPr>
      <w:r>
        <w:t xml:space="preserve">Delete Attachment A, </w:t>
      </w:r>
      <w:r w:rsidR="00157E0D">
        <w:t xml:space="preserve">2016 King County Comprehensive Plan Update </w:t>
      </w:r>
      <w:r>
        <w:t>Topical A</w:t>
      </w:r>
      <w:r w:rsidR="001A4A09">
        <w:t>reas, dated March 2, 2015</w:t>
      </w:r>
      <w:r w:rsidR="007657DC">
        <w:t>, and i</w:t>
      </w:r>
      <w:r w:rsidR="001A4A09">
        <w:t>n</w:t>
      </w:r>
      <w:r>
        <w:t xml:space="preserve">sert Attachment A, </w:t>
      </w:r>
      <w:r w:rsidR="00157E0D">
        <w:t xml:space="preserve">2016 King County Comprehensive Plan </w:t>
      </w:r>
      <w:r w:rsidR="00157E0D">
        <w:lastRenderedPageBreak/>
        <w:t xml:space="preserve">Update </w:t>
      </w:r>
      <w:r>
        <w:t>Topi</w:t>
      </w:r>
      <w:r w:rsidR="001A4A09">
        <w:t>cal Areas, dated April 21, 2015, engross any adopted amendments to the striking amendment, and delete the line numbers.</w:t>
      </w:r>
    </w:p>
    <w:p w:rsidR="00590842" w:rsidRDefault="00590842" w:rsidP="002D243D">
      <w:pPr>
        <w:spacing w:line="480" w:lineRule="auto"/>
      </w:pPr>
    </w:p>
    <w:p w:rsidR="00173F01" w:rsidRDefault="00173F01" w:rsidP="002D243D">
      <w:pPr>
        <w:spacing w:line="480" w:lineRule="auto"/>
      </w:pPr>
      <w:r>
        <w:t xml:space="preserve">Delete Attachment B, </w:t>
      </w:r>
      <w:r w:rsidR="00157E0D">
        <w:t xml:space="preserve">2016 King County Comprehensive Plan Update </w:t>
      </w:r>
      <w:r>
        <w:t>Public Outreach Plan and SEPA</w:t>
      </w:r>
      <w:r w:rsidR="001A4A09">
        <w:t xml:space="preserve"> Analysis, dated March 2, 2015</w:t>
      </w:r>
      <w:r w:rsidR="007657DC">
        <w:t>, and i</w:t>
      </w:r>
      <w:r>
        <w:t xml:space="preserve">nsert Attachment B, </w:t>
      </w:r>
      <w:r w:rsidR="00157E0D">
        <w:t xml:space="preserve">2016 King County Comprehensive Plan Update </w:t>
      </w:r>
      <w:r>
        <w:t>Public Outreach Plan and SEPA Analysis, dated April 21, 2015</w:t>
      </w:r>
      <w:r w:rsidR="001A4A09">
        <w:t>, engross any adopted amendments to the striking amendment, and delete the line numbers.</w:t>
      </w:r>
    </w:p>
    <w:p w:rsidR="00DA59A6" w:rsidRPr="00840C1E" w:rsidRDefault="00DA59A6" w:rsidP="002D243D">
      <w:pPr>
        <w:spacing w:line="480" w:lineRule="auto"/>
      </w:pPr>
    </w:p>
    <w:p w:rsidR="003678C8" w:rsidRDefault="002D243D" w:rsidP="00BA0B7F">
      <w:pPr>
        <w:rPr>
          <w:b/>
        </w:rPr>
      </w:pPr>
      <w:r w:rsidRPr="00840C1E">
        <w:rPr>
          <w:b/>
        </w:rPr>
        <w:t xml:space="preserve">EFFECT: </w:t>
      </w:r>
      <w:r w:rsidR="00DA59A6">
        <w:rPr>
          <w:b/>
        </w:rPr>
        <w:t>Clarifies the GMA requirements for comprehensive plan updates.</w:t>
      </w:r>
    </w:p>
    <w:p w:rsidR="00FD7095" w:rsidRDefault="00FD7095" w:rsidP="00BA0B7F">
      <w:pPr>
        <w:rPr>
          <w:b/>
        </w:rPr>
      </w:pPr>
    </w:p>
    <w:p w:rsidR="00BA0B7F" w:rsidRDefault="00173F01" w:rsidP="00BA0B7F">
      <w:pPr>
        <w:rPr>
          <w:b/>
        </w:rPr>
      </w:pPr>
      <w:r>
        <w:rPr>
          <w:b/>
        </w:rPr>
        <w:t>Attachment A is amended to</w:t>
      </w:r>
      <w:r w:rsidR="00360718">
        <w:rPr>
          <w:b/>
        </w:rPr>
        <w:t>:</w:t>
      </w:r>
      <w:r>
        <w:rPr>
          <w:b/>
        </w:rPr>
        <w:t xml:space="preserve"> </w:t>
      </w:r>
    </w:p>
    <w:p w:rsidR="00BA0B7F" w:rsidRDefault="00B73700" w:rsidP="00BA0B7F">
      <w:pPr>
        <w:pStyle w:val="ListParagraph"/>
        <w:numPr>
          <w:ilvl w:val="0"/>
          <w:numId w:val="1"/>
        </w:numPr>
        <w:rPr>
          <w:b/>
        </w:rPr>
      </w:pPr>
      <w:r w:rsidRPr="00BA0B7F">
        <w:rPr>
          <w:b/>
        </w:rPr>
        <w:t xml:space="preserve">address inconsistences with adopted </w:t>
      </w:r>
      <w:r w:rsidR="00D83B02" w:rsidRPr="00BA0B7F">
        <w:rPr>
          <w:b/>
        </w:rPr>
        <w:t xml:space="preserve">growth </w:t>
      </w:r>
      <w:r w:rsidRPr="00BA0B7F">
        <w:rPr>
          <w:b/>
        </w:rPr>
        <w:t>management planning hierarchy</w:t>
      </w:r>
      <w:r w:rsidR="00360718" w:rsidRPr="00BA0B7F">
        <w:rPr>
          <w:b/>
        </w:rPr>
        <w:t xml:space="preserve">, </w:t>
      </w:r>
    </w:p>
    <w:p w:rsidR="00BA0B7F" w:rsidRDefault="00360718" w:rsidP="00BA0B7F">
      <w:pPr>
        <w:pStyle w:val="ListParagraph"/>
        <w:numPr>
          <w:ilvl w:val="0"/>
          <w:numId w:val="1"/>
        </w:numPr>
        <w:rPr>
          <w:b/>
        </w:rPr>
      </w:pPr>
      <w:r w:rsidRPr="00BA0B7F">
        <w:rPr>
          <w:b/>
        </w:rPr>
        <w:t>clarify</w:t>
      </w:r>
      <w:r w:rsidR="00CC2C6E">
        <w:rPr>
          <w:b/>
        </w:rPr>
        <w:t xml:space="preserve"> and give direction on</w:t>
      </w:r>
      <w:r w:rsidR="00D83B02" w:rsidRPr="00BA0B7F">
        <w:rPr>
          <w:b/>
        </w:rPr>
        <w:t xml:space="preserve"> </w:t>
      </w:r>
      <w:r w:rsidR="00C27100" w:rsidRPr="00BA0B7F">
        <w:rPr>
          <w:b/>
        </w:rPr>
        <w:t>existing policy issues</w:t>
      </w:r>
      <w:r w:rsidR="00D83B02" w:rsidRPr="00BA0B7F">
        <w:rPr>
          <w:b/>
        </w:rPr>
        <w:t xml:space="preserve">, </w:t>
      </w:r>
    </w:p>
    <w:p w:rsidR="00BA0B7F" w:rsidRDefault="00C27100" w:rsidP="00BA0B7F">
      <w:pPr>
        <w:pStyle w:val="ListParagraph"/>
        <w:numPr>
          <w:ilvl w:val="0"/>
          <w:numId w:val="1"/>
        </w:numPr>
        <w:rPr>
          <w:b/>
        </w:rPr>
      </w:pPr>
      <w:r w:rsidRPr="00BA0B7F">
        <w:rPr>
          <w:b/>
        </w:rPr>
        <w:t>give direction on new</w:t>
      </w:r>
      <w:r w:rsidR="007A2624" w:rsidRPr="00BA0B7F">
        <w:rPr>
          <w:b/>
        </w:rPr>
        <w:t xml:space="preserve"> policy</w:t>
      </w:r>
      <w:r w:rsidR="00D83B02" w:rsidRPr="00BA0B7F">
        <w:rPr>
          <w:b/>
        </w:rPr>
        <w:t xml:space="preserve"> issues</w:t>
      </w:r>
      <w:r w:rsidR="007A2624" w:rsidRPr="00BA0B7F">
        <w:rPr>
          <w:b/>
        </w:rPr>
        <w:t xml:space="preserve">, </w:t>
      </w:r>
    </w:p>
    <w:p w:rsidR="00BA0B7F" w:rsidRDefault="007A2624" w:rsidP="00BA0B7F">
      <w:pPr>
        <w:pStyle w:val="ListParagraph"/>
        <w:numPr>
          <w:ilvl w:val="0"/>
          <w:numId w:val="1"/>
        </w:numPr>
        <w:rPr>
          <w:b/>
        </w:rPr>
      </w:pPr>
      <w:r w:rsidRPr="00BA0B7F">
        <w:rPr>
          <w:b/>
        </w:rPr>
        <w:t>add new zoning and</w:t>
      </w:r>
      <w:r w:rsidR="00D83B02" w:rsidRPr="00BA0B7F">
        <w:rPr>
          <w:b/>
        </w:rPr>
        <w:t xml:space="preserve"> land use proposals</w:t>
      </w:r>
      <w:r w:rsidR="00360718" w:rsidRPr="00BA0B7F">
        <w:rPr>
          <w:b/>
        </w:rPr>
        <w:t xml:space="preserve">, </w:t>
      </w:r>
      <w:r w:rsidR="00BA0B7F">
        <w:rPr>
          <w:b/>
        </w:rPr>
        <w:t>and</w:t>
      </w:r>
    </w:p>
    <w:p w:rsidR="00173F01" w:rsidRPr="00BA0B7F" w:rsidRDefault="00360718" w:rsidP="00BA0B7F">
      <w:pPr>
        <w:pStyle w:val="ListParagraph"/>
        <w:numPr>
          <w:ilvl w:val="0"/>
          <w:numId w:val="1"/>
        </w:numPr>
        <w:rPr>
          <w:b/>
        </w:rPr>
      </w:pPr>
      <w:proofErr w:type="gramStart"/>
      <w:r w:rsidRPr="00BA0B7F">
        <w:rPr>
          <w:b/>
        </w:rPr>
        <w:t>add</w:t>
      </w:r>
      <w:proofErr w:type="gramEnd"/>
      <w:r w:rsidR="007A2624" w:rsidRPr="00BA0B7F">
        <w:rPr>
          <w:b/>
        </w:rPr>
        <w:t xml:space="preserve"> development code issues</w:t>
      </w:r>
      <w:r w:rsidR="00D83B02" w:rsidRPr="00BA0B7F">
        <w:rPr>
          <w:b/>
        </w:rPr>
        <w:t xml:space="preserve">.  </w:t>
      </w:r>
    </w:p>
    <w:p w:rsidR="00FD7095" w:rsidRDefault="00FD7095" w:rsidP="00BA0B7F">
      <w:pPr>
        <w:rPr>
          <w:b/>
        </w:rPr>
      </w:pPr>
    </w:p>
    <w:p w:rsidR="00173F01" w:rsidRPr="003678C8" w:rsidRDefault="00173F01" w:rsidP="00BA0B7F">
      <w:r>
        <w:rPr>
          <w:b/>
        </w:rPr>
        <w:t>Attachment B is amended to</w:t>
      </w:r>
      <w:r w:rsidR="00D83B02">
        <w:rPr>
          <w:b/>
        </w:rPr>
        <w:t xml:space="preserve"> include additional </w:t>
      </w:r>
      <w:r w:rsidR="00360718">
        <w:rPr>
          <w:b/>
        </w:rPr>
        <w:t>stakeholder</w:t>
      </w:r>
      <w:r w:rsidR="00D83B02">
        <w:rPr>
          <w:b/>
        </w:rPr>
        <w:t xml:space="preserve"> groups and give further direction regarding </w:t>
      </w:r>
      <w:r w:rsidR="00360718">
        <w:rPr>
          <w:b/>
        </w:rPr>
        <w:t xml:space="preserve">outreach. </w:t>
      </w:r>
    </w:p>
    <w:sectPr w:rsidR="00173F01" w:rsidRPr="003678C8" w:rsidSect="00DB0960">
      <w:footerReference w:type="default" r:id="rId9"/>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4F" w:rsidRDefault="0018644F">
      <w:r>
        <w:separator/>
      </w:r>
    </w:p>
  </w:endnote>
  <w:endnote w:type="continuationSeparator" w:id="0">
    <w:p w:rsidR="0018644F" w:rsidRDefault="0018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5A5B4D">
      <w:rPr>
        <w:rStyle w:val="PageNumber"/>
        <w:noProof/>
      </w:rPr>
      <w:t>- 2 -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4F" w:rsidRDefault="0018644F">
      <w:r>
        <w:separator/>
      </w:r>
    </w:p>
  </w:footnote>
  <w:footnote w:type="continuationSeparator" w:id="0">
    <w:p w:rsidR="0018644F" w:rsidRDefault="0018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465D1"/>
    <w:multiLevelType w:val="hybridMultilevel"/>
    <w:tmpl w:val="96A6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4F"/>
    <w:rsid w:val="000428DA"/>
    <w:rsid w:val="0004322A"/>
    <w:rsid w:val="00066D1D"/>
    <w:rsid w:val="000A7A78"/>
    <w:rsid w:val="000E0562"/>
    <w:rsid w:val="000E3B31"/>
    <w:rsid w:val="00135AAA"/>
    <w:rsid w:val="001530DE"/>
    <w:rsid w:val="00157E0D"/>
    <w:rsid w:val="00173F01"/>
    <w:rsid w:val="001806A9"/>
    <w:rsid w:val="0018644F"/>
    <w:rsid w:val="001A4A09"/>
    <w:rsid w:val="001C4384"/>
    <w:rsid w:val="002068B8"/>
    <w:rsid w:val="002B1AC6"/>
    <w:rsid w:val="002D00E2"/>
    <w:rsid w:val="002D243D"/>
    <w:rsid w:val="00306DFE"/>
    <w:rsid w:val="00354688"/>
    <w:rsid w:val="00360718"/>
    <w:rsid w:val="003678C8"/>
    <w:rsid w:val="003C2A54"/>
    <w:rsid w:val="004306F2"/>
    <w:rsid w:val="00431D28"/>
    <w:rsid w:val="00441ED0"/>
    <w:rsid w:val="00481205"/>
    <w:rsid w:val="00500500"/>
    <w:rsid w:val="00520EFA"/>
    <w:rsid w:val="00590842"/>
    <w:rsid w:val="00595851"/>
    <w:rsid w:val="005A5B4D"/>
    <w:rsid w:val="005A731D"/>
    <w:rsid w:val="00607F08"/>
    <w:rsid w:val="00694636"/>
    <w:rsid w:val="006F39EF"/>
    <w:rsid w:val="006F7092"/>
    <w:rsid w:val="00747003"/>
    <w:rsid w:val="007657DC"/>
    <w:rsid w:val="007A2624"/>
    <w:rsid w:val="007D7888"/>
    <w:rsid w:val="00840C1E"/>
    <w:rsid w:val="00853D67"/>
    <w:rsid w:val="00856977"/>
    <w:rsid w:val="00934AEC"/>
    <w:rsid w:val="0094651B"/>
    <w:rsid w:val="0096378F"/>
    <w:rsid w:val="00A9282D"/>
    <w:rsid w:val="00AD1A1B"/>
    <w:rsid w:val="00B44D28"/>
    <w:rsid w:val="00B73700"/>
    <w:rsid w:val="00B74BA0"/>
    <w:rsid w:val="00B93362"/>
    <w:rsid w:val="00BA0B7F"/>
    <w:rsid w:val="00C27100"/>
    <w:rsid w:val="00C61C31"/>
    <w:rsid w:val="00CB07E6"/>
    <w:rsid w:val="00CC2C6E"/>
    <w:rsid w:val="00D432EE"/>
    <w:rsid w:val="00D83B02"/>
    <w:rsid w:val="00DA59A6"/>
    <w:rsid w:val="00DB0960"/>
    <w:rsid w:val="00E02285"/>
    <w:rsid w:val="00E242D5"/>
    <w:rsid w:val="00E62F78"/>
    <w:rsid w:val="00EA740C"/>
    <w:rsid w:val="00ED4BB9"/>
    <w:rsid w:val="00F070B4"/>
    <w:rsid w:val="00F42799"/>
    <w:rsid w:val="00FD7095"/>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styleId="ListParagraph">
    <w:name w:val="List Paragraph"/>
    <w:basedOn w:val="Normal"/>
    <w:uiPriority w:val="34"/>
    <w:qFormat/>
    <w:rsid w:val="00BA0B7F"/>
    <w:pPr>
      <w:ind w:left="720"/>
      <w:contextualSpacing/>
    </w:pPr>
  </w:style>
  <w:style w:type="paragraph" w:customStyle="1" w:styleId="Normal0">
    <w:name w:val="[Normal]"/>
    <w:rsid w:val="00590842"/>
    <w:rPr>
      <w:rFonts w:ascii="Arial" w:eastAsia="Arial" w:hAnsi="Arial"/>
      <w:sz w:val="24"/>
      <w:szCs w:val="24"/>
    </w:rPr>
  </w:style>
  <w:style w:type="character" w:styleId="CommentReference">
    <w:name w:val="annotation reference"/>
    <w:basedOn w:val="DefaultParagraphFont"/>
    <w:uiPriority w:val="99"/>
    <w:semiHidden/>
    <w:unhideWhenUsed/>
    <w:rsid w:val="007657DC"/>
    <w:rPr>
      <w:sz w:val="16"/>
      <w:szCs w:val="16"/>
    </w:rPr>
  </w:style>
  <w:style w:type="paragraph" w:styleId="CommentText">
    <w:name w:val="annotation text"/>
    <w:basedOn w:val="Normal"/>
    <w:link w:val="CommentTextChar"/>
    <w:uiPriority w:val="99"/>
    <w:semiHidden/>
    <w:unhideWhenUsed/>
    <w:rsid w:val="007657DC"/>
    <w:rPr>
      <w:sz w:val="20"/>
      <w:szCs w:val="20"/>
    </w:rPr>
  </w:style>
  <w:style w:type="character" w:customStyle="1" w:styleId="CommentTextChar">
    <w:name w:val="Comment Text Char"/>
    <w:basedOn w:val="DefaultParagraphFont"/>
    <w:link w:val="CommentText"/>
    <w:uiPriority w:val="99"/>
    <w:semiHidden/>
    <w:rsid w:val="007657DC"/>
  </w:style>
  <w:style w:type="paragraph" w:styleId="CommentSubject">
    <w:name w:val="annotation subject"/>
    <w:basedOn w:val="CommentText"/>
    <w:next w:val="CommentText"/>
    <w:link w:val="CommentSubjectChar"/>
    <w:uiPriority w:val="99"/>
    <w:semiHidden/>
    <w:unhideWhenUsed/>
    <w:rsid w:val="007657DC"/>
    <w:rPr>
      <w:b/>
      <w:bCs/>
    </w:rPr>
  </w:style>
  <w:style w:type="character" w:customStyle="1" w:styleId="CommentSubjectChar">
    <w:name w:val="Comment Subject Char"/>
    <w:basedOn w:val="CommentTextChar"/>
    <w:link w:val="CommentSubject"/>
    <w:uiPriority w:val="99"/>
    <w:semiHidden/>
    <w:rsid w:val="007657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styleId="ListParagraph">
    <w:name w:val="List Paragraph"/>
    <w:basedOn w:val="Normal"/>
    <w:uiPriority w:val="34"/>
    <w:qFormat/>
    <w:rsid w:val="00BA0B7F"/>
    <w:pPr>
      <w:ind w:left="720"/>
      <w:contextualSpacing/>
    </w:pPr>
  </w:style>
  <w:style w:type="paragraph" w:customStyle="1" w:styleId="Normal0">
    <w:name w:val="[Normal]"/>
    <w:rsid w:val="00590842"/>
    <w:rPr>
      <w:rFonts w:ascii="Arial" w:eastAsia="Arial" w:hAnsi="Arial"/>
      <w:sz w:val="24"/>
      <w:szCs w:val="24"/>
    </w:rPr>
  </w:style>
  <w:style w:type="character" w:styleId="CommentReference">
    <w:name w:val="annotation reference"/>
    <w:basedOn w:val="DefaultParagraphFont"/>
    <w:uiPriority w:val="99"/>
    <w:semiHidden/>
    <w:unhideWhenUsed/>
    <w:rsid w:val="007657DC"/>
    <w:rPr>
      <w:sz w:val="16"/>
      <w:szCs w:val="16"/>
    </w:rPr>
  </w:style>
  <w:style w:type="paragraph" w:styleId="CommentText">
    <w:name w:val="annotation text"/>
    <w:basedOn w:val="Normal"/>
    <w:link w:val="CommentTextChar"/>
    <w:uiPriority w:val="99"/>
    <w:semiHidden/>
    <w:unhideWhenUsed/>
    <w:rsid w:val="007657DC"/>
    <w:rPr>
      <w:sz w:val="20"/>
      <w:szCs w:val="20"/>
    </w:rPr>
  </w:style>
  <w:style w:type="character" w:customStyle="1" w:styleId="CommentTextChar">
    <w:name w:val="Comment Text Char"/>
    <w:basedOn w:val="DefaultParagraphFont"/>
    <w:link w:val="CommentText"/>
    <w:uiPriority w:val="99"/>
    <w:semiHidden/>
    <w:rsid w:val="007657DC"/>
  </w:style>
  <w:style w:type="paragraph" w:styleId="CommentSubject">
    <w:name w:val="annotation subject"/>
    <w:basedOn w:val="CommentText"/>
    <w:next w:val="CommentText"/>
    <w:link w:val="CommentSubjectChar"/>
    <w:uiPriority w:val="99"/>
    <w:semiHidden/>
    <w:unhideWhenUsed/>
    <w:rsid w:val="007657DC"/>
    <w:rPr>
      <w:b/>
      <w:bCs/>
    </w:rPr>
  </w:style>
  <w:style w:type="character" w:customStyle="1" w:styleId="CommentSubjectChar">
    <w:name w:val="Comment Subject Char"/>
    <w:basedOn w:val="CommentTextChar"/>
    <w:link w:val="CommentSubject"/>
    <w:uiPriority w:val="99"/>
    <w:semiHidden/>
    <w:rsid w:val="00765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Amend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EC75-3200-47D8-8592-FE2C3553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Amendments.dot</Template>
  <TotalTime>0</TotalTime>
  <Pages>3</Pages>
  <Words>568</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Jensen, Christine</dc:creator>
  <cp:lastModifiedBy>Jensen, Christine</cp:lastModifiedBy>
  <cp:revision>3</cp:revision>
  <cp:lastPrinted>2008-12-15T23:14:00Z</cp:lastPrinted>
  <dcterms:created xsi:type="dcterms:W3CDTF">2015-04-14T22:26:00Z</dcterms:created>
  <dcterms:modified xsi:type="dcterms:W3CDTF">2015-04-16T18:27:00Z</dcterms:modified>
</cp:coreProperties>
</file>