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D" w:rsidRPr="00D1543D" w:rsidRDefault="00F3508D" w:rsidP="00F3508D">
      <w:pPr>
        <w:pStyle w:val="Heading2"/>
        <w:rPr>
          <w:rFonts w:ascii="Arial" w:hAnsi="Arial" w:cs="Arial"/>
          <w:sz w:val="24"/>
        </w:rPr>
      </w:pPr>
      <w:r w:rsidRPr="00D1543D">
        <w:rPr>
          <w:rFonts w:ascii="Arial" w:hAnsi="Arial" w:cs="Arial"/>
          <w:sz w:val="24"/>
        </w:rPr>
        <w:t>STAFF REPORT</w:t>
      </w:r>
    </w:p>
    <w:p w:rsidR="00F3508D" w:rsidRPr="00D1543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D1543D"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D1543D" w:rsidRDefault="00F3508D" w:rsidP="00F3508D">
            <w:pPr>
              <w:spacing w:before="120"/>
              <w:rPr>
                <w:rFonts w:ascii="Arial" w:hAnsi="Arial" w:cs="Arial"/>
                <w:b/>
              </w:rPr>
            </w:pPr>
            <w:r w:rsidRPr="00D1543D">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D1543D" w:rsidRDefault="000B7C19" w:rsidP="00F3508D">
            <w:pPr>
              <w:spacing w:before="120"/>
              <w:rPr>
                <w:rFonts w:ascii="Arial" w:hAnsi="Arial" w:cs="Arial"/>
              </w:rPr>
            </w:pPr>
            <w:r>
              <w:rPr>
                <w:rFonts w:ascii="Arial" w:hAnsi="Arial" w:cs="Arial"/>
              </w:rPr>
              <w:t>4</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rsidR="00F3508D" w:rsidRPr="00D1543D" w:rsidRDefault="00F3508D" w:rsidP="00F3508D">
            <w:pPr>
              <w:spacing w:before="120"/>
              <w:rPr>
                <w:rFonts w:ascii="Arial" w:hAnsi="Arial" w:cs="Arial"/>
                <w:b/>
              </w:rPr>
            </w:pPr>
            <w:r w:rsidRPr="00D1543D">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F3508D" w:rsidRPr="00D1543D" w:rsidRDefault="009008EF" w:rsidP="00F3508D">
            <w:pPr>
              <w:spacing w:before="120"/>
              <w:rPr>
                <w:rFonts w:ascii="Arial" w:hAnsi="Arial" w:cs="Arial"/>
              </w:rPr>
            </w:pPr>
            <w:r w:rsidRPr="00D1543D">
              <w:rPr>
                <w:rFonts w:ascii="Arial" w:hAnsi="Arial" w:cs="Arial"/>
              </w:rPr>
              <w:t>Polly St. John</w:t>
            </w:r>
          </w:p>
        </w:tc>
      </w:tr>
      <w:tr w:rsidR="00F3508D" w:rsidRPr="00D1543D"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D1543D" w:rsidRDefault="00F3508D" w:rsidP="00F3508D">
            <w:pPr>
              <w:spacing w:before="120"/>
              <w:rPr>
                <w:rFonts w:ascii="Arial" w:hAnsi="Arial" w:cs="Arial"/>
              </w:rPr>
            </w:pPr>
            <w:r w:rsidRPr="00D1543D">
              <w:rPr>
                <w:rFonts w:ascii="Arial" w:hAnsi="Arial" w:cs="Arial"/>
                <w:b/>
              </w:rPr>
              <w:t>Proposed No</w:t>
            </w:r>
            <w:r w:rsidRPr="00D1543D">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887A56" w:rsidRPr="00D1543D" w:rsidRDefault="00887A56" w:rsidP="00BF7E45">
            <w:pPr>
              <w:tabs>
                <w:tab w:val="left" w:pos="1692"/>
              </w:tabs>
              <w:spacing w:before="120"/>
              <w:rPr>
                <w:rFonts w:ascii="Arial" w:hAnsi="Arial" w:cs="Arial"/>
              </w:rPr>
            </w:pPr>
            <w:r w:rsidRPr="00D1543D">
              <w:rPr>
                <w:rFonts w:ascii="Arial" w:hAnsi="Arial" w:cs="Arial"/>
              </w:rPr>
              <w:t xml:space="preserve">PO </w:t>
            </w:r>
            <w:r w:rsidR="00AE06A0" w:rsidRPr="00D1543D">
              <w:rPr>
                <w:rFonts w:ascii="Arial" w:hAnsi="Arial" w:cs="Arial"/>
              </w:rPr>
              <w:t>20</w:t>
            </w:r>
            <w:r w:rsidR="00BF7E45">
              <w:rPr>
                <w:rFonts w:ascii="Arial" w:hAnsi="Arial" w:cs="Arial"/>
              </w:rPr>
              <w:t>13-0471</w:t>
            </w:r>
          </w:p>
        </w:tc>
        <w:tc>
          <w:tcPr>
            <w:tcW w:w="1170" w:type="dxa"/>
            <w:tcBorders>
              <w:top w:val="single" w:sz="4" w:space="0" w:color="auto"/>
              <w:left w:val="single" w:sz="4" w:space="0" w:color="auto"/>
              <w:bottom w:val="single" w:sz="4" w:space="0" w:color="auto"/>
              <w:right w:val="single" w:sz="4" w:space="0" w:color="auto"/>
            </w:tcBorders>
          </w:tcPr>
          <w:p w:rsidR="00F3508D" w:rsidRPr="00D1543D" w:rsidRDefault="00F3508D" w:rsidP="00F3508D">
            <w:pPr>
              <w:spacing w:before="120"/>
              <w:ind w:right="-108"/>
              <w:rPr>
                <w:rFonts w:ascii="Arial" w:hAnsi="Arial" w:cs="Arial"/>
              </w:rPr>
            </w:pPr>
            <w:r w:rsidRPr="00D1543D">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F3508D" w:rsidRPr="00D1543D" w:rsidRDefault="00A523EB" w:rsidP="005F1974">
            <w:pPr>
              <w:spacing w:before="120"/>
              <w:rPr>
                <w:rFonts w:ascii="Arial" w:hAnsi="Arial" w:cs="Arial"/>
              </w:rPr>
            </w:pPr>
            <w:r>
              <w:rPr>
                <w:rFonts w:ascii="Arial" w:hAnsi="Arial" w:cs="Arial"/>
              </w:rPr>
              <w:t>June 3</w:t>
            </w:r>
            <w:r w:rsidR="00AE06A0" w:rsidRPr="00D1543D">
              <w:rPr>
                <w:rFonts w:ascii="Arial" w:hAnsi="Arial" w:cs="Arial"/>
              </w:rPr>
              <w:t>, 201</w:t>
            </w:r>
            <w:r w:rsidR="00BF7E45">
              <w:rPr>
                <w:rFonts w:ascii="Arial" w:hAnsi="Arial" w:cs="Arial"/>
              </w:rPr>
              <w:t>4</w:t>
            </w:r>
          </w:p>
        </w:tc>
      </w:tr>
    </w:tbl>
    <w:p w:rsidR="00824EA4" w:rsidRPr="00D1543D" w:rsidRDefault="00824EA4" w:rsidP="00824EA4">
      <w:pPr>
        <w:jc w:val="both"/>
        <w:rPr>
          <w:rFonts w:ascii="Arial" w:hAnsi="Arial" w:cs="Arial"/>
        </w:rPr>
      </w:pPr>
    </w:p>
    <w:p w:rsidR="00872792" w:rsidRPr="00D1543D"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sidRPr="00D1543D">
        <w:rPr>
          <w:rFonts w:ascii="Arial" w:hAnsi="Arial" w:cs="Arial"/>
          <w:b/>
          <w:bCs/>
          <w:u w:val="single"/>
        </w:rPr>
        <w:t>SUBJECT</w:t>
      </w:r>
      <w:r w:rsidRPr="00D1543D">
        <w:rPr>
          <w:rFonts w:ascii="Arial" w:hAnsi="Arial" w:cs="Arial"/>
          <w:b/>
          <w:bCs/>
        </w:rPr>
        <w:t xml:space="preserve">:  </w:t>
      </w:r>
    </w:p>
    <w:p w:rsidR="00872792" w:rsidRPr="00D1543D" w:rsidRDefault="00872792" w:rsidP="00872792">
      <w:pPr>
        <w:outlineLvl w:val="0"/>
        <w:rPr>
          <w:rFonts w:ascii="Arial" w:hAnsi="Arial" w:cs="Arial"/>
        </w:rPr>
      </w:pPr>
      <w:r w:rsidRPr="00D1543D">
        <w:rPr>
          <w:rFonts w:ascii="Arial" w:hAnsi="Arial" w:cs="Arial"/>
          <w:bCs/>
        </w:rPr>
        <w:t xml:space="preserve">Proposed Ordinance </w:t>
      </w:r>
      <w:r w:rsidR="00BF7E45" w:rsidRPr="00D1543D">
        <w:rPr>
          <w:rFonts w:ascii="Arial" w:hAnsi="Arial" w:cs="Arial"/>
        </w:rPr>
        <w:t>20</w:t>
      </w:r>
      <w:r w:rsidR="00BF7E45">
        <w:rPr>
          <w:rFonts w:ascii="Arial" w:hAnsi="Arial" w:cs="Arial"/>
        </w:rPr>
        <w:t>13-0471</w:t>
      </w:r>
      <w:r w:rsidR="00E85089">
        <w:rPr>
          <w:rFonts w:ascii="Arial" w:hAnsi="Arial" w:cs="Arial"/>
        </w:rPr>
        <w:t xml:space="preserve"> </w:t>
      </w:r>
      <w:r w:rsidRPr="00D1543D">
        <w:rPr>
          <w:rFonts w:ascii="Arial" w:hAnsi="Arial" w:cs="Arial"/>
        </w:rPr>
        <w:t xml:space="preserve">would </w:t>
      </w:r>
      <w:r w:rsidR="00E46329">
        <w:rPr>
          <w:rFonts w:ascii="Arial" w:hAnsi="Arial" w:cs="Arial"/>
        </w:rPr>
        <w:t>adopt the 201</w:t>
      </w:r>
      <w:r w:rsidR="00BF7E45">
        <w:rPr>
          <w:rFonts w:ascii="Arial" w:hAnsi="Arial" w:cs="Arial"/>
        </w:rPr>
        <w:t>3</w:t>
      </w:r>
      <w:r w:rsidR="00E46329">
        <w:rPr>
          <w:rFonts w:ascii="Arial" w:hAnsi="Arial" w:cs="Arial"/>
        </w:rPr>
        <w:t xml:space="preserve"> King County </w:t>
      </w:r>
      <w:r w:rsidR="00712E4F" w:rsidRPr="00E41AF9">
        <w:rPr>
          <w:rFonts w:ascii="Arial" w:hAnsi="Arial" w:cs="Arial"/>
          <w:bCs/>
        </w:rPr>
        <w:t>Real Property Asset Management Plan</w:t>
      </w:r>
      <w:r w:rsidR="00712E4F">
        <w:rPr>
          <w:rFonts w:ascii="Arial" w:hAnsi="Arial" w:cs="Arial"/>
          <w:bCs/>
        </w:rPr>
        <w:t xml:space="preserve"> (RAMP)</w:t>
      </w:r>
      <w:r w:rsidR="002C5551">
        <w:rPr>
          <w:rFonts w:ascii="Arial" w:hAnsi="Arial" w:cs="Arial"/>
        </w:rPr>
        <w:t xml:space="preserve">.  </w:t>
      </w:r>
    </w:p>
    <w:p w:rsidR="00872792" w:rsidRPr="00D1543D" w:rsidRDefault="00872792"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p>
    <w:p w:rsidR="00872792" w:rsidRPr="00D1543D" w:rsidRDefault="005656C5" w:rsidP="008727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Pr>
          <w:rFonts w:ascii="Arial" w:hAnsi="Arial" w:cs="Arial"/>
          <w:b/>
          <w:bCs/>
          <w:szCs w:val="22"/>
          <w:u w:val="single"/>
        </w:rPr>
        <w:t>SUMMARY</w:t>
      </w:r>
      <w:r w:rsidR="00872792" w:rsidRPr="00D1543D">
        <w:rPr>
          <w:rFonts w:ascii="Arial" w:hAnsi="Arial" w:cs="Arial"/>
          <w:b/>
          <w:bCs/>
          <w:szCs w:val="22"/>
          <w:u w:val="single"/>
        </w:rPr>
        <w:t>:</w:t>
      </w:r>
    </w:p>
    <w:p w:rsidR="00FF7527" w:rsidRDefault="00FF7527" w:rsidP="00B34E97">
      <w:pPr>
        <w:outlineLvl w:val="0"/>
        <w:rPr>
          <w:rFonts w:ascii="Arial" w:hAnsi="Arial" w:cs="Arial"/>
          <w:bCs/>
        </w:rPr>
      </w:pPr>
      <w:r>
        <w:rPr>
          <w:rFonts w:ascii="Arial" w:hAnsi="Arial" w:cs="Arial"/>
        </w:rPr>
        <w:t xml:space="preserve">This is the </w:t>
      </w:r>
      <w:r w:rsidR="00A523EB">
        <w:rPr>
          <w:rFonts w:ascii="Arial" w:hAnsi="Arial" w:cs="Arial"/>
        </w:rPr>
        <w:t>second</w:t>
      </w:r>
      <w:r w:rsidR="00E85089">
        <w:rPr>
          <w:rFonts w:ascii="Arial" w:hAnsi="Arial" w:cs="Arial"/>
        </w:rPr>
        <w:t xml:space="preserve"> hearing</w:t>
      </w:r>
      <w:r w:rsidR="00F1139E">
        <w:rPr>
          <w:rFonts w:ascii="Arial" w:hAnsi="Arial" w:cs="Arial"/>
        </w:rPr>
        <w:t xml:space="preserve"> on the Executive's p</w:t>
      </w:r>
      <w:r>
        <w:rPr>
          <w:rFonts w:ascii="Arial" w:hAnsi="Arial" w:cs="Arial"/>
        </w:rPr>
        <w:t xml:space="preserve">roposed </w:t>
      </w:r>
      <w:r w:rsidR="00712E4F">
        <w:rPr>
          <w:rFonts w:ascii="Arial" w:hAnsi="Arial" w:cs="Arial"/>
        </w:rPr>
        <w:t xml:space="preserve">2013 RAMP that </w:t>
      </w:r>
      <w:r w:rsidR="009074DC">
        <w:rPr>
          <w:rFonts w:ascii="Arial" w:hAnsi="Arial" w:cs="Arial"/>
        </w:rPr>
        <w:t xml:space="preserve">updates and </w:t>
      </w:r>
      <w:r w:rsidR="00712E4F">
        <w:rPr>
          <w:rFonts w:ascii="Arial" w:hAnsi="Arial" w:cs="Arial"/>
        </w:rPr>
        <w:t>replace</w:t>
      </w:r>
      <w:r w:rsidR="00D340DA">
        <w:rPr>
          <w:rFonts w:ascii="Arial" w:hAnsi="Arial" w:cs="Arial"/>
        </w:rPr>
        <w:t>s</w:t>
      </w:r>
      <w:r w:rsidR="00712E4F">
        <w:rPr>
          <w:rFonts w:ascii="Arial" w:hAnsi="Arial" w:cs="Arial"/>
        </w:rPr>
        <w:t xml:space="preserve"> the </w:t>
      </w:r>
      <w:r w:rsidR="007807A0">
        <w:rPr>
          <w:rFonts w:ascii="Arial" w:hAnsi="Arial" w:cs="Arial"/>
        </w:rPr>
        <w:t xml:space="preserve">adopted </w:t>
      </w:r>
      <w:r w:rsidR="00712E4F">
        <w:rPr>
          <w:rFonts w:ascii="Arial" w:hAnsi="Arial" w:cs="Arial"/>
        </w:rPr>
        <w:t>2011</w:t>
      </w:r>
      <w:r w:rsidR="00E85089">
        <w:rPr>
          <w:rFonts w:ascii="Arial" w:hAnsi="Arial" w:cs="Arial"/>
        </w:rPr>
        <w:t xml:space="preserve"> version</w:t>
      </w:r>
      <w:r>
        <w:rPr>
          <w:rFonts w:ascii="Arial" w:hAnsi="Arial" w:cs="Arial"/>
        </w:rPr>
        <w:t>.</w:t>
      </w:r>
      <w:r w:rsidR="00E41AF9">
        <w:rPr>
          <w:rFonts w:ascii="Arial" w:hAnsi="Arial" w:cs="Arial"/>
        </w:rPr>
        <w:t xml:space="preserve">  </w:t>
      </w:r>
      <w:r w:rsidR="00BF7E45">
        <w:rPr>
          <w:rFonts w:ascii="Arial" w:hAnsi="Arial" w:cs="Arial"/>
          <w:bCs/>
        </w:rPr>
        <w:t>The RAMP</w:t>
      </w:r>
      <w:r w:rsidR="00E85089">
        <w:rPr>
          <w:rFonts w:ascii="Arial" w:hAnsi="Arial" w:cs="Arial"/>
          <w:bCs/>
        </w:rPr>
        <w:t xml:space="preserve"> that is </w:t>
      </w:r>
      <w:r w:rsidR="007807A0">
        <w:rPr>
          <w:rFonts w:ascii="Arial" w:hAnsi="Arial" w:cs="Arial"/>
          <w:bCs/>
        </w:rPr>
        <w:t xml:space="preserve">required to be </w:t>
      </w:r>
      <w:r w:rsidR="00E85089">
        <w:rPr>
          <w:rFonts w:ascii="Arial" w:hAnsi="Arial" w:cs="Arial"/>
          <w:bCs/>
        </w:rPr>
        <w:t>updated every two years</w:t>
      </w:r>
      <w:r w:rsidR="00BF7E45">
        <w:rPr>
          <w:rFonts w:ascii="Arial" w:hAnsi="Arial" w:cs="Arial"/>
          <w:bCs/>
        </w:rPr>
        <w:t xml:space="preserve"> </w:t>
      </w:r>
      <w:r w:rsidR="005B728F">
        <w:rPr>
          <w:rFonts w:ascii="Arial" w:hAnsi="Arial" w:cs="Arial"/>
          <w:bCs/>
        </w:rPr>
        <w:t>reflect</w:t>
      </w:r>
      <w:r w:rsidR="00BF7E45">
        <w:rPr>
          <w:rFonts w:ascii="Arial" w:hAnsi="Arial" w:cs="Arial"/>
          <w:bCs/>
        </w:rPr>
        <w:t>s</w:t>
      </w:r>
      <w:r w:rsidR="005B728F">
        <w:rPr>
          <w:rFonts w:ascii="Arial" w:hAnsi="Arial" w:cs="Arial"/>
          <w:bCs/>
        </w:rPr>
        <w:t xml:space="preserve"> </w:t>
      </w:r>
      <w:r w:rsidR="00F73FB2">
        <w:rPr>
          <w:rFonts w:ascii="Arial" w:hAnsi="Arial" w:cs="Arial"/>
          <w:bCs/>
        </w:rPr>
        <w:t xml:space="preserve">comprehensive </w:t>
      </w:r>
      <w:r w:rsidR="00BF7E45">
        <w:rPr>
          <w:rFonts w:ascii="Arial" w:hAnsi="Arial" w:cs="Arial"/>
          <w:bCs/>
        </w:rPr>
        <w:t>policies for</w:t>
      </w:r>
      <w:r w:rsidR="005B728F">
        <w:rPr>
          <w:rFonts w:ascii="Arial" w:hAnsi="Arial" w:cs="Arial"/>
          <w:bCs/>
        </w:rPr>
        <w:t xml:space="preserve"> </w:t>
      </w:r>
      <w:r w:rsidR="00712E4F">
        <w:rPr>
          <w:rFonts w:ascii="Arial" w:hAnsi="Arial" w:cs="Arial"/>
          <w:bCs/>
        </w:rPr>
        <w:t xml:space="preserve">the management of </w:t>
      </w:r>
      <w:r w:rsidR="005B728F">
        <w:rPr>
          <w:rFonts w:ascii="Arial" w:hAnsi="Arial" w:cs="Arial"/>
          <w:bCs/>
        </w:rPr>
        <w:t xml:space="preserve">all functions of real property </w:t>
      </w:r>
      <w:r w:rsidR="00BF7E45">
        <w:rPr>
          <w:rFonts w:ascii="Arial" w:hAnsi="Arial" w:cs="Arial"/>
          <w:bCs/>
        </w:rPr>
        <w:t>and</w:t>
      </w:r>
      <w:r w:rsidR="00E41AF9" w:rsidRPr="0099025C">
        <w:rPr>
          <w:rFonts w:ascii="Arial" w:hAnsi="Arial" w:cs="Arial"/>
          <w:bCs/>
        </w:rPr>
        <w:t xml:space="preserve"> </w:t>
      </w:r>
      <w:r w:rsidR="00E41AF9" w:rsidRPr="00E41AF9">
        <w:rPr>
          <w:rFonts w:ascii="Arial" w:hAnsi="Arial" w:cs="Arial"/>
          <w:bCs/>
        </w:rPr>
        <w:t>align</w:t>
      </w:r>
      <w:r w:rsidR="00BF7E45">
        <w:rPr>
          <w:rFonts w:ascii="Arial" w:hAnsi="Arial" w:cs="Arial"/>
          <w:bCs/>
        </w:rPr>
        <w:t>s</w:t>
      </w:r>
      <w:r w:rsidR="00E41AF9" w:rsidRPr="00E41AF9">
        <w:rPr>
          <w:rFonts w:ascii="Arial" w:hAnsi="Arial" w:cs="Arial"/>
          <w:bCs/>
        </w:rPr>
        <w:t xml:space="preserve"> with the goals and objectives of the county's Strategic Plan, as well as continuing to be a component of the comprehensive plan </w:t>
      </w:r>
      <w:r w:rsidR="00E41AF9">
        <w:rPr>
          <w:rFonts w:ascii="Arial" w:hAnsi="Arial" w:cs="Arial"/>
          <w:bCs/>
        </w:rPr>
        <w:t>required in the Revised Code of Washington (RCW)</w:t>
      </w:r>
      <w:r w:rsidR="00E41AF9" w:rsidRPr="00E41AF9">
        <w:rPr>
          <w:rFonts w:ascii="Arial" w:hAnsi="Arial" w:cs="Arial"/>
          <w:bCs/>
        </w:rPr>
        <w:t>.</w:t>
      </w:r>
    </w:p>
    <w:p w:rsidR="0043082A" w:rsidRDefault="0043082A" w:rsidP="00B34E97">
      <w:pPr>
        <w:outlineLvl w:val="0"/>
        <w:rPr>
          <w:rFonts w:ascii="Arial" w:hAnsi="Arial" w:cs="Arial"/>
          <w:bCs/>
        </w:rPr>
      </w:pPr>
    </w:p>
    <w:p w:rsidR="007209E4" w:rsidRDefault="00A73899" w:rsidP="00B34E97">
      <w:pPr>
        <w:outlineLvl w:val="0"/>
        <w:rPr>
          <w:rFonts w:ascii="Arial" w:hAnsi="Arial" w:cs="Arial"/>
          <w:bCs/>
        </w:rPr>
      </w:pPr>
      <w:r w:rsidRPr="0099025C">
        <w:rPr>
          <w:rFonts w:ascii="Arial" w:hAnsi="Arial" w:cs="Arial"/>
          <w:bCs/>
        </w:rPr>
        <w:t>Th</w:t>
      </w:r>
      <w:r>
        <w:rPr>
          <w:rFonts w:ascii="Arial" w:hAnsi="Arial" w:cs="Arial"/>
          <w:bCs/>
        </w:rPr>
        <w:t xml:space="preserve">e </w:t>
      </w:r>
      <w:r w:rsidR="007209E4">
        <w:rPr>
          <w:rFonts w:ascii="Arial" w:hAnsi="Arial" w:cs="Arial"/>
          <w:bCs/>
        </w:rPr>
        <w:t>2013 RAMP</w:t>
      </w:r>
      <w:r w:rsidR="0043082A">
        <w:rPr>
          <w:rFonts w:ascii="Arial" w:hAnsi="Arial" w:cs="Arial"/>
          <w:bCs/>
        </w:rPr>
        <w:t xml:space="preserve"> </w:t>
      </w:r>
      <w:r w:rsidR="0043082A" w:rsidRPr="0043082A">
        <w:rPr>
          <w:rFonts w:ascii="Arial" w:hAnsi="Arial" w:cs="Arial"/>
          <w:bCs/>
        </w:rPr>
        <w:t>covers space planning policies as well as specific locations and tenancy of county agencies and policies surrounding county space available for commercial or other non-governmental purposes.  The</w:t>
      </w:r>
      <w:r w:rsidR="00F13362">
        <w:rPr>
          <w:rFonts w:ascii="Arial" w:hAnsi="Arial" w:cs="Arial"/>
          <w:bCs/>
        </w:rPr>
        <w:t xml:space="preserve"> update</w:t>
      </w:r>
      <w:r w:rsidR="00F73FB2">
        <w:rPr>
          <w:rFonts w:ascii="Arial" w:hAnsi="Arial" w:cs="Arial"/>
          <w:bCs/>
        </w:rPr>
        <w:t>s</w:t>
      </w:r>
      <w:r w:rsidR="0043082A">
        <w:rPr>
          <w:rFonts w:ascii="Arial" w:hAnsi="Arial" w:cs="Arial"/>
          <w:bCs/>
        </w:rPr>
        <w:t xml:space="preserve"> to</w:t>
      </w:r>
      <w:r w:rsidR="00F73FB2">
        <w:rPr>
          <w:rFonts w:ascii="Arial" w:hAnsi="Arial" w:cs="Arial"/>
          <w:bCs/>
        </w:rPr>
        <w:t xml:space="preserve"> the 2011 plan </w:t>
      </w:r>
      <w:r w:rsidR="0043082A">
        <w:rPr>
          <w:rFonts w:ascii="Arial" w:hAnsi="Arial" w:cs="Arial"/>
          <w:bCs/>
        </w:rPr>
        <w:t>incorporate</w:t>
      </w:r>
      <w:r w:rsidR="00F73FB2">
        <w:rPr>
          <w:rFonts w:ascii="Arial" w:hAnsi="Arial" w:cs="Arial"/>
          <w:bCs/>
        </w:rPr>
        <w:t xml:space="preserve"> the County's equity and social justice program principles </w:t>
      </w:r>
      <w:r w:rsidR="007209E4">
        <w:rPr>
          <w:rFonts w:ascii="Arial" w:hAnsi="Arial" w:cs="Arial"/>
          <w:bCs/>
        </w:rPr>
        <w:t xml:space="preserve">by addressing gender equity – adding a policy for gender-neutral restrooms in County facilities.  </w:t>
      </w:r>
      <w:r w:rsidR="007807A0">
        <w:rPr>
          <w:rFonts w:ascii="Arial" w:hAnsi="Arial" w:cs="Arial"/>
          <w:bCs/>
        </w:rPr>
        <w:t xml:space="preserve">Additionally, </w:t>
      </w:r>
      <w:r w:rsidR="00AF2A97">
        <w:rPr>
          <w:rFonts w:ascii="Arial" w:hAnsi="Arial" w:cs="Arial"/>
          <w:bCs/>
        </w:rPr>
        <w:t xml:space="preserve">the RAMP includes </w:t>
      </w:r>
      <w:r w:rsidR="007807A0">
        <w:rPr>
          <w:rFonts w:ascii="Arial" w:hAnsi="Arial" w:cs="Arial"/>
          <w:bCs/>
        </w:rPr>
        <w:t xml:space="preserve">for the first time an industry standard for assessing facility conditions that will be used to modify the County's major maintenance financial model.  </w:t>
      </w:r>
      <w:r w:rsidR="007209E4">
        <w:rPr>
          <w:rFonts w:ascii="Arial" w:hAnsi="Arial" w:cs="Arial"/>
          <w:bCs/>
        </w:rPr>
        <w:t xml:space="preserve">The plan continues to address a series of near-term moves for county planning.  </w:t>
      </w:r>
    </w:p>
    <w:p w:rsidR="007209E4" w:rsidRDefault="007209E4" w:rsidP="00B34E97">
      <w:pPr>
        <w:outlineLvl w:val="0"/>
        <w:rPr>
          <w:rFonts w:ascii="Arial" w:hAnsi="Arial" w:cs="Arial"/>
          <w:bCs/>
        </w:rPr>
      </w:pPr>
    </w:p>
    <w:p w:rsidR="002C5551" w:rsidRDefault="00A73899" w:rsidP="00B34E97">
      <w:pPr>
        <w:outlineLvl w:val="0"/>
        <w:rPr>
          <w:rFonts w:ascii="Arial" w:hAnsi="Arial" w:cs="Arial"/>
          <w:bCs/>
        </w:rPr>
      </w:pPr>
      <w:r>
        <w:rPr>
          <w:rFonts w:ascii="Arial" w:hAnsi="Arial" w:cs="Arial"/>
          <w:bCs/>
        </w:rPr>
        <w:t xml:space="preserve">The </w:t>
      </w:r>
      <w:r w:rsidR="007209E4">
        <w:rPr>
          <w:rFonts w:ascii="Arial" w:hAnsi="Arial" w:cs="Arial"/>
          <w:bCs/>
        </w:rPr>
        <w:t>two</w:t>
      </w:r>
      <w:r w:rsidR="00AF2A97">
        <w:rPr>
          <w:rFonts w:ascii="Arial" w:hAnsi="Arial" w:cs="Arial"/>
          <w:bCs/>
        </w:rPr>
        <w:t>-</w:t>
      </w:r>
      <w:r w:rsidR="00EC3A2F">
        <w:rPr>
          <w:rFonts w:ascii="Arial" w:hAnsi="Arial" w:cs="Arial"/>
          <w:bCs/>
        </w:rPr>
        <w:t xml:space="preserve">volume </w:t>
      </w:r>
      <w:r w:rsidR="00267F85">
        <w:rPr>
          <w:rFonts w:ascii="Arial" w:hAnsi="Arial" w:cs="Arial"/>
          <w:bCs/>
        </w:rPr>
        <w:t xml:space="preserve">asset management </w:t>
      </w:r>
      <w:r w:rsidR="00EC3A2F">
        <w:rPr>
          <w:rFonts w:ascii="Arial" w:hAnsi="Arial" w:cs="Arial"/>
          <w:bCs/>
        </w:rPr>
        <w:t>plan includes</w:t>
      </w:r>
      <w:r w:rsidR="00AF2A97">
        <w:rPr>
          <w:rFonts w:ascii="Arial" w:hAnsi="Arial" w:cs="Arial"/>
          <w:bCs/>
        </w:rPr>
        <w:t xml:space="preserve"> both long-</w:t>
      </w:r>
      <w:r>
        <w:rPr>
          <w:rFonts w:ascii="Arial" w:hAnsi="Arial" w:cs="Arial"/>
          <w:bCs/>
        </w:rPr>
        <w:t xml:space="preserve">range and </w:t>
      </w:r>
      <w:r w:rsidR="00EC3A2F">
        <w:rPr>
          <w:rFonts w:ascii="Arial" w:hAnsi="Arial" w:cs="Arial"/>
          <w:bCs/>
        </w:rPr>
        <w:t>near</w:t>
      </w:r>
      <w:r w:rsidR="00AF2A97">
        <w:rPr>
          <w:rFonts w:ascii="Arial" w:hAnsi="Arial" w:cs="Arial"/>
          <w:bCs/>
        </w:rPr>
        <w:t>-</w:t>
      </w:r>
      <w:r>
        <w:rPr>
          <w:rFonts w:ascii="Arial" w:hAnsi="Arial" w:cs="Arial"/>
          <w:bCs/>
        </w:rPr>
        <w:t>term planning</w:t>
      </w:r>
      <w:r w:rsidR="00EC3A2F">
        <w:rPr>
          <w:rFonts w:ascii="Arial" w:hAnsi="Arial" w:cs="Arial"/>
          <w:bCs/>
        </w:rPr>
        <w:t xml:space="preserve"> to address </w:t>
      </w:r>
      <w:r w:rsidR="00F1139E">
        <w:rPr>
          <w:rFonts w:ascii="Arial" w:hAnsi="Arial" w:cs="Arial"/>
          <w:bCs/>
        </w:rPr>
        <w:t xml:space="preserve">expanded </w:t>
      </w:r>
      <w:r w:rsidR="00EC3A2F">
        <w:rPr>
          <w:rFonts w:ascii="Arial" w:hAnsi="Arial" w:cs="Arial"/>
          <w:bCs/>
        </w:rPr>
        <w:t xml:space="preserve">policies and practices, while at the same time managing space in an environment of savings and efficiencies.  The </w:t>
      </w:r>
      <w:r w:rsidR="00267F85">
        <w:rPr>
          <w:rFonts w:ascii="Arial" w:hAnsi="Arial" w:cs="Arial"/>
          <w:bCs/>
        </w:rPr>
        <w:t xml:space="preserve">subject areas of the </w:t>
      </w:r>
      <w:r w:rsidR="00EC3A2F">
        <w:rPr>
          <w:rFonts w:ascii="Arial" w:hAnsi="Arial" w:cs="Arial"/>
          <w:bCs/>
        </w:rPr>
        <w:t>volumes are:</w:t>
      </w:r>
    </w:p>
    <w:p w:rsidR="00EC3A2F" w:rsidRDefault="00EC3A2F" w:rsidP="00D932D2">
      <w:pPr>
        <w:pStyle w:val="ListParagraph"/>
        <w:numPr>
          <w:ilvl w:val="0"/>
          <w:numId w:val="3"/>
        </w:numPr>
        <w:spacing w:before="120"/>
        <w:outlineLvl w:val="0"/>
        <w:rPr>
          <w:rFonts w:ascii="Arial" w:hAnsi="Arial" w:cs="Arial"/>
          <w:bCs/>
        </w:rPr>
      </w:pPr>
      <w:r w:rsidRPr="00EC3A2F">
        <w:rPr>
          <w:rFonts w:ascii="Arial" w:hAnsi="Arial" w:cs="Arial"/>
          <w:bCs/>
          <w:u w:val="single"/>
        </w:rPr>
        <w:t>Plan Vision and Mission</w:t>
      </w:r>
      <w:r>
        <w:rPr>
          <w:rFonts w:ascii="Arial" w:hAnsi="Arial" w:cs="Arial"/>
          <w:bCs/>
        </w:rPr>
        <w:t xml:space="preserve">, including policies, practices and strategies.  This area includes </w:t>
      </w:r>
      <w:r w:rsidR="00E85089">
        <w:rPr>
          <w:rFonts w:ascii="Arial" w:hAnsi="Arial" w:cs="Arial"/>
          <w:bCs/>
        </w:rPr>
        <w:t>information on projects and initiatives, data driven decision making, strategic challenges, workplace readiness, equity and social justice, and actions to provide for future flexibility</w:t>
      </w:r>
      <w:r>
        <w:rPr>
          <w:rFonts w:ascii="Arial" w:hAnsi="Arial" w:cs="Arial"/>
          <w:bCs/>
        </w:rPr>
        <w:t>.</w:t>
      </w:r>
    </w:p>
    <w:p w:rsidR="00EC3A2F" w:rsidRDefault="007209E4" w:rsidP="00D932D2">
      <w:pPr>
        <w:pStyle w:val="ListParagraph"/>
        <w:numPr>
          <w:ilvl w:val="0"/>
          <w:numId w:val="3"/>
        </w:numPr>
        <w:spacing w:before="120"/>
        <w:outlineLvl w:val="0"/>
        <w:rPr>
          <w:rFonts w:ascii="Arial" w:hAnsi="Arial" w:cs="Arial"/>
          <w:bCs/>
        </w:rPr>
      </w:pPr>
      <w:r>
        <w:rPr>
          <w:rFonts w:ascii="Arial" w:hAnsi="Arial" w:cs="Arial"/>
          <w:bCs/>
          <w:u w:val="single"/>
        </w:rPr>
        <w:t>Near</w:t>
      </w:r>
      <w:r w:rsidR="00EC3A2F" w:rsidRPr="00EC3A2F">
        <w:rPr>
          <w:rFonts w:ascii="Arial" w:hAnsi="Arial" w:cs="Arial"/>
          <w:bCs/>
          <w:u w:val="single"/>
        </w:rPr>
        <w:t xml:space="preserve">-Term </w:t>
      </w:r>
      <w:r w:rsidR="00E85089">
        <w:rPr>
          <w:rFonts w:ascii="Arial" w:hAnsi="Arial" w:cs="Arial"/>
          <w:bCs/>
          <w:u w:val="single"/>
        </w:rPr>
        <w:t xml:space="preserve">Planning and </w:t>
      </w:r>
      <w:r>
        <w:rPr>
          <w:rFonts w:ascii="Arial" w:hAnsi="Arial" w:cs="Arial"/>
          <w:bCs/>
          <w:u w:val="single"/>
        </w:rPr>
        <w:t>Moves</w:t>
      </w:r>
      <w:r w:rsidR="00EC3A2F">
        <w:rPr>
          <w:rFonts w:ascii="Arial" w:hAnsi="Arial" w:cs="Arial"/>
          <w:bCs/>
        </w:rPr>
        <w:t xml:space="preserve"> to address recent and proposed space consolidations related to staff forecasting</w:t>
      </w:r>
    </w:p>
    <w:p w:rsidR="00E46329" w:rsidRDefault="00E46329" w:rsidP="00B34E97">
      <w:pPr>
        <w:outlineLvl w:val="0"/>
        <w:rPr>
          <w:rFonts w:ascii="Arial" w:hAnsi="Arial" w:cs="Arial"/>
          <w:bCs/>
        </w:rPr>
      </w:pPr>
    </w:p>
    <w:p w:rsidR="00267F85" w:rsidRDefault="00922A78" w:rsidP="0025468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r>
        <w:rPr>
          <w:rFonts w:ascii="Arial" w:hAnsi="Arial" w:cs="Arial"/>
          <w:bCs/>
          <w:szCs w:val="22"/>
        </w:rPr>
        <w:t xml:space="preserve">The proposed plan </w:t>
      </w:r>
      <w:r w:rsidR="007807A0">
        <w:rPr>
          <w:rFonts w:ascii="Arial" w:hAnsi="Arial" w:cs="Arial"/>
          <w:bCs/>
          <w:szCs w:val="22"/>
        </w:rPr>
        <w:t>continues to reflect</w:t>
      </w:r>
      <w:r>
        <w:rPr>
          <w:rFonts w:ascii="Arial" w:hAnsi="Arial" w:cs="Arial"/>
          <w:bCs/>
          <w:szCs w:val="22"/>
        </w:rPr>
        <w:t xml:space="preserve"> the workplace trends necessitated by budget constraints and downsizing, as well as the increased use of technology to facilitate service delivery and cost savings.  </w:t>
      </w:r>
    </w:p>
    <w:p w:rsidR="00D90F9C" w:rsidRPr="00D90F9C" w:rsidRDefault="00D90F9C" w:rsidP="0025468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p>
    <w:p w:rsidR="00254689" w:rsidRPr="00D1543D" w:rsidRDefault="00254689" w:rsidP="0025468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Pr>
          <w:rFonts w:ascii="Arial" w:hAnsi="Arial" w:cs="Arial"/>
          <w:b/>
          <w:bCs/>
          <w:szCs w:val="22"/>
          <w:u w:val="single"/>
        </w:rPr>
        <w:t>BACKGROUND</w:t>
      </w:r>
      <w:r w:rsidRPr="00D1543D">
        <w:rPr>
          <w:rFonts w:ascii="Arial" w:hAnsi="Arial" w:cs="Arial"/>
          <w:b/>
          <w:bCs/>
          <w:szCs w:val="22"/>
          <w:u w:val="single"/>
        </w:rPr>
        <w:t>:</w:t>
      </w:r>
    </w:p>
    <w:p w:rsidR="00E41AF9" w:rsidRDefault="00E41AF9" w:rsidP="00E41AF9">
      <w:pPr>
        <w:outlineLvl w:val="0"/>
        <w:rPr>
          <w:rFonts w:ascii="Arial" w:hAnsi="Arial" w:cs="Arial"/>
          <w:bCs/>
        </w:rPr>
      </w:pPr>
      <w:r>
        <w:rPr>
          <w:rFonts w:ascii="Arial" w:hAnsi="Arial" w:cs="Arial"/>
        </w:rPr>
        <w:t>The county's space plan</w:t>
      </w:r>
      <w:r w:rsidR="00963118">
        <w:rPr>
          <w:rFonts w:ascii="Arial" w:hAnsi="Arial" w:cs="Arial"/>
        </w:rPr>
        <w:t xml:space="preserve"> or RAMP</w:t>
      </w:r>
      <w:r>
        <w:rPr>
          <w:rFonts w:ascii="Arial" w:hAnsi="Arial" w:cs="Arial"/>
        </w:rPr>
        <w:t xml:space="preserve"> is considered </w:t>
      </w:r>
      <w:r w:rsidR="005B728F">
        <w:rPr>
          <w:rFonts w:ascii="Arial" w:hAnsi="Arial" w:cs="Arial"/>
        </w:rPr>
        <w:t xml:space="preserve">to be the capital facility plan </w:t>
      </w:r>
      <w:r>
        <w:rPr>
          <w:rFonts w:ascii="Arial" w:hAnsi="Arial" w:cs="Arial"/>
        </w:rPr>
        <w:t xml:space="preserve">component of the county's comprehensive plan and </w:t>
      </w:r>
      <w:r w:rsidRPr="00B34E97">
        <w:rPr>
          <w:rFonts w:ascii="Arial" w:hAnsi="Arial" w:cs="Arial"/>
          <w:bCs/>
        </w:rPr>
        <w:t xml:space="preserve">King County Code </w:t>
      </w:r>
      <w:r>
        <w:rPr>
          <w:rFonts w:ascii="Arial" w:hAnsi="Arial" w:cs="Arial"/>
          <w:bCs/>
        </w:rPr>
        <w:t xml:space="preserve">(KCC) </w:t>
      </w:r>
      <w:r w:rsidRPr="00B34E97">
        <w:rPr>
          <w:rFonts w:ascii="Arial" w:hAnsi="Arial" w:cs="Arial"/>
          <w:bCs/>
        </w:rPr>
        <w:t xml:space="preserve">20.12.100 requires updates to the </w:t>
      </w:r>
      <w:r w:rsidR="00963118">
        <w:rPr>
          <w:rFonts w:ascii="Arial" w:hAnsi="Arial" w:cs="Arial"/>
          <w:bCs/>
        </w:rPr>
        <w:t>plan</w:t>
      </w:r>
      <w:r w:rsidR="005B728F">
        <w:rPr>
          <w:rFonts w:ascii="Arial" w:hAnsi="Arial" w:cs="Arial"/>
          <w:bCs/>
        </w:rPr>
        <w:t xml:space="preserve"> every two years</w:t>
      </w:r>
      <w:r w:rsidRPr="00B34E97">
        <w:rPr>
          <w:rFonts w:ascii="Arial" w:hAnsi="Arial" w:cs="Arial"/>
          <w:bCs/>
        </w:rPr>
        <w:t xml:space="preserve">.  </w:t>
      </w:r>
    </w:p>
    <w:p w:rsidR="00E41AF9" w:rsidRDefault="00E41AF9" w:rsidP="00B34E97">
      <w:pPr>
        <w:rPr>
          <w:rFonts w:ascii="Arial" w:hAnsi="Arial"/>
        </w:rPr>
      </w:pPr>
    </w:p>
    <w:p w:rsidR="00330B00" w:rsidRDefault="00B34E97" w:rsidP="00B34E97">
      <w:pPr>
        <w:rPr>
          <w:rFonts w:ascii="Arial" w:hAnsi="Arial"/>
        </w:rPr>
      </w:pPr>
      <w:r>
        <w:rPr>
          <w:rFonts w:ascii="Arial" w:hAnsi="Arial"/>
        </w:rPr>
        <w:t xml:space="preserve">The Executive is responsible to update the current and future space needs and facility work program sections of </w:t>
      </w:r>
      <w:r w:rsidR="00330B00">
        <w:rPr>
          <w:rFonts w:ascii="Arial" w:hAnsi="Arial"/>
        </w:rPr>
        <w:t>RAMP</w:t>
      </w:r>
      <w:r>
        <w:rPr>
          <w:rFonts w:ascii="Arial" w:hAnsi="Arial"/>
        </w:rPr>
        <w:t xml:space="preserve"> and submit them to the Council as amendments to the county space plan by March 1 every other year.  The Council is responsible to review, amend, defer or adopt the Executive proposed space plans</w:t>
      </w:r>
      <w:r w:rsidR="00254689">
        <w:rPr>
          <w:rFonts w:ascii="Arial" w:hAnsi="Arial"/>
        </w:rPr>
        <w:t>,</w:t>
      </w:r>
      <w:r>
        <w:rPr>
          <w:rFonts w:ascii="Arial" w:hAnsi="Arial"/>
        </w:rPr>
        <w:t xml:space="preserve"> but is </w:t>
      </w:r>
      <w:r w:rsidRPr="000956A1">
        <w:rPr>
          <w:rFonts w:ascii="Arial" w:hAnsi="Arial"/>
        </w:rPr>
        <w:t xml:space="preserve">not obligated to adopt a space plan on </w:t>
      </w:r>
      <w:r w:rsidR="00F801BF" w:rsidRPr="000956A1">
        <w:rPr>
          <w:rFonts w:ascii="Arial" w:hAnsi="Arial"/>
        </w:rPr>
        <w:t>a</w:t>
      </w:r>
      <w:r w:rsidRPr="000956A1">
        <w:rPr>
          <w:rFonts w:ascii="Arial" w:hAnsi="Arial"/>
        </w:rPr>
        <w:t xml:space="preserve"> </w:t>
      </w:r>
      <w:r w:rsidR="007807A0">
        <w:rPr>
          <w:rFonts w:ascii="Arial" w:hAnsi="Arial"/>
        </w:rPr>
        <w:t>regular</w:t>
      </w:r>
      <w:r w:rsidRPr="000956A1">
        <w:rPr>
          <w:rFonts w:ascii="Arial" w:hAnsi="Arial"/>
        </w:rPr>
        <w:t xml:space="preserve"> basis.  </w:t>
      </w:r>
    </w:p>
    <w:p w:rsidR="00330B00" w:rsidRDefault="00330B00" w:rsidP="00B34E97">
      <w:pPr>
        <w:rPr>
          <w:rFonts w:ascii="Arial" w:hAnsi="Arial"/>
        </w:rPr>
      </w:pPr>
    </w:p>
    <w:p w:rsidR="00B34E97" w:rsidRPr="003C2ADA" w:rsidRDefault="00746EEE" w:rsidP="00B34E97">
      <w:pPr>
        <w:rPr>
          <w:rFonts w:ascii="Arial" w:hAnsi="Arial"/>
        </w:rPr>
      </w:pPr>
      <w:r>
        <w:rPr>
          <w:rFonts w:ascii="Arial" w:hAnsi="Arial"/>
          <w:b/>
        </w:rPr>
        <w:t xml:space="preserve">Attachment </w:t>
      </w:r>
      <w:r w:rsidR="007762C4">
        <w:rPr>
          <w:rFonts w:ascii="Arial" w:hAnsi="Arial"/>
          <w:b/>
        </w:rPr>
        <w:t>4</w:t>
      </w:r>
      <w:r w:rsidR="00B34E97" w:rsidRPr="000956A1">
        <w:rPr>
          <w:rFonts w:ascii="Arial" w:hAnsi="Arial"/>
        </w:rPr>
        <w:t xml:space="preserve"> </w:t>
      </w:r>
      <w:r w:rsidR="0062484D">
        <w:rPr>
          <w:rFonts w:ascii="Arial" w:hAnsi="Arial"/>
        </w:rPr>
        <w:t>summarizes</w:t>
      </w:r>
      <w:r w:rsidR="00B34E97" w:rsidRPr="00CD6E7D">
        <w:rPr>
          <w:rFonts w:ascii="Arial" w:hAnsi="Arial"/>
        </w:rPr>
        <w:t xml:space="preserve"> applicable King County Code</w:t>
      </w:r>
      <w:r w:rsidR="00B34E97">
        <w:rPr>
          <w:rFonts w:ascii="Arial" w:hAnsi="Arial"/>
        </w:rPr>
        <w:t xml:space="preserve"> (KCC)</w:t>
      </w:r>
      <w:r w:rsidR="00B34E97" w:rsidRPr="00CD6E7D">
        <w:rPr>
          <w:rFonts w:ascii="Arial" w:hAnsi="Arial"/>
        </w:rPr>
        <w:t xml:space="preserve"> and Charter sections.</w:t>
      </w:r>
      <w:r w:rsidR="00B34E97">
        <w:rPr>
          <w:rFonts w:ascii="Arial" w:hAnsi="Arial"/>
        </w:rPr>
        <w:t xml:space="preserve">  </w:t>
      </w:r>
      <w:r w:rsidR="00B34E97" w:rsidRPr="00441F95">
        <w:rPr>
          <w:rFonts w:ascii="Arial" w:hAnsi="Arial"/>
        </w:rPr>
        <w:t>It should be noted that both Executive and Council staff acknowledge that these sections need to be updated and coordinated to reflect current county policies.  For instance,</w:t>
      </w:r>
      <w:r w:rsidR="00B34E97">
        <w:rPr>
          <w:rFonts w:ascii="Arial" w:hAnsi="Arial"/>
        </w:rPr>
        <w:t xml:space="preserve"> although current space planning documents refer regularly to a facility master plan (FMP), the KCC does not mention FMPs, but talks about “capital improvement plans” and “project program plans”.  </w:t>
      </w:r>
      <w:r w:rsidR="00105EDA" w:rsidRPr="00441F95">
        <w:rPr>
          <w:rFonts w:ascii="Arial" w:hAnsi="Arial"/>
          <w:u w:val="single"/>
        </w:rPr>
        <w:t>The planned rewrite of Title 4 will address the capital changes in the KCC</w:t>
      </w:r>
      <w:r w:rsidR="00105EDA">
        <w:rPr>
          <w:rFonts w:ascii="Arial" w:hAnsi="Arial"/>
        </w:rPr>
        <w:t xml:space="preserve">.  </w:t>
      </w:r>
    </w:p>
    <w:p w:rsidR="00B34E97" w:rsidRDefault="00B34E97" w:rsidP="00B34E97">
      <w:pPr>
        <w:rPr>
          <w:rFonts w:ascii="Arial" w:hAnsi="Arial"/>
        </w:rPr>
      </w:pPr>
    </w:p>
    <w:p w:rsidR="00B34E97" w:rsidRDefault="001816A1" w:rsidP="00B34E97">
      <w:pPr>
        <w:rPr>
          <w:rFonts w:ascii="Arial" w:hAnsi="Arial"/>
        </w:rPr>
      </w:pPr>
      <w:r>
        <w:rPr>
          <w:rFonts w:ascii="Arial" w:hAnsi="Arial"/>
        </w:rPr>
        <w:t>Previous</w:t>
      </w:r>
      <w:r w:rsidR="00F1139E">
        <w:rPr>
          <w:rFonts w:ascii="Arial" w:hAnsi="Arial"/>
        </w:rPr>
        <w:t xml:space="preserve"> a</w:t>
      </w:r>
      <w:r w:rsidR="00B34E97">
        <w:rPr>
          <w:rFonts w:ascii="Arial" w:hAnsi="Arial"/>
        </w:rPr>
        <w:t xml:space="preserve">dopted space plans </w:t>
      </w:r>
      <w:r w:rsidR="00F1139E">
        <w:rPr>
          <w:rFonts w:ascii="Arial" w:hAnsi="Arial"/>
        </w:rPr>
        <w:t>were dated</w:t>
      </w:r>
      <w:r w:rsidR="00B34E97">
        <w:rPr>
          <w:rFonts w:ascii="Arial" w:hAnsi="Arial"/>
        </w:rPr>
        <w:t xml:space="preserve"> in 1993, 1997, 2002, 2005</w:t>
      </w:r>
      <w:r w:rsidR="00105EDA">
        <w:rPr>
          <w:rFonts w:ascii="Arial" w:hAnsi="Arial"/>
        </w:rPr>
        <w:t>, and 2011</w:t>
      </w:r>
      <w:r w:rsidR="00B34E97">
        <w:rPr>
          <w:rFonts w:ascii="Arial" w:hAnsi="Arial"/>
        </w:rPr>
        <w:t xml:space="preserve">.  </w:t>
      </w:r>
      <w:r w:rsidR="00267F85">
        <w:rPr>
          <w:rFonts w:ascii="Arial" w:hAnsi="Arial"/>
        </w:rPr>
        <w:t>Plan</w:t>
      </w:r>
      <w:r w:rsidR="00B34E97">
        <w:rPr>
          <w:rFonts w:ascii="Arial" w:hAnsi="Arial"/>
        </w:rPr>
        <w:t xml:space="preserve"> history </w:t>
      </w:r>
      <w:r w:rsidR="00267F85">
        <w:rPr>
          <w:rFonts w:ascii="Arial" w:hAnsi="Arial"/>
        </w:rPr>
        <w:t xml:space="preserve">over the last ten years is listed </w:t>
      </w:r>
      <w:r w:rsidR="00F1139E">
        <w:rPr>
          <w:rFonts w:ascii="Arial" w:hAnsi="Arial"/>
        </w:rPr>
        <w:t xml:space="preserve">in </w:t>
      </w:r>
      <w:r w:rsidR="00F1139E">
        <w:rPr>
          <w:rFonts w:ascii="Arial" w:hAnsi="Arial"/>
          <w:b/>
        </w:rPr>
        <w:t xml:space="preserve">Attachment </w:t>
      </w:r>
      <w:r w:rsidR="007762C4">
        <w:rPr>
          <w:rFonts w:ascii="Arial" w:hAnsi="Arial"/>
          <w:b/>
        </w:rPr>
        <w:t>5</w:t>
      </w:r>
      <w:r w:rsidR="00F1139E">
        <w:rPr>
          <w:rFonts w:ascii="Arial" w:hAnsi="Arial"/>
        </w:rPr>
        <w:t>.</w:t>
      </w:r>
      <w:r w:rsidR="00B34E97">
        <w:rPr>
          <w:rFonts w:ascii="Arial" w:hAnsi="Arial"/>
        </w:rPr>
        <w:t xml:space="preserve">  </w:t>
      </w:r>
    </w:p>
    <w:p w:rsidR="00B34E97" w:rsidRDefault="00B34E97" w:rsidP="00B34E97">
      <w:pPr>
        <w:rPr>
          <w:rFonts w:ascii="Arial" w:hAnsi="Arial"/>
        </w:rPr>
      </w:pPr>
    </w:p>
    <w:p w:rsidR="00B34E97" w:rsidRPr="00CA473A" w:rsidRDefault="00B34E97" w:rsidP="00B34E97">
      <w:pPr>
        <w:rPr>
          <w:rFonts w:ascii="Arial" w:hAnsi="Arial"/>
          <w:b/>
          <w:spacing w:val="-2"/>
          <w:u w:val="single"/>
        </w:rPr>
      </w:pPr>
      <w:r>
        <w:rPr>
          <w:rFonts w:ascii="Arial" w:hAnsi="Arial"/>
          <w:b/>
          <w:spacing w:val="-2"/>
          <w:u w:val="single"/>
        </w:rPr>
        <w:t>OVERVIEW:</w:t>
      </w:r>
    </w:p>
    <w:p w:rsidR="00B34E97" w:rsidRDefault="00B34E97" w:rsidP="00B34E97">
      <w:pPr>
        <w:rPr>
          <w:rFonts w:ascii="Arial" w:hAnsi="Arial"/>
          <w:spacing w:val="-2"/>
          <w:u w:val="single"/>
        </w:rPr>
      </w:pPr>
    </w:p>
    <w:p w:rsidR="00B34E97" w:rsidRPr="009244BF" w:rsidRDefault="00B34E97" w:rsidP="00B34E97">
      <w:pPr>
        <w:rPr>
          <w:rFonts w:ascii="Arial" w:hAnsi="Arial"/>
          <w:spacing w:val="-2"/>
          <w:u w:val="single"/>
        </w:rPr>
      </w:pPr>
      <w:r w:rsidRPr="009244BF">
        <w:rPr>
          <w:rFonts w:ascii="Arial" w:hAnsi="Arial"/>
          <w:spacing w:val="-2"/>
          <w:u w:val="single"/>
        </w:rPr>
        <w:t>Relationship of the Space Plan to the Comprehensive Plan</w:t>
      </w:r>
    </w:p>
    <w:p w:rsidR="00B34E97" w:rsidRDefault="00B34E97" w:rsidP="00B34E97">
      <w:pPr>
        <w:rPr>
          <w:rFonts w:ascii="Arial" w:hAnsi="Arial"/>
        </w:rPr>
      </w:pPr>
      <w:r>
        <w:rPr>
          <w:rFonts w:ascii="Arial" w:hAnsi="Arial"/>
        </w:rPr>
        <w:t>The County Space Plan consisting of space standards, current and future space needs, and county facility development policy framework, is a sub</w:t>
      </w:r>
      <w:r w:rsidR="00D5703E">
        <w:rPr>
          <w:rFonts w:ascii="Arial" w:hAnsi="Arial"/>
        </w:rPr>
        <w:t>-</w:t>
      </w:r>
      <w:r>
        <w:rPr>
          <w:rFonts w:ascii="Arial" w:hAnsi="Arial"/>
        </w:rPr>
        <w:t xml:space="preserve">element of the public facilities element of the comprehensive plan.  </w:t>
      </w:r>
      <w:r w:rsidRPr="00767DFD">
        <w:rPr>
          <w:rFonts w:ascii="Arial" w:hAnsi="Arial"/>
        </w:rPr>
        <w:t>RCW 36.70A.070</w:t>
      </w:r>
      <w:r>
        <w:rPr>
          <w:rFonts w:ascii="Arial" w:hAnsi="Arial"/>
        </w:rPr>
        <w:t xml:space="preserve">, </w:t>
      </w:r>
      <w:r>
        <w:rPr>
          <w:rFonts w:ascii="Arial" w:hAnsi="Arial"/>
          <w:b/>
        </w:rPr>
        <w:t xml:space="preserve">Attachment </w:t>
      </w:r>
      <w:r w:rsidR="007762C4">
        <w:rPr>
          <w:rFonts w:ascii="Arial" w:hAnsi="Arial"/>
          <w:b/>
        </w:rPr>
        <w:t>6</w:t>
      </w:r>
      <w:r>
        <w:rPr>
          <w:rFonts w:ascii="Arial" w:hAnsi="Arial"/>
          <w:b/>
        </w:rPr>
        <w:t>,</w:t>
      </w:r>
      <w:r w:rsidRPr="00767DFD">
        <w:rPr>
          <w:rFonts w:ascii="Arial" w:hAnsi="Arial"/>
        </w:rPr>
        <w:t xml:space="preserve"> lists the mandatory elements that must be included in the Comprehensive Plan.  The capital planning element must include:</w:t>
      </w:r>
    </w:p>
    <w:p w:rsidR="00B34E97" w:rsidRPr="00767DFD" w:rsidRDefault="00B34E97" w:rsidP="00B34E97">
      <w:pPr>
        <w:rPr>
          <w:rFonts w:ascii="Arial" w:hAnsi="Arial"/>
        </w:rPr>
      </w:pPr>
    </w:p>
    <w:tbl>
      <w:tblPr>
        <w:tblStyle w:val="TableGrid"/>
        <w:tblW w:w="8460" w:type="dxa"/>
        <w:tblInd w:w="648" w:type="dxa"/>
        <w:tblLook w:val="01E0" w:firstRow="1" w:lastRow="1" w:firstColumn="1" w:lastColumn="1" w:noHBand="0" w:noVBand="0"/>
      </w:tblPr>
      <w:tblGrid>
        <w:gridCol w:w="5328"/>
        <w:gridCol w:w="3132"/>
      </w:tblGrid>
      <w:tr w:rsidR="00B34E97" w:rsidRPr="00874466" w:rsidTr="00B34E97">
        <w:tc>
          <w:tcPr>
            <w:tcW w:w="5328" w:type="dxa"/>
            <w:shd w:val="clear" w:color="auto" w:fill="FFCC99"/>
          </w:tcPr>
          <w:p w:rsidR="00B34E97" w:rsidRPr="00874466" w:rsidRDefault="00B34E97" w:rsidP="00B34E97">
            <w:pPr>
              <w:jc w:val="center"/>
              <w:rPr>
                <w:rFonts w:ascii="Arial" w:hAnsi="Arial"/>
                <w:b/>
              </w:rPr>
            </w:pPr>
            <w:r>
              <w:rPr>
                <w:rFonts w:ascii="Arial" w:hAnsi="Arial"/>
                <w:b/>
              </w:rPr>
              <w:t>Requirement</w:t>
            </w:r>
          </w:p>
        </w:tc>
        <w:tc>
          <w:tcPr>
            <w:tcW w:w="3132" w:type="dxa"/>
            <w:shd w:val="clear" w:color="auto" w:fill="FFCC99"/>
          </w:tcPr>
          <w:p w:rsidR="00B34E97" w:rsidRPr="00874466" w:rsidRDefault="00B34E97" w:rsidP="00B34E97">
            <w:pPr>
              <w:jc w:val="center"/>
              <w:rPr>
                <w:rFonts w:ascii="Arial" w:hAnsi="Arial"/>
                <w:b/>
              </w:rPr>
            </w:pPr>
            <w:r>
              <w:rPr>
                <w:rFonts w:ascii="Arial" w:hAnsi="Arial"/>
                <w:b/>
              </w:rPr>
              <w:t>Included</w:t>
            </w:r>
          </w:p>
        </w:tc>
      </w:tr>
      <w:tr w:rsidR="00B34E97" w:rsidRPr="00874466" w:rsidTr="00B34E97">
        <w:tc>
          <w:tcPr>
            <w:tcW w:w="5328" w:type="dxa"/>
          </w:tcPr>
          <w:p w:rsidR="00B34E97" w:rsidRPr="00874466" w:rsidRDefault="00B34E97" w:rsidP="00B34E97">
            <w:pPr>
              <w:rPr>
                <w:rFonts w:ascii="Arial" w:hAnsi="Arial"/>
              </w:rPr>
            </w:pPr>
            <w:r w:rsidRPr="00874466">
              <w:rPr>
                <w:rFonts w:ascii="Arial" w:hAnsi="Arial"/>
              </w:rPr>
              <w:t>An inventory of existing facilities</w:t>
            </w:r>
          </w:p>
        </w:tc>
        <w:tc>
          <w:tcPr>
            <w:tcW w:w="3132" w:type="dxa"/>
          </w:tcPr>
          <w:p w:rsidR="00B34E97" w:rsidRPr="00874466" w:rsidRDefault="00B34E97" w:rsidP="00B34E97">
            <w:pPr>
              <w:jc w:val="center"/>
              <w:rPr>
                <w:rFonts w:ascii="Arial" w:hAnsi="Arial"/>
              </w:rPr>
            </w:pPr>
            <w:r w:rsidRPr="00874466">
              <w:rPr>
                <w:rFonts w:ascii="Arial" w:hAnsi="Arial"/>
              </w:rPr>
              <w:sym w:font="Wingdings" w:char="F0FC"/>
            </w:r>
          </w:p>
        </w:tc>
      </w:tr>
      <w:tr w:rsidR="00B34E97" w:rsidRPr="00874466" w:rsidTr="00B34E97">
        <w:tc>
          <w:tcPr>
            <w:tcW w:w="5328" w:type="dxa"/>
          </w:tcPr>
          <w:p w:rsidR="00B34E97" w:rsidRPr="00874466" w:rsidRDefault="00B34E97" w:rsidP="00B34E97">
            <w:pPr>
              <w:rPr>
                <w:rFonts w:ascii="Arial" w:hAnsi="Arial"/>
              </w:rPr>
            </w:pPr>
            <w:r w:rsidRPr="00874466">
              <w:rPr>
                <w:rFonts w:ascii="Arial" w:hAnsi="Arial"/>
              </w:rPr>
              <w:t>A forecast of future needs</w:t>
            </w:r>
          </w:p>
        </w:tc>
        <w:tc>
          <w:tcPr>
            <w:tcW w:w="3132" w:type="dxa"/>
          </w:tcPr>
          <w:p w:rsidR="00B34E97" w:rsidRPr="005B728F" w:rsidRDefault="00B34E97" w:rsidP="00B34E97">
            <w:pPr>
              <w:jc w:val="center"/>
              <w:rPr>
                <w:rFonts w:ascii="Arial" w:hAnsi="Arial"/>
                <w:sz w:val="22"/>
                <w:szCs w:val="22"/>
              </w:rPr>
            </w:pPr>
            <w:r w:rsidRPr="005B728F">
              <w:rPr>
                <w:rFonts w:ascii="Arial" w:hAnsi="Arial"/>
              </w:rPr>
              <w:sym w:font="Wingdings" w:char="F0FC"/>
            </w:r>
            <w:r w:rsidRPr="005B728F">
              <w:rPr>
                <w:rFonts w:ascii="Arial" w:hAnsi="Arial"/>
              </w:rPr>
              <w:t xml:space="preserve"> </w:t>
            </w:r>
            <w:r w:rsidRPr="005B728F">
              <w:rPr>
                <w:rFonts w:ascii="Arial" w:hAnsi="Arial"/>
                <w:sz w:val="22"/>
                <w:szCs w:val="22"/>
              </w:rPr>
              <w:t>staffing projections</w:t>
            </w:r>
          </w:p>
          <w:p w:rsidR="00B34E97" w:rsidRPr="005B728F" w:rsidRDefault="001731D6" w:rsidP="00B34E97">
            <w:pPr>
              <w:jc w:val="center"/>
              <w:rPr>
                <w:rFonts w:ascii="Arial" w:hAnsi="Arial"/>
                <w:sz w:val="22"/>
                <w:szCs w:val="22"/>
              </w:rPr>
            </w:pPr>
            <w:r w:rsidRPr="005B728F">
              <w:rPr>
                <w:rFonts w:ascii="Arial" w:hAnsi="Arial"/>
              </w:rPr>
              <w:sym w:font="Wingdings" w:char="F0FC"/>
            </w:r>
            <w:r w:rsidRPr="005B728F">
              <w:rPr>
                <w:rFonts w:ascii="Arial" w:hAnsi="Arial"/>
              </w:rPr>
              <w:t xml:space="preserve"> </w:t>
            </w:r>
            <w:r w:rsidR="00B34E97" w:rsidRPr="005B728F">
              <w:rPr>
                <w:rFonts w:ascii="Arial" w:hAnsi="Arial"/>
                <w:sz w:val="22"/>
                <w:szCs w:val="22"/>
              </w:rPr>
              <w:t>for capital facilities</w:t>
            </w:r>
          </w:p>
        </w:tc>
      </w:tr>
      <w:tr w:rsidR="00B34E97" w:rsidRPr="00874466" w:rsidTr="00B34E97">
        <w:tc>
          <w:tcPr>
            <w:tcW w:w="5328" w:type="dxa"/>
          </w:tcPr>
          <w:p w:rsidR="00B34E97" w:rsidRPr="00874466" w:rsidRDefault="00B34E97" w:rsidP="00B34E97">
            <w:pPr>
              <w:rPr>
                <w:rFonts w:ascii="Arial" w:hAnsi="Arial"/>
              </w:rPr>
            </w:pPr>
            <w:r w:rsidRPr="00874466">
              <w:rPr>
                <w:rFonts w:ascii="Arial" w:hAnsi="Arial"/>
              </w:rPr>
              <w:t>Proposed locations and capacities of facilities</w:t>
            </w:r>
          </w:p>
        </w:tc>
        <w:tc>
          <w:tcPr>
            <w:tcW w:w="3132" w:type="dxa"/>
          </w:tcPr>
          <w:p w:rsidR="00B34E97" w:rsidRPr="005B728F" w:rsidRDefault="00B34E97" w:rsidP="00B34E97">
            <w:pPr>
              <w:jc w:val="center"/>
              <w:rPr>
                <w:rFonts w:ascii="Arial" w:hAnsi="Arial"/>
                <w:sz w:val="22"/>
                <w:szCs w:val="22"/>
              </w:rPr>
            </w:pPr>
            <w:r w:rsidRPr="005B728F">
              <w:rPr>
                <w:rFonts w:ascii="Arial" w:hAnsi="Arial"/>
              </w:rPr>
              <w:sym w:font="Wingdings" w:char="F0FC"/>
            </w:r>
            <w:r w:rsidRPr="005B728F">
              <w:rPr>
                <w:rFonts w:ascii="Arial" w:hAnsi="Arial"/>
              </w:rPr>
              <w:t xml:space="preserve"> </w:t>
            </w:r>
            <w:r w:rsidRPr="005B728F">
              <w:rPr>
                <w:rFonts w:ascii="Arial" w:hAnsi="Arial"/>
                <w:sz w:val="22"/>
                <w:szCs w:val="22"/>
              </w:rPr>
              <w:t>for current facilities</w:t>
            </w:r>
          </w:p>
          <w:p w:rsidR="00B34E97" w:rsidRPr="005B728F" w:rsidRDefault="001731D6" w:rsidP="00B34E97">
            <w:pPr>
              <w:jc w:val="center"/>
              <w:rPr>
                <w:rFonts w:ascii="Arial" w:hAnsi="Arial"/>
              </w:rPr>
            </w:pPr>
            <w:r w:rsidRPr="005B728F">
              <w:rPr>
                <w:rFonts w:ascii="Arial" w:hAnsi="Arial"/>
              </w:rPr>
              <w:sym w:font="Wingdings" w:char="F0FC"/>
            </w:r>
            <w:r w:rsidRPr="005B728F">
              <w:rPr>
                <w:rFonts w:ascii="Arial" w:hAnsi="Arial"/>
              </w:rPr>
              <w:t xml:space="preserve"> </w:t>
            </w:r>
            <w:r w:rsidR="00B34E97" w:rsidRPr="005B728F">
              <w:rPr>
                <w:rFonts w:ascii="Arial" w:hAnsi="Arial"/>
                <w:sz w:val="22"/>
                <w:szCs w:val="22"/>
              </w:rPr>
              <w:t>for future facilities</w:t>
            </w:r>
          </w:p>
        </w:tc>
      </w:tr>
      <w:tr w:rsidR="00B34E97" w:rsidRPr="00874466" w:rsidTr="00B34E97">
        <w:tc>
          <w:tcPr>
            <w:tcW w:w="5328" w:type="dxa"/>
          </w:tcPr>
          <w:p w:rsidR="00B34E97" w:rsidRPr="00874466" w:rsidRDefault="00B34E97" w:rsidP="00B34E97">
            <w:pPr>
              <w:rPr>
                <w:rFonts w:ascii="Arial" w:hAnsi="Arial"/>
              </w:rPr>
            </w:pPr>
            <w:r w:rsidRPr="00874466">
              <w:rPr>
                <w:rFonts w:ascii="Arial" w:hAnsi="Arial"/>
              </w:rPr>
              <w:t>A six-year plan that will finance the facilities</w:t>
            </w:r>
          </w:p>
        </w:tc>
        <w:tc>
          <w:tcPr>
            <w:tcW w:w="3132" w:type="dxa"/>
          </w:tcPr>
          <w:p w:rsidR="00B34E97" w:rsidRPr="001731D6" w:rsidRDefault="00CA3606" w:rsidP="00CF6359">
            <w:pPr>
              <w:jc w:val="center"/>
              <w:rPr>
                <w:rFonts w:ascii="Arial" w:hAnsi="Arial"/>
              </w:rPr>
            </w:pPr>
            <w:r w:rsidRPr="001731D6">
              <w:rPr>
                <w:rFonts w:ascii="Arial" w:hAnsi="Arial"/>
              </w:rPr>
              <w:sym w:font="Wingdings" w:char="F0FC"/>
            </w:r>
            <w:r w:rsidRPr="001731D6">
              <w:rPr>
                <w:rFonts w:ascii="Arial" w:hAnsi="Arial"/>
              </w:rPr>
              <w:t xml:space="preserve"> </w:t>
            </w:r>
            <w:r w:rsidR="00B34E97" w:rsidRPr="001731D6">
              <w:rPr>
                <w:rFonts w:ascii="Arial" w:hAnsi="Arial"/>
                <w:i/>
                <w:sz w:val="22"/>
                <w:szCs w:val="22"/>
              </w:rPr>
              <w:t>within budget process</w:t>
            </w:r>
          </w:p>
        </w:tc>
      </w:tr>
      <w:tr w:rsidR="00B34E97" w:rsidRPr="00874466" w:rsidTr="00B34E97">
        <w:tc>
          <w:tcPr>
            <w:tcW w:w="5328" w:type="dxa"/>
          </w:tcPr>
          <w:p w:rsidR="00B34E97" w:rsidRPr="00874466" w:rsidRDefault="00B34E97" w:rsidP="00B34E97">
            <w:pPr>
              <w:rPr>
                <w:rFonts w:ascii="Arial" w:hAnsi="Arial"/>
              </w:rPr>
            </w:pPr>
            <w:r w:rsidRPr="00874466">
              <w:rPr>
                <w:rFonts w:ascii="Arial" w:hAnsi="Arial"/>
              </w:rPr>
              <w:t>Coordinated and consistent plans</w:t>
            </w:r>
          </w:p>
        </w:tc>
        <w:tc>
          <w:tcPr>
            <w:tcW w:w="3132" w:type="dxa"/>
          </w:tcPr>
          <w:p w:rsidR="00B34E97" w:rsidRPr="009D2922" w:rsidRDefault="001731D6" w:rsidP="00CF6359">
            <w:pPr>
              <w:jc w:val="center"/>
              <w:rPr>
                <w:rFonts w:ascii="Arial" w:hAnsi="Arial"/>
                <w:highlight w:val="yellow"/>
              </w:rPr>
            </w:pPr>
            <w:r w:rsidRPr="001731D6">
              <w:rPr>
                <w:rFonts w:ascii="Arial" w:hAnsi="Arial"/>
              </w:rPr>
              <w:sym w:font="Wingdings" w:char="F0FC"/>
            </w:r>
            <w:r w:rsidRPr="001731D6">
              <w:rPr>
                <w:rFonts w:ascii="Arial" w:hAnsi="Arial"/>
              </w:rPr>
              <w:t xml:space="preserve"> </w:t>
            </w:r>
            <w:r w:rsidR="00B34E97" w:rsidRPr="001731D6">
              <w:rPr>
                <w:rFonts w:ascii="Arial" w:hAnsi="Arial"/>
                <w:sz w:val="22"/>
                <w:szCs w:val="22"/>
              </w:rPr>
              <w:t xml:space="preserve">subject to </w:t>
            </w:r>
            <w:r w:rsidR="00CF6359">
              <w:rPr>
                <w:rFonts w:ascii="Arial" w:hAnsi="Arial"/>
                <w:sz w:val="22"/>
                <w:szCs w:val="22"/>
              </w:rPr>
              <w:t>county strategic, business, and project plans</w:t>
            </w:r>
          </w:p>
        </w:tc>
      </w:tr>
    </w:tbl>
    <w:p w:rsidR="001731D6" w:rsidRDefault="001731D6" w:rsidP="00B34E97">
      <w:pPr>
        <w:rPr>
          <w:rFonts w:ascii="Arial" w:hAnsi="Arial"/>
          <w:spacing w:val="-2"/>
        </w:rPr>
      </w:pPr>
    </w:p>
    <w:p w:rsidR="00B34E97" w:rsidRDefault="00B34E97" w:rsidP="00B34E97">
      <w:pPr>
        <w:rPr>
          <w:rFonts w:ascii="Arial" w:hAnsi="Arial" w:cs="Arial"/>
        </w:rPr>
      </w:pPr>
      <w:r>
        <w:rPr>
          <w:rFonts w:ascii="Arial" w:hAnsi="Arial"/>
          <w:spacing w:val="-2"/>
        </w:rPr>
        <w:t>The transmitted documents include an inventory of existing facilities</w:t>
      </w:r>
      <w:r w:rsidR="00B14D68">
        <w:rPr>
          <w:rFonts w:ascii="Arial" w:hAnsi="Arial"/>
          <w:spacing w:val="-2"/>
        </w:rPr>
        <w:t xml:space="preserve"> (owned and leased)</w:t>
      </w:r>
      <w:r w:rsidR="0025468A">
        <w:rPr>
          <w:rFonts w:ascii="Arial" w:hAnsi="Arial"/>
          <w:spacing w:val="-2"/>
        </w:rPr>
        <w:t>,</w:t>
      </w:r>
      <w:r>
        <w:rPr>
          <w:rFonts w:ascii="Arial" w:hAnsi="Arial"/>
          <w:spacing w:val="-2"/>
        </w:rPr>
        <w:t xml:space="preserve"> locations</w:t>
      </w:r>
      <w:r w:rsidR="0025468A">
        <w:rPr>
          <w:rFonts w:ascii="Arial" w:hAnsi="Arial"/>
          <w:spacing w:val="-2"/>
        </w:rPr>
        <w:t>,</w:t>
      </w:r>
      <w:r>
        <w:rPr>
          <w:rFonts w:ascii="Arial" w:hAnsi="Arial"/>
          <w:spacing w:val="-2"/>
        </w:rPr>
        <w:t xml:space="preserve"> and capacities of current facilities.  </w:t>
      </w:r>
      <w:r w:rsidR="00B14D68">
        <w:rPr>
          <w:rFonts w:ascii="Arial" w:hAnsi="Arial"/>
          <w:spacing w:val="-2"/>
        </w:rPr>
        <w:t>County agencies have updated the initial space survey used to</w:t>
      </w:r>
      <w:r>
        <w:rPr>
          <w:rFonts w:ascii="Arial" w:hAnsi="Arial"/>
          <w:spacing w:val="-2"/>
        </w:rPr>
        <w:t xml:space="preserve"> forecast long term </w:t>
      </w:r>
      <w:r w:rsidRPr="009D2922">
        <w:rPr>
          <w:rFonts w:ascii="Arial" w:hAnsi="Arial"/>
          <w:spacing w:val="-2"/>
        </w:rPr>
        <w:t>needs based upon projected staffing levels</w:t>
      </w:r>
      <w:r w:rsidR="00B14D68">
        <w:rPr>
          <w:rFonts w:ascii="Arial" w:hAnsi="Arial"/>
          <w:spacing w:val="-2"/>
        </w:rPr>
        <w:t xml:space="preserve"> and workplace trends</w:t>
      </w:r>
      <w:r>
        <w:rPr>
          <w:rFonts w:ascii="Arial" w:hAnsi="Arial"/>
          <w:spacing w:val="-2"/>
        </w:rPr>
        <w:t>.  Essentially, these forecasts are based upon anticipated operational changes and are the agency’s best estimation of staffing needs</w:t>
      </w:r>
      <w:r w:rsidR="009D2922">
        <w:rPr>
          <w:rFonts w:ascii="Arial" w:hAnsi="Arial"/>
          <w:spacing w:val="-2"/>
        </w:rPr>
        <w:t>.</w:t>
      </w:r>
      <w:r>
        <w:rPr>
          <w:rFonts w:ascii="Arial" w:hAnsi="Arial"/>
          <w:spacing w:val="-2"/>
        </w:rPr>
        <w:t xml:space="preserve"> </w:t>
      </w:r>
      <w:r w:rsidR="009D2922">
        <w:rPr>
          <w:rFonts w:ascii="Arial" w:hAnsi="Arial"/>
          <w:spacing w:val="-2"/>
        </w:rPr>
        <w:t xml:space="preserve"> </w:t>
      </w:r>
      <w:r w:rsidR="003C7D81" w:rsidRPr="003C7D81">
        <w:rPr>
          <w:rFonts w:ascii="Arial" w:hAnsi="Arial" w:cs="Arial"/>
        </w:rPr>
        <w:t xml:space="preserve">The Plan identifies challenges to be addressed in the next five years and sets ten strategies for moving into </w:t>
      </w:r>
      <w:r w:rsidR="003C7D81" w:rsidRPr="003C7D81">
        <w:rPr>
          <w:rFonts w:ascii="Arial" w:hAnsi="Arial" w:cs="Arial"/>
        </w:rPr>
        <w:lastRenderedPageBreak/>
        <w:t xml:space="preserve">the future.  The Plan contains </w:t>
      </w:r>
      <w:r w:rsidR="00B14D68">
        <w:rPr>
          <w:rFonts w:ascii="Arial" w:hAnsi="Arial" w:cs="Arial"/>
        </w:rPr>
        <w:t>current</w:t>
      </w:r>
      <w:r w:rsidR="003C7D81" w:rsidRPr="003C7D81">
        <w:rPr>
          <w:rFonts w:ascii="Arial" w:hAnsi="Arial" w:cs="Arial"/>
        </w:rPr>
        <w:t xml:space="preserve"> office space utilization and </w:t>
      </w:r>
      <w:r w:rsidR="00B14D68">
        <w:rPr>
          <w:rFonts w:ascii="Arial" w:hAnsi="Arial" w:cs="Arial"/>
        </w:rPr>
        <w:t>looks</w:t>
      </w:r>
      <w:r w:rsidR="003C7D81" w:rsidRPr="003C7D81">
        <w:rPr>
          <w:rFonts w:ascii="Arial" w:hAnsi="Arial" w:cs="Arial"/>
        </w:rPr>
        <w:t xml:space="preserve"> at </w:t>
      </w:r>
      <w:r w:rsidR="003C7D81" w:rsidRPr="00997093">
        <w:rPr>
          <w:rFonts w:ascii="Arial" w:hAnsi="Arial" w:cs="Arial"/>
        </w:rPr>
        <w:t xml:space="preserve">long term </w:t>
      </w:r>
      <w:r w:rsidR="00997093" w:rsidRPr="00997093">
        <w:rPr>
          <w:rFonts w:ascii="Arial" w:hAnsi="Arial" w:cs="Arial"/>
        </w:rPr>
        <w:t>strategies to position the county to respond to changing facility needs</w:t>
      </w:r>
      <w:r w:rsidR="003C7D81" w:rsidRPr="003C7D81">
        <w:rPr>
          <w:rFonts w:ascii="Arial" w:hAnsi="Arial" w:cs="Arial"/>
        </w:rPr>
        <w:t xml:space="preserve">.  </w:t>
      </w:r>
    </w:p>
    <w:p w:rsidR="00997093" w:rsidRPr="00997093" w:rsidRDefault="00997093" w:rsidP="00B34E97">
      <w:pPr>
        <w:rPr>
          <w:rFonts w:ascii="Arial" w:hAnsi="Arial" w:cs="Arial"/>
        </w:rPr>
      </w:pPr>
    </w:p>
    <w:p w:rsidR="00121DD6" w:rsidRDefault="00121DD6" w:rsidP="00B34E97">
      <w:pPr>
        <w:rPr>
          <w:rFonts w:ascii="Arial" w:hAnsi="Arial"/>
        </w:rPr>
      </w:pPr>
      <w:r>
        <w:rPr>
          <w:rFonts w:ascii="Arial" w:hAnsi="Arial"/>
        </w:rPr>
        <w:t>The RAMP</w:t>
      </w:r>
      <w:r w:rsidR="002B6544">
        <w:rPr>
          <w:rFonts w:ascii="Arial" w:hAnsi="Arial"/>
        </w:rPr>
        <w:t>, as the inventory of the County's existing general government facilities and the conditions of the buildings owned by King County</w:t>
      </w:r>
      <w:r w:rsidR="00E83437">
        <w:rPr>
          <w:rFonts w:ascii="Arial" w:hAnsi="Arial"/>
        </w:rPr>
        <w:t>,</w:t>
      </w:r>
      <w:r>
        <w:rPr>
          <w:rFonts w:ascii="Arial" w:hAnsi="Arial"/>
        </w:rPr>
        <w:t xml:space="preserve"> is </w:t>
      </w:r>
      <w:r w:rsidR="002B6544">
        <w:rPr>
          <w:rFonts w:ascii="Arial" w:hAnsi="Arial"/>
        </w:rPr>
        <w:t>used in support of</w:t>
      </w:r>
      <w:r w:rsidR="002B6544" w:rsidRPr="008D51B1">
        <w:rPr>
          <w:rFonts w:ascii="Arial" w:hAnsi="Arial"/>
        </w:rPr>
        <w:t xml:space="preserve"> </w:t>
      </w:r>
      <w:r w:rsidR="002B6544">
        <w:rPr>
          <w:rFonts w:ascii="Arial" w:hAnsi="Arial"/>
        </w:rPr>
        <w:t xml:space="preserve">the capital facilities element </w:t>
      </w:r>
      <w:r w:rsidR="00B34E97" w:rsidRPr="008D51B1">
        <w:rPr>
          <w:rFonts w:ascii="Arial" w:hAnsi="Arial"/>
        </w:rPr>
        <w:t xml:space="preserve">of </w:t>
      </w:r>
      <w:r>
        <w:rPr>
          <w:rFonts w:ascii="Arial" w:hAnsi="Arial"/>
        </w:rPr>
        <w:t>the Comprehensive Plan.</w:t>
      </w:r>
      <w:r w:rsidR="00B34E97" w:rsidRPr="008D51B1">
        <w:rPr>
          <w:rFonts w:ascii="Arial" w:hAnsi="Arial"/>
        </w:rPr>
        <w:t xml:space="preserve"> </w:t>
      </w:r>
      <w:r>
        <w:rPr>
          <w:rFonts w:ascii="Arial" w:hAnsi="Arial"/>
        </w:rPr>
        <w:t xml:space="preserve"> </w:t>
      </w:r>
      <w:r w:rsidR="002B6544">
        <w:rPr>
          <w:rFonts w:ascii="Arial" w:hAnsi="Arial"/>
        </w:rPr>
        <w:t xml:space="preserve">It is a reference document to Technical Appendix A to the Comprehensive Plan.  </w:t>
      </w:r>
      <w:r>
        <w:rPr>
          <w:rFonts w:ascii="Arial" w:hAnsi="Arial"/>
        </w:rPr>
        <w:t xml:space="preserve">In the past, </w:t>
      </w:r>
      <w:r w:rsidR="00B34E97" w:rsidRPr="008D51B1">
        <w:rPr>
          <w:rFonts w:ascii="Arial" w:hAnsi="Arial"/>
        </w:rPr>
        <w:t xml:space="preserve">the Council </w:t>
      </w:r>
      <w:r>
        <w:rPr>
          <w:rFonts w:ascii="Arial" w:hAnsi="Arial"/>
        </w:rPr>
        <w:t>adopted</w:t>
      </w:r>
      <w:r w:rsidR="00B34E97" w:rsidRPr="008D51B1">
        <w:rPr>
          <w:rFonts w:ascii="Arial" w:hAnsi="Arial"/>
        </w:rPr>
        <w:t xml:space="preserve"> amendments to the plan only in conjunction with either 1) the annual amendment to the Comprehensive Plan; or 2) adoption of the county budget.  </w:t>
      </w:r>
      <w:r>
        <w:rPr>
          <w:rFonts w:ascii="Arial" w:hAnsi="Arial"/>
        </w:rPr>
        <w:t xml:space="preserve">A striking amendment has been prepared that would </w:t>
      </w:r>
      <w:r w:rsidR="007C1F46">
        <w:rPr>
          <w:rFonts w:ascii="Arial" w:hAnsi="Arial"/>
        </w:rPr>
        <w:t>include</w:t>
      </w:r>
      <w:r>
        <w:rPr>
          <w:rFonts w:ascii="Arial" w:hAnsi="Arial"/>
        </w:rPr>
        <w:t xml:space="preserve"> the RAMP </w:t>
      </w:r>
      <w:r w:rsidR="007C1F46">
        <w:rPr>
          <w:rFonts w:ascii="Arial" w:hAnsi="Arial"/>
        </w:rPr>
        <w:t xml:space="preserve">as </w:t>
      </w:r>
      <w:r>
        <w:rPr>
          <w:rFonts w:ascii="Arial" w:hAnsi="Arial"/>
        </w:rPr>
        <w:t xml:space="preserve">part of </w:t>
      </w:r>
      <w:r w:rsidR="007C1F46">
        <w:rPr>
          <w:rFonts w:ascii="Arial" w:hAnsi="Arial"/>
        </w:rPr>
        <w:t xml:space="preserve">Technical Appendix A of </w:t>
      </w:r>
      <w:r>
        <w:rPr>
          <w:rFonts w:ascii="Arial" w:hAnsi="Arial"/>
        </w:rPr>
        <w:t>the Comprehensive Plan</w:t>
      </w:r>
      <w:r w:rsidR="007C1F46">
        <w:rPr>
          <w:rFonts w:ascii="Arial" w:hAnsi="Arial"/>
        </w:rPr>
        <w:t xml:space="preserve"> –</w:t>
      </w:r>
      <w:r>
        <w:rPr>
          <w:rFonts w:ascii="Arial" w:hAnsi="Arial"/>
        </w:rPr>
        <w:t xml:space="preserve"> beginning in 2016.  </w:t>
      </w:r>
      <w:r w:rsidR="002B6544">
        <w:rPr>
          <w:rFonts w:ascii="Arial" w:hAnsi="Arial"/>
        </w:rPr>
        <w:t>Pursuant to this proposed amendment, the</w:t>
      </w:r>
      <w:r w:rsidR="002B6544" w:rsidRPr="00020F8D">
        <w:rPr>
          <w:rFonts w:ascii="Arial" w:hAnsi="Arial"/>
        </w:rPr>
        <w:t xml:space="preserve"> </w:t>
      </w:r>
      <w:r w:rsidR="007C1F46" w:rsidRPr="00020F8D">
        <w:rPr>
          <w:rFonts w:ascii="Arial" w:hAnsi="Arial"/>
        </w:rPr>
        <w:t xml:space="preserve">RAMP would be due </w:t>
      </w:r>
      <w:r w:rsidR="007C1F46" w:rsidRPr="00020F8D">
        <w:rPr>
          <w:rFonts w:ascii="Arial" w:hAnsi="Arial" w:cs="Arial"/>
          <w:bCs/>
        </w:rPr>
        <w:t xml:space="preserve">every four years.  As noted in </w:t>
      </w:r>
      <w:r w:rsidR="007C1F46" w:rsidRPr="00020F8D">
        <w:rPr>
          <w:rFonts w:ascii="Arial" w:hAnsi="Arial" w:cs="Arial"/>
          <w:b/>
          <w:bCs/>
        </w:rPr>
        <w:t xml:space="preserve">Attachment 5, </w:t>
      </w:r>
      <w:r w:rsidR="007C1F46" w:rsidRPr="00020F8D">
        <w:rPr>
          <w:rFonts w:ascii="Arial" w:hAnsi="Arial" w:cs="Arial"/>
          <w:bCs/>
        </w:rPr>
        <w:t>space plan history,</w:t>
      </w:r>
      <w:r w:rsidR="007C1F46" w:rsidRPr="00020F8D">
        <w:rPr>
          <w:rFonts w:ascii="Arial" w:hAnsi="Arial" w:cs="Arial"/>
          <w:b/>
          <w:bCs/>
        </w:rPr>
        <w:t xml:space="preserve"> </w:t>
      </w:r>
      <w:r w:rsidR="00CD3173" w:rsidRPr="00020F8D">
        <w:rPr>
          <w:rFonts w:ascii="Arial" w:hAnsi="Arial" w:cs="Arial"/>
          <w:bCs/>
        </w:rPr>
        <w:t>recent</w:t>
      </w:r>
      <w:r w:rsidR="007C1F46" w:rsidRPr="00020F8D">
        <w:rPr>
          <w:rFonts w:ascii="Arial" w:hAnsi="Arial" w:cs="Arial"/>
          <w:bCs/>
        </w:rPr>
        <w:t xml:space="preserve"> plans have </w:t>
      </w:r>
      <w:r w:rsidR="00ED3A87" w:rsidRPr="00020F8D">
        <w:rPr>
          <w:rFonts w:ascii="Arial" w:hAnsi="Arial" w:cs="Arial"/>
          <w:bCs/>
        </w:rPr>
        <w:t xml:space="preserve">consistently </w:t>
      </w:r>
      <w:r w:rsidR="007C1F46" w:rsidRPr="00020F8D">
        <w:rPr>
          <w:rFonts w:ascii="Arial" w:hAnsi="Arial" w:cs="Arial"/>
          <w:bCs/>
        </w:rPr>
        <w:t xml:space="preserve">been </w:t>
      </w:r>
      <w:r w:rsidR="00ED3A87" w:rsidRPr="00020F8D">
        <w:rPr>
          <w:rFonts w:ascii="Arial" w:hAnsi="Arial" w:cs="Arial"/>
          <w:bCs/>
        </w:rPr>
        <w:t xml:space="preserve">transmitted </w:t>
      </w:r>
      <w:r w:rsidR="007C1F46" w:rsidRPr="00020F8D">
        <w:rPr>
          <w:rFonts w:ascii="Arial" w:hAnsi="Arial" w:cs="Arial"/>
          <w:bCs/>
        </w:rPr>
        <w:t>late.  With the new approach, th</w:t>
      </w:r>
      <w:r w:rsidR="007C1F46">
        <w:rPr>
          <w:rFonts w:ascii="Arial" w:hAnsi="Arial" w:cs="Arial"/>
          <w:bCs/>
        </w:rPr>
        <w:t xml:space="preserve">e plan </w:t>
      </w:r>
      <w:r w:rsidR="00CD3173">
        <w:rPr>
          <w:rFonts w:ascii="Arial" w:hAnsi="Arial" w:cs="Arial"/>
          <w:bCs/>
        </w:rPr>
        <w:t>must</w:t>
      </w:r>
      <w:r w:rsidR="007C1F46">
        <w:rPr>
          <w:rFonts w:ascii="Arial" w:hAnsi="Arial" w:cs="Arial"/>
          <w:bCs/>
        </w:rPr>
        <w:t xml:space="preserve"> be transmitted on time.</w:t>
      </w:r>
    </w:p>
    <w:p w:rsidR="00121DD6" w:rsidRDefault="00121DD6" w:rsidP="00B34E97">
      <w:pPr>
        <w:rPr>
          <w:rFonts w:ascii="Arial" w:hAnsi="Arial"/>
        </w:rPr>
      </w:pPr>
    </w:p>
    <w:p w:rsidR="00B34E97" w:rsidRDefault="00B34E97" w:rsidP="00B34E97">
      <w:pPr>
        <w:rPr>
          <w:rFonts w:ascii="Arial" w:hAnsi="Arial"/>
          <w:u w:val="single"/>
        </w:rPr>
      </w:pPr>
      <w:r>
        <w:rPr>
          <w:rFonts w:ascii="Arial" w:hAnsi="Arial"/>
          <w:u w:val="single"/>
        </w:rPr>
        <w:t>King County Code</w:t>
      </w:r>
    </w:p>
    <w:p w:rsidR="00B34E97" w:rsidRDefault="00B34E97" w:rsidP="00B34E97">
      <w:pPr>
        <w:rPr>
          <w:rFonts w:ascii="Arial" w:hAnsi="Arial"/>
        </w:rPr>
      </w:pPr>
      <w:r>
        <w:rPr>
          <w:rFonts w:ascii="Arial" w:hAnsi="Arial"/>
        </w:rPr>
        <w:t xml:space="preserve">The space plan is addressed in the county code in Chapters 4 and 20 – excerpts are included as </w:t>
      </w:r>
      <w:r>
        <w:rPr>
          <w:rFonts w:ascii="Arial" w:hAnsi="Arial"/>
          <w:b/>
        </w:rPr>
        <w:t xml:space="preserve">Attachment </w:t>
      </w:r>
      <w:r w:rsidR="007762C4">
        <w:rPr>
          <w:rFonts w:ascii="Arial" w:hAnsi="Arial"/>
          <w:b/>
        </w:rPr>
        <w:t>4</w:t>
      </w:r>
      <w:r>
        <w:rPr>
          <w:rFonts w:ascii="Arial" w:hAnsi="Arial"/>
        </w:rPr>
        <w:t xml:space="preserve">.  The space plan adoption is specifically addressed in Chapter 20 as part of the Comprehensive Plan where it is stated specifically that the county space plan “shall govern development of all facility master plans, facility program plans and CIP and lease requests for space housing county agency operations”.  </w:t>
      </w:r>
    </w:p>
    <w:p w:rsidR="00B34E97" w:rsidRDefault="00B34E97" w:rsidP="00B34E97">
      <w:pPr>
        <w:rPr>
          <w:rFonts w:ascii="Arial" w:hAnsi="Arial"/>
        </w:rPr>
      </w:pPr>
    </w:p>
    <w:p w:rsidR="00B34E97" w:rsidRDefault="00B34E97" w:rsidP="00B34E97">
      <w:pPr>
        <w:rPr>
          <w:rFonts w:ascii="Arial" w:hAnsi="Arial"/>
        </w:rPr>
      </w:pPr>
      <w:r>
        <w:rPr>
          <w:rFonts w:ascii="Arial" w:hAnsi="Arial"/>
        </w:rPr>
        <w:t xml:space="preserve">Additionally, KCC 4.04.020, the </w:t>
      </w:r>
      <w:r w:rsidRPr="003A4E4A">
        <w:rPr>
          <w:rFonts w:ascii="Arial" w:hAnsi="Arial"/>
        </w:rPr>
        <w:t>Budget and Reporting System</w:t>
      </w:r>
      <w:r>
        <w:rPr>
          <w:rFonts w:ascii="Arial" w:hAnsi="Arial"/>
        </w:rPr>
        <w:t xml:space="preserve"> section states that the adopted county space plan should be the basis for capital improvement plans and project program plans.  Although facility master plans are not mentioned within Chapter 4, it is generally assumed that the definitions for project program plans and FMPs are similar in nature.  </w:t>
      </w:r>
      <w:r w:rsidR="00E954C4" w:rsidRPr="00E954C4">
        <w:rPr>
          <w:rFonts w:ascii="Arial" w:hAnsi="Arial"/>
          <w:i/>
        </w:rPr>
        <w:t xml:space="preserve">Title 4 changes may need to incorporate </w:t>
      </w:r>
      <w:r w:rsidR="00E954C4">
        <w:rPr>
          <w:rFonts w:ascii="Arial" w:hAnsi="Arial"/>
          <w:i/>
        </w:rPr>
        <w:t xml:space="preserve">aspects </w:t>
      </w:r>
      <w:r w:rsidR="00E954C4" w:rsidRPr="00E954C4">
        <w:rPr>
          <w:rFonts w:ascii="Arial" w:hAnsi="Arial"/>
          <w:i/>
        </w:rPr>
        <w:t xml:space="preserve">of the proposed </w:t>
      </w:r>
      <w:r w:rsidR="00075FE1">
        <w:rPr>
          <w:rFonts w:ascii="Arial" w:hAnsi="Arial"/>
          <w:i/>
        </w:rPr>
        <w:t>RAMP</w:t>
      </w:r>
      <w:r w:rsidR="00D82FCA">
        <w:rPr>
          <w:rFonts w:ascii="Arial" w:hAnsi="Arial"/>
          <w:i/>
        </w:rPr>
        <w:t>; however it is assumed that the code requirement will continue to make it clear that the RAMP will be the overarching policy document for capital planning decisions</w:t>
      </w:r>
      <w:r w:rsidR="00E954C4" w:rsidRPr="00E954C4">
        <w:rPr>
          <w:rFonts w:ascii="Arial" w:hAnsi="Arial"/>
          <w:i/>
        </w:rPr>
        <w:t>.</w:t>
      </w:r>
      <w:r w:rsidR="00E954C4">
        <w:rPr>
          <w:rFonts w:ascii="Arial" w:hAnsi="Arial"/>
          <w:i/>
        </w:rPr>
        <w:t xml:space="preserve">  </w:t>
      </w:r>
    </w:p>
    <w:p w:rsidR="00B34E97" w:rsidRDefault="00B34E97" w:rsidP="00B34E97">
      <w:pPr>
        <w:rPr>
          <w:rFonts w:ascii="Arial" w:hAnsi="Arial"/>
        </w:rPr>
      </w:pPr>
    </w:p>
    <w:p w:rsidR="00B34E97" w:rsidRPr="003032D0" w:rsidRDefault="003032D0" w:rsidP="00B34E97">
      <w:pPr>
        <w:rPr>
          <w:rFonts w:ascii="Arial" w:hAnsi="Arial"/>
          <w:u w:val="single"/>
        </w:rPr>
      </w:pPr>
      <w:r w:rsidRPr="003032D0">
        <w:rPr>
          <w:rFonts w:ascii="Arial" w:hAnsi="Arial"/>
          <w:u w:val="single"/>
        </w:rPr>
        <w:t>Existing Environment:</w:t>
      </w:r>
    </w:p>
    <w:p w:rsidR="00B34E97" w:rsidRDefault="00B34E97" w:rsidP="00B34E97">
      <w:pPr>
        <w:outlineLvl w:val="0"/>
        <w:rPr>
          <w:rFonts w:ascii="Arial" w:hAnsi="Arial" w:cs="Arial"/>
          <w:bCs/>
        </w:rPr>
      </w:pPr>
      <w:r>
        <w:rPr>
          <w:rFonts w:ascii="Arial" w:hAnsi="Arial"/>
        </w:rPr>
        <w:t>All space plans represent a “snapshot in time”, as planning decisions are influenced by on-going policy decisions.  To ensure that updates are on-going, the space plan is to be transmitted every other year</w:t>
      </w:r>
      <w:r w:rsidR="006D2217">
        <w:rPr>
          <w:rFonts w:ascii="Arial" w:hAnsi="Arial"/>
        </w:rPr>
        <w:t xml:space="preserve"> and is due on March 1</w:t>
      </w:r>
      <w:r>
        <w:rPr>
          <w:rFonts w:ascii="Arial" w:hAnsi="Arial"/>
        </w:rPr>
        <w:t xml:space="preserve">.  </w:t>
      </w:r>
    </w:p>
    <w:p w:rsidR="00DD47CA" w:rsidRPr="00790590" w:rsidRDefault="00E83437" w:rsidP="00DD47CA">
      <w:r w:rsidRPr="00D932D2">
        <w:rPr>
          <w:rFonts w:ascii="Arial" w:hAnsi="Arial" w:cs="Arial"/>
          <w:noProof/>
          <w:u w:val="single"/>
        </w:rPr>
        <w:drawing>
          <wp:anchor distT="0" distB="0" distL="182880" distR="0" simplePos="0" relativeHeight="251659264" behindDoc="1" locked="0" layoutInCell="1" allowOverlap="0" wp14:anchorId="3EB6E24D" wp14:editId="09147832">
            <wp:simplePos x="0" y="0"/>
            <wp:positionH relativeFrom="column">
              <wp:posOffset>3267075</wp:posOffset>
            </wp:positionH>
            <wp:positionV relativeFrom="paragraph">
              <wp:posOffset>81280</wp:posOffset>
            </wp:positionV>
            <wp:extent cx="2907665" cy="2715260"/>
            <wp:effectExtent l="0" t="0" r="0" b="8890"/>
            <wp:wrapSquare wrapText="lef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665" cy="2715260"/>
                    </a:xfrm>
                    <a:prstGeom prst="rect">
                      <a:avLst/>
                    </a:prstGeom>
                    <a:noFill/>
                    <a:ln>
                      <a:noFill/>
                    </a:ln>
                  </pic:spPr>
                </pic:pic>
              </a:graphicData>
            </a:graphic>
          </wp:anchor>
        </w:drawing>
      </w:r>
    </w:p>
    <w:p w:rsidR="00DD47CA" w:rsidRPr="00D932D2" w:rsidRDefault="00DD47CA" w:rsidP="00DD47CA">
      <w:pPr>
        <w:rPr>
          <w:rFonts w:ascii="Arial" w:hAnsi="Arial" w:cs="Arial"/>
          <w:b/>
          <w:u w:val="single"/>
        </w:rPr>
      </w:pPr>
      <w:r w:rsidRPr="00D932D2">
        <w:rPr>
          <w:rFonts w:ascii="Arial" w:hAnsi="Arial" w:cs="Arial"/>
          <w:b/>
          <w:u w:val="single"/>
        </w:rPr>
        <w:t>Real Property Asset Management</w:t>
      </w:r>
    </w:p>
    <w:p w:rsidR="00DD47CA" w:rsidRDefault="00DD47CA" w:rsidP="00DD47CA">
      <w:pPr>
        <w:rPr>
          <w:rFonts w:ascii="Arial" w:hAnsi="Arial" w:cs="Arial"/>
        </w:rPr>
      </w:pPr>
      <w:r>
        <w:rPr>
          <w:rFonts w:ascii="Arial" w:hAnsi="Arial" w:cs="Arial"/>
        </w:rPr>
        <w:t>Management of the c</w:t>
      </w:r>
      <w:r w:rsidRPr="00C4077C">
        <w:rPr>
          <w:rFonts w:ascii="Arial" w:hAnsi="Arial" w:cs="Arial"/>
        </w:rPr>
        <w:t xml:space="preserve">ounty’s real property assets consists of several functions: </w:t>
      </w:r>
    </w:p>
    <w:p w:rsidR="00DD47CA" w:rsidRDefault="00DD47CA" w:rsidP="00DD47CA">
      <w:pPr>
        <w:rPr>
          <w:rFonts w:ascii="Arial" w:hAnsi="Arial" w:cs="Arial"/>
        </w:rPr>
      </w:pPr>
    </w:p>
    <w:p w:rsidR="00DD47CA" w:rsidRDefault="00DD47CA" w:rsidP="00DD47CA">
      <w:pPr>
        <w:pStyle w:val="ListParagraph"/>
        <w:numPr>
          <w:ilvl w:val="0"/>
          <w:numId w:val="7"/>
        </w:numPr>
        <w:rPr>
          <w:rFonts w:ascii="Arial" w:hAnsi="Arial" w:cs="Arial"/>
        </w:rPr>
      </w:pPr>
      <w:r w:rsidRPr="00C4077C">
        <w:rPr>
          <w:rFonts w:ascii="Arial" w:hAnsi="Arial" w:cs="Arial"/>
        </w:rPr>
        <w:t xml:space="preserve">acquisition, permitting, leasing, disposal; </w:t>
      </w:r>
    </w:p>
    <w:p w:rsidR="00DD47CA" w:rsidRDefault="00DD47CA" w:rsidP="00DD47CA">
      <w:pPr>
        <w:pStyle w:val="ListParagraph"/>
        <w:numPr>
          <w:ilvl w:val="0"/>
          <w:numId w:val="7"/>
        </w:numPr>
        <w:rPr>
          <w:rFonts w:ascii="Arial" w:hAnsi="Arial" w:cs="Arial"/>
        </w:rPr>
      </w:pPr>
      <w:r w:rsidRPr="00C4077C">
        <w:rPr>
          <w:rFonts w:ascii="Arial" w:hAnsi="Arial" w:cs="Arial"/>
        </w:rPr>
        <w:t xml:space="preserve">facility operations and maintenance; </w:t>
      </w:r>
    </w:p>
    <w:p w:rsidR="00DD47CA" w:rsidRDefault="00DD47CA" w:rsidP="00DD47CA">
      <w:pPr>
        <w:pStyle w:val="ListParagraph"/>
        <w:numPr>
          <w:ilvl w:val="0"/>
          <w:numId w:val="7"/>
        </w:numPr>
        <w:rPr>
          <w:rFonts w:ascii="Arial" w:hAnsi="Arial" w:cs="Arial"/>
        </w:rPr>
      </w:pPr>
      <w:r w:rsidRPr="00C4077C">
        <w:rPr>
          <w:rFonts w:ascii="Arial" w:hAnsi="Arial" w:cs="Arial"/>
        </w:rPr>
        <w:t xml:space="preserve">safety, security, and disaster planning; </w:t>
      </w:r>
    </w:p>
    <w:p w:rsidR="00DD47CA" w:rsidRDefault="00DD47CA" w:rsidP="00DD47CA">
      <w:pPr>
        <w:pStyle w:val="ListParagraph"/>
        <w:numPr>
          <w:ilvl w:val="0"/>
          <w:numId w:val="7"/>
        </w:numPr>
        <w:rPr>
          <w:rFonts w:ascii="Arial" w:hAnsi="Arial" w:cs="Arial"/>
        </w:rPr>
      </w:pPr>
      <w:r w:rsidRPr="00C4077C">
        <w:rPr>
          <w:rFonts w:ascii="Arial" w:hAnsi="Arial" w:cs="Arial"/>
        </w:rPr>
        <w:t xml:space="preserve">capital investment; </w:t>
      </w:r>
    </w:p>
    <w:p w:rsidR="00DD47CA" w:rsidRDefault="00DD47CA" w:rsidP="00DD47CA">
      <w:pPr>
        <w:pStyle w:val="ListParagraph"/>
        <w:numPr>
          <w:ilvl w:val="0"/>
          <w:numId w:val="7"/>
        </w:numPr>
        <w:rPr>
          <w:rFonts w:ascii="Arial" w:hAnsi="Arial" w:cs="Arial"/>
        </w:rPr>
      </w:pPr>
      <w:r w:rsidRPr="00C4077C">
        <w:rPr>
          <w:rFonts w:ascii="Arial" w:hAnsi="Arial" w:cs="Arial"/>
        </w:rPr>
        <w:t xml:space="preserve"> environmental sustainability; and </w:t>
      </w:r>
    </w:p>
    <w:p w:rsidR="00DD47CA" w:rsidRDefault="00DD47CA" w:rsidP="00DD47CA">
      <w:pPr>
        <w:pStyle w:val="ListParagraph"/>
        <w:numPr>
          <w:ilvl w:val="0"/>
          <w:numId w:val="7"/>
        </w:numPr>
        <w:rPr>
          <w:rFonts w:ascii="Arial" w:hAnsi="Arial" w:cs="Arial"/>
        </w:rPr>
      </w:pPr>
      <w:r w:rsidRPr="00C4077C">
        <w:rPr>
          <w:rFonts w:ascii="Arial" w:hAnsi="Arial" w:cs="Arial"/>
        </w:rPr>
        <w:t xml:space="preserve">integrated work place design.  </w:t>
      </w:r>
    </w:p>
    <w:p w:rsidR="00DD47CA" w:rsidRPr="00C4077C" w:rsidRDefault="00DD47CA" w:rsidP="00DD47CA">
      <w:pPr>
        <w:ind w:left="360"/>
        <w:rPr>
          <w:rFonts w:ascii="Arial" w:hAnsi="Arial" w:cs="Arial"/>
        </w:rPr>
      </w:pPr>
    </w:p>
    <w:p w:rsidR="00DD47CA" w:rsidRPr="00C4077C" w:rsidRDefault="00DD47CA" w:rsidP="00DD47CA">
      <w:pPr>
        <w:rPr>
          <w:rFonts w:ascii="Arial" w:hAnsi="Arial" w:cs="Arial"/>
        </w:rPr>
      </w:pPr>
      <w:r w:rsidRPr="00C4077C">
        <w:rPr>
          <w:rFonts w:ascii="Arial" w:hAnsi="Arial" w:cs="Arial"/>
        </w:rPr>
        <w:lastRenderedPageBreak/>
        <w:t>As shown in the figure, all of the functions are linked and dependent on each other.</w:t>
      </w:r>
    </w:p>
    <w:p w:rsidR="00DD47CA" w:rsidRPr="00C4077C" w:rsidRDefault="00DD47CA" w:rsidP="00DD47CA">
      <w:pPr>
        <w:rPr>
          <w:rFonts w:ascii="Arial" w:hAnsi="Arial" w:cs="Arial"/>
        </w:rPr>
      </w:pPr>
    </w:p>
    <w:p w:rsidR="00DD47CA" w:rsidRPr="00C4077C" w:rsidRDefault="00DD47CA" w:rsidP="00DD47CA">
      <w:pPr>
        <w:rPr>
          <w:rFonts w:ascii="Arial" w:hAnsi="Arial" w:cs="Arial"/>
        </w:rPr>
      </w:pPr>
      <w:r>
        <w:rPr>
          <w:rFonts w:ascii="Arial" w:hAnsi="Arial" w:cs="Arial"/>
        </w:rPr>
        <w:t>The report provides a brief</w:t>
      </w:r>
      <w:r w:rsidRPr="00C4077C">
        <w:rPr>
          <w:rFonts w:ascii="Arial" w:hAnsi="Arial" w:cs="Arial"/>
        </w:rPr>
        <w:t xml:space="preserve"> description of each function, the linkages with the County’s Strategic Plan</w:t>
      </w:r>
      <w:r>
        <w:rPr>
          <w:rFonts w:ascii="Arial" w:hAnsi="Arial" w:cs="Arial"/>
        </w:rPr>
        <w:t xml:space="preserve"> and agency business plans</w:t>
      </w:r>
      <w:r w:rsidRPr="00C4077C">
        <w:rPr>
          <w:rFonts w:ascii="Arial" w:hAnsi="Arial" w:cs="Arial"/>
        </w:rPr>
        <w:t>, overarching goals and long term objectives and strat</w:t>
      </w:r>
      <w:r>
        <w:rPr>
          <w:rFonts w:ascii="Arial" w:hAnsi="Arial" w:cs="Arial"/>
        </w:rPr>
        <w:t xml:space="preserve">egies.  </w:t>
      </w:r>
    </w:p>
    <w:p w:rsidR="00DD47CA" w:rsidRDefault="00DD47CA" w:rsidP="00B34E97">
      <w:pPr>
        <w:outlineLvl w:val="0"/>
        <w:rPr>
          <w:rFonts w:ascii="Arial" w:hAnsi="Arial" w:cs="Arial"/>
          <w:bCs/>
        </w:rPr>
      </w:pPr>
    </w:p>
    <w:p w:rsidR="00872792" w:rsidRPr="00D1543D" w:rsidRDefault="008430BA" w:rsidP="00872792">
      <w:pPr>
        <w:spacing w:line="240" w:lineRule="atLeast"/>
        <w:rPr>
          <w:rFonts w:ascii="Arial" w:hAnsi="Arial" w:cs="Arial"/>
        </w:rPr>
      </w:pPr>
      <w:r>
        <w:rPr>
          <w:rFonts w:ascii="Arial" w:hAnsi="Arial" w:cs="Arial"/>
          <w:b/>
          <w:bCs/>
          <w:u w:val="single"/>
        </w:rPr>
        <w:t>THE PLAN</w:t>
      </w:r>
      <w:r w:rsidR="00872792" w:rsidRPr="00D1543D">
        <w:rPr>
          <w:rFonts w:ascii="Arial" w:hAnsi="Arial" w:cs="Arial"/>
          <w:b/>
          <w:bCs/>
          <w:u w:val="single"/>
        </w:rPr>
        <w:t>:</w:t>
      </w:r>
    </w:p>
    <w:p w:rsidR="00E2738E" w:rsidRDefault="008430BA" w:rsidP="00E46329">
      <w:pPr>
        <w:spacing w:line="240" w:lineRule="atLeast"/>
        <w:rPr>
          <w:rFonts w:ascii="Arial" w:hAnsi="Arial" w:cs="Arial"/>
        </w:rPr>
      </w:pPr>
      <w:r>
        <w:rPr>
          <w:rFonts w:ascii="Arial" w:hAnsi="Arial" w:cs="Arial"/>
        </w:rPr>
        <w:t xml:space="preserve">The proposed </w:t>
      </w:r>
      <w:r w:rsidR="00FA6CDB">
        <w:rPr>
          <w:rFonts w:ascii="Arial" w:hAnsi="Arial" w:cs="Arial"/>
        </w:rPr>
        <w:t xml:space="preserve">2013 </w:t>
      </w:r>
      <w:r w:rsidR="00781D74">
        <w:rPr>
          <w:rFonts w:ascii="Arial" w:hAnsi="Arial" w:cs="Arial"/>
        </w:rPr>
        <w:t>RAMP</w:t>
      </w:r>
      <w:r>
        <w:rPr>
          <w:rFonts w:ascii="Arial" w:hAnsi="Arial" w:cs="Arial"/>
        </w:rPr>
        <w:t xml:space="preserve"> is intended to inform policy, operational, and budget decisions</w:t>
      </w:r>
      <w:r w:rsidR="0017122A">
        <w:rPr>
          <w:rFonts w:ascii="Arial" w:hAnsi="Arial" w:cs="Arial"/>
        </w:rPr>
        <w:t xml:space="preserve"> for the county's real property, subject to the Strategic Plan</w:t>
      </w:r>
      <w:r w:rsidR="002A09F9">
        <w:rPr>
          <w:rFonts w:ascii="Arial" w:hAnsi="Arial" w:cs="Arial"/>
        </w:rPr>
        <w:t xml:space="preserve"> and </w:t>
      </w:r>
      <w:r w:rsidR="00FA6CDB">
        <w:rPr>
          <w:rFonts w:ascii="Arial" w:hAnsi="Arial" w:cs="Arial"/>
        </w:rPr>
        <w:t>agency business plans</w:t>
      </w:r>
      <w:r w:rsidR="002A09F9">
        <w:rPr>
          <w:rFonts w:ascii="Arial" w:hAnsi="Arial" w:cs="Arial"/>
        </w:rPr>
        <w:t>,</w:t>
      </w:r>
      <w:r w:rsidR="0017122A">
        <w:rPr>
          <w:rFonts w:ascii="Arial" w:hAnsi="Arial" w:cs="Arial"/>
        </w:rPr>
        <w:t xml:space="preserve"> and </w:t>
      </w:r>
      <w:r w:rsidR="00FA6CDB">
        <w:rPr>
          <w:rFonts w:ascii="Arial" w:hAnsi="Arial" w:cs="Arial"/>
        </w:rPr>
        <w:t>to serve</w:t>
      </w:r>
      <w:r w:rsidR="0017122A">
        <w:rPr>
          <w:rFonts w:ascii="Arial" w:hAnsi="Arial" w:cs="Arial"/>
        </w:rPr>
        <w:t xml:space="preserve"> as the capital component of the Comprehensive Plan.  </w:t>
      </w:r>
      <w:r w:rsidR="007051C2">
        <w:rPr>
          <w:rFonts w:ascii="Arial" w:hAnsi="Arial" w:cs="Arial"/>
        </w:rPr>
        <w:t xml:space="preserve">As noted in the Summary Section, the plan includes policies, long and short term </w:t>
      </w:r>
      <w:r w:rsidR="00C34B5D">
        <w:rPr>
          <w:rFonts w:ascii="Arial" w:hAnsi="Arial" w:cs="Arial"/>
        </w:rPr>
        <w:t xml:space="preserve">approaches, and all supporting appendices.  </w:t>
      </w:r>
      <w:r w:rsidR="00FA6CDB" w:rsidRPr="00FA6CDB">
        <w:rPr>
          <w:rFonts w:ascii="Arial" w:hAnsi="Arial" w:cs="Arial"/>
          <w:u w:val="single"/>
        </w:rPr>
        <w:t xml:space="preserve">It is envisioned that the plan will be updated biennially and that new sections will be added </w:t>
      </w:r>
      <w:r w:rsidR="00DD7D91">
        <w:rPr>
          <w:rFonts w:ascii="Arial" w:hAnsi="Arial" w:cs="Arial"/>
          <w:u w:val="single"/>
        </w:rPr>
        <w:t xml:space="preserve">with each update </w:t>
      </w:r>
      <w:r w:rsidR="00FA6CDB" w:rsidRPr="00FA6CDB">
        <w:rPr>
          <w:rFonts w:ascii="Arial" w:hAnsi="Arial" w:cs="Arial"/>
          <w:u w:val="single"/>
        </w:rPr>
        <w:t>to address emerging issues and practices</w:t>
      </w:r>
      <w:r w:rsidR="00FA6CDB">
        <w:rPr>
          <w:rFonts w:ascii="Arial" w:hAnsi="Arial" w:cs="Arial"/>
        </w:rPr>
        <w:t>.  This "living"</w:t>
      </w:r>
      <w:r w:rsidR="00E2738E">
        <w:rPr>
          <w:rFonts w:ascii="Arial" w:hAnsi="Arial" w:cs="Arial"/>
        </w:rPr>
        <w:t xml:space="preserve"> plan:</w:t>
      </w:r>
    </w:p>
    <w:p w:rsidR="00E2738E" w:rsidRPr="00E2738E" w:rsidRDefault="00E2738E" w:rsidP="00D932D2">
      <w:pPr>
        <w:pStyle w:val="ListParagraph"/>
        <w:numPr>
          <w:ilvl w:val="0"/>
          <w:numId w:val="4"/>
        </w:numPr>
        <w:spacing w:before="120" w:line="240" w:lineRule="auto"/>
        <w:contextualSpacing/>
        <w:rPr>
          <w:rFonts w:ascii="Arial" w:hAnsi="Arial" w:cs="Arial"/>
        </w:rPr>
      </w:pPr>
      <w:r w:rsidRPr="00E2738E">
        <w:rPr>
          <w:rFonts w:ascii="Arial" w:hAnsi="Arial" w:cs="Arial"/>
        </w:rPr>
        <w:t xml:space="preserve">Identifies the current challenges shaping the county’s facility needs. </w:t>
      </w:r>
    </w:p>
    <w:p w:rsidR="00E2738E" w:rsidRPr="00E2738E" w:rsidRDefault="00E2738E" w:rsidP="00D932D2">
      <w:pPr>
        <w:pStyle w:val="ListParagraph"/>
        <w:numPr>
          <w:ilvl w:val="0"/>
          <w:numId w:val="4"/>
        </w:numPr>
        <w:spacing w:before="120" w:line="240" w:lineRule="auto"/>
        <w:contextualSpacing/>
        <w:rPr>
          <w:rFonts w:ascii="Arial" w:hAnsi="Arial" w:cs="Arial"/>
        </w:rPr>
      </w:pPr>
      <w:r w:rsidRPr="00E2738E">
        <w:rPr>
          <w:rFonts w:ascii="Arial" w:hAnsi="Arial" w:cs="Arial"/>
        </w:rPr>
        <w:t>Acknowledges the complexity of real property management and focuses on the interrelationship of the va</w:t>
      </w:r>
      <w:r>
        <w:rPr>
          <w:rFonts w:ascii="Arial" w:hAnsi="Arial" w:cs="Arial"/>
        </w:rPr>
        <w:t>rious real property functions.</w:t>
      </w:r>
    </w:p>
    <w:p w:rsidR="00E2738E" w:rsidRPr="00E2738E" w:rsidRDefault="00E2738E" w:rsidP="00D932D2">
      <w:pPr>
        <w:pStyle w:val="ListParagraph"/>
        <w:numPr>
          <w:ilvl w:val="0"/>
          <w:numId w:val="4"/>
        </w:numPr>
        <w:spacing w:before="120" w:line="240" w:lineRule="auto"/>
        <w:contextualSpacing/>
        <w:rPr>
          <w:rFonts w:ascii="Arial" w:hAnsi="Arial" w:cs="Arial"/>
        </w:rPr>
      </w:pPr>
      <w:r w:rsidRPr="00E2738E">
        <w:rPr>
          <w:rFonts w:ascii="Arial" w:hAnsi="Arial" w:cs="Arial"/>
        </w:rPr>
        <w:t xml:space="preserve">Provides a </w:t>
      </w:r>
      <w:r w:rsidR="00FA6CDB">
        <w:rPr>
          <w:rFonts w:ascii="Arial" w:hAnsi="Arial" w:cs="Arial"/>
        </w:rPr>
        <w:t xml:space="preserve">policy </w:t>
      </w:r>
      <w:r w:rsidRPr="00E2738E">
        <w:rPr>
          <w:rFonts w:ascii="Arial" w:hAnsi="Arial" w:cs="Arial"/>
        </w:rPr>
        <w:t xml:space="preserve">framework for managing the county’s </w:t>
      </w:r>
      <w:r>
        <w:rPr>
          <w:rFonts w:ascii="Arial" w:hAnsi="Arial" w:cs="Arial"/>
        </w:rPr>
        <w:t xml:space="preserve">real property and proposes near term </w:t>
      </w:r>
      <w:r w:rsidRPr="00E2738E">
        <w:rPr>
          <w:rFonts w:ascii="Arial" w:hAnsi="Arial" w:cs="Arial"/>
        </w:rPr>
        <w:t>facility decisions.</w:t>
      </w:r>
    </w:p>
    <w:p w:rsidR="00E2738E" w:rsidRPr="00E2738E" w:rsidRDefault="00E2738E" w:rsidP="00D932D2">
      <w:pPr>
        <w:pStyle w:val="ListParagraph"/>
        <w:numPr>
          <w:ilvl w:val="0"/>
          <w:numId w:val="4"/>
        </w:numPr>
        <w:spacing w:before="120" w:line="240" w:lineRule="auto"/>
        <w:contextualSpacing/>
        <w:rPr>
          <w:rFonts w:ascii="Arial" w:hAnsi="Arial" w:cs="Arial"/>
        </w:rPr>
      </w:pPr>
      <w:r w:rsidRPr="00E2738E">
        <w:rPr>
          <w:rFonts w:ascii="Arial" w:hAnsi="Arial" w:cs="Arial"/>
        </w:rPr>
        <w:t xml:space="preserve">Focuses on the county’s building occupancy costs and existing vacant office space.  </w:t>
      </w:r>
    </w:p>
    <w:p w:rsidR="00E2738E" w:rsidRPr="00E2738E" w:rsidRDefault="00E2738E" w:rsidP="00D932D2">
      <w:pPr>
        <w:pStyle w:val="ListParagraph"/>
        <w:numPr>
          <w:ilvl w:val="0"/>
          <w:numId w:val="4"/>
        </w:numPr>
        <w:spacing w:before="120" w:line="240" w:lineRule="auto"/>
        <w:contextualSpacing/>
        <w:rPr>
          <w:rFonts w:ascii="Arial" w:hAnsi="Arial" w:cs="Arial"/>
        </w:rPr>
      </w:pPr>
      <w:r w:rsidRPr="00E2738E">
        <w:rPr>
          <w:rFonts w:ascii="Arial" w:hAnsi="Arial" w:cs="Arial"/>
        </w:rPr>
        <w:t xml:space="preserve">Provides tools to enable managers to be active participants in reducing the county’s building occupancy costs. </w:t>
      </w:r>
    </w:p>
    <w:p w:rsidR="00E2738E" w:rsidRPr="00E2738E" w:rsidRDefault="00E2738E" w:rsidP="00D932D2">
      <w:pPr>
        <w:pStyle w:val="ListParagraph"/>
        <w:numPr>
          <w:ilvl w:val="0"/>
          <w:numId w:val="4"/>
        </w:numPr>
        <w:spacing w:before="120" w:line="240" w:lineRule="auto"/>
        <w:contextualSpacing/>
        <w:rPr>
          <w:rFonts w:ascii="Arial" w:hAnsi="Arial" w:cs="Arial"/>
        </w:rPr>
      </w:pPr>
      <w:r w:rsidRPr="00E2738E">
        <w:rPr>
          <w:rFonts w:ascii="Arial" w:hAnsi="Arial" w:cs="Arial"/>
        </w:rPr>
        <w:t xml:space="preserve">Identifies new trends in office space. </w:t>
      </w:r>
    </w:p>
    <w:p w:rsidR="00E2738E" w:rsidRPr="00E2738E" w:rsidRDefault="00E2738E" w:rsidP="00D932D2">
      <w:pPr>
        <w:pStyle w:val="ListParagraph"/>
        <w:numPr>
          <w:ilvl w:val="0"/>
          <w:numId w:val="4"/>
        </w:numPr>
        <w:spacing w:before="120" w:line="240" w:lineRule="auto"/>
        <w:contextualSpacing/>
        <w:rPr>
          <w:rFonts w:ascii="Arial" w:hAnsi="Arial" w:cs="Arial"/>
        </w:rPr>
      </w:pPr>
      <w:r w:rsidRPr="00E2738E">
        <w:rPr>
          <w:rFonts w:ascii="Arial" w:hAnsi="Arial" w:cs="Arial"/>
        </w:rPr>
        <w:t xml:space="preserve">Provides long term strategies to </w:t>
      </w:r>
      <w:r>
        <w:rPr>
          <w:rFonts w:ascii="Arial" w:hAnsi="Arial" w:cs="Arial"/>
        </w:rPr>
        <w:t>r</w:t>
      </w:r>
      <w:r w:rsidRPr="00E2738E">
        <w:rPr>
          <w:rFonts w:ascii="Arial" w:hAnsi="Arial" w:cs="Arial"/>
        </w:rPr>
        <w:t>espond to changing facility needs.</w:t>
      </w:r>
    </w:p>
    <w:p w:rsidR="0017122A" w:rsidRDefault="0017122A" w:rsidP="00E46329">
      <w:pPr>
        <w:spacing w:line="240" w:lineRule="atLeast"/>
        <w:rPr>
          <w:rFonts w:ascii="Arial" w:hAnsi="Arial" w:cs="Arial"/>
        </w:rPr>
      </w:pPr>
    </w:p>
    <w:p w:rsidR="001825D0" w:rsidRDefault="001825D0" w:rsidP="00E46329">
      <w:pPr>
        <w:spacing w:line="240" w:lineRule="atLeast"/>
        <w:rPr>
          <w:rFonts w:ascii="Arial" w:hAnsi="Arial" w:cs="Arial"/>
          <w:b/>
          <w:u w:val="single"/>
        </w:rPr>
      </w:pPr>
      <w:r>
        <w:rPr>
          <w:rFonts w:ascii="Arial" w:hAnsi="Arial" w:cs="Arial"/>
          <w:b/>
          <w:u w:val="single"/>
        </w:rPr>
        <w:t xml:space="preserve">New </w:t>
      </w:r>
      <w:r w:rsidR="00162F9F">
        <w:rPr>
          <w:rFonts w:ascii="Arial" w:hAnsi="Arial" w:cs="Arial"/>
          <w:b/>
          <w:u w:val="single"/>
        </w:rPr>
        <w:t>to the Plan</w:t>
      </w:r>
      <w:r>
        <w:rPr>
          <w:rFonts w:ascii="Arial" w:hAnsi="Arial" w:cs="Arial"/>
          <w:b/>
          <w:u w:val="single"/>
        </w:rPr>
        <w:t>:</w:t>
      </w:r>
    </w:p>
    <w:p w:rsidR="006C01A1" w:rsidRPr="00162F9F" w:rsidRDefault="00FA6CDB" w:rsidP="00162F9F">
      <w:pPr>
        <w:pStyle w:val="ListParagraph"/>
        <w:numPr>
          <w:ilvl w:val="0"/>
          <w:numId w:val="16"/>
        </w:numPr>
        <w:spacing w:line="240" w:lineRule="atLeast"/>
        <w:rPr>
          <w:rFonts w:ascii="Arial" w:hAnsi="Arial" w:cs="Arial"/>
        </w:rPr>
      </w:pPr>
      <w:r w:rsidRPr="00162F9F">
        <w:rPr>
          <w:rFonts w:ascii="Arial" w:hAnsi="Arial" w:cs="Arial"/>
        </w:rPr>
        <w:t xml:space="preserve">A new section has been added in 2013 entitled "Projects and Initiatives".  </w:t>
      </w:r>
      <w:r w:rsidR="006C01A1" w:rsidRPr="00162F9F">
        <w:rPr>
          <w:rFonts w:ascii="Arial" w:hAnsi="Arial" w:cs="Arial"/>
        </w:rPr>
        <w:t>This section discusses major initiatives that are underway in the county to deliver services to residents.  Highlighted are:</w:t>
      </w:r>
    </w:p>
    <w:p w:rsidR="006C01A1" w:rsidRPr="006C01A1" w:rsidRDefault="006C01A1" w:rsidP="006C01A1">
      <w:pPr>
        <w:pStyle w:val="ListParagraph"/>
        <w:numPr>
          <w:ilvl w:val="0"/>
          <w:numId w:val="12"/>
        </w:numPr>
        <w:tabs>
          <w:tab w:val="left" w:pos="7380"/>
          <w:tab w:val="left" w:pos="7830"/>
        </w:tabs>
        <w:spacing w:before="120" w:line="240" w:lineRule="auto"/>
        <w:ind w:right="1044"/>
        <w:rPr>
          <w:rFonts w:ascii="Arial" w:hAnsi="Arial" w:cs="Arial"/>
          <w:color w:val="000000"/>
        </w:rPr>
      </w:pPr>
      <w:r w:rsidRPr="006C01A1">
        <w:rPr>
          <w:rFonts w:ascii="Arial" w:hAnsi="Arial" w:cs="Arial"/>
          <w:color w:val="000000"/>
        </w:rPr>
        <w:t>Replacing the deteriorating Youth Services Center with a new Children and Family Justice Center.</w:t>
      </w:r>
    </w:p>
    <w:p w:rsidR="006C01A1" w:rsidRPr="006C01A1" w:rsidRDefault="006C01A1" w:rsidP="006C01A1">
      <w:pPr>
        <w:pStyle w:val="ListParagraph"/>
        <w:numPr>
          <w:ilvl w:val="0"/>
          <w:numId w:val="12"/>
        </w:numPr>
        <w:tabs>
          <w:tab w:val="left" w:pos="7380"/>
          <w:tab w:val="left" w:pos="7830"/>
        </w:tabs>
        <w:spacing w:before="120" w:line="240" w:lineRule="auto"/>
        <w:ind w:right="1044"/>
        <w:rPr>
          <w:rFonts w:ascii="Arial" w:hAnsi="Arial" w:cs="Arial"/>
          <w:color w:val="000000"/>
        </w:rPr>
      </w:pPr>
      <w:r w:rsidRPr="006C01A1">
        <w:rPr>
          <w:rFonts w:ascii="Arial" w:hAnsi="Arial" w:cs="Arial"/>
          <w:color w:val="000000"/>
        </w:rPr>
        <w:t xml:space="preserve">Preserving the Harborview Hall with its historic and cultural significance in a manner that adapts the older building to meet existing critical space needs and benefits the environment by conserving natural resources. </w:t>
      </w:r>
    </w:p>
    <w:p w:rsidR="006C01A1" w:rsidRPr="006C01A1" w:rsidRDefault="006C01A1" w:rsidP="006C01A1">
      <w:pPr>
        <w:pStyle w:val="ListParagraph"/>
        <w:numPr>
          <w:ilvl w:val="0"/>
          <w:numId w:val="12"/>
        </w:numPr>
        <w:tabs>
          <w:tab w:val="left" w:pos="7380"/>
          <w:tab w:val="left" w:pos="7830"/>
        </w:tabs>
        <w:spacing w:before="120" w:line="240" w:lineRule="auto"/>
        <w:ind w:right="1044"/>
        <w:rPr>
          <w:rFonts w:ascii="Arial" w:hAnsi="Arial" w:cs="Arial"/>
          <w:color w:val="000000"/>
        </w:rPr>
      </w:pPr>
      <w:r w:rsidRPr="006C01A1">
        <w:rPr>
          <w:rFonts w:ascii="Arial" w:hAnsi="Arial" w:cs="Arial"/>
          <w:color w:val="000000"/>
        </w:rPr>
        <w:t>Transforming Health and Human Services delivery with an emphasis on partnerships, community hubs and new ways to meet critical needs.</w:t>
      </w:r>
    </w:p>
    <w:p w:rsidR="006C01A1" w:rsidRPr="006C01A1" w:rsidRDefault="006C01A1" w:rsidP="006C01A1">
      <w:pPr>
        <w:pStyle w:val="ListParagraph"/>
        <w:numPr>
          <w:ilvl w:val="0"/>
          <w:numId w:val="12"/>
        </w:numPr>
        <w:tabs>
          <w:tab w:val="left" w:pos="7380"/>
          <w:tab w:val="left" w:pos="7830"/>
        </w:tabs>
        <w:spacing w:before="120" w:line="240" w:lineRule="auto"/>
        <w:ind w:right="1044"/>
        <w:rPr>
          <w:rFonts w:ascii="Arial" w:hAnsi="Arial" w:cs="Arial"/>
          <w:color w:val="000000"/>
        </w:rPr>
      </w:pPr>
      <w:r w:rsidRPr="006C01A1">
        <w:rPr>
          <w:rFonts w:ascii="Arial" w:hAnsi="Arial" w:cs="Arial"/>
          <w:color w:val="000000"/>
        </w:rPr>
        <w:t>Addressing the shrinking King County Road Fund with accelerated surplus property sales and office space consolidations.</w:t>
      </w:r>
    </w:p>
    <w:p w:rsidR="006C01A1" w:rsidRPr="006C01A1" w:rsidRDefault="006C01A1" w:rsidP="006C01A1">
      <w:pPr>
        <w:pStyle w:val="ListParagraph"/>
        <w:numPr>
          <w:ilvl w:val="0"/>
          <w:numId w:val="12"/>
        </w:numPr>
        <w:tabs>
          <w:tab w:val="left" w:pos="7380"/>
          <w:tab w:val="left" w:pos="7830"/>
        </w:tabs>
        <w:spacing w:before="120" w:line="240" w:lineRule="auto"/>
        <w:ind w:right="1044"/>
        <w:rPr>
          <w:rFonts w:ascii="Arial" w:hAnsi="Arial" w:cs="Arial"/>
          <w:color w:val="000000"/>
        </w:rPr>
      </w:pPr>
      <w:r w:rsidRPr="006C01A1">
        <w:rPr>
          <w:rFonts w:ascii="Arial" w:hAnsi="Arial" w:cs="Arial"/>
          <w:color w:val="000000"/>
        </w:rPr>
        <w:t>Reorganizing the delivery of public defense while assuring that the clients assisted continue to receive high-quality legal representation.</w:t>
      </w:r>
    </w:p>
    <w:p w:rsidR="00FA6CDB" w:rsidRDefault="00FA6CDB" w:rsidP="00E46329">
      <w:pPr>
        <w:spacing w:line="240" w:lineRule="atLeast"/>
        <w:rPr>
          <w:rFonts w:ascii="Arial" w:hAnsi="Arial" w:cs="Arial"/>
        </w:rPr>
      </w:pPr>
    </w:p>
    <w:p w:rsidR="00162F9F" w:rsidRPr="00162F9F" w:rsidRDefault="008D51B1" w:rsidP="00162F9F">
      <w:pPr>
        <w:pStyle w:val="ListParagraph"/>
        <w:numPr>
          <w:ilvl w:val="0"/>
          <w:numId w:val="16"/>
        </w:numPr>
        <w:spacing w:line="240" w:lineRule="atLeast"/>
        <w:rPr>
          <w:rFonts w:ascii="Arial" w:hAnsi="Arial" w:cs="Arial"/>
        </w:rPr>
      </w:pPr>
      <w:r w:rsidRPr="00162F9F">
        <w:rPr>
          <w:rFonts w:ascii="Arial" w:hAnsi="Arial" w:cs="Arial"/>
        </w:rPr>
        <w:t xml:space="preserve">Another new section has also been added </w:t>
      </w:r>
      <w:r w:rsidR="00F92321" w:rsidRPr="00162F9F">
        <w:rPr>
          <w:rFonts w:ascii="Arial" w:hAnsi="Arial" w:cs="Arial"/>
        </w:rPr>
        <w:t>regarding</w:t>
      </w:r>
      <w:r w:rsidRPr="00162F9F">
        <w:rPr>
          <w:rFonts w:ascii="Arial" w:hAnsi="Arial" w:cs="Arial"/>
        </w:rPr>
        <w:t xml:space="preserve"> </w:t>
      </w:r>
      <w:r w:rsidR="00F92321" w:rsidRPr="00162F9F">
        <w:rPr>
          <w:rFonts w:ascii="Arial" w:hAnsi="Arial" w:cs="Arial"/>
        </w:rPr>
        <w:t>a facility condition assessment</w:t>
      </w:r>
      <w:r w:rsidR="001825D0">
        <w:rPr>
          <w:rStyle w:val="FootnoteReference"/>
          <w:rFonts w:ascii="Arial" w:hAnsi="Arial" w:cs="Arial"/>
        </w:rPr>
        <w:footnoteReference w:id="1"/>
      </w:r>
      <w:r w:rsidR="001825D0" w:rsidRPr="00162F9F">
        <w:rPr>
          <w:rFonts w:ascii="Arial" w:hAnsi="Arial" w:cs="Arial"/>
        </w:rPr>
        <w:t xml:space="preserve"> </w:t>
      </w:r>
      <w:r w:rsidR="00F92321" w:rsidRPr="00162F9F">
        <w:rPr>
          <w:rFonts w:ascii="Arial" w:hAnsi="Arial" w:cs="Arial"/>
        </w:rPr>
        <w:t>for</w:t>
      </w:r>
      <w:r w:rsidRPr="00162F9F">
        <w:rPr>
          <w:rFonts w:ascii="Arial" w:hAnsi="Arial" w:cs="Arial"/>
        </w:rPr>
        <w:t xml:space="preserve"> county buildings.  </w:t>
      </w:r>
      <w:r w:rsidR="00F92321" w:rsidRPr="00162F9F">
        <w:rPr>
          <w:rFonts w:ascii="Arial" w:hAnsi="Arial" w:cs="Arial"/>
        </w:rPr>
        <w:t xml:space="preserve">Thirty general government facilities were assessed by the </w:t>
      </w:r>
      <w:r w:rsidR="00F92321" w:rsidRPr="00162F9F">
        <w:rPr>
          <w:rFonts w:ascii="Arial" w:hAnsi="Arial" w:cs="Arial"/>
        </w:rPr>
        <w:lastRenderedPageBreak/>
        <w:t xml:space="preserve">consulting firm MENG Analysis.  </w:t>
      </w:r>
      <w:r w:rsidR="00162F9F" w:rsidRPr="00162F9F">
        <w:rPr>
          <w:rFonts w:ascii="Arial" w:hAnsi="Arial" w:cs="Arial"/>
        </w:rPr>
        <w:t xml:space="preserve">(Of the thirty buildings, fifteen were built before 1980 and represents approximately half of the total square footage.)  </w:t>
      </w:r>
      <w:r w:rsidR="001825D0" w:rsidRPr="00162F9F">
        <w:rPr>
          <w:rFonts w:ascii="Arial" w:hAnsi="Arial" w:cs="Arial"/>
        </w:rPr>
        <w:t>The consultant survey team made up of experienced architects and engineers updated three data sets:</w:t>
      </w:r>
      <w:r w:rsidR="00162F9F" w:rsidRPr="00162F9F">
        <w:rPr>
          <w:rFonts w:ascii="Arial" w:hAnsi="Arial" w:cs="Arial"/>
        </w:rPr>
        <w:t xml:space="preserve"> </w:t>
      </w:r>
    </w:p>
    <w:p w:rsidR="00162F9F" w:rsidRPr="00162F9F" w:rsidRDefault="00162F9F" w:rsidP="00162F9F">
      <w:pPr>
        <w:spacing w:line="240" w:lineRule="atLeast"/>
        <w:rPr>
          <w:rFonts w:ascii="Arial" w:hAnsi="Arial" w:cs="Arial"/>
        </w:rPr>
      </w:pPr>
    </w:p>
    <w:p w:rsidR="00162F9F" w:rsidRDefault="00162F9F" w:rsidP="00162F9F">
      <w:pPr>
        <w:pStyle w:val="ListParagraph"/>
        <w:numPr>
          <w:ilvl w:val="0"/>
          <w:numId w:val="15"/>
        </w:numPr>
        <w:spacing w:line="240" w:lineRule="atLeast"/>
        <w:rPr>
          <w:rFonts w:ascii="Arial" w:hAnsi="Arial" w:cs="Arial"/>
        </w:rPr>
      </w:pPr>
      <w:r>
        <w:rPr>
          <w:rFonts w:ascii="Arial" w:hAnsi="Arial" w:cs="Arial"/>
        </w:rPr>
        <w:t>Observed deficiencies for building systems</w:t>
      </w:r>
    </w:p>
    <w:p w:rsidR="00162F9F" w:rsidRDefault="00162F9F" w:rsidP="00162F9F">
      <w:pPr>
        <w:pStyle w:val="ListParagraph"/>
        <w:numPr>
          <w:ilvl w:val="0"/>
          <w:numId w:val="15"/>
        </w:numPr>
        <w:spacing w:line="240" w:lineRule="atLeast"/>
        <w:rPr>
          <w:rFonts w:ascii="Arial" w:hAnsi="Arial" w:cs="Arial"/>
        </w:rPr>
      </w:pPr>
      <w:r>
        <w:rPr>
          <w:rFonts w:ascii="Arial" w:hAnsi="Arial" w:cs="Arial"/>
        </w:rPr>
        <w:t>Facility condition index</w:t>
      </w:r>
    </w:p>
    <w:p w:rsidR="00162F9F" w:rsidRDefault="00162F9F" w:rsidP="00162F9F">
      <w:pPr>
        <w:pStyle w:val="ListParagraph"/>
        <w:numPr>
          <w:ilvl w:val="0"/>
          <w:numId w:val="15"/>
        </w:numPr>
        <w:spacing w:line="240" w:lineRule="atLeast"/>
        <w:rPr>
          <w:rFonts w:ascii="Arial" w:hAnsi="Arial" w:cs="Arial"/>
        </w:rPr>
      </w:pPr>
      <w:r>
        <w:rPr>
          <w:rFonts w:ascii="Arial" w:hAnsi="Arial" w:cs="Arial"/>
        </w:rPr>
        <w:t>Six and twenty year renewal forecast</w:t>
      </w:r>
    </w:p>
    <w:p w:rsidR="00162F9F" w:rsidRPr="00162F9F" w:rsidRDefault="00162F9F" w:rsidP="00162F9F">
      <w:pPr>
        <w:spacing w:line="240" w:lineRule="atLeast"/>
        <w:rPr>
          <w:rFonts w:ascii="Arial" w:hAnsi="Arial" w:cs="Arial"/>
        </w:rPr>
      </w:pPr>
    </w:p>
    <w:p w:rsidR="00162F9F" w:rsidRDefault="00576EB9" w:rsidP="00E46329">
      <w:pPr>
        <w:spacing w:line="240" w:lineRule="atLeast"/>
        <w:rPr>
          <w:rFonts w:ascii="Arial" w:hAnsi="Arial" w:cs="Arial"/>
        </w:rPr>
      </w:pPr>
      <w:r>
        <w:rPr>
          <w:rFonts w:ascii="Arial" w:hAnsi="Arial" w:cs="Arial"/>
        </w:rPr>
        <w:t xml:space="preserve">Observed deficiencies were reported using the following data: </w:t>
      </w:r>
      <w:r w:rsidRPr="00576EB9">
        <w:rPr>
          <w:rFonts w:ascii="Arial" w:hAnsi="Arial" w:cs="Arial"/>
        </w:rPr>
        <w:t xml:space="preserve">1) building system conditions, 2) system renewal data, 3) remaining useful life </w:t>
      </w:r>
      <w:r w:rsidR="00F801BF">
        <w:rPr>
          <w:rFonts w:ascii="Arial" w:hAnsi="Arial" w:cs="Arial"/>
        </w:rPr>
        <w:t>of systems, 4) condition scores,</w:t>
      </w:r>
      <w:r w:rsidRPr="00576EB9">
        <w:rPr>
          <w:rFonts w:ascii="Arial" w:hAnsi="Arial" w:cs="Arial"/>
        </w:rPr>
        <w:t xml:space="preserve"> and 5) estimated costs to replace or repair deficient systems.</w:t>
      </w:r>
      <w:r>
        <w:rPr>
          <w:rFonts w:ascii="Arial" w:hAnsi="Arial" w:cs="Arial"/>
        </w:rPr>
        <w:t xml:space="preserve">  </w:t>
      </w:r>
      <w:r w:rsidR="00DE67FA">
        <w:rPr>
          <w:rFonts w:ascii="Arial" w:hAnsi="Arial" w:cs="Arial"/>
        </w:rPr>
        <w:t>The</w:t>
      </w:r>
      <w:r w:rsidR="00D36C74">
        <w:rPr>
          <w:rFonts w:ascii="Arial" w:hAnsi="Arial" w:cs="Arial"/>
        </w:rPr>
        <w:t xml:space="preserve"> total</w:t>
      </w:r>
      <w:r w:rsidR="00DE67FA">
        <w:rPr>
          <w:rFonts w:ascii="Arial" w:hAnsi="Arial" w:cs="Arial"/>
        </w:rPr>
        <w:t xml:space="preserve"> dollar value assigned for the deficiencies is estimated at $100 million – with the 15 buildings built prior to 1980 representing </w:t>
      </w:r>
      <w:r w:rsidR="00AF2A97">
        <w:rPr>
          <w:rFonts w:ascii="Arial" w:hAnsi="Arial" w:cs="Arial"/>
        </w:rPr>
        <w:t>60</w:t>
      </w:r>
      <w:r w:rsidR="00DE67FA">
        <w:rPr>
          <w:rFonts w:ascii="Arial" w:hAnsi="Arial" w:cs="Arial"/>
        </w:rPr>
        <w:t xml:space="preserve"> percent of the total cost.  The top five buildings account for seventy-six percent with the King County Courthouse having the highest amount</w:t>
      </w:r>
      <w:r w:rsidR="007201DB">
        <w:rPr>
          <w:rFonts w:ascii="Arial" w:hAnsi="Arial" w:cs="Arial"/>
        </w:rPr>
        <w:t xml:space="preserve"> assigned</w:t>
      </w:r>
      <w:r w:rsidR="00DE67FA">
        <w:rPr>
          <w:rFonts w:ascii="Arial" w:hAnsi="Arial" w:cs="Arial"/>
        </w:rPr>
        <w:t>:</w:t>
      </w:r>
    </w:p>
    <w:p w:rsidR="00DE67FA" w:rsidRDefault="00DE67FA" w:rsidP="00E46329">
      <w:pPr>
        <w:spacing w:line="240" w:lineRule="atLeast"/>
        <w:rPr>
          <w:rFonts w:ascii="Arial" w:hAnsi="Arial" w:cs="Arial"/>
        </w:rPr>
      </w:pPr>
    </w:p>
    <w:p w:rsidR="00DE67FA" w:rsidRPr="007201DB" w:rsidRDefault="00DE67FA" w:rsidP="00B862E8">
      <w:pPr>
        <w:pStyle w:val="Caption"/>
        <w:rPr>
          <w:rFonts w:cs="Arial"/>
          <w:sz w:val="18"/>
          <w:szCs w:val="18"/>
        </w:rPr>
      </w:pPr>
      <w:bookmarkStart w:id="1" w:name="_Toc357574971"/>
      <w:r w:rsidRPr="007201DB">
        <w:rPr>
          <w:rFonts w:cs="Arial"/>
          <w:sz w:val="18"/>
          <w:szCs w:val="18"/>
        </w:rPr>
        <w:t xml:space="preserve">Observed Deficiencies </w:t>
      </w:r>
      <w:r w:rsidR="00D266F0">
        <w:rPr>
          <w:rFonts w:cs="Arial"/>
          <w:sz w:val="18"/>
          <w:szCs w:val="18"/>
        </w:rPr>
        <w:t>–</w:t>
      </w:r>
      <w:r w:rsidRPr="007201DB">
        <w:rPr>
          <w:rFonts w:cs="Arial"/>
          <w:sz w:val="18"/>
          <w:szCs w:val="18"/>
        </w:rPr>
        <w:t xml:space="preserve"> Top 5 Buildings</w:t>
      </w:r>
      <w:bookmarkEnd w:id="1"/>
    </w:p>
    <w:tbl>
      <w:tblPr>
        <w:tblStyle w:val="LightList-Accent1"/>
        <w:tblW w:w="6276" w:type="dxa"/>
        <w:jc w:val="center"/>
        <w:tblLook w:val="04A0" w:firstRow="1" w:lastRow="0" w:firstColumn="1" w:lastColumn="0" w:noHBand="0" w:noVBand="1"/>
      </w:tblPr>
      <w:tblGrid>
        <w:gridCol w:w="3815"/>
        <w:gridCol w:w="911"/>
        <w:gridCol w:w="49"/>
        <w:gridCol w:w="1442"/>
        <w:gridCol w:w="59"/>
      </w:tblGrid>
      <w:tr w:rsidR="00B862E8" w:rsidRPr="007201DB" w:rsidTr="00B862E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815" w:type="dxa"/>
            <w:tcBorders>
              <w:top w:val="single" w:sz="8" w:space="0" w:color="4F81BD" w:themeColor="accent1"/>
              <w:bottom w:val="nil"/>
            </w:tcBorders>
            <w:shd w:val="clear" w:color="auto" w:fill="FABF8F" w:themeFill="accent6" w:themeFillTint="99"/>
            <w:noWrap/>
            <w:vAlign w:val="bottom"/>
          </w:tcPr>
          <w:p w:rsidR="00DE67FA" w:rsidRPr="007201DB" w:rsidRDefault="00DE67FA" w:rsidP="00492246">
            <w:pPr>
              <w:jc w:val="center"/>
              <w:rPr>
                <w:rFonts w:ascii="Arial" w:hAnsi="Arial" w:cs="Arial"/>
                <w:color w:val="auto"/>
                <w:sz w:val="18"/>
                <w:szCs w:val="18"/>
              </w:rPr>
            </w:pPr>
            <w:r w:rsidRPr="007201DB">
              <w:rPr>
                <w:rFonts w:ascii="Arial" w:hAnsi="Arial" w:cs="Arial"/>
                <w:color w:val="auto"/>
                <w:sz w:val="18"/>
                <w:szCs w:val="18"/>
              </w:rPr>
              <w:t>Building</w:t>
            </w:r>
          </w:p>
        </w:tc>
        <w:tc>
          <w:tcPr>
            <w:tcW w:w="960" w:type="dxa"/>
            <w:gridSpan w:val="2"/>
            <w:tcBorders>
              <w:top w:val="single" w:sz="8" w:space="0" w:color="4F81BD" w:themeColor="accent1"/>
              <w:bottom w:val="nil"/>
            </w:tcBorders>
            <w:shd w:val="clear" w:color="auto" w:fill="FABF8F" w:themeFill="accent6" w:themeFillTint="99"/>
            <w:noWrap/>
            <w:vAlign w:val="bottom"/>
          </w:tcPr>
          <w:p w:rsidR="00DE67FA" w:rsidRPr="007201DB" w:rsidRDefault="00DE67FA" w:rsidP="0049224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201DB">
              <w:rPr>
                <w:rFonts w:ascii="Arial" w:hAnsi="Arial" w:cs="Arial"/>
                <w:color w:val="auto"/>
                <w:sz w:val="18"/>
                <w:szCs w:val="18"/>
              </w:rPr>
              <w:t>Year Built</w:t>
            </w:r>
          </w:p>
        </w:tc>
        <w:tc>
          <w:tcPr>
            <w:tcW w:w="1501" w:type="dxa"/>
            <w:gridSpan w:val="2"/>
            <w:tcBorders>
              <w:top w:val="single" w:sz="8" w:space="0" w:color="4F81BD" w:themeColor="accent1"/>
              <w:bottom w:val="nil"/>
            </w:tcBorders>
            <w:shd w:val="clear" w:color="auto" w:fill="FABF8F" w:themeFill="accent6" w:themeFillTint="99"/>
            <w:noWrap/>
            <w:vAlign w:val="bottom"/>
          </w:tcPr>
          <w:p w:rsidR="00DE67FA" w:rsidRPr="007201DB" w:rsidRDefault="00DE67FA" w:rsidP="0049224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201DB">
              <w:rPr>
                <w:rFonts w:ascii="Arial" w:hAnsi="Arial" w:cs="Arial"/>
                <w:color w:val="auto"/>
                <w:sz w:val="18"/>
                <w:szCs w:val="18"/>
              </w:rPr>
              <w:t>Observed Deficiencies</w:t>
            </w:r>
          </w:p>
        </w:tc>
      </w:tr>
      <w:tr w:rsidR="00DE67FA" w:rsidRPr="007201DB" w:rsidTr="00492246">
        <w:trPr>
          <w:gridAfter w:val="1"/>
          <w:cnfStyle w:val="000000100000" w:firstRow="0" w:lastRow="0" w:firstColumn="0" w:lastColumn="0" w:oddVBand="0" w:evenVBand="0" w:oddHBand="1" w:evenHBand="0" w:firstRowFirstColumn="0" w:firstRowLastColumn="0" w:lastRowFirstColumn="0" w:lastRowLastColumn="0"/>
          <w:wAfter w:w="59" w:type="dxa"/>
          <w:trHeight w:val="20"/>
          <w:jc w:val="center"/>
        </w:trPr>
        <w:tc>
          <w:tcPr>
            <w:cnfStyle w:val="001000000000" w:firstRow="0" w:lastRow="0" w:firstColumn="1" w:lastColumn="0" w:oddVBand="0" w:evenVBand="0" w:oddHBand="0" w:evenHBand="0" w:firstRowFirstColumn="0" w:firstRowLastColumn="0" w:lastRowFirstColumn="0" w:lastRowLastColumn="0"/>
            <w:tcW w:w="3815" w:type="dxa"/>
            <w:noWrap/>
            <w:hideMark/>
          </w:tcPr>
          <w:p w:rsidR="00DE67FA" w:rsidRPr="007201DB" w:rsidRDefault="00DE67FA" w:rsidP="00492246">
            <w:pPr>
              <w:rPr>
                <w:rFonts w:ascii="Arial" w:hAnsi="Arial" w:cs="Arial"/>
                <w:b w:val="0"/>
                <w:sz w:val="18"/>
                <w:szCs w:val="18"/>
              </w:rPr>
            </w:pPr>
            <w:r w:rsidRPr="007201DB">
              <w:rPr>
                <w:rFonts w:ascii="Arial" w:hAnsi="Arial" w:cs="Arial"/>
                <w:b w:val="0"/>
                <w:sz w:val="18"/>
                <w:szCs w:val="18"/>
              </w:rPr>
              <w:t>King County Courthouse</w:t>
            </w:r>
          </w:p>
        </w:tc>
        <w:tc>
          <w:tcPr>
            <w:tcW w:w="911" w:type="dxa"/>
            <w:noWrap/>
            <w:vAlign w:val="bottom"/>
            <w:hideMark/>
          </w:tcPr>
          <w:p w:rsidR="00DE67FA" w:rsidRPr="007201DB" w:rsidRDefault="00DE67FA" w:rsidP="004922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1916</w:t>
            </w:r>
          </w:p>
        </w:tc>
        <w:tc>
          <w:tcPr>
            <w:tcW w:w="1491" w:type="dxa"/>
            <w:gridSpan w:val="2"/>
            <w:noWrap/>
            <w:vAlign w:val="bottom"/>
            <w:hideMark/>
          </w:tcPr>
          <w:p w:rsidR="00DE67FA" w:rsidRPr="007201DB" w:rsidRDefault="00DE67FA" w:rsidP="0049224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 xml:space="preserve">$32,000,000 </w:t>
            </w:r>
          </w:p>
        </w:tc>
      </w:tr>
      <w:tr w:rsidR="00DE67FA" w:rsidRPr="007201DB" w:rsidTr="00492246">
        <w:trPr>
          <w:gridAfter w:val="1"/>
          <w:wAfter w:w="59" w:type="dxa"/>
          <w:trHeight w:val="20"/>
          <w:jc w:val="center"/>
        </w:trPr>
        <w:tc>
          <w:tcPr>
            <w:cnfStyle w:val="001000000000" w:firstRow="0" w:lastRow="0" w:firstColumn="1" w:lastColumn="0" w:oddVBand="0" w:evenVBand="0" w:oddHBand="0" w:evenHBand="0" w:firstRowFirstColumn="0" w:firstRowLastColumn="0" w:lastRowFirstColumn="0" w:lastRowLastColumn="0"/>
            <w:tcW w:w="3815" w:type="dxa"/>
            <w:noWrap/>
            <w:hideMark/>
          </w:tcPr>
          <w:p w:rsidR="00DE67FA" w:rsidRPr="007201DB" w:rsidRDefault="00DE67FA" w:rsidP="00492246">
            <w:pPr>
              <w:rPr>
                <w:rFonts w:ascii="Arial" w:hAnsi="Arial" w:cs="Arial"/>
                <w:b w:val="0"/>
                <w:sz w:val="18"/>
                <w:szCs w:val="18"/>
              </w:rPr>
            </w:pPr>
            <w:r w:rsidRPr="007201DB">
              <w:rPr>
                <w:rFonts w:ascii="Arial" w:hAnsi="Arial" w:cs="Arial"/>
                <w:b w:val="0"/>
                <w:sz w:val="18"/>
                <w:szCs w:val="18"/>
              </w:rPr>
              <w:t xml:space="preserve">Maleng Regional Justice Center </w:t>
            </w:r>
            <w:r w:rsidR="00D266F0">
              <w:rPr>
                <w:rFonts w:ascii="Arial" w:hAnsi="Arial" w:cs="Arial"/>
                <w:b w:val="0"/>
                <w:sz w:val="18"/>
                <w:szCs w:val="18"/>
              </w:rPr>
              <w:t>–</w:t>
            </w:r>
            <w:r w:rsidRPr="007201DB">
              <w:rPr>
                <w:rFonts w:ascii="Arial" w:hAnsi="Arial" w:cs="Arial"/>
                <w:b w:val="0"/>
                <w:sz w:val="18"/>
                <w:szCs w:val="18"/>
              </w:rPr>
              <w:t xml:space="preserve"> Jail</w:t>
            </w:r>
          </w:p>
        </w:tc>
        <w:tc>
          <w:tcPr>
            <w:tcW w:w="911" w:type="dxa"/>
            <w:noWrap/>
            <w:vAlign w:val="bottom"/>
            <w:hideMark/>
          </w:tcPr>
          <w:p w:rsidR="00DE67FA" w:rsidRPr="007201DB" w:rsidRDefault="00DE67FA" w:rsidP="004922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1997</w:t>
            </w:r>
          </w:p>
        </w:tc>
        <w:tc>
          <w:tcPr>
            <w:tcW w:w="1491" w:type="dxa"/>
            <w:gridSpan w:val="2"/>
            <w:noWrap/>
            <w:vAlign w:val="bottom"/>
            <w:hideMark/>
          </w:tcPr>
          <w:p w:rsidR="00DE67FA" w:rsidRPr="007201DB" w:rsidRDefault="00DE67FA" w:rsidP="0049224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 xml:space="preserve">$20,000,000 </w:t>
            </w:r>
          </w:p>
        </w:tc>
      </w:tr>
      <w:tr w:rsidR="00DE67FA" w:rsidRPr="007201DB" w:rsidTr="00492246">
        <w:trPr>
          <w:gridAfter w:val="1"/>
          <w:cnfStyle w:val="000000100000" w:firstRow="0" w:lastRow="0" w:firstColumn="0" w:lastColumn="0" w:oddVBand="0" w:evenVBand="0" w:oddHBand="1" w:evenHBand="0" w:firstRowFirstColumn="0" w:firstRowLastColumn="0" w:lastRowFirstColumn="0" w:lastRowLastColumn="0"/>
          <w:wAfter w:w="59" w:type="dxa"/>
          <w:trHeight w:val="20"/>
          <w:jc w:val="center"/>
        </w:trPr>
        <w:tc>
          <w:tcPr>
            <w:cnfStyle w:val="001000000000" w:firstRow="0" w:lastRow="0" w:firstColumn="1" w:lastColumn="0" w:oddVBand="0" w:evenVBand="0" w:oddHBand="0" w:evenHBand="0" w:firstRowFirstColumn="0" w:firstRowLastColumn="0" w:lastRowFirstColumn="0" w:lastRowLastColumn="0"/>
            <w:tcW w:w="3815" w:type="dxa"/>
            <w:noWrap/>
            <w:hideMark/>
          </w:tcPr>
          <w:p w:rsidR="00DE67FA" w:rsidRPr="007201DB" w:rsidRDefault="00DE67FA" w:rsidP="00492246">
            <w:pPr>
              <w:rPr>
                <w:rFonts w:ascii="Arial" w:hAnsi="Arial" w:cs="Arial"/>
                <w:b w:val="0"/>
                <w:sz w:val="18"/>
                <w:szCs w:val="18"/>
              </w:rPr>
            </w:pPr>
            <w:r w:rsidRPr="007201DB">
              <w:rPr>
                <w:rFonts w:ascii="Arial" w:hAnsi="Arial" w:cs="Arial"/>
                <w:b w:val="0"/>
                <w:sz w:val="18"/>
                <w:szCs w:val="18"/>
              </w:rPr>
              <w:t>King County Correctional Facility</w:t>
            </w:r>
          </w:p>
        </w:tc>
        <w:tc>
          <w:tcPr>
            <w:tcW w:w="911" w:type="dxa"/>
            <w:noWrap/>
            <w:vAlign w:val="bottom"/>
            <w:hideMark/>
          </w:tcPr>
          <w:p w:rsidR="00DE67FA" w:rsidRPr="007201DB" w:rsidRDefault="00DE67FA" w:rsidP="004922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1985</w:t>
            </w:r>
          </w:p>
        </w:tc>
        <w:tc>
          <w:tcPr>
            <w:tcW w:w="1491" w:type="dxa"/>
            <w:gridSpan w:val="2"/>
            <w:noWrap/>
            <w:vAlign w:val="bottom"/>
            <w:hideMark/>
          </w:tcPr>
          <w:p w:rsidR="00DE67FA" w:rsidRPr="007201DB" w:rsidRDefault="00DE67FA" w:rsidP="0049224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 xml:space="preserve"> $9,000,000 </w:t>
            </w:r>
          </w:p>
        </w:tc>
      </w:tr>
      <w:tr w:rsidR="00DE67FA" w:rsidRPr="007201DB" w:rsidTr="00492246">
        <w:trPr>
          <w:gridAfter w:val="1"/>
          <w:wAfter w:w="59" w:type="dxa"/>
          <w:trHeight w:val="20"/>
          <w:jc w:val="center"/>
        </w:trPr>
        <w:tc>
          <w:tcPr>
            <w:cnfStyle w:val="001000000000" w:firstRow="0" w:lastRow="0" w:firstColumn="1" w:lastColumn="0" w:oddVBand="0" w:evenVBand="0" w:oddHBand="0" w:evenHBand="0" w:firstRowFirstColumn="0" w:firstRowLastColumn="0" w:lastRowFirstColumn="0" w:lastRowLastColumn="0"/>
            <w:tcW w:w="3815" w:type="dxa"/>
            <w:noWrap/>
            <w:hideMark/>
          </w:tcPr>
          <w:p w:rsidR="00DE67FA" w:rsidRPr="007201DB" w:rsidRDefault="00DE67FA" w:rsidP="00492246">
            <w:pPr>
              <w:rPr>
                <w:rFonts w:ascii="Arial" w:hAnsi="Arial" w:cs="Arial"/>
                <w:b w:val="0"/>
                <w:sz w:val="18"/>
                <w:szCs w:val="18"/>
              </w:rPr>
            </w:pPr>
            <w:r w:rsidRPr="007201DB">
              <w:rPr>
                <w:rFonts w:ascii="Arial" w:hAnsi="Arial" w:cs="Arial"/>
                <w:b w:val="0"/>
                <w:sz w:val="18"/>
                <w:szCs w:val="18"/>
              </w:rPr>
              <w:t>Administration Building</w:t>
            </w:r>
          </w:p>
        </w:tc>
        <w:tc>
          <w:tcPr>
            <w:tcW w:w="911" w:type="dxa"/>
            <w:noWrap/>
            <w:vAlign w:val="bottom"/>
            <w:hideMark/>
          </w:tcPr>
          <w:p w:rsidR="00DE67FA" w:rsidRPr="007201DB" w:rsidRDefault="00DE67FA" w:rsidP="004922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1970</w:t>
            </w:r>
          </w:p>
        </w:tc>
        <w:tc>
          <w:tcPr>
            <w:tcW w:w="1491" w:type="dxa"/>
            <w:gridSpan w:val="2"/>
            <w:noWrap/>
            <w:vAlign w:val="bottom"/>
            <w:hideMark/>
          </w:tcPr>
          <w:p w:rsidR="00DE67FA" w:rsidRPr="007201DB" w:rsidRDefault="00DE67FA" w:rsidP="0049224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 xml:space="preserve"> $8,000,000 </w:t>
            </w:r>
          </w:p>
        </w:tc>
      </w:tr>
      <w:tr w:rsidR="00DE67FA" w:rsidRPr="007201DB" w:rsidTr="00492246">
        <w:trPr>
          <w:gridAfter w:val="1"/>
          <w:cnfStyle w:val="000000100000" w:firstRow="0" w:lastRow="0" w:firstColumn="0" w:lastColumn="0" w:oddVBand="0" w:evenVBand="0" w:oddHBand="1" w:evenHBand="0" w:firstRowFirstColumn="0" w:firstRowLastColumn="0" w:lastRowFirstColumn="0" w:lastRowLastColumn="0"/>
          <w:wAfter w:w="59" w:type="dxa"/>
          <w:trHeight w:val="20"/>
          <w:jc w:val="center"/>
        </w:trPr>
        <w:tc>
          <w:tcPr>
            <w:cnfStyle w:val="001000000000" w:firstRow="0" w:lastRow="0" w:firstColumn="1" w:lastColumn="0" w:oddVBand="0" w:evenVBand="0" w:oddHBand="0" w:evenHBand="0" w:firstRowFirstColumn="0" w:firstRowLastColumn="0" w:lastRowFirstColumn="0" w:lastRowLastColumn="0"/>
            <w:tcW w:w="3815" w:type="dxa"/>
            <w:noWrap/>
            <w:hideMark/>
          </w:tcPr>
          <w:p w:rsidR="00DE67FA" w:rsidRPr="007201DB" w:rsidRDefault="00DE67FA" w:rsidP="00492246">
            <w:pPr>
              <w:rPr>
                <w:rFonts w:ascii="Arial" w:hAnsi="Arial" w:cs="Arial"/>
                <w:b w:val="0"/>
                <w:sz w:val="18"/>
                <w:szCs w:val="18"/>
              </w:rPr>
            </w:pPr>
            <w:r w:rsidRPr="007201DB">
              <w:rPr>
                <w:rFonts w:ascii="Arial" w:hAnsi="Arial" w:cs="Arial"/>
                <w:b w:val="0"/>
                <w:sz w:val="18"/>
                <w:szCs w:val="18"/>
              </w:rPr>
              <w:t xml:space="preserve">Maleng Regional Justice Center </w:t>
            </w:r>
            <w:r w:rsidR="00D266F0">
              <w:rPr>
                <w:rFonts w:ascii="Arial" w:hAnsi="Arial" w:cs="Arial"/>
                <w:b w:val="0"/>
                <w:sz w:val="18"/>
                <w:szCs w:val="18"/>
              </w:rPr>
              <w:t>–</w:t>
            </w:r>
            <w:r w:rsidRPr="007201DB">
              <w:rPr>
                <w:rFonts w:ascii="Arial" w:hAnsi="Arial" w:cs="Arial"/>
                <w:b w:val="0"/>
                <w:sz w:val="18"/>
                <w:szCs w:val="18"/>
              </w:rPr>
              <w:t xml:space="preserve"> Court</w:t>
            </w:r>
          </w:p>
        </w:tc>
        <w:tc>
          <w:tcPr>
            <w:tcW w:w="911" w:type="dxa"/>
            <w:noWrap/>
            <w:vAlign w:val="bottom"/>
            <w:hideMark/>
          </w:tcPr>
          <w:p w:rsidR="00DE67FA" w:rsidRPr="007201DB" w:rsidRDefault="00DE67FA" w:rsidP="004922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1997</w:t>
            </w:r>
          </w:p>
        </w:tc>
        <w:tc>
          <w:tcPr>
            <w:tcW w:w="1491" w:type="dxa"/>
            <w:gridSpan w:val="2"/>
            <w:noWrap/>
            <w:vAlign w:val="bottom"/>
            <w:hideMark/>
          </w:tcPr>
          <w:p w:rsidR="00DE67FA" w:rsidRPr="007201DB" w:rsidRDefault="00DE67FA" w:rsidP="0049224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201DB">
              <w:rPr>
                <w:rFonts w:ascii="Arial" w:hAnsi="Arial" w:cs="Arial"/>
                <w:color w:val="000000"/>
                <w:sz w:val="18"/>
                <w:szCs w:val="18"/>
              </w:rPr>
              <w:t xml:space="preserve"> $8,000,000 </w:t>
            </w:r>
          </w:p>
        </w:tc>
      </w:tr>
    </w:tbl>
    <w:p w:rsidR="00DE67FA" w:rsidRDefault="00DE67FA" w:rsidP="00E46329">
      <w:pPr>
        <w:spacing w:line="240" w:lineRule="atLeast"/>
        <w:rPr>
          <w:rFonts w:ascii="Arial" w:hAnsi="Arial" w:cs="Arial"/>
        </w:rPr>
      </w:pPr>
    </w:p>
    <w:p w:rsidR="00162F9F" w:rsidRDefault="007C0F39" w:rsidP="00E46329">
      <w:pPr>
        <w:spacing w:line="240" w:lineRule="atLeast"/>
        <w:rPr>
          <w:rFonts w:ascii="Arial" w:hAnsi="Arial" w:cs="Arial"/>
        </w:rPr>
      </w:pPr>
      <w:r>
        <w:rPr>
          <w:rFonts w:ascii="Arial" w:hAnsi="Arial" w:cs="Arial"/>
        </w:rPr>
        <w:t>The consultants developed a Facility Condition Index</w:t>
      </w:r>
      <w:r w:rsidR="007F2718">
        <w:rPr>
          <w:rStyle w:val="FootnoteReference"/>
          <w:rFonts w:ascii="Arial" w:hAnsi="Arial" w:cs="Arial"/>
        </w:rPr>
        <w:footnoteReference w:id="2"/>
      </w:r>
      <w:r>
        <w:rPr>
          <w:rFonts w:ascii="Arial" w:hAnsi="Arial" w:cs="Arial"/>
        </w:rPr>
        <w:t xml:space="preserve"> (FCI) for each building</w:t>
      </w:r>
      <w:r w:rsidR="00A63D5D">
        <w:rPr>
          <w:rFonts w:ascii="Arial" w:hAnsi="Arial" w:cs="Arial"/>
        </w:rPr>
        <w:t>.  The FCI is calculated as the ratio of the estimated deferred maintenance and the six-year predicted renewals over the current replacement value</w:t>
      </w:r>
      <w:r w:rsidR="007201DB">
        <w:rPr>
          <w:rStyle w:val="FootnoteReference"/>
          <w:rFonts w:ascii="Arial" w:hAnsi="Arial" w:cs="Arial"/>
        </w:rPr>
        <w:footnoteReference w:id="3"/>
      </w:r>
      <w:r w:rsidR="00A63D5D">
        <w:rPr>
          <w:rFonts w:ascii="Arial" w:hAnsi="Arial" w:cs="Arial"/>
        </w:rPr>
        <w:t>, expressed as a percentage.</w:t>
      </w:r>
      <w:r w:rsidR="007201DB">
        <w:rPr>
          <w:rFonts w:ascii="Arial" w:hAnsi="Arial" w:cs="Arial"/>
        </w:rPr>
        <w:t xml:space="preserve">  </w:t>
      </w:r>
      <w:r w:rsidR="0076176D" w:rsidRPr="0076176D">
        <w:rPr>
          <w:rFonts w:ascii="Arial" w:hAnsi="Arial" w:cs="Arial"/>
        </w:rPr>
        <w:t>The lower the FCI</w:t>
      </w:r>
      <w:r w:rsidR="0076176D">
        <w:rPr>
          <w:rFonts w:ascii="Arial" w:hAnsi="Arial" w:cs="Arial"/>
        </w:rPr>
        <w:t>,</w:t>
      </w:r>
      <w:r w:rsidR="0076176D" w:rsidRPr="0076176D">
        <w:rPr>
          <w:rFonts w:ascii="Arial" w:hAnsi="Arial" w:cs="Arial"/>
        </w:rPr>
        <w:t xml:space="preserve"> the better the </w:t>
      </w:r>
      <w:r w:rsidR="0076176D">
        <w:rPr>
          <w:rFonts w:ascii="Arial" w:hAnsi="Arial" w:cs="Arial"/>
        </w:rPr>
        <w:t>overall condition;</w:t>
      </w:r>
      <w:r w:rsidR="0076176D" w:rsidRPr="0076176D">
        <w:rPr>
          <w:rFonts w:ascii="Arial" w:hAnsi="Arial" w:cs="Arial"/>
        </w:rPr>
        <w:t xml:space="preserve"> the higher the FCI</w:t>
      </w:r>
      <w:r w:rsidR="0076176D">
        <w:rPr>
          <w:rFonts w:ascii="Arial" w:hAnsi="Arial" w:cs="Arial"/>
        </w:rPr>
        <w:t>,</w:t>
      </w:r>
      <w:r w:rsidR="0076176D" w:rsidRPr="0076176D">
        <w:rPr>
          <w:rFonts w:ascii="Arial" w:hAnsi="Arial" w:cs="Arial"/>
        </w:rPr>
        <w:t xml:space="preserve"> the worse the overall condition.</w:t>
      </w:r>
      <w:r w:rsidR="0076176D">
        <w:rPr>
          <w:rFonts w:ascii="Arial" w:hAnsi="Arial" w:cs="Arial"/>
        </w:rPr>
        <w:t xml:space="preserve">  </w:t>
      </w:r>
    </w:p>
    <w:p w:rsidR="0076176D" w:rsidRDefault="0076176D" w:rsidP="00E46329">
      <w:pPr>
        <w:spacing w:line="240" w:lineRule="atLeast"/>
        <w:rPr>
          <w:rFonts w:ascii="Arial" w:hAnsi="Arial" w:cs="Arial"/>
        </w:rPr>
      </w:pPr>
    </w:p>
    <w:p w:rsidR="0076176D" w:rsidRDefault="0076176D" w:rsidP="0076176D">
      <w:pPr>
        <w:spacing w:line="240" w:lineRule="atLeast"/>
        <w:rPr>
          <w:rFonts w:ascii="Arial" w:hAnsi="Arial" w:cs="Arial"/>
        </w:rPr>
      </w:pPr>
      <w:r w:rsidRPr="0076176D">
        <w:rPr>
          <w:rFonts w:ascii="Arial" w:hAnsi="Arial" w:cs="Arial"/>
        </w:rPr>
        <w:t>Buildings exhibiting a FCI of less than 10</w:t>
      </w:r>
      <w:r w:rsidR="00AF2A97">
        <w:rPr>
          <w:rFonts w:ascii="Arial" w:hAnsi="Arial" w:cs="Arial"/>
        </w:rPr>
        <w:t xml:space="preserve"> percent</w:t>
      </w:r>
      <w:r w:rsidRPr="0076176D">
        <w:rPr>
          <w:rFonts w:ascii="Arial" w:hAnsi="Arial" w:cs="Arial"/>
        </w:rPr>
        <w:t xml:space="preserve"> are generally considered to be in good condition.   Tho</w:t>
      </w:r>
      <w:r w:rsidR="00AF2A97">
        <w:rPr>
          <w:rFonts w:ascii="Arial" w:hAnsi="Arial" w:cs="Arial"/>
        </w:rPr>
        <w:t>se exhibiting a FCI between 10 percent through 20 percent</w:t>
      </w:r>
      <w:r w:rsidRPr="0076176D">
        <w:rPr>
          <w:rFonts w:ascii="Arial" w:hAnsi="Arial" w:cs="Arial"/>
        </w:rPr>
        <w:t xml:space="preserve"> are generally considered in fair condition; </w:t>
      </w:r>
      <w:r>
        <w:rPr>
          <w:rFonts w:ascii="Arial" w:hAnsi="Arial" w:cs="Arial"/>
        </w:rPr>
        <w:t xml:space="preserve">and </w:t>
      </w:r>
      <w:r w:rsidRPr="0076176D">
        <w:rPr>
          <w:rFonts w:ascii="Arial" w:hAnsi="Arial" w:cs="Arial"/>
        </w:rPr>
        <w:t>t</w:t>
      </w:r>
      <w:r w:rsidR="00AF2A97">
        <w:rPr>
          <w:rFonts w:ascii="Arial" w:hAnsi="Arial" w:cs="Arial"/>
        </w:rPr>
        <w:t>hose with a FCI greater than 20 percent</w:t>
      </w:r>
      <w:r w:rsidRPr="0076176D">
        <w:rPr>
          <w:rFonts w:ascii="Arial" w:hAnsi="Arial" w:cs="Arial"/>
        </w:rPr>
        <w:t xml:space="preserve"> are generally considered to be in poor condition.  </w:t>
      </w:r>
      <w:r>
        <w:rPr>
          <w:rFonts w:ascii="Arial" w:hAnsi="Arial" w:cs="Arial"/>
        </w:rPr>
        <w:t>T</w:t>
      </w:r>
      <w:r w:rsidRPr="0076176D">
        <w:rPr>
          <w:rFonts w:ascii="Arial" w:hAnsi="Arial" w:cs="Arial"/>
        </w:rPr>
        <w:t xml:space="preserve">welve </w:t>
      </w:r>
      <w:r>
        <w:rPr>
          <w:rFonts w:ascii="Arial" w:hAnsi="Arial" w:cs="Arial"/>
        </w:rPr>
        <w:t xml:space="preserve">county </w:t>
      </w:r>
      <w:r w:rsidRPr="0076176D">
        <w:rPr>
          <w:rFonts w:ascii="Arial" w:hAnsi="Arial" w:cs="Arial"/>
        </w:rPr>
        <w:t>bui</w:t>
      </w:r>
      <w:r w:rsidR="00AF2A97">
        <w:rPr>
          <w:rFonts w:ascii="Arial" w:hAnsi="Arial" w:cs="Arial"/>
        </w:rPr>
        <w:t>ldings have a FCI lower than 10 percent</w:t>
      </w:r>
      <w:r w:rsidRPr="0076176D">
        <w:rPr>
          <w:rFonts w:ascii="Arial" w:hAnsi="Arial" w:cs="Arial"/>
        </w:rPr>
        <w:t>.  The combination of the deferred maintenance and the estimated six-year r</w:t>
      </w:r>
      <w:r w:rsidR="00AF2A97">
        <w:rPr>
          <w:rFonts w:ascii="Arial" w:hAnsi="Arial" w:cs="Arial"/>
        </w:rPr>
        <w:t>enewal forecast is less than 10 percent</w:t>
      </w:r>
      <w:r w:rsidRPr="0076176D">
        <w:rPr>
          <w:rFonts w:ascii="Arial" w:hAnsi="Arial" w:cs="Arial"/>
        </w:rPr>
        <w:t xml:space="preserve"> of the buildings’ current replacement value.  15 buildin</w:t>
      </w:r>
      <w:r w:rsidR="00AF2A97">
        <w:rPr>
          <w:rFonts w:ascii="Arial" w:hAnsi="Arial" w:cs="Arial"/>
        </w:rPr>
        <w:t>gs have a FCI ranging from 11.2 percent to 18.6 percent</w:t>
      </w:r>
      <w:r w:rsidRPr="0076176D">
        <w:rPr>
          <w:rFonts w:ascii="Arial" w:hAnsi="Arial" w:cs="Arial"/>
        </w:rPr>
        <w:t xml:space="preserve"> and two build</w:t>
      </w:r>
      <w:r w:rsidR="00AF2A97">
        <w:rPr>
          <w:rFonts w:ascii="Arial" w:hAnsi="Arial" w:cs="Arial"/>
        </w:rPr>
        <w:t>ings have a FCI greater than 20 percent</w:t>
      </w:r>
      <w:r w:rsidRPr="0076176D">
        <w:rPr>
          <w:rFonts w:ascii="Arial" w:hAnsi="Arial" w:cs="Arial"/>
        </w:rPr>
        <w:t>.</w:t>
      </w:r>
    </w:p>
    <w:p w:rsidR="00D266F0" w:rsidRPr="0076176D" w:rsidRDefault="00D266F0" w:rsidP="0076176D">
      <w:pPr>
        <w:spacing w:line="240" w:lineRule="atLeast"/>
        <w:rPr>
          <w:rFonts w:ascii="Arial" w:hAnsi="Arial" w:cs="Arial"/>
        </w:rPr>
      </w:pPr>
    </w:p>
    <w:p w:rsidR="0076176D" w:rsidRPr="00D266F0" w:rsidRDefault="00D266F0" w:rsidP="00D266F0">
      <w:pPr>
        <w:spacing w:line="240" w:lineRule="atLeast"/>
        <w:jc w:val="center"/>
        <w:rPr>
          <w:rFonts w:ascii="Arial" w:hAnsi="Arial" w:cs="Arial"/>
          <w:b/>
          <w:sz w:val="18"/>
          <w:szCs w:val="18"/>
        </w:rPr>
      </w:pPr>
      <w:r>
        <w:rPr>
          <w:rFonts w:ascii="Arial" w:hAnsi="Arial" w:cs="Arial"/>
          <w:b/>
          <w:sz w:val="18"/>
          <w:szCs w:val="18"/>
        </w:rPr>
        <w:t>FCI Condition Summary</w:t>
      </w:r>
    </w:p>
    <w:tbl>
      <w:tblPr>
        <w:tblStyle w:val="LightList-Accent1"/>
        <w:tblW w:w="6743" w:type="dxa"/>
        <w:jc w:val="center"/>
        <w:tblLook w:val="04A0" w:firstRow="1" w:lastRow="0" w:firstColumn="1" w:lastColumn="0" w:noHBand="0" w:noVBand="1"/>
      </w:tblPr>
      <w:tblGrid>
        <w:gridCol w:w="1908"/>
        <w:gridCol w:w="1620"/>
        <w:gridCol w:w="1096"/>
        <w:gridCol w:w="1340"/>
        <w:gridCol w:w="779"/>
      </w:tblGrid>
      <w:tr w:rsidR="0076176D" w:rsidRPr="0076176D" w:rsidTr="00D36C7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4F81BD" w:themeColor="accent1"/>
              <w:bottom w:val="single" w:sz="4" w:space="0" w:color="auto"/>
            </w:tcBorders>
            <w:shd w:val="clear" w:color="auto" w:fill="FABF8F" w:themeFill="accent6" w:themeFillTint="99"/>
            <w:noWrap/>
            <w:vAlign w:val="bottom"/>
            <w:hideMark/>
          </w:tcPr>
          <w:p w:rsidR="0076176D" w:rsidRPr="0076176D" w:rsidRDefault="0076176D" w:rsidP="00D36C74">
            <w:pPr>
              <w:spacing w:line="240" w:lineRule="atLeast"/>
              <w:jc w:val="center"/>
              <w:rPr>
                <w:rFonts w:ascii="Arial" w:hAnsi="Arial" w:cs="Arial"/>
                <w:color w:val="auto"/>
                <w:sz w:val="18"/>
                <w:szCs w:val="18"/>
              </w:rPr>
            </w:pPr>
            <w:r w:rsidRPr="0076176D">
              <w:rPr>
                <w:rFonts w:ascii="Arial" w:hAnsi="Arial" w:cs="Arial"/>
                <w:color w:val="auto"/>
                <w:sz w:val="18"/>
                <w:szCs w:val="18"/>
              </w:rPr>
              <w:t>Condition</w:t>
            </w:r>
          </w:p>
        </w:tc>
        <w:tc>
          <w:tcPr>
            <w:tcW w:w="1620" w:type="dxa"/>
            <w:tcBorders>
              <w:top w:val="single" w:sz="8" w:space="0" w:color="4F81BD" w:themeColor="accent1"/>
              <w:bottom w:val="single" w:sz="4" w:space="0" w:color="auto"/>
            </w:tcBorders>
            <w:shd w:val="clear" w:color="auto" w:fill="FABF8F" w:themeFill="accent6" w:themeFillTint="99"/>
            <w:hideMark/>
          </w:tcPr>
          <w:p w:rsidR="0076176D" w:rsidRPr="0076176D" w:rsidRDefault="0076176D" w:rsidP="00D36C74">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6176D">
              <w:rPr>
                <w:rFonts w:ascii="Arial" w:hAnsi="Arial" w:cs="Arial"/>
                <w:color w:val="auto"/>
                <w:sz w:val="18"/>
                <w:szCs w:val="18"/>
              </w:rPr>
              <w:t>Facility Condition Index</w:t>
            </w:r>
          </w:p>
        </w:tc>
        <w:tc>
          <w:tcPr>
            <w:tcW w:w="1096" w:type="dxa"/>
            <w:tcBorders>
              <w:top w:val="single" w:sz="8" w:space="0" w:color="4F81BD" w:themeColor="accent1"/>
              <w:bottom w:val="single" w:sz="4" w:space="0" w:color="auto"/>
            </w:tcBorders>
            <w:shd w:val="clear" w:color="auto" w:fill="FABF8F" w:themeFill="accent6" w:themeFillTint="99"/>
            <w:hideMark/>
          </w:tcPr>
          <w:p w:rsidR="0076176D" w:rsidRPr="0076176D" w:rsidRDefault="0076176D" w:rsidP="00D36C74">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6176D">
              <w:rPr>
                <w:rFonts w:ascii="Arial" w:hAnsi="Arial" w:cs="Arial"/>
                <w:color w:val="auto"/>
                <w:sz w:val="18"/>
                <w:szCs w:val="18"/>
              </w:rPr>
              <w:t># of Building</w:t>
            </w:r>
          </w:p>
        </w:tc>
        <w:tc>
          <w:tcPr>
            <w:tcW w:w="1340" w:type="dxa"/>
            <w:tcBorders>
              <w:top w:val="single" w:sz="8" w:space="0" w:color="4F81BD" w:themeColor="accent1"/>
              <w:bottom w:val="single" w:sz="4" w:space="0" w:color="auto"/>
            </w:tcBorders>
            <w:shd w:val="clear" w:color="auto" w:fill="FABF8F" w:themeFill="accent6" w:themeFillTint="99"/>
            <w:vAlign w:val="bottom"/>
            <w:hideMark/>
          </w:tcPr>
          <w:p w:rsidR="0076176D" w:rsidRPr="0076176D" w:rsidRDefault="0076176D" w:rsidP="00D36C74">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6176D">
              <w:rPr>
                <w:rFonts w:ascii="Arial" w:hAnsi="Arial" w:cs="Arial"/>
                <w:color w:val="auto"/>
                <w:sz w:val="18"/>
                <w:szCs w:val="18"/>
              </w:rPr>
              <w:t>Total Sq. Ft.</w:t>
            </w:r>
          </w:p>
        </w:tc>
        <w:tc>
          <w:tcPr>
            <w:tcW w:w="779" w:type="dxa"/>
            <w:tcBorders>
              <w:top w:val="single" w:sz="8" w:space="0" w:color="4F81BD" w:themeColor="accent1"/>
              <w:bottom w:val="single" w:sz="4" w:space="0" w:color="auto"/>
            </w:tcBorders>
            <w:shd w:val="clear" w:color="auto" w:fill="FABF8F" w:themeFill="accent6" w:themeFillTint="99"/>
            <w:vAlign w:val="bottom"/>
            <w:hideMark/>
          </w:tcPr>
          <w:p w:rsidR="0076176D" w:rsidRPr="0076176D" w:rsidRDefault="0076176D" w:rsidP="00D36C74">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6176D">
              <w:rPr>
                <w:rFonts w:ascii="Arial" w:hAnsi="Arial" w:cs="Arial"/>
                <w:color w:val="auto"/>
                <w:sz w:val="18"/>
                <w:szCs w:val="18"/>
              </w:rPr>
              <w:t>%</w:t>
            </w:r>
          </w:p>
        </w:tc>
      </w:tr>
      <w:tr w:rsidR="0076176D" w:rsidRPr="0076176D" w:rsidTr="008C66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noWrap/>
            <w:vAlign w:val="center"/>
            <w:hideMark/>
          </w:tcPr>
          <w:p w:rsidR="0076176D" w:rsidRPr="0076176D" w:rsidRDefault="0076176D" w:rsidP="0076176D">
            <w:pPr>
              <w:spacing w:line="240" w:lineRule="atLeast"/>
              <w:rPr>
                <w:rFonts w:ascii="Arial" w:hAnsi="Arial" w:cs="Arial"/>
                <w:sz w:val="18"/>
                <w:szCs w:val="18"/>
              </w:rPr>
            </w:pPr>
            <w:r w:rsidRPr="0076176D">
              <w:rPr>
                <w:rFonts w:ascii="Arial" w:hAnsi="Arial" w:cs="Arial"/>
                <w:b w:val="0"/>
                <w:sz w:val="18"/>
                <w:szCs w:val="18"/>
              </w:rPr>
              <w:t>Good</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176D">
              <w:rPr>
                <w:rFonts w:ascii="Arial" w:hAnsi="Arial" w:cs="Arial"/>
                <w:sz w:val="18"/>
                <w:szCs w:val="18"/>
              </w:rPr>
              <w:t>0%  to10%</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176D">
              <w:rPr>
                <w:rFonts w:ascii="Arial" w:hAnsi="Arial" w:cs="Arial"/>
                <w:sz w:val="18"/>
                <w:szCs w:val="18"/>
              </w:rPr>
              <w:t>12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176D">
              <w:rPr>
                <w:rFonts w:ascii="Arial" w:hAnsi="Arial" w:cs="Arial"/>
                <w:sz w:val="18"/>
                <w:szCs w:val="18"/>
              </w:rPr>
              <w:t>1,042,540</w:t>
            </w:r>
          </w:p>
        </w:tc>
        <w:tc>
          <w:tcPr>
            <w:tcW w:w="779"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176D">
              <w:rPr>
                <w:rFonts w:ascii="Arial" w:hAnsi="Arial" w:cs="Arial"/>
                <w:sz w:val="18"/>
                <w:szCs w:val="18"/>
              </w:rPr>
              <w:t>36%</w:t>
            </w:r>
          </w:p>
        </w:tc>
      </w:tr>
      <w:tr w:rsidR="0076176D" w:rsidRPr="0076176D" w:rsidTr="008C66D7">
        <w:trPr>
          <w:trHeight w:val="20"/>
          <w:jc w:val="center"/>
        </w:trPr>
        <w:tc>
          <w:tcPr>
            <w:cnfStyle w:val="001000000000" w:firstRow="0" w:lastRow="0" w:firstColumn="1" w:lastColumn="0" w:oddVBand="0" w:evenVBand="0" w:oddHBand="0" w:evenHBand="0" w:firstRowFirstColumn="0" w:firstRowLastColumn="0" w:lastRowFirstColumn="0" w:lastRowLastColumn="0"/>
            <w:tcW w:w="1908" w:type="dxa"/>
            <w:vMerge w:val="restart"/>
            <w:tcBorders>
              <w:top w:val="single" w:sz="4" w:space="0" w:color="auto"/>
              <w:left w:val="single" w:sz="4" w:space="0" w:color="auto"/>
              <w:bottom w:val="single" w:sz="4" w:space="0" w:color="auto"/>
              <w:right w:val="single" w:sz="4" w:space="0" w:color="auto"/>
            </w:tcBorders>
            <w:noWrap/>
            <w:vAlign w:val="center"/>
            <w:hideMark/>
          </w:tcPr>
          <w:p w:rsidR="0076176D" w:rsidRPr="0076176D" w:rsidRDefault="0076176D" w:rsidP="0076176D">
            <w:pPr>
              <w:spacing w:line="240" w:lineRule="atLeast"/>
              <w:rPr>
                <w:rFonts w:ascii="Arial" w:hAnsi="Arial" w:cs="Arial"/>
                <w:sz w:val="18"/>
                <w:szCs w:val="18"/>
              </w:rPr>
            </w:pPr>
            <w:r w:rsidRPr="0076176D">
              <w:rPr>
                <w:rFonts w:ascii="Arial" w:hAnsi="Arial" w:cs="Arial"/>
                <w:b w:val="0"/>
                <w:sz w:val="18"/>
                <w:szCs w:val="18"/>
              </w:rPr>
              <w:t>Fair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176D">
              <w:rPr>
                <w:rFonts w:ascii="Arial" w:hAnsi="Arial" w:cs="Arial"/>
                <w:sz w:val="18"/>
                <w:szCs w:val="18"/>
              </w:rPr>
              <w:t>11%to15%</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176D">
              <w:rPr>
                <w:rFonts w:ascii="Arial" w:hAnsi="Arial" w:cs="Arial"/>
                <w:sz w:val="18"/>
                <w:szCs w:val="18"/>
              </w:rPr>
              <w:t>10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176D">
              <w:rPr>
                <w:rFonts w:ascii="Arial" w:hAnsi="Arial" w:cs="Arial"/>
                <w:sz w:val="18"/>
                <w:szCs w:val="18"/>
              </w:rPr>
              <w:t>551,770</w:t>
            </w:r>
          </w:p>
        </w:tc>
        <w:tc>
          <w:tcPr>
            <w:tcW w:w="779"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176D">
              <w:rPr>
                <w:rFonts w:ascii="Arial" w:hAnsi="Arial" w:cs="Arial"/>
                <w:sz w:val="18"/>
                <w:szCs w:val="18"/>
              </w:rPr>
              <w:t>19%</w:t>
            </w:r>
          </w:p>
        </w:tc>
      </w:tr>
      <w:tr w:rsidR="0076176D" w:rsidRPr="0076176D" w:rsidTr="008C66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08" w:type="dxa"/>
            <w:vMerge/>
            <w:tcBorders>
              <w:top w:val="single" w:sz="4" w:space="0" w:color="auto"/>
              <w:left w:val="single" w:sz="4" w:space="0" w:color="auto"/>
              <w:bottom w:val="single" w:sz="4" w:space="0" w:color="auto"/>
              <w:right w:val="single" w:sz="4" w:space="0" w:color="auto"/>
            </w:tcBorders>
            <w:vAlign w:val="center"/>
            <w:hideMark/>
          </w:tcPr>
          <w:p w:rsidR="0076176D" w:rsidRPr="0076176D" w:rsidRDefault="0076176D" w:rsidP="0076176D">
            <w:pPr>
              <w:spacing w:line="240" w:lineRule="atLeas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176D">
              <w:rPr>
                <w:rFonts w:ascii="Arial" w:hAnsi="Arial" w:cs="Arial"/>
                <w:sz w:val="18"/>
                <w:szCs w:val="18"/>
              </w:rPr>
              <w:t>16%to20%</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176D">
              <w:rPr>
                <w:rFonts w:ascii="Arial" w:hAnsi="Arial" w:cs="Arial"/>
                <w:sz w:val="18"/>
                <w:szCs w:val="18"/>
              </w:rPr>
              <w:t>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176D">
              <w:rPr>
                <w:rFonts w:ascii="Arial" w:hAnsi="Arial" w:cs="Arial"/>
                <w:sz w:val="18"/>
                <w:szCs w:val="18"/>
              </w:rPr>
              <w:t>1,191,696</w:t>
            </w:r>
          </w:p>
        </w:tc>
        <w:tc>
          <w:tcPr>
            <w:tcW w:w="779"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176D">
              <w:rPr>
                <w:rFonts w:ascii="Arial" w:hAnsi="Arial" w:cs="Arial"/>
                <w:sz w:val="18"/>
                <w:szCs w:val="18"/>
              </w:rPr>
              <w:t>41%</w:t>
            </w:r>
          </w:p>
        </w:tc>
      </w:tr>
      <w:tr w:rsidR="0076176D" w:rsidRPr="0076176D" w:rsidTr="008C66D7">
        <w:trPr>
          <w:trHeight w:val="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noWrap/>
            <w:vAlign w:val="center"/>
            <w:hideMark/>
          </w:tcPr>
          <w:p w:rsidR="0076176D" w:rsidRPr="0076176D" w:rsidRDefault="0076176D" w:rsidP="0076176D">
            <w:pPr>
              <w:spacing w:line="240" w:lineRule="atLeast"/>
              <w:rPr>
                <w:rFonts w:ascii="Arial" w:hAnsi="Arial" w:cs="Arial"/>
                <w:sz w:val="18"/>
                <w:szCs w:val="18"/>
              </w:rPr>
            </w:pPr>
            <w:r w:rsidRPr="0076176D">
              <w:rPr>
                <w:rFonts w:ascii="Arial" w:hAnsi="Arial" w:cs="Arial"/>
                <w:b w:val="0"/>
                <w:sz w:val="18"/>
                <w:szCs w:val="18"/>
              </w:rPr>
              <w:t>Poor</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176D">
              <w:rPr>
                <w:rFonts w:ascii="Arial" w:hAnsi="Arial" w:cs="Arial"/>
                <w:sz w:val="18"/>
                <w:szCs w:val="18"/>
              </w:rPr>
              <w:t>&gt;20%</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176D">
              <w:rPr>
                <w:rFonts w:ascii="Arial" w:hAnsi="Arial" w:cs="Arial"/>
                <w:sz w:val="18"/>
                <w:szCs w:val="18"/>
              </w:rPr>
              <w:t>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176D">
              <w:rPr>
                <w:rFonts w:ascii="Arial" w:hAnsi="Arial" w:cs="Arial"/>
                <w:sz w:val="18"/>
                <w:szCs w:val="18"/>
              </w:rPr>
              <w:t>92,915</w:t>
            </w:r>
          </w:p>
        </w:tc>
        <w:tc>
          <w:tcPr>
            <w:tcW w:w="779" w:type="dxa"/>
            <w:tcBorders>
              <w:top w:val="single" w:sz="4" w:space="0" w:color="auto"/>
              <w:left w:val="single" w:sz="4" w:space="0" w:color="auto"/>
              <w:bottom w:val="single" w:sz="4" w:space="0" w:color="auto"/>
              <w:right w:val="single" w:sz="4" w:space="0" w:color="auto"/>
            </w:tcBorders>
            <w:noWrap/>
            <w:vAlign w:val="bottom"/>
            <w:hideMark/>
          </w:tcPr>
          <w:p w:rsidR="0076176D" w:rsidRPr="0076176D" w:rsidRDefault="0076176D" w:rsidP="008C66D7">
            <w:pPr>
              <w:spacing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176D">
              <w:rPr>
                <w:rFonts w:ascii="Arial" w:hAnsi="Arial" w:cs="Arial"/>
                <w:sz w:val="18"/>
                <w:szCs w:val="18"/>
              </w:rPr>
              <w:t>3%</w:t>
            </w:r>
          </w:p>
        </w:tc>
      </w:tr>
    </w:tbl>
    <w:p w:rsidR="0076176D" w:rsidRPr="0076176D" w:rsidRDefault="0076176D" w:rsidP="0076176D">
      <w:pPr>
        <w:spacing w:line="240" w:lineRule="atLeast"/>
        <w:rPr>
          <w:rFonts w:ascii="Arial" w:hAnsi="Arial" w:cs="Arial"/>
        </w:rPr>
      </w:pPr>
    </w:p>
    <w:p w:rsidR="0096744A" w:rsidRDefault="0096744A" w:rsidP="00E46329">
      <w:pPr>
        <w:spacing w:line="240" w:lineRule="atLeast"/>
        <w:rPr>
          <w:rFonts w:ascii="Arial" w:hAnsi="Arial" w:cs="Arial"/>
        </w:rPr>
      </w:pPr>
      <w:r>
        <w:rPr>
          <w:rFonts w:ascii="Arial" w:hAnsi="Arial" w:cs="Arial"/>
        </w:rPr>
        <w:t>The building index is a measure showing that on-going maintenance for county buildings is being postponed or deferred due to the effects of the Great Recession and lower contributions to the Major Maintenance Reserve Fund (MMRF)</w:t>
      </w:r>
      <w:r w:rsidR="00D76CAC">
        <w:rPr>
          <w:rFonts w:ascii="Arial" w:hAnsi="Arial" w:cs="Arial"/>
        </w:rPr>
        <w:t xml:space="preserve"> from the General Fund</w:t>
      </w:r>
      <w:r>
        <w:rPr>
          <w:rFonts w:ascii="Arial" w:hAnsi="Arial" w:cs="Arial"/>
        </w:rPr>
        <w:t>.</w:t>
      </w:r>
    </w:p>
    <w:p w:rsidR="0096744A" w:rsidRDefault="0096744A" w:rsidP="00E46329">
      <w:pPr>
        <w:spacing w:line="240" w:lineRule="atLeast"/>
        <w:rPr>
          <w:rFonts w:ascii="Arial" w:hAnsi="Arial" w:cs="Arial"/>
        </w:rPr>
      </w:pPr>
    </w:p>
    <w:p w:rsidR="001825D0" w:rsidRDefault="0096744A" w:rsidP="00E46329">
      <w:pPr>
        <w:spacing w:line="240" w:lineRule="atLeast"/>
        <w:rPr>
          <w:rFonts w:ascii="Arial" w:hAnsi="Arial" w:cs="Arial"/>
        </w:rPr>
      </w:pPr>
      <w:r>
        <w:rPr>
          <w:rFonts w:ascii="Arial" w:hAnsi="Arial" w:cs="Arial"/>
        </w:rPr>
        <w:t xml:space="preserve">The </w:t>
      </w:r>
      <w:r w:rsidR="00584E29">
        <w:rPr>
          <w:rFonts w:ascii="Arial" w:hAnsi="Arial" w:cs="Arial"/>
        </w:rPr>
        <w:t>costs and FCI percentages presented by the MENG analysis are for project planning purposes and</w:t>
      </w:r>
      <w:r>
        <w:rPr>
          <w:rFonts w:ascii="Arial" w:hAnsi="Arial" w:cs="Arial"/>
        </w:rPr>
        <w:t xml:space="preserve"> are not considered to be budget level estimates, but are to indicate the individual order of magnitude for buildings as a whole.  </w:t>
      </w:r>
      <w:r w:rsidR="0076176D" w:rsidRPr="0076176D">
        <w:rPr>
          <w:rFonts w:ascii="Arial" w:hAnsi="Arial" w:cs="Arial"/>
        </w:rPr>
        <w:t xml:space="preserve">Over time, the updated FCI can highlight changes to the overall general government portfolio as well as the needed capital investment over the near term. </w:t>
      </w:r>
      <w:r w:rsidR="0076176D">
        <w:rPr>
          <w:rFonts w:ascii="Arial" w:hAnsi="Arial" w:cs="Arial"/>
        </w:rPr>
        <w:t xml:space="preserve"> </w:t>
      </w:r>
      <w:r w:rsidR="001825D0" w:rsidRPr="00C931E3">
        <w:rPr>
          <w:rFonts w:ascii="Arial" w:hAnsi="Arial" w:cs="Arial"/>
          <w:u w:val="single"/>
        </w:rPr>
        <w:t>The collected information is being used to modify the Major Maintenance Reserve Fund financial model</w:t>
      </w:r>
      <w:r w:rsidR="001825D0">
        <w:rPr>
          <w:rFonts w:ascii="Arial" w:hAnsi="Arial" w:cs="Arial"/>
        </w:rPr>
        <w:t xml:space="preserve">.  </w:t>
      </w:r>
    </w:p>
    <w:p w:rsidR="00FE1DCD" w:rsidRDefault="00FE1DCD" w:rsidP="00E46329">
      <w:pPr>
        <w:spacing w:line="240" w:lineRule="atLeast"/>
        <w:rPr>
          <w:rFonts w:ascii="Arial" w:hAnsi="Arial" w:cs="Arial"/>
        </w:rPr>
      </w:pPr>
    </w:p>
    <w:p w:rsidR="003110EE" w:rsidRPr="00D932D2" w:rsidRDefault="003110EE" w:rsidP="003110EE">
      <w:pPr>
        <w:rPr>
          <w:rFonts w:ascii="Arial" w:hAnsi="Arial" w:cs="Arial"/>
          <w:b/>
          <w:u w:val="single"/>
        </w:rPr>
      </w:pPr>
      <w:r w:rsidRPr="00D932D2">
        <w:rPr>
          <w:rFonts w:ascii="Arial" w:hAnsi="Arial" w:cs="Arial"/>
          <w:b/>
          <w:u w:val="single"/>
        </w:rPr>
        <w:t>Challenges</w:t>
      </w:r>
    </w:p>
    <w:p w:rsidR="003110EE" w:rsidRPr="003110EE" w:rsidRDefault="00DD56FC" w:rsidP="003110EE">
      <w:pPr>
        <w:rPr>
          <w:rFonts w:ascii="Arial" w:hAnsi="Arial" w:cs="Arial"/>
        </w:rPr>
      </w:pPr>
      <w:r>
        <w:rPr>
          <w:rFonts w:ascii="Arial" w:hAnsi="Arial" w:cs="Arial"/>
        </w:rPr>
        <w:t>The Plan specifically identifies internal and external challenges</w:t>
      </w:r>
      <w:r w:rsidR="00C4077C">
        <w:rPr>
          <w:rFonts w:ascii="Arial" w:hAnsi="Arial" w:cs="Arial"/>
        </w:rPr>
        <w:t>,</w:t>
      </w:r>
      <w:r>
        <w:rPr>
          <w:rFonts w:ascii="Arial" w:hAnsi="Arial" w:cs="Arial"/>
        </w:rPr>
        <w:t xml:space="preserve"> </w:t>
      </w:r>
      <w:r w:rsidR="00C4077C">
        <w:rPr>
          <w:rFonts w:ascii="Arial" w:hAnsi="Arial" w:cs="Arial"/>
        </w:rPr>
        <w:t xml:space="preserve">reported in the Strategic Plan, </w:t>
      </w:r>
      <w:r>
        <w:rPr>
          <w:rFonts w:ascii="Arial" w:hAnsi="Arial" w:cs="Arial"/>
        </w:rPr>
        <w:t>that are likely to affect</w:t>
      </w:r>
      <w:r w:rsidR="00C4077C">
        <w:rPr>
          <w:rFonts w:ascii="Arial" w:hAnsi="Arial" w:cs="Arial"/>
        </w:rPr>
        <w:t xml:space="preserve"> asset</w:t>
      </w:r>
      <w:r>
        <w:rPr>
          <w:rFonts w:ascii="Arial" w:hAnsi="Arial" w:cs="Arial"/>
        </w:rPr>
        <w:t xml:space="preserve"> management.  </w:t>
      </w:r>
      <w:r w:rsidR="003110EE" w:rsidRPr="003110EE">
        <w:rPr>
          <w:rFonts w:ascii="Arial" w:hAnsi="Arial" w:cs="Arial"/>
        </w:rPr>
        <w:t>They include:</w:t>
      </w:r>
    </w:p>
    <w:p w:rsidR="003110EE" w:rsidRPr="003110EE" w:rsidRDefault="003110EE" w:rsidP="003110EE">
      <w:pPr>
        <w:rPr>
          <w:rFonts w:ascii="Arial" w:hAnsi="Arial" w:cs="Arial"/>
        </w:rPr>
      </w:pPr>
    </w:p>
    <w:p w:rsidR="003110EE" w:rsidRDefault="003110EE" w:rsidP="00D932D2">
      <w:pPr>
        <w:pStyle w:val="ListParagraph"/>
        <w:numPr>
          <w:ilvl w:val="0"/>
          <w:numId w:val="6"/>
        </w:numPr>
        <w:spacing w:line="240" w:lineRule="auto"/>
        <w:contextualSpacing/>
        <w:rPr>
          <w:rFonts w:ascii="Arial" w:hAnsi="Arial" w:cs="Arial"/>
        </w:rPr>
      </w:pPr>
      <w:r w:rsidRPr="00DD56FC">
        <w:rPr>
          <w:rFonts w:ascii="Arial" w:hAnsi="Arial" w:cs="Arial"/>
          <w:u w:val="single"/>
        </w:rPr>
        <w:t>Fiscal Constraints</w:t>
      </w:r>
      <w:r w:rsidRPr="003110EE">
        <w:rPr>
          <w:rFonts w:ascii="Arial" w:hAnsi="Arial" w:cs="Arial"/>
        </w:rPr>
        <w:t xml:space="preserve">: </w:t>
      </w:r>
      <w:r w:rsidR="00C4077C">
        <w:rPr>
          <w:rFonts w:ascii="Arial" w:hAnsi="Arial" w:cs="Arial"/>
        </w:rPr>
        <w:t xml:space="preserve"> While experiencing budget constraints, </w:t>
      </w:r>
      <w:r w:rsidRPr="003110EE">
        <w:rPr>
          <w:rFonts w:ascii="Arial" w:hAnsi="Arial" w:cs="Arial"/>
        </w:rPr>
        <w:t>facility managers</w:t>
      </w:r>
      <w:r w:rsidR="00C4077C">
        <w:rPr>
          <w:rFonts w:ascii="Arial" w:hAnsi="Arial" w:cs="Arial"/>
        </w:rPr>
        <w:t xml:space="preserve"> will</w:t>
      </w:r>
      <w:r w:rsidRPr="003110EE">
        <w:rPr>
          <w:rFonts w:ascii="Arial" w:hAnsi="Arial" w:cs="Arial"/>
        </w:rPr>
        <w:t xml:space="preserve"> need to seek ways to reduce building occupancy costs </w:t>
      </w:r>
      <w:r w:rsidR="00DD56FC">
        <w:rPr>
          <w:rFonts w:ascii="Arial" w:hAnsi="Arial" w:cs="Arial"/>
        </w:rPr>
        <w:t xml:space="preserve">while </w:t>
      </w:r>
      <w:r w:rsidRPr="003110EE">
        <w:rPr>
          <w:rFonts w:ascii="Arial" w:hAnsi="Arial" w:cs="Arial"/>
        </w:rPr>
        <w:t>striking a balance to respond to tenant requests, performing preventative maintenance and completing major maintenance work.</w:t>
      </w:r>
    </w:p>
    <w:p w:rsidR="006109B9" w:rsidRPr="006109B9" w:rsidRDefault="006109B9" w:rsidP="006109B9">
      <w:pPr>
        <w:ind w:left="360"/>
        <w:contextualSpacing/>
        <w:rPr>
          <w:rFonts w:ascii="Arial" w:hAnsi="Arial" w:cs="Arial"/>
        </w:rPr>
      </w:pPr>
    </w:p>
    <w:p w:rsidR="006109B9" w:rsidRDefault="006109B9" w:rsidP="00D932D2">
      <w:pPr>
        <w:pStyle w:val="ListParagraph"/>
        <w:numPr>
          <w:ilvl w:val="0"/>
          <w:numId w:val="6"/>
        </w:numPr>
        <w:spacing w:line="240" w:lineRule="auto"/>
        <w:contextualSpacing/>
        <w:rPr>
          <w:rFonts w:ascii="Arial" w:hAnsi="Arial" w:cs="Arial"/>
        </w:rPr>
      </w:pPr>
      <w:r>
        <w:rPr>
          <w:rFonts w:ascii="Arial" w:hAnsi="Arial" w:cs="Arial"/>
          <w:u w:val="single"/>
        </w:rPr>
        <w:t>Aging Buildings</w:t>
      </w:r>
      <w:r w:rsidRPr="006109B9">
        <w:rPr>
          <w:rFonts w:ascii="Arial" w:hAnsi="Arial" w:cs="Arial"/>
        </w:rPr>
        <w:t>:</w:t>
      </w:r>
      <w:r>
        <w:rPr>
          <w:rFonts w:ascii="Arial" w:hAnsi="Arial" w:cs="Arial"/>
        </w:rPr>
        <w:t xml:space="preserve">  County buildings are aging with fifty percent of general government buildings built prior to 1979.  The facilities and mechanical systems are reaching or exceeding operating lives.</w:t>
      </w:r>
    </w:p>
    <w:p w:rsidR="002A09F9" w:rsidRPr="002A09F9" w:rsidRDefault="002A09F9" w:rsidP="002A09F9">
      <w:pPr>
        <w:ind w:left="360"/>
        <w:contextualSpacing/>
        <w:rPr>
          <w:rFonts w:ascii="Arial" w:hAnsi="Arial" w:cs="Arial"/>
        </w:rPr>
      </w:pPr>
    </w:p>
    <w:p w:rsidR="002A09F9" w:rsidRPr="003110EE" w:rsidRDefault="002A09F9" w:rsidP="00D932D2">
      <w:pPr>
        <w:pStyle w:val="ListParagraph"/>
        <w:numPr>
          <w:ilvl w:val="0"/>
          <w:numId w:val="6"/>
        </w:numPr>
        <w:spacing w:line="240" w:lineRule="auto"/>
        <w:contextualSpacing/>
        <w:rPr>
          <w:rFonts w:ascii="Arial" w:hAnsi="Arial" w:cs="Arial"/>
        </w:rPr>
      </w:pPr>
      <w:r>
        <w:rPr>
          <w:rFonts w:ascii="Arial" w:hAnsi="Arial" w:cs="Arial"/>
          <w:u w:val="single"/>
        </w:rPr>
        <w:t>Continuous Improvement:</w:t>
      </w:r>
      <w:r>
        <w:rPr>
          <w:rFonts w:ascii="Arial" w:hAnsi="Arial" w:cs="Arial"/>
        </w:rPr>
        <w:t xml:space="preserve">  With the implementation of LEAN practices, county work processes are continually evaluated and improved, changing space usage requirements.</w:t>
      </w:r>
      <w:r w:rsidR="006109B9">
        <w:rPr>
          <w:rFonts w:ascii="Arial" w:hAnsi="Arial" w:cs="Arial"/>
        </w:rPr>
        <w:t xml:space="preserve">  There is also an increased use of teams and cross-unit work places and communication that changes how the county does business and uses spaces.</w:t>
      </w:r>
    </w:p>
    <w:p w:rsidR="003110EE" w:rsidRPr="00DD56FC" w:rsidRDefault="003110EE" w:rsidP="003110EE">
      <w:pPr>
        <w:rPr>
          <w:rFonts w:ascii="Arial" w:hAnsi="Arial" w:cs="Arial"/>
          <w:u w:val="single"/>
        </w:rPr>
      </w:pPr>
    </w:p>
    <w:p w:rsidR="003110EE" w:rsidRPr="003110EE" w:rsidRDefault="003110EE" w:rsidP="00D932D2">
      <w:pPr>
        <w:pStyle w:val="ListParagraph"/>
        <w:numPr>
          <w:ilvl w:val="0"/>
          <w:numId w:val="6"/>
        </w:numPr>
        <w:spacing w:line="240" w:lineRule="auto"/>
        <w:contextualSpacing/>
        <w:rPr>
          <w:rFonts w:ascii="Arial" w:hAnsi="Arial" w:cs="Arial"/>
        </w:rPr>
      </w:pPr>
      <w:r w:rsidRPr="00DD56FC">
        <w:rPr>
          <w:rFonts w:ascii="Arial" w:hAnsi="Arial" w:cs="Arial"/>
          <w:u w:val="single"/>
        </w:rPr>
        <w:t>Service Delivery Changes</w:t>
      </w:r>
      <w:r w:rsidR="00C4077C">
        <w:rPr>
          <w:rFonts w:ascii="Arial" w:hAnsi="Arial" w:cs="Arial"/>
          <w:u w:val="single"/>
        </w:rPr>
        <w:t xml:space="preserve"> and Product Emphasis</w:t>
      </w:r>
      <w:r w:rsidRPr="003110EE">
        <w:rPr>
          <w:rFonts w:ascii="Arial" w:hAnsi="Arial" w:cs="Arial"/>
        </w:rPr>
        <w:t xml:space="preserve">:  </w:t>
      </w:r>
      <w:r w:rsidR="00C4077C">
        <w:rPr>
          <w:rFonts w:ascii="Arial" w:hAnsi="Arial" w:cs="Arial"/>
        </w:rPr>
        <w:t xml:space="preserve">Facility managers will need to focus on outcomes while managing service products.  </w:t>
      </w:r>
      <w:r w:rsidRPr="003110EE">
        <w:rPr>
          <w:rFonts w:ascii="Arial" w:hAnsi="Arial" w:cs="Arial"/>
        </w:rPr>
        <w:t>A</w:t>
      </w:r>
      <w:r w:rsidR="00C4077C">
        <w:rPr>
          <w:rFonts w:ascii="Arial" w:hAnsi="Arial" w:cs="Arial"/>
        </w:rPr>
        <w:t>lso, a</w:t>
      </w:r>
      <w:r w:rsidRPr="003110EE">
        <w:rPr>
          <w:rFonts w:ascii="Arial" w:hAnsi="Arial" w:cs="Arial"/>
        </w:rPr>
        <w:t xml:space="preserve">s county population concentrates in the cities, reaching and providing local services to the unincorporated area is changing service delivery approaches and triggering facility changes.  </w:t>
      </w:r>
    </w:p>
    <w:p w:rsidR="003110EE" w:rsidRPr="003110EE" w:rsidRDefault="003110EE" w:rsidP="003110EE">
      <w:pPr>
        <w:rPr>
          <w:rFonts w:ascii="Arial" w:hAnsi="Arial" w:cs="Arial"/>
        </w:rPr>
      </w:pPr>
    </w:p>
    <w:p w:rsidR="003110EE" w:rsidRPr="003110EE" w:rsidRDefault="003110EE" w:rsidP="00D932D2">
      <w:pPr>
        <w:pStyle w:val="ListParagraph"/>
        <w:numPr>
          <w:ilvl w:val="0"/>
          <w:numId w:val="6"/>
        </w:numPr>
        <w:spacing w:line="240" w:lineRule="auto"/>
        <w:contextualSpacing/>
        <w:rPr>
          <w:rFonts w:ascii="Arial" w:hAnsi="Arial" w:cs="Arial"/>
        </w:rPr>
      </w:pPr>
      <w:r w:rsidRPr="00DD56FC">
        <w:rPr>
          <w:rFonts w:ascii="Arial" w:hAnsi="Arial" w:cs="Arial"/>
          <w:u w:val="single"/>
        </w:rPr>
        <w:t>Technological Advancements</w:t>
      </w:r>
      <w:r w:rsidRPr="003110EE">
        <w:rPr>
          <w:rFonts w:ascii="Arial" w:hAnsi="Arial" w:cs="Arial"/>
          <w:b/>
        </w:rPr>
        <w:t>:</w:t>
      </w:r>
      <w:r w:rsidRPr="003110EE">
        <w:rPr>
          <w:rFonts w:ascii="Arial" w:hAnsi="Arial" w:cs="Arial"/>
        </w:rPr>
        <w:t xml:space="preserve"> </w:t>
      </w:r>
      <w:r w:rsidR="00DD56FC">
        <w:rPr>
          <w:rFonts w:ascii="Arial" w:hAnsi="Arial" w:cs="Arial"/>
        </w:rPr>
        <w:t xml:space="preserve"> </w:t>
      </w:r>
      <w:r w:rsidRPr="003110EE">
        <w:rPr>
          <w:rFonts w:ascii="Arial" w:hAnsi="Arial" w:cs="Arial"/>
        </w:rPr>
        <w:t xml:space="preserve">The public’s willingness to embrace new technology as well as advances in technology affecting the workplace and building systems management, “forces” changes in how and where the county delivers services and how and where the county employees work. </w:t>
      </w:r>
    </w:p>
    <w:p w:rsidR="003110EE" w:rsidRPr="003110EE" w:rsidRDefault="003110EE" w:rsidP="003110EE">
      <w:pPr>
        <w:rPr>
          <w:rFonts w:ascii="Arial" w:hAnsi="Arial" w:cs="Arial"/>
        </w:rPr>
      </w:pPr>
    </w:p>
    <w:p w:rsidR="003110EE" w:rsidRPr="003110EE" w:rsidRDefault="003110EE" w:rsidP="00D932D2">
      <w:pPr>
        <w:pStyle w:val="ListParagraph"/>
        <w:numPr>
          <w:ilvl w:val="0"/>
          <w:numId w:val="6"/>
        </w:numPr>
        <w:spacing w:line="240" w:lineRule="auto"/>
        <w:contextualSpacing/>
        <w:rPr>
          <w:rFonts w:ascii="Arial" w:hAnsi="Arial" w:cs="Arial"/>
        </w:rPr>
      </w:pPr>
      <w:r w:rsidRPr="00DD56FC">
        <w:rPr>
          <w:rFonts w:ascii="Arial" w:hAnsi="Arial" w:cs="Arial"/>
          <w:u w:val="single"/>
        </w:rPr>
        <w:t>Equity and Social Justice Initiative</w:t>
      </w:r>
      <w:r w:rsidRPr="003110EE">
        <w:rPr>
          <w:rFonts w:ascii="Arial" w:hAnsi="Arial" w:cs="Arial"/>
        </w:rPr>
        <w:t xml:space="preserve">: </w:t>
      </w:r>
      <w:r w:rsidR="00DD56FC">
        <w:rPr>
          <w:rFonts w:ascii="Arial" w:hAnsi="Arial" w:cs="Arial"/>
        </w:rPr>
        <w:t xml:space="preserve"> </w:t>
      </w:r>
      <w:r w:rsidRPr="003110EE">
        <w:rPr>
          <w:rFonts w:ascii="Arial" w:hAnsi="Arial" w:cs="Arial"/>
        </w:rPr>
        <w:t>This initiative gives greater importance to locating and managing our facilities in a manner that enables individuals and communities to reach their full potential.</w:t>
      </w:r>
    </w:p>
    <w:p w:rsidR="003110EE" w:rsidRPr="003110EE" w:rsidRDefault="003110EE" w:rsidP="003110EE">
      <w:pPr>
        <w:rPr>
          <w:rFonts w:ascii="Arial" w:hAnsi="Arial" w:cs="Arial"/>
        </w:rPr>
      </w:pPr>
    </w:p>
    <w:p w:rsidR="003110EE" w:rsidRPr="003110EE" w:rsidRDefault="003110EE" w:rsidP="00D932D2">
      <w:pPr>
        <w:pStyle w:val="ListParagraph"/>
        <w:numPr>
          <w:ilvl w:val="0"/>
          <w:numId w:val="6"/>
        </w:numPr>
        <w:spacing w:line="240" w:lineRule="auto"/>
        <w:contextualSpacing/>
        <w:rPr>
          <w:rFonts w:ascii="Arial" w:hAnsi="Arial" w:cs="Arial"/>
        </w:rPr>
      </w:pPr>
      <w:r w:rsidRPr="00DD56FC">
        <w:rPr>
          <w:rFonts w:ascii="Arial" w:hAnsi="Arial" w:cs="Arial"/>
          <w:u w:val="single"/>
        </w:rPr>
        <w:t>How we work together is changing</w:t>
      </w:r>
      <w:r w:rsidRPr="003110EE">
        <w:rPr>
          <w:rFonts w:ascii="Arial" w:hAnsi="Arial" w:cs="Arial"/>
          <w:b/>
        </w:rPr>
        <w:t>:</w:t>
      </w:r>
      <w:r w:rsidRPr="003110EE">
        <w:rPr>
          <w:rFonts w:ascii="Arial" w:hAnsi="Arial" w:cs="Arial"/>
        </w:rPr>
        <w:t xml:space="preserve"> </w:t>
      </w:r>
      <w:r w:rsidR="00DD56FC">
        <w:rPr>
          <w:rFonts w:ascii="Arial" w:hAnsi="Arial" w:cs="Arial"/>
        </w:rPr>
        <w:t xml:space="preserve"> </w:t>
      </w:r>
      <w:r w:rsidRPr="003110EE">
        <w:rPr>
          <w:rFonts w:ascii="Arial" w:hAnsi="Arial" w:cs="Arial"/>
        </w:rPr>
        <w:t xml:space="preserve">The increased use of teams and a mobile workforce creates a need to embrace new ways of designing office space </w:t>
      </w:r>
      <w:r w:rsidRPr="003110EE">
        <w:rPr>
          <w:rFonts w:ascii="Arial" w:hAnsi="Arial" w:cs="Arial"/>
        </w:rPr>
        <w:lastRenderedPageBreak/>
        <w:t xml:space="preserve">emphasizing a variety of work stations and meeting spaces, and video conferencing to support improved employee productivity and efficiency. </w:t>
      </w:r>
    </w:p>
    <w:p w:rsidR="003110EE" w:rsidRPr="003110EE" w:rsidRDefault="003110EE" w:rsidP="003110EE">
      <w:pPr>
        <w:rPr>
          <w:rFonts w:ascii="Arial" w:hAnsi="Arial" w:cs="Arial"/>
        </w:rPr>
      </w:pPr>
    </w:p>
    <w:p w:rsidR="003110EE" w:rsidRPr="003110EE" w:rsidRDefault="003110EE" w:rsidP="00D932D2">
      <w:pPr>
        <w:pStyle w:val="ListParagraph"/>
        <w:numPr>
          <w:ilvl w:val="0"/>
          <w:numId w:val="6"/>
        </w:numPr>
        <w:spacing w:line="240" w:lineRule="auto"/>
        <w:contextualSpacing/>
        <w:rPr>
          <w:rFonts w:ascii="Arial" w:hAnsi="Arial" w:cs="Arial"/>
        </w:rPr>
      </w:pPr>
      <w:r w:rsidRPr="00DD56FC">
        <w:rPr>
          <w:rFonts w:ascii="Arial" w:hAnsi="Arial" w:cs="Arial"/>
          <w:u w:val="single"/>
        </w:rPr>
        <w:t>Sustainability in the Workplace:</w:t>
      </w:r>
      <w:r w:rsidRPr="003110EE">
        <w:rPr>
          <w:rFonts w:ascii="Arial" w:hAnsi="Arial" w:cs="Arial"/>
        </w:rPr>
        <w:t xml:space="preserve"> </w:t>
      </w:r>
      <w:r w:rsidR="00DD56FC">
        <w:rPr>
          <w:rFonts w:ascii="Arial" w:hAnsi="Arial" w:cs="Arial"/>
        </w:rPr>
        <w:t xml:space="preserve"> </w:t>
      </w:r>
      <w:r w:rsidRPr="003110EE">
        <w:rPr>
          <w:rFonts w:ascii="Arial" w:hAnsi="Arial" w:cs="Arial"/>
        </w:rPr>
        <w:t xml:space="preserve">Investing in energy management is no longer optional but a functional requirement to gain anticipated savings in occupancy costs. </w:t>
      </w:r>
    </w:p>
    <w:p w:rsidR="003110EE" w:rsidRPr="00D932D2" w:rsidRDefault="003110EE" w:rsidP="00E46329">
      <w:pPr>
        <w:spacing w:line="240" w:lineRule="atLeast"/>
        <w:rPr>
          <w:rFonts w:ascii="Arial" w:hAnsi="Arial" w:cs="Arial"/>
        </w:rPr>
      </w:pPr>
    </w:p>
    <w:p w:rsidR="0017122A" w:rsidRPr="005C02EE" w:rsidRDefault="005E54D3" w:rsidP="00E46329">
      <w:pPr>
        <w:spacing w:line="240" w:lineRule="atLeast"/>
        <w:rPr>
          <w:rFonts w:ascii="Arial" w:hAnsi="Arial" w:cs="Arial"/>
          <w:b/>
          <w:u w:val="single"/>
        </w:rPr>
      </w:pPr>
      <w:r>
        <w:rPr>
          <w:rFonts w:ascii="Arial" w:hAnsi="Arial" w:cs="Arial"/>
          <w:b/>
          <w:u w:val="single"/>
        </w:rPr>
        <w:t>Policy Framework</w:t>
      </w:r>
    </w:p>
    <w:p w:rsidR="005D775A" w:rsidRDefault="0051630B" w:rsidP="005D775A">
      <w:pPr>
        <w:autoSpaceDE w:val="0"/>
        <w:autoSpaceDN w:val="0"/>
        <w:adjustRightInd w:val="0"/>
        <w:rPr>
          <w:rFonts w:ascii="Arial" w:hAnsi="Arial" w:cs="Arial"/>
        </w:rPr>
      </w:pPr>
      <w:r w:rsidRPr="0051630B">
        <w:rPr>
          <w:rFonts w:ascii="Arial" w:hAnsi="Arial" w:cs="Arial"/>
        </w:rPr>
        <w:t>Forty</w:t>
      </w:r>
      <w:r w:rsidR="00F40A99">
        <w:rPr>
          <w:rFonts w:ascii="Arial" w:hAnsi="Arial" w:cs="Arial"/>
        </w:rPr>
        <w:t>-two</w:t>
      </w:r>
      <w:r w:rsidRPr="0051630B">
        <w:rPr>
          <w:rFonts w:ascii="Arial" w:hAnsi="Arial" w:cs="Arial"/>
        </w:rPr>
        <w:t xml:space="preserve"> policies are established in the </w:t>
      </w:r>
      <w:r w:rsidR="00E83437">
        <w:rPr>
          <w:rFonts w:ascii="Arial" w:hAnsi="Arial" w:cs="Arial"/>
        </w:rPr>
        <w:t xml:space="preserve">RAMP </w:t>
      </w:r>
      <w:r>
        <w:rPr>
          <w:rFonts w:ascii="Arial" w:hAnsi="Arial" w:cs="Arial"/>
        </w:rPr>
        <w:t>to clarify a framework consistent with the Strategic Plan and agency business plans.</w:t>
      </w:r>
      <w:r w:rsidR="005D775A">
        <w:rPr>
          <w:rFonts w:ascii="Arial" w:hAnsi="Arial" w:cs="Arial"/>
        </w:rPr>
        <w:t xml:space="preserve">  According to the </w:t>
      </w:r>
      <w:r w:rsidR="00E83437">
        <w:rPr>
          <w:rFonts w:ascii="Arial" w:hAnsi="Arial" w:cs="Arial"/>
        </w:rPr>
        <w:t>RAMP</w:t>
      </w:r>
      <w:r w:rsidR="005D775A">
        <w:rPr>
          <w:rFonts w:ascii="Arial" w:hAnsi="Arial" w:cs="Arial"/>
        </w:rPr>
        <w:t>, t</w:t>
      </w:r>
      <w:r w:rsidR="005D775A" w:rsidRPr="005D775A">
        <w:rPr>
          <w:rFonts w:ascii="Arial" w:hAnsi="Arial" w:cs="Arial"/>
        </w:rPr>
        <w:t xml:space="preserve">he policies are stated to ensure that real property assets and workspace activities demonstrate sound stewardship </w:t>
      </w:r>
      <w:r w:rsidR="005D775A">
        <w:rPr>
          <w:rFonts w:ascii="Arial" w:hAnsi="Arial" w:cs="Arial"/>
        </w:rPr>
        <w:t xml:space="preserve">and value to county operations.  </w:t>
      </w:r>
      <w:r w:rsidR="00F57257">
        <w:rPr>
          <w:rFonts w:ascii="Arial" w:hAnsi="Arial" w:cs="Arial"/>
        </w:rPr>
        <w:t xml:space="preserve">This framework consists of policies contained in prior space plans, policies within various ordinances, and policies implementing the Strategic Plan.  </w:t>
      </w:r>
    </w:p>
    <w:p w:rsidR="005D775A" w:rsidRDefault="005D775A" w:rsidP="005D775A">
      <w:pPr>
        <w:autoSpaceDE w:val="0"/>
        <w:autoSpaceDN w:val="0"/>
        <w:adjustRightInd w:val="0"/>
        <w:rPr>
          <w:rFonts w:ascii="Arial" w:hAnsi="Arial" w:cs="Arial"/>
        </w:rPr>
      </w:pPr>
    </w:p>
    <w:p w:rsidR="00A269D5" w:rsidRDefault="005D775A" w:rsidP="005D775A">
      <w:pPr>
        <w:autoSpaceDE w:val="0"/>
        <w:autoSpaceDN w:val="0"/>
        <w:adjustRightInd w:val="0"/>
        <w:rPr>
          <w:rFonts w:ascii="Arial" w:hAnsi="Arial" w:cs="Arial"/>
        </w:rPr>
      </w:pPr>
      <w:r w:rsidRPr="005D775A">
        <w:rPr>
          <w:rFonts w:ascii="Arial" w:hAnsi="Arial" w:cs="Arial"/>
        </w:rPr>
        <w:t xml:space="preserve">There are </w:t>
      </w:r>
      <w:r w:rsidR="007E358E">
        <w:rPr>
          <w:rFonts w:ascii="Arial" w:hAnsi="Arial" w:cs="Arial"/>
        </w:rPr>
        <w:t>three</w:t>
      </w:r>
      <w:r w:rsidRPr="005D775A">
        <w:rPr>
          <w:rFonts w:ascii="Arial" w:hAnsi="Arial" w:cs="Arial"/>
        </w:rPr>
        <w:t xml:space="preserve"> broad categories of policies: </w:t>
      </w:r>
      <w:r>
        <w:rPr>
          <w:rFonts w:ascii="Arial" w:hAnsi="Arial" w:cs="Arial"/>
        </w:rPr>
        <w:t xml:space="preserve"> </w:t>
      </w:r>
      <w:r w:rsidR="007E358E">
        <w:rPr>
          <w:rFonts w:ascii="Arial" w:hAnsi="Arial" w:cs="Arial"/>
        </w:rPr>
        <w:t xml:space="preserve">1) </w:t>
      </w:r>
      <w:r w:rsidRPr="005D775A">
        <w:rPr>
          <w:rFonts w:ascii="Arial" w:hAnsi="Arial" w:cs="Arial"/>
        </w:rPr>
        <w:t>those concerned with h</w:t>
      </w:r>
      <w:r>
        <w:rPr>
          <w:rFonts w:ascii="Arial" w:hAnsi="Arial" w:cs="Arial"/>
        </w:rPr>
        <w:t xml:space="preserve">ow efficiently real property is </w:t>
      </w:r>
      <w:r w:rsidRPr="005D775A">
        <w:rPr>
          <w:rFonts w:ascii="Arial" w:hAnsi="Arial" w:cs="Arial"/>
        </w:rPr>
        <w:t xml:space="preserve">managed </w:t>
      </w:r>
      <w:r>
        <w:rPr>
          <w:rFonts w:ascii="Arial" w:hAnsi="Arial" w:cs="Arial"/>
        </w:rPr>
        <w:t>to</w:t>
      </w:r>
      <w:r w:rsidRPr="005D775A">
        <w:rPr>
          <w:rFonts w:ascii="Arial" w:hAnsi="Arial" w:cs="Arial"/>
        </w:rPr>
        <w:t xml:space="preserve"> support</w:t>
      </w:r>
      <w:r w:rsidR="003F3D7F">
        <w:rPr>
          <w:rFonts w:ascii="Arial" w:hAnsi="Arial" w:cs="Arial"/>
        </w:rPr>
        <w:t xml:space="preserve"> agency and department programs</w:t>
      </w:r>
      <w:r w:rsidR="007E358E">
        <w:rPr>
          <w:rFonts w:ascii="Arial" w:hAnsi="Arial" w:cs="Arial"/>
        </w:rPr>
        <w:t xml:space="preserve">, </w:t>
      </w:r>
      <w:r w:rsidR="007E358E" w:rsidRPr="007E358E">
        <w:rPr>
          <w:rFonts w:ascii="Arial" w:hAnsi="Arial" w:cs="Arial"/>
        </w:rPr>
        <w:t xml:space="preserve">2) those that guide the near term move plan, </w:t>
      </w:r>
      <w:r w:rsidR="007E358E">
        <w:rPr>
          <w:rFonts w:ascii="Arial" w:hAnsi="Arial" w:cs="Arial"/>
        </w:rPr>
        <w:t>and</w:t>
      </w:r>
      <w:r w:rsidR="007E358E" w:rsidRPr="007E358E">
        <w:rPr>
          <w:rFonts w:ascii="Arial" w:hAnsi="Arial" w:cs="Arial"/>
        </w:rPr>
        <w:t xml:space="preserve"> 3)</w:t>
      </w:r>
      <w:r w:rsidR="007E358E">
        <w:rPr>
          <w:rFonts w:ascii="Arial" w:hAnsi="Arial" w:cs="Arial"/>
        </w:rPr>
        <w:t xml:space="preserve"> </w:t>
      </w:r>
      <w:r w:rsidR="007E358E" w:rsidRPr="007E358E">
        <w:rPr>
          <w:rFonts w:ascii="Arial" w:hAnsi="Arial" w:cs="Arial"/>
        </w:rPr>
        <w:t>those whose primary focus is on meeting the broader public interests, i.e., security, safety, environmental sustainability and accessibility.</w:t>
      </w:r>
      <w:r>
        <w:rPr>
          <w:rFonts w:ascii="Arial" w:hAnsi="Arial" w:cs="Arial"/>
        </w:rPr>
        <w:t xml:space="preserve">  </w:t>
      </w:r>
      <w:r w:rsidR="003F604B">
        <w:rPr>
          <w:rFonts w:ascii="Arial" w:hAnsi="Arial" w:cs="Arial"/>
        </w:rPr>
        <w:t>The policy areas</w:t>
      </w:r>
      <w:r>
        <w:rPr>
          <w:rFonts w:ascii="Arial" w:hAnsi="Arial" w:cs="Arial"/>
        </w:rPr>
        <w:t xml:space="preserve"> are categorized and listed below:</w:t>
      </w:r>
    </w:p>
    <w:p w:rsidR="003F604B" w:rsidRDefault="003F604B" w:rsidP="00D932D2">
      <w:pPr>
        <w:pStyle w:val="ListParagraph"/>
        <w:numPr>
          <w:ilvl w:val="0"/>
          <w:numId w:val="5"/>
        </w:numPr>
        <w:autoSpaceDE w:val="0"/>
        <w:autoSpaceDN w:val="0"/>
        <w:adjustRightInd w:val="0"/>
        <w:rPr>
          <w:rFonts w:ascii="Arial" w:hAnsi="Arial" w:cs="Arial"/>
        </w:rPr>
      </w:pPr>
      <w:r>
        <w:rPr>
          <w:rFonts w:ascii="Arial" w:hAnsi="Arial" w:cs="Arial"/>
        </w:rPr>
        <w:t>Real Property Asset Management Policies</w:t>
      </w:r>
    </w:p>
    <w:p w:rsidR="003F604B" w:rsidRDefault="003F604B" w:rsidP="00D932D2">
      <w:pPr>
        <w:pStyle w:val="ListParagraph"/>
        <w:numPr>
          <w:ilvl w:val="0"/>
          <w:numId w:val="5"/>
        </w:numPr>
        <w:autoSpaceDE w:val="0"/>
        <w:autoSpaceDN w:val="0"/>
        <w:adjustRightInd w:val="0"/>
        <w:rPr>
          <w:rFonts w:ascii="Arial" w:hAnsi="Arial" w:cs="Arial"/>
        </w:rPr>
      </w:pPr>
      <w:r>
        <w:rPr>
          <w:rFonts w:ascii="Arial" w:hAnsi="Arial" w:cs="Arial"/>
        </w:rPr>
        <w:t>Financial Policies</w:t>
      </w:r>
    </w:p>
    <w:p w:rsidR="003F604B" w:rsidRDefault="003F604B" w:rsidP="00D932D2">
      <w:pPr>
        <w:pStyle w:val="ListParagraph"/>
        <w:numPr>
          <w:ilvl w:val="0"/>
          <w:numId w:val="5"/>
        </w:numPr>
        <w:autoSpaceDE w:val="0"/>
        <w:autoSpaceDN w:val="0"/>
        <w:adjustRightInd w:val="0"/>
        <w:rPr>
          <w:rFonts w:ascii="Arial" w:hAnsi="Arial" w:cs="Arial"/>
        </w:rPr>
      </w:pPr>
      <w:r>
        <w:rPr>
          <w:rFonts w:ascii="Arial" w:hAnsi="Arial" w:cs="Arial"/>
        </w:rPr>
        <w:t>Building Operations and Maintenance/Major Maintenance Policies</w:t>
      </w:r>
    </w:p>
    <w:p w:rsidR="003F604B" w:rsidRDefault="003F604B" w:rsidP="00D932D2">
      <w:pPr>
        <w:pStyle w:val="ListParagraph"/>
        <w:numPr>
          <w:ilvl w:val="0"/>
          <w:numId w:val="5"/>
        </w:numPr>
        <w:autoSpaceDE w:val="0"/>
        <w:autoSpaceDN w:val="0"/>
        <w:adjustRightInd w:val="0"/>
        <w:rPr>
          <w:rFonts w:ascii="Arial" w:hAnsi="Arial" w:cs="Arial"/>
        </w:rPr>
      </w:pPr>
      <w:r>
        <w:rPr>
          <w:rFonts w:ascii="Arial" w:hAnsi="Arial" w:cs="Arial"/>
        </w:rPr>
        <w:t>Workspace Design Policies</w:t>
      </w:r>
    </w:p>
    <w:p w:rsidR="003F604B" w:rsidRDefault="003F604B" w:rsidP="00D932D2">
      <w:pPr>
        <w:pStyle w:val="ListParagraph"/>
        <w:numPr>
          <w:ilvl w:val="0"/>
          <w:numId w:val="5"/>
        </w:numPr>
        <w:autoSpaceDE w:val="0"/>
        <w:autoSpaceDN w:val="0"/>
        <w:adjustRightInd w:val="0"/>
        <w:rPr>
          <w:rFonts w:ascii="Arial" w:hAnsi="Arial" w:cs="Arial"/>
        </w:rPr>
      </w:pPr>
      <w:r>
        <w:rPr>
          <w:rFonts w:ascii="Arial" w:hAnsi="Arial" w:cs="Arial"/>
        </w:rPr>
        <w:t>Facility Location Policies</w:t>
      </w:r>
    </w:p>
    <w:p w:rsidR="003F604B" w:rsidRDefault="003F604B" w:rsidP="00D932D2">
      <w:pPr>
        <w:pStyle w:val="ListParagraph"/>
        <w:numPr>
          <w:ilvl w:val="0"/>
          <w:numId w:val="5"/>
        </w:numPr>
        <w:autoSpaceDE w:val="0"/>
        <w:autoSpaceDN w:val="0"/>
        <w:adjustRightInd w:val="0"/>
        <w:rPr>
          <w:rFonts w:ascii="Arial" w:hAnsi="Arial" w:cs="Arial"/>
        </w:rPr>
      </w:pPr>
      <w:r>
        <w:rPr>
          <w:rFonts w:ascii="Arial" w:hAnsi="Arial" w:cs="Arial"/>
        </w:rPr>
        <w:t>Building Design Policies</w:t>
      </w:r>
    </w:p>
    <w:p w:rsidR="003F604B" w:rsidRDefault="003F604B" w:rsidP="00D932D2">
      <w:pPr>
        <w:pStyle w:val="ListParagraph"/>
        <w:numPr>
          <w:ilvl w:val="0"/>
          <w:numId w:val="5"/>
        </w:numPr>
        <w:autoSpaceDE w:val="0"/>
        <w:autoSpaceDN w:val="0"/>
        <w:adjustRightInd w:val="0"/>
        <w:rPr>
          <w:rFonts w:ascii="Arial" w:hAnsi="Arial" w:cs="Arial"/>
        </w:rPr>
      </w:pPr>
      <w:r>
        <w:rPr>
          <w:rFonts w:ascii="Arial" w:hAnsi="Arial" w:cs="Arial"/>
        </w:rPr>
        <w:t>Disaster Preparedness and Security Planning Policies</w:t>
      </w:r>
    </w:p>
    <w:p w:rsidR="003F604B" w:rsidRPr="003F604B" w:rsidRDefault="003F604B" w:rsidP="00D932D2">
      <w:pPr>
        <w:pStyle w:val="ListParagraph"/>
        <w:numPr>
          <w:ilvl w:val="0"/>
          <w:numId w:val="5"/>
        </w:numPr>
        <w:autoSpaceDE w:val="0"/>
        <w:autoSpaceDN w:val="0"/>
        <w:adjustRightInd w:val="0"/>
        <w:rPr>
          <w:rFonts w:ascii="Arial" w:hAnsi="Arial" w:cs="Arial"/>
        </w:rPr>
      </w:pPr>
      <w:r>
        <w:rPr>
          <w:rFonts w:ascii="Arial" w:hAnsi="Arial" w:cs="Arial"/>
        </w:rPr>
        <w:t>Sustainability Policies</w:t>
      </w:r>
    </w:p>
    <w:p w:rsidR="00A269D5" w:rsidRDefault="00A269D5" w:rsidP="00E46329">
      <w:pPr>
        <w:spacing w:line="240" w:lineRule="atLeast"/>
        <w:rPr>
          <w:rFonts w:ascii="Arial" w:hAnsi="Arial" w:cs="Arial"/>
          <w:u w:val="single"/>
        </w:rPr>
      </w:pPr>
    </w:p>
    <w:p w:rsidR="007E358E" w:rsidRDefault="007E358E" w:rsidP="00E46329">
      <w:pPr>
        <w:spacing w:line="240" w:lineRule="atLeast"/>
        <w:rPr>
          <w:rFonts w:ascii="Arial" w:hAnsi="Arial" w:cs="Arial"/>
        </w:rPr>
      </w:pPr>
      <w:r>
        <w:rPr>
          <w:rFonts w:ascii="Arial" w:hAnsi="Arial" w:cs="Arial"/>
          <w:u w:val="single"/>
        </w:rPr>
        <w:t xml:space="preserve">Two new policies are added and </w:t>
      </w:r>
      <w:r w:rsidR="00565E19">
        <w:rPr>
          <w:rFonts w:ascii="Arial" w:hAnsi="Arial" w:cs="Arial"/>
          <w:u w:val="single"/>
        </w:rPr>
        <w:t>seven</w:t>
      </w:r>
      <w:r>
        <w:rPr>
          <w:rFonts w:ascii="Arial" w:hAnsi="Arial" w:cs="Arial"/>
          <w:u w:val="single"/>
        </w:rPr>
        <w:t xml:space="preserve"> are revised from the 2011 version</w:t>
      </w:r>
      <w:r w:rsidRPr="00565E19">
        <w:rPr>
          <w:rFonts w:ascii="Arial" w:hAnsi="Arial" w:cs="Arial"/>
        </w:rPr>
        <w:t xml:space="preserve">.  </w:t>
      </w:r>
      <w:r w:rsidR="00565E19">
        <w:rPr>
          <w:rFonts w:ascii="Arial" w:hAnsi="Arial" w:cs="Arial"/>
        </w:rPr>
        <w:t>Policies</w:t>
      </w:r>
      <w:r w:rsidR="00565E19" w:rsidRPr="00565E19">
        <w:rPr>
          <w:rFonts w:ascii="Arial" w:hAnsi="Arial" w:cs="Arial"/>
        </w:rPr>
        <w:t xml:space="preserve"> that are revised</w:t>
      </w:r>
      <w:r w:rsidR="00565E19">
        <w:rPr>
          <w:rFonts w:ascii="Arial" w:hAnsi="Arial" w:cs="Arial"/>
        </w:rPr>
        <w:t xml:space="preserve"> clarify the language and intent of previous policies, such as removing acronyms or adding clarifying words or phrases.  The new policies are:</w:t>
      </w:r>
    </w:p>
    <w:p w:rsidR="00565E19" w:rsidRDefault="00565E19" w:rsidP="00E46329">
      <w:pPr>
        <w:spacing w:line="240" w:lineRule="atLeast"/>
        <w:rPr>
          <w:rFonts w:ascii="Arial" w:hAnsi="Arial" w:cs="Arial"/>
        </w:rPr>
      </w:pPr>
    </w:p>
    <w:p w:rsidR="00565E19" w:rsidRPr="0000353C" w:rsidRDefault="00565E19" w:rsidP="0000353C">
      <w:pPr>
        <w:pStyle w:val="list1"/>
        <w:numPr>
          <w:ilvl w:val="0"/>
          <w:numId w:val="14"/>
        </w:numPr>
        <w:tabs>
          <w:tab w:val="left" w:pos="1080"/>
          <w:tab w:val="left" w:pos="1440"/>
        </w:tabs>
        <w:ind w:hanging="720"/>
        <w:contextualSpacing/>
        <w:rPr>
          <w:rFonts w:ascii="Arial" w:hAnsi="Arial" w:cs="Arial"/>
          <w:szCs w:val="24"/>
          <w:u w:val="single"/>
        </w:rPr>
      </w:pPr>
      <w:r w:rsidRPr="0000353C">
        <w:rPr>
          <w:rFonts w:ascii="Arial" w:hAnsi="Arial" w:cs="Arial"/>
          <w:b/>
          <w:szCs w:val="24"/>
          <w:u w:val="single"/>
        </w:rPr>
        <w:t>NEW</w:t>
      </w:r>
      <w:r w:rsidRPr="0000353C">
        <w:rPr>
          <w:rFonts w:ascii="Arial" w:hAnsi="Arial" w:cs="Arial"/>
          <w:szCs w:val="24"/>
          <w:u w:val="single"/>
        </w:rPr>
        <w:t xml:space="preserve">: </w:t>
      </w:r>
      <w:r w:rsidR="00EF7A1E">
        <w:rPr>
          <w:rFonts w:ascii="Arial" w:hAnsi="Arial" w:cs="Arial"/>
          <w:szCs w:val="24"/>
          <w:u w:val="single"/>
        </w:rPr>
        <w:t xml:space="preserve"> </w:t>
      </w:r>
      <w:r w:rsidRPr="00EF7A1E">
        <w:rPr>
          <w:rFonts w:ascii="Arial" w:hAnsi="Arial" w:cs="Arial"/>
          <w:szCs w:val="24"/>
        </w:rPr>
        <w:t>All new construction of buildings, building purchases and major building retrofits will use life cycle cost analysis in the selection of materials and equipment ensuring that the operating, maintenance, replacement and disposal costs are considered as well as  the initial costs</w:t>
      </w:r>
      <w:r w:rsidRPr="0000353C">
        <w:rPr>
          <w:rFonts w:ascii="Arial" w:hAnsi="Arial" w:cs="Arial"/>
          <w:szCs w:val="24"/>
          <w:u w:val="single"/>
        </w:rPr>
        <w:t xml:space="preserve">. </w:t>
      </w:r>
    </w:p>
    <w:p w:rsidR="00565E19" w:rsidRPr="0000353C" w:rsidRDefault="00565E19" w:rsidP="00565E19">
      <w:pPr>
        <w:pStyle w:val="Policyexplanation"/>
        <w:rPr>
          <w:rFonts w:cs="Arial"/>
          <w:sz w:val="24"/>
          <w:szCs w:val="24"/>
        </w:rPr>
      </w:pPr>
    </w:p>
    <w:p w:rsidR="00565E19" w:rsidRPr="0000353C" w:rsidRDefault="00565E19" w:rsidP="00565E19">
      <w:pPr>
        <w:pStyle w:val="Policyexplanation"/>
        <w:rPr>
          <w:rFonts w:cs="Arial"/>
          <w:sz w:val="24"/>
          <w:szCs w:val="24"/>
        </w:rPr>
      </w:pPr>
      <w:r w:rsidRPr="0000353C">
        <w:rPr>
          <w:rFonts w:cs="Arial"/>
          <w:sz w:val="24"/>
          <w:szCs w:val="24"/>
        </w:rPr>
        <w:t xml:space="preserve">This policy gives emphasis to the life cycle phases of a real property asset. </w:t>
      </w:r>
      <w:r w:rsidR="00EF7A1E">
        <w:rPr>
          <w:rFonts w:cs="Arial"/>
          <w:sz w:val="24"/>
          <w:szCs w:val="24"/>
        </w:rPr>
        <w:t xml:space="preserve"> </w:t>
      </w:r>
      <w:r w:rsidRPr="0000353C">
        <w:rPr>
          <w:rFonts w:cs="Arial"/>
          <w:sz w:val="24"/>
          <w:szCs w:val="24"/>
        </w:rPr>
        <w:t>Initial investment decisions must consider the cost impacts of all phases of an asset.</w:t>
      </w:r>
    </w:p>
    <w:p w:rsidR="00565E19" w:rsidRPr="0000353C" w:rsidRDefault="00565E19" w:rsidP="00565E19">
      <w:pPr>
        <w:pStyle w:val="Policyexplanation"/>
        <w:rPr>
          <w:rFonts w:cs="Arial"/>
          <w:sz w:val="24"/>
          <w:szCs w:val="24"/>
        </w:rPr>
      </w:pPr>
    </w:p>
    <w:p w:rsidR="00565E19" w:rsidRPr="0000353C" w:rsidRDefault="00565E19" w:rsidP="0000353C">
      <w:pPr>
        <w:pStyle w:val="list1"/>
        <w:numPr>
          <w:ilvl w:val="0"/>
          <w:numId w:val="14"/>
        </w:numPr>
        <w:tabs>
          <w:tab w:val="left" w:pos="1080"/>
          <w:tab w:val="left" w:pos="1440"/>
        </w:tabs>
        <w:ind w:hanging="720"/>
        <w:contextualSpacing/>
        <w:rPr>
          <w:rFonts w:ascii="Arial" w:hAnsi="Arial" w:cs="Arial"/>
          <w:szCs w:val="24"/>
        </w:rPr>
      </w:pPr>
      <w:r w:rsidRPr="0000353C">
        <w:rPr>
          <w:rFonts w:ascii="Arial" w:hAnsi="Arial" w:cs="Arial"/>
          <w:b/>
          <w:szCs w:val="24"/>
          <w:u w:val="single"/>
        </w:rPr>
        <w:t>NEW</w:t>
      </w:r>
      <w:r w:rsidRPr="0000353C">
        <w:rPr>
          <w:rFonts w:ascii="Arial" w:hAnsi="Arial" w:cs="Arial"/>
          <w:szCs w:val="24"/>
          <w:u w:val="single"/>
        </w:rPr>
        <w:t xml:space="preserve">: </w:t>
      </w:r>
      <w:r w:rsidR="00EF7A1E">
        <w:rPr>
          <w:rFonts w:ascii="Arial" w:hAnsi="Arial" w:cs="Arial"/>
          <w:szCs w:val="24"/>
          <w:u w:val="single"/>
        </w:rPr>
        <w:t xml:space="preserve"> </w:t>
      </w:r>
      <w:r w:rsidRPr="00EF7A1E">
        <w:rPr>
          <w:rFonts w:ascii="Arial" w:hAnsi="Arial" w:cs="Arial"/>
          <w:szCs w:val="24"/>
        </w:rPr>
        <w:t>The policy requires gender-neutral restrooms when upgrading or building new county facilities.  For existing buildings, cost-effective strategies will be used such as posting signs to identify existing gender-neutral bathrooms or posting new signs on some current gender-specific restrooms</w:t>
      </w:r>
      <w:r w:rsidRPr="0000353C">
        <w:rPr>
          <w:rFonts w:ascii="Arial" w:hAnsi="Arial" w:cs="Arial"/>
          <w:szCs w:val="24"/>
        </w:rPr>
        <w:t xml:space="preserve">.  </w:t>
      </w:r>
    </w:p>
    <w:p w:rsidR="00565E19" w:rsidRPr="0000353C" w:rsidRDefault="00565E19" w:rsidP="00565E19">
      <w:pPr>
        <w:pStyle w:val="list1"/>
        <w:tabs>
          <w:tab w:val="left" w:pos="1080"/>
          <w:tab w:val="left" w:pos="1440"/>
        </w:tabs>
        <w:contextualSpacing/>
        <w:rPr>
          <w:rFonts w:ascii="Arial" w:hAnsi="Arial" w:cs="Arial"/>
          <w:szCs w:val="24"/>
        </w:rPr>
      </w:pPr>
    </w:p>
    <w:p w:rsidR="00565E19" w:rsidRPr="0000353C" w:rsidRDefault="00565E19" w:rsidP="00565E19">
      <w:pPr>
        <w:pStyle w:val="list1"/>
        <w:tabs>
          <w:tab w:val="left" w:pos="1080"/>
          <w:tab w:val="left" w:pos="1440"/>
        </w:tabs>
        <w:contextualSpacing/>
        <w:rPr>
          <w:rFonts w:ascii="Arial" w:hAnsi="Arial" w:cs="Arial"/>
          <w:i w:val="0"/>
          <w:szCs w:val="24"/>
        </w:rPr>
      </w:pPr>
      <w:r w:rsidRPr="0000353C">
        <w:rPr>
          <w:rFonts w:ascii="Arial" w:hAnsi="Arial" w:cs="Arial"/>
          <w:i w:val="0"/>
          <w:szCs w:val="24"/>
        </w:rPr>
        <w:t>This policy is aligned with County’s commitment to equity and social justice.</w:t>
      </w:r>
    </w:p>
    <w:p w:rsidR="007E358E" w:rsidRDefault="007E358E" w:rsidP="00E46329">
      <w:pPr>
        <w:spacing w:line="240" w:lineRule="atLeast"/>
        <w:rPr>
          <w:rFonts w:ascii="Arial" w:hAnsi="Arial" w:cs="Arial"/>
          <w:u w:val="single"/>
        </w:rPr>
      </w:pPr>
    </w:p>
    <w:p w:rsidR="009F73F2" w:rsidRDefault="009F73F2" w:rsidP="009F73F2">
      <w:pPr>
        <w:pStyle w:val="list1"/>
        <w:tabs>
          <w:tab w:val="left" w:pos="1080"/>
          <w:tab w:val="left" w:pos="1440"/>
        </w:tabs>
        <w:ind w:left="0" w:firstLine="0"/>
        <w:rPr>
          <w:rFonts w:ascii="Arial" w:hAnsi="Arial" w:cs="Arial"/>
          <w:i w:val="0"/>
          <w:szCs w:val="24"/>
        </w:rPr>
      </w:pPr>
      <w:r w:rsidRPr="009F73F2">
        <w:rPr>
          <w:rFonts w:ascii="Arial" w:hAnsi="Arial" w:cs="Arial"/>
          <w:i w:val="0"/>
          <w:szCs w:val="24"/>
        </w:rPr>
        <w:t xml:space="preserve">2011 Policy 28.0 was deleted in the 2013 plan.  The policy that the </w:t>
      </w:r>
      <w:r w:rsidR="009450C9" w:rsidRPr="009F73F2">
        <w:rPr>
          <w:rFonts w:ascii="Arial" w:hAnsi="Arial" w:cs="Arial"/>
          <w:i w:val="0"/>
          <w:szCs w:val="24"/>
        </w:rPr>
        <w:t>Sheriff's Office Criminal Investigation Division (CID) be relocated to the core complex of King County buildings in downtown Seattle</w:t>
      </w:r>
      <w:r w:rsidRPr="009F73F2">
        <w:rPr>
          <w:rFonts w:ascii="Arial" w:hAnsi="Arial" w:cs="Arial"/>
          <w:i w:val="0"/>
          <w:szCs w:val="24"/>
        </w:rPr>
        <w:t xml:space="preserve"> was accomplished</w:t>
      </w:r>
      <w:r w:rsidR="009450C9" w:rsidRPr="009F73F2">
        <w:rPr>
          <w:rFonts w:ascii="Arial" w:hAnsi="Arial" w:cs="Arial"/>
          <w:i w:val="0"/>
          <w:szCs w:val="24"/>
        </w:rPr>
        <w:t>.</w:t>
      </w:r>
      <w:r>
        <w:rPr>
          <w:rFonts w:ascii="Arial" w:hAnsi="Arial" w:cs="Arial"/>
          <w:i w:val="0"/>
          <w:szCs w:val="24"/>
        </w:rPr>
        <w:t xml:space="preserve">  </w:t>
      </w:r>
    </w:p>
    <w:p w:rsidR="009F73F2" w:rsidRDefault="009F73F2" w:rsidP="009F73F2">
      <w:pPr>
        <w:pStyle w:val="list1"/>
        <w:tabs>
          <w:tab w:val="left" w:pos="1080"/>
          <w:tab w:val="left" w:pos="1440"/>
        </w:tabs>
        <w:ind w:left="0" w:firstLine="0"/>
        <w:rPr>
          <w:rFonts w:ascii="Arial" w:hAnsi="Arial" w:cs="Arial"/>
          <w:i w:val="0"/>
          <w:szCs w:val="24"/>
        </w:rPr>
      </w:pPr>
    </w:p>
    <w:p w:rsidR="0017122A" w:rsidRPr="009F73F2" w:rsidRDefault="005E54D3" w:rsidP="009F73F2">
      <w:pPr>
        <w:pStyle w:val="list1"/>
        <w:tabs>
          <w:tab w:val="left" w:pos="1080"/>
          <w:tab w:val="left" w:pos="1440"/>
        </w:tabs>
        <w:ind w:left="0" w:firstLine="0"/>
        <w:rPr>
          <w:rFonts w:ascii="Arial" w:hAnsi="Arial" w:cs="Arial"/>
          <w:i w:val="0"/>
          <w:szCs w:val="24"/>
        </w:rPr>
      </w:pPr>
      <w:r w:rsidRPr="009F73F2">
        <w:rPr>
          <w:rFonts w:ascii="Arial" w:hAnsi="Arial" w:cs="Arial"/>
          <w:b/>
          <w:i w:val="0"/>
        </w:rPr>
        <w:t xml:space="preserve">Attachment </w:t>
      </w:r>
      <w:r w:rsidR="007762C4" w:rsidRPr="009F73F2">
        <w:rPr>
          <w:rFonts w:ascii="Arial" w:hAnsi="Arial" w:cs="Arial"/>
          <w:b/>
          <w:i w:val="0"/>
        </w:rPr>
        <w:t>7</w:t>
      </w:r>
      <w:r w:rsidR="00715031" w:rsidRPr="009F73F2">
        <w:rPr>
          <w:rFonts w:ascii="Arial" w:hAnsi="Arial" w:cs="Arial"/>
          <w:i w:val="0"/>
        </w:rPr>
        <w:t xml:space="preserve"> </w:t>
      </w:r>
      <w:r w:rsidR="00976A02" w:rsidRPr="009F73F2">
        <w:rPr>
          <w:rFonts w:ascii="Arial" w:hAnsi="Arial" w:cs="Arial"/>
          <w:i w:val="0"/>
        </w:rPr>
        <w:t xml:space="preserve">is an excerpt from the document that lists </w:t>
      </w:r>
      <w:r w:rsidR="00EF7A1E" w:rsidRPr="009F73F2">
        <w:rPr>
          <w:rFonts w:ascii="Arial" w:hAnsi="Arial" w:cs="Arial"/>
          <w:i w:val="0"/>
        </w:rPr>
        <w:t>all RAMP</w:t>
      </w:r>
      <w:r w:rsidR="00715031" w:rsidRPr="009F73F2">
        <w:rPr>
          <w:rFonts w:ascii="Arial" w:hAnsi="Arial" w:cs="Arial"/>
          <w:i w:val="0"/>
        </w:rPr>
        <w:t xml:space="preserve"> recommended policies</w:t>
      </w:r>
      <w:r w:rsidR="0000353C" w:rsidRPr="009F73F2">
        <w:rPr>
          <w:rFonts w:ascii="Arial" w:hAnsi="Arial" w:cs="Arial"/>
          <w:i w:val="0"/>
        </w:rPr>
        <w:t>.</w:t>
      </w:r>
      <w:r w:rsidR="009F73F2">
        <w:rPr>
          <w:rFonts w:ascii="Arial" w:hAnsi="Arial" w:cs="Arial"/>
        </w:rPr>
        <w:t xml:space="preserve">  (The excerpt reflects the corrected numbering to be replaced via an amendment.)</w:t>
      </w:r>
    </w:p>
    <w:p w:rsidR="0000353C" w:rsidRDefault="0000353C" w:rsidP="0000353C">
      <w:pPr>
        <w:spacing w:line="240" w:lineRule="atLeast"/>
        <w:rPr>
          <w:rFonts w:ascii="Arial" w:hAnsi="Arial" w:cs="Arial"/>
        </w:rPr>
      </w:pPr>
    </w:p>
    <w:p w:rsidR="00F37A71" w:rsidRPr="00911288" w:rsidRDefault="00F37A71" w:rsidP="00E46329">
      <w:pPr>
        <w:spacing w:line="240" w:lineRule="atLeast"/>
        <w:rPr>
          <w:rFonts w:ascii="Arial" w:hAnsi="Arial" w:cs="Arial"/>
          <w:b/>
          <w:u w:val="single"/>
        </w:rPr>
      </w:pPr>
      <w:r w:rsidRPr="00911288">
        <w:rPr>
          <w:rFonts w:ascii="Arial" w:hAnsi="Arial" w:cs="Arial"/>
          <w:b/>
          <w:u w:val="single"/>
        </w:rPr>
        <w:t>Near Term Policies</w:t>
      </w:r>
    </w:p>
    <w:p w:rsidR="00F40A99" w:rsidRPr="008D5DAF" w:rsidRDefault="00576609" w:rsidP="00F40A99">
      <w:pPr>
        <w:rPr>
          <w:rFonts w:ascii="Arial" w:hAnsi="Arial" w:cs="Arial"/>
        </w:rPr>
      </w:pPr>
      <w:r>
        <w:rPr>
          <w:rFonts w:ascii="Arial" w:hAnsi="Arial" w:cs="Arial"/>
        </w:rPr>
        <w:t>S</w:t>
      </w:r>
      <w:r w:rsidR="0024035D">
        <w:rPr>
          <w:rFonts w:ascii="Arial" w:hAnsi="Arial" w:cs="Arial"/>
        </w:rPr>
        <w:t>hort</w:t>
      </w:r>
      <w:r w:rsidR="00F37A71">
        <w:rPr>
          <w:rFonts w:ascii="Arial" w:hAnsi="Arial" w:cs="Arial"/>
        </w:rPr>
        <w:t xml:space="preserve"> term move policies</w:t>
      </w:r>
      <w:r w:rsidR="0024035D">
        <w:rPr>
          <w:rFonts w:ascii="Arial" w:hAnsi="Arial" w:cs="Arial"/>
        </w:rPr>
        <w:t>,</w:t>
      </w:r>
      <w:r w:rsidR="00F37A71">
        <w:rPr>
          <w:rFonts w:ascii="Arial" w:hAnsi="Arial" w:cs="Arial"/>
        </w:rPr>
        <w:t xml:space="preserve"> </w:t>
      </w:r>
      <w:r w:rsidR="0024035D" w:rsidRPr="0024035D">
        <w:rPr>
          <w:rFonts w:ascii="Arial" w:hAnsi="Arial" w:cs="Arial"/>
        </w:rPr>
        <w:t xml:space="preserve">listed in </w:t>
      </w:r>
      <w:r w:rsidR="0024035D" w:rsidRPr="0024035D">
        <w:rPr>
          <w:rFonts w:ascii="Arial" w:hAnsi="Arial" w:cs="Arial"/>
          <w:b/>
        </w:rPr>
        <w:t xml:space="preserve">Attachment </w:t>
      </w:r>
      <w:r w:rsidR="007762C4">
        <w:rPr>
          <w:rFonts w:ascii="Arial" w:hAnsi="Arial" w:cs="Arial"/>
          <w:b/>
        </w:rPr>
        <w:t>8</w:t>
      </w:r>
      <w:r w:rsidR="0024035D">
        <w:rPr>
          <w:rFonts w:ascii="Arial" w:hAnsi="Arial" w:cs="Arial"/>
        </w:rPr>
        <w:t xml:space="preserve">, </w:t>
      </w:r>
      <w:r w:rsidR="00F37A71">
        <w:rPr>
          <w:rFonts w:ascii="Arial" w:hAnsi="Arial" w:cs="Arial"/>
        </w:rPr>
        <w:t xml:space="preserve">address the consolidation, space utilization, and the reduction of building occupancy costs.  </w:t>
      </w:r>
      <w:r w:rsidR="009E42C4" w:rsidRPr="0024035D">
        <w:rPr>
          <w:rFonts w:ascii="Arial" w:hAnsi="Arial" w:cs="Arial"/>
        </w:rPr>
        <w:t xml:space="preserve">The policies are intended to make it easier to manage the county’s office space and reduce costs overall.  </w:t>
      </w:r>
      <w:r>
        <w:rPr>
          <w:rFonts w:ascii="Arial" w:hAnsi="Arial" w:cs="Arial"/>
        </w:rPr>
        <w:t xml:space="preserve">Successes from the 2011 RAMP include 1) the mothballing of floors 3-7 in the Yesler Building and 2.5 floors in the Blackriver Building, 2) development of a community partnership between Public Health and the King County Housing Authority in the new Greenbridge facility, and 3) the consolidations resulting in space reductions in the Administration Building by working with the Assessor and Facilities Management Division.  </w:t>
      </w:r>
    </w:p>
    <w:p w:rsidR="009C067A" w:rsidRDefault="009C067A" w:rsidP="00E46329">
      <w:pPr>
        <w:spacing w:line="240" w:lineRule="atLeast"/>
        <w:rPr>
          <w:rFonts w:ascii="Arial" w:hAnsi="Arial" w:cs="Arial"/>
        </w:rPr>
      </w:pPr>
    </w:p>
    <w:p w:rsidR="00F077FB" w:rsidRDefault="00DE23AD" w:rsidP="00E46329">
      <w:pPr>
        <w:spacing w:line="240" w:lineRule="atLeast"/>
        <w:rPr>
          <w:rFonts w:ascii="Arial" w:hAnsi="Arial" w:cs="Arial"/>
        </w:rPr>
      </w:pPr>
      <w:r>
        <w:rPr>
          <w:rFonts w:ascii="Arial" w:hAnsi="Arial" w:cs="Arial"/>
        </w:rPr>
        <w:t xml:space="preserve">The 2013 RAMP lists </w:t>
      </w:r>
      <w:r w:rsidR="000E018C">
        <w:rPr>
          <w:rFonts w:ascii="Arial" w:hAnsi="Arial" w:cs="Arial"/>
        </w:rPr>
        <w:t xml:space="preserve">emerging needs and </w:t>
      </w:r>
      <w:r>
        <w:rPr>
          <w:rFonts w:ascii="Arial" w:hAnsi="Arial" w:cs="Arial"/>
        </w:rPr>
        <w:t>potential moves and reconfigurations.  Some</w:t>
      </w:r>
      <w:r w:rsidR="00F077FB">
        <w:rPr>
          <w:rFonts w:ascii="Arial" w:hAnsi="Arial" w:cs="Arial"/>
        </w:rPr>
        <w:t xml:space="preserve"> projects, such as the Vashon Community Services Center and the relocation of the KCSO Criminal Investigations Division,</w:t>
      </w:r>
      <w:r>
        <w:rPr>
          <w:rFonts w:ascii="Arial" w:hAnsi="Arial" w:cs="Arial"/>
        </w:rPr>
        <w:t xml:space="preserve"> were accomplished in 2013</w:t>
      </w:r>
      <w:r w:rsidR="00F077FB">
        <w:rPr>
          <w:rFonts w:ascii="Arial" w:hAnsi="Arial" w:cs="Arial"/>
        </w:rPr>
        <w:t>.</w:t>
      </w:r>
      <w:r>
        <w:rPr>
          <w:rFonts w:ascii="Arial" w:hAnsi="Arial" w:cs="Arial"/>
        </w:rPr>
        <w:t xml:space="preserve"> </w:t>
      </w:r>
      <w:r w:rsidR="00F077FB">
        <w:rPr>
          <w:rFonts w:ascii="Arial" w:hAnsi="Arial" w:cs="Arial"/>
        </w:rPr>
        <w:t xml:space="preserve"> </w:t>
      </w:r>
    </w:p>
    <w:p w:rsidR="00F077FB" w:rsidRDefault="00F077FB" w:rsidP="00E46329">
      <w:pPr>
        <w:spacing w:line="240" w:lineRule="atLeast"/>
        <w:rPr>
          <w:rFonts w:ascii="Arial" w:hAnsi="Arial" w:cs="Arial"/>
        </w:rPr>
      </w:pPr>
    </w:p>
    <w:p w:rsidR="00F40A99" w:rsidRDefault="00DE23AD" w:rsidP="00E46329">
      <w:pPr>
        <w:spacing w:line="240" w:lineRule="atLeast"/>
        <w:rPr>
          <w:rFonts w:ascii="Arial" w:hAnsi="Arial" w:cs="Arial"/>
        </w:rPr>
      </w:pPr>
      <w:r>
        <w:rPr>
          <w:rFonts w:ascii="Arial" w:hAnsi="Arial" w:cs="Arial"/>
        </w:rPr>
        <w:t xml:space="preserve">The </w:t>
      </w:r>
      <w:r w:rsidR="000E018C">
        <w:rPr>
          <w:rFonts w:ascii="Arial" w:hAnsi="Arial" w:cs="Arial"/>
        </w:rPr>
        <w:t xml:space="preserve">list below highlights </w:t>
      </w:r>
      <w:r w:rsidR="00F077FB">
        <w:rPr>
          <w:rFonts w:ascii="Arial" w:hAnsi="Arial" w:cs="Arial"/>
        </w:rPr>
        <w:t xml:space="preserve">some of the </w:t>
      </w:r>
      <w:r w:rsidR="000E018C">
        <w:rPr>
          <w:rFonts w:ascii="Arial" w:hAnsi="Arial" w:cs="Arial"/>
        </w:rPr>
        <w:t xml:space="preserve">outstanding space issues that have not yet been resolved:  </w:t>
      </w:r>
    </w:p>
    <w:p w:rsidR="00DE23AD" w:rsidRDefault="00DE23AD" w:rsidP="00F077FB">
      <w:pPr>
        <w:pStyle w:val="ListParagraph"/>
        <w:numPr>
          <w:ilvl w:val="0"/>
          <w:numId w:val="19"/>
        </w:numPr>
        <w:spacing w:before="120" w:line="240" w:lineRule="atLeast"/>
        <w:rPr>
          <w:rFonts w:ascii="Arial" w:hAnsi="Arial" w:cs="Arial"/>
        </w:rPr>
      </w:pPr>
      <w:r w:rsidRPr="00F077FB">
        <w:rPr>
          <w:rFonts w:ascii="Arial" w:hAnsi="Arial" w:cs="Arial"/>
          <w:u w:val="single"/>
        </w:rPr>
        <w:t>Department of Public Defense</w:t>
      </w:r>
      <w:r w:rsidR="00F077FB">
        <w:rPr>
          <w:rFonts w:ascii="Arial" w:hAnsi="Arial" w:cs="Arial"/>
          <w:u w:val="single"/>
        </w:rPr>
        <w:t xml:space="preserve"> (DPD)</w:t>
      </w:r>
      <w:r>
        <w:rPr>
          <w:rFonts w:ascii="Arial" w:hAnsi="Arial" w:cs="Arial"/>
        </w:rPr>
        <w:t>:</w:t>
      </w:r>
      <w:r w:rsidR="000E018C">
        <w:rPr>
          <w:rFonts w:ascii="Arial" w:hAnsi="Arial" w:cs="Arial"/>
        </w:rPr>
        <w:t xml:space="preserve">  </w:t>
      </w:r>
      <w:r w:rsidR="00F077FB">
        <w:rPr>
          <w:rFonts w:ascii="Arial" w:hAnsi="Arial" w:cs="Arial"/>
        </w:rPr>
        <w:t xml:space="preserve">The recently created DPD has the largest emerging space need.  Current leases are being negotiated for the public defender services located in Kent in the vicinity of the MRJC, First Hill in the vicinity of the Youth Services Center, the Harborview campus in the vicinity of the Involuntary Treatment Act (ITA) Court, and downtown Seattle in the vicinity of the Courthouse.  It is currently anticipated that the Yesler Building will be redeveloped with housing for DPD.  </w:t>
      </w:r>
    </w:p>
    <w:p w:rsidR="00DE23AD" w:rsidRDefault="00F077FB" w:rsidP="00F077FB">
      <w:pPr>
        <w:pStyle w:val="ListParagraph"/>
        <w:numPr>
          <w:ilvl w:val="0"/>
          <w:numId w:val="19"/>
        </w:numPr>
        <w:spacing w:before="120" w:line="240" w:lineRule="atLeast"/>
        <w:rPr>
          <w:rFonts w:ascii="Arial" w:hAnsi="Arial" w:cs="Arial"/>
        </w:rPr>
      </w:pPr>
      <w:r w:rsidRPr="00F077FB">
        <w:rPr>
          <w:rFonts w:ascii="Arial" w:hAnsi="Arial" w:cs="Arial"/>
          <w:u w:val="single"/>
        </w:rPr>
        <w:t>Department of Adult and Juvenile Detention (DAJD) Community Corrections</w:t>
      </w:r>
      <w:r w:rsidR="00DE23AD">
        <w:rPr>
          <w:rFonts w:ascii="Arial" w:hAnsi="Arial" w:cs="Arial"/>
        </w:rPr>
        <w:t>:</w:t>
      </w:r>
      <w:r>
        <w:rPr>
          <w:rFonts w:ascii="Arial" w:hAnsi="Arial" w:cs="Arial"/>
        </w:rPr>
        <w:t xml:space="preserve">  The Community Corrections program, currently located in the Yesler Building, continues to grow and a needs assessment is undertaken.  If the Yesler Building is redeveloped, the program will need to be relocated.</w:t>
      </w:r>
    </w:p>
    <w:p w:rsidR="00FB64C5" w:rsidRDefault="00FB64C5" w:rsidP="00FB64C5">
      <w:pPr>
        <w:pStyle w:val="ListParagraph"/>
        <w:numPr>
          <w:ilvl w:val="0"/>
          <w:numId w:val="19"/>
        </w:numPr>
        <w:spacing w:before="120" w:line="240" w:lineRule="atLeast"/>
        <w:rPr>
          <w:rFonts w:ascii="Arial" w:hAnsi="Arial" w:cs="Arial"/>
        </w:rPr>
      </w:pPr>
      <w:r w:rsidRPr="00F077FB">
        <w:rPr>
          <w:rFonts w:ascii="Arial" w:hAnsi="Arial" w:cs="Arial"/>
          <w:u w:val="single"/>
        </w:rPr>
        <w:t xml:space="preserve">Department of Adult and Juvenile Detention (DAJD) </w:t>
      </w:r>
      <w:r>
        <w:rPr>
          <w:rFonts w:ascii="Arial" w:hAnsi="Arial" w:cs="Arial"/>
          <w:u w:val="single"/>
        </w:rPr>
        <w:t>Work Education Release (WER)</w:t>
      </w:r>
      <w:r>
        <w:rPr>
          <w:rFonts w:ascii="Arial" w:hAnsi="Arial" w:cs="Arial"/>
        </w:rPr>
        <w:t>:  This program, currently located on the 10</w:t>
      </w:r>
      <w:r w:rsidRPr="00FB64C5">
        <w:rPr>
          <w:rFonts w:ascii="Arial" w:hAnsi="Arial" w:cs="Arial"/>
          <w:vertAlign w:val="superscript"/>
        </w:rPr>
        <w:t>th</w:t>
      </w:r>
      <w:r>
        <w:rPr>
          <w:rFonts w:ascii="Arial" w:hAnsi="Arial" w:cs="Arial"/>
        </w:rPr>
        <w:t xml:space="preserve"> floor of the Courthouse, needs tenant improvements or possible relocation.</w:t>
      </w:r>
    </w:p>
    <w:p w:rsidR="008D7AF7" w:rsidRDefault="008D7AF7" w:rsidP="00F077FB">
      <w:pPr>
        <w:pStyle w:val="ListParagraph"/>
        <w:numPr>
          <w:ilvl w:val="0"/>
          <w:numId w:val="19"/>
        </w:numPr>
        <w:spacing w:before="120" w:line="240" w:lineRule="atLeast"/>
        <w:rPr>
          <w:rFonts w:ascii="Arial" w:hAnsi="Arial" w:cs="Arial"/>
        </w:rPr>
      </w:pPr>
      <w:r>
        <w:rPr>
          <w:rFonts w:ascii="Arial" w:hAnsi="Arial" w:cs="Arial"/>
          <w:u w:val="single"/>
        </w:rPr>
        <w:t>Public Health</w:t>
      </w:r>
      <w:r w:rsidRPr="008D7AF7">
        <w:rPr>
          <w:rFonts w:ascii="Arial" w:hAnsi="Arial" w:cs="Arial"/>
        </w:rPr>
        <w:t>:</w:t>
      </w:r>
      <w:r>
        <w:rPr>
          <w:rFonts w:ascii="Arial" w:hAnsi="Arial" w:cs="Arial"/>
        </w:rPr>
        <w:t xml:space="preserve">  Public Health has encountered </w:t>
      </w:r>
      <w:r w:rsidR="00AF2A97">
        <w:rPr>
          <w:rFonts w:ascii="Arial" w:hAnsi="Arial" w:cs="Arial"/>
        </w:rPr>
        <w:t xml:space="preserve">severe financial </w:t>
      </w:r>
      <w:r>
        <w:rPr>
          <w:rFonts w:ascii="Arial" w:hAnsi="Arial" w:cs="Arial"/>
        </w:rPr>
        <w:t xml:space="preserve">constraints in 2014.  The RAMP stresses the continued shift </w:t>
      </w:r>
      <w:r w:rsidR="00E83437">
        <w:rPr>
          <w:rFonts w:ascii="Arial" w:hAnsi="Arial" w:cs="Arial"/>
        </w:rPr>
        <w:t xml:space="preserve">of </w:t>
      </w:r>
      <w:r>
        <w:rPr>
          <w:rFonts w:ascii="Arial" w:hAnsi="Arial" w:cs="Arial"/>
        </w:rPr>
        <w:t xml:space="preserve">programs to more clinical partnerships to reduce the need for Clinic services.  The budget constraints </w:t>
      </w:r>
      <w:r w:rsidR="00AF2A97">
        <w:rPr>
          <w:rFonts w:ascii="Arial" w:hAnsi="Arial" w:cs="Arial"/>
        </w:rPr>
        <w:t xml:space="preserve">will likely result in </w:t>
      </w:r>
      <w:r>
        <w:rPr>
          <w:rFonts w:ascii="Arial" w:hAnsi="Arial" w:cs="Arial"/>
        </w:rPr>
        <w:t>changes in services</w:t>
      </w:r>
      <w:r w:rsidR="00AF2A97">
        <w:rPr>
          <w:rFonts w:ascii="Arial" w:hAnsi="Arial" w:cs="Arial"/>
        </w:rPr>
        <w:t xml:space="preserve"> and facility needs on an ongoing basis</w:t>
      </w:r>
      <w:r>
        <w:rPr>
          <w:rFonts w:ascii="Arial" w:hAnsi="Arial" w:cs="Arial"/>
        </w:rPr>
        <w:t>.</w:t>
      </w:r>
    </w:p>
    <w:p w:rsidR="008D7AF7" w:rsidRDefault="008D7AF7" w:rsidP="00F077FB">
      <w:pPr>
        <w:pStyle w:val="ListParagraph"/>
        <w:numPr>
          <w:ilvl w:val="0"/>
          <w:numId w:val="19"/>
        </w:numPr>
        <w:spacing w:before="120" w:line="240" w:lineRule="atLeast"/>
        <w:rPr>
          <w:rFonts w:ascii="Arial" w:hAnsi="Arial" w:cs="Arial"/>
        </w:rPr>
      </w:pPr>
      <w:r>
        <w:rPr>
          <w:rFonts w:ascii="Arial" w:hAnsi="Arial" w:cs="Arial"/>
          <w:u w:val="single"/>
        </w:rPr>
        <w:t>Kingstreet Center</w:t>
      </w:r>
      <w:r w:rsidRPr="008D7AF7">
        <w:rPr>
          <w:rFonts w:ascii="Arial" w:hAnsi="Arial" w:cs="Arial"/>
        </w:rPr>
        <w:t>:</w:t>
      </w:r>
      <w:r>
        <w:rPr>
          <w:rFonts w:ascii="Arial" w:hAnsi="Arial" w:cs="Arial"/>
        </w:rPr>
        <w:t xml:space="preserve">  The downsizing of the Roads Division (and the possible downsizing for Transit) has freed or will free space in the building, which may open space for the consolidation of King County Information Technology (KCIT).</w:t>
      </w:r>
    </w:p>
    <w:p w:rsidR="0023372A" w:rsidRDefault="0023372A" w:rsidP="00F077FB">
      <w:pPr>
        <w:pStyle w:val="ListParagraph"/>
        <w:numPr>
          <w:ilvl w:val="0"/>
          <w:numId w:val="19"/>
        </w:numPr>
        <w:spacing w:before="120" w:line="240" w:lineRule="atLeast"/>
        <w:rPr>
          <w:rFonts w:ascii="Arial" w:hAnsi="Arial" w:cs="Arial"/>
        </w:rPr>
      </w:pPr>
      <w:r>
        <w:rPr>
          <w:rFonts w:ascii="Arial" w:hAnsi="Arial" w:cs="Arial"/>
          <w:u w:val="single"/>
        </w:rPr>
        <w:lastRenderedPageBreak/>
        <w:t>Administration Building</w:t>
      </w:r>
      <w:r w:rsidRPr="0023372A">
        <w:rPr>
          <w:rFonts w:ascii="Arial" w:hAnsi="Arial" w:cs="Arial"/>
        </w:rPr>
        <w:t>:</w:t>
      </w:r>
      <w:r>
        <w:rPr>
          <w:rFonts w:ascii="Arial" w:hAnsi="Arial" w:cs="Arial"/>
        </w:rPr>
        <w:t xml:space="preserve">  There is a need for training and meeting rooms in this building after the CID move.  </w:t>
      </w:r>
    </w:p>
    <w:p w:rsidR="00F41179" w:rsidRPr="00FC5AC5" w:rsidRDefault="00FC5AC5" w:rsidP="00FC5AC5">
      <w:pPr>
        <w:pStyle w:val="ListParagraph"/>
        <w:numPr>
          <w:ilvl w:val="0"/>
          <w:numId w:val="19"/>
        </w:numPr>
        <w:spacing w:before="120" w:line="240" w:lineRule="atLeast"/>
        <w:rPr>
          <w:rFonts w:ascii="Arial" w:hAnsi="Arial" w:cs="Arial"/>
        </w:rPr>
      </w:pPr>
      <w:r>
        <w:rPr>
          <w:rFonts w:ascii="Arial" w:hAnsi="Arial" w:cs="Arial"/>
          <w:u w:val="single"/>
        </w:rPr>
        <w:t>Involuntary Treatment Act (</w:t>
      </w:r>
      <w:r w:rsidR="00F41179" w:rsidRPr="00FC5AC5">
        <w:rPr>
          <w:rFonts w:ascii="Arial" w:hAnsi="Arial" w:cs="Arial"/>
          <w:u w:val="single"/>
        </w:rPr>
        <w:t>ITA</w:t>
      </w:r>
      <w:r>
        <w:rPr>
          <w:rFonts w:ascii="Arial" w:hAnsi="Arial" w:cs="Arial"/>
          <w:u w:val="single"/>
        </w:rPr>
        <w:t>)</w:t>
      </w:r>
      <w:r w:rsidR="00F41179" w:rsidRPr="00FC5AC5">
        <w:rPr>
          <w:rFonts w:ascii="Arial" w:hAnsi="Arial" w:cs="Arial"/>
          <w:u w:val="single"/>
        </w:rPr>
        <w:t xml:space="preserve"> Court</w:t>
      </w:r>
      <w:r w:rsidR="00F41179" w:rsidRPr="00FC5AC5">
        <w:rPr>
          <w:rFonts w:ascii="Arial" w:hAnsi="Arial" w:cs="Arial"/>
        </w:rPr>
        <w:t xml:space="preserve">:  </w:t>
      </w:r>
      <w:r w:rsidRPr="00FC5AC5">
        <w:rPr>
          <w:rFonts w:ascii="Arial" w:hAnsi="Arial" w:cs="Arial"/>
        </w:rPr>
        <w:t xml:space="preserve">King County’s ITA Court is </w:t>
      </w:r>
      <w:r w:rsidR="00E4128F">
        <w:rPr>
          <w:rFonts w:ascii="Arial" w:hAnsi="Arial" w:cs="Arial"/>
        </w:rPr>
        <w:t xml:space="preserve">currently </w:t>
      </w:r>
      <w:r w:rsidRPr="00FC5AC5">
        <w:rPr>
          <w:rFonts w:ascii="Arial" w:hAnsi="Arial" w:cs="Arial"/>
        </w:rPr>
        <w:t>housed in a facility that is inadequate to meet its day-to-day operating needs.  The court space in the Ninth and Jefferson Building (NJB) on the Harborview Medical Center campus lacks sufficient space for every component of court operations from patient waiting areas to judge’s chambers to public restrooms.</w:t>
      </w:r>
      <w:r>
        <w:rPr>
          <w:rFonts w:ascii="Arial" w:hAnsi="Arial" w:cs="Arial"/>
        </w:rPr>
        <w:t xml:space="preserve">  </w:t>
      </w:r>
      <w:r w:rsidRPr="00FC5AC5">
        <w:rPr>
          <w:rFonts w:ascii="Arial" w:hAnsi="Arial" w:cs="Arial"/>
        </w:rPr>
        <w:t xml:space="preserve">Given the inadequacies of NJB, the County is exploring moving ITA Court to a remodeled Harborview Hall.  </w:t>
      </w:r>
    </w:p>
    <w:p w:rsidR="00FC5AC5" w:rsidRPr="00FC5AC5" w:rsidRDefault="00FC5AC5" w:rsidP="00F077FB">
      <w:pPr>
        <w:pStyle w:val="ListParagraph"/>
        <w:numPr>
          <w:ilvl w:val="0"/>
          <w:numId w:val="19"/>
        </w:numPr>
        <w:spacing w:before="120" w:line="240" w:lineRule="atLeast"/>
        <w:rPr>
          <w:rFonts w:ascii="Arial" w:hAnsi="Arial" w:cs="Arial"/>
        </w:rPr>
      </w:pPr>
      <w:r w:rsidRPr="00FC5AC5">
        <w:rPr>
          <w:rFonts w:ascii="Arial" w:hAnsi="Arial" w:cs="Arial"/>
          <w:u w:val="single"/>
        </w:rPr>
        <w:t>Lease Terminations</w:t>
      </w:r>
      <w:r w:rsidRPr="00FC5AC5">
        <w:rPr>
          <w:rFonts w:ascii="Arial" w:hAnsi="Arial" w:cs="Arial"/>
        </w:rPr>
        <w:t xml:space="preserve">:  </w:t>
      </w:r>
      <w:r w:rsidR="00E4128F">
        <w:rPr>
          <w:rFonts w:ascii="Arial" w:hAnsi="Arial" w:cs="Arial"/>
        </w:rPr>
        <w:t xml:space="preserve">As leased space agreements come to the end of their term, FMD will continue to consider options for providing space in county owned buildings.  </w:t>
      </w:r>
    </w:p>
    <w:p w:rsidR="000F3CDF" w:rsidRDefault="000F3CDF" w:rsidP="00E46329">
      <w:pPr>
        <w:spacing w:line="240" w:lineRule="atLeast"/>
        <w:rPr>
          <w:rFonts w:ascii="Arial" w:hAnsi="Arial" w:cs="Arial"/>
        </w:rPr>
      </w:pPr>
    </w:p>
    <w:p w:rsidR="00652B91" w:rsidRDefault="00652B91" w:rsidP="00E46329">
      <w:pPr>
        <w:spacing w:line="240" w:lineRule="atLeast"/>
        <w:rPr>
          <w:rFonts w:ascii="Arial" w:hAnsi="Arial" w:cs="Arial"/>
          <w:b/>
          <w:u w:val="single"/>
        </w:rPr>
      </w:pPr>
      <w:r>
        <w:rPr>
          <w:rFonts w:ascii="Arial" w:hAnsi="Arial" w:cs="Arial"/>
          <w:b/>
          <w:u w:val="single"/>
        </w:rPr>
        <w:t>Near Term Policy Framework</w:t>
      </w:r>
    </w:p>
    <w:p w:rsidR="00930B70" w:rsidRDefault="00921926" w:rsidP="00E46329">
      <w:pPr>
        <w:spacing w:line="240" w:lineRule="atLeast"/>
        <w:rPr>
          <w:rFonts w:ascii="Arial" w:hAnsi="Arial" w:cs="Arial"/>
        </w:rPr>
      </w:pPr>
      <w:r>
        <w:rPr>
          <w:rFonts w:ascii="Arial" w:hAnsi="Arial" w:cs="Arial"/>
        </w:rPr>
        <w:t xml:space="preserve">Similar to the Framework Policies, </w:t>
      </w:r>
      <w:r w:rsidR="00ED058A">
        <w:rPr>
          <w:rFonts w:ascii="Arial" w:hAnsi="Arial" w:cs="Arial"/>
        </w:rPr>
        <w:t xml:space="preserve">seven </w:t>
      </w:r>
      <w:r>
        <w:rPr>
          <w:rFonts w:ascii="Arial" w:hAnsi="Arial" w:cs="Arial"/>
        </w:rPr>
        <w:t>near term policies were revised</w:t>
      </w:r>
      <w:r w:rsidR="00ED058A">
        <w:rPr>
          <w:rFonts w:ascii="Arial" w:hAnsi="Arial" w:cs="Arial"/>
        </w:rPr>
        <w:t xml:space="preserve"> and two new policies are included.  Most revisions clarify the language and intent of previous policies by adding clarifying words or phrases.  </w:t>
      </w:r>
    </w:p>
    <w:p w:rsidR="00930B70" w:rsidRDefault="00930B70" w:rsidP="00E46329">
      <w:pPr>
        <w:spacing w:line="240" w:lineRule="atLeast"/>
        <w:rPr>
          <w:rFonts w:ascii="Arial" w:hAnsi="Arial" w:cs="Arial"/>
        </w:rPr>
      </w:pPr>
    </w:p>
    <w:p w:rsidR="00ED058A" w:rsidRDefault="00930B70" w:rsidP="00E46329">
      <w:pPr>
        <w:spacing w:line="240" w:lineRule="atLeast"/>
        <w:rPr>
          <w:rFonts w:ascii="Arial" w:hAnsi="Arial" w:cs="Arial"/>
        </w:rPr>
      </w:pPr>
      <w:r>
        <w:rPr>
          <w:rFonts w:ascii="Arial" w:hAnsi="Arial" w:cs="Arial"/>
          <w:u w:val="single"/>
        </w:rPr>
        <w:t>Revised:</w:t>
      </w:r>
      <w:r w:rsidRPr="00930B70">
        <w:rPr>
          <w:rFonts w:ascii="Arial" w:hAnsi="Arial" w:cs="Arial"/>
        </w:rPr>
        <w:t xml:space="preserve">  </w:t>
      </w:r>
      <w:r>
        <w:rPr>
          <w:rFonts w:ascii="Arial" w:hAnsi="Arial" w:cs="Arial"/>
        </w:rPr>
        <w:t xml:space="preserve">Policies allowing outside leasing were expanded to include service delivery for specific demographic needs.  Also, the policy </w:t>
      </w:r>
      <w:r w:rsidR="00F801BF">
        <w:rPr>
          <w:rFonts w:ascii="Arial" w:hAnsi="Arial" w:cs="Arial"/>
        </w:rPr>
        <w:t>regarding</w:t>
      </w:r>
      <w:r>
        <w:rPr>
          <w:rFonts w:ascii="Arial" w:hAnsi="Arial" w:cs="Arial"/>
        </w:rPr>
        <w:t xml:space="preserve"> building repairs to enhance a property sale were expanded to allow the work to be budgeted in the MMRF, consistent with a sales and marketing plan.  The MMRF would be reimbursed </w:t>
      </w:r>
      <w:r w:rsidR="00BF0C5D">
        <w:rPr>
          <w:rFonts w:ascii="Arial" w:hAnsi="Arial" w:cs="Arial"/>
        </w:rPr>
        <w:t xml:space="preserve">for these costs </w:t>
      </w:r>
      <w:r>
        <w:rPr>
          <w:rFonts w:ascii="Arial" w:hAnsi="Arial" w:cs="Arial"/>
        </w:rPr>
        <w:t>from sale proceeds.</w:t>
      </w:r>
    </w:p>
    <w:p w:rsidR="00ED058A" w:rsidRDefault="00ED058A" w:rsidP="00E46329">
      <w:pPr>
        <w:spacing w:line="240" w:lineRule="atLeast"/>
        <w:rPr>
          <w:rFonts w:ascii="Arial" w:hAnsi="Arial" w:cs="Arial"/>
        </w:rPr>
      </w:pPr>
    </w:p>
    <w:p w:rsidR="00652B91" w:rsidRPr="00BF0C5D" w:rsidRDefault="00BF0C5D" w:rsidP="00E46329">
      <w:pPr>
        <w:spacing w:line="240" w:lineRule="atLeast"/>
        <w:rPr>
          <w:rFonts w:ascii="Arial" w:hAnsi="Arial" w:cs="Arial"/>
          <w:u w:val="single"/>
        </w:rPr>
      </w:pPr>
      <w:r>
        <w:rPr>
          <w:rFonts w:ascii="Arial" w:hAnsi="Arial" w:cs="Arial"/>
          <w:u w:val="single"/>
        </w:rPr>
        <w:t>New Policies:</w:t>
      </w:r>
      <w:r w:rsidRPr="00BF0C5D">
        <w:rPr>
          <w:rFonts w:ascii="Arial" w:hAnsi="Arial" w:cs="Arial"/>
        </w:rPr>
        <w:t xml:space="preserve">  </w:t>
      </w:r>
      <w:r>
        <w:rPr>
          <w:rFonts w:ascii="Arial" w:hAnsi="Arial" w:cs="Arial"/>
        </w:rPr>
        <w:t>Two</w:t>
      </w:r>
      <w:r w:rsidR="00ED058A">
        <w:rPr>
          <w:rFonts w:ascii="Arial" w:hAnsi="Arial" w:cs="Arial"/>
        </w:rPr>
        <w:t xml:space="preserve"> new policies </w:t>
      </w:r>
      <w:r>
        <w:rPr>
          <w:rFonts w:ascii="Arial" w:hAnsi="Arial" w:cs="Arial"/>
        </w:rPr>
        <w:t xml:space="preserve">are added regarding Surplus Personal Property.  The first is to reduce the excess office furniture and supplies entering the waste stream to encourage reuse and recycling.  Another policy clarifies expectations for agencies at the time of a move/relocation.  The overall goal of the policy is to leave a vacated space organized and free of debris.  </w:t>
      </w:r>
    </w:p>
    <w:p w:rsidR="00652B91" w:rsidRDefault="00652B91" w:rsidP="00E46329">
      <w:pPr>
        <w:spacing w:line="240" w:lineRule="atLeast"/>
        <w:rPr>
          <w:rFonts w:ascii="Arial" w:hAnsi="Arial" w:cs="Arial"/>
        </w:rPr>
      </w:pPr>
    </w:p>
    <w:p w:rsidR="00811F82" w:rsidRPr="00911288" w:rsidRDefault="00F90C3F" w:rsidP="00E46329">
      <w:pPr>
        <w:spacing w:line="240" w:lineRule="atLeast"/>
        <w:rPr>
          <w:rFonts w:ascii="Arial" w:hAnsi="Arial" w:cs="Arial"/>
          <w:b/>
          <w:u w:val="single"/>
        </w:rPr>
      </w:pPr>
      <w:r>
        <w:rPr>
          <w:rFonts w:ascii="Arial" w:hAnsi="Arial" w:cs="Arial"/>
          <w:b/>
          <w:u w:val="single"/>
        </w:rPr>
        <w:t>General Government</w:t>
      </w:r>
      <w:r w:rsidR="008D5DAF" w:rsidRPr="00911288">
        <w:rPr>
          <w:rFonts w:ascii="Arial" w:hAnsi="Arial" w:cs="Arial"/>
          <w:b/>
          <w:u w:val="single"/>
        </w:rPr>
        <w:t xml:space="preserve"> Occupancy Costs</w:t>
      </w:r>
    </w:p>
    <w:p w:rsidR="008D5DAF" w:rsidRPr="008D5DAF" w:rsidRDefault="00D83A21" w:rsidP="008D5DAF">
      <w:pPr>
        <w:rPr>
          <w:rFonts w:ascii="Arial" w:hAnsi="Arial" w:cs="Arial"/>
        </w:rPr>
      </w:pPr>
      <w:r w:rsidRPr="00D83A21">
        <w:rPr>
          <w:rFonts w:ascii="Arial" w:hAnsi="Arial" w:cs="Arial"/>
        </w:rPr>
        <w:t>To operate and maintain general government buildings in a manner that supports the tenant business strategies and service delivery requirements, occupancy charges are levied to departments and/or funds which recover on-going operating and maintenance (O&amp;M) costs, the imputed building rental rate, lease rates for long-term King County facility leases and costs to ensure the useful life of the building.</w:t>
      </w:r>
      <w:r>
        <w:rPr>
          <w:rFonts w:ascii="Arial" w:hAnsi="Arial" w:cs="Arial"/>
        </w:rPr>
        <w:t xml:space="preserve"> </w:t>
      </w:r>
      <w:r w:rsidRPr="00D83A21">
        <w:rPr>
          <w:rFonts w:ascii="Arial" w:hAnsi="Arial" w:cs="Arial"/>
        </w:rPr>
        <w:t xml:space="preserve"> There are four general government occupancy charges: an </w:t>
      </w:r>
      <w:r w:rsidR="00CE6BE1">
        <w:rPr>
          <w:rFonts w:ascii="Arial" w:hAnsi="Arial" w:cs="Arial"/>
        </w:rPr>
        <w:t xml:space="preserve">FMD </w:t>
      </w:r>
      <w:r w:rsidRPr="00D83A21">
        <w:rPr>
          <w:rFonts w:ascii="Arial" w:hAnsi="Arial" w:cs="Arial"/>
        </w:rPr>
        <w:t xml:space="preserve">O&amp;M charge; a </w:t>
      </w:r>
      <w:r w:rsidR="00CE6BE1">
        <w:rPr>
          <w:rFonts w:ascii="Arial" w:hAnsi="Arial" w:cs="Arial"/>
        </w:rPr>
        <w:t xml:space="preserve">PSB </w:t>
      </w:r>
      <w:r w:rsidRPr="00D83A21">
        <w:rPr>
          <w:rFonts w:ascii="Arial" w:hAnsi="Arial" w:cs="Arial"/>
        </w:rPr>
        <w:t>building occupancy overhead charge (BOOC); a long-term lease (LTL) charge for the Chinook and King Street Center, and a major maintenance reserve fund (MMRF) charge</w:t>
      </w:r>
      <w:r w:rsidR="00F90C3F">
        <w:rPr>
          <w:rFonts w:ascii="Arial" w:hAnsi="Arial" w:cs="Arial"/>
        </w:rPr>
        <w:t xml:space="preserve">. </w:t>
      </w:r>
      <w:r w:rsidR="008D5DAF" w:rsidRPr="008D5DAF">
        <w:rPr>
          <w:rFonts w:ascii="Arial" w:hAnsi="Arial" w:cs="Arial"/>
        </w:rPr>
        <w:t xml:space="preserve"> </w:t>
      </w:r>
    </w:p>
    <w:p w:rsidR="008D5DAF" w:rsidRPr="008D5DAF" w:rsidRDefault="008D5DAF" w:rsidP="008D5DAF">
      <w:pPr>
        <w:rPr>
          <w:rFonts w:ascii="Arial" w:hAnsi="Arial" w:cs="Arial"/>
        </w:rPr>
      </w:pPr>
    </w:p>
    <w:p w:rsidR="00CE6BE1" w:rsidRPr="00CE6BE1" w:rsidRDefault="00CE6BE1" w:rsidP="00CE6BE1">
      <w:pPr>
        <w:rPr>
          <w:rFonts w:ascii="Arial" w:hAnsi="Arial" w:cs="Arial"/>
        </w:rPr>
      </w:pPr>
      <w:r w:rsidRPr="00CE6BE1">
        <w:rPr>
          <w:rFonts w:ascii="Arial" w:hAnsi="Arial" w:cs="Arial"/>
        </w:rPr>
        <w:t>When the four occupancy charges are combined, the total represents the annual facility costs for each general government building.  While each charge is based on the amount of space utilized, each facility charge is billed differently:</w:t>
      </w:r>
    </w:p>
    <w:p w:rsidR="00CE6BE1" w:rsidRPr="00CE6BE1" w:rsidRDefault="00CE6BE1" w:rsidP="00CE6BE1">
      <w:pPr>
        <w:rPr>
          <w:rFonts w:ascii="Arial" w:hAnsi="Arial" w:cs="Arial"/>
        </w:rPr>
      </w:pPr>
    </w:p>
    <w:p w:rsidR="00CE6BE1" w:rsidRPr="00CE6BE1" w:rsidRDefault="00CE6BE1" w:rsidP="00CE6BE1">
      <w:pPr>
        <w:pStyle w:val="ListParagraph"/>
        <w:numPr>
          <w:ilvl w:val="0"/>
          <w:numId w:val="21"/>
        </w:numPr>
        <w:spacing w:before="120"/>
        <w:rPr>
          <w:rFonts w:ascii="Arial" w:hAnsi="Arial" w:cs="Arial"/>
        </w:rPr>
      </w:pPr>
      <w:r w:rsidRPr="00CE6BE1">
        <w:rPr>
          <w:rFonts w:ascii="Arial" w:hAnsi="Arial" w:cs="Arial"/>
        </w:rPr>
        <w:t>The O&amp;M charge is billed by FMD to departments based on the square foot utilization in multiple buildings.</w:t>
      </w:r>
    </w:p>
    <w:p w:rsidR="00CE6BE1" w:rsidRPr="00CE6BE1" w:rsidRDefault="00CE6BE1" w:rsidP="00CE6BE1">
      <w:pPr>
        <w:pStyle w:val="ListParagraph"/>
        <w:numPr>
          <w:ilvl w:val="0"/>
          <w:numId w:val="21"/>
        </w:numPr>
        <w:spacing w:before="120"/>
        <w:rPr>
          <w:rFonts w:ascii="Arial" w:hAnsi="Arial" w:cs="Arial"/>
        </w:rPr>
      </w:pPr>
      <w:r w:rsidRPr="00CE6BE1">
        <w:rPr>
          <w:rFonts w:ascii="Arial" w:hAnsi="Arial" w:cs="Arial"/>
        </w:rPr>
        <w:lastRenderedPageBreak/>
        <w:t>The Building and Occupancy charge is billed by PSB to individual funds, with the charges for multiple departments and multiple buildings combined.</w:t>
      </w:r>
    </w:p>
    <w:p w:rsidR="00CE6BE1" w:rsidRPr="00CE6BE1" w:rsidRDefault="00CE6BE1" w:rsidP="00CE6BE1">
      <w:pPr>
        <w:pStyle w:val="ListParagraph"/>
        <w:numPr>
          <w:ilvl w:val="0"/>
          <w:numId w:val="21"/>
        </w:numPr>
        <w:spacing w:before="120"/>
        <w:rPr>
          <w:rFonts w:ascii="Arial" w:hAnsi="Arial" w:cs="Arial"/>
        </w:rPr>
      </w:pPr>
      <w:r w:rsidRPr="00CE6BE1">
        <w:rPr>
          <w:rFonts w:ascii="Arial" w:hAnsi="Arial" w:cs="Arial"/>
        </w:rPr>
        <w:t>The Long-Term Lease fund charge is billed by FMD to departments based on the square feet utilization.</w:t>
      </w:r>
    </w:p>
    <w:p w:rsidR="00CE6BE1" w:rsidRPr="00CE6BE1" w:rsidRDefault="00CE6BE1" w:rsidP="00CE6BE1">
      <w:pPr>
        <w:pStyle w:val="ListParagraph"/>
        <w:numPr>
          <w:ilvl w:val="0"/>
          <w:numId w:val="21"/>
        </w:numPr>
        <w:spacing w:before="120"/>
        <w:rPr>
          <w:rFonts w:ascii="Arial" w:hAnsi="Arial" w:cs="Arial"/>
        </w:rPr>
      </w:pPr>
      <w:r w:rsidRPr="00CE6BE1">
        <w:rPr>
          <w:rFonts w:ascii="Arial" w:hAnsi="Arial" w:cs="Arial"/>
        </w:rPr>
        <w:t>The MMRF charge is billed by FMD to individual funds, with the charges for multiple departments and buildings combined.</w:t>
      </w:r>
    </w:p>
    <w:p w:rsidR="00CE6BE1" w:rsidRPr="00CE6BE1" w:rsidRDefault="00CE6BE1" w:rsidP="00CE6BE1">
      <w:pPr>
        <w:rPr>
          <w:rFonts w:ascii="Arial" w:hAnsi="Arial" w:cs="Arial"/>
        </w:rPr>
      </w:pPr>
    </w:p>
    <w:p w:rsidR="00CE6BE1" w:rsidRPr="00CE6BE1" w:rsidRDefault="00CE6BE1" w:rsidP="00CE6BE1">
      <w:pPr>
        <w:rPr>
          <w:rFonts w:ascii="Arial" w:hAnsi="Arial" w:cs="Arial"/>
        </w:rPr>
      </w:pPr>
      <w:r w:rsidRPr="00CE6BE1">
        <w:rPr>
          <w:rFonts w:ascii="Arial" w:hAnsi="Arial" w:cs="Arial"/>
        </w:rPr>
        <w:t xml:space="preserve">Because the charges are applied differently to different accounts </w:t>
      </w:r>
      <w:r>
        <w:rPr>
          <w:rFonts w:ascii="Arial" w:hAnsi="Arial" w:cs="Arial"/>
        </w:rPr>
        <w:t xml:space="preserve">included in the budget, </w:t>
      </w:r>
      <w:r w:rsidRPr="00CE6BE1">
        <w:rPr>
          <w:rFonts w:ascii="Arial" w:hAnsi="Arial" w:cs="Arial"/>
        </w:rPr>
        <w:t xml:space="preserve">the total impact of all charges by building is not automatically displayed. </w:t>
      </w:r>
      <w:r>
        <w:rPr>
          <w:rFonts w:ascii="Arial" w:hAnsi="Arial" w:cs="Arial"/>
        </w:rPr>
        <w:t xml:space="preserve"> The table below displays the components of the 2013 O&amp;M charges by building and</w:t>
      </w:r>
      <w:r w:rsidRPr="00CE6BE1">
        <w:rPr>
          <w:rFonts w:ascii="Arial" w:hAnsi="Arial" w:cs="Arial"/>
        </w:rPr>
        <w:t xml:space="preserve"> combines the O&amp;M cha</w:t>
      </w:r>
      <w:r>
        <w:rPr>
          <w:rFonts w:ascii="Arial" w:hAnsi="Arial" w:cs="Arial"/>
        </w:rPr>
        <w:t>r</w:t>
      </w:r>
      <w:r w:rsidRPr="00CE6BE1">
        <w:rPr>
          <w:rFonts w:ascii="Arial" w:hAnsi="Arial" w:cs="Arial"/>
        </w:rPr>
        <w:t>ge and the MMRF for each general government building.</w:t>
      </w:r>
    </w:p>
    <w:p w:rsidR="008D5DAF" w:rsidRDefault="008D5DAF" w:rsidP="00E46329">
      <w:pPr>
        <w:spacing w:line="240" w:lineRule="atLeast"/>
        <w:rPr>
          <w:rFonts w:ascii="Arial" w:hAnsi="Arial" w:cs="Arial"/>
          <w:u w:val="single"/>
        </w:rPr>
      </w:pPr>
    </w:p>
    <w:p w:rsidR="00CE6BE1" w:rsidRPr="00CE6BE1" w:rsidRDefault="00CE6BE1" w:rsidP="00CE6BE1">
      <w:pPr>
        <w:spacing w:line="240" w:lineRule="atLeast"/>
        <w:jc w:val="center"/>
        <w:rPr>
          <w:rFonts w:ascii="Arial" w:hAnsi="Arial" w:cs="Arial"/>
          <w:b/>
          <w:sz w:val="20"/>
          <w:szCs w:val="20"/>
        </w:rPr>
      </w:pPr>
      <w:r w:rsidRPr="00CE6BE1">
        <w:rPr>
          <w:rFonts w:ascii="Arial" w:hAnsi="Arial" w:cs="Arial"/>
          <w:b/>
          <w:sz w:val="20"/>
          <w:szCs w:val="20"/>
        </w:rPr>
        <w:t>2013 General Government Facility Charges</w:t>
      </w:r>
    </w:p>
    <w:p w:rsidR="00CE6BE1" w:rsidRPr="00BD1FEB" w:rsidRDefault="00BD1FEB" w:rsidP="009C067A">
      <w:pPr>
        <w:spacing w:line="240" w:lineRule="atLeast"/>
        <w:rPr>
          <w:rFonts w:ascii="Arial" w:hAnsi="Arial" w:cs="Arial"/>
        </w:rPr>
      </w:pPr>
      <w:r>
        <w:rPr>
          <w:noProof/>
        </w:rPr>
        <w:drawing>
          <wp:anchor distT="0" distB="0" distL="114300" distR="114300" simplePos="0" relativeHeight="251661312" behindDoc="0" locked="0" layoutInCell="0" allowOverlap="0" wp14:anchorId="0C9BD88C" wp14:editId="51CF22D0">
            <wp:simplePos x="0" y="0"/>
            <wp:positionH relativeFrom="column">
              <wp:posOffset>570865</wp:posOffset>
            </wp:positionH>
            <wp:positionV relativeFrom="paragraph">
              <wp:posOffset>31750</wp:posOffset>
            </wp:positionV>
            <wp:extent cx="5486400" cy="432498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4324985"/>
                    </a:xfrm>
                    <a:prstGeom prst="rect">
                      <a:avLst/>
                    </a:prstGeom>
                    <a:noFill/>
                  </pic:spPr>
                </pic:pic>
              </a:graphicData>
            </a:graphic>
            <wp14:sizeRelV relativeFrom="margin">
              <wp14:pctHeight>0</wp14:pctHeight>
            </wp14:sizeRelV>
          </wp:anchor>
        </w:drawing>
      </w:r>
    </w:p>
    <w:p w:rsidR="009C067A" w:rsidRPr="00911288" w:rsidRDefault="00DD788B" w:rsidP="009C067A">
      <w:pPr>
        <w:spacing w:line="240" w:lineRule="atLeast"/>
        <w:rPr>
          <w:rFonts w:ascii="Arial" w:hAnsi="Arial" w:cs="Arial"/>
          <w:b/>
          <w:u w:val="single"/>
        </w:rPr>
      </w:pPr>
      <w:r>
        <w:rPr>
          <w:rFonts w:ascii="Arial" w:hAnsi="Arial" w:cs="Arial"/>
          <w:b/>
          <w:u w:val="single"/>
        </w:rPr>
        <w:t>Works</w:t>
      </w:r>
      <w:r w:rsidR="009C067A" w:rsidRPr="00911288">
        <w:rPr>
          <w:rFonts w:ascii="Arial" w:hAnsi="Arial" w:cs="Arial"/>
          <w:b/>
          <w:u w:val="single"/>
        </w:rPr>
        <w:t>pace Utilization</w:t>
      </w:r>
    </w:p>
    <w:p w:rsidR="00542A54" w:rsidRDefault="009C067A" w:rsidP="00D062C5">
      <w:pPr>
        <w:rPr>
          <w:rFonts w:ascii="Arial" w:hAnsi="Arial" w:cs="Arial"/>
        </w:rPr>
      </w:pPr>
      <w:r>
        <w:rPr>
          <w:rFonts w:ascii="Arial" w:hAnsi="Arial" w:cs="Arial"/>
        </w:rPr>
        <w:t>In January 2011, a Work Space Survey was undertaken to collect data about space utilization and to help inform ways to maximize space in King County buildings</w:t>
      </w:r>
      <w:r w:rsidRPr="009C067A">
        <w:rPr>
          <w:rFonts w:ascii="Arial" w:hAnsi="Arial" w:cs="Arial"/>
        </w:rPr>
        <w:t>.  Using the data combined with the building occupancy costs, the county’s work space utilization was evaluated</w:t>
      </w:r>
      <w:r w:rsidR="00D062C5">
        <w:rPr>
          <w:rFonts w:ascii="Arial" w:hAnsi="Arial" w:cs="Arial"/>
        </w:rPr>
        <w:t xml:space="preserve"> revealing underutilized space.  A series of moves were undertaken to reduce tenant building occupancy costs and to consolidate space.  </w:t>
      </w:r>
      <w:r w:rsidR="00542A54">
        <w:rPr>
          <w:rFonts w:ascii="Arial" w:hAnsi="Arial" w:cs="Arial"/>
        </w:rPr>
        <w:t xml:space="preserve">As of the time of the report, </w:t>
      </w:r>
      <w:r w:rsidR="00542A54">
        <w:rPr>
          <w:rFonts w:ascii="Arial" w:hAnsi="Arial" w:cs="Arial"/>
        </w:rPr>
        <w:lastRenderedPageBreak/>
        <w:t>moves and relocations have reduced the amount of underutilized space in the last two years as shown in the table below for five general government buildings:</w:t>
      </w:r>
    </w:p>
    <w:p w:rsidR="00542A54" w:rsidRPr="005C21D6" w:rsidRDefault="00542A54" w:rsidP="00D062C5">
      <w:pPr>
        <w:rPr>
          <w:rFonts w:ascii="Arial" w:hAnsi="Arial" w:cs="Arial"/>
          <w:sz w:val="20"/>
          <w:szCs w:val="20"/>
        </w:rPr>
      </w:pPr>
    </w:p>
    <w:p w:rsidR="00542A54" w:rsidRDefault="00542A54" w:rsidP="00542A54">
      <w:pPr>
        <w:jc w:val="center"/>
        <w:rPr>
          <w:rFonts w:ascii="Arial" w:hAnsi="Arial" w:cs="Arial"/>
          <w:b/>
          <w:sz w:val="20"/>
          <w:szCs w:val="20"/>
        </w:rPr>
      </w:pPr>
      <w:r>
        <w:rPr>
          <w:rFonts w:ascii="Arial" w:hAnsi="Arial" w:cs="Arial"/>
          <w:b/>
          <w:sz w:val="20"/>
          <w:szCs w:val="20"/>
        </w:rPr>
        <w:t>Workplace Underutilization</w:t>
      </w:r>
    </w:p>
    <w:p w:rsidR="00997A6B" w:rsidRDefault="00997A6B" w:rsidP="00542A54">
      <w:pPr>
        <w:jc w:val="center"/>
        <w:rPr>
          <w:rFonts w:ascii="Arial" w:hAnsi="Arial" w:cs="Arial"/>
          <w:b/>
          <w:sz w:val="20"/>
          <w:szCs w:val="20"/>
        </w:rPr>
      </w:pPr>
      <w:r>
        <w:rPr>
          <w:rFonts w:ascii="Arial" w:hAnsi="Arial" w:cs="Arial"/>
          <w:b/>
          <w:sz w:val="20"/>
          <w:szCs w:val="20"/>
        </w:rPr>
        <w:t>Comparing 2011 to 2012</w:t>
      </w:r>
    </w:p>
    <w:tbl>
      <w:tblPr>
        <w:tblStyle w:val="TableGrid"/>
        <w:tblW w:w="0" w:type="auto"/>
        <w:jc w:val="center"/>
        <w:tblLook w:val="04A0" w:firstRow="1" w:lastRow="0" w:firstColumn="1" w:lastColumn="0" w:noHBand="0" w:noVBand="1"/>
      </w:tblPr>
      <w:tblGrid>
        <w:gridCol w:w="1548"/>
        <w:gridCol w:w="1466"/>
        <w:gridCol w:w="1383"/>
        <w:gridCol w:w="1407"/>
        <w:gridCol w:w="1357"/>
      </w:tblGrid>
      <w:tr w:rsidR="00997A6B" w:rsidTr="00997A6B">
        <w:trPr>
          <w:jc w:val="center"/>
        </w:trPr>
        <w:tc>
          <w:tcPr>
            <w:tcW w:w="1548" w:type="dxa"/>
            <w:shd w:val="clear" w:color="auto" w:fill="FABF8F" w:themeFill="accent6" w:themeFillTint="99"/>
            <w:vAlign w:val="bottom"/>
          </w:tcPr>
          <w:p w:rsidR="00997A6B" w:rsidRDefault="00997A6B" w:rsidP="00997A6B">
            <w:pPr>
              <w:jc w:val="center"/>
              <w:rPr>
                <w:rFonts w:ascii="Arial" w:hAnsi="Arial" w:cs="Arial"/>
                <w:b/>
                <w:sz w:val="20"/>
                <w:szCs w:val="20"/>
              </w:rPr>
            </w:pPr>
            <w:r>
              <w:rPr>
                <w:rFonts w:ascii="Arial" w:hAnsi="Arial" w:cs="Arial"/>
                <w:b/>
                <w:sz w:val="20"/>
                <w:szCs w:val="20"/>
              </w:rPr>
              <w:t>Building</w:t>
            </w:r>
          </w:p>
        </w:tc>
        <w:tc>
          <w:tcPr>
            <w:tcW w:w="1466" w:type="dxa"/>
            <w:shd w:val="clear" w:color="auto" w:fill="FABF8F" w:themeFill="accent6" w:themeFillTint="99"/>
            <w:vAlign w:val="bottom"/>
          </w:tcPr>
          <w:p w:rsidR="00997A6B" w:rsidRDefault="00997A6B" w:rsidP="00997A6B">
            <w:pPr>
              <w:jc w:val="center"/>
              <w:rPr>
                <w:rFonts w:ascii="Arial" w:hAnsi="Arial" w:cs="Arial"/>
                <w:b/>
                <w:sz w:val="20"/>
                <w:szCs w:val="20"/>
              </w:rPr>
            </w:pPr>
            <w:r>
              <w:rPr>
                <w:rFonts w:ascii="Arial" w:hAnsi="Arial" w:cs="Arial"/>
                <w:b/>
                <w:sz w:val="20"/>
                <w:szCs w:val="20"/>
              </w:rPr>
              <w:t>2011 Under Utilized</w:t>
            </w:r>
          </w:p>
        </w:tc>
        <w:tc>
          <w:tcPr>
            <w:tcW w:w="1383" w:type="dxa"/>
            <w:shd w:val="clear" w:color="auto" w:fill="FABF8F" w:themeFill="accent6" w:themeFillTint="99"/>
            <w:vAlign w:val="bottom"/>
          </w:tcPr>
          <w:p w:rsidR="00997A6B" w:rsidRDefault="00997A6B" w:rsidP="00997A6B">
            <w:pPr>
              <w:jc w:val="center"/>
              <w:rPr>
                <w:rFonts w:ascii="Arial" w:hAnsi="Arial" w:cs="Arial"/>
                <w:b/>
                <w:sz w:val="20"/>
                <w:szCs w:val="20"/>
              </w:rPr>
            </w:pPr>
            <w:r>
              <w:rPr>
                <w:rFonts w:ascii="Arial" w:hAnsi="Arial" w:cs="Arial"/>
                <w:b/>
                <w:sz w:val="20"/>
                <w:szCs w:val="20"/>
              </w:rPr>
              <w:t>Percentage</w:t>
            </w:r>
          </w:p>
        </w:tc>
        <w:tc>
          <w:tcPr>
            <w:tcW w:w="1407" w:type="dxa"/>
            <w:shd w:val="clear" w:color="auto" w:fill="FABF8F" w:themeFill="accent6" w:themeFillTint="99"/>
            <w:vAlign w:val="bottom"/>
          </w:tcPr>
          <w:p w:rsidR="00997A6B" w:rsidRDefault="00997A6B" w:rsidP="00997A6B">
            <w:pPr>
              <w:jc w:val="center"/>
              <w:rPr>
                <w:rFonts w:ascii="Arial" w:hAnsi="Arial" w:cs="Arial"/>
                <w:b/>
                <w:sz w:val="20"/>
                <w:szCs w:val="20"/>
              </w:rPr>
            </w:pPr>
            <w:r>
              <w:rPr>
                <w:rFonts w:ascii="Arial" w:hAnsi="Arial" w:cs="Arial"/>
                <w:b/>
                <w:sz w:val="20"/>
                <w:szCs w:val="20"/>
              </w:rPr>
              <w:t>2012 Under Utilized</w:t>
            </w:r>
          </w:p>
        </w:tc>
        <w:tc>
          <w:tcPr>
            <w:tcW w:w="1357" w:type="dxa"/>
            <w:shd w:val="clear" w:color="auto" w:fill="FABF8F" w:themeFill="accent6" w:themeFillTint="99"/>
            <w:vAlign w:val="bottom"/>
          </w:tcPr>
          <w:p w:rsidR="00997A6B" w:rsidRDefault="00997A6B" w:rsidP="00997A6B">
            <w:pPr>
              <w:jc w:val="center"/>
              <w:rPr>
                <w:rFonts w:ascii="Arial" w:hAnsi="Arial" w:cs="Arial"/>
                <w:b/>
                <w:sz w:val="20"/>
                <w:szCs w:val="20"/>
              </w:rPr>
            </w:pPr>
            <w:r>
              <w:rPr>
                <w:rFonts w:ascii="Arial" w:hAnsi="Arial" w:cs="Arial"/>
                <w:b/>
                <w:sz w:val="20"/>
                <w:szCs w:val="20"/>
              </w:rPr>
              <w:t>Percentage</w:t>
            </w:r>
          </w:p>
        </w:tc>
      </w:tr>
      <w:tr w:rsidR="00997A6B" w:rsidRPr="00997A6B" w:rsidTr="00997A6B">
        <w:trPr>
          <w:jc w:val="center"/>
        </w:trPr>
        <w:tc>
          <w:tcPr>
            <w:tcW w:w="1548" w:type="dxa"/>
          </w:tcPr>
          <w:p w:rsidR="00997A6B" w:rsidRPr="00997A6B" w:rsidRDefault="00997A6B" w:rsidP="00997A6B">
            <w:pPr>
              <w:rPr>
                <w:rFonts w:ascii="Arial" w:hAnsi="Arial" w:cs="Arial"/>
                <w:sz w:val="20"/>
                <w:szCs w:val="20"/>
              </w:rPr>
            </w:pPr>
            <w:r w:rsidRPr="00997A6B">
              <w:rPr>
                <w:rFonts w:ascii="Arial" w:hAnsi="Arial" w:cs="Arial"/>
                <w:sz w:val="20"/>
                <w:szCs w:val="20"/>
              </w:rPr>
              <w:t>Chinook</w:t>
            </w:r>
          </w:p>
        </w:tc>
        <w:tc>
          <w:tcPr>
            <w:tcW w:w="1466" w:type="dxa"/>
          </w:tcPr>
          <w:p w:rsidR="00997A6B" w:rsidRPr="00997A6B" w:rsidRDefault="00997A6B" w:rsidP="00542A54">
            <w:pPr>
              <w:jc w:val="center"/>
              <w:rPr>
                <w:rFonts w:ascii="Arial" w:hAnsi="Arial" w:cs="Arial"/>
                <w:sz w:val="20"/>
                <w:szCs w:val="20"/>
              </w:rPr>
            </w:pPr>
            <w:r>
              <w:rPr>
                <w:rFonts w:ascii="Arial" w:hAnsi="Arial" w:cs="Arial"/>
                <w:sz w:val="20"/>
                <w:szCs w:val="20"/>
              </w:rPr>
              <w:t>54,906</w:t>
            </w:r>
          </w:p>
        </w:tc>
        <w:tc>
          <w:tcPr>
            <w:tcW w:w="1383" w:type="dxa"/>
          </w:tcPr>
          <w:p w:rsidR="00997A6B" w:rsidRPr="00997A6B" w:rsidRDefault="00997A6B" w:rsidP="00542A54">
            <w:pPr>
              <w:jc w:val="center"/>
              <w:rPr>
                <w:rFonts w:ascii="Arial" w:hAnsi="Arial" w:cs="Arial"/>
                <w:sz w:val="20"/>
                <w:szCs w:val="20"/>
              </w:rPr>
            </w:pPr>
            <w:r>
              <w:rPr>
                <w:rFonts w:ascii="Arial" w:hAnsi="Arial" w:cs="Arial"/>
                <w:sz w:val="20"/>
                <w:szCs w:val="20"/>
              </w:rPr>
              <w:t>25%</w:t>
            </w:r>
          </w:p>
        </w:tc>
        <w:tc>
          <w:tcPr>
            <w:tcW w:w="1407" w:type="dxa"/>
          </w:tcPr>
          <w:p w:rsidR="00997A6B" w:rsidRPr="00997A6B" w:rsidRDefault="00997A6B" w:rsidP="00542A54">
            <w:pPr>
              <w:jc w:val="center"/>
              <w:rPr>
                <w:rFonts w:ascii="Arial" w:hAnsi="Arial" w:cs="Arial"/>
                <w:sz w:val="20"/>
                <w:szCs w:val="20"/>
              </w:rPr>
            </w:pPr>
            <w:r>
              <w:rPr>
                <w:rFonts w:ascii="Arial" w:hAnsi="Arial" w:cs="Arial"/>
                <w:sz w:val="20"/>
                <w:szCs w:val="20"/>
              </w:rPr>
              <w:t>25,036</w:t>
            </w:r>
          </w:p>
        </w:tc>
        <w:tc>
          <w:tcPr>
            <w:tcW w:w="1357" w:type="dxa"/>
          </w:tcPr>
          <w:p w:rsidR="00997A6B" w:rsidRPr="00997A6B" w:rsidRDefault="00F14E8B" w:rsidP="00542A54">
            <w:pPr>
              <w:jc w:val="center"/>
              <w:rPr>
                <w:rFonts w:ascii="Arial" w:hAnsi="Arial" w:cs="Arial"/>
                <w:sz w:val="20"/>
                <w:szCs w:val="20"/>
              </w:rPr>
            </w:pPr>
            <w:r>
              <w:rPr>
                <w:rFonts w:ascii="Arial" w:hAnsi="Arial" w:cs="Arial"/>
                <w:sz w:val="20"/>
                <w:szCs w:val="20"/>
              </w:rPr>
              <w:t>11%</w:t>
            </w:r>
          </w:p>
        </w:tc>
      </w:tr>
      <w:tr w:rsidR="00997A6B" w:rsidRPr="00997A6B" w:rsidTr="00997A6B">
        <w:trPr>
          <w:jc w:val="center"/>
        </w:trPr>
        <w:tc>
          <w:tcPr>
            <w:tcW w:w="1548" w:type="dxa"/>
          </w:tcPr>
          <w:p w:rsidR="00997A6B" w:rsidRPr="00997A6B" w:rsidRDefault="00997A6B" w:rsidP="00997A6B">
            <w:pPr>
              <w:rPr>
                <w:rFonts w:ascii="Arial" w:hAnsi="Arial" w:cs="Arial"/>
                <w:sz w:val="20"/>
                <w:szCs w:val="20"/>
              </w:rPr>
            </w:pPr>
            <w:r w:rsidRPr="00997A6B">
              <w:rPr>
                <w:rFonts w:ascii="Arial" w:hAnsi="Arial" w:cs="Arial"/>
                <w:sz w:val="20"/>
                <w:szCs w:val="20"/>
              </w:rPr>
              <w:t>Administration</w:t>
            </w:r>
          </w:p>
        </w:tc>
        <w:tc>
          <w:tcPr>
            <w:tcW w:w="1466" w:type="dxa"/>
          </w:tcPr>
          <w:p w:rsidR="00997A6B" w:rsidRPr="00997A6B" w:rsidRDefault="00997A6B" w:rsidP="00542A54">
            <w:pPr>
              <w:jc w:val="center"/>
              <w:rPr>
                <w:rFonts w:ascii="Arial" w:hAnsi="Arial" w:cs="Arial"/>
                <w:sz w:val="20"/>
                <w:szCs w:val="20"/>
              </w:rPr>
            </w:pPr>
            <w:r>
              <w:rPr>
                <w:rFonts w:ascii="Arial" w:hAnsi="Arial" w:cs="Arial"/>
                <w:sz w:val="20"/>
                <w:szCs w:val="20"/>
              </w:rPr>
              <w:t>30,349</w:t>
            </w:r>
          </w:p>
        </w:tc>
        <w:tc>
          <w:tcPr>
            <w:tcW w:w="1383" w:type="dxa"/>
          </w:tcPr>
          <w:p w:rsidR="00997A6B" w:rsidRPr="00997A6B" w:rsidRDefault="00997A6B" w:rsidP="00997A6B">
            <w:pPr>
              <w:jc w:val="center"/>
              <w:rPr>
                <w:rFonts w:ascii="Arial" w:hAnsi="Arial" w:cs="Arial"/>
                <w:sz w:val="20"/>
                <w:szCs w:val="20"/>
              </w:rPr>
            </w:pPr>
            <w:r>
              <w:rPr>
                <w:rFonts w:ascii="Arial" w:hAnsi="Arial" w:cs="Arial"/>
                <w:sz w:val="20"/>
                <w:szCs w:val="20"/>
              </w:rPr>
              <w:t>21%</w:t>
            </w:r>
          </w:p>
        </w:tc>
        <w:tc>
          <w:tcPr>
            <w:tcW w:w="1407" w:type="dxa"/>
          </w:tcPr>
          <w:p w:rsidR="00997A6B" w:rsidRPr="00997A6B" w:rsidRDefault="00997A6B" w:rsidP="00542A54">
            <w:pPr>
              <w:jc w:val="center"/>
              <w:rPr>
                <w:rFonts w:ascii="Arial" w:hAnsi="Arial" w:cs="Arial"/>
                <w:sz w:val="20"/>
                <w:szCs w:val="20"/>
              </w:rPr>
            </w:pPr>
            <w:r>
              <w:rPr>
                <w:rFonts w:ascii="Arial" w:hAnsi="Arial" w:cs="Arial"/>
                <w:sz w:val="20"/>
                <w:szCs w:val="20"/>
              </w:rPr>
              <w:t>27,020</w:t>
            </w:r>
          </w:p>
        </w:tc>
        <w:tc>
          <w:tcPr>
            <w:tcW w:w="1357" w:type="dxa"/>
          </w:tcPr>
          <w:p w:rsidR="00997A6B" w:rsidRPr="00997A6B" w:rsidRDefault="00F14E8B" w:rsidP="00542A54">
            <w:pPr>
              <w:jc w:val="center"/>
              <w:rPr>
                <w:rFonts w:ascii="Arial" w:hAnsi="Arial" w:cs="Arial"/>
                <w:sz w:val="20"/>
                <w:szCs w:val="20"/>
              </w:rPr>
            </w:pPr>
            <w:r>
              <w:rPr>
                <w:rFonts w:ascii="Arial" w:hAnsi="Arial" w:cs="Arial"/>
                <w:sz w:val="20"/>
                <w:szCs w:val="20"/>
              </w:rPr>
              <w:t>19%</w:t>
            </w:r>
          </w:p>
        </w:tc>
      </w:tr>
      <w:tr w:rsidR="00997A6B" w:rsidRPr="00997A6B" w:rsidTr="00997A6B">
        <w:trPr>
          <w:jc w:val="center"/>
        </w:trPr>
        <w:tc>
          <w:tcPr>
            <w:tcW w:w="1548" w:type="dxa"/>
          </w:tcPr>
          <w:p w:rsidR="00997A6B" w:rsidRPr="00997A6B" w:rsidRDefault="00997A6B" w:rsidP="00997A6B">
            <w:pPr>
              <w:rPr>
                <w:rFonts w:ascii="Arial" w:hAnsi="Arial" w:cs="Arial"/>
                <w:sz w:val="20"/>
                <w:szCs w:val="20"/>
              </w:rPr>
            </w:pPr>
            <w:r w:rsidRPr="00997A6B">
              <w:rPr>
                <w:rFonts w:ascii="Arial" w:hAnsi="Arial" w:cs="Arial"/>
                <w:sz w:val="20"/>
                <w:szCs w:val="20"/>
              </w:rPr>
              <w:t>MRJC</w:t>
            </w:r>
          </w:p>
        </w:tc>
        <w:tc>
          <w:tcPr>
            <w:tcW w:w="1466" w:type="dxa"/>
          </w:tcPr>
          <w:p w:rsidR="00997A6B" w:rsidRPr="00997A6B" w:rsidRDefault="00997A6B" w:rsidP="00542A54">
            <w:pPr>
              <w:jc w:val="center"/>
              <w:rPr>
                <w:rFonts w:ascii="Arial" w:hAnsi="Arial" w:cs="Arial"/>
                <w:sz w:val="20"/>
                <w:szCs w:val="20"/>
              </w:rPr>
            </w:pPr>
            <w:r>
              <w:rPr>
                <w:rFonts w:ascii="Arial" w:hAnsi="Arial" w:cs="Arial"/>
                <w:sz w:val="20"/>
                <w:szCs w:val="20"/>
              </w:rPr>
              <w:t>28,038</w:t>
            </w:r>
          </w:p>
        </w:tc>
        <w:tc>
          <w:tcPr>
            <w:tcW w:w="1383" w:type="dxa"/>
          </w:tcPr>
          <w:p w:rsidR="00997A6B" w:rsidRPr="00997A6B" w:rsidRDefault="00997A6B" w:rsidP="00542A54">
            <w:pPr>
              <w:jc w:val="center"/>
              <w:rPr>
                <w:rFonts w:ascii="Arial" w:hAnsi="Arial" w:cs="Arial"/>
                <w:sz w:val="20"/>
                <w:szCs w:val="20"/>
              </w:rPr>
            </w:pPr>
            <w:r>
              <w:rPr>
                <w:rFonts w:ascii="Arial" w:hAnsi="Arial" w:cs="Arial"/>
                <w:sz w:val="20"/>
                <w:szCs w:val="20"/>
              </w:rPr>
              <w:t>39% *</w:t>
            </w:r>
          </w:p>
        </w:tc>
        <w:tc>
          <w:tcPr>
            <w:tcW w:w="1407" w:type="dxa"/>
          </w:tcPr>
          <w:p w:rsidR="00997A6B" w:rsidRPr="00997A6B" w:rsidRDefault="00997A6B" w:rsidP="00542A54">
            <w:pPr>
              <w:jc w:val="center"/>
              <w:rPr>
                <w:rFonts w:ascii="Arial" w:hAnsi="Arial" w:cs="Arial"/>
                <w:sz w:val="20"/>
                <w:szCs w:val="20"/>
              </w:rPr>
            </w:pPr>
            <w:r>
              <w:rPr>
                <w:rFonts w:ascii="Arial" w:hAnsi="Arial" w:cs="Arial"/>
                <w:sz w:val="20"/>
                <w:szCs w:val="20"/>
              </w:rPr>
              <w:t>24,584</w:t>
            </w:r>
          </w:p>
        </w:tc>
        <w:tc>
          <w:tcPr>
            <w:tcW w:w="1357" w:type="dxa"/>
          </w:tcPr>
          <w:p w:rsidR="00997A6B" w:rsidRPr="00997A6B" w:rsidRDefault="00F14E8B" w:rsidP="00542A54">
            <w:pPr>
              <w:jc w:val="center"/>
              <w:rPr>
                <w:rFonts w:ascii="Arial" w:hAnsi="Arial" w:cs="Arial"/>
                <w:sz w:val="20"/>
                <w:szCs w:val="20"/>
              </w:rPr>
            </w:pPr>
            <w:r>
              <w:rPr>
                <w:rFonts w:ascii="Arial" w:hAnsi="Arial" w:cs="Arial"/>
                <w:sz w:val="20"/>
                <w:szCs w:val="20"/>
              </w:rPr>
              <w:t>34%</w:t>
            </w:r>
          </w:p>
        </w:tc>
      </w:tr>
      <w:tr w:rsidR="00997A6B" w:rsidRPr="00997A6B" w:rsidTr="00997A6B">
        <w:trPr>
          <w:jc w:val="center"/>
        </w:trPr>
        <w:tc>
          <w:tcPr>
            <w:tcW w:w="1548" w:type="dxa"/>
          </w:tcPr>
          <w:p w:rsidR="00997A6B" w:rsidRPr="00997A6B" w:rsidRDefault="00997A6B" w:rsidP="00997A6B">
            <w:pPr>
              <w:rPr>
                <w:rFonts w:ascii="Arial" w:hAnsi="Arial" w:cs="Arial"/>
                <w:sz w:val="20"/>
                <w:szCs w:val="20"/>
              </w:rPr>
            </w:pPr>
            <w:r w:rsidRPr="00997A6B">
              <w:rPr>
                <w:rFonts w:ascii="Arial" w:hAnsi="Arial" w:cs="Arial"/>
                <w:sz w:val="20"/>
                <w:szCs w:val="20"/>
              </w:rPr>
              <w:t>Kingstreet</w:t>
            </w:r>
          </w:p>
        </w:tc>
        <w:tc>
          <w:tcPr>
            <w:tcW w:w="1466" w:type="dxa"/>
          </w:tcPr>
          <w:p w:rsidR="00997A6B" w:rsidRPr="00997A6B" w:rsidRDefault="00997A6B" w:rsidP="00542A54">
            <w:pPr>
              <w:jc w:val="center"/>
              <w:rPr>
                <w:rFonts w:ascii="Arial" w:hAnsi="Arial" w:cs="Arial"/>
                <w:sz w:val="20"/>
                <w:szCs w:val="20"/>
              </w:rPr>
            </w:pPr>
            <w:r>
              <w:rPr>
                <w:rFonts w:ascii="Arial" w:hAnsi="Arial" w:cs="Arial"/>
                <w:sz w:val="20"/>
                <w:szCs w:val="20"/>
              </w:rPr>
              <w:t>49,336</w:t>
            </w:r>
          </w:p>
        </w:tc>
        <w:tc>
          <w:tcPr>
            <w:tcW w:w="1383" w:type="dxa"/>
          </w:tcPr>
          <w:p w:rsidR="00997A6B" w:rsidRPr="00997A6B" w:rsidRDefault="00997A6B" w:rsidP="00542A54">
            <w:pPr>
              <w:jc w:val="center"/>
              <w:rPr>
                <w:rFonts w:ascii="Arial" w:hAnsi="Arial" w:cs="Arial"/>
                <w:sz w:val="20"/>
                <w:szCs w:val="20"/>
              </w:rPr>
            </w:pPr>
            <w:r>
              <w:rPr>
                <w:rFonts w:ascii="Arial" w:hAnsi="Arial" w:cs="Arial"/>
                <w:sz w:val="20"/>
                <w:szCs w:val="20"/>
              </w:rPr>
              <w:t>22%</w:t>
            </w:r>
          </w:p>
        </w:tc>
        <w:tc>
          <w:tcPr>
            <w:tcW w:w="1407" w:type="dxa"/>
          </w:tcPr>
          <w:p w:rsidR="00997A6B" w:rsidRPr="00997A6B" w:rsidRDefault="00F14E8B" w:rsidP="00542A54">
            <w:pPr>
              <w:jc w:val="center"/>
              <w:rPr>
                <w:rFonts w:ascii="Arial" w:hAnsi="Arial" w:cs="Arial"/>
                <w:sz w:val="20"/>
                <w:szCs w:val="20"/>
              </w:rPr>
            </w:pPr>
            <w:r>
              <w:rPr>
                <w:rFonts w:ascii="Arial" w:hAnsi="Arial" w:cs="Arial"/>
                <w:sz w:val="20"/>
                <w:szCs w:val="20"/>
              </w:rPr>
              <w:t>42,336</w:t>
            </w:r>
          </w:p>
        </w:tc>
        <w:tc>
          <w:tcPr>
            <w:tcW w:w="1357" w:type="dxa"/>
          </w:tcPr>
          <w:p w:rsidR="00997A6B" w:rsidRPr="00997A6B" w:rsidRDefault="00F14E8B" w:rsidP="00542A54">
            <w:pPr>
              <w:jc w:val="center"/>
              <w:rPr>
                <w:rFonts w:ascii="Arial" w:hAnsi="Arial" w:cs="Arial"/>
                <w:sz w:val="20"/>
                <w:szCs w:val="20"/>
              </w:rPr>
            </w:pPr>
            <w:r>
              <w:rPr>
                <w:rFonts w:ascii="Arial" w:hAnsi="Arial" w:cs="Arial"/>
                <w:sz w:val="20"/>
                <w:szCs w:val="20"/>
              </w:rPr>
              <w:t>19%</w:t>
            </w:r>
          </w:p>
        </w:tc>
      </w:tr>
      <w:tr w:rsidR="00997A6B" w:rsidRPr="00997A6B" w:rsidTr="00997A6B">
        <w:trPr>
          <w:jc w:val="center"/>
        </w:trPr>
        <w:tc>
          <w:tcPr>
            <w:tcW w:w="1548" w:type="dxa"/>
          </w:tcPr>
          <w:p w:rsidR="00997A6B" w:rsidRPr="00997A6B" w:rsidRDefault="00997A6B" w:rsidP="00997A6B">
            <w:pPr>
              <w:rPr>
                <w:rFonts w:ascii="Arial" w:hAnsi="Arial" w:cs="Arial"/>
                <w:sz w:val="20"/>
                <w:szCs w:val="20"/>
              </w:rPr>
            </w:pPr>
            <w:r w:rsidRPr="00997A6B">
              <w:rPr>
                <w:rFonts w:ascii="Arial" w:hAnsi="Arial" w:cs="Arial"/>
                <w:sz w:val="20"/>
                <w:szCs w:val="20"/>
              </w:rPr>
              <w:t>KCCH</w:t>
            </w:r>
          </w:p>
        </w:tc>
        <w:tc>
          <w:tcPr>
            <w:tcW w:w="1466" w:type="dxa"/>
          </w:tcPr>
          <w:p w:rsidR="00997A6B" w:rsidRPr="00997A6B" w:rsidRDefault="00997A6B" w:rsidP="00542A54">
            <w:pPr>
              <w:jc w:val="center"/>
              <w:rPr>
                <w:rFonts w:ascii="Arial" w:hAnsi="Arial" w:cs="Arial"/>
                <w:sz w:val="20"/>
                <w:szCs w:val="20"/>
              </w:rPr>
            </w:pPr>
            <w:r>
              <w:rPr>
                <w:rFonts w:ascii="Arial" w:hAnsi="Arial" w:cs="Arial"/>
                <w:sz w:val="20"/>
                <w:szCs w:val="20"/>
              </w:rPr>
              <w:t>58,431</w:t>
            </w:r>
          </w:p>
        </w:tc>
        <w:tc>
          <w:tcPr>
            <w:tcW w:w="1383" w:type="dxa"/>
          </w:tcPr>
          <w:p w:rsidR="00997A6B" w:rsidRPr="00997A6B" w:rsidRDefault="00997A6B" w:rsidP="00542A54">
            <w:pPr>
              <w:jc w:val="center"/>
              <w:rPr>
                <w:rFonts w:ascii="Arial" w:hAnsi="Arial" w:cs="Arial"/>
                <w:sz w:val="20"/>
                <w:szCs w:val="20"/>
              </w:rPr>
            </w:pPr>
            <w:r>
              <w:rPr>
                <w:rFonts w:ascii="Arial" w:hAnsi="Arial" w:cs="Arial"/>
                <w:sz w:val="20"/>
                <w:szCs w:val="20"/>
              </w:rPr>
              <w:t>25%</w:t>
            </w:r>
          </w:p>
        </w:tc>
        <w:tc>
          <w:tcPr>
            <w:tcW w:w="1407" w:type="dxa"/>
          </w:tcPr>
          <w:p w:rsidR="00997A6B" w:rsidRPr="00997A6B" w:rsidRDefault="00F14E8B" w:rsidP="00542A54">
            <w:pPr>
              <w:jc w:val="center"/>
              <w:rPr>
                <w:rFonts w:ascii="Arial" w:hAnsi="Arial" w:cs="Arial"/>
                <w:sz w:val="20"/>
                <w:szCs w:val="20"/>
              </w:rPr>
            </w:pPr>
            <w:r>
              <w:rPr>
                <w:rFonts w:ascii="Arial" w:hAnsi="Arial" w:cs="Arial"/>
                <w:sz w:val="20"/>
                <w:szCs w:val="20"/>
              </w:rPr>
              <w:t>57,839</w:t>
            </w:r>
          </w:p>
        </w:tc>
        <w:tc>
          <w:tcPr>
            <w:tcW w:w="1357" w:type="dxa"/>
          </w:tcPr>
          <w:p w:rsidR="00997A6B" w:rsidRPr="00997A6B" w:rsidRDefault="00F14E8B" w:rsidP="00542A54">
            <w:pPr>
              <w:jc w:val="center"/>
              <w:rPr>
                <w:rFonts w:ascii="Arial" w:hAnsi="Arial" w:cs="Arial"/>
                <w:sz w:val="20"/>
                <w:szCs w:val="20"/>
              </w:rPr>
            </w:pPr>
            <w:r>
              <w:rPr>
                <w:rFonts w:ascii="Arial" w:hAnsi="Arial" w:cs="Arial"/>
                <w:sz w:val="20"/>
                <w:szCs w:val="20"/>
              </w:rPr>
              <w:t>24%</w:t>
            </w:r>
          </w:p>
        </w:tc>
      </w:tr>
    </w:tbl>
    <w:p w:rsidR="00997A6B" w:rsidRPr="00F14E8B" w:rsidRDefault="00997A6B" w:rsidP="00997A6B">
      <w:pPr>
        <w:ind w:left="1440"/>
        <w:rPr>
          <w:rFonts w:ascii="Arial" w:hAnsi="Arial" w:cs="Arial"/>
          <w:sz w:val="18"/>
          <w:szCs w:val="18"/>
        </w:rPr>
      </w:pPr>
      <w:r>
        <w:rPr>
          <w:rFonts w:ascii="Arial" w:hAnsi="Arial" w:cs="Arial"/>
          <w:sz w:val="20"/>
          <w:szCs w:val="20"/>
        </w:rPr>
        <w:t>*</w:t>
      </w:r>
      <w:r w:rsidRPr="00F14E8B">
        <w:rPr>
          <w:rFonts w:ascii="Arial" w:hAnsi="Arial" w:cs="Arial"/>
          <w:sz w:val="18"/>
          <w:szCs w:val="18"/>
        </w:rPr>
        <w:t xml:space="preserve">CID move to Administration Building increased underutilization to make space for </w:t>
      </w:r>
    </w:p>
    <w:p w:rsidR="00997A6B" w:rsidRPr="00F14E8B" w:rsidRDefault="00997A6B" w:rsidP="00997A6B">
      <w:pPr>
        <w:ind w:left="1440"/>
        <w:rPr>
          <w:rFonts w:ascii="Arial" w:hAnsi="Arial" w:cs="Arial"/>
          <w:sz w:val="18"/>
          <w:szCs w:val="18"/>
        </w:rPr>
      </w:pPr>
      <w:r w:rsidRPr="00F14E8B">
        <w:rPr>
          <w:rFonts w:ascii="Arial" w:hAnsi="Arial" w:cs="Arial"/>
          <w:sz w:val="18"/>
          <w:szCs w:val="18"/>
        </w:rPr>
        <w:t xml:space="preserve"> planned reconfiguration of MRJC District Court consolidation and associated moves</w:t>
      </w:r>
    </w:p>
    <w:p w:rsidR="00542A54" w:rsidRDefault="00542A54" w:rsidP="00D062C5">
      <w:pPr>
        <w:rPr>
          <w:rFonts w:ascii="Arial" w:hAnsi="Arial" w:cs="Arial"/>
        </w:rPr>
      </w:pPr>
    </w:p>
    <w:p w:rsidR="00A87194" w:rsidRPr="00A87194" w:rsidRDefault="00A87194" w:rsidP="00E46329">
      <w:pPr>
        <w:spacing w:line="240" w:lineRule="atLeast"/>
        <w:rPr>
          <w:rFonts w:ascii="Arial" w:hAnsi="Arial" w:cs="Arial"/>
          <w:b/>
          <w:u w:val="single"/>
        </w:rPr>
      </w:pPr>
      <w:r w:rsidRPr="00A87194">
        <w:rPr>
          <w:rFonts w:ascii="Arial" w:hAnsi="Arial" w:cs="Arial"/>
          <w:b/>
          <w:u w:val="single"/>
        </w:rPr>
        <w:t>Workplace Trends</w:t>
      </w:r>
    </w:p>
    <w:p w:rsidR="004708CC" w:rsidRDefault="00877321" w:rsidP="00E86526">
      <w:pPr>
        <w:spacing w:line="240" w:lineRule="atLeast"/>
        <w:rPr>
          <w:rFonts w:ascii="Arial" w:hAnsi="Arial" w:cs="Arial"/>
        </w:rPr>
      </w:pPr>
      <w:r>
        <w:rPr>
          <w:rFonts w:ascii="Arial" w:hAnsi="Arial" w:cs="Arial"/>
        </w:rPr>
        <w:t xml:space="preserve">The Plan </w:t>
      </w:r>
      <w:r w:rsidR="00E86526">
        <w:rPr>
          <w:rFonts w:ascii="Arial" w:hAnsi="Arial" w:cs="Arial"/>
        </w:rPr>
        <w:t>continues to acknowledge</w:t>
      </w:r>
      <w:r>
        <w:rPr>
          <w:rFonts w:ascii="Arial" w:hAnsi="Arial" w:cs="Arial"/>
        </w:rPr>
        <w:t xml:space="preserve"> that workplaces are changing from typical enclosed office spaces, to </w:t>
      </w:r>
      <w:r w:rsidRPr="00877321">
        <w:rPr>
          <w:rFonts w:ascii="Arial" w:hAnsi="Arial" w:cs="Arial"/>
        </w:rPr>
        <w:t xml:space="preserve">open-floor buildings featuring furniture systems.  </w:t>
      </w:r>
      <w:r w:rsidR="004708CC">
        <w:rPr>
          <w:rFonts w:ascii="Arial" w:hAnsi="Arial" w:cs="Arial"/>
        </w:rPr>
        <w:t>B</w:t>
      </w:r>
      <w:r>
        <w:rPr>
          <w:rFonts w:ascii="Arial" w:hAnsi="Arial" w:cs="Arial"/>
        </w:rPr>
        <w:t>usiness practices are also changing to incorporate new technologies</w:t>
      </w:r>
      <w:r w:rsidR="00E86526">
        <w:rPr>
          <w:rFonts w:ascii="Arial" w:hAnsi="Arial" w:cs="Arial"/>
        </w:rPr>
        <w:t xml:space="preserve"> and</w:t>
      </w:r>
      <w:r>
        <w:rPr>
          <w:rFonts w:ascii="Arial" w:hAnsi="Arial" w:cs="Arial"/>
        </w:rPr>
        <w:t xml:space="preserve"> </w:t>
      </w:r>
      <w:r w:rsidR="00215507" w:rsidRPr="00215507">
        <w:rPr>
          <w:rFonts w:ascii="Arial" w:hAnsi="Arial" w:cs="Arial"/>
        </w:rPr>
        <w:t xml:space="preserve">are increasingly designed for flexibility and for the specific business processes they support.  </w:t>
      </w:r>
    </w:p>
    <w:p w:rsidR="004708CC" w:rsidRDefault="004708CC" w:rsidP="00E86526">
      <w:pPr>
        <w:spacing w:line="240" w:lineRule="atLeast"/>
        <w:rPr>
          <w:rFonts w:ascii="Arial" w:hAnsi="Arial" w:cs="Arial"/>
        </w:rPr>
      </w:pPr>
    </w:p>
    <w:p w:rsidR="00215507" w:rsidRPr="00E86526" w:rsidRDefault="00215507" w:rsidP="00E86526">
      <w:pPr>
        <w:spacing w:line="240" w:lineRule="atLeast"/>
      </w:pPr>
      <w:r w:rsidRPr="00215507">
        <w:rPr>
          <w:rFonts w:ascii="Arial" w:hAnsi="Arial" w:cs="Arial"/>
        </w:rPr>
        <w:t>These needs are met through large use of collaborative and communal</w:t>
      </w:r>
      <w:r>
        <w:rPr>
          <w:rFonts w:ascii="Arial" w:hAnsi="Arial" w:cs="Arial"/>
        </w:rPr>
        <w:t xml:space="preserve"> spaces, increased reliance on</w:t>
      </w:r>
      <w:r w:rsidRPr="00215507">
        <w:rPr>
          <w:rFonts w:ascii="Arial" w:hAnsi="Arial" w:cs="Arial"/>
        </w:rPr>
        <w:t xml:space="preserve"> “hot-desking” areas (workstations that are not assigned to a particu</w:t>
      </w:r>
      <w:r w:rsidR="004708CC">
        <w:rPr>
          <w:rFonts w:ascii="Arial" w:hAnsi="Arial" w:cs="Arial"/>
        </w:rPr>
        <w:t>lar worker</w:t>
      </w:r>
      <w:r w:rsidRPr="00215507">
        <w:rPr>
          <w:rFonts w:ascii="Arial" w:hAnsi="Arial" w:cs="Arial"/>
        </w:rPr>
        <w:t xml:space="preserve">), and a reduction in requirements for hard-copy paper.  </w:t>
      </w:r>
      <w:r w:rsidR="004708CC">
        <w:rPr>
          <w:rFonts w:ascii="Arial" w:hAnsi="Arial" w:cs="Arial"/>
        </w:rPr>
        <w:t>The plan also addresses the use of technology to go paperless and to allow workplace practices such as telecommuting.</w:t>
      </w:r>
    </w:p>
    <w:p w:rsidR="00215507" w:rsidRPr="004708CC" w:rsidRDefault="00215507" w:rsidP="004708CC">
      <w:pPr>
        <w:spacing w:line="240" w:lineRule="atLeast"/>
        <w:rPr>
          <w:rFonts w:ascii="Arial" w:hAnsi="Arial" w:cs="Arial"/>
        </w:rPr>
      </w:pPr>
    </w:p>
    <w:p w:rsidR="004708CC" w:rsidRPr="004708CC" w:rsidRDefault="004708CC" w:rsidP="004708CC">
      <w:pPr>
        <w:spacing w:line="240" w:lineRule="atLeast"/>
        <w:rPr>
          <w:rFonts w:ascii="Arial" w:hAnsi="Arial" w:cs="Arial"/>
        </w:rPr>
      </w:pPr>
      <w:r w:rsidRPr="004708CC">
        <w:rPr>
          <w:rFonts w:ascii="Arial" w:hAnsi="Arial" w:cs="Arial"/>
        </w:rPr>
        <w:t xml:space="preserve">Additionally, </w:t>
      </w:r>
      <w:r>
        <w:rPr>
          <w:rFonts w:ascii="Arial" w:hAnsi="Arial" w:cs="Arial"/>
        </w:rPr>
        <w:t xml:space="preserve">the plan discusses the county's multi-generational workforce, diversity, demographics, instant communication and workplace environment.  </w:t>
      </w:r>
    </w:p>
    <w:p w:rsidR="00877321" w:rsidRDefault="00877321" w:rsidP="00E46329">
      <w:pPr>
        <w:spacing w:line="240" w:lineRule="atLeast"/>
        <w:rPr>
          <w:rFonts w:ascii="Arial" w:hAnsi="Arial" w:cs="Arial"/>
        </w:rPr>
      </w:pPr>
    </w:p>
    <w:p w:rsidR="00811F82" w:rsidRDefault="00811F82" w:rsidP="00E46329">
      <w:pPr>
        <w:spacing w:line="240" w:lineRule="atLeast"/>
        <w:rPr>
          <w:rFonts w:ascii="Arial" w:hAnsi="Arial" w:cs="Arial"/>
        </w:rPr>
      </w:pPr>
      <w:r>
        <w:rPr>
          <w:rFonts w:ascii="Arial" w:hAnsi="Arial" w:cs="Arial"/>
          <w:b/>
          <w:u w:val="single"/>
        </w:rPr>
        <w:t>Moving into the Future</w:t>
      </w:r>
    </w:p>
    <w:p w:rsidR="00B837A3" w:rsidRDefault="00407DF3" w:rsidP="00811F82">
      <w:pPr>
        <w:tabs>
          <w:tab w:val="left" w:pos="1440"/>
        </w:tabs>
        <w:rPr>
          <w:rFonts w:ascii="Arial" w:hAnsi="Arial" w:cs="Arial"/>
        </w:rPr>
      </w:pPr>
      <w:r>
        <w:rPr>
          <w:rFonts w:ascii="Arial" w:hAnsi="Arial" w:cs="Arial"/>
        </w:rPr>
        <w:t>The 2011 RAMP</w:t>
      </w:r>
      <w:r w:rsidR="00811F82" w:rsidRPr="00811F82">
        <w:rPr>
          <w:rFonts w:ascii="Arial" w:hAnsi="Arial" w:cs="Arial"/>
        </w:rPr>
        <w:t xml:space="preserve"> identifie</w:t>
      </w:r>
      <w:r w:rsidR="00620B63">
        <w:rPr>
          <w:rFonts w:ascii="Arial" w:hAnsi="Arial" w:cs="Arial"/>
        </w:rPr>
        <w:t>d</w:t>
      </w:r>
      <w:r w:rsidR="00811F82" w:rsidRPr="00811F82">
        <w:rPr>
          <w:rFonts w:ascii="Arial" w:hAnsi="Arial" w:cs="Arial"/>
        </w:rPr>
        <w:t xml:space="preserve"> strategies to be addressed in the next five years.  The</w:t>
      </w:r>
      <w:r w:rsidR="00811F82">
        <w:rPr>
          <w:rFonts w:ascii="Arial" w:hAnsi="Arial" w:cs="Arial"/>
        </w:rPr>
        <w:t>se</w:t>
      </w:r>
      <w:r w:rsidR="00811F82" w:rsidRPr="00811F82">
        <w:rPr>
          <w:rFonts w:ascii="Arial" w:hAnsi="Arial" w:cs="Arial"/>
        </w:rPr>
        <w:t xml:space="preserve"> strategies </w:t>
      </w:r>
      <w:r w:rsidR="00620B63">
        <w:rPr>
          <w:rFonts w:ascii="Arial" w:hAnsi="Arial" w:cs="Arial"/>
        </w:rPr>
        <w:t>were</w:t>
      </w:r>
      <w:r w:rsidR="00811F82">
        <w:rPr>
          <w:rFonts w:ascii="Arial" w:hAnsi="Arial" w:cs="Arial"/>
        </w:rPr>
        <w:t xml:space="preserve"> intended to </w:t>
      </w:r>
      <w:r w:rsidR="00811F82" w:rsidRPr="00811F82">
        <w:rPr>
          <w:rFonts w:ascii="Arial" w:hAnsi="Arial" w:cs="Arial"/>
        </w:rPr>
        <w:t xml:space="preserve">position the </w:t>
      </w:r>
      <w:r w:rsidR="00811F82">
        <w:rPr>
          <w:rFonts w:ascii="Arial" w:hAnsi="Arial" w:cs="Arial"/>
        </w:rPr>
        <w:t>c</w:t>
      </w:r>
      <w:r w:rsidR="00811F82" w:rsidRPr="00811F82">
        <w:rPr>
          <w:rFonts w:ascii="Arial" w:hAnsi="Arial" w:cs="Arial"/>
        </w:rPr>
        <w:t xml:space="preserve">ounty to leverage its real property assets to benefit the </w:t>
      </w:r>
      <w:r w:rsidR="00811F82">
        <w:rPr>
          <w:rFonts w:ascii="Arial" w:hAnsi="Arial" w:cs="Arial"/>
        </w:rPr>
        <w:t>c</w:t>
      </w:r>
      <w:r w:rsidR="00811F82" w:rsidRPr="00811F82">
        <w:rPr>
          <w:rFonts w:ascii="Arial" w:hAnsi="Arial" w:cs="Arial"/>
        </w:rPr>
        <w:t>ounty’s financial picture by aligning them with Strategic Plan and bu</w:t>
      </w:r>
      <w:r w:rsidR="00811F82">
        <w:rPr>
          <w:rFonts w:ascii="Arial" w:hAnsi="Arial" w:cs="Arial"/>
        </w:rPr>
        <w:t>siness strategies to reduce the</w:t>
      </w:r>
      <w:r w:rsidR="00811F82" w:rsidRPr="00811F82">
        <w:rPr>
          <w:rFonts w:ascii="Arial" w:hAnsi="Arial" w:cs="Arial"/>
        </w:rPr>
        <w:t xml:space="preserve"> facility costs.</w:t>
      </w:r>
      <w:r w:rsidR="00620B63">
        <w:rPr>
          <w:rFonts w:ascii="Arial" w:hAnsi="Arial" w:cs="Arial"/>
        </w:rPr>
        <w:t xml:space="preserve">  The 2013 plan provides updates on the </w:t>
      </w:r>
      <w:r w:rsidR="00B837A3">
        <w:rPr>
          <w:rFonts w:ascii="Arial" w:hAnsi="Arial" w:cs="Arial"/>
        </w:rPr>
        <w:t xml:space="preserve">progress of the </w:t>
      </w:r>
      <w:r w:rsidR="00A251F1">
        <w:rPr>
          <w:rFonts w:ascii="Arial" w:hAnsi="Arial" w:cs="Arial"/>
        </w:rPr>
        <w:t>strategies</w:t>
      </w:r>
      <w:r w:rsidR="00B837A3">
        <w:rPr>
          <w:rFonts w:ascii="Arial" w:hAnsi="Arial" w:cs="Arial"/>
        </w:rPr>
        <w:t>, most of which are still on-going.  Only one was completed during the past two years, which was the workspace configuration pilot project implemented by FMD</w:t>
      </w:r>
      <w:r w:rsidR="005777B3">
        <w:rPr>
          <w:rFonts w:ascii="Arial" w:hAnsi="Arial" w:cs="Arial"/>
        </w:rPr>
        <w:t xml:space="preserve"> (#7)</w:t>
      </w:r>
      <w:r w:rsidR="00B837A3">
        <w:rPr>
          <w:rFonts w:ascii="Arial" w:hAnsi="Arial" w:cs="Arial"/>
        </w:rPr>
        <w:t xml:space="preserve">.  </w:t>
      </w:r>
    </w:p>
    <w:p w:rsidR="00B837A3" w:rsidRDefault="00B837A3" w:rsidP="00811F82">
      <w:pPr>
        <w:tabs>
          <w:tab w:val="left" w:pos="1440"/>
        </w:tabs>
        <w:rPr>
          <w:rFonts w:ascii="Arial" w:hAnsi="Arial" w:cs="Arial"/>
        </w:rPr>
      </w:pPr>
    </w:p>
    <w:p w:rsidR="00811F82" w:rsidRPr="00811F82" w:rsidRDefault="00B837A3" w:rsidP="00811F82">
      <w:pPr>
        <w:tabs>
          <w:tab w:val="left" w:pos="1440"/>
        </w:tabs>
        <w:rPr>
          <w:rFonts w:ascii="Arial" w:hAnsi="Arial" w:cs="Arial"/>
        </w:rPr>
      </w:pPr>
      <w:r>
        <w:rPr>
          <w:rFonts w:ascii="Arial" w:hAnsi="Arial" w:cs="Arial"/>
        </w:rPr>
        <w:t>As a reminder, the list of strategies is below:</w:t>
      </w:r>
    </w:p>
    <w:p w:rsidR="00811F82" w:rsidRPr="00A251F1" w:rsidRDefault="00811F82" w:rsidP="00B837A3">
      <w:pPr>
        <w:pStyle w:val="ListParagraph"/>
        <w:numPr>
          <w:ilvl w:val="0"/>
          <w:numId w:val="10"/>
        </w:numPr>
        <w:tabs>
          <w:tab w:val="left" w:pos="1440"/>
        </w:tabs>
        <w:spacing w:before="120"/>
        <w:rPr>
          <w:rFonts w:ascii="Arial" w:hAnsi="Arial" w:cs="Arial"/>
        </w:rPr>
      </w:pPr>
      <w:r w:rsidRPr="00A251F1">
        <w:rPr>
          <w:rFonts w:ascii="Arial" w:hAnsi="Arial" w:cs="Arial"/>
        </w:rPr>
        <w:t>Recommend a long-term asset strategy for King County’s Blackriver and Yesler Buildings, Precincts #2 and #3, and Public Health clinics by the end of 2011.</w:t>
      </w:r>
    </w:p>
    <w:p w:rsidR="00811F82" w:rsidRPr="00811F82" w:rsidRDefault="00811F82" w:rsidP="00B837A3">
      <w:pPr>
        <w:pStyle w:val="ListParagraph"/>
        <w:numPr>
          <w:ilvl w:val="0"/>
          <w:numId w:val="10"/>
        </w:numPr>
        <w:tabs>
          <w:tab w:val="left" w:pos="1440"/>
        </w:tabs>
        <w:spacing w:before="120"/>
        <w:rPr>
          <w:rFonts w:ascii="Arial" w:hAnsi="Arial" w:cs="Arial"/>
        </w:rPr>
      </w:pPr>
      <w:r w:rsidRPr="00811F82">
        <w:rPr>
          <w:rFonts w:ascii="Arial" w:hAnsi="Arial" w:cs="Arial"/>
        </w:rPr>
        <w:t>Commit FMD and custodial agencies to collaboratively manage the County’s dynamic real estate asset portfolio.</w:t>
      </w:r>
    </w:p>
    <w:p w:rsidR="00811F82" w:rsidRPr="00811F82" w:rsidRDefault="00811F82" w:rsidP="00B837A3">
      <w:pPr>
        <w:pStyle w:val="ListParagraph"/>
        <w:numPr>
          <w:ilvl w:val="0"/>
          <w:numId w:val="10"/>
        </w:numPr>
        <w:tabs>
          <w:tab w:val="left" w:pos="1440"/>
        </w:tabs>
        <w:spacing w:before="120"/>
        <w:rPr>
          <w:rFonts w:ascii="Arial" w:hAnsi="Arial" w:cs="Arial"/>
        </w:rPr>
      </w:pPr>
      <w:r w:rsidRPr="00811F82">
        <w:rPr>
          <w:rFonts w:ascii="Arial" w:hAnsi="Arial" w:cs="Arial"/>
        </w:rPr>
        <w:t>Aggressively pursue environmental sustainability, focusing on energy savings in county facilities and environmental compliance t</w:t>
      </w:r>
      <w:r w:rsidR="00A251F1">
        <w:rPr>
          <w:rFonts w:ascii="Arial" w:hAnsi="Arial" w:cs="Arial"/>
        </w:rPr>
        <w:t>hereby saving the County money.</w:t>
      </w:r>
    </w:p>
    <w:p w:rsidR="00811F82" w:rsidRPr="00811F82" w:rsidRDefault="00811F82" w:rsidP="00B837A3">
      <w:pPr>
        <w:pStyle w:val="ListParagraph"/>
        <w:numPr>
          <w:ilvl w:val="0"/>
          <w:numId w:val="10"/>
        </w:numPr>
        <w:tabs>
          <w:tab w:val="left" w:pos="1440"/>
        </w:tabs>
        <w:spacing w:before="120"/>
        <w:rPr>
          <w:rFonts w:ascii="Arial" w:hAnsi="Arial" w:cs="Arial"/>
        </w:rPr>
      </w:pPr>
      <w:r w:rsidRPr="00811F82">
        <w:rPr>
          <w:rFonts w:ascii="Arial" w:hAnsi="Arial" w:cs="Arial"/>
        </w:rPr>
        <w:t xml:space="preserve">Proactively manage county workspace through comprehensive knowledge of the County’s utilization of proposed and existing leased and owned space to reduce underutilized space and tenant costs. </w:t>
      </w:r>
    </w:p>
    <w:p w:rsidR="00811F82" w:rsidRPr="00811F82" w:rsidRDefault="00811F82" w:rsidP="00B837A3">
      <w:pPr>
        <w:pStyle w:val="ListParagraph"/>
        <w:numPr>
          <w:ilvl w:val="0"/>
          <w:numId w:val="10"/>
        </w:numPr>
        <w:tabs>
          <w:tab w:val="left" w:pos="1440"/>
        </w:tabs>
        <w:spacing w:before="120"/>
        <w:rPr>
          <w:rFonts w:ascii="Arial" w:hAnsi="Arial" w:cs="Arial"/>
        </w:rPr>
      </w:pPr>
      <w:r w:rsidRPr="00811F82">
        <w:rPr>
          <w:rFonts w:ascii="Arial" w:hAnsi="Arial" w:cs="Arial"/>
        </w:rPr>
        <w:lastRenderedPageBreak/>
        <w:t>Recommend to the Executive a set aside of capital improvement funds to enable ongoing cost effective reconsolidation of work space.</w:t>
      </w:r>
    </w:p>
    <w:p w:rsidR="00811F82" w:rsidRPr="00811F82" w:rsidRDefault="00811F82" w:rsidP="00B837A3">
      <w:pPr>
        <w:pStyle w:val="ListParagraph"/>
        <w:numPr>
          <w:ilvl w:val="0"/>
          <w:numId w:val="10"/>
        </w:numPr>
        <w:tabs>
          <w:tab w:val="left" w:pos="1440"/>
        </w:tabs>
        <w:spacing w:before="120"/>
        <w:rPr>
          <w:rFonts w:ascii="Arial" w:hAnsi="Arial" w:cs="Arial"/>
        </w:rPr>
      </w:pPr>
      <w:r w:rsidRPr="00811F82">
        <w:rPr>
          <w:rFonts w:ascii="Arial" w:hAnsi="Arial" w:cs="Arial"/>
        </w:rPr>
        <w:t xml:space="preserve">Improve integration of FMD’s real property asset management activities through a product-focused review. </w:t>
      </w:r>
    </w:p>
    <w:p w:rsidR="00811F82" w:rsidRPr="00811F82" w:rsidRDefault="00B837A3" w:rsidP="00B837A3">
      <w:pPr>
        <w:pStyle w:val="ListParagraph"/>
        <w:numPr>
          <w:ilvl w:val="0"/>
          <w:numId w:val="10"/>
        </w:numPr>
        <w:tabs>
          <w:tab w:val="left" w:pos="1440"/>
        </w:tabs>
        <w:spacing w:before="120"/>
        <w:rPr>
          <w:rFonts w:ascii="Arial" w:hAnsi="Arial" w:cs="Arial"/>
        </w:rPr>
      </w:pPr>
      <w:r>
        <w:rPr>
          <w:rFonts w:ascii="Arial" w:hAnsi="Arial" w:cs="Arial"/>
          <w:b/>
        </w:rPr>
        <w:t>Completed</w:t>
      </w:r>
      <w:r>
        <w:rPr>
          <w:rFonts w:ascii="Arial" w:hAnsi="Arial" w:cs="Arial"/>
        </w:rPr>
        <w:t xml:space="preserve">:  </w:t>
      </w:r>
      <w:r w:rsidR="00811F82" w:rsidRPr="00811F82">
        <w:rPr>
          <w:rFonts w:ascii="Arial" w:hAnsi="Arial" w:cs="Arial"/>
        </w:rPr>
        <w:t>Implement an innovative workspace pilot project to learn, demonstrate, and assess the value of new workspace configurations in county workspaces</w:t>
      </w:r>
      <w:r w:rsidR="00620B63">
        <w:rPr>
          <w:rFonts w:ascii="Arial" w:hAnsi="Arial" w:cs="Arial"/>
        </w:rPr>
        <w:t xml:space="preserve">  </w:t>
      </w:r>
    </w:p>
    <w:p w:rsidR="00811F82" w:rsidRPr="00811F82" w:rsidRDefault="00811F82" w:rsidP="00B837A3">
      <w:pPr>
        <w:pStyle w:val="ListParagraph"/>
        <w:numPr>
          <w:ilvl w:val="0"/>
          <w:numId w:val="10"/>
        </w:numPr>
        <w:tabs>
          <w:tab w:val="left" w:pos="1440"/>
        </w:tabs>
        <w:spacing w:before="120"/>
        <w:rPr>
          <w:rFonts w:ascii="Arial" w:hAnsi="Arial" w:cs="Arial"/>
        </w:rPr>
      </w:pPr>
      <w:r w:rsidRPr="00811F82">
        <w:rPr>
          <w:rFonts w:ascii="Arial" w:hAnsi="Arial" w:cs="Arial"/>
        </w:rPr>
        <w:t xml:space="preserve">Partner FMD staff with county departments to better integrate facility needs with department business plans; work to right-size department workspace and to create an environment where new work trends, insights, experiences and needs can be shared. </w:t>
      </w:r>
    </w:p>
    <w:p w:rsidR="00811F82" w:rsidRPr="00811F82" w:rsidRDefault="00811F82" w:rsidP="00B837A3">
      <w:pPr>
        <w:pStyle w:val="ListParagraph"/>
        <w:numPr>
          <w:ilvl w:val="0"/>
          <w:numId w:val="10"/>
        </w:numPr>
        <w:tabs>
          <w:tab w:val="left" w:pos="1440"/>
        </w:tabs>
        <w:spacing w:before="120"/>
        <w:rPr>
          <w:rFonts w:ascii="Arial" w:hAnsi="Arial" w:cs="Arial"/>
        </w:rPr>
      </w:pPr>
      <w:r w:rsidRPr="00811F82">
        <w:rPr>
          <w:rFonts w:ascii="Arial" w:hAnsi="Arial" w:cs="Arial"/>
        </w:rPr>
        <w:t>Form an IT/HR/FMD alliance to develop an integrated approach to workspace design to better serve county departments and employees</w:t>
      </w:r>
    </w:p>
    <w:p w:rsidR="00811F82" w:rsidRPr="00A251F1" w:rsidRDefault="00811F82" w:rsidP="00B837A3">
      <w:pPr>
        <w:pStyle w:val="ListParagraph"/>
        <w:numPr>
          <w:ilvl w:val="0"/>
          <w:numId w:val="10"/>
        </w:numPr>
        <w:tabs>
          <w:tab w:val="left" w:pos="1440"/>
        </w:tabs>
        <w:spacing w:before="120"/>
        <w:rPr>
          <w:rFonts w:ascii="Arial" w:hAnsi="Arial" w:cs="Arial"/>
        </w:rPr>
      </w:pPr>
      <w:r w:rsidRPr="00A251F1">
        <w:rPr>
          <w:rFonts w:ascii="Arial" w:hAnsi="Arial" w:cs="Arial"/>
        </w:rPr>
        <w:t>Form an IT/FMD/RALS alliance to promote archives and records management initiatives reducing department document storage to improve space utilization.</w:t>
      </w:r>
    </w:p>
    <w:p w:rsidR="00811F82" w:rsidRDefault="00811F82" w:rsidP="00E46329">
      <w:pPr>
        <w:spacing w:line="240" w:lineRule="atLeast"/>
        <w:rPr>
          <w:rFonts w:ascii="Arial" w:hAnsi="Arial" w:cs="Arial"/>
        </w:rPr>
      </w:pPr>
    </w:p>
    <w:p w:rsidR="00D50ADE" w:rsidRDefault="00D50ADE" w:rsidP="00872792">
      <w:pPr>
        <w:spacing w:line="240" w:lineRule="atLeast"/>
        <w:rPr>
          <w:rFonts w:ascii="Arial" w:hAnsi="Arial" w:cs="Arial"/>
          <w:b/>
          <w:bCs/>
          <w:u w:val="single"/>
        </w:rPr>
      </w:pPr>
      <w:r>
        <w:rPr>
          <w:rFonts w:ascii="Arial" w:hAnsi="Arial" w:cs="Arial"/>
          <w:b/>
          <w:bCs/>
          <w:u w:val="single"/>
        </w:rPr>
        <w:t>AMENDMENT:</w:t>
      </w:r>
    </w:p>
    <w:p w:rsidR="00C33DED" w:rsidRDefault="00D50ADE" w:rsidP="00872792">
      <w:pPr>
        <w:spacing w:line="240" w:lineRule="atLeast"/>
        <w:rPr>
          <w:rFonts w:ascii="Arial" w:hAnsi="Arial" w:cs="Arial"/>
          <w:bCs/>
        </w:rPr>
      </w:pPr>
      <w:r>
        <w:rPr>
          <w:rFonts w:ascii="Arial" w:hAnsi="Arial" w:cs="Arial"/>
          <w:bCs/>
        </w:rPr>
        <w:t xml:space="preserve">The policies listed in the transmitted Volume I are numbered incorrectly.  </w:t>
      </w:r>
      <w:r w:rsidR="004356B7">
        <w:rPr>
          <w:rFonts w:ascii="Arial" w:hAnsi="Arial" w:cs="Arial"/>
          <w:bCs/>
        </w:rPr>
        <w:t>A</w:t>
      </w:r>
      <w:r>
        <w:rPr>
          <w:rFonts w:ascii="Arial" w:hAnsi="Arial" w:cs="Arial"/>
          <w:bCs/>
        </w:rPr>
        <w:t xml:space="preserve"> technical amendment has been prepared to insert a new version </w:t>
      </w:r>
      <w:r w:rsidR="004356B7">
        <w:rPr>
          <w:rFonts w:ascii="Arial" w:hAnsi="Arial" w:cs="Arial"/>
          <w:bCs/>
        </w:rPr>
        <w:t xml:space="preserve">that </w:t>
      </w:r>
      <w:r>
        <w:rPr>
          <w:rFonts w:ascii="Arial" w:hAnsi="Arial" w:cs="Arial"/>
          <w:bCs/>
        </w:rPr>
        <w:t>correct</w:t>
      </w:r>
      <w:r w:rsidR="004356B7">
        <w:rPr>
          <w:rFonts w:ascii="Arial" w:hAnsi="Arial" w:cs="Arial"/>
          <w:bCs/>
        </w:rPr>
        <w:t>s</w:t>
      </w:r>
      <w:r>
        <w:rPr>
          <w:rFonts w:ascii="Arial" w:hAnsi="Arial" w:cs="Arial"/>
          <w:bCs/>
        </w:rPr>
        <w:t xml:space="preserve"> the numbers.  </w:t>
      </w:r>
      <w:r w:rsidR="008746F2">
        <w:rPr>
          <w:rFonts w:ascii="Arial" w:hAnsi="Arial" w:cs="Arial"/>
          <w:bCs/>
        </w:rPr>
        <w:t xml:space="preserve">There are no substantive changes in Volume I.  </w:t>
      </w:r>
      <w:r w:rsidR="008746F2" w:rsidRPr="008746F2">
        <w:rPr>
          <w:rFonts w:ascii="Arial" w:hAnsi="Arial" w:cs="Arial"/>
          <w:bCs/>
          <w:i/>
        </w:rPr>
        <w:t>(Due to the size of the document, it will not be attached to this staff report.)</w:t>
      </w:r>
    </w:p>
    <w:p w:rsidR="00C33DED" w:rsidRDefault="00C33DED" w:rsidP="00872792">
      <w:pPr>
        <w:spacing w:line="240" w:lineRule="atLeast"/>
        <w:rPr>
          <w:rFonts w:ascii="Arial" w:hAnsi="Arial" w:cs="Arial"/>
          <w:bCs/>
        </w:rPr>
      </w:pPr>
    </w:p>
    <w:p w:rsidR="00D50ADE" w:rsidRPr="00D50ADE" w:rsidRDefault="00C33DED" w:rsidP="00872792">
      <w:pPr>
        <w:spacing w:line="240" w:lineRule="atLeast"/>
        <w:rPr>
          <w:rFonts w:ascii="Arial" w:hAnsi="Arial" w:cs="Arial"/>
          <w:bCs/>
        </w:rPr>
      </w:pPr>
      <w:r>
        <w:rPr>
          <w:rFonts w:ascii="Arial" w:hAnsi="Arial" w:cs="Arial"/>
          <w:bCs/>
        </w:rPr>
        <w:t>Additionally, as a component of the Comprehensive Plan, the amendment would also change due dates for transmittal of the plan to be consistent with transmittal of the Comprehensive Plan, every four years, beginning in 2016.</w:t>
      </w:r>
    </w:p>
    <w:p w:rsidR="00D50ADE" w:rsidRPr="00D50ADE" w:rsidRDefault="00D50ADE" w:rsidP="00872792">
      <w:pPr>
        <w:spacing w:line="240" w:lineRule="atLeast"/>
        <w:rPr>
          <w:rFonts w:ascii="Arial" w:hAnsi="Arial" w:cs="Arial"/>
          <w:bCs/>
        </w:rPr>
      </w:pPr>
    </w:p>
    <w:p w:rsidR="00872792" w:rsidRPr="00D1543D" w:rsidRDefault="00A523EB" w:rsidP="00872792">
      <w:pPr>
        <w:spacing w:line="240" w:lineRule="atLeast"/>
        <w:rPr>
          <w:rFonts w:ascii="Arial" w:hAnsi="Arial" w:cs="Arial"/>
        </w:rPr>
      </w:pPr>
      <w:r>
        <w:rPr>
          <w:rFonts w:ascii="Arial" w:hAnsi="Arial" w:cs="Arial"/>
          <w:b/>
          <w:bCs/>
          <w:u w:val="single"/>
        </w:rPr>
        <w:t>FUTURE CONSIDERATIONS</w:t>
      </w:r>
      <w:r w:rsidR="00872792" w:rsidRPr="00D1543D">
        <w:rPr>
          <w:rFonts w:ascii="Arial" w:hAnsi="Arial" w:cs="Arial"/>
          <w:b/>
          <w:bCs/>
          <w:u w:val="single"/>
        </w:rPr>
        <w:t>:</w:t>
      </w:r>
    </w:p>
    <w:p w:rsidR="002019F7" w:rsidRDefault="006404EC" w:rsidP="00872792">
      <w:pPr>
        <w:spacing w:line="240" w:lineRule="atLeast"/>
        <w:rPr>
          <w:rFonts w:ascii="Arial" w:hAnsi="Arial" w:cs="Arial"/>
        </w:rPr>
      </w:pPr>
      <w:r w:rsidRPr="00D1543D">
        <w:rPr>
          <w:rFonts w:ascii="Arial" w:hAnsi="Arial" w:cs="Arial"/>
        </w:rPr>
        <w:t>Proposed Ordinance 201</w:t>
      </w:r>
      <w:r w:rsidR="00D9496E">
        <w:rPr>
          <w:rFonts w:ascii="Arial" w:hAnsi="Arial" w:cs="Arial"/>
        </w:rPr>
        <w:t>3</w:t>
      </w:r>
      <w:r w:rsidRPr="00D1543D">
        <w:rPr>
          <w:rFonts w:ascii="Arial" w:hAnsi="Arial" w:cs="Arial"/>
        </w:rPr>
        <w:t>-0</w:t>
      </w:r>
      <w:r w:rsidR="00D9496E">
        <w:rPr>
          <w:rFonts w:ascii="Arial" w:hAnsi="Arial" w:cs="Arial"/>
        </w:rPr>
        <w:t>471</w:t>
      </w:r>
      <w:r w:rsidR="00F30880">
        <w:rPr>
          <w:rFonts w:ascii="Arial" w:hAnsi="Arial" w:cs="Arial"/>
        </w:rPr>
        <w:t xml:space="preserve"> adopting the </w:t>
      </w:r>
      <w:r w:rsidR="00D9496E">
        <w:rPr>
          <w:rFonts w:ascii="Arial" w:hAnsi="Arial" w:cs="Arial"/>
        </w:rPr>
        <w:t>RAMP</w:t>
      </w:r>
      <w:r w:rsidR="00911288">
        <w:rPr>
          <w:rFonts w:ascii="Arial" w:hAnsi="Arial" w:cs="Arial"/>
        </w:rPr>
        <w:t xml:space="preserve"> is a large body of work containing a number of policies and business practices.  </w:t>
      </w:r>
      <w:r w:rsidR="00D02083">
        <w:rPr>
          <w:rFonts w:ascii="Arial" w:hAnsi="Arial" w:cs="Arial"/>
        </w:rPr>
        <w:t xml:space="preserve">Some </w:t>
      </w:r>
      <w:r w:rsidR="002019F7">
        <w:rPr>
          <w:rFonts w:ascii="Arial" w:hAnsi="Arial" w:cs="Arial"/>
        </w:rPr>
        <w:t xml:space="preserve">of the policies included in the RAMP </w:t>
      </w:r>
      <w:r w:rsidR="00D02083">
        <w:rPr>
          <w:rFonts w:ascii="Arial" w:hAnsi="Arial" w:cs="Arial"/>
        </w:rPr>
        <w:t xml:space="preserve">will </w:t>
      </w:r>
      <w:r w:rsidR="002019F7">
        <w:rPr>
          <w:rFonts w:ascii="Arial" w:hAnsi="Arial" w:cs="Arial"/>
        </w:rPr>
        <w:t xml:space="preserve">also </w:t>
      </w:r>
      <w:r w:rsidR="00D02083">
        <w:rPr>
          <w:rFonts w:ascii="Arial" w:hAnsi="Arial" w:cs="Arial"/>
        </w:rPr>
        <w:t>need to be reflected in the rewrite of</w:t>
      </w:r>
      <w:r w:rsidR="00E60017">
        <w:rPr>
          <w:rFonts w:ascii="Arial" w:hAnsi="Arial" w:cs="Arial"/>
        </w:rPr>
        <w:t xml:space="preserve"> KCC Title 4 </w:t>
      </w:r>
      <w:r w:rsidR="00D9496E">
        <w:rPr>
          <w:rFonts w:ascii="Arial" w:hAnsi="Arial" w:cs="Arial"/>
        </w:rPr>
        <w:t xml:space="preserve">to ensure that </w:t>
      </w:r>
      <w:r w:rsidR="00D02083">
        <w:rPr>
          <w:rFonts w:ascii="Arial" w:hAnsi="Arial" w:cs="Arial"/>
        </w:rPr>
        <w:t xml:space="preserve">the </w:t>
      </w:r>
      <w:r w:rsidR="00D9496E">
        <w:rPr>
          <w:rFonts w:ascii="Arial" w:hAnsi="Arial" w:cs="Arial"/>
        </w:rPr>
        <w:t xml:space="preserve">KCC is </w:t>
      </w:r>
      <w:r w:rsidR="00E60017">
        <w:rPr>
          <w:rFonts w:ascii="Arial" w:hAnsi="Arial" w:cs="Arial"/>
        </w:rPr>
        <w:t xml:space="preserve">coordinated with this </w:t>
      </w:r>
      <w:r w:rsidR="00D9496E">
        <w:rPr>
          <w:rFonts w:ascii="Arial" w:hAnsi="Arial" w:cs="Arial"/>
        </w:rPr>
        <w:t>guiding document</w:t>
      </w:r>
      <w:r w:rsidR="00E60017">
        <w:rPr>
          <w:rFonts w:ascii="Arial" w:hAnsi="Arial" w:cs="Arial"/>
        </w:rPr>
        <w:t>.</w:t>
      </w:r>
    </w:p>
    <w:p w:rsidR="002019F7" w:rsidRDefault="002019F7" w:rsidP="00872792">
      <w:pPr>
        <w:spacing w:line="240" w:lineRule="atLeast"/>
        <w:rPr>
          <w:rFonts w:ascii="Arial" w:hAnsi="Arial" w:cs="Arial"/>
        </w:rPr>
      </w:pPr>
    </w:p>
    <w:p w:rsidR="00CE37E2" w:rsidRDefault="00CE37E2" w:rsidP="00CE37E2">
      <w:pPr>
        <w:spacing w:line="240" w:lineRule="atLeast"/>
        <w:rPr>
          <w:rFonts w:ascii="Arial" w:hAnsi="Arial" w:cs="Arial"/>
          <w:b/>
          <w:u w:val="single"/>
        </w:rPr>
      </w:pPr>
      <w:r>
        <w:rPr>
          <w:rFonts w:ascii="Arial" w:hAnsi="Arial" w:cs="Arial"/>
          <w:b/>
          <w:u w:val="single"/>
        </w:rPr>
        <w:t>REASONABLENESS:</w:t>
      </w:r>
    </w:p>
    <w:p w:rsidR="004431E2" w:rsidRDefault="00CE37E2" w:rsidP="00872792">
      <w:pPr>
        <w:spacing w:line="240" w:lineRule="atLeast"/>
        <w:rPr>
          <w:rFonts w:ascii="Arial" w:hAnsi="Arial" w:cs="Arial"/>
        </w:rPr>
      </w:pPr>
      <w:r w:rsidRPr="00D1543D">
        <w:rPr>
          <w:rFonts w:ascii="Arial" w:hAnsi="Arial" w:cs="Arial"/>
        </w:rPr>
        <w:t>Proposed Ordinance 201</w:t>
      </w:r>
      <w:r>
        <w:rPr>
          <w:rFonts w:ascii="Arial" w:hAnsi="Arial" w:cs="Arial"/>
        </w:rPr>
        <w:t>3</w:t>
      </w:r>
      <w:r w:rsidRPr="00D1543D">
        <w:rPr>
          <w:rFonts w:ascii="Arial" w:hAnsi="Arial" w:cs="Arial"/>
        </w:rPr>
        <w:t>-0</w:t>
      </w:r>
      <w:r>
        <w:rPr>
          <w:rFonts w:ascii="Arial" w:hAnsi="Arial" w:cs="Arial"/>
        </w:rPr>
        <w:t xml:space="preserve">471 adopting the RAMP is a large body of work building on the previous policies and business practices initiated in 2011.  The RAMP coordinates all aspects and functions for building management and anticipates space utilization and other integrated approaches such as technology and human resources.  The document provides a wide ranging framework for near and long term management, while coordinating with the Strategic Plan and Comprehensive Plan.  Approval of the proposal, as amended, would acknowledge the body of work which appears to be a reasonable business and policy decision.  </w:t>
      </w:r>
    </w:p>
    <w:p w:rsidR="004431E2" w:rsidRDefault="004431E2" w:rsidP="00872792">
      <w:pPr>
        <w:spacing w:line="240" w:lineRule="atLeast"/>
        <w:rPr>
          <w:rFonts w:ascii="Arial" w:hAnsi="Arial" w:cs="Arial"/>
        </w:rPr>
      </w:pPr>
    </w:p>
    <w:p w:rsidR="00A523EB" w:rsidRDefault="00A523EB" w:rsidP="00872792">
      <w:pPr>
        <w:spacing w:line="240" w:lineRule="atLeast"/>
        <w:rPr>
          <w:rFonts w:ascii="Arial" w:hAnsi="Arial" w:cs="Arial"/>
        </w:rPr>
      </w:pPr>
    </w:p>
    <w:p w:rsidR="00A523EB" w:rsidRPr="00D1543D" w:rsidRDefault="00A523EB" w:rsidP="00872792">
      <w:pPr>
        <w:spacing w:line="240" w:lineRule="atLeast"/>
        <w:rPr>
          <w:rFonts w:ascii="Arial" w:hAnsi="Arial" w:cs="Arial"/>
        </w:rPr>
      </w:pPr>
    </w:p>
    <w:p w:rsidR="00387639" w:rsidRPr="00D1543D" w:rsidRDefault="00387639" w:rsidP="00872792">
      <w:pPr>
        <w:spacing w:line="240" w:lineRule="atLeast"/>
        <w:rPr>
          <w:rFonts w:ascii="Arial" w:hAnsi="Arial" w:cs="Arial"/>
          <w:b/>
          <w:bCs/>
          <w:u w:val="single"/>
        </w:rPr>
      </w:pPr>
      <w:r w:rsidRPr="00D1543D">
        <w:rPr>
          <w:rFonts w:ascii="Arial" w:hAnsi="Arial" w:cs="Arial"/>
          <w:b/>
          <w:bCs/>
          <w:u w:val="single"/>
        </w:rPr>
        <w:lastRenderedPageBreak/>
        <w:t>INVITED:</w:t>
      </w:r>
    </w:p>
    <w:p w:rsidR="00E954C4" w:rsidRDefault="001B1915" w:rsidP="00E954C4">
      <w:pPr>
        <w:numPr>
          <w:ilvl w:val="0"/>
          <w:numId w:val="2"/>
        </w:numPr>
        <w:spacing w:line="240" w:lineRule="atLeast"/>
        <w:rPr>
          <w:rFonts w:ascii="Arial" w:hAnsi="Arial" w:cs="Arial"/>
          <w:bCs/>
        </w:rPr>
      </w:pPr>
      <w:r>
        <w:rPr>
          <w:rFonts w:ascii="Arial" w:hAnsi="Arial" w:cs="Arial"/>
          <w:bCs/>
        </w:rPr>
        <w:t>Kathy Brown</w:t>
      </w:r>
      <w:r w:rsidR="00E954C4">
        <w:rPr>
          <w:rFonts w:ascii="Arial" w:hAnsi="Arial" w:cs="Arial"/>
          <w:bCs/>
        </w:rPr>
        <w:t>, Director, Facilities Management Division</w:t>
      </w:r>
      <w:r>
        <w:rPr>
          <w:rFonts w:ascii="Arial" w:hAnsi="Arial" w:cs="Arial"/>
          <w:bCs/>
        </w:rPr>
        <w:t xml:space="preserve"> (FMD)</w:t>
      </w:r>
    </w:p>
    <w:p w:rsidR="001C336F" w:rsidRDefault="001C336F" w:rsidP="00D932D2">
      <w:pPr>
        <w:numPr>
          <w:ilvl w:val="0"/>
          <w:numId w:val="2"/>
        </w:numPr>
        <w:spacing w:line="240" w:lineRule="atLeast"/>
        <w:rPr>
          <w:rFonts w:ascii="Arial" w:hAnsi="Arial" w:cs="Arial"/>
          <w:bCs/>
        </w:rPr>
      </w:pPr>
      <w:r>
        <w:rPr>
          <w:rFonts w:ascii="Arial" w:hAnsi="Arial" w:cs="Arial"/>
          <w:bCs/>
        </w:rPr>
        <w:t xml:space="preserve">Terri Flaherty, </w:t>
      </w:r>
      <w:r w:rsidR="00CF130B">
        <w:rPr>
          <w:rFonts w:ascii="Arial" w:hAnsi="Arial" w:cs="Arial"/>
          <w:bCs/>
        </w:rPr>
        <w:t xml:space="preserve">Strategic Initiatives Unit Manager, </w:t>
      </w:r>
      <w:r>
        <w:rPr>
          <w:rFonts w:ascii="Arial" w:hAnsi="Arial" w:cs="Arial"/>
          <w:bCs/>
        </w:rPr>
        <w:t>FMD</w:t>
      </w:r>
    </w:p>
    <w:p w:rsidR="005A7280" w:rsidRDefault="005A7280" w:rsidP="00D932D2">
      <w:pPr>
        <w:numPr>
          <w:ilvl w:val="0"/>
          <w:numId w:val="2"/>
        </w:numPr>
        <w:spacing w:line="240" w:lineRule="atLeast"/>
        <w:rPr>
          <w:rFonts w:ascii="Arial" w:hAnsi="Arial" w:cs="Arial"/>
          <w:bCs/>
        </w:rPr>
      </w:pPr>
      <w:r w:rsidRPr="009C24CA">
        <w:rPr>
          <w:rFonts w:ascii="Arial" w:hAnsi="Arial" w:cs="Arial"/>
          <w:bCs/>
        </w:rPr>
        <w:t>Kamma Kure</w:t>
      </w:r>
      <w:r w:rsidR="009C24CA">
        <w:rPr>
          <w:rFonts w:ascii="Arial" w:hAnsi="Arial" w:cs="Arial"/>
          <w:bCs/>
        </w:rPr>
        <w:t xml:space="preserve">, </w:t>
      </w:r>
      <w:r w:rsidR="0017780B">
        <w:rPr>
          <w:rFonts w:ascii="Arial" w:hAnsi="Arial" w:cs="Arial"/>
          <w:bCs/>
        </w:rPr>
        <w:t xml:space="preserve">Project Program Manager, </w:t>
      </w:r>
      <w:r w:rsidR="009C24CA">
        <w:rPr>
          <w:rFonts w:ascii="Arial" w:hAnsi="Arial" w:cs="Arial"/>
          <w:bCs/>
        </w:rPr>
        <w:t>FMD</w:t>
      </w:r>
    </w:p>
    <w:p w:rsidR="00387639" w:rsidRPr="00D1543D" w:rsidRDefault="00387639" w:rsidP="00D932D2">
      <w:pPr>
        <w:numPr>
          <w:ilvl w:val="0"/>
          <w:numId w:val="2"/>
        </w:numPr>
        <w:spacing w:line="240" w:lineRule="atLeast"/>
        <w:rPr>
          <w:rFonts w:ascii="Arial" w:hAnsi="Arial" w:cs="Arial"/>
          <w:bCs/>
        </w:rPr>
      </w:pPr>
      <w:r w:rsidRPr="00D1543D">
        <w:rPr>
          <w:rFonts w:ascii="Arial" w:hAnsi="Arial" w:cs="Arial"/>
          <w:bCs/>
        </w:rPr>
        <w:t>Dwight Dively, Director, Office of Performance, Strategy and Budget</w:t>
      </w:r>
    </w:p>
    <w:p w:rsidR="00387639" w:rsidRPr="00D1543D" w:rsidRDefault="00387639" w:rsidP="00872792">
      <w:pPr>
        <w:spacing w:line="240" w:lineRule="atLeast"/>
        <w:rPr>
          <w:rFonts w:ascii="Arial" w:hAnsi="Arial" w:cs="Arial"/>
          <w:b/>
          <w:bCs/>
          <w:u w:val="single"/>
        </w:rPr>
      </w:pPr>
    </w:p>
    <w:p w:rsidR="00872792" w:rsidRPr="00D1543D" w:rsidRDefault="00872792" w:rsidP="00872792">
      <w:pPr>
        <w:spacing w:line="240" w:lineRule="atLeast"/>
        <w:rPr>
          <w:rFonts w:ascii="Arial" w:hAnsi="Arial" w:cs="Arial"/>
          <w:b/>
          <w:bCs/>
          <w:u w:val="single"/>
        </w:rPr>
      </w:pPr>
      <w:r w:rsidRPr="00D1543D">
        <w:rPr>
          <w:rFonts w:ascii="Arial" w:hAnsi="Arial" w:cs="Arial"/>
          <w:b/>
          <w:bCs/>
          <w:u w:val="single"/>
        </w:rPr>
        <w:t>ATTACHMENTS:</w:t>
      </w:r>
    </w:p>
    <w:p w:rsidR="00607258" w:rsidRPr="00607258" w:rsidRDefault="00446593" w:rsidP="00A523EB">
      <w:pPr>
        <w:numPr>
          <w:ilvl w:val="0"/>
          <w:numId w:val="1"/>
        </w:numPr>
        <w:overflowPunct w:val="0"/>
        <w:autoSpaceDE w:val="0"/>
        <w:autoSpaceDN w:val="0"/>
        <w:adjustRightInd w:val="0"/>
        <w:spacing w:line="240" w:lineRule="atLeast"/>
        <w:ind w:left="720"/>
        <w:textAlignment w:val="baseline"/>
        <w:rPr>
          <w:rFonts w:ascii="Arial" w:hAnsi="Arial" w:cs="Arial"/>
        </w:rPr>
      </w:pPr>
      <w:r>
        <w:rPr>
          <w:rFonts w:ascii="Arial" w:hAnsi="Arial" w:cs="Arial"/>
          <w:bCs/>
        </w:rPr>
        <w:t xml:space="preserve">Striking </w:t>
      </w:r>
      <w:r w:rsidR="00607258">
        <w:rPr>
          <w:rFonts w:ascii="Arial" w:hAnsi="Arial" w:cs="Arial"/>
          <w:bCs/>
        </w:rPr>
        <w:t>Amendment to Proposed Ordinance 2013-0471</w:t>
      </w:r>
      <w:r w:rsidR="008746F2">
        <w:rPr>
          <w:rFonts w:ascii="Arial" w:hAnsi="Arial" w:cs="Arial"/>
          <w:bCs/>
        </w:rPr>
        <w:t xml:space="preserve"> </w:t>
      </w:r>
      <w:r w:rsidR="008746F2" w:rsidRPr="008746F2">
        <w:rPr>
          <w:rFonts w:ascii="Arial" w:hAnsi="Arial" w:cs="Arial"/>
          <w:bCs/>
          <w:i/>
        </w:rPr>
        <w:t>(Attachment A, dated May 20, is replaced to correct numbering problems – it is not printed with this report due to the size of the document.)</w:t>
      </w:r>
    </w:p>
    <w:p w:rsidR="00E46329" w:rsidRPr="00D1543D" w:rsidRDefault="00E46329" w:rsidP="009F23B5">
      <w:pPr>
        <w:numPr>
          <w:ilvl w:val="0"/>
          <w:numId w:val="1"/>
        </w:numPr>
        <w:overflowPunct w:val="0"/>
        <w:autoSpaceDE w:val="0"/>
        <w:autoSpaceDN w:val="0"/>
        <w:adjustRightInd w:val="0"/>
        <w:spacing w:line="240" w:lineRule="atLeast"/>
        <w:ind w:left="720"/>
        <w:textAlignment w:val="baseline"/>
        <w:rPr>
          <w:rFonts w:ascii="Arial" w:hAnsi="Arial" w:cs="Arial"/>
        </w:rPr>
      </w:pPr>
      <w:r w:rsidRPr="00D1543D">
        <w:rPr>
          <w:rFonts w:ascii="Arial" w:hAnsi="Arial" w:cs="Arial"/>
          <w:bCs/>
        </w:rPr>
        <w:t>Proposed Ordinance 201</w:t>
      </w:r>
      <w:r w:rsidR="00E05B9E">
        <w:rPr>
          <w:rFonts w:ascii="Arial" w:hAnsi="Arial" w:cs="Arial"/>
          <w:bCs/>
        </w:rPr>
        <w:t>3</w:t>
      </w:r>
      <w:r w:rsidRPr="00D1543D">
        <w:rPr>
          <w:rFonts w:ascii="Arial" w:hAnsi="Arial" w:cs="Arial"/>
          <w:bCs/>
        </w:rPr>
        <w:t>-0</w:t>
      </w:r>
      <w:r w:rsidR="00E05B9E">
        <w:rPr>
          <w:rFonts w:ascii="Arial" w:hAnsi="Arial" w:cs="Arial"/>
          <w:bCs/>
        </w:rPr>
        <w:t>471</w:t>
      </w:r>
      <w:r>
        <w:rPr>
          <w:rFonts w:ascii="Arial" w:hAnsi="Arial" w:cs="Arial"/>
          <w:bCs/>
        </w:rPr>
        <w:t xml:space="preserve"> (</w:t>
      </w:r>
      <w:r w:rsidR="00911288">
        <w:rPr>
          <w:rFonts w:ascii="Arial" w:hAnsi="Arial" w:cs="Arial"/>
          <w:bCs/>
        </w:rPr>
        <w:t xml:space="preserve">due to size, </w:t>
      </w:r>
      <w:r>
        <w:rPr>
          <w:rFonts w:ascii="Arial" w:hAnsi="Arial" w:cs="Arial"/>
          <w:bCs/>
        </w:rPr>
        <w:t>attachment</w:t>
      </w:r>
      <w:r w:rsidR="009F23B5">
        <w:rPr>
          <w:rFonts w:ascii="Arial" w:hAnsi="Arial" w:cs="Arial"/>
          <w:bCs/>
        </w:rPr>
        <w:t>s are</w:t>
      </w:r>
      <w:r>
        <w:rPr>
          <w:rFonts w:ascii="Arial" w:hAnsi="Arial" w:cs="Arial"/>
          <w:bCs/>
        </w:rPr>
        <w:t xml:space="preserve"> available upon request</w:t>
      </w:r>
      <w:r w:rsidR="009F23B5">
        <w:rPr>
          <w:rFonts w:ascii="Arial" w:hAnsi="Arial" w:cs="Arial"/>
          <w:bCs/>
        </w:rPr>
        <w:t xml:space="preserve">, or you may view online at: </w:t>
      </w:r>
      <w:hyperlink r:id="rId11" w:history="1">
        <w:r w:rsidR="009F23B5" w:rsidRPr="009F23B5">
          <w:rPr>
            <w:rStyle w:val="Hyperlink"/>
            <w:rFonts w:ascii="Arial" w:hAnsi="Arial" w:cs="Arial"/>
            <w:bCs/>
          </w:rPr>
          <w:t>King County - File #: 2013-0471</w:t>
        </w:r>
      </w:hyperlink>
      <w:r w:rsidR="009F23B5">
        <w:rPr>
          <w:rFonts w:ascii="Arial" w:hAnsi="Arial" w:cs="Arial"/>
          <w:bCs/>
        </w:rPr>
        <w:t>)</w:t>
      </w:r>
    </w:p>
    <w:p w:rsidR="00872792" w:rsidRPr="0062484D" w:rsidRDefault="00E46329" w:rsidP="00D932D2">
      <w:pPr>
        <w:numPr>
          <w:ilvl w:val="0"/>
          <w:numId w:val="1"/>
        </w:numPr>
        <w:overflowPunct w:val="0"/>
        <w:autoSpaceDE w:val="0"/>
        <w:autoSpaceDN w:val="0"/>
        <w:adjustRightInd w:val="0"/>
        <w:spacing w:line="240" w:lineRule="atLeast"/>
        <w:ind w:left="540" w:hanging="180"/>
        <w:textAlignment w:val="baseline"/>
        <w:rPr>
          <w:rFonts w:ascii="Arial" w:hAnsi="Arial" w:cs="Arial"/>
        </w:rPr>
      </w:pPr>
      <w:r>
        <w:rPr>
          <w:rFonts w:ascii="Arial" w:hAnsi="Arial" w:cs="Arial"/>
          <w:bCs/>
        </w:rPr>
        <w:t xml:space="preserve">Transmittal Letter, dated </w:t>
      </w:r>
      <w:r w:rsidR="00E05B9E">
        <w:rPr>
          <w:rFonts w:ascii="Arial" w:hAnsi="Arial" w:cs="Arial"/>
          <w:bCs/>
        </w:rPr>
        <w:t>October</w:t>
      </w:r>
      <w:r>
        <w:rPr>
          <w:rFonts w:ascii="Arial" w:hAnsi="Arial" w:cs="Arial"/>
          <w:bCs/>
        </w:rPr>
        <w:t xml:space="preserve"> 1</w:t>
      </w:r>
      <w:r w:rsidR="00E05B9E">
        <w:rPr>
          <w:rFonts w:ascii="Arial" w:hAnsi="Arial" w:cs="Arial"/>
          <w:bCs/>
        </w:rPr>
        <w:t>7</w:t>
      </w:r>
      <w:r>
        <w:rPr>
          <w:rFonts w:ascii="Arial" w:hAnsi="Arial" w:cs="Arial"/>
          <w:bCs/>
        </w:rPr>
        <w:t>, 201</w:t>
      </w:r>
      <w:r w:rsidR="00E05B9E">
        <w:rPr>
          <w:rFonts w:ascii="Arial" w:hAnsi="Arial" w:cs="Arial"/>
          <w:bCs/>
        </w:rPr>
        <w:t>3</w:t>
      </w:r>
    </w:p>
    <w:p w:rsidR="0062484D" w:rsidRPr="00AF7F4C" w:rsidRDefault="0062484D" w:rsidP="00D932D2">
      <w:pPr>
        <w:numPr>
          <w:ilvl w:val="0"/>
          <w:numId w:val="1"/>
        </w:numPr>
        <w:overflowPunct w:val="0"/>
        <w:autoSpaceDE w:val="0"/>
        <w:autoSpaceDN w:val="0"/>
        <w:adjustRightInd w:val="0"/>
        <w:spacing w:line="240" w:lineRule="atLeast"/>
        <w:ind w:left="540" w:hanging="180"/>
        <w:textAlignment w:val="baseline"/>
        <w:rPr>
          <w:rFonts w:ascii="Arial" w:hAnsi="Arial" w:cs="Arial"/>
        </w:rPr>
      </w:pPr>
      <w:r>
        <w:rPr>
          <w:rFonts w:ascii="Arial" w:hAnsi="Arial"/>
        </w:rPr>
        <w:t>Applicable Space Plan References in K.C.C.</w:t>
      </w:r>
    </w:p>
    <w:p w:rsidR="00F1139E" w:rsidRPr="00F1139E" w:rsidRDefault="00F1139E" w:rsidP="00D932D2">
      <w:pPr>
        <w:numPr>
          <w:ilvl w:val="0"/>
          <w:numId w:val="1"/>
        </w:numPr>
        <w:overflowPunct w:val="0"/>
        <w:autoSpaceDE w:val="0"/>
        <w:autoSpaceDN w:val="0"/>
        <w:adjustRightInd w:val="0"/>
        <w:spacing w:line="240" w:lineRule="atLeast"/>
        <w:ind w:left="540" w:hanging="180"/>
        <w:textAlignment w:val="baseline"/>
        <w:rPr>
          <w:rFonts w:ascii="Arial" w:hAnsi="Arial" w:cs="Arial"/>
        </w:rPr>
      </w:pPr>
      <w:r>
        <w:rPr>
          <w:rFonts w:ascii="Arial" w:hAnsi="Arial"/>
        </w:rPr>
        <w:t>Space Plan History</w:t>
      </w:r>
    </w:p>
    <w:p w:rsidR="00AF7F4C" w:rsidRPr="005E54D3" w:rsidRDefault="00AF7F4C" w:rsidP="00D932D2">
      <w:pPr>
        <w:numPr>
          <w:ilvl w:val="0"/>
          <w:numId w:val="1"/>
        </w:numPr>
        <w:overflowPunct w:val="0"/>
        <w:autoSpaceDE w:val="0"/>
        <w:autoSpaceDN w:val="0"/>
        <w:adjustRightInd w:val="0"/>
        <w:spacing w:line="240" w:lineRule="atLeast"/>
        <w:ind w:left="540" w:hanging="180"/>
        <w:textAlignment w:val="baseline"/>
        <w:rPr>
          <w:rFonts w:ascii="Arial" w:hAnsi="Arial" w:cs="Arial"/>
        </w:rPr>
      </w:pPr>
      <w:r>
        <w:rPr>
          <w:rFonts w:ascii="Arial" w:hAnsi="Arial"/>
        </w:rPr>
        <w:t>Mandatory Elements of the Comprehensive Plan</w:t>
      </w:r>
    </w:p>
    <w:p w:rsidR="005E54D3" w:rsidRPr="009E42C4" w:rsidRDefault="005E54D3" w:rsidP="00D932D2">
      <w:pPr>
        <w:numPr>
          <w:ilvl w:val="0"/>
          <w:numId w:val="1"/>
        </w:numPr>
        <w:overflowPunct w:val="0"/>
        <w:autoSpaceDE w:val="0"/>
        <w:autoSpaceDN w:val="0"/>
        <w:adjustRightInd w:val="0"/>
        <w:spacing w:line="240" w:lineRule="atLeast"/>
        <w:ind w:left="540" w:hanging="180"/>
        <w:textAlignment w:val="baseline"/>
        <w:rPr>
          <w:rFonts w:ascii="Arial" w:hAnsi="Arial" w:cs="Arial"/>
        </w:rPr>
      </w:pPr>
      <w:r>
        <w:rPr>
          <w:rFonts w:ascii="Arial" w:hAnsi="Arial"/>
        </w:rPr>
        <w:t xml:space="preserve">Policy Framework </w:t>
      </w:r>
    </w:p>
    <w:p w:rsidR="009E42C4" w:rsidRPr="00770E53" w:rsidRDefault="009E42C4" w:rsidP="00D932D2">
      <w:pPr>
        <w:numPr>
          <w:ilvl w:val="0"/>
          <w:numId w:val="1"/>
        </w:numPr>
        <w:overflowPunct w:val="0"/>
        <w:autoSpaceDE w:val="0"/>
        <w:autoSpaceDN w:val="0"/>
        <w:adjustRightInd w:val="0"/>
        <w:spacing w:line="240" w:lineRule="atLeast"/>
        <w:ind w:left="540" w:hanging="180"/>
        <w:textAlignment w:val="baseline"/>
        <w:rPr>
          <w:rFonts w:ascii="Arial" w:hAnsi="Arial" w:cs="Arial"/>
        </w:rPr>
      </w:pPr>
      <w:r>
        <w:rPr>
          <w:rFonts w:ascii="Arial" w:hAnsi="Arial"/>
        </w:rPr>
        <w:t>Short Term Policy Recommendations</w:t>
      </w:r>
    </w:p>
    <w:sectPr w:rsidR="009E42C4" w:rsidRPr="00770E53" w:rsidSect="00752EA8">
      <w:footerReference w:type="default" r:id="rId12"/>
      <w:headerReference w:type="first" r:id="rId13"/>
      <w:footerReference w:type="first" r:id="rId14"/>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E0" w:rsidRDefault="004C30E0">
      <w:r>
        <w:separator/>
      </w:r>
    </w:p>
  </w:endnote>
  <w:endnote w:type="continuationSeparator" w:id="0">
    <w:p w:rsidR="004C30E0" w:rsidRDefault="004C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80" w:rsidRPr="00446E0F" w:rsidRDefault="005A7280"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0B7C19">
      <w:rPr>
        <w:rStyle w:val="PageNumber"/>
        <w:rFonts w:ascii="Arial" w:hAnsi="Arial" w:cs="Arial"/>
        <w:noProof/>
        <w:sz w:val="20"/>
        <w:szCs w:val="20"/>
      </w:rPr>
      <w:t>13</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0B7C19">
      <w:rPr>
        <w:rStyle w:val="PageNumber"/>
        <w:rFonts w:ascii="Arial" w:hAnsi="Arial" w:cs="Arial"/>
        <w:noProof/>
        <w:sz w:val="20"/>
        <w:szCs w:val="20"/>
      </w:rPr>
      <w:t>13</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80" w:rsidRPr="00446E0F" w:rsidRDefault="005A7280"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0B7C19">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0B7C19">
      <w:rPr>
        <w:rStyle w:val="PageNumber"/>
        <w:rFonts w:ascii="Arial" w:hAnsi="Arial" w:cs="Arial"/>
        <w:noProof/>
        <w:sz w:val="20"/>
        <w:szCs w:val="20"/>
      </w:rPr>
      <w:t>13</w:t>
    </w:r>
    <w:r w:rsidRPr="00446E0F">
      <w:rPr>
        <w:rStyle w:val="PageNumber"/>
        <w:rFonts w:ascii="Arial" w:hAnsi="Arial" w:cs="Arial"/>
        <w:sz w:val="20"/>
        <w:szCs w:val="20"/>
      </w:rPr>
      <w:fldChar w:fldCharType="end"/>
    </w:r>
  </w:p>
  <w:p w:rsidR="005A7280" w:rsidRDefault="005A728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E0" w:rsidRDefault="004C30E0">
      <w:r>
        <w:separator/>
      </w:r>
    </w:p>
  </w:footnote>
  <w:footnote w:type="continuationSeparator" w:id="0">
    <w:p w:rsidR="004C30E0" w:rsidRDefault="004C30E0">
      <w:r>
        <w:continuationSeparator/>
      </w:r>
    </w:p>
  </w:footnote>
  <w:footnote w:id="1">
    <w:p w:rsidR="001825D0" w:rsidRDefault="001825D0">
      <w:pPr>
        <w:pStyle w:val="FootnoteText"/>
      </w:pPr>
      <w:r>
        <w:rPr>
          <w:rStyle w:val="FootnoteReference"/>
        </w:rPr>
        <w:footnoteRef/>
      </w:r>
      <w:r>
        <w:t xml:space="preserve"> </w:t>
      </w:r>
      <w:r w:rsidRPr="001825D0">
        <w:rPr>
          <w:rFonts w:ascii="Arial" w:hAnsi="Arial" w:cs="Arial"/>
        </w:rPr>
        <w:t>The last time an assessment of county buildings was undertaken was 2002 in the Carter Burgess report.</w:t>
      </w:r>
    </w:p>
  </w:footnote>
  <w:footnote w:id="2">
    <w:p w:rsidR="007F2718" w:rsidRDefault="007F2718">
      <w:pPr>
        <w:pStyle w:val="FootnoteText"/>
      </w:pPr>
      <w:r>
        <w:rPr>
          <w:rStyle w:val="FootnoteReference"/>
        </w:rPr>
        <w:footnoteRef/>
      </w:r>
      <w:r>
        <w:t xml:space="preserve"> </w:t>
      </w:r>
      <w:r w:rsidRPr="007F2718">
        <w:rPr>
          <w:rFonts w:ascii="Arial" w:hAnsi="Arial" w:cs="Arial"/>
          <w:szCs w:val="24"/>
        </w:rPr>
        <w:t>FCIs are used throughout the United States to value real property.</w:t>
      </w:r>
    </w:p>
  </w:footnote>
  <w:footnote w:id="3">
    <w:p w:rsidR="007201DB" w:rsidRDefault="007201DB">
      <w:pPr>
        <w:pStyle w:val="FootnoteText"/>
      </w:pPr>
      <w:r>
        <w:rPr>
          <w:rStyle w:val="FootnoteReference"/>
        </w:rPr>
        <w:footnoteRef/>
      </w:r>
      <w:r w:rsidRPr="00A31A9C">
        <w:rPr>
          <w:noProof/>
          <w:szCs w:val="24"/>
        </w:rPr>
        <w:t xml:space="preserve"> </w:t>
      </w:r>
      <w:r w:rsidRPr="007201DB">
        <w:rPr>
          <w:rFonts w:ascii="Arial" w:hAnsi="Arial" w:cs="Arial"/>
          <w:szCs w:val="24"/>
        </w:rPr>
        <w:t>The current replacement value is the estimated cost to reconstruct, at current prices, an existing facility with utility equivalent to the existing facility, using modern materials in compliance with current codes and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3" w:rsidRPr="00121DD6" w:rsidRDefault="005A7280" w:rsidP="00121DD6">
    <w:pPr>
      <w:jc w:val="center"/>
      <w:rPr>
        <w:b/>
        <w:sz w:val="32"/>
        <w:szCs w:val="32"/>
        <w:u w:val="single"/>
      </w:rPr>
    </w:pPr>
    <w:r>
      <w:rPr>
        <w:noProof/>
      </w:rPr>
      <w:drawing>
        <wp:inline distT="0" distB="0" distL="0" distR="0" wp14:anchorId="3139CE12" wp14:editId="11A3557E">
          <wp:extent cx="1009650" cy="716280"/>
          <wp:effectExtent l="19050" t="0" r="0" b="0"/>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09650" cy="716280"/>
                  </a:xfrm>
                  <a:prstGeom prst="rect">
                    <a:avLst/>
                  </a:prstGeom>
                  <a:noFill/>
                  <a:ln w="9525">
                    <a:noFill/>
                    <a:miter lim="800000"/>
                    <a:headEnd/>
                    <a:tailEnd/>
                  </a:ln>
                </pic:spPr>
              </pic:pic>
            </a:graphicData>
          </a:graphic>
        </wp:inline>
      </w:drawing>
    </w:r>
  </w:p>
  <w:p w:rsidR="005A7280" w:rsidRPr="003B03EF" w:rsidRDefault="005A7280" w:rsidP="001A3425">
    <w:pPr>
      <w:jc w:val="center"/>
      <w:rPr>
        <w:rFonts w:ascii="Arial" w:hAnsi="Arial"/>
        <w:szCs w:val="22"/>
      </w:rPr>
    </w:pPr>
  </w:p>
  <w:p w:rsidR="00B2002A" w:rsidRDefault="00B2002A" w:rsidP="001A3425">
    <w:pPr>
      <w:jc w:val="center"/>
      <w:rPr>
        <w:rFonts w:ascii="Verdana" w:hAnsi="Verdana"/>
        <w:b/>
        <w:sz w:val="28"/>
        <w:szCs w:val="28"/>
      </w:rPr>
    </w:pPr>
    <w:r>
      <w:rPr>
        <w:rFonts w:ascii="Verdana" w:hAnsi="Verdana"/>
        <w:b/>
        <w:sz w:val="28"/>
        <w:szCs w:val="28"/>
      </w:rPr>
      <w:t>Metropolitan King County Council</w:t>
    </w:r>
  </w:p>
  <w:p w:rsidR="005A7280" w:rsidRPr="004A1D48" w:rsidRDefault="005A7280" w:rsidP="001A3425">
    <w:pPr>
      <w:jc w:val="center"/>
      <w:rPr>
        <w:rFonts w:ascii="Verdana" w:hAnsi="Verdana"/>
        <w:b/>
        <w:sz w:val="28"/>
        <w:szCs w:val="28"/>
      </w:rPr>
    </w:pPr>
    <w:r>
      <w:rPr>
        <w:rFonts w:ascii="Verdana" w:hAnsi="Verdana"/>
        <w:b/>
        <w:sz w:val="28"/>
        <w:szCs w:val="28"/>
      </w:rPr>
      <w:t>Budget and Fiscal Management Committee</w:t>
    </w:r>
  </w:p>
  <w:p w:rsidR="005A7280" w:rsidRDefault="005A7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B80"/>
    <w:multiLevelType w:val="hybridMultilevel"/>
    <w:tmpl w:val="6E26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A0177"/>
    <w:multiLevelType w:val="hybridMultilevel"/>
    <w:tmpl w:val="B4C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8736A"/>
    <w:multiLevelType w:val="hybridMultilevel"/>
    <w:tmpl w:val="8C1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B58CE"/>
    <w:multiLevelType w:val="hybridMultilevel"/>
    <w:tmpl w:val="634A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D73B6"/>
    <w:multiLevelType w:val="hybridMultilevel"/>
    <w:tmpl w:val="B9EADEF8"/>
    <w:lvl w:ilvl="0" w:tplc="C8C6D5EA">
      <w:start w:val="32"/>
      <w:numFmt w:val="decimal"/>
      <w:lvlText w:val="%1.0"/>
      <w:lvlJc w:val="left"/>
      <w:pPr>
        <w:ind w:left="540" w:hanging="360"/>
      </w:pPr>
      <w:rPr>
        <w:rFonts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C108A8"/>
    <w:multiLevelType w:val="hybridMultilevel"/>
    <w:tmpl w:val="A290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24567"/>
    <w:multiLevelType w:val="hybridMultilevel"/>
    <w:tmpl w:val="8A18364C"/>
    <w:lvl w:ilvl="0" w:tplc="34A29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441790"/>
    <w:multiLevelType w:val="hybridMultilevel"/>
    <w:tmpl w:val="473E7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61902"/>
    <w:multiLevelType w:val="hybridMultilevel"/>
    <w:tmpl w:val="512A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D11E6"/>
    <w:multiLevelType w:val="hybridMultilevel"/>
    <w:tmpl w:val="D0FA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A7A77"/>
    <w:multiLevelType w:val="hybridMultilevel"/>
    <w:tmpl w:val="148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60AE0"/>
    <w:multiLevelType w:val="hybridMultilevel"/>
    <w:tmpl w:val="603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50AC4"/>
    <w:multiLevelType w:val="hybridMultilevel"/>
    <w:tmpl w:val="6B0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E3C95"/>
    <w:multiLevelType w:val="hybridMultilevel"/>
    <w:tmpl w:val="614E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4FCD"/>
    <w:multiLevelType w:val="hybridMultilevel"/>
    <w:tmpl w:val="40B4B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A2600"/>
    <w:multiLevelType w:val="hybridMultilevel"/>
    <w:tmpl w:val="099CD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25264"/>
    <w:multiLevelType w:val="hybridMultilevel"/>
    <w:tmpl w:val="30BA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80E9A"/>
    <w:multiLevelType w:val="hybridMultilevel"/>
    <w:tmpl w:val="CD94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71BCE"/>
    <w:multiLevelType w:val="hybridMultilevel"/>
    <w:tmpl w:val="E2068EA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9">
    <w:nsid w:val="7A1261AB"/>
    <w:multiLevelType w:val="hybridMultilevel"/>
    <w:tmpl w:val="35B02312"/>
    <w:lvl w:ilvl="0" w:tplc="B16E5840">
      <w:start w:val="33"/>
      <w:numFmt w:val="decimal"/>
      <w:lvlText w:val="%1.0"/>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C6DF6"/>
    <w:multiLevelType w:val="hybridMultilevel"/>
    <w:tmpl w:val="A22E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5"/>
  </w:num>
  <w:num w:numId="5">
    <w:abstractNumId w:val="20"/>
  </w:num>
  <w:num w:numId="6">
    <w:abstractNumId w:val="8"/>
  </w:num>
  <w:num w:numId="7">
    <w:abstractNumId w:val="13"/>
  </w:num>
  <w:num w:numId="8">
    <w:abstractNumId w:val="10"/>
  </w:num>
  <w:num w:numId="9">
    <w:abstractNumId w:val="2"/>
  </w:num>
  <w:num w:numId="10">
    <w:abstractNumId w:val="14"/>
  </w:num>
  <w:num w:numId="11">
    <w:abstractNumId w:val="1"/>
  </w:num>
  <w:num w:numId="12">
    <w:abstractNumId w:val="7"/>
  </w:num>
  <w:num w:numId="13">
    <w:abstractNumId w:val="4"/>
  </w:num>
  <w:num w:numId="14">
    <w:abstractNumId w:val="19"/>
  </w:num>
  <w:num w:numId="15">
    <w:abstractNumId w:val="3"/>
  </w:num>
  <w:num w:numId="16">
    <w:abstractNumId w:val="6"/>
  </w:num>
  <w:num w:numId="17">
    <w:abstractNumId w:val="9"/>
  </w:num>
  <w:num w:numId="18">
    <w:abstractNumId w:val="12"/>
  </w:num>
  <w:num w:numId="19">
    <w:abstractNumId w:val="17"/>
  </w:num>
  <w:num w:numId="20">
    <w:abstractNumId w:val="0"/>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1720"/>
    <w:rsid w:val="0000353C"/>
    <w:rsid w:val="000064D8"/>
    <w:rsid w:val="00006828"/>
    <w:rsid w:val="000129BA"/>
    <w:rsid w:val="00013426"/>
    <w:rsid w:val="00020F8D"/>
    <w:rsid w:val="00021949"/>
    <w:rsid w:val="00027425"/>
    <w:rsid w:val="000402F0"/>
    <w:rsid w:val="00040477"/>
    <w:rsid w:val="0004318E"/>
    <w:rsid w:val="00047730"/>
    <w:rsid w:val="00047C02"/>
    <w:rsid w:val="00051233"/>
    <w:rsid w:val="00051AAB"/>
    <w:rsid w:val="00053A14"/>
    <w:rsid w:val="000543A9"/>
    <w:rsid w:val="00056D0D"/>
    <w:rsid w:val="00057E3A"/>
    <w:rsid w:val="00060F01"/>
    <w:rsid w:val="0006454D"/>
    <w:rsid w:val="0006676D"/>
    <w:rsid w:val="0007020A"/>
    <w:rsid w:val="0007054F"/>
    <w:rsid w:val="00071C11"/>
    <w:rsid w:val="00075FE1"/>
    <w:rsid w:val="00080BB6"/>
    <w:rsid w:val="0008765C"/>
    <w:rsid w:val="00093872"/>
    <w:rsid w:val="000950CF"/>
    <w:rsid w:val="00096937"/>
    <w:rsid w:val="00096A0C"/>
    <w:rsid w:val="000A0012"/>
    <w:rsid w:val="000A5E76"/>
    <w:rsid w:val="000A70E7"/>
    <w:rsid w:val="000B53F7"/>
    <w:rsid w:val="000B7279"/>
    <w:rsid w:val="000B7C19"/>
    <w:rsid w:val="000C54D2"/>
    <w:rsid w:val="000D23F4"/>
    <w:rsid w:val="000D2B56"/>
    <w:rsid w:val="000D51D2"/>
    <w:rsid w:val="000D5EBB"/>
    <w:rsid w:val="000E018C"/>
    <w:rsid w:val="000E2CE7"/>
    <w:rsid w:val="000F3CDF"/>
    <w:rsid w:val="000F4BFE"/>
    <w:rsid w:val="000F55ED"/>
    <w:rsid w:val="0010351A"/>
    <w:rsid w:val="00105EDA"/>
    <w:rsid w:val="00111561"/>
    <w:rsid w:val="00115E76"/>
    <w:rsid w:val="00117912"/>
    <w:rsid w:val="00121DD6"/>
    <w:rsid w:val="00125686"/>
    <w:rsid w:val="001260B2"/>
    <w:rsid w:val="00131BE2"/>
    <w:rsid w:val="001337FD"/>
    <w:rsid w:val="001342D1"/>
    <w:rsid w:val="001343CA"/>
    <w:rsid w:val="00134855"/>
    <w:rsid w:val="00142B5D"/>
    <w:rsid w:val="001433D0"/>
    <w:rsid w:val="00150E8D"/>
    <w:rsid w:val="00152A2C"/>
    <w:rsid w:val="0015376F"/>
    <w:rsid w:val="00160385"/>
    <w:rsid w:val="00162B53"/>
    <w:rsid w:val="00162F9F"/>
    <w:rsid w:val="00165E9C"/>
    <w:rsid w:val="00170F95"/>
    <w:rsid w:val="0017122A"/>
    <w:rsid w:val="001731D6"/>
    <w:rsid w:val="00176D8A"/>
    <w:rsid w:val="00177782"/>
    <w:rsid w:val="0017780B"/>
    <w:rsid w:val="001816A1"/>
    <w:rsid w:val="001825D0"/>
    <w:rsid w:val="00183725"/>
    <w:rsid w:val="00192EBF"/>
    <w:rsid w:val="00194AD4"/>
    <w:rsid w:val="001951B1"/>
    <w:rsid w:val="0019594E"/>
    <w:rsid w:val="001A20C6"/>
    <w:rsid w:val="001A3194"/>
    <w:rsid w:val="001A3425"/>
    <w:rsid w:val="001A761A"/>
    <w:rsid w:val="001B1915"/>
    <w:rsid w:val="001B4C49"/>
    <w:rsid w:val="001B5A36"/>
    <w:rsid w:val="001B60C1"/>
    <w:rsid w:val="001B67FA"/>
    <w:rsid w:val="001B70A3"/>
    <w:rsid w:val="001C336F"/>
    <w:rsid w:val="001C559C"/>
    <w:rsid w:val="001C60C3"/>
    <w:rsid w:val="001C666E"/>
    <w:rsid w:val="001D1343"/>
    <w:rsid w:val="001D233E"/>
    <w:rsid w:val="001D265B"/>
    <w:rsid w:val="001E05C4"/>
    <w:rsid w:val="001E0DD1"/>
    <w:rsid w:val="001E2B99"/>
    <w:rsid w:val="001E584A"/>
    <w:rsid w:val="001F03DB"/>
    <w:rsid w:val="001F2CF1"/>
    <w:rsid w:val="001F38EA"/>
    <w:rsid w:val="001F4E4F"/>
    <w:rsid w:val="001F7895"/>
    <w:rsid w:val="002019F7"/>
    <w:rsid w:val="002022AA"/>
    <w:rsid w:val="00203E1D"/>
    <w:rsid w:val="002040B3"/>
    <w:rsid w:val="00204E4D"/>
    <w:rsid w:val="00207D53"/>
    <w:rsid w:val="00211100"/>
    <w:rsid w:val="00215507"/>
    <w:rsid w:val="00216242"/>
    <w:rsid w:val="00216835"/>
    <w:rsid w:val="002179AE"/>
    <w:rsid w:val="00220353"/>
    <w:rsid w:val="00224D9B"/>
    <w:rsid w:val="0022682F"/>
    <w:rsid w:val="00231765"/>
    <w:rsid w:val="00231831"/>
    <w:rsid w:val="00231A96"/>
    <w:rsid w:val="0023372A"/>
    <w:rsid w:val="00234938"/>
    <w:rsid w:val="0023511A"/>
    <w:rsid w:val="0024035D"/>
    <w:rsid w:val="002431DE"/>
    <w:rsid w:val="00245402"/>
    <w:rsid w:val="00246C8A"/>
    <w:rsid w:val="00250314"/>
    <w:rsid w:val="00250B0D"/>
    <w:rsid w:val="002514A3"/>
    <w:rsid w:val="002536CD"/>
    <w:rsid w:val="00254689"/>
    <w:rsid w:val="0025468A"/>
    <w:rsid w:val="0025556F"/>
    <w:rsid w:val="00255853"/>
    <w:rsid w:val="00256E3D"/>
    <w:rsid w:val="00266C9B"/>
    <w:rsid w:val="00267F85"/>
    <w:rsid w:val="00270173"/>
    <w:rsid w:val="002724CB"/>
    <w:rsid w:val="00272D28"/>
    <w:rsid w:val="0027310B"/>
    <w:rsid w:val="00275148"/>
    <w:rsid w:val="00276D6A"/>
    <w:rsid w:val="002A01C8"/>
    <w:rsid w:val="002A09F9"/>
    <w:rsid w:val="002A1443"/>
    <w:rsid w:val="002A2461"/>
    <w:rsid w:val="002A6319"/>
    <w:rsid w:val="002A7AC2"/>
    <w:rsid w:val="002B5CB2"/>
    <w:rsid w:val="002B6544"/>
    <w:rsid w:val="002B743E"/>
    <w:rsid w:val="002C06FB"/>
    <w:rsid w:val="002C0C1F"/>
    <w:rsid w:val="002C2516"/>
    <w:rsid w:val="002C5551"/>
    <w:rsid w:val="002D2275"/>
    <w:rsid w:val="002D3B0B"/>
    <w:rsid w:val="002D51B3"/>
    <w:rsid w:val="002D5E36"/>
    <w:rsid w:val="002D7995"/>
    <w:rsid w:val="002E2618"/>
    <w:rsid w:val="002E4739"/>
    <w:rsid w:val="002E615C"/>
    <w:rsid w:val="002F0A1D"/>
    <w:rsid w:val="003032D0"/>
    <w:rsid w:val="00310804"/>
    <w:rsid w:val="00310C27"/>
    <w:rsid w:val="003110EE"/>
    <w:rsid w:val="00320BF0"/>
    <w:rsid w:val="00322D37"/>
    <w:rsid w:val="00324115"/>
    <w:rsid w:val="003259BA"/>
    <w:rsid w:val="00327E5E"/>
    <w:rsid w:val="00330B00"/>
    <w:rsid w:val="00332AE6"/>
    <w:rsid w:val="00341518"/>
    <w:rsid w:val="00343576"/>
    <w:rsid w:val="00344277"/>
    <w:rsid w:val="003469AA"/>
    <w:rsid w:val="00346FD0"/>
    <w:rsid w:val="00351065"/>
    <w:rsid w:val="00360A8D"/>
    <w:rsid w:val="00363399"/>
    <w:rsid w:val="00372FB5"/>
    <w:rsid w:val="00375D1C"/>
    <w:rsid w:val="00381C2C"/>
    <w:rsid w:val="00387639"/>
    <w:rsid w:val="003877B8"/>
    <w:rsid w:val="00387D1E"/>
    <w:rsid w:val="003909AD"/>
    <w:rsid w:val="00397725"/>
    <w:rsid w:val="003A60D1"/>
    <w:rsid w:val="003B03EF"/>
    <w:rsid w:val="003B5461"/>
    <w:rsid w:val="003C6F96"/>
    <w:rsid w:val="003C7D81"/>
    <w:rsid w:val="003D28D0"/>
    <w:rsid w:val="003E0C05"/>
    <w:rsid w:val="003E4284"/>
    <w:rsid w:val="003E44F7"/>
    <w:rsid w:val="003F1E55"/>
    <w:rsid w:val="003F3D7F"/>
    <w:rsid w:val="003F4213"/>
    <w:rsid w:val="003F604B"/>
    <w:rsid w:val="003F63B4"/>
    <w:rsid w:val="003F77CD"/>
    <w:rsid w:val="00400FB4"/>
    <w:rsid w:val="0040660B"/>
    <w:rsid w:val="004072DD"/>
    <w:rsid w:val="00407DF3"/>
    <w:rsid w:val="00416748"/>
    <w:rsid w:val="004213BA"/>
    <w:rsid w:val="004219FD"/>
    <w:rsid w:val="00427898"/>
    <w:rsid w:val="00427D6D"/>
    <w:rsid w:val="0043082A"/>
    <w:rsid w:val="00431FC1"/>
    <w:rsid w:val="004356B7"/>
    <w:rsid w:val="004369B8"/>
    <w:rsid w:val="00437808"/>
    <w:rsid w:val="00441F95"/>
    <w:rsid w:val="0044217E"/>
    <w:rsid w:val="00442E64"/>
    <w:rsid w:val="004431E2"/>
    <w:rsid w:val="004431E5"/>
    <w:rsid w:val="00446593"/>
    <w:rsid w:val="004525FC"/>
    <w:rsid w:val="00453474"/>
    <w:rsid w:val="0045621F"/>
    <w:rsid w:val="00456D22"/>
    <w:rsid w:val="00456E94"/>
    <w:rsid w:val="0046087E"/>
    <w:rsid w:val="00466770"/>
    <w:rsid w:val="004708CC"/>
    <w:rsid w:val="00471014"/>
    <w:rsid w:val="0047118B"/>
    <w:rsid w:val="0047170A"/>
    <w:rsid w:val="00476755"/>
    <w:rsid w:val="0049534B"/>
    <w:rsid w:val="0049547E"/>
    <w:rsid w:val="00497886"/>
    <w:rsid w:val="004A1D48"/>
    <w:rsid w:val="004A3EC1"/>
    <w:rsid w:val="004A6010"/>
    <w:rsid w:val="004B5EF0"/>
    <w:rsid w:val="004C05E9"/>
    <w:rsid w:val="004C1424"/>
    <w:rsid w:val="004C30E0"/>
    <w:rsid w:val="004C6DF3"/>
    <w:rsid w:val="004C75E7"/>
    <w:rsid w:val="004D0842"/>
    <w:rsid w:val="004D20A5"/>
    <w:rsid w:val="004D39BD"/>
    <w:rsid w:val="004D4D0F"/>
    <w:rsid w:val="004E0382"/>
    <w:rsid w:val="004E3264"/>
    <w:rsid w:val="004E59D6"/>
    <w:rsid w:val="004E66DD"/>
    <w:rsid w:val="004F2D27"/>
    <w:rsid w:val="004F42FB"/>
    <w:rsid w:val="004F43DC"/>
    <w:rsid w:val="004F4CEC"/>
    <w:rsid w:val="004F6A72"/>
    <w:rsid w:val="005000C3"/>
    <w:rsid w:val="00502450"/>
    <w:rsid w:val="00503725"/>
    <w:rsid w:val="00507CF1"/>
    <w:rsid w:val="00511294"/>
    <w:rsid w:val="0051461A"/>
    <w:rsid w:val="00515F07"/>
    <w:rsid w:val="0051630B"/>
    <w:rsid w:val="005168B9"/>
    <w:rsid w:val="00522FBA"/>
    <w:rsid w:val="00526430"/>
    <w:rsid w:val="00530EEA"/>
    <w:rsid w:val="005340AC"/>
    <w:rsid w:val="00542A54"/>
    <w:rsid w:val="00552609"/>
    <w:rsid w:val="005554B8"/>
    <w:rsid w:val="00556E81"/>
    <w:rsid w:val="00561A35"/>
    <w:rsid w:val="005656C5"/>
    <w:rsid w:val="00565E19"/>
    <w:rsid w:val="0057082A"/>
    <w:rsid w:val="00571452"/>
    <w:rsid w:val="00573AF3"/>
    <w:rsid w:val="00576609"/>
    <w:rsid w:val="00576EB9"/>
    <w:rsid w:val="005777B3"/>
    <w:rsid w:val="00577D03"/>
    <w:rsid w:val="00584E29"/>
    <w:rsid w:val="005A03BD"/>
    <w:rsid w:val="005A259F"/>
    <w:rsid w:val="005A29DD"/>
    <w:rsid w:val="005A7280"/>
    <w:rsid w:val="005B10CB"/>
    <w:rsid w:val="005B4AE5"/>
    <w:rsid w:val="005B728F"/>
    <w:rsid w:val="005B7A48"/>
    <w:rsid w:val="005C02EE"/>
    <w:rsid w:val="005C1E24"/>
    <w:rsid w:val="005C21D6"/>
    <w:rsid w:val="005D1A3E"/>
    <w:rsid w:val="005D3B6D"/>
    <w:rsid w:val="005D65E4"/>
    <w:rsid w:val="005D775A"/>
    <w:rsid w:val="005E0CA5"/>
    <w:rsid w:val="005E14FE"/>
    <w:rsid w:val="005E214F"/>
    <w:rsid w:val="005E54D3"/>
    <w:rsid w:val="005F1974"/>
    <w:rsid w:val="005F3ADB"/>
    <w:rsid w:val="005F4610"/>
    <w:rsid w:val="005F61B2"/>
    <w:rsid w:val="006050DC"/>
    <w:rsid w:val="0060647B"/>
    <w:rsid w:val="00606777"/>
    <w:rsid w:val="00607258"/>
    <w:rsid w:val="006109B9"/>
    <w:rsid w:val="00611B31"/>
    <w:rsid w:val="0061521C"/>
    <w:rsid w:val="00617D49"/>
    <w:rsid w:val="00620B63"/>
    <w:rsid w:val="00621184"/>
    <w:rsid w:val="00622196"/>
    <w:rsid w:val="006223C6"/>
    <w:rsid w:val="00622E3D"/>
    <w:rsid w:val="0062484D"/>
    <w:rsid w:val="0062569F"/>
    <w:rsid w:val="0063069A"/>
    <w:rsid w:val="00630762"/>
    <w:rsid w:val="00630867"/>
    <w:rsid w:val="006404EC"/>
    <w:rsid w:val="00642A2B"/>
    <w:rsid w:val="006436CB"/>
    <w:rsid w:val="00652B91"/>
    <w:rsid w:val="0065485B"/>
    <w:rsid w:val="00654F0F"/>
    <w:rsid w:val="006554CC"/>
    <w:rsid w:val="00656751"/>
    <w:rsid w:val="0066025E"/>
    <w:rsid w:val="006630FC"/>
    <w:rsid w:val="0066697D"/>
    <w:rsid w:val="00666FAF"/>
    <w:rsid w:val="00671753"/>
    <w:rsid w:val="006734B5"/>
    <w:rsid w:val="0067565B"/>
    <w:rsid w:val="00676980"/>
    <w:rsid w:val="00677ED5"/>
    <w:rsid w:val="00684FA9"/>
    <w:rsid w:val="0069035A"/>
    <w:rsid w:val="00691AF0"/>
    <w:rsid w:val="006927B7"/>
    <w:rsid w:val="006934B2"/>
    <w:rsid w:val="00694F0E"/>
    <w:rsid w:val="00697F6F"/>
    <w:rsid w:val="006A26AA"/>
    <w:rsid w:val="006A4987"/>
    <w:rsid w:val="006A533A"/>
    <w:rsid w:val="006B0386"/>
    <w:rsid w:val="006B1C75"/>
    <w:rsid w:val="006B4F91"/>
    <w:rsid w:val="006B5A57"/>
    <w:rsid w:val="006B6EAD"/>
    <w:rsid w:val="006B75E7"/>
    <w:rsid w:val="006C01A1"/>
    <w:rsid w:val="006C0BD1"/>
    <w:rsid w:val="006C11FF"/>
    <w:rsid w:val="006C3BCC"/>
    <w:rsid w:val="006D2217"/>
    <w:rsid w:val="006D2EE4"/>
    <w:rsid w:val="006D70D3"/>
    <w:rsid w:val="006E2802"/>
    <w:rsid w:val="006E55FC"/>
    <w:rsid w:val="006F3AE0"/>
    <w:rsid w:val="00700562"/>
    <w:rsid w:val="007051C2"/>
    <w:rsid w:val="00705CD9"/>
    <w:rsid w:val="00705ED6"/>
    <w:rsid w:val="0071226F"/>
    <w:rsid w:val="00712518"/>
    <w:rsid w:val="00712E4F"/>
    <w:rsid w:val="00714E4C"/>
    <w:rsid w:val="00715031"/>
    <w:rsid w:val="0071516D"/>
    <w:rsid w:val="007201DB"/>
    <w:rsid w:val="007209E4"/>
    <w:rsid w:val="00724525"/>
    <w:rsid w:val="00730B8E"/>
    <w:rsid w:val="00730BB8"/>
    <w:rsid w:val="00734F23"/>
    <w:rsid w:val="0073516F"/>
    <w:rsid w:val="00735C4E"/>
    <w:rsid w:val="00742218"/>
    <w:rsid w:val="0074262A"/>
    <w:rsid w:val="0074403A"/>
    <w:rsid w:val="00746EEE"/>
    <w:rsid w:val="00747156"/>
    <w:rsid w:val="0075084A"/>
    <w:rsid w:val="00751C8C"/>
    <w:rsid w:val="00752EA8"/>
    <w:rsid w:val="007541EF"/>
    <w:rsid w:val="00756F7D"/>
    <w:rsid w:val="007608D6"/>
    <w:rsid w:val="0076176D"/>
    <w:rsid w:val="00765B0D"/>
    <w:rsid w:val="00767CF6"/>
    <w:rsid w:val="00770E53"/>
    <w:rsid w:val="007762C4"/>
    <w:rsid w:val="00776F1A"/>
    <w:rsid w:val="007807A0"/>
    <w:rsid w:val="00780DCB"/>
    <w:rsid w:val="0078106A"/>
    <w:rsid w:val="007819C0"/>
    <w:rsid w:val="00781D74"/>
    <w:rsid w:val="00785AC4"/>
    <w:rsid w:val="00785E1F"/>
    <w:rsid w:val="00786346"/>
    <w:rsid w:val="0078673B"/>
    <w:rsid w:val="00797EC2"/>
    <w:rsid w:val="007A063C"/>
    <w:rsid w:val="007A6C0E"/>
    <w:rsid w:val="007C0F39"/>
    <w:rsid w:val="007C1F46"/>
    <w:rsid w:val="007C3E4D"/>
    <w:rsid w:val="007C487E"/>
    <w:rsid w:val="007D078B"/>
    <w:rsid w:val="007E358E"/>
    <w:rsid w:val="007E7426"/>
    <w:rsid w:val="007F1873"/>
    <w:rsid w:val="007F1E8B"/>
    <w:rsid w:val="007F2718"/>
    <w:rsid w:val="007F27F3"/>
    <w:rsid w:val="007F629A"/>
    <w:rsid w:val="007F6569"/>
    <w:rsid w:val="00801AD2"/>
    <w:rsid w:val="00802B8E"/>
    <w:rsid w:val="00810339"/>
    <w:rsid w:val="00811F82"/>
    <w:rsid w:val="008123D8"/>
    <w:rsid w:val="0081416D"/>
    <w:rsid w:val="00817D75"/>
    <w:rsid w:val="00820430"/>
    <w:rsid w:val="00822350"/>
    <w:rsid w:val="008226B7"/>
    <w:rsid w:val="00824EA4"/>
    <w:rsid w:val="00827A38"/>
    <w:rsid w:val="00831B37"/>
    <w:rsid w:val="00834D66"/>
    <w:rsid w:val="00836EB7"/>
    <w:rsid w:val="00841488"/>
    <w:rsid w:val="0084234D"/>
    <w:rsid w:val="008430BA"/>
    <w:rsid w:val="00845373"/>
    <w:rsid w:val="00847E28"/>
    <w:rsid w:val="00850A54"/>
    <w:rsid w:val="00852C4F"/>
    <w:rsid w:val="0085537E"/>
    <w:rsid w:val="00856D40"/>
    <w:rsid w:val="00856E53"/>
    <w:rsid w:val="0086289A"/>
    <w:rsid w:val="008640FA"/>
    <w:rsid w:val="00872792"/>
    <w:rsid w:val="0087290A"/>
    <w:rsid w:val="0087391D"/>
    <w:rsid w:val="008746F2"/>
    <w:rsid w:val="00877321"/>
    <w:rsid w:val="00880868"/>
    <w:rsid w:val="00880F20"/>
    <w:rsid w:val="0088160A"/>
    <w:rsid w:val="008839D0"/>
    <w:rsid w:val="008857D1"/>
    <w:rsid w:val="00887A56"/>
    <w:rsid w:val="008919BF"/>
    <w:rsid w:val="0089491D"/>
    <w:rsid w:val="008A2162"/>
    <w:rsid w:val="008A3A9E"/>
    <w:rsid w:val="008A4B37"/>
    <w:rsid w:val="008A5530"/>
    <w:rsid w:val="008A7983"/>
    <w:rsid w:val="008B7AFE"/>
    <w:rsid w:val="008C01AC"/>
    <w:rsid w:val="008C5440"/>
    <w:rsid w:val="008C66D7"/>
    <w:rsid w:val="008C7876"/>
    <w:rsid w:val="008D0394"/>
    <w:rsid w:val="008D071F"/>
    <w:rsid w:val="008D330B"/>
    <w:rsid w:val="008D3A99"/>
    <w:rsid w:val="008D51B1"/>
    <w:rsid w:val="008D5DAF"/>
    <w:rsid w:val="008D6FC5"/>
    <w:rsid w:val="008D7AF7"/>
    <w:rsid w:val="008E0598"/>
    <w:rsid w:val="009008EF"/>
    <w:rsid w:val="009009A2"/>
    <w:rsid w:val="00902609"/>
    <w:rsid w:val="00902DE6"/>
    <w:rsid w:val="009074DC"/>
    <w:rsid w:val="00911288"/>
    <w:rsid w:val="00911409"/>
    <w:rsid w:val="00912EF5"/>
    <w:rsid w:val="00920908"/>
    <w:rsid w:val="00921926"/>
    <w:rsid w:val="00922A78"/>
    <w:rsid w:val="00923794"/>
    <w:rsid w:val="0092465B"/>
    <w:rsid w:val="00925BFB"/>
    <w:rsid w:val="00927B71"/>
    <w:rsid w:val="00930645"/>
    <w:rsid w:val="00930B70"/>
    <w:rsid w:val="00931FFD"/>
    <w:rsid w:val="00932A58"/>
    <w:rsid w:val="00932C1D"/>
    <w:rsid w:val="00933270"/>
    <w:rsid w:val="00933C96"/>
    <w:rsid w:val="009349D6"/>
    <w:rsid w:val="009402E7"/>
    <w:rsid w:val="00941561"/>
    <w:rsid w:val="00941F1D"/>
    <w:rsid w:val="009450C9"/>
    <w:rsid w:val="00945591"/>
    <w:rsid w:val="00950D97"/>
    <w:rsid w:val="00951245"/>
    <w:rsid w:val="0095451D"/>
    <w:rsid w:val="00954948"/>
    <w:rsid w:val="00956445"/>
    <w:rsid w:val="009571C4"/>
    <w:rsid w:val="009628B3"/>
    <w:rsid w:val="00963118"/>
    <w:rsid w:val="00963820"/>
    <w:rsid w:val="00966BEB"/>
    <w:rsid w:val="0096744A"/>
    <w:rsid w:val="00973416"/>
    <w:rsid w:val="00976A02"/>
    <w:rsid w:val="009827CA"/>
    <w:rsid w:val="00985AB8"/>
    <w:rsid w:val="0099025C"/>
    <w:rsid w:val="00997093"/>
    <w:rsid w:val="009977CF"/>
    <w:rsid w:val="00997A6B"/>
    <w:rsid w:val="009A2519"/>
    <w:rsid w:val="009A2CA5"/>
    <w:rsid w:val="009A41E1"/>
    <w:rsid w:val="009A5772"/>
    <w:rsid w:val="009A7DB7"/>
    <w:rsid w:val="009B3FB1"/>
    <w:rsid w:val="009B51EB"/>
    <w:rsid w:val="009C067A"/>
    <w:rsid w:val="009C24CA"/>
    <w:rsid w:val="009C3360"/>
    <w:rsid w:val="009C3EC0"/>
    <w:rsid w:val="009C50F3"/>
    <w:rsid w:val="009C7D8B"/>
    <w:rsid w:val="009D2922"/>
    <w:rsid w:val="009D5029"/>
    <w:rsid w:val="009D55D6"/>
    <w:rsid w:val="009D5901"/>
    <w:rsid w:val="009D5E10"/>
    <w:rsid w:val="009D6B5D"/>
    <w:rsid w:val="009E2615"/>
    <w:rsid w:val="009E42C4"/>
    <w:rsid w:val="009E561B"/>
    <w:rsid w:val="009F11B4"/>
    <w:rsid w:val="009F23B5"/>
    <w:rsid w:val="009F41C8"/>
    <w:rsid w:val="009F4B5B"/>
    <w:rsid w:val="009F5BF3"/>
    <w:rsid w:val="009F73F2"/>
    <w:rsid w:val="00A05383"/>
    <w:rsid w:val="00A0539E"/>
    <w:rsid w:val="00A06AF3"/>
    <w:rsid w:val="00A06E79"/>
    <w:rsid w:val="00A10AA6"/>
    <w:rsid w:val="00A10B80"/>
    <w:rsid w:val="00A11797"/>
    <w:rsid w:val="00A153D9"/>
    <w:rsid w:val="00A21D49"/>
    <w:rsid w:val="00A251F1"/>
    <w:rsid w:val="00A269D5"/>
    <w:rsid w:val="00A33D32"/>
    <w:rsid w:val="00A35037"/>
    <w:rsid w:val="00A3685A"/>
    <w:rsid w:val="00A42334"/>
    <w:rsid w:val="00A428D9"/>
    <w:rsid w:val="00A4342D"/>
    <w:rsid w:val="00A4663C"/>
    <w:rsid w:val="00A523EB"/>
    <w:rsid w:val="00A61B34"/>
    <w:rsid w:val="00A63D5D"/>
    <w:rsid w:val="00A64CBC"/>
    <w:rsid w:val="00A6731D"/>
    <w:rsid w:val="00A72C82"/>
    <w:rsid w:val="00A73899"/>
    <w:rsid w:val="00A80C1E"/>
    <w:rsid w:val="00A84D41"/>
    <w:rsid w:val="00A866FA"/>
    <w:rsid w:val="00A87194"/>
    <w:rsid w:val="00A909AC"/>
    <w:rsid w:val="00A91961"/>
    <w:rsid w:val="00A9668F"/>
    <w:rsid w:val="00A9795F"/>
    <w:rsid w:val="00AA2425"/>
    <w:rsid w:val="00AA3A09"/>
    <w:rsid w:val="00AB3FE4"/>
    <w:rsid w:val="00AC141E"/>
    <w:rsid w:val="00AC4384"/>
    <w:rsid w:val="00AC5635"/>
    <w:rsid w:val="00AC664D"/>
    <w:rsid w:val="00AE06A0"/>
    <w:rsid w:val="00AE4FD0"/>
    <w:rsid w:val="00AE5026"/>
    <w:rsid w:val="00AE5B6A"/>
    <w:rsid w:val="00AE6C9D"/>
    <w:rsid w:val="00AF0AA2"/>
    <w:rsid w:val="00AF25D2"/>
    <w:rsid w:val="00AF2A97"/>
    <w:rsid w:val="00AF2CB0"/>
    <w:rsid w:val="00AF4AEB"/>
    <w:rsid w:val="00AF7A0E"/>
    <w:rsid w:val="00AF7F4C"/>
    <w:rsid w:val="00B06731"/>
    <w:rsid w:val="00B14D68"/>
    <w:rsid w:val="00B2002A"/>
    <w:rsid w:val="00B231E7"/>
    <w:rsid w:val="00B32636"/>
    <w:rsid w:val="00B34BA1"/>
    <w:rsid w:val="00B34E97"/>
    <w:rsid w:val="00B541A0"/>
    <w:rsid w:val="00B64BF8"/>
    <w:rsid w:val="00B64DB8"/>
    <w:rsid w:val="00B72417"/>
    <w:rsid w:val="00B837A3"/>
    <w:rsid w:val="00B8447E"/>
    <w:rsid w:val="00B862E8"/>
    <w:rsid w:val="00B90870"/>
    <w:rsid w:val="00B91CA3"/>
    <w:rsid w:val="00B94BE7"/>
    <w:rsid w:val="00BA2396"/>
    <w:rsid w:val="00BA5A4F"/>
    <w:rsid w:val="00BB4A76"/>
    <w:rsid w:val="00BB55C0"/>
    <w:rsid w:val="00BB79B7"/>
    <w:rsid w:val="00BD1FEB"/>
    <w:rsid w:val="00BD28C2"/>
    <w:rsid w:val="00BD6C5C"/>
    <w:rsid w:val="00BE0139"/>
    <w:rsid w:val="00BE3A56"/>
    <w:rsid w:val="00BE430D"/>
    <w:rsid w:val="00BF0C5D"/>
    <w:rsid w:val="00BF0E33"/>
    <w:rsid w:val="00BF7E45"/>
    <w:rsid w:val="00C05C32"/>
    <w:rsid w:val="00C11AC6"/>
    <w:rsid w:val="00C14ABA"/>
    <w:rsid w:val="00C1608A"/>
    <w:rsid w:val="00C26AB6"/>
    <w:rsid w:val="00C302D8"/>
    <w:rsid w:val="00C30B62"/>
    <w:rsid w:val="00C30B80"/>
    <w:rsid w:val="00C33DED"/>
    <w:rsid w:val="00C34B5D"/>
    <w:rsid w:val="00C4077C"/>
    <w:rsid w:val="00C42FC8"/>
    <w:rsid w:val="00C45A91"/>
    <w:rsid w:val="00C477B8"/>
    <w:rsid w:val="00C55322"/>
    <w:rsid w:val="00C56667"/>
    <w:rsid w:val="00C63FEC"/>
    <w:rsid w:val="00C6405D"/>
    <w:rsid w:val="00C64AF8"/>
    <w:rsid w:val="00C65457"/>
    <w:rsid w:val="00C71387"/>
    <w:rsid w:val="00C771C5"/>
    <w:rsid w:val="00C86F46"/>
    <w:rsid w:val="00C9227E"/>
    <w:rsid w:val="00C931E3"/>
    <w:rsid w:val="00CA18F5"/>
    <w:rsid w:val="00CA3606"/>
    <w:rsid w:val="00CA3B89"/>
    <w:rsid w:val="00CB0542"/>
    <w:rsid w:val="00CB6409"/>
    <w:rsid w:val="00CB6FF9"/>
    <w:rsid w:val="00CC4F9A"/>
    <w:rsid w:val="00CD14AD"/>
    <w:rsid w:val="00CD3173"/>
    <w:rsid w:val="00CD344F"/>
    <w:rsid w:val="00CD3C6B"/>
    <w:rsid w:val="00CD6F93"/>
    <w:rsid w:val="00CE37E2"/>
    <w:rsid w:val="00CE6B73"/>
    <w:rsid w:val="00CE6BE1"/>
    <w:rsid w:val="00CF130B"/>
    <w:rsid w:val="00CF361C"/>
    <w:rsid w:val="00CF6359"/>
    <w:rsid w:val="00D02083"/>
    <w:rsid w:val="00D027B4"/>
    <w:rsid w:val="00D062C5"/>
    <w:rsid w:val="00D1543D"/>
    <w:rsid w:val="00D22944"/>
    <w:rsid w:val="00D25723"/>
    <w:rsid w:val="00D266F0"/>
    <w:rsid w:val="00D31CE0"/>
    <w:rsid w:val="00D32892"/>
    <w:rsid w:val="00D340DA"/>
    <w:rsid w:val="00D34CBC"/>
    <w:rsid w:val="00D3621D"/>
    <w:rsid w:val="00D36AAD"/>
    <w:rsid w:val="00D36C74"/>
    <w:rsid w:val="00D378BE"/>
    <w:rsid w:val="00D41D5A"/>
    <w:rsid w:val="00D43571"/>
    <w:rsid w:val="00D50ADE"/>
    <w:rsid w:val="00D51161"/>
    <w:rsid w:val="00D538D9"/>
    <w:rsid w:val="00D5703E"/>
    <w:rsid w:val="00D60F26"/>
    <w:rsid w:val="00D64213"/>
    <w:rsid w:val="00D64ABB"/>
    <w:rsid w:val="00D715A6"/>
    <w:rsid w:val="00D71D04"/>
    <w:rsid w:val="00D75C2D"/>
    <w:rsid w:val="00D76CAC"/>
    <w:rsid w:val="00D82FCA"/>
    <w:rsid w:val="00D83A21"/>
    <w:rsid w:val="00D84BDA"/>
    <w:rsid w:val="00D90F9C"/>
    <w:rsid w:val="00D921E0"/>
    <w:rsid w:val="00D932D2"/>
    <w:rsid w:val="00D9496E"/>
    <w:rsid w:val="00DA0017"/>
    <w:rsid w:val="00DB0F44"/>
    <w:rsid w:val="00DC766D"/>
    <w:rsid w:val="00DD0DC0"/>
    <w:rsid w:val="00DD42CA"/>
    <w:rsid w:val="00DD47CA"/>
    <w:rsid w:val="00DD56FC"/>
    <w:rsid w:val="00DD5914"/>
    <w:rsid w:val="00DD6269"/>
    <w:rsid w:val="00DD69C3"/>
    <w:rsid w:val="00DD788B"/>
    <w:rsid w:val="00DD7D91"/>
    <w:rsid w:val="00DE16A0"/>
    <w:rsid w:val="00DE23AD"/>
    <w:rsid w:val="00DE5A92"/>
    <w:rsid w:val="00DE67FA"/>
    <w:rsid w:val="00DF062C"/>
    <w:rsid w:val="00DF0789"/>
    <w:rsid w:val="00DF1B2D"/>
    <w:rsid w:val="00DF5699"/>
    <w:rsid w:val="00DF7F11"/>
    <w:rsid w:val="00E02936"/>
    <w:rsid w:val="00E054F7"/>
    <w:rsid w:val="00E05B9E"/>
    <w:rsid w:val="00E11102"/>
    <w:rsid w:val="00E12998"/>
    <w:rsid w:val="00E155F7"/>
    <w:rsid w:val="00E16E81"/>
    <w:rsid w:val="00E178B3"/>
    <w:rsid w:val="00E229EB"/>
    <w:rsid w:val="00E2738E"/>
    <w:rsid w:val="00E30364"/>
    <w:rsid w:val="00E33CB7"/>
    <w:rsid w:val="00E351BE"/>
    <w:rsid w:val="00E35B93"/>
    <w:rsid w:val="00E35C14"/>
    <w:rsid w:val="00E40C09"/>
    <w:rsid w:val="00E4128F"/>
    <w:rsid w:val="00E41AF9"/>
    <w:rsid w:val="00E41BE3"/>
    <w:rsid w:val="00E42590"/>
    <w:rsid w:val="00E445B9"/>
    <w:rsid w:val="00E46329"/>
    <w:rsid w:val="00E51208"/>
    <w:rsid w:val="00E5466D"/>
    <w:rsid w:val="00E54A93"/>
    <w:rsid w:val="00E57509"/>
    <w:rsid w:val="00E60017"/>
    <w:rsid w:val="00E62672"/>
    <w:rsid w:val="00E66A85"/>
    <w:rsid w:val="00E6739C"/>
    <w:rsid w:val="00E7115D"/>
    <w:rsid w:val="00E714CA"/>
    <w:rsid w:val="00E71893"/>
    <w:rsid w:val="00E75E9B"/>
    <w:rsid w:val="00E80DB4"/>
    <w:rsid w:val="00E83437"/>
    <w:rsid w:val="00E85089"/>
    <w:rsid w:val="00E86526"/>
    <w:rsid w:val="00E92E48"/>
    <w:rsid w:val="00E9398E"/>
    <w:rsid w:val="00E94D61"/>
    <w:rsid w:val="00E954C4"/>
    <w:rsid w:val="00EA4865"/>
    <w:rsid w:val="00EA7B85"/>
    <w:rsid w:val="00EB1D6D"/>
    <w:rsid w:val="00EB3209"/>
    <w:rsid w:val="00EB3374"/>
    <w:rsid w:val="00EB432D"/>
    <w:rsid w:val="00EB696F"/>
    <w:rsid w:val="00EC1932"/>
    <w:rsid w:val="00EC3A2F"/>
    <w:rsid w:val="00EC7DD0"/>
    <w:rsid w:val="00ED058A"/>
    <w:rsid w:val="00ED3A87"/>
    <w:rsid w:val="00ED6C65"/>
    <w:rsid w:val="00ED7134"/>
    <w:rsid w:val="00EE15A5"/>
    <w:rsid w:val="00EE2359"/>
    <w:rsid w:val="00EE4C60"/>
    <w:rsid w:val="00EF15DB"/>
    <w:rsid w:val="00EF1ABC"/>
    <w:rsid w:val="00EF7A1E"/>
    <w:rsid w:val="00F05233"/>
    <w:rsid w:val="00F077FB"/>
    <w:rsid w:val="00F1139E"/>
    <w:rsid w:val="00F1237B"/>
    <w:rsid w:val="00F12B71"/>
    <w:rsid w:val="00F13362"/>
    <w:rsid w:val="00F14CA4"/>
    <w:rsid w:val="00F14E8B"/>
    <w:rsid w:val="00F15BDF"/>
    <w:rsid w:val="00F20640"/>
    <w:rsid w:val="00F2094A"/>
    <w:rsid w:val="00F2194F"/>
    <w:rsid w:val="00F30880"/>
    <w:rsid w:val="00F34AAE"/>
    <w:rsid w:val="00F34C8C"/>
    <w:rsid w:val="00F3508D"/>
    <w:rsid w:val="00F35B6C"/>
    <w:rsid w:val="00F37A71"/>
    <w:rsid w:val="00F40A99"/>
    <w:rsid w:val="00F41179"/>
    <w:rsid w:val="00F53FE9"/>
    <w:rsid w:val="00F56760"/>
    <w:rsid w:val="00F5680C"/>
    <w:rsid w:val="00F57257"/>
    <w:rsid w:val="00F62FE3"/>
    <w:rsid w:val="00F71E24"/>
    <w:rsid w:val="00F73494"/>
    <w:rsid w:val="00F73FB2"/>
    <w:rsid w:val="00F801BF"/>
    <w:rsid w:val="00F8251D"/>
    <w:rsid w:val="00F82826"/>
    <w:rsid w:val="00F85377"/>
    <w:rsid w:val="00F8610A"/>
    <w:rsid w:val="00F90C3F"/>
    <w:rsid w:val="00F92321"/>
    <w:rsid w:val="00F95612"/>
    <w:rsid w:val="00F95964"/>
    <w:rsid w:val="00F96981"/>
    <w:rsid w:val="00FA004B"/>
    <w:rsid w:val="00FA1A3B"/>
    <w:rsid w:val="00FA67E1"/>
    <w:rsid w:val="00FA6CDB"/>
    <w:rsid w:val="00FB277C"/>
    <w:rsid w:val="00FB64C5"/>
    <w:rsid w:val="00FB6633"/>
    <w:rsid w:val="00FC5AC5"/>
    <w:rsid w:val="00FD259C"/>
    <w:rsid w:val="00FD2C61"/>
    <w:rsid w:val="00FD4DF6"/>
    <w:rsid w:val="00FE0D94"/>
    <w:rsid w:val="00FE1DCD"/>
    <w:rsid w:val="00FE4DCF"/>
    <w:rsid w:val="00FF042F"/>
    <w:rsid w:val="00FF4412"/>
    <w:rsid w:val="00FF63E6"/>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paragraph" w:customStyle="1" w:styleId="list1">
    <w:name w:val="list1"/>
    <w:basedOn w:val="Normal"/>
    <w:uiPriority w:val="99"/>
    <w:qFormat/>
    <w:rsid w:val="009E42C4"/>
    <w:pPr>
      <w:tabs>
        <w:tab w:val="num" w:pos="1080"/>
      </w:tabs>
      <w:ind w:left="1080" w:hanging="360"/>
    </w:pPr>
    <w:rPr>
      <w:i/>
      <w:szCs w:val="22"/>
    </w:rPr>
  </w:style>
  <w:style w:type="paragraph" w:customStyle="1" w:styleId="list1explanation">
    <w:name w:val="list1explanation"/>
    <w:basedOn w:val="Normal"/>
    <w:autoRedefine/>
    <w:qFormat/>
    <w:rsid w:val="009E42C4"/>
  </w:style>
  <w:style w:type="paragraph" w:customStyle="1" w:styleId="Policyexplanation">
    <w:name w:val="Policy explanation"/>
    <w:basedOn w:val="Normal"/>
    <w:autoRedefine/>
    <w:qFormat/>
    <w:rsid w:val="00565E19"/>
    <w:pPr>
      <w:ind w:left="720"/>
    </w:pPr>
    <w:rPr>
      <w:rFonts w:ascii="Arial" w:eastAsiaTheme="minorHAnsi" w:hAnsi="Arial" w:cstheme="minorBidi"/>
      <w:sz w:val="22"/>
      <w:szCs w:val="22"/>
    </w:rPr>
  </w:style>
  <w:style w:type="paragraph" w:styleId="EndnoteText">
    <w:name w:val="endnote text"/>
    <w:basedOn w:val="Normal"/>
    <w:link w:val="EndnoteTextChar"/>
    <w:uiPriority w:val="99"/>
    <w:semiHidden/>
    <w:unhideWhenUsed/>
    <w:rsid w:val="001825D0"/>
    <w:rPr>
      <w:sz w:val="20"/>
      <w:szCs w:val="20"/>
    </w:rPr>
  </w:style>
  <w:style w:type="character" w:customStyle="1" w:styleId="EndnoteTextChar">
    <w:name w:val="Endnote Text Char"/>
    <w:basedOn w:val="DefaultParagraphFont"/>
    <w:link w:val="EndnoteText"/>
    <w:uiPriority w:val="99"/>
    <w:semiHidden/>
    <w:rsid w:val="001825D0"/>
  </w:style>
  <w:style w:type="character" w:styleId="EndnoteReference">
    <w:name w:val="endnote reference"/>
    <w:basedOn w:val="DefaultParagraphFont"/>
    <w:uiPriority w:val="99"/>
    <w:semiHidden/>
    <w:unhideWhenUsed/>
    <w:rsid w:val="001825D0"/>
    <w:rPr>
      <w:vertAlign w:val="superscript"/>
    </w:rPr>
  </w:style>
  <w:style w:type="paragraph" w:styleId="Caption">
    <w:name w:val="caption"/>
    <w:basedOn w:val="Normal"/>
    <w:next w:val="Normal"/>
    <w:autoRedefine/>
    <w:uiPriority w:val="35"/>
    <w:qFormat/>
    <w:rsid w:val="00DE67FA"/>
    <w:pPr>
      <w:keepNext/>
      <w:jc w:val="center"/>
    </w:pPr>
    <w:rPr>
      <w:rFonts w:ascii="Arial" w:eastAsiaTheme="minorHAnsi" w:hAnsi="Arial" w:cstheme="minorBidi"/>
      <w:b/>
      <w:bCs/>
      <w:color w:val="000000" w:themeColor="text1"/>
      <w:sz w:val="20"/>
      <w:szCs w:val="20"/>
    </w:rPr>
  </w:style>
  <w:style w:type="table" w:styleId="LightList-Accent1">
    <w:name w:val="Light List Accent 1"/>
    <w:basedOn w:val="TableNormal"/>
    <w:uiPriority w:val="61"/>
    <w:rsid w:val="00DE67FA"/>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9F23B5"/>
    <w:rPr>
      <w:color w:val="0000FF" w:themeColor="hyperlink"/>
      <w:u w:val="single"/>
    </w:rPr>
  </w:style>
  <w:style w:type="character" w:styleId="FollowedHyperlink">
    <w:name w:val="FollowedHyperlink"/>
    <w:basedOn w:val="DefaultParagraphFont"/>
    <w:uiPriority w:val="99"/>
    <w:semiHidden/>
    <w:unhideWhenUsed/>
    <w:rsid w:val="009F23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paragraph" w:customStyle="1" w:styleId="list1">
    <w:name w:val="list1"/>
    <w:basedOn w:val="Normal"/>
    <w:uiPriority w:val="99"/>
    <w:qFormat/>
    <w:rsid w:val="009E42C4"/>
    <w:pPr>
      <w:tabs>
        <w:tab w:val="num" w:pos="1080"/>
      </w:tabs>
      <w:ind w:left="1080" w:hanging="360"/>
    </w:pPr>
    <w:rPr>
      <w:i/>
      <w:szCs w:val="22"/>
    </w:rPr>
  </w:style>
  <w:style w:type="paragraph" w:customStyle="1" w:styleId="list1explanation">
    <w:name w:val="list1explanation"/>
    <w:basedOn w:val="Normal"/>
    <w:autoRedefine/>
    <w:qFormat/>
    <w:rsid w:val="009E42C4"/>
  </w:style>
  <w:style w:type="paragraph" w:customStyle="1" w:styleId="Policyexplanation">
    <w:name w:val="Policy explanation"/>
    <w:basedOn w:val="Normal"/>
    <w:autoRedefine/>
    <w:qFormat/>
    <w:rsid w:val="00565E19"/>
    <w:pPr>
      <w:ind w:left="720"/>
    </w:pPr>
    <w:rPr>
      <w:rFonts w:ascii="Arial" w:eastAsiaTheme="minorHAnsi" w:hAnsi="Arial" w:cstheme="minorBidi"/>
      <w:sz w:val="22"/>
      <w:szCs w:val="22"/>
    </w:rPr>
  </w:style>
  <w:style w:type="paragraph" w:styleId="EndnoteText">
    <w:name w:val="endnote text"/>
    <w:basedOn w:val="Normal"/>
    <w:link w:val="EndnoteTextChar"/>
    <w:uiPriority w:val="99"/>
    <w:semiHidden/>
    <w:unhideWhenUsed/>
    <w:rsid w:val="001825D0"/>
    <w:rPr>
      <w:sz w:val="20"/>
      <w:szCs w:val="20"/>
    </w:rPr>
  </w:style>
  <w:style w:type="character" w:customStyle="1" w:styleId="EndnoteTextChar">
    <w:name w:val="Endnote Text Char"/>
    <w:basedOn w:val="DefaultParagraphFont"/>
    <w:link w:val="EndnoteText"/>
    <w:uiPriority w:val="99"/>
    <w:semiHidden/>
    <w:rsid w:val="001825D0"/>
  </w:style>
  <w:style w:type="character" w:styleId="EndnoteReference">
    <w:name w:val="endnote reference"/>
    <w:basedOn w:val="DefaultParagraphFont"/>
    <w:uiPriority w:val="99"/>
    <w:semiHidden/>
    <w:unhideWhenUsed/>
    <w:rsid w:val="001825D0"/>
    <w:rPr>
      <w:vertAlign w:val="superscript"/>
    </w:rPr>
  </w:style>
  <w:style w:type="paragraph" w:styleId="Caption">
    <w:name w:val="caption"/>
    <w:basedOn w:val="Normal"/>
    <w:next w:val="Normal"/>
    <w:autoRedefine/>
    <w:uiPriority w:val="35"/>
    <w:qFormat/>
    <w:rsid w:val="00DE67FA"/>
    <w:pPr>
      <w:keepNext/>
      <w:jc w:val="center"/>
    </w:pPr>
    <w:rPr>
      <w:rFonts w:ascii="Arial" w:eastAsiaTheme="minorHAnsi" w:hAnsi="Arial" w:cstheme="minorBidi"/>
      <w:b/>
      <w:bCs/>
      <w:color w:val="000000" w:themeColor="text1"/>
      <w:sz w:val="20"/>
      <w:szCs w:val="20"/>
    </w:rPr>
  </w:style>
  <w:style w:type="table" w:styleId="LightList-Accent1">
    <w:name w:val="Light List Accent 1"/>
    <w:basedOn w:val="TableNormal"/>
    <w:uiPriority w:val="61"/>
    <w:rsid w:val="00DE67FA"/>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9F23B5"/>
    <w:rPr>
      <w:color w:val="0000FF" w:themeColor="hyperlink"/>
      <w:u w:val="single"/>
    </w:rPr>
  </w:style>
  <w:style w:type="character" w:styleId="FollowedHyperlink">
    <w:name w:val="FollowedHyperlink"/>
    <w:basedOn w:val="DefaultParagraphFont"/>
    <w:uiPriority w:val="99"/>
    <w:semiHidden/>
    <w:unhideWhenUsed/>
    <w:rsid w:val="009F2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284">
      <w:bodyDiv w:val="1"/>
      <w:marLeft w:val="0"/>
      <w:marRight w:val="0"/>
      <w:marTop w:val="0"/>
      <w:marBottom w:val="0"/>
      <w:divBdr>
        <w:top w:val="none" w:sz="0" w:space="0" w:color="auto"/>
        <w:left w:val="none" w:sz="0" w:space="0" w:color="auto"/>
        <w:bottom w:val="none" w:sz="0" w:space="0" w:color="auto"/>
        <w:right w:val="none" w:sz="0" w:space="0" w:color="auto"/>
      </w:divBdr>
    </w:div>
    <w:div w:id="6260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kcclegisearch.kingcounty.gov/LegislationDetail.aspx?ID=1500771&amp;GUID=82FA67BB-A35E-428E-AF66-2A920A082B56&amp;Options=ID|Text|&amp;Search=2013-04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2475-92B0-418B-A042-BB72243C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4592</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St. John, Polly</cp:lastModifiedBy>
  <cp:revision>4</cp:revision>
  <cp:lastPrinted>2014-05-16T17:07:00Z</cp:lastPrinted>
  <dcterms:created xsi:type="dcterms:W3CDTF">2014-05-30T20:28:00Z</dcterms:created>
  <dcterms:modified xsi:type="dcterms:W3CDTF">2014-06-02T17:22:00Z</dcterms:modified>
</cp:coreProperties>
</file>