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37" w:rsidRDefault="009A504B" w:rsidP="00C37A37">
      <w:pPr>
        <w:jc w:val="center"/>
      </w:pPr>
      <w:r>
        <w:rPr>
          <w:noProof/>
        </w:rPr>
        <w:drawing>
          <wp:inline distT="0" distB="0" distL="0" distR="0">
            <wp:extent cx="962025" cy="676275"/>
            <wp:effectExtent l="19050" t="0" r="9525" b="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9" cstate="print"/>
                    <a:srcRect/>
                    <a:stretch>
                      <a:fillRect/>
                    </a:stretch>
                  </pic:blipFill>
                  <pic:spPr bwMode="auto">
                    <a:xfrm>
                      <a:off x="0" y="0"/>
                      <a:ext cx="962025" cy="676275"/>
                    </a:xfrm>
                    <a:prstGeom prst="rect">
                      <a:avLst/>
                    </a:prstGeom>
                    <a:noFill/>
                    <a:ln w="9525">
                      <a:noFill/>
                      <a:miter lim="800000"/>
                      <a:headEnd/>
                      <a:tailEnd/>
                    </a:ln>
                  </pic:spPr>
                </pic:pic>
              </a:graphicData>
            </a:graphic>
          </wp:inline>
        </w:drawing>
      </w:r>
    </w:p>
    <w:p w:rsidR="00C37A37" w:rsidRDefault="00C37A37" w:rsidP="00C37A37">
      <w:pPr>
        <w:jc w:val="center"/>
      </w:pPr>
    </w:p>
    <w:p w:rsidR="00C37A37" w:rsidRPr="006B6B31" w:rsidRDefault="00C37A37" w:rsidP="00C37A37">
      <w:pPr>
        <w:jc w:val="center"/>
        <w:rPr>
          <w:rFonts w:ascii="Arial" w:hAnsi="Arial" w:cs="Arial"/>
          <w:sz w:val="36"/>
        </w:rPr>
      </w:pPr>
      <w:r w:rsidRPr="006B6B31">
        <w:rPr>
          <w:rFonts w:ascii="Arial" w:hAnsi="Arial" w:cs="Arial"/>
          <w:sz w:val="36"/>
        </w:rPr>
        <w:t>Metropolitan King County Council</w:t>
      </w:r>
    </w:p>
    <w:p w:rsidR="00C37A37" w:rsidRPr="006B6B31" w:rsidRDefault="006B6B31" w:rsidP="00C37A37">
      <w:pPr>
        <w:jc w:val="center"/>
        <w:rPr>
          <w:rFonts w:ascii="Arial" w:hAnsi="Arial" w:cs="Arial"/>
          <w:sz w:val="36"/>
        </w:rPr>
      </w:pPr>
      <w:r>
        <w:rPr>
          <w:rFonts w:ascii="Arial" w:hAnsi="Arial" w:cs="Arial"/>
          <w:sz w:val="36"/>
        </w:rPr>
        <w:t>Budget</w:t>
      </w:r>
      <w:r w:rsidR="00C37A37" w:rsidRPr="006B6B31">
        <w:rPr>
          <w:rFonts w:ascii="Arial" w:hAnsi="Arial" w:cs="Arial"/>
          <w:sz w:val="36"/>
        </w:rPr>
        <w:t xml:space="preserve"> </w:t>
      </w:r>
      <w:r w:rsidR="00E60EB8">
        <w:rPr>
          <w:rFonts w:ascii="Arial" w:hAnsi="Arial" w:cs="Arial"/>
          <w:sz w:val="36"/>
        </w:rPr>
        <w:t xml:space="preserve">and Fiscal Management </w:t>
      </w:r>
      <w:r w:rsidR="00C37A37" w:rsidRPr="006B6B31">
        <w:rPr>
          <w:rFonts w:ascii="Arial" w:hAnsi="Arial" w:cs="Arial"/>
          <w:sz w:val="36"/>
        </w:rPr>
        <w:t>Committee</w:t>
      </w:r>
    </w:p>
    <w:p w:rsidR="00C37A37" w:rsidRDefault="00C37A37" w:rsidP="00C37A37"/>
    <w:tbl>
      <w:tblPr>
        <w:tblW w:w="0" w:type="auto"/>
        <w:tblLayout w:type="fixed"/>
        <w:tblLook w:val="0000" w:firstRow="0" w:lastRow="0" w:firstColumn="0" w:lastColumn="0" w:noHBand="0" w:noVBand="0"/>
      </w:tblPr>
      <w:tblGrid>
        <w:gridCol w:w="2448"/>
        <w:gridCol w:w="2160"/>
        <w:gridCol w:w="630"/>
        <w:gridCol w:w="1890"/>
        <w:gridCol w:w="2700"/>
      </w:tblGrid>
      <w:tr w:rsidR="00C37A37" w:rsidRPr="009864F8">
        <w:tc>
          <w:tcPr>
            <w:tcW w:w="2448" w:type="dxa"/>
          </w:tcPr>
          <w:p w:rsidR="00C37A37" w:rsidRPr="009864F8" w:rsidRDefault="00C37A37" w:rsidP="00C37A37">
            <w:pPr>
              <w:tabs>
                <w:tab w:val="left" w:pos="8370"/>
              </w:tabs>
              <w:rPr>
                <w:rFonts w:ascii="Arial" w:hAnsi="Arial" w:cs="Arial"/>
                <w:b/>
                <w:szCs w:val="24"/>
              </w:rPr>
            </w:pPr>
            <w:r w:rsidRPr="009864F8">
              <w:rPr>
                <w:rFonts w:ascii="Arial" w:hAnsi="Arial" w:cs="Arial"/>
                <w:b/>
                <w:szCs w:val="24"/>
              </w:rPr>
              <w:t>Agenda Item No.:</w:t>
            </w:r>
          </w:p>
        </w:tc>
        <w:tc>
          <w:tcPr>
            <w:tcW w:w="2160" w:type="dxa"/>
            <w:tcBorders>
              <w:bottom w:val="single" w:sz="6" w:space="0" w:color="auto"/>
            </w:tcBorders>
          </w:tcPr>
          <w:p w:rsidR="00C37A37" w:rsidRPr="00A602E9" w:rsidRDefault="0084334C" w:rsidP="00C37A37">
            <w:pPr>
              <w:tabs>
                <w:tab w:val="left" w:pos="8370"/>
              </w:tabs>
              <w:jc w:val="center"/>
              <w:rPr>
                <w:rFonts w:ascii="Arial" w:hAnsi="Arial" w:cs="Arial"/>
                <w:szCs w:val="24"/>
              </w:rPr>
            </w:pPr>
            <w:r>
              <w:rPr>
                <w:rFonts w:ascii="Arial" w:hAnsi="Arial" w:cs="Arial"/>
                <w:szCs w:val="24"/>
              </w:rPr>
              <w:t>4</w:t>
            </w:r>
            <w:bookmarkStart w:id="0" w:name="_GoBack"/>
            <w:bookmarkEnd w:id="0"/>
          </w:p>
        </w:tc>
        <w:tc>
          <w:tcPr>
            <w:tcW w:w="630" w:type="dxa"/>
          </w:tcPr>
          <w:p w:rsidR="00C37A37" w:rsidRPr="009864F8" w:rsidRDefault="00C37A37" w:rsidP="00C37A37">
            <w:pPr>
              <w:tabs>
                <w:tab w:val="left" w:pos="8370"/>
              </w:tabs>
              <w:rPr>
                <w:rFonts w:ascii="Arial" w:hAnsi="Arial" w:cs="Arial"/>
                <w:szCs w:val="24"/>
              </w:rPr>
            </w:pPr>
          </w:p>
        </w:tc>
        <w:tc>
          <w:tcPr>
            <w:tcW w:w="1890" w:type="dxa"/>
          </w:tcPr>
          <w:p w:rsidR="00C37A37" w:rsidRPr="009864F8" w:rsidRDefault="00C37A37" w:rsidP="00C37A37">
            <w:pPr>
              <w:tabs>
                <w:tab w:val="left" w:pos="8370"/>
              </w:tabs>
              <w:rPr>
                <w:rFonts w:ascii="Arial" w:hAnsi="Arial" w:cs="Arial"/>
                <w:b/>
                <w:szCs w:val="24"/>
              </w:rPr>
            </w:pPr>
            <w:r w:rsidRPr="009864F8">
              <w:rPr>
                <w:rFonts w:ascii="Arial" w:hAnsi="Arial" w:cs="Arial"/>
                <w:b/>
                <w:szCs w:val="24"/>
              </w:rPr>
              <w:t>Date:</w:t>
            </w:r>
          </w:p>
        </w:tc>
        <w:tc>
          <w:tcPr>
            <w:tcW w:w="2700" w:type="dxa"/>
          </w:tcPr>
          <w:p w:rsidR="00C37A37" w:rsidRPr="009864F8" w:rsidRDefault="00E524AA" w:rsidP="002B0E1F">
            <w:pPr>
              <w:tabs>
                <w:tab w:val="left" w:pos="8370"/>
              </w:tabs>
              <w:jc w:val="center"/>
              <w:rPr>
                <w:rFonts w:ascii="Arial" w:hAnsi="Arial" w:cs="Arial"/>
                <w:szCs w:val="24"/>
              </w:rPr>
            </w:pPr>
            <w:r>
              <w:rPr>
                <w:rFonts w:ascii="Arial" w:hAnsi="Arial" w:cs="Arial"/>
                <w:szCs w:val="24"/>
              </w:rPr>
              <w:t>April 15, 2014</w:t>
            </w:r>
          </w:p>
        </w:tc>
      </w:tr>
      <w:tr w:rsidR="00C37A37" w:rsidRPr="009864F8">
        <w:tc>
          <w:tcPr>
            <w:tcW w:w="2448" w:type="dxa"/>
          </w:tcPr>
          <w:p w:rsidR="00C37A37" w:rsidRPr="009864F8" w:rsidRDefault="00C37A37" w:rsidP="00C37A37">
            <w:pPr>
              <w:tabs>
                <w:tab w:val="left" w:pos="8370"/>
              </w:tabs>
              <w:spacing w:before="240"/>
              <w:rPr>
                <w:rFonts w:ascii="Arial" w:hAnsi="Arial" w:cs="Arial"/>
                <w:b/>
                <w:szCs w:val="24"/>
              </w:rPr>
            </w:pPr>
            <w:r w:rsidRPr="009864F8">
              <w:rPr>
                <w:rFonts w:ascii="Arial" w:hAnsi="Arial" w:cs="Arial"/>
                <w:b/>
                <w:szCs w:val="24"/>
              </w:rPr>
              <w:t>Proposed No.:</w:t>
            </w:r>
          </w:p>
        </w:tc>
        <w:tc>
          <w:tcPr>
            <w:tcW w:w="2160" w:type="dxa"/>
            <w:tcBorders>
              <w:top w:val="single" w:sz="6" w:space="0" w:color="auto"/>
              <w:bottom w:val="single" w:sz="6" w:space="0" w:color="auto"/>
            </w:tcBorders>
            <w:vAlign w:val="bottom"/>
          </w:tcPr>
          <w:p w:rsidR="00C37A37" w:rsidRPr="009864F8" w:rsidRDefault="00E524AA" w:rsidP="0030553B">
            <w:pPr>
              <w:tabs>
                <w:tab w:val="left" w:pos="8370"/>
              </w:tabs>
              <w:jc w:val="center"/>
              <w:rPr>
                <w:rFonts w:ascii="Arial" w:hAnsi="Arial" w:cs="Arial"/>
                <w:szCs w:val="24"/>
              </w:rPr>
            </w:pPr>
            <w:r>
              <w:rPr>
                <w:rFonts w:ascii="Arial" w:hAnsi="Arial" w:cs="Arial"/>
                <w:szCs w:val="24"/>
              </w:rPr>
              <w:t>2012-0358</w:t>
            </w:r>
          </w:p>
        </w:tc>
        <w:tc>
          <w:tcPr>
            <w:tcW w:w="630" w:type="dxa"/>
          </w:tcPr>
          <w:p w:rsidR="00C37A37" w:rsidRPr="009864F8" w:rsidRDefault="00C37A37" w:rsidP="00C37A37">
            <w:pPr>
              <w:tabs>
                <w:tab w:val="left" w:pos="8370"/>
              </w:tabs>
              <w:spacing w:before="240"/>
              <w:rPr>
                <w:rFonts w:ascii="Arial" w:hAnsi="Arial" w:cs="Arial"/>
                <w:szCs w:val="24"/>
              </w:rPr>
            </w:pPr>
          </w:p>
        </w:tc>
        <w:tc>
          <w:tcPr>
            <w:tcW w:w="1890" w:type="dxa"/>
          </w:tcPr>
          <w:p w:rsidR="00C37A37" w:rsidRPr="009864F8" w:rsidRDefault="00C37A37" w:rsidP="00C37A37">
            <w:pPr>
              <w:tabs>
                <w:tab w:val="left" w:pos="8370"/>
              </w:tabs>
              <w:spacing w:before="240"/>
              <w:rPr>
                <w:rFonts w:ascii="Arial" w:hAnsi="Arial" w:cs="Arial"/>
                <w:b/>
                <w:szCs w:val="24"/>
              </w:rPr>
            </w:pPr>
            <w:r w:rsidRPr="009864F8">
              <w:rPr>
                <w:rFonts w:ascii="Arial" w:hAnsi="Arial" w:cs="Arial"/>
                <w:b/>
                <w:szCs w:val="24"/>
              </w:rPr>
              <w:t>Prepared By:</w:t>
            </w:r>
          </w:p>
        </w:tc>
        <w:tc>
          <w:tcPr>
            <w:tcW w:w="2700" w:type="dxa"/>
            <w:tcBorders>
              <w:top w:val="single" w:sz="6" w:space="0" w:color="auto"/>
              <w:bottom w:val="single" w:sz="6" w:space="0" w:color="auto"/>
            </w:tcBorders>
          </w:tcPr>
          <w:p w:rsidR="00C37A37" w:rsidRPr="009864F8" w:rsidRDefault="00E524AA" w:rsidP="0030553B">
            <w:pPr>
              <w:tabs>
                <w:tab w:val="left" w:pos="8370"/>
              </w:tabs>
              <w:spacing w:before="240"/>
              <w:jc w:val="center"/>
              <w:rPr>
                <w:rFonts w:ascii="Arial" w:hAnsi="Arial" w:cs="Arial"/>
                <w:szCs w:val="24"/>
              </w:rPr>
            </w:pPr>
            <w:r>
              <w:rPr>
                <w:rFonts w:ascii="Arial" w:hAnsi="Arial" w:cs="Arial"/>
                <w:szCs w:val="24"/>
              </w:rPr>
              <w:t>Amy Tsai</w:t>
            </w:r>
          </w:p>
        </w:tc>
      </w:tr>
    </w:tbl>
    <w:p w:rsidR="00C37A37" w:rsidRPr="009864F8" w:rsidRDefault="00C37A37" w:rsidP="00C37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i/>
          <w:szCs w:val="24"/>
          <w:u w:val="single"/>
        </w:rPr>
      </w:pPr>
    </w:p>
    <w:p w:rsidR="00C37A37" w:rsidRPr="009864F8" w:rsidRDefault="00C37A37" w:rsidP="00C37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i/>
          <w:szCs w:val="24"/>
        </w:rPr>
      </w:pPr>
      <w:r w:rsidRPr="009864F8">
        <w:rPr>
          <w:rFonts w:ascii="Arial" w:hAnsi="Arial" w:cs="Arial"/>
          <w:b/>
          <w:i/>
          <w:szCs w:val="24"/>
          <w:u w:val="single"/>
        </w:rPr>
        <w:t>STAFF REPORT</w:t>
      </w:r>
    </w:p>
    <w:p w:rsidR="00C37A37" w:rsidRPr="009864F8" w:rsidRDefault="00C37A37" w:rsidP="00C37A37">
      <w:pPr>
        <w:rPr>
          <w:rFonts w:ascii="Arial" w:hAnsi="Arial" w:cs="Arial"/>
          <w:b/>
          <w:smallCaps/>
          <w:szCs w:val="24"/>
          <w:u w:val="single"/>
        </w:rPr>
      </w:pPr>
    </w:p>
    <w:p w:rsidR="00C37A37" w:rsidRPr="007B4108" w:rsidRDefault="007470ED" w:rsidP="004A764A">
      <w:pPr>
        <w:ind w:left="1350" w:hanging="1350"/>
        <w:rPr>
          <w:rFonts w:ascii="Arial" w:hAnsi="Arial" w:cs="Arial"/>
          <w:i/>
          <w:szCs w:val="24"/>
        </w:rPr>
      </w:pPr>
      <w:r w:rsidRPr="009864F8">
        <w:rPr>
          <w:rFonts w:ascii="Arial" w:hAnsi="Arial" w:cs="Arial"/>
          <w:b/>
          <w:szCs w:val="24"/>
          <w:u w:val="single"/>
        </w:rPr>
        <w:t>SUBJECT</w:t>
      </w:r>
      <w:r w:rsidR="00C37A37" w:rsidRPr="009864F8">
        <w:rPr>
          <w:rFonts w:ascii="Arial" w:hAnsi="Arial" w:cs="Arial"/>
          <w:b/>
          <w:smallCaps/>
          <w:szCs w:val="24"/>
          <w:u w:val="single"/>
        </w:rPr>
        <w:t>:</w:t>
      </w:r>
    </w:p>
    <w:p w:rsidR="0030553B" w:rsidRDefault="0030553B" w:rsidP="00C37A37">
      <w:pPr>
        <w:rPr>
          <w:rFonts w:ascii="Arial" w:hAnsi="Arial" w:cs="Arial"/>
          <w:b/>
          <w:szCs w:val="24"/>
          <w:u w:val="single"/>
        </w:rPr>
      </w:pPr>
    </w:p>
    <w:p w:rsidR="007B4108" w:rsidRPr="007B4108" w:rsidRDefault="007B4108" w:rsidP="00C37A37">
      <w:pPr>
        <w:rPr>
          <w:rFonts w:ascii="Arial" w:hAnsi="Arial" w:cs="Arial"/>
          <w:szCs w:val="24"/>
        </w:rPr>
      </w:pPr>
      <w:r>
        <w:rPr>
          <w:rFonts w:ascii="Arial" w:hAnsi="Arial" w:cs="Arial"/>
          <w:szCs w:val="24"/>
        </w:rPr>
        <w:t xml:space="preserve">Proposed Ordinance 2012-0358 would update provisions in Title 4 (Revenue and Financial Regulation) related to property taxes, and move the provisions to Title 4A or other applicable locations in the King County Code.  </w:t>
      </w:r>
    </w:p>
    <w:p w:rsidR="007B4108" w:rsidRPr="008A1766" w:rsidRDefault="007B4108" w:rsidP="00C37A37">
      <w:pPr>
        <w:rPr>
          <w:rFonts w:ascii="Arial" w:hAnsi="Arial" w:cs="Arial"/>
          <w:b/>
          <w:szCs w:val="24"/>
          <w:u w:val="single"/>
        </w:rPr>
      </w:pPr>
    </w:p>
    <w:p w:rsidR="00C37A37" w:rsidRDefault="007470ED" w:rsidP="00C37A37">
      <w:pPr>
        <w:rPr>
          <w:rFonts w:ascii="Arial" w:hAnsi="Arial" w:cs="Arial"/>
          <w:b/>
          <w:smallCaps/>
          <w:szCs w:val="24"/>
          <w:u w:val="single"/>
        </w:rPr>
      </w:pPr>
      <w:r w:rsidRPr="009864F8">
        <w:rPr>
          <w:rFonts w:ascii="Arial" w:hAnsi="Arial" w:cs="Arial"/>
          <w:b/>
          <w:smallCaps/>
          <w:szCs w:val="24"/>
          <w:u w:val="single"/>
        </w:rPr>
        <w:t>SUMMARY</w:t>
      </w:r>
    </w:p>
    <w:p w:rsidR="001404CF" w:rsidRDefault="001404CF" w:rsidP="00C37A37">
      <w:pPr>
        <w:rPr>
          <w:rFonts w:ascii="Arial" w:hAnsi="Arial" w:cs="Arial"/>
          <w:b/>
          <w:smallCaps/>
          <w:szCs w:val="24"/>
          <w:u w:val="single"/>
        </w:rPr>
      </w:pPr>
    </w:p>
    <w:p w:rsidR="007B4108" w:rsidRDefault="007B4108" w:rsidP="00C37A37">
      <w:pPr>
        <w:rPr>
          <w:rFonts w:ascii="Arial" w:hAnsi="Arial" w:cs="Arial"/>
          <w:szCs w:val="24"/>
        </w:rPr>
      </w:pPr>
      <w:r>
        <w:rPr>
          <w:rFonts w:ascii="Arial" w:hAnsi="Arial" w:cs="Arial"/>
          <w:szCs w:val="24"/>
        </w:rPr>
        <w:t xml:space="preserve">Proposed Ordinance 2012-0358 is part of the ongoing effort to move and clean up chapters from Title 4 to Title 4A.  This effort has been underway since 2011. </w:t>
      </w:r>
    </w:p>
    <w:p w:rsidR="007B4108" w:rsidRDefault="007B4108" w:rsidP="00C37A37">
      <w:pPr>
        <w:rPr>
          <w:rFonts w:ascii="Arial" w:hAnsi="Arial" w:cs="Arial"/>
          <w:szCs w:val="24"/>
        </w:rPr>
      </w:pPr>
    </w:p>
    <w:p w:rsidR="007B4108" w:rsidRDefault="007B4108" w:rsidP="00C37A37">
      <w:pPr>
        <w:rPr>
          <w:rFonts w:ascii="Arial" w:hAnsi="Arial" w:cs="Arial"/>
          <w:szCs w:val="24"/>
        </w:rPr>
      </w:pPr>
      <w:r>
        <w:rPr>
          <w:rFonts w:ascii="Arial" w:hAnsi="Arial" w:cs="Arial"/>
          <w:szCs w:val="24"/>
        </w:rPr>
        <w:t>The proposed ordinance updates and clarifies property tax related provisions in Title 4</w:t>
      </w:r>
      <w:r w:rsidR="00283483">
        <w:rPr>
          <w:rFonts w:ascii="Arial" w:hAnsi="Arial" w:cs="Arial"/>
          <w:szCs w:val="24"/>
        </w:rPr>
        <w:t xml:space="preserve"> particularly </w:t>
      </w:r>
      <w:r w:rsidR="005C4BCC">
        <w:rPr>
          <w:rFonts w:ascii="Arial" w:hAnsi="Arial" w:cs="Arial"/>
          <w:szCs w:val="24"/>
        </w:rPr>
        <w:t>due</w:t>
      </w:r>
      <w:r w:rsidR="00283483">
        <w:rPr>
          <w:rFonts w:ascii="Arial" w:hAnsi="Arial" w:cs="Arial"/>
          <w:szCs w:val="24"/>
        </w:rPr>
        <w:t xml:space="preserve"> to changes in state law</w:t>
      </w:r>
      <w:r w:rsidR="0066257C">
        <w:rPr>
          <w:rFonts w:ascii="Arial" w:hAnsi="Arial" w:cs="Arial"/>
          <w:szCs w:val="24"/>
        </w:rPr>
        <w:t xml:space="preserve"> and </w:t>
      </w:r>
      <w:r>
        <w:rPr>
          <w:rFonts w:ascii="Arial" w:hAnsi="Arial" w:cs="Arial"/>
          <w:szCs w:val="24"/>
        </w:rPr>
        <w:t>removes unnecessary provisions.</w:t>
      </w:r>
    </w:p>
    <w:p w:rsidR="007B4108" w:rsidRDefault="007B4108" w:rsidP="00C37A37">
      <w:pPr>
        <w:rPr>
          <w:rFonts w:ascii="Arial" w:hAnsi="Arial" w:cs="Arial"/>
          <w:szCs w:val="24"/>
        </w:rPr>
      </w:pPr>
    </w:p>
    <w:p w:rsidR="00C01B37" w:rsidRPr="00C01B37" w:rsidRDefault="000E7EFC" w:rsidP="00C01B37">
      <w:pPr>
        <w:rPr>
          <w:rFonts w:ascii="Arial" w:hAnsi="Arial" w:cs="Arial"/>
          <w:szCs w:val="24"/>
        </w:rPr>
      </w:pPr>
      <w:r>
        <w:rPr>
          <w:rFonts w:ascii="Arial" w:hAnsi="Arial" w:cs="Arial"/>
          <w:szCs w:val="24"/>
        </w:rPr>
        <w:t>The chapters to be modified by the proposed ordinance</w:t>
      </w:r>
      <w:r w:rsidR="00C01B37">
        <w:rPr>
          <w:rFonts w:ascii="Arial" w:hAnsi="Arial" w:cs="Arial"/>
          <w:szCs w:val="24"/>
        </w:rPr>
        <w:t xml:space="preserve"> cover topics of 1) certification of </w:t>
      </w:r>
      <w:r w:rsidR="00C01B37" w:rsidRPr="00C01B37">
        <w:rPr>
          <w:rFonts w:ascii="Arial" w:hAnsi="Arial" w:cs="Arial"/>
          <w:szCs w:val="24"/>
        </w:rPr>
        <w:t xml:space="preserve">junior taxing districts for levying property taxes; </w:t>
      </w:r>
      <w:r w:rsidR="00C71D66">
        <w:rPr>
          <w:rFonts w:ascii="Arial" w:hAnsi="Arial" w:cs="Arial"/>
          <w:szCs w:val="24"/>
        </w:rPr>
        <w:t xml:space="preserve">2) compliance provisions, 3) </w:t>
      </w:r>
      <w:r w:rsidR="00C01B37" w:rsidRPr="00C01B37">
        <w:rPr>
          <w:rFonts w:ascii="Arial" w:hAnsi="Arial" w:cs="Arial"/>
          <w:szCs w:val="24"/>
        </w:rPr>
        <w:t xml:space="preserve">property tax </w:t>
      </w:r>
      <w:r w:rsidR="00C71D66">
        <w:rPr>
          <w:rFonts w:ascii="Arial" w:hAnsi="Arial" w:cs="Arial"/>
          <w:szCs w:val="24"/>
        </w:rPr>
        <w:t>refunds</w:t>
      </w:r>
      <w:r w:rsidR="00C01B37" w:rsidRPr="00C01B37">
        <w:rPr>
          <w:rFonts w:ascii="Arial" w:hAnsi="Arial" w:cs="Arial"/>
          <w:szCs w:val="24"/>
        </w:rPr>
        <w:t xml:space="preserve">; and </w:t>
      </w:r>
      <w:r w:rsidR="00C71D66">
        <w:rPr>
          <w:rFonts w:ascii="Arial" w:hAnsi="Arial" w:cs="Arial"/>
          <w:szCs w:val="24"/>
        </w:rPr>
        <w:t xml:space="preserve">4) </w:t>
      </w:r>
      <w:r w:rsidR="00C01B37" w:rsidRPr="00C01B37">
        <w:rPr>
          <w:rFonts w:ascii="Arial" w:hAnsi="Arial" w:cs="Arial"/>
          <w:szCs w:val="24"/>
        </w:rPr>
        <w:t xml:space="preserve">proof of non-delinquency of real property taxes for permit approval. </w:t>
      </w:r>
    </w:p>
    <w:p w:rsidR="007B4108" w:rsidRDefault="00C01B37" w:rsidP="00C37A37">
      <w:pPr>
        <w:rPr>
          <w:rFonts w:ascii="Arial" w:hAnsi="Arial" w:cs="Arial"/>
          <w:szCs w:val="24"/>
        </w:rPr>
      </w:pPr>
      <w:r>
        <w:rPr>
          <w:rFonts w:ascii="Arial" w:hAnsi="Arial" w:cs="Arial"/>
          <w:szCs w:val="24"/>
        </w:rPr>
        <w:t>The chapters</w:t>
      </w:r>
      <w:r w:rsidR="000E7EFC">
        <w:rPr>
          <w:rFonts w:ascii="Arial" w:hAnsi="Arial" w:cs="Arial"/>
          <w:szCs w:val="24"/>
        </w:rPr>
        <w:t xml:space="preserve"> include the following:</w:t>
      </w:r>
    </w:p>
    <w:p w:rsidR="00283483" w:rsidRDefault="000E7EFC" w:rsidP="000E7EFC">
      <w:pPr>
        <w:numPr>
          <w:ilvl w:val="0"/>
          <w:numId w:val="19"/>
        </w:numPr>
        <w:rPr>
          <w:rFonts w:ascii="Arial" w:hAnsi="Arial" w:cs="Arial"/>
          <w:szCs w:val="24"/>
        </w:rPr>
      </w:pPr>
      <w:r>
        <w:rPr>
          <w:rFonts w:ascii="Arial" w:hAnsi="Arial" w:cs="Arial"/>
          <w:szCs w:val="24"/>
        </w:rPr>
        <w:t>K.C.C. 4.48 Junior Taxing District Levy Certification</w:t>
      </w:r>
    </w:p>
    <w:p w:rsidR="000E7EFC" w:rsidRDefault="000E7EFC" w:rsidP="000E7EFC">
      <w:pPr>
        <w:numPr>
          <w:ilvl w:val="0"/>
          <w:numId w:val="19"/>
        </w:numPr>
        <w:rPr>
          <w:rFonts w:ascii="Arial" w:hAnsi="Arial" w:cs="Arial"/>
          <w:szCs w:val="24"/>
        </w:rPr>
      </w:pPr>
      <w:r>
        <w:rPr>
          <w:rFonts w:ascii="Arial" w:hAnsi="Arial" w:cs="Arial"/>
          <w:szCs w:val="24"/>
        </w:rPr>
        <w:t>K.C.C. 4.52 Delinquent Local Improvement Assessment Foreclosure</w:t>
      </w:r>
    </w:p>
    <w:p w:rsidR="000E7EFC" w:rsidRDefault="000E7EFC" w:rsidP="000E7EFC">
      <w:pPr>
        <w:numPr>
          <w:ilvl w:val="0"/>
          <w:numId w:val="19"/>
        </w:numPr>
        <w:rPr>
          <w:rFonts w:ascii="Arial" w:hAnsi="Arial" w:cs="Arial"/>
          <w:szCs w:val="24"/>
        </w:rPr>
      </w:pPr>
      <w:r>
        <w:rPr>
          <w:rFonts w:ascii="Arial" w:hAnsi="Arial" w:cs="Arial"/>
          <w:szCs w:val="24"/>
        </w:rPr>
        <w:t>K.C.C. 4.60 Subdivision Parcel Property Taxes</w:t>
      </w:r>
    </w:p>
    <w:p w:rsidR="000E7EFC" w:rsidRDefault="000E7EFC" w:rsidP="000E7EFC">
      <w:pPr>
        <w:numPr>
          <w:ilvl w:val="0"/>
          <w:numId w:val="19"/>
        </w:numPr>
        <w:rPr>
          <w:rFonts w:ascii="Arial" w:hAnsi="Arial" w:cs="Arial"/>
          <w:szCs w:val="24"/>
        </w:rPr>
      </w:pPr>
      <w:r>
        <w:rPr>
          <w:rFonts w:ascii="Arial" w:hAnsi="Arial" w:cs="Arial"/>
          <w:szCs w:val="24"/>
        </w:rPr>
        <w:t>K.C.C. 4.62 Property Valuation</w:t>
      </w:r>
    </w:p>
    <w:p w:rsidR="000E7EFC" w:rsidRPr="008B3E7C" w:rsidRDefault="000E7EFC" w:rsidP="000E7EFC">
      <w:pPr>
        <w:numPr>
          <w:ilvl w:val="0"/>
          <w:numId w:val="19"/>
        </w:numPr>
        <w:rPr>
          <w:rFonts w:ascii="Arial" w:hAnsi="Arial" w:cs="Arial"/>
          <w:szCs w:val="24"/>
        </w:rPr>
      </w:pPr>
      <w:r w:rsidRPr="008B3E7C">
        <w:rPr>
          <w:rFonts w:ascii="Arial" w:hAnsi="Arial" w:cs="Arial"/>
          <w:szCs w:val="24"/>
        </w:rPr>
        <w:t xml:space="preserve">K.C.C. 4.63 </w:t>
      </w:r>
      <w:r w:rsidR="003810EA" w:rsidRPr="008B3E7C">
        <w:rPr>
          <w:rFonts w:ascii="Arial" w:hAnsi="Arial" w:cs="Arial"/>
          <w:szCs w:val="24"/>
        </w:rPr>
        <w:t>Property Tax Notice</w:t>
      </w:r>
    </w:p>
    <w:p w:rsidR="000E7EFC" w:rsidRPr="000E7EFC" w:rsidRDefault="000E7EFC" w:rsidP="000E7EFC">
      <w:pPr>
        <w:numPr>
          <w:ilvl w:val="0"/>
          <w:numId w:val="19"/>
        </w:numPr>
        <w:rPr>
          <w:rFonts w:ascii="Arial" w:hAnsi="Arial" w:cs="Arial"/>
          <w:i/>
          <w:szCs w:val="24"/>
        </w:rPr>
      </w:pPr>
      <w:r>
        <w:rPr>
          <w:rFonts w:ascii="Arial" w:hAnsi="Arial" w:cs="Arial"/>
          <w:szCs w:val="24"/>
        </w:rPr>
        <w:t>K.C.C. 4.64 Property Tax Refunds</w:t>
      </w:r>
    </w:p>
    <w:p w:rsidR="000E7EFC" w:rsidRPr="004E646C" w:rsidRDefault="000E7EFC" w:rsidP="000E7EFC">
      <w:pPr>
        <w:numPr>
          <w:ilvl w:val="0"/>
          <w:numId w:val="19"/>
        </w:numPr>
        <w:rPr>
          <w:rFonts w:ascii="Arial" w:hAnsi="Arial" w:cs="Arial"/>
          <w:i/>
          <w:szCs w:val="24"/>
        </w:rPr>
      </w:pPr>
      <w:r>
        <w:rPr>
          <w:rFonts w:ascii="Arial" w:hAnsi="Arial" w:cs="Arial"/>
          <w:szCs w:val="24"/>
        </w:rPr>
        <w:t>K.C.C. 4.68 Non</w:t>
      </w:r>
      <w:r w:rsidR="003C6B62">
        <w:rPr>
          <w:rFonts w:ascii="Arial" w:hAnsi="Arial" w:cs="Arial"/>
          <w:szCs w:val="24"/>
        </w:rPr>
        <w:t>-</w:t>
      </w:r>
      <w:r>
        <w:rPr>
          <w:rFonts w:ascii="Arial" w:hAnsi="Arial" w:cs="Arial"/>
          <w:szCs w:val="24"/>
        </w:rPr>
        <w:t>delinquent Property Tax Certification</w:t>
      </w:r>
    </w:p>
    <w:p w:rsidR="004E646C" w:rsidRDefault="004E646C" w:rsidP="004E646C">
      <w:pPr>
        <w:rPr>
          <w:rFonts w:ascii="Arial" w:hAnsi="Arial" w:cs="Arial"/>
          <w:szCs w:val="24"/>
        </w:rPr>
      </w:pPr>
    </w:p>
    <w:p w:rsidR="004E646C" w:rsidRDefault="004E646C" w:rsidP="004E646C">
      <w:pPr>
        <w:rPr>
          <w:rFonts w:ascii="Arial" w:hAnsi="Arial" w:cs="Arial"/>
          <w:szCs w:val="24"/>
        </w:rPr>
      </w:pPr>
      <w:r>
        <w:rPr>
          <w:rFonts w:ascii="Arial" w:hAnsi="Arial" w:cs="Arial"/>
          <w:b/>
          <w:szCs w:val="24"/>
        </w:rPr>
        <w:t xml:space="preserve">This is the first hearing on this item.  </w:t>
      </w:r>
      <w:r w:rsidR="000A26BF" w:rsidRPr="0048657D">
        <w:rPr>
          <w:rFonts w:ascii="Arial" w:hAnsi="Arial" w:cs="Arial"/>
          <w:b/>
          <w:szCs w:val="24"/>
        </w:rPr>
        <w:t xml:space="preserve">Although the proposed ordinance covers many chapters, </w:t>
      </w:r>
      <w:r w:rsidR="00E91025" w:rsidRPr="0048657D">
        <w:rPr>
          <w:rFonts w:ascii="Arial" w:hAnsi="Arial" w:cs="Arial"/>
          <w:b/>
          <w:szCs w:val="24"/>
        </w:rPr>
        <w:t>most</w:t>
      </w:r>
      <w:r w:rsidR="000A26BF" w:rsidRPr="0048657D">
        <w:rPr>
          <w:rFonts w:ascii="Arial" w:hAnsi="Arial" w:cs="Arial"/>
          <w:b/>
          <w:szCs w:val="24"/>
        </w:rPr>
        <w:t xml:space="preserve"> of the proposed changes are clarifications</w:t>
      </w:r>
      <w:r w:rsidR="00A95CCF">
        <w:rPr>
          <w:rFonts w:ascii="Arial" w:hAnsi="Arial" w:cs="Arial"/>
          <w:b/>
          <w:szCs w:val="24"/>
        </w:rPr>
        <w:t>,</w:t>
      </w:r>
      <w:r w:rsidR="000A26BF" w:rsidRPr="0048657D">
        <w:rPr>
          <w:rFonts w:ascii="Arial" w:hAnsi="Arial" w:cs="Arial"/>
          <w:b/>
          <w:szCs w:val="24"/>
        </w:rPr>
        <w:t xml:space="preserve"> or </w:t>
      </w:r>
      <w:r w:rsidR="00A95CCF">
        <w:rPr>
          <w:rFonts w:ascii="Arial" w:hAnsi="Arial" w:cs="Arial"/>
          <w:b/>
          <w:szCs w:val="24"/>
        </w:rPr>
        <w:t xml:space="preserve">are </w:t>
      </w:r>
      <w:r w:rsidR="000A26BF" w:rsidRPr="0048657D">
        <w:rPr>
          <w:rFonts w:ascii="Arial" w:hAnsi="Arial" w:cs="Arial"/>
          <w:b/>
          <w:szCs w:val="24"/>
        </w:rPr>
        <w:t xml:space="preserve">changes that reflect updates in state law.  However, </w:t>
      </w:r>
      <w:r w:rsidR="00400C1C">
        <w:rPr>
          <w:rFonts w:ascii="Arial" w:hAnsi="Arial" w:cs="Arial"/>
          <w:b/>
          <w:szCs w:val="24"/>
        </w:rPr>
        <w:t xml:space="preserve">a permit change that is being considered for a proposed striker </w:t>
      </w:r>
      <w:r w:rsidR="00541E71" w:rsidRPr="0048657D">
        <w:rPr>
          <w:rFonts w:ascii="Arial" w:hAnsi="Arial" w:cs="Arial"/>
          <w:b/>
          <w:szCs w:val="24"/>
        </w:rPr>
        <w:t>would represent a policy change.</w:t>
      </w:r>
    </w:p>
    <w:p w:rsidR="000A26BF" w:rsidRDefault="000A26BF" w:rsidP="004E646C">
      <w:pPr>
        <w:rPr>
          <w:rFonts w:ascii="Arial" w:hAnsi="Arial" w:cs="Arial"/>
          <w:szCs w:val="24"/>
        </w:rPr>
      </w:pPr>
    </w:p>
    <w:p w:rsidR="000A26BF" w:rsidRPr="00665939" w:rsidRDefault="000A26BF" w:rsidP="004E646C">
      <w:pPr>
        <w:rPr>
          <w:rFonts w:ascii="Arial" w:hAnsi="Arial" w:cs="Arial"/>
          <w:b/>
          <w:i/>
          <w:szCs w:val="24"/>
        </w:rPr>
      </w:pPr>
      <w:r>
        <w:rPr>
          <w:rFonts w:ascii="Arial" w:hAnsi="Arial" w:cs="Arial"/>
          <w:szCs w:val="24"/>
        </w:rPr>
        <w:t xml:space="preserve">The Department of Assessments and Treasury Section </w:t>
      </w:r>
      <w:r w:rsidR="00C54D05">
        <w:rPr>
          <w:rFonts w:ascii="Arial" w:hAnsi="Arial" w:cs="Arial"/>
          <w:szCs w:val="24"/>
        </w:rPr>
        <w:t>(in the</w:t>
      </w:r>
      <w:r>
        <w:rPr>
          <w:rFonts w:ascii="Arial" w:hAnsi="Arial" w:cs="Arial"/>
          <w:szCs w:val="24"/>
        </w:rPr>
        <w:t xml:space="preserve"> Finance and Business Operations Division of the Department of Executive Services</w:t>
      </w:r>
      <w:r w:rsidR="00C54D05">
        <w:rPr>
          <w:rFonts w:ascii="Arial" w:hAnsi="Arial" w:cs="Arial"/>
          <w:szCs w:val="24"/>
        </w:rPr>
        <w:t>)</w:t>
      </w:r>
      <w:r>
        <w:rPr>
          <w:rFonts w:ascii="Arial" w:hAnsi="Arial" w:cs="Arial"/>
          <w:szCs w:val="24"/>
        </w:rPr>
        <w:t xml:space="preserve"> </w:t>
      </w:r>
      <w:r w:rsidR="00D744E8">
        <w:rPr>
          <w:rFonts w:ascii="Arial" w:hAnsi="Arial" w:cs="Arial"/>
          <w:szCs w:val="24"/>
        </w:rPr>
        <w:t>were</w:t>
      </w:r>
      <w:r w:rsidR="00400C1C">
        <w:rPr>
          <w:rFonts w:ascii="Arial" w:hAnsi="Arial" w:cs="Arial"/>
          <w:szCs w:val="24"/>
        </w:rPr>
        <w:t xml:space="preserve"> involved in the development of the proposed </w:t>
      </w:r>
      <w:r w:rsidR="00D744E8">
        <w:rPr>
          <w:rFonts w:ascii="Arial" w:hAnsi="Arial" w:cs="Arial"/>
          <w:szCs w:val="24"/>
        </w:rPr>
        <w:t>ordinance</w:t>
      </w:r>
      <w:r>
        <w:rPr>
          <w:rFonts w:ascii="Arial" w:hAnsi="Arial" w:cs="Arial"/>
          <w:szCs w:val="24"/>
        </w:rPr>
        <w:t>.</w:t>
      </w:r>
      <w:r w:rsidR="0066257C">
        <w:rPr>
          <w:rFonts w:ascii="Arial" w:hAnsi="Arial" w:cs="Arial"/>
          <w:szCs w:val="24"/>
        </w:rPr>
        <w:t xml:space="preserve">  The Department of Permitting and </w:t>
      </w:r>
      <w:r w:rsidR="0066257C">
        <w:rPr>
          <w:rFonts w:ascii="Arial" w:hAnsi="Arial" w:cs="Arial"/>
          <w:szCs w:val="24"/>
        </w:rPr>
        <w:lastRenderedPageBreak/>
        <w:t>Environmental Review has proposed changes to reduce the types of permits that require property tax certifications prior to approval.</w:t>
      </w:r>
      <w:r>
        <w:rPr>
          <w:rFonts w:ascii="Arial" w:hAnsi="Arial" w:cs="Arial"/>
          <w:szCs w:val="24"/>
        </w:rPr>
        <w:t xml:space="preserve">  The Prosecuting Attorney’s Office</w:t>
      </w:r>
      <w:r w:rsidR="0066257C">
        <w:rPr>
          <w:rFonts w:ascii="Arial" w:hAnsi="Arial" w:cs="Arial"/>
          <w:szCs w:val="24"/>
        </w:rPr>
        <w:t xml:space="preserve"> has</w:t>
      </w:r>
      <w:r>
        <w:rPr>
          <w:rFonts w:ascii="Arial" w:hAnsi="Arial" w:cs="Arial"/>
          <w:szCs w:val="24"/>
        </w:rPr>
        <w:t xml:space="preserve"> reviewed the proposed ordinance. Legal review by Council legal </w:t>
      </w:r>
      <w:r w:rsidR="00830BB1">
        <w:rPr>
          <w:rFonts w:ascii="Arial" w:hAnsi="Arial" w:cs="Arial"/>
          <w:szCs w:val="24"/>
        </w:rPr>
        <w:t>counsel</w:t>
      </w:r>
      <w:r>
        <w:rPr>
          <w:rFonts w:ascii="Arial" w:hAnsi="Arial" w:cs="Arial"/>
          <w:szCs w:val="24"/>
        </w:rPr>
        <w:t xml:space="preserve"> is continuing.</w:t>
      </w:r>
      <w:r w:rsidR="00665939">
        <w:rPr>
          <w:rFonts w:ascii="Arial" w:hAnsi="Arial" w:cs="Arial"/>
          <w:szCs w:val="24"/>
        </w:rPr>
        <w:t xml:space="preserve">  </w:t>
      </w:r>
      <w:r w:rsidR="00400C1C">
        <w:rPr>
          <w:rFonts w:ascii="Arial" w:hAnsi="Arial" w:cs="Arial"/>
          <w:b/>
          <w:szCs w:val="24"/>
        </w:rPr>
        <w:t xml:space="preserve">A striker is being prepared. </w:t>
      </w:r>
      <w:r w:rsidR="00665939">
        <w:rPr>
          <w:rFonts w:ascii="Arial" w:hAnsi="Arial" w:cs="Arial"/>
          <w:b/>
          <w:szCs w:val="24"/>
        </w:rPr>
        <w:t>This item is not yet ready for action.</w:t>
      </w:r>
    </w:p>
    <w:p w:rsidR="00D16B63" w:rsidRDefault="00D16B63" w:rsidP="00C37A37">
      <w:pPr>
        <w:rPr>
          <w:rFonts w:ascii="Arial" w:hAnsi="Arial" w:cs="Arial"/>
          <w:b/>
          <w:smallCaps/>
          <w:szCs w:val="24"/>
          <w:u w:val="single"/>
        </w:rPr>
      </w:pPr>
    </w:p>
    <w:p w:rsidR="00D16B63" w:rsidRPr="009864F8" w:rsidRDefault="00D16B63" w:rsidP="00C37A37">
      <w:pPr>
        <w:rPr>
          <w:rFonts w:ascii="Arial" w:hAnsi="Arial" w:cs="Arial"/>
          <w:b/>
          <w:smallCaps/>
          <w:szCs w:val="24"/>
        </w:rPr>
      </w:pPr>
      <w:r>
        <w:rPr>
          <w:rFonts w:ascii="Arial" w:hAnsi="Arial" w:cs="Arial"/>
          <w:b/>
          <w:smallCaps/>
          <w:szCs w:val="24"/>
          <w:u w:val="single"/>
        </w:rPr>
        <w:t>BACKGROUND</w:t>
      </w:r>
    </w:p>
    <w:p w:rsidR="001404CF" w:rsidRDefault="001404CF" w:rsidP="00515150">
      <w:pPr>
        <w:rPr>
          <w:rFonts w:ascii="Arial" w:hAnsi="Arial" w:cs="Arial"/>
        </w:rPr>
      </w:pPr>
    </w:p>
    <w:p w:rsidR="00A90FF6" w:rsidRDefault="00A90FF6" w:rsidP="00A90FF6">
      <w:pPr>
        <w:pStyle w:val="BodyText"/>
        <w:rPr>
          <w:rFonts w:ascii="Arial" w:hAnsi="Arial" w:cs="Arial"/>
          <w:i w:val="0"/>
          <w:szCs w:val="24"/>
          <w:u w:val="single"/>
        </w:rPr>
      </w:pPr>
      <w:r>
        <w:rPr>
          <w:rFonts w:ascii="Arial" w:hAnsi="Arial" w:cs="Arial"/>
          <w:i w:val="0"/>
          <w:szCs w:val="24"/>
          <w:u w:val="single"/>
        </w:rPr>
        <w:t>The Title 4 Effort</w:t>
      </w:r>
    </w:p>
    <w:p w:rsidR="00A90FF6" w:rsidRDefault="00A90FF6" w:rsidP="00A90FF6">
      <w:pPr>
        <w:pStyle w:val="BodyText"/>
        <w:rPr>
          <w:rFonts w:ascii="Arial" w:hAnsi="Arial" w:cs="Arial"/>
          <w:i w:val="0"/>
          <w:szCs w:val="24"/>
          <w:u w:val="single"/>
        </w:rPr>
      </w:pPr>
    </w:p>
    <w:p w:rsidR="00A90FF6" w:rsidRDefault="00A90FF6" w:rsidP="00A90FF6">
      <w:pPr>
        <w:pStyle w:val="BodyText"/>
        <w:rPr>
          <w:rFonts w:ascii="Arial" w:hAnsi="Arial" w:cs="Arial"/>
          <w:i w:val="0"/>
          <w:szCs w:val="24"/>
        </w:rPr>
      </w:pPr>
      <w:r>
        <w:rPr>
          <w:rFonts w:ascii="Arial" w:hAnsi="Arial" w:cs="Arial"/>
          <w:i w:val="0"/>
          <w:szCs w:val="24"/>
        </w:rPr>
        <w:t>Title 4 of the King County Code relates to Revenue and Financial Regulation.  As of 2011, Title 4 had</w:t>
      </w:r>
      <w:r w:rsidRPr="00624FB2">
        <w:rPr>
          <w:rFonts w:ascii="Arial" w:hAnsi="Arial" w:cs="Arial"/>
          <w:i w:val="0"/>
          <w:szCs w:val="24"/>
        </w:rPr>
        <w:t xml:space="preserve"> not been comprehensively reviewed since the Council began codification in-house in the late 1980's</w:t>
      </w:r>
      <w:r>
        <w:rPr>
          <w:rFonts w:ascii="Arial" w:hAnsi="Arial" w:cs="Arial"/>
          <w:i w:val="0"/>
          <w:szCs w:val="24"/>
        </w:rPr>
        <w:t xml:space="preserve"> – almost thirty years ago.  The last reviews were attempted in 1999 and 2005, but the efforts did not reach conclusion and the title was not comprehensively revised.  </w:t>
      </w:r>
    </w:p>
    <w:p w:rsidR="00A90FF6" w:rsidRDefault="00A90FF6" w:rsidP="00A90FF6">
      <w:pPr>
        <w:pStyle w:val="BodyText"/>
        <w:rPr>
          <w:rFonts w:ascii="Arial" w:hAnsi="Arial" w:cs="Arial"/>
          <w:i w:val="0"/>
          <w:szCs w:val="24"/>
        </w:rPr>
      </w:pPr>
    </w:p>
    <w:p w:rsidR="00A90FF6" w:rsidRDefault="00A90FF6" w:rsidP="00A90FF6">
      <w:pPr>
        <w:pStyle w:val="BodyText"/>
        <w:rPr>
          <w:rFonts w:ascii="Arial" w:hAnsi="Arial" w:cs="Arial"/>
          <w:i w:val="0"/>
          <w:szCs w:val="24"/>
        </w:rPr>
      </w:pPr>
      <w:r>
        <w:rPr>
          <w:rFonts w:ascii="Arial" w:hAnsi="Arial" w:cs="Arial"/>
          <w:i w:val="0"/>
          <w:szCs w:val="24"/>
        </w:rPr>
        <w:t>In 2011, the County Council directed a new effort to clean up provisions of Title 4 and move them into a new Title 4A.  The chapters that have been moved to date and the remaining areas of Title 4 are summarized in Table 1, below.</w:t>
      </w:r>
    </w:p>
    <w:p w:rsidR="00A90FF6" w:rsidRDefault="00A90FF6" w:rsidP="00A90FF6">
      <w:pPr>
        <w:pStyle w:val="BodyText"/>
        <w:rPr>
          <w:rFonts w:ascii="Arial" w:hAnsi="Arial" w:cs="Arial"/>
          <w:i w:val="0"/>
          <w:szCs w:val="24"/>
        </w:rPr>
      </w:pPr>
    </w:p>
    <w:p w:rsidR="00A64D19" w:rsidRPr="00225583" w:rsidRDefault="00A64D19" w:rsidP="00A64D19">
      <w:pPr>
        <w:jc w:val="center"/>
        <w:outlineLvl w:val="0"/>
        <w:rPr>
          <w:rFonts w:ascii="Arial" w:hAnsi="Arial" w:cs="Arial"/>
          <w:b/>
        </w:rPr>
      </w:pPr>
      <w:proofErr w:type="gramStart"/>
      <w:r w:rsidRPr="00225583">
        <w:rPr>
          <w:rFonts w:ascii="Arial" w:hAnsi="Arial" w:cs="Arial"/>
          <w:b/>
        </w:rPr>
        <w:t>Table 1.</w:t>
      </w:r>
      <w:proofErr w:type="gramEnd"/>
      <w:r w:rsidRPr="00225583">
        <w:rPr>
          <w:rFonts w:ascii="Arial" w:hAnsi="Arial" w:cs="Arial"/>
          <w:b/>
        </w:rPr>
        <w:t xml:space="preserve">  Bodies of Work for Title 4 Comprehensive Review and Title 4A Migration</w:t>
      </w:r>
    </w:p>
    <w:p w:rsidR="00A64D19" w:rsidRPr="00225583" w:rsidRDefault="00A64D19" w:rsidP="00A64D19">
      <w:pPr>
        <w:jc w:val="center"/>
        <w:outlineLvl w:val="0"/>
        <w:rPr>
          <w:rFonts w:ascii="Arial" w:hAnsi="Arial" w:cs="Arial"/>
          <w:i/>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1529"/>
        <w:gridCol w:w="1440"/>
        <w:gridCol w:w="5131"/>
      </w:tblGrid>
      <w:tr w:rsidR="00A64D19" w:rsidRPr="0021040D" w:rsidTr="00A64D19">
        <w:tc>
          <w:tcPr>
            <w:tcW w:w="763" w:type="pct"/>
            <w:shd w:val="clear" w:color="auto" w:fill="FABF8F"/>
          </w:tcPr>
          <w:p w:rsidR="00A64D19" w:rsidRPr="0021040D" w:rsidRDefault="00A64D19" w:rsidP="00AC79F6">
            <w:pPr>
              <w:pStyle w:val="BodyText"/>
              <w:tabs>
                <w:tab w:val="left" w:pos="720"/>
              </w:tabs>
              <w:rPr>
                <w:rFonts w:ascii="Arial" w:hAnsi="Arial" w:cs="Arial"/>
                <w:b/>
                <w:i w:val="0"/>
                <w:sz w:val="22"/>
                <w:szCs w:val="22"/>
              </w:rPr>
            </w:pPr>
            <w:r w:rsidRPr="0021040D">
              <w:rPr>
                <w:rFonts w:ascii="Arial" w:hAnsi="Arial" w:cs="Arial"/>
                <w:b/>
                <w:i w:val="0"/>
                <w:sz w:val="22"/>
                <w:szCs w:val="22"/>
              </w:rPr>
              <w:t>Date of Action</w:t>
            </w:r>
          </w:p>
        </w:tc>
        <w:tc>
          <w:tcPr>
            <w:tcW w:w="800" w:type="pct"/>
            <w:shd w:val="clear" w:color="auto" w:fill="FABF8F"/>
          </w:tcPr>
          <w:p w:rsidR="00A64D19" w:rsidRPr="00225583" w:rsidRDefault="00A64D19" w:rsidP="00AC79F6">
            <w:pPr>
              <w:pStyle w:val="BodyText"/>
              <w:tabs>
                <w:tab w:val="left" w:pos="720"/>
              </w:tabs>
              <w:rPr>
                <w:rFonts w:ascii="Arial" w:hAnsi="Arial" w:cs="Arial"/>
                <w:b/>
                <w:i w:val="0"/>
                <w:sz w:val="22"/>
                <w:szCs w:val="22"/>
              </w:rPr>
            </w:pPr>
            <w:r w:rsidRPr="00225583">
              <w:rPr>
                <w:rFonts w:ascii="Arial" w:hAnsi="Arial" w:cs="Arial"/>
                <w:b/>
                <w:i w:val="0"/>
                <w:sz w:val="22"/>
                <w:szCs w:val="22"/>
              </w:rPr>
              <w:t>Subject Area</w:t>
            </w:r>
          </w:p>
        </w:tc>
        <w:tc>
          <w:tcPr>
            <w:tcW w:w="753" w:type="pct"/>
            <w:shd w:val="clear" w:color="auto" w:fill="FABF8F"/>
          </w:tcPr>
          <w:p w:rsidR="00A64D19" w:rsidRPr="0021040D" w:rsidRDefault="00A64D19" w:rsidP="00AC79F6">
            <w:pPr>
              <w:pStyle w:val="BodyText"/>
              <w:tabs>
                <w:tab w:val="left" w:pos="720"/>
              </w:tabs>
              <w:rPr>
                <w:rFonts w:ascii="Arial" w:hAnsi="Arial" w:cs="Arial"/>
                <w:b/>
                <w:i w:val="0"/>
                <w:sz w:val="22"/>
                <w:szCs w:val="22"/>
              </w:rPr>
            </w:pPr>
            <w:r w:rsidRPr="0021040D">
              <w:rPr>
                <w:rFonts w:ascii="Arial" w:hAnsi="Arial" w:cs="Arial"/>
                <w:b/>
                <w:i w:val="0"/>
                <w:sz w:val="22"/>
                <w:szCs w:val="22"/>
              </w:rPr>
              <w:t>Citation</w:t>
            </w:r>
          </w:p>
        </w:tc>
        <w:tc>
          <w:tcPr>
            <w:tcW w:w="2684" w:type="pct"/>
            <w:shd w:val="clear" w:color="auto" w:fill="FABF8F"/>
          </w:tcPr>
          <w:p w:rsidR="00A64D19" w:rsidRPr="0021040D" w:rsidRDefault="00A64D19" w:rsidP="00AC79F6">
            <w:pPr>
              <w:pStyle w:val="BodyText"/>
              <w:tabs>
                <w:tab w:val="left" w:pos="720"/>
              </w:tabs>
              <w:rPr>
                <w:rFonts w:ascii="Arial" w:hAnsi="Arial" w:cs="Arial"/>
                <w:b/>
                <w:i w:val="0"/>
                <w:sz w:val="22"/>
                <w:szCs w:val="22"/>
              </w:rPr>
            </w:pPr>
            <w:r w:rsidRPr="0021040D">
              <w:rPr>
                <w:rFonts w:ascii="Arial" w:hAnsi="Arial" w:cs="Arial"/>
                <w:b/>
                <w:i w:val="0"/>
                <w:sz w:val="22"/>
                <w:szCs w:val="22"/>
              </w:rPr>
              <w:t>Description of Work</w:t>
            </w:r>
          </w:p>
        </w:tc>
      </w:tr>
      <w:tr w:rsidR="00A64D19" w:rsidRPr="00225583" w:rsidTr="00AC79F6">
        <w:tc>
          <w:tcPr>
            <w:tcW w:w="763" w:type="pct"/>
          </w:tcPr>
          <w:p w:rsidR="00A64D19" w:rsidRPr="00225583" w:rsidRDefault="00A64D19" w:rsidP="00A64D19">
            <w:pPr>
              <w:pStyle w:val="ListParagraph0"/>
              <w:numPr>
                <w:ilvl w:val="0"/>
                <w:numId w:val="20"/>
              </w:numPr>
              <w:spacing w:line="240" w:lineRule="auto"/>
              <w:ind w:left="360"/>
              <w:outlineLvl w:val="0"/>
              <w:rPr>
                <w:rFonts w:ascii="Arial" w:hAnsi="Arial" w:cs="Arial"/>
                <w:sz w:val="22"/>
                <w:szCs w:val="22"/>
              </w:rPr>
            </w:pPr>
            <w:r w:rsidRPr="00225583">
              <w:rPr>
                <w:rFonts w:ascii="Arial" w:hAnsi="Arial" w:cs="Arial"/>
                <w:sz w:val="22"/>
                <w:szCs w:val="22"/>
              </w:rPr>
              <w:t>07/25/11</w:t>
            </w:r>
          </w:p>
        </w:tc>
        <w:tc>
          <w:tcPr>
            <w:tcW w:w="800" w:type="pct"/>
          </w:tcPr>
          <w:p w:rsidR="00A64D19" w:rsidRPr="00225583" w:rsidRDefault="00A64D19" w:rsidP="00AC79F6">
            <w:pPr>
              <w:pStyle w:val="BodyText"/>
              <w:tabs>
                <w:tab w:val="left" w:pos="720"/>
              </w:tabs>
              <w:rPr>
                <w:rFonts w:ascii="Arial" w:hAnsi="Arial" w:cs="Arial"/>
                <w:i w:val="0"/>
                <w:sz w:val="22"/>
                <w:szCs w:val="22"/>
              </w:rPr>
            </w:pPr>
            <w:r w:rsidRPr="00225583">
              <w:rPr>
                <w:rFonts w:ascii="Arial" w:hAnsi="Arial" w:cs="Arial"/>
                <w:i w:val="0"/>
                <w:sz w:val="22"/>
                <w:szCs w:val="22"/>
              </w:rPr>
              <w:t>Court Fees</w:t>
            </w:r>
          </w:p>
        </w:tc>
        <w:tc>
          <w:tcPr>
            <w:tcW w:w="753" w:type="pct"/>
          </w:tcPr>
          <w:p w:rsidR="00A64D19" w:rsidRPr="00225583" w:rsidRDefault="00A64D19" w:rsidP="00AC79F6">
            <w:pPr>
              <w:pStyle w:val="BodyText"/>
              <w:tabs>
                <w:tab w:val="left" w:pos="720"/>
              </w:tabs>
              <w:rPr>
                <w:rFonts w:ascii="Arial" w:hAnsi="Arial" w:cs="Arial"/>
                <w:i w:val="0"/>
                <w:sz w:val="22"/>
                <w:szCs w:val="22"/>
              </w:rPr>
            </w:pPr>
            <w:r w:rsidRPr="00225583">
              <w:rPr>
                <w:rFonts w:ascii="Arial" w:hAnsi="Arial" w:cs="Arial"/>
                <w:i w:val="0"/>
                <w:sz w:val="22"/>
                <w:szCs w:val="22"/>
              </w:rPr>
              <w:t>Ord. 17150</w:t>
            </w:r>
          </w:p>
          <w:p w:rsidR="00A64D19" w:rsidRPr="00225583" w:rsidRDefault="00A64D19" w:rsidP="00AC79F6">
            <w:pPr>
              <w:pStyle w:val="BodyText"/>
              <w:tabs>
                <w:tab w:val="left" w:pos="720"/>
              </w:tabs>
              <w:rPr>
                <w:rFonts w:ascii="Arial" w:hAnsi="Arial" w:cs="Arial"/>
                <w:i w:val="0"/>
                <w:sz w:val="22"/>
                <w:szCs w:val="22"/>
              </w:rPr>
            </w:pPr>
            <w:r w:rsidRPr="00225583">
              <w:rPr>
                <w:rFonts w:ascii="Arial" w:hAnsi="Arial" w:cs="Arial"/>
                <w:i w:val="0"/>
                <w:sz w:val="22"/>
                <w:szCs w:val="22"/>
              </w:rPr>
              <w:t>(2011-0222)</w:t>
            </w:r>
          </w:p>
        </w:tc>
        <w:tc>
          <w:tcPr>
            <w:tcW w:w="2684" w:type="pct"/>
          </w:tcPr>
          <w:p w:rsidR="00A64D19" w:rsidRPr="00225583" w:rsidRDefault="00A64D19" w:rsidP="00AC79F6">
            <w:pPr>
              <w:pStyle w:val="BodyText"/>
              <w:tabs>
                <w:tab w:val="left" w:pos="720"/>
              </w:tabs>
              <w:rPr>
                <w:rFonts w:ascii="Arial" w:hAnsi="Arial" w:cs="Arial"/>
                <w:i w:val="0"/>
                <w:sz w:val="22"/>
                <w:szCs w:val="22"/>
              </w:rPr>
            </w:pPr>
            <w:r w:rsidRPr="00225583">
              <w:rPr>
                <w:rFonts w:ascii="Arial" w:hAnsi="Arial" w:cs="Arial"/>
                <w:i w:val="0"/>
                <w:sz w:val="22"/>
                <w:szCs w:val="22"/>
              </w:rPr>
              <w:t xml:space="preserve">Ordinance 17150 incorporated Superior Court and Dept. of Judicial Administration-related fees into the new Title 4A.  </w:t>
            </w:r>
          </w:p>
        </w:tc>
      </w:tr>
      <w:tr w:rsidR="00A64D19" w:rsidRPr="00225583" w:rsidTr="00AC79F6">
        <w:tc>
          <w:tcPr>
            <w:tcW w:w="763" w:type="pct"/>
          </w:tcPr>
          <w:p w:rsidR="00A64D19" w:rsidRPr="00225583" w:rsidRDefault="00A64D19" w:rsidP="00A64D19">
            <w:pPr>
              <w:pStyle w:val="ListParagraph0"/>
              <w:numPr>
                <w:ilvl w:val="0"/>
                <w:numId w:val="20"/>
              </w:numPr>
              <w:spacing w:line="240" w:lineRule="auto"/>
              <w:ind w:left="360"/>
              <w:outlineLvl w:val="0"/>
              <w:rPr>
                <w:rFonts w:ascii="Arial" w:hAnsi="Arial" w:cs="Arial"/>
                <w:sz w:val="22"/>
                <w:szCs w:val="22"/>
              </w:rPr>
            </w:pPr>
            <w:r w:rsidRPr="00225583">
              <w:rPr>
                <w:rFonts w:ascii="Arial" w:hAnsi="Arial" w:cs="Arial"/>
                <w:sz w:val="22"/>
                <w:szCs w:val="22"/>
              </w:rPr>
              <w:t>11/09/11</w:t>
            </w:r>
          </w:p>
        </w:tc>
        <w:tc>
          <w:tcPr>
            <w:tcW w:w="800" w:type="pct"/>
          </w:tcPr>
          <w:p w:rsidR="00A64D19" w:rsidRPr="00225583" w:rsidRDefault="00A64D19" w:rsidP="00AC79F6">
            <w:pPr>
              <w:pStyle w:val="BodyText"/>
              <w:tabs>
                <w:tab w:val="left" w:pos="720"/>
              </w:tabs>
              <w:rPr>
                <w:rFonts w:ascii="Arial" w:hAnsi="Arial" w:cs="Arial"/>
                <w:i w:val="0"/>
                <w:sz w:val="22"/>
                <w:szCs w:val="22"/>
              </w:rPr>
            </w:pPr>
            <w:r w:rsidRPr="00225583">
              <w:rPr>
                <w:rFonts w:ascii="Arial" w:hAnsi="Arial" w:cs="Arial"/>
                <w:i w:val="0"/>
                <w:sz w:val="22"/>
                <w:szCs w:val="22"/>
              </w:rPr>
              <w:t>Interim Definitions</w:t>
            </w:r>
          </w:p>
        </w:tc>
        <w:tc>
          <w:tcPr>
            <w:tcW w:w="753" w:type="pct"/>
          </w:tcPr>
          <w:p w:rsidR="00A64D19" w:rsidRPr="00225583" w:rsidRDefault="00A64D19" w:rsidP="00AC79F6">
            <w:pPr>
              <w:pStyle w:val="BodyText"/>
              <w:tabs>
                <w:tab w:val="left" w:pos="720"/>
              </w:tabs>
              <w:rPr>
                <w:rFonts w:ascii="Arial" w:hAnsi="Arial" w:cs="Arial"/>
                <w:i w:val="0"/>
                <w:sz w:val="22"/>
                <w:szCs w:val="22"/>
              </w:rPr>
            </w:pPr>
            <w:r w:rsidRPr="00225583">
              <w:rPr>
                <w:rFonts w:ascii="Arial" w:hAnsi="Arial" w:cs="Arial"/>
                <w:i w:val="0"/>
                <w:sz w:val="22"/>
                <w:szCs w:val="22"/>
              </w:rPr>
              <w:t>Ord. 17229</w:t>
            </w:r>
          </w:p>
          <w:p w:rsidR="00A64D19" w:rsidRPr="00225583" w:rsidRDefault="00A64D19" w:rsidP="00AC79F6">
            <w:pPr>
              <w:pStyle w:val="BodyText"/>
              <w:tabs>
                <w:tab w:val="left" w:pos="720"/>
              </w:tabs>
              <w:rPr>
                <w:rFonts w:ascii="Arial" w:hAnsi="Arial" w:cs="Arial"/>
                <w:i w:val="0"/>
                <w:sz w:val="22"/>
                <w:szCs w:val="22"/>
              </w:rPr>
            </w:pPr>
            <w:r w:rsidRPr="00225583">
              <w:rPr>
                <w:rFonts w:ascii="Arial" w:hAnsi="Arial" w:cs="Arial"/>
                <w:i w:val="0"/>
                <w:sz w:val="22"/>
                <w:szCs w:val="22"/>
              </w:rPr>
              <w:t>(2011-0403)</w:t>
            </w:r>
          </w:p>
          <w:p w:rsidR="00A64D19" w:rsidRPr="00225583" w:rsidRDefault="00A64D19" w:rsidP="00AC79F6">
            <w:pPr>
              <w:pStyle w:val="BodyText"/>
              <w:tabs>
                <w:tab w:val="left" w:pos="720"/>
              </w:tabs>
              <w:rPr>
                <w:rFonts w:ascii="Arial" w:hAnsi="Arial" w:cs="Arial"/>
                <w:i w:val="0"/>
                <w:sz w:val="22"/>
                <w:szCs w:val="22"/>
              </w:rPr>
            </w:pPr>
          </w:p>
        </w:tc>
        <w:tc>
          <w:tcPr>
            <w:tcW w:w="2684" w:type="pct"/>
          </w:tcPr>
          <w:p w:rsidR="00A64D19" w:rsidRPr="00225583" w:rsidRDefault="00A64D19" w:rsidP="00AC79F6">
            <w:pPr>
              <w:pStyle w:val="BodyText"/>
              <w:tabs>
                <w:tab w:val="left" w:pos="720"/>
              </w:tabs>
              <w:rPr>
                <w:rFonts w:ascii="Arial" w:hAnsi="Arial" w:cs="Arial"/>
                <w:i w:val="0"/>
                <w:sz w:val="22"/>
                <w:szCs w:val="22"/>
              </w:rPr>
            </w:pPr>
            <w:r w:rsidRPr="00225583">
              <w:rPr>
                <w:rFonts w:ascii="Arial" w:hAnsi="Arial" w:cs="Arial"/>
                <w:i w:val="0"/>
                <w:sz w:val="22"/>
                <w:szCs w:val="22"/>
              </w:rPr>
              <w:t>Ordinance 17229 aligned Title 4 phase definitions with the Accountable Business Transformation (ABT) project management system that was about to go live.</w:t>
            </w:r>
          </w:p>
        </w:tc>
      </w:tr>
      <w:tr w:rsidR="00A64D19" w:rsidRPr="00225583" w:rsidTr="00AC79F6">
        <w:tc>
          <w:tcPr>
            <w:tcW w:w="763" w:type="pct"/>
          </w:tcPr>
          <w:p w:rsidR="00A64D19" w:rsidRPr="00225583" w:rsidRDefault="00A64D19" w:rsidP="00A64D19">
            <w:pPr>
              <w:pStyle w:val="ListParagraph0"/>
              <w:numPr>
                <w:ilvl w:val="0"/>
                <w:numId w:val="20"/>
              </w:numPr>
              <w:spacing w:line="240" w:lineRule="auto"/>
              <w:ind w:left="360"/>
              <w:outlineLvl w:val="0"/>
              <w:rPr>
                <w:rFonts w:ascii="Arial" w:hAnsi="Arial" w:cs="Arial"/>
                <w:sz w:val="22"/>
                <w:szCs w:val="22"/>
              </w:rPr>
            </w:pPr>
            <w:r w:rsidRPr="00225583">
              <w:rPr>
                <w:rFonts w:ascii="Arial" w:hAnsi="Arial" w:cs="Arial"/>
                <w:sz w:val="22"/>
                <w:szCs w:val="22"/>
              </w:rPr>
              <w:t>04/02/12</w:t>
            </w:r>
          </w:p>
        </w:tc>
        <w:tc>
          <w:tcPr>
            <w:tcW w:w="800" w:type="pct"/>
          </w:tcPr>
          <w:p w:rsidR="00A64D19" w:rsidRPr="00225583" w:rsidRDefault="00A64D19" w:rsidP="00AC79F6">
            <w:pPr>
              <w:pStyle w:val="BodyText"/>
              <w:tabs>
                <w:tab w:val="left" w:pos="720"/>
              </w:tabs>
              <w:rPr>
                <w:rFonts w:ascii="Arial" w:hAnsi="Arial" w:cs="Arial"/>
                <w:i w:val="0"/>
                <w:sz w:val="22"/>
                <w:szCs w:val="22"/>
              </w:rPr>
            </w:pPr>
            <w:r w:rsidRPr="00225583">
              <w:rPr>
                <w:rFonts w:ascii="Arial" w:hAnsi="Arial" w:cs="Arial"/>
                <w:i w:val="0"/>
                <w:sz w:val="22"/>
                <w:szCs w:val="22"/>
              </w:rPr>
              <w:t>Taxes</w:t>
            </w:r>
          </w:p>
        </w:tc>
        <w:tc>
          <w:tcPr>
            <w:tcW w:w="753" w:type="pct"/>
          </w:tcPr>
          <w:p w:rsidR="00A64D19" w:rsidRPr="00225583" w:rsidRDefault="00A64D19" w:rsidP="00AC79F6">
            <w:pPr>
              <w:rPr>
                <w:rFonts w:ascii="Arial" w:hAnsi="Arial" w:cs="Arial"/>
                <w:sz w:val="22"/>
                <w:szCs w:val="22"/>
              </w:rPr>
            </w:pPr>
            <w:r w:rsidRPr="00225583">
              <w:rPr>
                <w:rFonts w:ascii="Arial" w:hAnsi="Arial" w:cs="Arial"/>
                <w:sz w:val="22"/>
                <w:szCs w:val="22"/>
              </w:rPr>
              <w:t>Ord. 17291 (2012-0086)</w:t>
            </w:r>
          </w:p>
        </w:tc>
        <w:tc>
          <w:tcPr>
            <w:tcW w:w="2684" w:type="pct"/>
          </w:tcPr>
          <w:p w:rsidR="00A64D19" w:rsidRPr="00225583" w:rsidRDefault="00A64D19" w:rsidP="00AC79F6">
            <w:pPr>
              <w:rPr>
                <w:rFonts w:ascii="Arial" w:hAnsi="Arial" w:cs="Arial"/>
                <w:sz w:val="22"/>
                <w:szCs w:val="22"/>
              </w:rPr>
            </w:pPr>
            <w:r w:rsidRPr="00225583">
              <w:rPr>
                <w:rFonts w:ascii="Arial" w:hAnsi="Arial" w:cs="Arial"/>
                <w:sz w:val="22"/>
                <w:szCs w:val="22"/>
              </w:rPr>
              <w:t xml:space="preserve">Ordinance 17291 moved tax chapters relating to sales and use taxes, excise taxes, </w:t>
            </w:r>
            <w:r>
              <w:rPr>
                <w:rFonts w:ascii="Arial" w:hAnsi="Arial" w:cs="Arial"/>
                <w:sz w:val="22"/>
                <w:szCs w:val="22"/>
              </w:rPr>
              <w:t xml:space="preserve">and hotel-motel tax </w:t>
            </w:r>
            <w:r w:rsidRPr="00225583">
              <w:rPr>
                <w:rFonts w:ascii="Arial" w:hAnsi="Arial" w:cs="Arial"/>
                <w:sz w:val="22"/>
                <w:szCs w:val="22"/>
              </w:rPr>
              <w:t xml:space="preserve">to Title 4A, including 4.28, 4.29, 4.30, 4.31, 4.32, 4.33, 4.34, </w:t>
            </w:r>
            <w:r>
              <w:rPr>
                <w:rFonts w:ascii="Arial" w:hAnsi="Arial" w:cs="Arial"/>
                <w:sz w:val="22"/>
                <w:szCs w:val="22"/>
              </w:rPr>
              <w:t xml:space="preserve">and </w:t>
            </w:r>
            <w:r w:rsidRPr="00225583">
              <w:rPr>
                <w:rFonts w:ascii="Arial" w:hAnsi="Arial" w:cs="Arial"/>
                <w:sz w:val="22"/>
                <w:szCs w:val="22"/>
              </w:rPr>
              <w:t>4.42</w:t>
            </w:r>
            <w:r>
              <w:rPr>
                <w:rFonts w:ascii="Arial" w:hAnsi="Arial" w:cs="Arial"/>
                <w:sz w:val="22"/>
                <w:szCs w:val="22"/>
              </w:rPr>
              <w:t>.</w:t>
            </w:r>
          </w:p>
        </w:tc>
      </w:tr>
      <w:tr w:rsidR="00A64D19" w:rsidRPr="00225583" w:rsidTr="00AC79F6">
        <w:tc>
          <w:tcPr>
            <w:tcW w:w="763" w:type="pct"/>
          </w:tcPr>
          <w:p w:rsidR="00A64D19" w:rsidRPr="00225583" w:rsidRDefault="00A64D19" w:rsidP="00A64D19">
            <w:pPr>
              <w:pStyle w:val="ListParagraph0"/>
              <w:numPr>
                <w:ilvl w:val="0"/>
                <w:numId w:val="20"/>
              </w:numPr>
              <w:spacing w:line="240" w:lineRule="auto"/>
              <w:ind w:left="360"/>
              <w:outlineLvl w:val="0"/>
              <w:rPr>
                <w:rFonts w:ascii="Arial" w:hAnsi="Arial" w:cs="Arial"/>
                <w:sz w:val="22"/>
                <w:szCs w:val="22"/>
              </w:rPr>
            </w:pPr>
            <w:r w:rsidRPr="00225583">
              <w:rPr>
                <w:rFonts w:ascii="Arial" w:hAnsi="Arial" w:cs="Arial"/>
                <w:sz w:val="22"/>
                <w:szCs w:val="22"/>
              </w:rPr>
              <w:t>04/02/12</w:t>
            </w:r>
          </w:p>
        </w:tc>
        <w:tc>
          <w:tcPr>
            <w:tcW w:w="800" w:type="pct"/>
          </w:tcPr>
          <w:p w:rsidR="00A64D19" w:rsidRPr="00225583" w:rsidRDefault="00A64D19" w:rsidP="00AC79F6">
            <w:pPr>
              <w:pStyle w:val="BodyText"/>
              <w:tabs>
                <w:tab w:val="left" w:pos="720"/>
              </w:tabs>
              <w:rPr>
                <w:rFonts w:ascii="Arial" w:hAnsi="Arial" w:cs="Arial"/>
                <w:i w:val="0"/>
                <w:sz w:val="22"/>
                <w:szCs w:val="22"/>
              </w:rPr>
            </w:pPr>
            <w:r w:rsidRPr="00225583">
              <w:rPr>
                <w:rFonts w:ascii="Arial" w:hAnsi="Arial" w:cs="Arial"/>
                <w:i w:val="0"/>
                <w:sz w:val="22"/>
                <w:szCs w:val="22"/>
              </w:rPr>
              <w:t>Title 4 Fees</w:t>
            </w:r>
          </w:p>
        </w:tc>
        <w:tc>
          <w:tcPr>
            <w:tcW w:w="753" w:type="pct"/>
          </w:tcPr>
          <w:p w:rsidR="00A64D19" w:rsidRPr="00225583" w:rsidRDefault="00A64D19" w:rsidP="00AC79F6">
            <w:pPr>
              <w:pStyle w:val="BodyText"/>
              <w:tabs>
                <w:tab w:val="left" w:pos="720"/>
              </w:tabs>
              <w:rPr>
                <w:rFonts w:ascii="Arial" w:hAnsi="Arial" w:cs="Arial"/>
                <w:i w:val="0"/>
                <w:sz w:val="22"/>
                <w:szCs w:val="22"/>
              </w:rPr>
            </w:pPr>
            <w:r w:rsidRPr="00225583">
              <w:rPr>
                <w:rFonts w:ascii="Arial" w:hAnsi="Arial" w:cs="Arial"/>
                <w:i w:val="0"/>
                <w:sz w:val="22"/>
                <w:szCs w:val="22"/>
              </w:rPr>
              <w:t>Ord. 17292 (2012-0087)</w:t>
            </w:r>
          </w:p>
        </w:tc>
        <w:tc>
          <w:tcPr>
            <w:tcW w:w="2684" w:type="pct"/>
          </w:tcPr>
          <w:p w:rsidR="00A64D19" w:rsidRPr="00225583" w:rsidRDefault="00A64D19" w:rsidP="00AC79F6">
            <w:pPr>
              <w:pStyle w:val="BodyText"/>
              <w:tabs>
                <w:tab w:val="left" w:pos="720"/>
              </w:tabs>
              <w:rPr>
                <w:rFonts w:ascii="Arial" w:hAnsi="Arial" w:cs="Arial"/>
                <w:i w:val="0"/>
                <w:sz w:val="22"/>
                <w:szCs w:val="22"/>
              </w:rPr>
            </w:pPr>
            <w:r w:rsidRPr="00225583">
              <w:rPr>
                <w:rFonts w:ascii="Arial" w:hAnsi="Arial" w:cs="Arial"/>
                <w:i w:val="0"/>
                <w:sz w:val="22"/>
                <w:szCs w:val="22"/>
              </w:rPr>
              <w:t>Ordinance 17292 moved the rest of Title 4 county fee chapters to Title 4A, capturing non-court-related fees such as vehicle license fees, sewer rates, transit fares, etc.</w:t>
            </w:r>
          </w:p>
        </w:tc>
      </w:tr>
      <w:tr w:rsidR="00A64D19" w:rsidRPr="00225583" w:rsidTr="00AC79F6">
        <w:tc>
          <w:tcPr>
            <w:tcW w:w="763" w:type="pct"/>
          </w:tcPr>
          <w:p w:rsidR="00A64D19" w:rsidRPr="00225583" w:rsidRDefault="00A64D19" w:rsidP="00A64D19">
            <w:pPr>
              <w:pStyle w:val="ListParagraph0"/>
              <w:numPr>
                <w:ilvl w:val="0"/>
                <w:numId w:val="20"/>
              </w:numPr>
              <w:spacing w:line="240" w:lineRule="auto"/>
              <w:ind w:left="360"/>
              <w:outlineLvl w:val="0"/>
              <w:rPr>
                <w:rFonts w:ascii="Arial" w:hAnsi="Arial" w:cs="Arial"/>
                <w:sz w:val="22"/>
                <w:szCs w:val="22"/>
              </w:rPr>
            </w:pPr>
            <w:r w:rsidRPr="00225583">
              <w:rPr>
                <w:rFonts w:ascii="Arial" w:hAnsi="Arial" w:cs="Arial"/>
                <w:sz w:val="22"/>
                <w:szCs w:val="22"/>
              </w:rPr>
              <w:t>04/02/12</w:t>
            </w:r>
          </w:p>
        </w:tc>
        <w:tc>
          <w:tcPr>
            <w:tcW w:w="800" w:type="pct"/>
          </w:tcPr>
          <w:p w:rsidR="00A64D19" w:rsidRPr="00225583" w:rsidRDefault="00A64D19" w:rsidP="00AC79F6">
            <w:pPr>
              <w:pStyle w:val="BodyText"/>
              <w:tabs>
                <w:tab w:val="left" w:pos="720"/>
              </w:tabs>
              <w:rPr>
                <w:rFonts w:ascii="Arial" w:hAnsi="Arial" w:cs="Arial"/>
                <w:i w:val="0"/>
                <w:sz w:val="22"/>
                <w:szCs w:val="22"/>
              </w:rPr>
            </w:pPr>
            <w:r w:rsidRPr="00225583">
              <w:rPr>
                <w:rFonts w:ascii="Arial" w:hAnsi="Arial" w:cs="Arial"/>
                <w:i w:val="0"/>
                <w:sz w:val="22"/>
                <w:szCs w:val="22"/>
              </w:rPr>
              <w:t>Definitions</w:t>
            </w:r>
          </w:p>
        </w:tc>
        <w:tc>
          <w:tcPr>
            <w:tcW w:w="753" w:type="pct"/>
          </w:tcPr>
          <w:p w:rsidR="00A64D19" w:rsidRPr="00225583" w:rsidRDefault="00A64D19" w:rsidP="00AC79F6">
            <w:pPr>
              <w:pStyle w:val="BodyText"/>
              <w:tabs>
                <w:tab w:val="left" w:pos="720"/>
              </w:tabs>
              <w:rPr>
                <w:rFonts w:ascii="Arial" w:hAnsi="Arial" w:cs="Arial"/>
                <w:i w:val="0"/>
                <w:sz w:val="22"/>
                <w:szCs w:val="22"/>
              </w:rPr>
            </w:pPr>
            <w:r w:rsidRPr="00225583">
              <w:rPr>
                <w:rFonts w:ascii="Arial" w:hAnsi="Arial" w:cs="Arial"/>
                <w:i w:val="0"/>
                <w:sz w:val="22"/>
                <w:szCs w:val="22"/>
              </w:rPr>
              <w:t>Ord. 17293</w:t>
            </w:r>
          </w:p>
          <w:p w:rsidR="00A64D19" w:rsidRPr="00225583" w:rsidRDefault="00A64D19" w:rsidP="00AC79F6">
            <w:pPr>
              <w:pStyle w:val="BodyText"/>
              <w:tabs>
                <w:tab w:val="left" w:pos="720"/>
              </w:tabs>
              <w:rPr>
                <w:rFonts w:ascii="Arial" w:hAnsi="Arial" w:cs="Arial"/>
                <w:i w:val="0"/>
                <w:sz w:val="22"/>
                <w:szCs w:val="22"/>
              </w:rPr>
            </w:pPr>
            <w:r w:rsidRPr="00225583">
              <w:rPr>
                <w:rFonts w:ascii="Arial" w:hAnsi="Arial" w:cs="Arial"/>
                <w:i w:val="0"/>
                <w:sz w:val="22"/>
                <w:szCs w:val="22"/>
              </w:rPr>
              <w:t>(2012-0088)</w:t>
            </w:r>
          </w:p>
        </w:tc>
        <w:tc>
          <w:tcPr>
            <w:tcW w:w="2684" w:type="pct"/>
          </w:tcPr>
          <w:p w:rsidR="00A64D19" w:rsidRPr="00225583" w:rsidRDefault="00A64D19" w:rsidP="00AC79F6">
            <w:pPr>
              <w:pStyle w:val="BodyText"/>
              <w:tabs>
                <w:tab w:val="left" w:pos="720"/>
              </w:tabs>
              <w:rPr>
                <w:rFonts w:ascii="Arial" w:hAnsi="Arial" w:cs="Arial"/>
                <w:i w:val="0"/>
                <w:sz w:val="22"/>
                <w:szCs w:val="22"/>
              </w:rPr>
            </w:pPr>
            <w:r w:rsidRPr="00225583">
              <w:rPr>
                <w:rFonts w:ascii="Arial" w:hAnsi="Arial" w:cs="Arial"/>
                <w:i w:val="0"/>
                <w:sz w:val="22"/>
                <w:szCs w:val="22"/>
              </w:rPr>
              <w:t>Ordinance 17293 moved all Title 4 definitions into the new Title 4A.</w:t>
            </w:r>
          </w:p>
        </w:tc>
      </w:tr>
      <w:tr w:rsidR="00A64D19" w:rsidRPr="00225583" w:rsidTr="00AC79F6">
        <w:tc>
          <w:tcPr>
            <w:tcW w:w="763" w:type="pct"/>
          </w:tcPr>
          <w:p w:rsidR="00A64D19" w:rsidRPr="00225583" w:rsidRDefault="00A64D19" w:rsidP="00A64D19">
            <w:pPr>
              <w:pStyle w:val="ListParagraph0"/>
              <w:numPr>
                <w:ilvl w:val="0"/>
                <w:numId w:val="20"/>
              </w:numPr>
              <w:spacing w:line="240" w:lineRule="auto"/>
              <w:ind w:left="360"/>
              <w:outlineLvl w:val="0"/>
              <w:rPr>
                <w:rFonts w:ascii="Arial" w:hAnsi="Arial" w:cs="Arial"/>
                <w:sz w:val="22"/>
                <w:szCs w:val="22"/>
              </w:rPr>
            </w:pPr>
            <w:r w:rsidRPr="00225583">
              <w:rPr>
                <w:rFonts w:ascii="Arial" w:hAnsi="Arial" w:cs="Arial"/>
                <w:sz w:val="22"/>
                <w:szCs w:val="22"/>
              </w:rPr>
              <w:t>09/10/12</w:t>
            </w:r>
          </w:p>
        </w:tc>
        <w:tc>
          <w:tcPr>
            <w:tcW w:w="800" w:type="pct"/>
          </w:tcPr>
          <w:p w:rsidR="00A64D19" w:rsidRPr="00225583" w:rsidRDefault="00A64D19" w:rsidP="00AC79F6">
            <w:pPr>
              <w:pStyle w:val="BodyText"/>
              <w:tabs>
                <w:tab w:val="left" w:pos="720"/>
              </w:tabs>
              <w:rPr>
                <w:rFonts w:ascii="Arial" w:hAnsi="Arial" w:cs="Arial"/>
                <w:i w:val="0"/>
                <w:sz w:val="22"/>
                <w:szCs w:val="22"/>
              </w:rPr>
            </w:pPr>
            <w:r w:rsidRPr="00225583">
              <w:rPr>
                <w:rFonts w:ascii="Arial" w:hAnsi="Arial" w:cs="Arial"/>
                <w:i w:val="0"/>
                <w:sz w:val="22"/>
                <w:szCs w:val="22"/>
              </w:rPr>
              <w:t>Risk Mgmt</w:t>
            </w:r>
            <w:r>
              <w:rPr>
                <w:rFonts w:ascii="Arial" w:hAnsi="Arial" w:cs="Arial"/>
                <w:i w:val="0"/>
                <w:sz w:val="22"/>
                <w:szCs w:val="22"/>
              </w:rPr>
              <w:t>.</w:t>
            </w:r>
          </w:p>
        </w:tc>
        <w:tc>
          <w:tcPr>
            <w:tcW w:w="753" w:type="pct"/>
          </w:tcPr>
          <w:p w:rsidR="00A64D19" w:rsidRPr="00225583" w:rsidRDefault="00A64D19" w:rsidP="00AC79F6">
            <w:pPr>
              <w:rPr>
                <w:rFonts w:ascii="Arial" w:hAnsi="Arial" w:cs="Arial"/>
                <w:sz w:val="22"/>
                <w:szCs w:val="22"/>
              </w:rPr>
            </w:pPr>
            <w:r w:rsidRPr="00225583">
              <w:rPr>
                <w:rFonts w:ascii="Arial" w:hAnsi="Arial" w:cs="Arial"/>
                <w:sz w:val="22"/>
                <w:szCs w:val="22"/>
              </w:rPr>
              <w:t>Ord. 17408</w:t>
            </w:r>
          </w:p>
          <w:p w:rsidR="00A64D19" w:rsidRPr="00225583" w:rsidRDefault="00A64D19" w:rsidP="00AC79F6">
            <w:pPr>
              <w:rPr>
                <w:rFonts w:ascii="Arial" w:hAnsi="Arial" w:cs="Arial"/>
                <w:sz w:val="22"/>
                <w:szCs w:val="22"/>
              </w:rPr>
            </w:pPr>
            <w:r w:rsidRPr="00225583">
              <w:rPr>
                <w:rFonts w:ascii="Arial" w:hAnsi="Arial" w:cs="Arial"/>
                <w:sz w:val="22"/>
                <w:szCs w:val="22"/>
              </w:rPr>
              <w:t>(2012-0236)</w:t>
            </w:r>
          </w:p>
          <w:p w:rsidR="00A64D19" w:rsidRPr="00225583" w:rsidRDefault="00A64D19" w:rsidP="00AC79F6">
            <w:pPr>
              <w:rPr>
                <w:rFonts w:ascii="Arial" w:hAnsi="Arial" w:cs="Arial"/>
                <w:sz w:val="22"/>
                <w:szCs w:val="22"/>
              </w:rPr>
            </w:pPr>
          </w:p>
        </w:tc>
        <w:tc>
          <w:tcPr>
            <w:tcW w:w="2684" w:type="pct"/>
          </w:tcPr>
          <w:p w:rsidR="00A64D19" w:rsidRPr="00225583" w:rsidRDefault="00A64D19" w:rsidP="00AC79F6">
            <w:pPr>
              <w:rPr>
                <w:rFonts w:ascii="Arial" w:hAnsi="Arial" w:cs="Arial"/>
                <w:sz w:val="22"/>
                <w:szCs w:val="22"/>
              </w:rPr>
            </w:pPr>
            <w:r w:rsidRPr="00225583">
              <w:rPr>
                <w:rFonts w:ascii="Arial" w:hAnsi="Arial" w:cs="Arial"/>
                <w:sz w:val="22"/>
                <w:szCs w:val="22"/>
              </w:rPr>
              <w:t xml:space="preserve">Ordinance </w:t>
            </w:r>
            <w:proofErr w:type="gramStart"/>
            <w:r w:rsidRPr="00225583">
              <w:rPr>
                <w:rFonts w:ascii="Arial" w:hAnsi="Arial" w:cs="Arial"/>
                <w:sz w:val="22"/>
                <w:szCs w:val="22"/>
              </w:rPr>
              <w:t>17408,</w:t>
            </w:r>
            <w:proofErr w:type="gramEnd"/>
            <w:r w:rsidRPr="00225583">
              <w:rPr>
                <w:rFonts w:ascii="Arial" w:hAnsi="Arial" w:cs="Arial"/>
                <w:sz w:val="22"/>
                <w:szCs w:val="22"/>
              </w:rPr>
              <w:t xml:space="preserve"> heard in GAOFP Committee, updated Chapter 4.12 and 4.13 risk management provisions, and </w:t>
            </w:r>
            <w:proofErr w:type="spellStart"/>
            <w:r w:rsidRPr="00225583">
              <w:rPr>
                <w:rFonts w:ascii="Arial" w:hAnsi="Arial" w:cs="Arial"/>
                <w:sz w:val="22"/>
                <w:szCs w:val="22"/>
              </w:rPr>
              <w:t>recodified</w:t>
            </w:r>
            <w:proofErr w:type="spellEnd"/>
            <w:r w:rsidRPr="00225583">
              <w:rPr>
                <w:rFonts w:ascii="Arial" w:hAnsi="Arial" w:cs="Arial"/>
                <w:sz w:val="22"/>
                <w:szCs w:val="22"/>
              </w:rPr>
              <w:t xml:space="preserve"> them in Title 2, relating to county administration.</w:t>
            </w:r>
          </w:p>
        </w:tc>
      </w:tr>
      <w:tr w:rsidR="00A64D19" w:rsidRPr="00225583" w:rsidTr="00AC79F6">
        <w:tc>
          <w:tcPr>
            <w:tcW w:w="763" w:type="pct"/>
          </w:tcPr>
          <w:p w:rsidR="00A64D19" w:rsidRPr="00225583" w:rsidRDefault="00A64D19" w:rsidP="00A64D19">
            <w:pPr>
              <w:pStyle w:val="ListParagraph0"/>
              <w:numPr>
                <w:ilvl w:val="0"/>
                <w:numId w:val="20"/>
              </w:numPr>
              <w:spacing w:line="240" w:lineRule="auto"/>
              <w:ind w:left="360"/>
              <w:outlineLvl w:val="0"/>
              <w:rPr>
                <w:rFonts w:ascii="Arial" w:hAnsi="Arial" w:cs="Arial"/>
                <w:sz w:val="22"/>
                <w:szCs w:val="22"/>
              </w:rPr>
            </w:pPr>
            <w:r>
              <w:rPr>
                <w:rFonts w:ascii="Arial" w:hAnsi="Arial" w:cs="Arial"/>
                <w:sz w:val="22"/>
                <w:szCs w:val="22"/>
              </w:rPr>
              <w:t>1/28/13</w:t>
            </w:r>
          </w:p>
        </w:tc>
        <w:tc>
          <w:tcPr>
            <w:tcW w:w="800" w:type="pct"/>
          </w:tcPr>
          <w:p w:rsidR="00A64D19" w:rsidRPr="00225583" w:rsidRDefault="00A64D19" w:rsidP="00AC79F6">
            <w:pPr>
              <w:pStyle w:val="BodyText"/>
              <w:tabs>
                <w:tab w:val="left" w:pos="720"/>
              </w:tabs>
              <w:rPr>
                <w:rFonts w:ascii="Arial" w:hAnsi="Arial" w:cs="Arial"/>
                <w:i w:val="0"/>
                <w:sz w:val="22"/>
                <w:szCs w:val="22"/>
              </w:rPr>
            </w:pPr>
            <w:r w:rsidRPr="00225583">
              <w:rPr>
                <w:rFonts w:ascii="Arial" w:hAnsi="Arial" w:cs="Arial"/>
                <w:i w:val="0"/>
                <w:sz w:val="22"/>
                <w:szCs w:val="22"/>
              </w:rPr>
              <w:t>Fees</w:t>
            </w:r>
          </w:p>
        </w:tc>
        <w:tc>
          <w:tcPr>
            <w:tcW w:w="753" w:type="pct"/>
          </w:tcPr>
          <w:p w:rsidR="00A64D19" w:rsidRDefault="00A64D19" w:rsidP="00AC79F6">
            <w:pPr>
              <w:rPr>
                <w:rFonts w:ascii="Arial" w:hAnsi="Arial" w:cs="Arial"/>
                <w:sz w:val="22"/>
                <w:szCs w:val="22"/>
              </w:rPr>
            </w:pPr>
            <w:r>
              <w:rPr>
                <w:rFonts w:ascii="Arial" w:hAnsi="Arial" w:cs="Arial"/>
                <w:sz w:val="22"/>
                <w:szCs w:val="22"/>
              </w:rPr>
              <w:t>Ord. 17515</w:t>
            </w:r>
          </w:p>
          <w:p w:rsidR="00A64D19" w:rsidRPr="00225583" w:rsidRDefault="00A64D19" w:rsidP="00AC79F6">
            <w:pPr>
              <w:rPr>
                <w:rFonts w:ascii="Arial" w:hAnsi="Arial" w:cs="Arial"/>
                <w:sz w:val="22"/>
                <w:szCs w:val="22"/>
              </w:rPr>
            </w:pPr>
            <w:r>
              <w:rPr>
                <w:rFonts w:ascii="Arial" w:hAnsi="Arial" w:cs="Arial"/>
                <w:sz w:val="22"/>
                <w:szCs w:val="22"/>
              </w:rPr>
              <w:t>(</w:t>
            </w:r>
            <w:r w:rsidRPr="00225583">
              <w:rPr>
                <w:rFonts w:ascii="Arial" w:hAnsi="Arial" w:cs="Arial"/>
                <w:sz w:val="22"/>
                <w:szCs w:val="22"/>
              </w:rPr>
              <w:t>2012-0453</w:t>
            </w:r>
            <w:r>
              <w:rPr>
                <w:rFonts w:ascii="Arial" w:hAnsi="Arial" w:cs="Arial"/>
                <w:sz w:val="22"/>
                <w:szCs w:val="22"/>
              </w:rPr>
              <w:t>)</w:t>
            </w:r>
          </w:p>
        </w:tc>
        <w:tc>
          <w:tcPr>
            <w:tcW w:w="2684" w:type="pct"/>
          </w:tcPr>
          <w:p w:rsidR="00A64D19" w:rsidRPr="00225583" w:rsidRDefault="00A64D19" w:rsidP="00AC79F6">
            <w:pPr>
              <w:rPr>
                <w:rFonts w:ascii="Arial" w:hAnsi="Arial" w:cs="Arial"/>
                <w:sz w:val="22"/>
                <w:szCs w:val="22"/>
              </w:rPr>
            </w:pPr>
            <w:r>
              <w:rPr>
                <w:rFonts w:ascii="Arial" w:hAnsi="Arial" w:cs="Arial"/>
                <w:sz w:val="22"/>
                <w:szCs w:val="22"/>
              </w:rPr>
              <w:t xml:space="preserve">Ordinance 17515 moved all </w:t>
            </w:r>
            <w:r w:rsidRPr="00225583">
              <w:rPr>
                <w:rFonts w:ascii="Arial" w:hAnsi="Arial" w:cs="Arial"/>
                <w:sz w:val="22"/>
                <w:szCs w:val="22"/>
              </w:rPr>
              <w:t xml:space="preserve">Real Estate </w:t>
            </w:r>
            <w:proofErr w:type="gramStart"/>
            <w:r w:rsidRPr="00225583">
              <w:rPr>
                <w:rFonts w:ascii="Arial" w:hAnsi="Arial" w:cs="Arial"/>
                <w:sz w:val="22"/>
                <w:szCs w:val="22"/>
              </w:rPr>
              <w:t xml:space="preserve">Services </w:t>
            </w:r>
            <w:r>
              <w:rPr>
                <w:rFonts w:ascii="Arial" w:hAnsi="Arial" w:cs="Arial"/>
                <w:sz w:val="22"/>
                <w:szCs w:val="22"/>
              </w:rPr>
              <w:t xml:space="preserve"> fee</w:t>
            </w:r>
            <w:proofErr w:type="gramEnd"/>
            <w:r>
              <w:rPr>
                <w:rFonts w:ascii="Arial" w:hAnsi="Arial" w:cs="Arial"/>
                <w:sz w:val="22"/>
                <w:szCs w:val="22"/>
              </w:rPr>
              <w:t xml:space="preserve"> amounts (primarily in Title 14) </w:t>
            </w:r>
            <w:r w:rsidRPr="00225583">
              <w:rPr>
                <w:rFonts w:ascii="Arial" w:hAnsi="Arial" w:cs="Arial"/>
                <w:sz w:val="22"/>
                <w:szCs w:val="22"/>
              </w:rPr>
              <w:t xml:space="preserve">to Title 4A. </w:t>
            </w:r>
          </w:p>
        </w:tc>
      </w:tr>
      <w:tr w:rsidR="00A64D19" w:rsidRPr="00225583" w:rsidTr="00AC79F6">
        <w:tc>
          <w:tcPr>
            <w:tcW w:w="763" w:type="pct"/>
          </w:tcPr>
          <w:p w:rsidR="00A64D19" w:rsidRPr="00DB3680" w:rsidRDefault="00A64D19" w:rsidP="00A64D19">
            <w:pPr>
              <w:pStyle w:val="ListParagraph0"/>
              <w:numPr>
                <w:ilvl w:val="0"/>
                <w:numId w:val="20"/>
              </w:numPr>
              <w:spacing w:line="240" w:lineRule="auto"/>
              <w:ind w:left="360"/>
              <w:outlineLvl w:val="0"/>
              <w:rPr>
                <w:rFonts w:ascii="Arial" w:hAnsi="Arial" w:cs="Arial"/>
                <w:sz w:val="22"/>
                <w:szCs w:val="22"/>
              </w:rPr>
            </w:pPr>
            <w:r>
              <w:rPr>
                <w:rFonts w:ascii="Arial" w:hAnsi="Arial" w:cs="Arial"/>
                <w:sz w:val="22"/>
                <w:szCs w:val="22"/>
              </w:rPr>
              <w:t>2/11/13</w:t>
            </w:r>
          </w:p>
        </w:tc>
        <w:tc>
          <w:tcPr>
            <w:tcW w:w="800" w:type="pct"/>
          </w:tcPr>
          <w:p w:rsidR="00A64D19" w:rsidRPr="00225583" w:rsidRDefault="00A64D19" w:rsidP="00AC79F6">
            <w:pPr>
              <w:pStyle w:val="BodyText"/>
              <w:tabs>
                <w:tab w:val="left" w:pos="720"/>
              </w:tabs>
              <w:rPr>
                <w:rFonts w:ascii="Arial" w:hAnsi="Arial" w:cs="Arial"/>
                <w:i w:val="0"/>
                <w:sz w:val="22"/>
                <w:szCs w:val="22"/>
              </w:rPr>
            </w:pPr>
            <w:r w:rsidRPr="00225583">
              <w:rPr>
                <w:rFonts w:ascii="Arial" w:hAnsi="Arial" w:cs="Arial"/>
                <w:i w:val="0"/>
                <w:sz w:val="22"/>
                <w:szCs w:val="22"/>
              </w:rPr>
              <w:t>Procurement</w:t>
            </w:r>
          </w:p>
        </w:tc>
        <w:tc>
          <w:tcPr>
            <w:tcW w:w="753" w:type="pct"/>
          </w:tcPr>
          <w:p w:rsidR="00A64D19" w:rsidRDefault="00A64D19" w:rsidP="00AC79F6">
            <w:pPr>
              <w:rPr>
                <w:rFonts w:ascii="Arial" w:hAnsi="Arial" w:cs="Arial"/>
                <w:sz w:val="22"/>
                <w:szCs w:val="22"/>
              </w:rPr>
            </w:pPr>
            <w:r>
              <w:rPr>
                <w:rFonts w:ascii="Arial" w:hAnsi="Arial" w:cs="Arial"/>
                <w:sz w:val="22"/>
                <w:szCs w:val="22"/>
              </w:rPr>
              <w:t>Ord. 17522</w:t>
            </w:r>
          </w:p>
          <w:p w:rsidR="00A64D19" w:rsidRPr="00225583" w:rsidRDefault="00A64D19" w:rsidP="00AC79F6">
            <w:pPr>
              <w:rPr>
                <w:rFonts w:ascii="Arial" w:hAnsi="Arial" w:cs="Arial"/>
                <w:sz w:val="22"/>
                <w:szCs w:val="22"/>
              </w:rPr>
            </w:pPr>
            <w:r>
              <w:rPr>
                <w:rFonts w:ascii="Arial" w:hAnsi="Arial" w:cs="Arial"/>
                <w:sz w:val="22"/>
                <w:szCs w:val="22"/>
              </w:rPr>
              <w:t>(</w:t>
            </w:r>
            <w:r w:rsidRPr="00225583">
              <w:rPr>
                <w:rFonts w:ascii="Arial" w:hAnsi="Arial" w:cs="Arial"/>
                <w:sz w:val="22"/>
                <w:szCs w:val="22"/>
              </w:rPr>
              <w:t>2012-0445</w:t>
            </w:r>
            <w:r>
              <w:rPr>
                <w:rFonts w:ascii="Arial" w:hAnsi="Arial" w:cs="Arial"/>
                <w:sz w:val="22"/>
                <w:szCs w:val="22"/>
              </w:rPr>
              <w:t>)</w:t>
            </w:r>
          </w:p>
        </w:tc>
        <w:tc>
          <w:tcPr>
            <w:tcW w:w="2684" w:type="pct"/>
          </w:tcPr>
          <w:p w:rsidR="00A64D19" w:rsidRPr="00225583" w:rsidRDefault="00A64D19" w:rsidP="00AC79F6">
            <w:pPr>
              <w:rPr>
                <w:rFonts w:ascii="Arial" w:hAnsi="Arial" w:cs="Arial"/>
                <w:sz w:val="22"/>
                <w:szCs w:val="22"/>
              </w:rPr>
            </w:pPr>
            <w:r w:rsidRPr="00225583">
              <w:rPr>
                <w:rFonts w:ascii="Arial" w:hAnsi="Arial" w:cs="Arial"/>
                <w:sz w:val="22"/>
                <w:szCs w:val="22"/>
              </w:rPr>
              <w:t xml:space="preserve">Procurement provisions (4.16) </w:t>
            </w:r>
            <w:r>
              <w:rPr>
                <w:rFonts w:ascii="Arial" w:hAnsi="Arial" w:cs="Arial"/>
                <w:sz w:val="22"/>
                <w:szCs w:val="22"/>
              </w:rPr>
              <w:t xml:space="preserve">moved </w:t>
            </w:r>
            <w:r w:rsidRPr="00225583">
              <w:rPr>
                <w:rFonts w:ascii="Arial" w:hAnsi="Arial" w:cs="Arial"/>
                <w:sz w:val="22"/>
                <w:szCs w:val="22"/>
              </w:rPr>
              <w:t xml:space="preserve">to Title 2, relating to county administration.  </w:t>
            </w:r>
            <w:r>
              <w:rPr>
                <w:rFonts w:ascii="Arial" w:hAnsi="Arial" w:cs="Arial"/>
                <w:sz w:val="22"/>
                <w:szCs w:val="22"/>
              </w:rPr>
              <w:t>Passed out of</w:t>
            </w:r>
            <w:r w:rsidRPr="00225583">
              <w:rPr>
                <w:rFonts w:ascii="Arial" w:hAnsi="Arial" w:cs="Arial"/>
                <w:sz w:val="22"/>
                <w:szCs w:val="22"/>
              </w:rPr>
              <w:t xml:space="preserve"> GAO.</w:t>
            </w:r>
          </w:p>
        </w:tc>
      </w:tr>
      <w:tr w:rsidR="00A64D19" w:rsidRPr="00225583" w:rsidTr="00AC79F6">
        <w:tc>
          <w:tcPr>
            <w:tcW w:w="763" w:type="pct"/>
          </w:tcPr>
          <w:p w:rsidR="00A64D19" w:rsidRPr="00BB2165" w:rsidRDefault="00A64D19" w:rsidP="00A07959">
            <w:pPr>
              <w:pStyle w:val="ListParagraph0"/>
              <w:numPr>
                <w:ilvl w:val="0"/>
                <w:numId w:val="20"/>
              </w:numPr>
              <w:spacing w:line="240" w:lineRule="auto"/>
              <w:ind w:left="360"/>
              <w:outlineLvl w:val="0"/>
              <w:rPr>
                <w:rFonts w:ascii="Arial" w:hAnsi="Arial" w:cs="Arial"/>
                <w:sz w:val="22"/>
                <w:szCs w:val="22"/>
              </w:rPr>
            </w:pPr>
            <w:r>
              <w:rPr>
                <w:rFonts w:ascii="Arial" w:hAnsi="Arial" w:cs="Arial"/>
                <w:sz w:val="22"/>
                <w:szCs w:val="22"/>
              </w:rPr>
              <w:t>2/19/13</w:t>
            </w:r>
          </w:p>
        </w:tc>
        <w:tc>
          <w:tcPr>
            <w:tcW w:w="800" w:type="pct"/>
          </w:tcPr>
          <w:p w:rsidR="00A64D19" w:rsidRPr="00225583" w:rsidRDefault="00A64D19" w:rsidP="00AC79F6">
            <w:pPr>
              <w:pStyle w:val="BodyText"/>
              <w:tabs>
                <w:tab w:val="left" w:pos="720"/>
              </w:tabs>
              <w:rPr>
                <w:rFonts w:ascii="Arial" w:hAnsi="Arial" w:cs="Arial"/>
                <w:i w:val="0"/>
                <w:sz w:val="22"/>
                <w:szCs w:val="22"/>
              </w:rPr>
            </w:pPr>
            <w:r w:rsidRPr="00225583">
              <w:rPr>
                <w:rFonts w:ascii="Arial" w:hAnsi="Arial" w:cs="Arial"/>
                <w:i w:val="0"/>
                <w:sz w:val="22"/>
                <w:szCs w:val="22"/>
              </w:rPr>
              <w:t>Funds</w:t>
            </w:r>
          </w:p>
        </w:tc>
        <w:tc>
          <w:tcPr>
            <w:tcW w:w="753" w:type="pct"/>
          </w:tcPr>
          <w:p w:rsidR="00A64D19" w:rsidRDefault="00A64D19" w:rsidP="00AC79F6">
            <w:pPr>
              <w:rPr>
                <w:rFonts w:ascii="Arial" w:hAnsi="Arial" w:cs="Arial"/>
                <w:sz w:val="22"/>
                <w:szCs w:val="22"/>
              </w:rPr>
            </w:pPr>
            <w:r>
              <w:rPr>
                <w:rFonts w:ascii="Arial" w:hAnsi="Arial" w:cs="Arial"/>
                <w:sz w:val="22"/>
                <w:szCs w:val="22"/>
              </w:rPr>
              <w:t>Ord. 17527</w:t>
            </w:r>
          </w:p>
          <w:p w:rsidR="00A64D19" w:rsidRPr="00225583" w:rsidRDefault="00A64D19" w:rsidP="00AC79F6">
            <w:pPr>
              <w:rPr>
                <w:rFonts w:ascii="Arial" w:hAnsi="Arial" w:cs="Arial"/>
                <w:sz w:val="22"/>
                <w:szCs w:val="22"/>
              </w:rPr>
            </w:pPr>
            <w:r>
              <w:rPr>
                <w:rFonts w:ascii="Arial" w:hAnsi="Arial" w:cs="Arial"/>
                <w:sz w:val="22"/>
                <w:szCs w:val="22"/>
              </w:rPr>
              <w:t>(</w:t>
            </w:r>
            <w:r w:rsidRPr="00225583">
              <w:rPr>
                <w:rFonts w:ascii="Arial" w:hAnsi="Arial" w:cs="Arial"/>
                <w:sz w:val="22"/>
                <w:szCs w:val="22"/>
              </w:rPr>
              <w:t>2012-0438</w:t>
            </w:r>
            <w:r>
              <w:rPr>
                <w:rFonts w:ascii="Arial" w:hAnsi="Arial" w:cs="Arial"/>
                <w:sz w:val="22"/>
                <w:szCs w:val="22"/>
              </w:rPr>
              <w:t>)</w:t>
            </w:r>
          </w:p>
        </w:tc>
        <w:tc>
          <w:tcPr>
            <w:tcW w:w="2684" w:type="pct"/>
          </w:tcPr>
          <w:p w:rsidR="00A64D19" w:rsidRPr="00225583" w:rsidRDefault="00A64D19" w:rsidP="00AC79F6">
            <w:pPr>
              <w:rPr>
                <w:rFonts w:ascii="Arial" w:hAnsi="Arial" w:cs="Arial"/>
                <w:sz w:val="22"/>
                <w:szCs w:val="22"/>
              </w:rPr>
            </w:pPr>
            <w:r>
              <w:rPr>
                <w:rFonts w:ascii="Arial" w:hAnsi="Arial" w:cs="Arial"/>
                <w:sz w:val="22"/>
                <w:szCs w:val="22"/>
              </w:rPr>
              <w:t>T</w:t>
            </w:r>
            <w:r w:rsidRPr="00225583">
              <w:rPr>
                <w:rFonts w:ascii="Arial" w:hAnsi="Arial" w:cs="Arial"/>
                <w:sz w:val="22"/>
                <w:szCs w:val="22"/>
              </w:rPr>
              <w:t>he ordinance adopting funds and fund managers</w:t>
            </w:r>
            <w:r>
              <w:rPr>
                <w:rFonts w:ascii="Arial" w:hAnsi="Arial" w:cs="Arial"/>
                <w:sz w:val="22"/>
                <w:szCs w:val="22"/>
              </w:rPr>
              <w:t xml:space="preserve"> cleaned up</w:t>
            </w:r>
            <w:r w:rsidRPr="00225583">
              <w:rPr>
                <w:rFonts w:ascii="Arial" w:hAnsi="Arial" w:cs="Arial"/>
                <w:sz w:val="22"/>
                <w:szCs w:val="22"/>
              </w:rPr>
              <w:t>, and Funds (4.08)</w:t>
            </w:r>
            <w:r>
              <w:rPr>
                <w:rFonts w:ascii="Arial" w:hAnsi="Arial" w:cs="Arial"/>
                <w:sz w:val="22"/>
                <w:szCs w:val="22"/>
              </w:rPr>
              <w:t xml:space="preserve"> moved</w:t>
            </w:r>
            <w:r w:rsidRPr="00225583">
              <w:rPr>
                <w:rFonts w:ascii="Arial" w:hAnsi="Arial" w:cs="Arial"/>
                <w:sz w:val="22"/>
                <w:szCs w:val="22"/>
              </w:rPr>
              <w:t xml:space="preserve"> to Title 4A.</w:t>
            </w:r>
          </w:p>
        </w:tc>
      </w:tr>
      <w:tr w:rsidR="00A64D19" w:rsidRPr="00225583" w:rsidTr="00AC79F6">
        <w:tc>
          <w:tcPr>
            <w:tcW w:w="763" w:type="pct"/>
          </w:tcPr>
          <w:p w:rsidR="00A64D19" w:rsidRPr="00225583" w:rsidRDefault="00A64D19" w:rsidP="00A07959">
            <w:pPr>
              <w:pStyle w:val="ListParagraph0"/>
              <w:numPr>
                <w:ilvl w:val="0"/>
                <w:numId w:val="20"/>
              </w:numPr>
              <w:spacing w:line="240" w:lineRule="auto"/>
              <w:ind w:left="360"/>
              <w:outlineLvl w:val="0"/>
            </w:pPr>
            <w:r>
              <w:rPr>
                <w:rFonts w:ascii="Arial" w:hAnsi="Arial" w:cs="Arial"/>
                <w:sz w:val="22"/>
                <w:szCs w:val="22"/>
              </w:rPr>
              <w:lastRenderedPageBreak/>
              <w:t>3/25/13</w:t>
            </w:r>
          </w:p>
        </w:tc>
        <w:tc>
          <w:tcPr>
            <w:tcW w:w="800" w:type="pct"/>
          </w:tcPr>
          <w:p w:rsidR="00A64D19" w:rsidRPr="00225583" w:rsidRDefault="00A64D19" w:rsidP="00AC79F6">
            <w:pPr>
              <w:pStyle w:val="BodyText"/>
              <w:tabs>
                <w:tab w:val="left" w:pos="720"/>
              </w:tabs>
              <w:rPr>
                <w:rFonts w:ascii="Arial" w:hAnsi="Arial" w:cs="Arial"/>
                <w:i w:val="0"/>
                <w:sz w:val="22"/>
                <w:szCs w:val="22"/>
              </w:rPr>
            </w:pPr>
            <w:r w:rsidRPr="00225583">
              <w:rPr>
                <w:rFonts w:ascii="Arial" w:hAnsi="Arial" w:cs="Arial"/>
                <w:i w:val="0"/>
                <w:sz w:val="22"/>
                <w:szCs w:val="22"/>
              </w:rPr>
              <w:t>Bonds</w:t>
            </w:r>
          </w:p>
        </w:tc>
        <w:tc>
          <w:tcPr>
            <w:tcW w:w="753" w:type="pct"/>
          </w:tcPr>
          <w:p w:rsidR="00A64D19" w:rsidRDefault="00A64D19" w:rsidP="00AC79F6">
            <w:pPr>
              <w:rPr>
                <w:rFonts w:ascii="Arial" w:hAnsi="Arial" w:cs="Arial"/>
                <w:sz w:val="22"/>
                <w:szCs w:val="22"/>
              </w:rPr>
            </w:pPr>
            <w:r>
              <w:rPr>
                <w:rFonts w:ascii="Arial" w:hAnsi="Arial" w:cs="Arial"/>
                <w:sz w:val="22"/>
                <w:szCs w:val="22"/>
              </w:rPr>
              <w:t>Ord. 17540</w:t>
            </w:r>
          </w:p>
          <w:p w:rsidR="00A64D19" w:rsidRPr="00225583" w:rsidRDefault="00A64D19" w:rsidP="00AC79F6">
            <w:pPr>
              <w:rPr>
                <w:rFonts w:ascii="Arial" w:hAnsi="Arial" w:cs="Arial"/>
                <w:sz w:val="22"/>
                <w:szCs w:val="22"/>
              </w:rPr>
            </w:pPr>
            <w:r>
              <w:rPr>
                <w:rFonts w:ascii="Arial" w:hAnsi="Arial" w:cs="Arial"/>
                <w:sz w:val="22"/>
                <w:szCs w:val="22"/>
              </w:rPr>
              <w:t>(</w:t>
            </w:r>
            <w:r w:rsidRPr="00225583">
              <w:rPr>
                <w:rFonts w:ascii="Arial" w:hAnsi="Arial" w:cs="Arial"/>
                <w:sz w:val="22"/>
                <w:szCs w:val="22"/>
              </w:rPr>
              <w:t>2012-0472</w:t>
            </w:r>
            <w:r>
              <w:rPr>
                <w:rFonts w:ascii="Arial" w:hAnsi="Arial" w:cs="Arial"/>
                <w:sz w:val="22"/>
                <w:szCs w:val="22"/>
              </w:rPr>
              <w:t>)</w:t>
            </w:r>
          </w:p>
        </w:tc>
        <w:tc>
          <w:tcPr>
            <w:tcW w:w="2684" w:type="pct"/>
          </w:tcPr>
          <w:p w:rsidR="00A64D19" w:rsidRPr="00225583" w:rsidRDefault="00A64D19" w:rsidP="00AC79F6">
            <w:pPr>
              <w:rPr>
                <w:rFonts w:ascii="Arial" w:hAnsi="Arial" w:cs="Arial"/>
                <w:sz w:val="22"/>
                <w:szCs w:val="22"/>
              </w:rPr>
            </w:pPr>
            <w:r w:rsidRPr="00225583">
              <w:rPr>
                <w:rFonts w:ascii="Arial" w:hAnsi="Arial" w:cs="Arial"/>
                <w:sz w:val="22"/>
                <w:szCs w:val="22"/>
              </w:rPr>
              <w:t>Bond</w:t>
            </w:r>
            <w:r>
              <w:rPr>
                <w:rFonts w:ascii="Arial" w:hAnsi="Arial" w:cs="Arial"/>
                <w:sz w:val="22"/>
                <w:szCs w:val="22"/>
              </w:rPr>
              <w:t xml:space="preserve"> provision</w:t>
            </w:r>
            <w:r w:rsidRPr="00225583">
              <w:rPr>
                <w:rFonts w:ascii="Arial" w:hAnsi="Arial" w:cs="Arial"/>
                <w:sz w:val="22"/>
                <w:szCs w:val="22"/>
              </w:rPr>
              <w:t xml:space="preserve">s (4.20) </w:t>
            </w:r>
            <w:r>
              <w:rPr>
                <w:rFonts w:ascii="Arial" w:hAnsi="Arial" w:cs="Arial"/>
                <w:sz w:val="22"/>
                <w:szCs w:val="22"/>
              </w:rPr>
              <w:t>moved out of Title 4. Chapter 4.84 repealed</w:t>
            </w:r>
            <w:r w:rsidRPr="00225583">
              <w:rPr>
                <w:rFonts w:ascii="Arial" w:hAnsi="Arial" w:cs="Arial"/>
                <w:sz w:val="22"/>
                <w:szCs w:val="22"/>
              </w:rPr>
              <w:t>.</w:t>
            </w:r>
          </w:p>
        </w:tc>
      </w:tr>
      <w:tr w:rsidR="00306680" w:rsidRPr="00225583" w:rsidTr="00AC79F6">
        <w:tc>
          <w:tcPr>
            <w:tcW w:w="763" w:type="pct"/>
            <w:shd w:val="clear" w:color="auto" w:fill="auto"/>
          </w:tcPr>
          <w:p w:rsidR="00306680" w:rsidRDefault="00306680" w:rsidP="00306680">
            <w:pPr>
              <w:pStyle w:val="ListParagraph0"/>
              <w:numPr>
                <w:ilvl w:val="0"/>
                <w:numId w:val="20"/>
              </w:numPr>
              <w:spacing w:line="240" w:lineRule="auto"/>
              <w:ind w:left="360"/>
              <w:outlineLvl w:val="0"/>
              <w:rPr>
                <w:rFonts w:ascii="Arial" w:hAnsi="Arial" w:cs="Arial"/>
                <w:sz w:val="22"/>
                <w:szCs w:val="22"/>
              </w:rPr>
            </w:pPr>
            <w:r>
              <w:rPr>
                <w:rFonts w:ascii="Arial" w:hAnsi="Arial" w:cs="Arial"/>
                <w:sz w:val="22"/>
                <w:szCs w:val="22"/>
              </w:rPr>
              <w:t>9/9/13</w:t>
            </w:r>
          </w:p>
        </w:tc>
        <w:tc>
          <w:tcPr>
            <w:tcW w:w="800" w:type="pct"/>
            <w:shd w:val="clear" w:color="auto" w:fill="auto"/>
          </w:tcPr>
          <w:p w:rsidR="00306680" w:rsidRPr="00225583" w:rsidRDefault="00306680" w:rsidP="00AC79F6">
            <w:pPr>
              <w:pStyle w:val="BodyText"/>
              <w:tabs>
                <w:tab w:val="left" w:pos="720"/>
              </w:tabs>
              <w:rPr>
                <w:rFonts w:ascii="Arial" w:hAnsi="Arial" w:cs="Arial"/>
                <w:i w:val="0"/>
                <w:sz w:val="22"/>
                <w:szCs w:val="22"/>
              </w:rPr>
            </w:pPr>
            <w:r>
              <w:rPr>
                <w:rFonts w:ascii="Arial" w:hAnsi="Arial" w:cs="Arial"/>
                <w:i w:val="0"/>
                <w:sz w:val="22"/>
                <w:szCs w:val="22"/>
              </w:rPr>
              <w:t>Contracting</w:t>
            </w:r>
            <w:r w:rsidR="009A504B">
              <w:rPr>
                <w:rFonts w:ascii="Arial" w:hAnsi="Arial" w:cs="Arial"/>
                <w:i w:val="0"/>
                <w:sz w:val="22"/>
                <w:szCs w:val="22"/>
              </w:rPr>
              <w:t xml:space="preserve"> Opportunities</w:t>
            </w:r>
          </w:p>
        </w:tc>
        <w:tc>
          <w:tcPr>
            <w:tcW w:w="753" w:type="pct"/>
            <w:shd w:val="clear" w:color="auto" w:fill="auto"/>
          </w:tcPr>
          <w:p w:rsidR="00306680" w:rsidRPr="00225583" w:rsidRDefault="00306680" w:rsidP="00AC79F6">
            <w:pPr>
              <w:rPr>
                <w:rFonts w:ascii="Arial" w:hAnsi="Arial" w:cs="Arial"/>
                <w:sz w:val="22"/>
                <w:szCs w:val="22"/>
              </w:rPr>
            </w:pPr>
            <w:r>
              <w:rPr>
                <w:rFonts w:ascii="Arial" w:hAnsi="Arial" w:cs="Arial"/>
                <w:sz w:val="22"/>
                <w:szCs w:val="22"/>
              </w:rPr>
              <w:t>Ord. 17652 (2013-0245)</w:t>
            </w:r>
          </w:p>
        </w:tc>
        <w:tc>
          <w:tcPr>
            <w:tcW w:w="2684" w:type="pct"/>
            <w:shd w:val="clear" w:color="auto" w:fill="auto"/>
          </w:tcPr>
          <w:p w:rsidR="00306680" w:rsidRDefault="00306680" w:rsidP="009A504B">
            <w:pPr>
              <w:rPr>
                <w:rFonts w:ascii="Arial" w:hAnsi="Arial" w:cs="Arial"/>
                <w:sz w:val="22"/>
                <w:szCs w:val="22"/>
              </w:rPr>
            </w:pPr>
            <w:r w:rsidRPr="009A504B">
              <w:rPr>
                <w:rFonts w:ascii="Arial" w:hAnsi="Arial" w:cs="Arial"/>
                <w:sz w:val="22"/>
                <w:szCs w:val="22"/>
              </w:rPr>
              <w:t xml:space="preserve">Contracting Opportunities Program code provisions </w:t>
            </w:r>
            <w:r w:rsidR="009A504B">
              <w:rPr>
                <w:rFonts w:ascii="Arial" w:hAnsi="Arial" w:cs="Arial"/>
                <w:sz w:val="22"/>
                <w:szCs w:val="22"/>
              </w:rPr>
              <w:t xml:space="preserve">(4.18, 4.19) </w:t>
            </w:r>
            <w:r w:rsidRPr="009A504B">
              <w:rPr>
                <w:rFonts w:ascii="Arial" w:hAnsi="Arial" w:cs="Arial"/>
                <w:sz w:val="22"/>
                <w:szCs w:val="22"/>
              </w:rPr>
              <w:t>made consistent with state law</w:t>
            </w:r>
            <w:r w:rsidR="009A504B">
              <w:rPr>
                <w:rFonts w:ascii="Arial" w:hAnsi="Arial" w:cs="Arial"/>
                <w:sz w:val="22"/>
                <w:szCs w:val="22"/>
              </w:rPr>
              <w:t xml:space="preserve"> and</w:t>
            </w:r>
            <w:r w:rsidRPr="009A504B">
              <w:rPr>
                <w:rFonts w:ascii="Arial" w:hAnsi="Arial" w:cs="Arial"/>
                <w:sz w:val="22"/>
                <w:szCs w:val="22"/>
              </w:rPr>
              <w:t xml:space="preserve"> moved to Title 2 Administration. Passed out of GAO.</w:t>
            </w:r>
          </w:p>
        </w:tc>
      </w:tr>
      <w:tr w:rsidR="00A64D19" w:rsidRPr="00225583" w:rsidTr="00AC79F6">
        <w:tc>
          <w:tcPr>
            <w:tcW w:w="763" w:type="pct"/>
            <w:shd w:val="clear" w:color="auto" w:fill="auto"/>
          </w:tcPr>
          <w:p w:rsidR="00A64D19" w:rsidRPr="00225583" w:rsidRDefault="00A64D19" w:rsidP="00A64D19">
            <w:pPr>
              <w:numPr>
                <w:ilvl w:val="0"/>
                <w:numId w:val="21"/>
              </w:numPr>
              <w:ind w:left="360"/>
            </w:pPr>
            <w:r>
              <w:rPr>
                <w:rFonts w:ascii="Arial" w:hAnsi="Arial" w:cs="Arial"/>
                <w:sz w:val="22"/>
                <w:szCs w:val="22"/>
              </w:rPr>
              <w:t>BFM</w:t>
            </w:r>
          </w:p>
        </w:tc>
        <w:tc>
          <w:tcPr>
            <w:tcW w:w="800" w:type="pct"/>
            <w:shd w:val="clear" w:color="auto" w:fill="auto"/>
          </w:tcPr>
          <w:p w:rsidR="00A64D19" w:rsidRPr="00225583" w:rsidRDefault="00A64D19" w:rsidP="00AC79F6">
            <w:pPr>
              <w:pStyle w:val="BodyText"/>
              <w:tabs>
                <w:tab w:val="left" w:pos="720"/>
              </w:tabs>
              <w:rPr>
                <w:rFonts w:ascii="Arial" w:hAnsi="Arial" w:cs="Arial"/>
                <w:i w:val="0"/>
                <w:sz w:val="22"/>
                <w:szCs w:val="22"/>
              </w:rPr>
            </w:pPr>
            <w:r w:rsidRPr="00225583">
              <w:rPr>
                <w:rFonts w:ascii="Arial" w:hAnsi="Arial" w:cs="Arial"/>
                <w:i w:val="0"/>
                <w:sz w:val="22"/>
                <w:szCs w:val="22"/>
              </w:rPr>
              <w:t>Property Taxes</w:t>
            </w:r>
          </w:p>
        </w:tc>
        <w:tc>
          <w:tcPr>
            <w:tcW w:w="753" w:type="pct"/>
            <w:shd w:val="clear" w:color="auto" w:fill="auto"/>
          </w:tcPr>
          <w:p w:rsidR="00A64D19" w:rsidRPr="00225583" w:rsidRDefault="00A64D19" w:rsidP="00AC79F6">
            <w:pPr>
              <w:rPr>
                <w:rFonts w:ascii="Arial" w:hAnsi="Arial" w:cs="Arial"/>
                <w:sz w:val="22"/>
                <w:szCs w:val="22"/>
              </w:rPr>
            </w:pPr>
            <w:r w:rsidRPr="00225583">
              <w:rPr>
                <w:rFonts w:ascii="Arial" w:hAnsi="Arial" w:cs="Arial"/>
                <w:sz w:val="22"/>
                <w:szCs w:val="22"/>
              </w:rPr>
              <w:t>2012-0358</w:t>
            </w:r>
          </w:p>
        </w:tc>
        <w:tc>
          <w:tcPr>
            <w:tcW w:w="2684" w:type="pct"/>
            <w:shd w:val="clear" w:color="auto" w:fill="auto"/>
          </w:tcPr>
          <w:p w:rsidR="00A64D19" w:rsidRPr="00225583" w:rsidRDefault="00A64D19" w:rsidP="00AC79F6">
            <w:pPr>
              <w:rPr>
                <w:rFonts w:ascii="Arial" w:hAnsi="Arial" w:cs="Arial"/>
                <w:sz w:val="22"/>
                <w:szCs w:val="22"/>
              </w:rPr>
            </w:pPr>
            <w:r>
              <w:rPr>
                <w:rFonts w:ascii="Arial" w:hAnsi="Arial" w:cs="Arial"/>
                <w:sz w:val="22"/>
                <w:szCs w:val="22"/>
              </w:rPr>
              <w:t>P</w:t>
            </w:r>
            <w:r w:rsidRPr="00225583">
              <w:rPr>
                <w:rFonts w:ascii="Arial" w:hAnsi="Arial" w:cs="Arial"/>
                <w:sz w:val="22"/>
                <w:szCs w:val="22"/>
              </w:rPr>
              <w:t>roperty tax provisions (</w:t>
            </w:r>
            <w:r w:rsidRPr="009A504B">
              <w:rPr>
                <w:rFonts w:ascii="Arial" w:hAnsi="Arial" w:cs="Arial"/>
                <w:sz w:val="22"/>
                <w:szCs w:val="22"/>
              </w:rPr>
              <w:t>4.48</w:t>
            </w:r>
            <w:r w:rsidRPr="00225583">
              <w:rPr>
                <w:rFonts w:ascii="Arial" w:hAnsi="Arial" w:cs="Arial"/>
                <w:sz w:val="22"/>
                <w:szCs w:val="22"/>
              </w:rPr>
              <w:t>,</w:t>
            </w:r>
            <w:r>
              <w:rPr>
                <w:rFonts w:ascii="Arial" w:hAnsi="Arial" w:cs="Arial"/>
                <w:sz w:val="22"/>
                <w:szCs w:val="22"/>
              </w:rPr>
              <w:t xml:space="preserve"> </w:t>
            </w:r>
            <w:r w:rsidR="00821B8A" w:rsidRPr="009A504B">
              <w:rPr>
                <w:rFonts w:ascii="Arial" w:hAnsi="Arial" w:cs="Arial"/>
                <w:sz w:val="22"/>
                <w:szCs w:val="22"/>
              </w:rPr>
              <w:t>4.52</w:t>
            </w:r>
            <w:r w:rsidR="00821B8A">
              <w:rPr>
                <w:rFonts w:ascii="Arial" w:hAnsi="Arial" w:cs="Arial"/>
                <w:sz w:val="22"/>
                <w:szCs w:val="22"/>
              </w:rPr>
              <w:t xml:space="preserve">, </w:t>
            </w:r>
            <w:r w:rsidRPr="009A504B">
              <w:rPr>
                <w:rFonts w:ascii="Arial" w:hAnsi="Arial" w:cs="Arial"/>
                <w:sz w:val="22"/>
                <w:szCs w:val="22"/>
              </w:rPr>
              <w:t>4.60</w:t>
            </w:r>
            <w:r>
              <w:rPr>
                <w:rFonts w:ascii="Arial" w:hAnsi="Arial" w:cs="Arial"/>
                <w:sz w:val="22"/>
                <w:szCs w:val="22"/>
              </w:rPr>
              <w:t xml:space="preserve">, 4.62, </w:t>
            </w:r>
            <w:r w:rsidRPr="00225583">
              <w:rPr>
                <w:rFonts w:ascii="Arial" w:hAnsi="Arial" w:cs="Arial"/>
                <w:sz w:val="22"/>
                <w:szCs w:val="22"/>
              </w:rPr>
              <w:t>4.64</w:t>
            </w:r>
            <w:r>
              <w:rPr>
                <w:rFonts w:ascii="Arial" w:hAnsi="Arial" w:cs="Arial"/>
                <w:sz w:val="22"/>
                <w:szCs w:val="22"/>
              </w:rPr>
              <w:t xml:space="preserve">, </w:t>
            </w:r>
            <w:proofErr w:type="gramStart"/>
            <w:r>
              <w:rPr>
                <w:rFonts w:ascii="Arial" w:hAnsi="Arial" w:cs="Arial"/>
                <w:sz w:val="22"/>
                <w:szCs w:val="22"/>
              </w:rPr>
              <w:t>4.68</w:t>
            </w:r>
            <w:proofErr w:type="gramEnd"/>
            <w:r w:rsidRPr="00225583">
              <w:rPr>
                <w:rFonts w:ascii="Arial" w:hAnsi="Arial" w:cs="Arial"/>
                <w:sz w:val="22"/>
                <w:szCs w:val="22"/>
              </w:rPr>
              <w:t xml:space="preserve">) </w:t>
            </w:r>
            <w:r>
              <w:rPr>
                <w:rFonts w:ascii="Arial" w:hAnsi="Arial" w:cs="Arial"/>
                <w:sz w:val="22"/>
                <w:szCs w:val="22"/>
              </w:rPr>
              <w:t xml:space="preserve">would be updated and moved </w:t>
            </w:r>
            <w:r w:rsidRPr="00225583">
              <w:rPr>
                <w:rFonts w:ascii="Arial" w:hAnsi="Arial" w:cs="Arial"/>
                <w:sz w:val="22"/>
                <w:szCs w:val="22"/>
              </w:rPr>
              <w:t>to Title 4A.</w:t>
            </w:r>
          </w:p>
        </w:tc>
      </w:tr>
      <w:tr w:rsidR="00A64D19" w:rsidRPr="00D1695D" w:rsidTr="00A64D19">
        <w:tc>
          <w:tcPr>
            <w:tcW w:w="763" w:type="pct"/>
            <w:shd w:val="clear" w:color="auto" w:fill="FABF8F"/>
          </w:tcPr>
          <w:p w:rsidR="00A64D19" w:rsidRPr="00D1695D" w:rsidRDefault="00A64D19" w:rsidP="00AC79F6">
            <w:pPr>
              <w:pStyle w:val="BodyText"/>
              <w:tabs>
                <w:tab w:val="left" w:pos="720"/>
              </w:tabs>
              <w:rPr>
                <w:rFonts w:ascii="Arial" w:hAnsi="Arial" w:cs="Arial"/>
                <w:b/>
                <w:i w:val="0"/>
                <w:sz w:val="22"/>
                <w:szCs w:val="22"/>
              </w:rPr>
            </w:pPr>
            <w:r w:rsidRPr="00D1695D">
              <w:rPr>
                <w:rFonts w:ascii="Arial" w:hAnsi="Arial" w:cs="Arial"/>
                <w:b/>
                <w:i w:val="0"/>
                <w:sz w:val="22"/>
                <w:szCs w:val="22"/>
              </w:rPr>
              <w:t>Date of Action</w:t>
            </w:r>
          </w:p>
        </w:tc>
        <w:tc>
          <w:tcPr>
            <w:tcW w:w="800" w:type="pct"/>
            <w:shd w:val="clear" w:color="auto" w:fill="FABF8F"/>
          </w:tcPr>
          <w:p w:rsidR="00A64D19" w:rsidRPr="00D1695D" w:rsidRDefault="00A64D19" w:rsidP="00AC79F6">
            <w:pPr>
              <w:pStyle w:val="BodyText"/>
              <w:tabs>
                <w:tab w:val="left" w:pos="720"/>
              </w:tabs>
              <w:rPr>
                <w:rFonts w:ascii="Arial" w:hAnsi="Arial" w:cs="Arial"/>
                <w:b/>
                <w:i w:val="0"/>
                <w:sz w:val="22"/>
                <w:szCs w:val="22"/>
              </w:rPr>
            </w:pPr>
            <w:r w:rsidRPr="00D1695D">
              <w:rPr>
                <w:rFonts w:ascii="Arial" w:hAnsi="Arial" w:cs="Arial"/>
                <w:b/>
                <w:i w:val="0"/>
                <w:sz w:val="22"/>
                <w:szCs w:val="22"/>
              </w:rPr>
              <w:t>Subject Area</w:t>
            </w:r>
          </w:p>
        </w:tc>
        <w:tc>
          <w:tcPr>
            <w:tcW w:w="753" w:type="pct"/>
            <w:shd w:val="clear" w:color="auto" w:fill="FABF8F"/>
          </w:tcPr>
          <w:p w:rsidR="00A64D19" w:rsidRPr="00D1695D" w:rsidRDefault="00A64D19" w:rsidP="00AC79F6">
            <w:pPr>
              <w:pStyle w:val="BodyText"/>
              <w:tabs>
                <w:tab w:val="left" w:pos="720"/>
              </w:tabs>
              <w:rPr>
                <w:rFonts w:ascii="Arial" w:hAnsi="Arial" w:cs="Arial"/>
                <w:b/>
                <w:i w:val="0"/>
                <w:sz w:val="22"/>
                <w:szCs w:val="22"/>
              </w:rPr>
            </w:pPr>
            <w:r w:rsidRPr="00D1695D">
              <w:rPr>
                <w:rFonts w:ascii="Arial" w:hAnsi="Arial" w:cs="Arial"/>
                <w:b/>
                <w:i w:val="0"/>
                <w:sz w:val="22"/>
                <w:szCs w:val="22"/>
              </w:rPr>
              <w:t>Citation</w:t>
            </w:r>
          </w:p>
        </w:tc>
        <w:tc>
          <w:tcPr>
            <w:tcW w:w="2684" w:type="pct"/>
            <w:shd w:val="clear" w:color="auto" w:fill="FABF8F"/>
          </w:tcPr>
          <w:p w:rsidR="00A64D19" w:rsidRPr="00D1695D" w:rsidRDefault="00A64D19" w:rsidP="00AC79F6">
            <w:pPr>
              <w:pStyle w:val="BodyText"/>
              <w:tabs>
                <w:tab w:val="left" w:pos="720"/>
              </w:tabs>
              <w:rPr>
                <w:rFonts w:ascii="Arial" w:hAnsi="Arial" w:cs="Arial"/>
                <w:b/>
                <w:i w:val="0"/>
                <w:sz w:val="22"/>
                <w:szCs w:val="22"/>
              </w:rPr>
            </w:pPr>
            <w:r w:rsidRPr="00D1695D">
              <w:rPr>
                <w:rFonts w:ascii="Arial" w:hAnsi="Arial" w:cs="Arial"/>
                <w:b/>
                <w:i w:val="0"/>
                <w:sz w:val="22"/>
                <w:szCs w:val="22"/>
              </w:rPr>
              <w:t>Title 4 Chapters Remaining to Migrate</w:t>
            </w:r>
            <w:r w:rsidRPr="00D1695D">
              <w:rPr>
                <w:rFonts w:ascii="Arial" w:hAnsi="Arial" w:cs="Arial"/>
                <w:i w:val="0"/>
                <w:sz w:val="22"/>
                <w:szCs w:val="22"/>
              </w:rPr>
              <w:t xml:space="preserve"> (may </w:t>
            </w:r>
            <w:r>
              <w:rPr>
                <w:rFonts w:ascii="Arial" w:hAnsi="Arial" w:cs="Arial"/>
                <w:i w:val="0"/>
                <w:sz w:val="22"/>
                <w:szCs w:val="22"/>
              </w:rPr>
              <w:t>be</w:t>
            </w:r>
            <w:r w:rsidRPr="00D1695D">
              <w:rPr>
                <w:rFonts w:ascii="Arial" w:hAnsi="Arial" w:cs="Arial"/>
                <w:i w:val="0"/>
                <w:sz w:val="22"/>
                <w:szCs w:val="22"/>
              </w:rPr>
              <w:t xml:space="preserve"> multiple pieces of legislation per subject area)</w:t>
            </w:r>
          </w:p>
        </w:tc>
      </w:tr>
      <w:tr w:rsidR="00A64D19" w:rsidRPr="00225583" w:rsidTr="00AC79F6">
        <w:tc>
          <w:tcPr>
            <w:tcW w:w="763" w:type="pct"/>
          </w:tcPr>
          <w:p w:rsidR="00A64D19" w:rsidRPr="00225583" w:rsidRDefault="00A64D19" w:rsidP="007219D8">
            <w:pPr>
              <w:pStyle w:val="ListParagraph0"/>
              <w:spacing w:line="240" w:lineRule="auto"/>
              <w:ind w:left="360"/>
              <w:outlineLvl w:val="0"/>
              <w:rPr>
                <w:rFonts w:ascii="Arial" w:hAnsi="Arial" w:cs="Arial"/>
                <w:sz w:val="22"/>
                <w:szCs w:val="22"/>
              </w:rPr>
            </w:pPr>
            <w:r>
              <w:rPr>
                <w:rFonts w:ascii="Arial" w:hAnsi="Arial" w:cs="Arial"/>
                <w:sz w:val="22"/>
                <w:szCs w:val="22"/>
              </w:rPr>
              <w:t>201</w:t>
            </w:r>
            <w:r w:rsidR="007219D8">
              <w:rPr>
                <w:rFonts w:ascii="Arial" w:hAnsi="Arial" w:cs="Arial"/>
                <w:sz w:val="22"/>
                <w:szCs w:val="22"/>
              </w:rPr>
              <w:t>4</w:t>
            </w:r>
          </w:p>
        </w:tc>
        <w:tc>
          <w:tcPr>
            <w:tcW w:w="800" w:type="pct"/>
          </w:tcPr>
          <w:p w:rsidR="00A64D19" w:rsidRPr="00225583" w:rsidRDefault="00A64D19" w:rsidP="00AC79F6">
            <w:pPr>
              <w:pStyle w:val="BodyText"/>
              <w:tabs>
                <w:tab w:val="left" w:pos="720"/>
              </w:tabs>
              <w:rPr>
                <w:rFonts w:ascii="Arial" w:hAnsi="Arial" w:cs="Arial"/>
                <w:i w:val="0"/>
                <w:sz w:val="22"/>
                <w:szCs w:val="22"/>
              </w:rPr>
            </w:pPr>
            <w:r w:rsidRPr="00225583">
              <w:rPr>
                <w:rFonts w:ascii="Arial" w:hAnsi="Arial" w:cs="Arial"/>
                <w:i w:val="0"/>
                <w:sz w:val="22"/>
                <w:szCs w:val="22"/>
              </w:rPr>
              <w:t>Budget</w:t>
            </w:r>
            <w:r>
              <w:rPr>
                <w:rFonts w:ascii="Arial" w:hAnsi="Arial" w:cs="Arial"/>
                <w:i w:val="0"/>
                <w:sz w:val="22"/>
                <w:szCs w:val="22"/>
              </w:rPr>
              <w:t xml:space="preserve">, Reporting </w:t>
            </w:r>
            <w:r w:rsidRPr="00225583">
              <w:rPr>
                <w:rFonts w:ascii="Arial" w:hAnsi="Arial" w:cs="Arial"/>
                <w:i w:val="0"/>
                <w:sz w:val="22"/>
                <w:szCs w:val="22"/>
              </w:rPr>
              <w:t xml:space="preserve">&amp; </w:t>
            </w:r>
            <w:r>
              <w:rPr>
                <w:rFonts w:ascii="Arial" w:hAnsi="Arial" w:cs="Arial"/>
                <w:i w:val="0"/>
                <w:sz w:val="22"/>
                <w:szCs w:val="22"/>
              </w:rPr>
              <w:t>Oversight</w:t>
            </w:r>
          </w:p>
        </w:tc>
        <w:tc>
          <w:tcPr>
            <w:tcW w:w="753" w:type="pct"/>
          </w:tcPr>
          <w:p w:rsidR="00A64D19" w:rsidRPr="00225583" w:rsidRDefault="00A64D19" w:rsidP="00AC79F6">
            <w:pPr>
              <w:rPr>
                <w:rFonts w:ascii="Arial" w:hAnsi="Arial" w:cs="Arial"/>
                <w:sz w:val="22"/>
                <w:szCs w:val="22"/>
              </w:rPr>
            </w:pPr>
            <w:r w:rsidRPr="009A504B">
              <w:rPr>
                <w:rFonts w:ascii="Arial" w:hAnsi="Arial" w:cs="Arial"/>
                <w:sz w:val="22"/>
                <w:szCs w:val="22"/>
              </w:rPr>
              <w:t>4.04, 4.06</w:t>
            </w:r>
            <w:r>
              <w:rPr>
                <w:rFonts w:ascii="Arial" w:hAnsi="Arial" w:cs="Arial"/>
                <w:sz w:val="22"/>
                <w:szCs w:val="22"/>
              </w:rPr>
              <w:t xml:space="preserve">, </w:t>
            </w:r>
            <w:r w:rsidRPr="009A504B">
              <w:rPr>
                <w:rFonts w:ascii="Arial" w:hAnsi="Arial" w:cs="Arial"/>
                <w:sz w:val="22"/>
                <w:szCs w:val="22"/>
              </w:rPr>
              <w:t>4.40</w:t>
            </w:r>
          </w:p>
        </w:tc>
        <w:tc>
          <w:tcPr>
            <w:tcW w:w="2684" w:type="pct"/>
          </w:tcPr>
          <w:p w:rsidR="00A64D19" w:rsidRPr="00225583" w:rsidRDefault="00A64D19" w:rsidP="00AC79F6">
            <w:pPr>
              <w:rPr>
                <w:rFonts w:ascii="Arial" w:hAnsi="Arial" w:cs="Arial"/>
                <w:sz w:val="22"/>
                <w:szCs w:val="22"/>
              </w:rPr>
            </w:pPr>
            <w:r w:rsidRPr="00F76BE0">
              <w:rPr>
                <w:rFonts w:ascii="Arial" w:hAnsi="Arial" w:cs="Arial"/>
                <w:sz w:val="22"/>
                <w:szCs w:val="22"/>
              </w:rPr>
              <w:t>A large body of work remains regarding operating budget, capital budget</w:t>
            </w:r>
            <w:r>
              <w:rPr>
                <w:rFonts w:ascii="Arial" w:hAnsi="Arial" w:cs="Arial"/>
                <w:sz w:val="22"/>
                <w:szCs w:val="22"/>
              </w:rPr>
              <w:t>,</w:t>
            </w:r>
            <w:r w:rsidRPr="00F76BE0">
              <w:rPr>
                <w:rFonts w:ascii="Arial" w:hAnsi="Arial" w:cs="Arial"/>
                <w:sz w:val="22"/>
                <w:szCs w:val="22"/>
              </w:rPr>
              <w:t xml:space="preserve"> </w:t>
            </w:r>
            <w:r>
              <w:rPr>
                <w:rFonts w:ascii="Arial" w:hAnsi="Arial" w:cs="Arial"/>
                <w:sz w:val="22"/>
                <w:szCs w:val="22"/>
              </w:rPr>
              <w:t>capital oversight, art in county construction projects, and reporting</w:t>
            </w:r>
            <w:r w:rsidRPr="00F76BE0">
              <w:rPr>
                <w:rFonts w:ascii="Arial" w:hAnsi="Arial" w:cs="Arial"/>
                <w:sz w:val="22"/>
                <w:szCs w:val="22"/>
              </w:rPr>
              <w:t xml:space="preserve"> requirements.</w:t>
            </w:r>
          </w:p>
        </w:tc>
      </w:tr>
      <w:tr w:rsidR="00A64D19" w:rsidRPr="00225583" w:rsidTr="00AC79F6">
        <w:tc>
          <w:tcPr>
            <w:tcW w:w="763" w:type="pct"/>
          </w:tcPr>
          <w:p w:rsidR="00A64D19" w:rsidRDefault="00A64D19" w:rsidP="007219D8">
            <w:pPr>
              <w:pStyle w:val="ListParagraph0"/>
              <w:spacing w:line="240" w:lineRule="auto"/>
              <w:ind w:left="360"/>
              <w:outlineLvl w:val="0"/>
              <w:rPr>
                <w:rFonts w:ascii="Arial" w:hAnsi="Arial" w:cs="Arial"/>
                <w:sz w:val="22"/>
                <w:szCs w:val="22"/>
              </w:rPr>
            </w:pPr>
            <w:r>
              <w:rPr>
                <w:rFonts w:ascii="Arial" w:hAnsi="Arial" w:cs="Arial"/>
                <w:sz w:val="22"/>
                <w:szCs w:val="22"/>
              </w:rPr>
              <w:t>201</w:t>
            </w:r>
            <w:r w:rsidR="007219D8">
              <w:rPr>
                <w:rFonts w:ascii="Arial" w:hAnsi="Arial" w:cs="Arial"/>
                <w:sz w:val="22"/>
                <w:szCs w:val="22"/>
              </w:rPr>
              <w:t>4</w:t>
            </w:r>
          </w:p>
        </w:tc>
        <w:tc>
          <w:tcPr>
            <w:tcW w:w="800" w:type="pct"/>
          </w:tcPr>
          <w:p w:rsidR="00A64D19" w:rsidRDefault="00A64D19" w:rsidP="00AC79F6">
            <w:pPr>
              <w:pStyle w:val="BodyText"/>
              <w:tabs>
                <w:tab w:val="left" w:pos="720"/>
              </w:tabs>
              <w:rPr>
                <w:rFonts w:ascii="Arial" w:hAnsi="Arial" w:cs="Arial"/>
                <w:i w:val="0"/>
                <w:sz w:val="22"/>
                <w:szCs w:val="22"/>
              </w:rPr>
            </w:pPr>
            <w:r>
              <w:rPr>
                <w:rFonts w:ascii="Arial" w:hAnsi="Arial" w:cs="Arial"/>
                <w:i w:val="0"/>
                <w:sz w:val="22"/>
                <w:szCs w:val="22"/>
              </w:rPr>
              <w:t>Funds</w:t>
            </w:r>
          </w:p>
        </w:tc>
        <w:tc>
          <w:tcPr>
            <w:tcW w:w="753" w:type="pct"/>
          </w:tcPr>
          <w:p w:rsidR="00A64D19" w:rsidRPr="00225583" w:rsidRDefault="00A64D19" w:rsidP="00AC79F6">
            <w:pPr>
              <w:rPr>
                <w:rFonts w:ascii="Arial" w:hAnsi="Arial" w:cs="Arial"/>
                <w:sz w:val="22"/>
                <w:szCs w:val="22"/>
              </w:rPr>
            </w:pPr>
            <w:r w:rsidRPr="009A504B">
              <w:rPr>
                <w:rFonts w:ascii="Arial" w:hAnsi="Arial" w:cs="Arial"/>
                <w:sz w:val="22"/>
                <w:szCs w:val="22"/>
              </w:rPr>
              <w:t>4.10</w:t>
            </w:r>
            <w:r>
              <w:rPr>
                <w:rFonts w:ascii="Arial" w:hAnsi="Arial" w:cs="Arial"/>
                <w:sz w:val="22"/>
                <w:szCs w:val="22"/>
              </w:rPr>
              <w:t xml:space="preserve">, </w:t>
            </w:r>
            <w:r w:rsidRPr="009A504B">
              <w:rPr>
                <w:rFonts w:ascii="Arial" w:hAnsi="Arial" w:cs="Arial"/>
                <w:sz w:val="22"/>
                <w:szCs w:val="22"/>
              </w:rPr>
              <w:t>4.24</w:t>
            </w:r>
          </w:p>
        </w:tc>
        <w:tc>
          <w:tcPr>
            <w:tcW w:w="2684" w:type="pct"/>
          </w:tcPr>
          <w:p w:rsidR="00A64D19" w:rsidRDefault="00A64D19" w:rsidP="00AC79F6">
            <w:pPr>
              <w:rPr>
                <w:rFonts w:ascii="Arial" w:hAnsi="Arial" w:cs="Arial"/>
                <w:sz w:val="22"/>
                <w:szCs w:val="22"/>
              </w:rPr>
            </w:pPr>
            <w:r>
              <w:rPr>
                <w:rFonts w:ascii="Arial" w:hAnsi="Arial" w:cs="Arial"/>
                <w:sz w:val="22"/>
                <w:szCs w:val="22"/>
              </w:rPr>
              <w:t>Investment of funds, Executive Finance Committee and interfund borrowing</w:t>
            </w:r>
          </w:p>
        </w:tc>
      </w:tr>
      <w:tr w:rsidR="00A64D19" w:rsidRPr="00225583" w:rsidTr="00AC79F6">
        <w:tc>
          <w:tcPr>
            <w:tcW w:w="763" w:type="pct"/>
          </w:tcPr>
          <w:p w:rsidR="00A64D19" w:rsidRDefault="00A64D19" w:rsidP="007219D8">
            <w:pPr>
              <w:pStyle w:val="ListParagraph0"/>
              <w:spacing w:line="240" w:lineRule="auto"/>
              <w:ind w:left="360"/>
              <w:outlineLvl w:val="0"/>
              <w:rPr>
                <w:rFonts w:ascii="Arial" w:hAnsi="Arial" w:cs="Arial"/>
                <w:sz w:val="22"/>
                <w:szCs w:val="22"/>
              </w:rPr>
            </w:pPr>
            <w:r>
              <w:rPr>
                <w:rFonts w:ascii="Arial" w:hAnsi="Arial" w:cs="Arial"/>
                <w:sz w:val="22"/>
                <w:szCs w:val="22"/>
              </w:rPr>
              <w:t>201</w:t>
            </w:r>
            <w:r w:rsidR="007219D8">
              <w:rPr>
                <w:rFonts w:ascii="Arial" w:hAnsi="Arial" w:cs="Arial"/>
                <w:sz w:val="22"/>
                <w:szCs w:val="22"/>
              </w:rPr>
              <w:t>4</w:t>
            </w:r>
          </w:p>
        </w:tc>
        <w:tc>
          <w:tcPr>
            <w:tcW w:w="800" w:type="pct"/>
          </w:tcPr>
          <w:p w:rsidR="00A64D19" w:rsidRDefault="00A64D19" w:rsidP="00AC79F6">
            <w:pPr>
              <w:pStyle w:val="BodyText"/>
              <w:tabs>
                <w:tab w:val="left" w:pos="720"/>
              </w:tabs>
              <w:rPr>
                <w:rFonts w:ascii="Arial" w:hAnsi="Arial" w:cs="Arial"/>
                <w:i w:val="0"/>
                <w:sz w:val="22"/>
                <w:szCs w:val="22"/>
              </w:rPr>
            </w:pPr>
            <w:r>
              <w:rPr>
                <w:rFonts w:ascii="Arial" w:hAnsi="Arial" w:cs="Arial"/>
                <w:i w:val="0"/>
                <w:sz w:val="22"/>
                <w:szCs w:val="22"/>
              </w:rPr>
              <w:t>Contracting</w:t>
            </w:r>
          </w:p>
        </w:tc>
        <w:tc>
          <w:tcPr>
            <w:tcW w:w="753" w:type="pct"/>
          </w:tcPr>
          <w:p w:rsidR="00A64D19" w:rsidRDefault="00A64D19" w:rsidP="009A504B">
            <w:pPr>
              <w:rPr>
                <w:rFonts w:ascii="Arial" w:hAnsi="Arial" w:cs="Arial"/>
                <w:sz w:val="22"/>
                <w:szCs w:val="22"/>
              </w:rPr>
            </w:pPr>
            <w:r w:rsidRPr="009A504B">
              <w:rPr>
                <w:rFonts w:ascii="Arial" w:hAnsi="Arial" w:cs="Arial"/>
                <w:sz w:val="22"/>
                <w:szCs w:val="22"/>
              </w:rPr>
              <w:t>4.14</w:t>
            </w:r>
          </w:p>
        </w:tc>
        <w:tc>
          <w:tcPr>
            <w:tcW w:w="2684" w:type="pct"/>
          </w:tcPr>
          <w:p w:rsidR="00A64D19" w:rsidRPr="00225583" w:rsidRDefault="00A64D19" w:rsidP="009A504B">
            <w:pPr>
              <w:rPr>
                <w:rFonts w:ascii="Arial" w:hAnsi="Arial" w:cs="Arial"/>
                <w:sz w:val="22"/>
                <w:szCs w:val="22"/>
              </w:rPr>
            </w:pPr>
            <w:r w:rsidRPr="00225583">
              <w:rPr>
                <w:rFonts w:ascii="Arial" w:hAnsi="Arial" w:cs="Arial"/>
                <w:sz w:val="22"/>
                <w:szCs w:val="22"/>
              </w:rPr>
              <w:t xml:space="preserve">Contracting provisions relating to </w:t>
            </w:r>
            <w:r>
              <w:rPr>
                <w:rFonts w:ascii="Arial" w:hAnsi="Arial" w:cs="Arial"/>
                <w:sz w:val="22"/>
                <w:szCs w:val="22"/>
              </w:rPr>
              <w:t>bidding procedures</w:t>
            </w:r>
          </w:p>
        </w:tc>
      </w:tr>
      <w:tr w:rsidR="00A64D19" w:rsidRPr="00225583" w:rsidTr="00AC79F6">
        <w:tc>
          <w:tcPr>
            <w:tcW w:w="763" w:type="pct"/>
          </w:tcPr>
          <w:p w:rsidR="00A64D19" w:rsidRPr="00225583" w:rsidRDefault="00A64D19" w:rsidP="007219D8">
            <w:pPr>
              <w:pStyle w:val="ListParagraph0"/>
              <w:spacing w:line="240" w:lineRule="auto"/>
              <w:ind w:left="360"/>
              <w:outlineLvl w:val="0"/>
              <w:rPr>
                <w:rFonts w:ascii="Arial" w:hAnsi="Arial" w:cs="Arial"/>
                <w:sz w:val="22"/>
                <w:szCs w:val="22"/>
              </w:rPr>
            </w:pPr>
            <w:r w:rsidRPr="00225583">
              <w:rPr>
                <w:rFonts w:ascii="Arial" w:hAnsi="Arial" w:cs="Arial"/>
                <w:sz w:val="22"/>
                <w:szCs w:val="22"/>
              </w:rPr>
              <w:t>201</w:t>
            </w:r>
            <w:r w:rsidR="007219D8">
              <w:rPr>
                <w:rFonts w:ascii="Arial" w:hAnsi="Arial" w:cs="Arial"/>
                <w:sz w:val="22"/>
                <w:szCs w:val="22"/>
              </w:rPr>
              <w:t>4</w:t>
            </w:r>
          </w:p>
        </w:tc>
        <w:tc>
          <w:tcPr>
            <w:tcW w:w="800" w:type="pct"/>
          </w:tcPr>
          <w:p w:rsidR="00A64D19" w:rsidRPr="00225583" w:rsidRDefault="00A64D19" w:rsidP="00AC79F6">
            <w:pPr>
              <w:pStyle w:val="BodyText"/>
              <w:tabs>
                <w:tab w:val="left" w:pos="720"/>
              </w:tabs>
              <w:rPr>
                <w:rFonts w:ascii="Arial" w:hAnsi="Arial" w:cs="Arial"/>
                <w:i w:val="0"/>
                <w:sz w:val="22"/>
                <w:szCs w:val="22"/>
              </w:rPr>
            </w:pPr>
            <w:r w:rsidRPr="00225583">
              <w:rPr>
                <w:rFonts w:ascii="Arial" w:hAnsi="Arial" w:cs="Arial"/>
                <w:i w:val="0"/>
                <w:sz w:val="22"/>
                <w:szCs w:val="22"/>
              </w:rPr>
              <w:t xml:space="preserve">Real </w:t>
            </w:r>
            <w:r>
              <w:rPr>
                <w:rFonts w:ascii="Arial" w:hAnsi="Arial" w:cs="Arial"/>
                <w:i w:val="0"/>
                <w:sz w:val="22"/>
                <w:szCs w:val="22"/>
              </w:rPr>
              <w:t xml:space="preserve">&amp; Personal </w:t>
            </w:r>
            <w:r w:rsidRPr="00225583">
              <w:rPr>
                <w:rFonts w:ascii="Arial" w:hAnsi="Arial" w:cs="Arial"/>
                <w:i w:val="0"/>
                <w:sz w:val="22"/>
                <w:szCs w:val="22"/>
              </w:rPr>
              <w:t>Property</w:t>
            </w:r>
          </w:p>
        </w:tc>
        <w:tc>
          <w:tcPr>
            <w:tcW w:w="753" w:type="pct"/>
          </w:tcPr>
          <w:p w:rsidR="00A64D19" w:rsidRPr="00225583" w:rsidRDefault="00A64D19" w:rsidP="00AC79F6">
            <w:pPr>
              <w:rPr>
                <w:rFonts w:ascii="Arial" w:hAnsi="Arial" w:cs="Arial"/>
                <w:sz w:val="22"/>
                <w:szCs w:val="22"/>
              </w:rPr>
            </w:pPr>
            <w:r w:rsidRPr="009A504B">
              <w:rPr>
                <w:rFonts w:ascii="Arial" w:hAnsi="Arial" w:cs="Arial"/>
                <w:sz w:val="22"/>
                <w:szCs w:val="22"/>
              </w:rPr>
              <w:t>4.36</w:t>
            </w:r>
            <w:r>
              <w:rPr>
                <w:rFonts w:ascii="Arial" w:hAnsi="Arial" w:cs="Arial"/>
                <w:sz w:val="22"/>
                <w:szCs w:val="22"/>
              </w:rPr>
              <w:t xml:space="preserve">, </w:t>
            </w:r>
            <w:r w:rsidRPr="009A504B">
              <w:rPr>
                <w:rFonts w:ascii="Arial" w:hAnsi="Arial" w:cs="Arial"/>
                <w:sz w:val="22"/>
                <w:szCs w:val="22"/>
              </w:rPr>
              <w:t>4.44</w:t>
            </w:r>
            <w:r>
              <w:rPr>
                <w:rFonts w:ascii="Arial" w:hAnsi="Arial" w:cs="Arial"/>
                <w:sz w:val="22"/>
                <w:szCs w:val="22"/>
              </w:rPr>
              <w:t xml:space="preserve">, </w:t>
            </w:r>
            <w:r w:rsidRPr="009A504B">
              <w:rPr>
                <w:rFonts w:ascii="Arial" w:hAnsi="Arial" w:cs="Arial"/>
                <w:sz w:val="22"/>
                <w:szCs w:val="22"/>
              </w:rPr>
              <w:t>4.56</w:t>
            </w:r>
          </w:p>
        </w:tc>
        <w:tc>
          <w:tcPr>
            <w:tcW w:w="2684" w:type="pct"/>
          </w:tcPr>
          <w:p w:rsidR="00A64D19" w:rsidRPr="00225583" w:rsidRDefault="00A64D19" w:rsidP="00AC79F6">
            <w:pPr>
              <w:rPr>
                <w:rFonts w:ascii="Arial" w:hAnsi="Arial" w:cs="Arial"/>
                <w:sz w:val="22"/>
                <w:szCs w:val="22"/>
              </w:rPr>
            </w:pPr>
            <w:r>
              <w:rPr>
                <w:rFonts w:ascii="Arial" w:hAnsi="Arial" w:cs="Arial"/>
                <w:sz w:val="22"/>
                <w:szCs w:val="22"/>
              </w:rPr>
              <w:t>Real and personal property (county property payment of rent, tax title sales, sales and leasing)</w:t>
            </w:r>
          </w:p>
        </w:tc>
      </w:tr>
      <w:tr w:rsidR="00A64D19" w:rsidRPr="00225583" w:rsidTr="00AC79F6">
        <w:tc>
          <w:tcPr>
            <w:tcW w:w="763" w:type="pct"/>
          </w:tcPr>
          <w:p w:rsidR="00A64D19" w:rsidRDefault="00A64D19" w:rsidP="007219D8">
            <w:pPr>
              <w:pStyle w:val="ListParagraph0"/>
              <w:spacing w:line="240" w:lineRule="auto"/>
              <w:ind w:left="360"/>
              <w:outlineLvl w:val="0"/>
              <w:rPr>
                <w:rFonts w:ascii="Arial" w:hAnsi="Arial" w:cs="Arial"/>
                <w:sz w:val="22"/>
                <w:szCs w:val="22"/>
              </w:rPr>
            </w:pPr>
            <w:r>
              <w:rPr>
                <w:rFonts w:ascii="Arial" w:hAnsi="Arial" w:cs="Arial"/>
                <w:sz w:val="22"/>
                <w:szCs w:val="22"/>
              </w:rPr>
              <w:t>201</w:t>
            </w:r>
            <w:r w:rsidR="007219D8">
              <w:rPr>
                <w:rFonts w:ascii="Arial" w:hAnsi="Arial" w:cs="Arial"/>
                <w:sz w:val="22"/>
                <w:szCs w:val="22"/>
              </w:rPr>
              <w:t>4</w:t>
            </w:r>
          </w:p>
        </w:tc>
        <w:tc>
          <w:tcPr>
            <w:tcW w:w="800" w:type="pct"/>
          </w:tcPr>
          <w:p w:rsidR="00A64D19" w:rsidRDefault="00A64D19" w:rsidP="00AC79F6">
            <w:pPr>
              <w:pStyle w:val="BodyText"/>
              <w:tabs>
                <w:tab w:val="left" w:pos="720"/>
              </w:tabs>
              <w:rPr>
                <w:rFonts w:ascii="Arial" w:hAnsi="Arial" w:cs="Arial"/>
                <w:i w:val="0"/>
                <w:sz w:val="22"/>
                <w:szCs w:val="22"/>
              </w:rPr>
            </w:pPr>
            <w:r>
              <w:rPr>
                <w:rFonts w:ascii="Arial" w:hAnsi="Arial" w:cs="Arial"/>
                <w:i w:val="0"/>
                <w:sz w:val="22"/>
                <w:szCs w:val="22"/>
              </w:rPr>
              <w:t>Excise Taxes</w:t>
            </w:r>
          </w:p>
        </w:tc>
        <w:tc>
          <w:tcPr>
            <w:tcW w:w="753" w:type="pct"/>
          </w:tcPr>
          <w:p w:rsidR="00A64D19" w:rsidRDefault="00A64D19" w:rsidP="00AC79F6">
            <w:pPr>
              <w:rPr>
                <w:rFonts w:ascii="Arial" w:hAnsi="Arial" w:cs="Arial"/>
                <w:sz w:val="22"/>
                <w:szCs w:val="22"/>
              </w:rPr>
            </w:pPr>
            <w:r w:rsidRPr="009A504B">
              <w:rPr>
                <w:rFonts w:ascii="Arial" w:hAnsi="Arial" w:cs="Arial"/>
                <w:sz w:val="22"/>
                <w:szCs w:val="22"/>
              </w:rPr>
              <w:t>4.35</w:t>
            </w:r>
          </w:p>
        </w:tc>
        <w:tc>
          <w:tcPr>
            <w:tcW w:w="2684" w:type="pct"/>
          </w:tcPr>
          <w:p w:rsidR="00A64D19" w:rsidRDefault="00A64D19" w:rsidP="00AC79F6">
            <w:pPr>
              <w:rPr>
                <w:rFonts w:ascii="Arial" w:hAnsi="Arial" w:cs="Arial"/>
                <w:sz w:val="22"/>
                <w:szCs w:val="22"/>
              </w:rPr>
            </w:pPr>
            <w:r>
              <w:rPr>
                <w:rFonts w:ascii="Arial" w:hAnsi="Arial" w:cs="Arial"/>
                <w:sz w:val="22"/>
                <w:szCs w:val="22"/>
              </w:rPr>
              <w:t>Excise taxes from timber harvested from public lands</w:t>
            </w:r>
          </w:p>
        </w:tc>
      </w:tr>
      <w:tr w:rsidR="00A64D19" w:rsidRPr="00225583" w:rsidTr="00AC79F6">
        <w:tc>
          <w:tcPr>
            <w:tcW w:w="763" w:type="pct"/>
          </w:tcPr>
          <w:p w:rsidR="00A64D19" w:rsidRDefault="00A64D19" w:rsidP="007219D8">
            <w:pPr>
              <w:pStyle w:val="ListParagraph0"/>
              <w:spacing w:line="240" w:lineRule="auto"/>
              <w:ind w:left="360"/>
              <w:outlineLvl w:val="0"/>
              <w:rPr>
                <w:rFonts w:ascii="Arial" w:hAnsi="Arial" w:cs="Arial"/>
                <w:sz w:val="22"/>
                <w:szCs w:val="22"/>
              </w:rPr>
            </w:pPr>
            <w:r>
              <w:rPr>
                <w:rFonts w:ascii="Arial" w:hAnsi="Arial" w:cs="Arial"/>
                <w:sz w:val="22"/>
                <w:szCs w:val="22"/>
              </w:rPr>
              <w:t>201</w:t>
            </w:r>
            <w:r w:rsidR="007219D8">
              <w:rPr>
                <w:rFonts w:ascii="Arial" w:hAnsi="Arial" w:cs="Arial"/>
                <w:sz w:val="22"/>
                <w:szCs w:val="22"/>
              </w:rPr>
              <w:t>4</w:t>
            </w:r>
          </w:p>
        </w:tc>
        <w:tc>
          <w:tcPr>
            <w:tcW w:w="800" w:type="pct"/>
          </w:tcPr>
          <w:p w:rsidR="00A64D19" w:rsidRDefault="00A64D19" w:rsidP="00AC79F6">
            <w:pPr>
              <w:pStyle w:val="BodyText"/>
              <w:tabs>
                <w:tab w:val="left" w:pos="720"/>
              </w:tabs>
              <w:rPr>
                <w:rFonts w:ascii="Arial" w:hAnsi="Arial" w:cs="Arial"/>
                <w:i w:val="0"/>
                <w:sz w:val="22"/>
                <w:szCs w:val="22"/>
              </w:rPr>
            </w:pPr>
            <w:r>
              <w:rPr>
                <w:rFonts w:ascii="Arial" w:hAnsi="Arial" w:cs="Arial"/>
                <w:i w:val="0"/>
                <w:sz w:val="22"/>
                <w:szCs w:val="22"/>
              </w:rPr>
              <w:t>Misc.</w:t>
            </w:r>
          </w:p>
        </w:tc>
        <w:tc>
          <w:tcPr>
            <w:tcW w:w="753" w:type="pct"/>
          </w:tcPr>
          <w:p w:rsidR="00A64D19" w:rsidRDefault="00821B8A" w:rsidP="00AC79F6">
            <w:pPr>
              <w:rPr>
                <w:rFonts w:ascii="Arial" w:hAnsi="Arial" w:cs="Arial"/>
                <w:sz w:val="22"/>
                <w:szCs w:val="22"/>
              </w:rPr>
            </w:pPr>
            <w:r w:rsidRPr="009A504B">
              <w:rPr>
                <w:rFonts w:ascii="Arial" w:hAnsi="Arial" w:cs="Arial"/>
                <w:sz w:val="22"/>
                <w:szCs w:val="22"/>
              </w:rPr>
              <w:t xml:space="preserve">4.26, </w:t>
            </w:r>
            <w:r w:rsidR="00A64D19" w:rsidRPr="009A504B">
              <w:rPr>
                <w:rFonts w:ascii="Arial" w:hAnsi="Arial" w:cs="Arial"/>
                <w:sz w:val="22"/>
                <w:szCs w:val="22"/>
              </w:rPr>
              <w:t>4.29</w:t>
            </w:r>
            <w:r w:rsidR="00A64D19">
              <w:rPr>
                <w:rFonts w:ascii="Arial" w:hAnsi="Arial" w:cs="Arial"/>
                <w:sz w:val="22"/>
                <w:szCs w:val="22"/>
              </w:rPr>
              <w:t xml:space="preserve">, </w:t>
            </w:r>
            <w:r w:rsidR="00A64D19" w:rsidRPr="009A504B">
              <w:rPr>
                <w:rFonts w:ascii="Arial" w:hAnsi="Arial" w:cs="Arial"/>
                <w:sz w:val="22"/>
                <w:szCs w:val="22"/>
              </w:rPr>
              <w:t>4.57</w:t>
            </w:r>
            <w:r w:rsidR="00A64D19">
              <w:rPr>
                <w:rFonts w:ascii="Arial" w:hAnsi="Arial" w:cs="Arial"/>
                <w:sz w:val="22"/>
                <w:szCs w:val="22"/>
              </w:rPr>
              <w:t>, 4.81</w:t>
            </w:r>
          </w:p>
        </w:tc>
        <w:tc>
          <w:tcPr>
            <w:tcW w:w="2684" w:type="pct"/>
          </w:tcPr>
          <w:p w:rsidR="00A64D19" w:rsidRDefault="00821B8A" w:rsidP="00821B8A">
            <w:pPr>
              <w:rPr>
                <w:rFonts w:ascii="Arial" w:hAnsi="Arial" w:cs="Arial"/>
                <w:sz w:val="22"/>
                <w:szCs w:val="22"/>
              </w:rPr>
            </w:pPr>
            <w:r>
              <w:rPr>
                <w:rFonts w:ascii="Arial" w:hAnsi="Arial" w:cs="Arial"/>
                <w:sz w:val="22"/>
                <w:szCs w:val="22"/>
              </w:rPr>
              <w:t xml:space="preserve">Vehicle license fee, public </w:t>
            </w:r>
            <w:r w:rsidR="00A64D19">
              <w:rPr>
                <w:rFonts w:ascii="Arial" w:hAnsi="Arial" w:cs="Arial"/>
                <w:sz w:val="22"/>
                <w:szCs w:val="22"/>
              </w:rPr>
              <w:t>transportation funding, concession contracts, law library support</w:t>
            </w:r>
          </w:p>
        </w:tc>
      </w:tr>
      <w:tr w:rsidR="00A64D19" w:rsidRPr="00A73681" w:rsidTr="00A64D19">
        <w:tc>
          <w:tcPr>
            <w:tcW w:w="763" w:type="pct"/>
            <w:tcBorders>
              <w:top w:val="single" w:sz="4" w:space="0" w:color="auto"/>
              <w:left w:val="single" w:sz="4" w:space="0" w:color="auto"/>
              <w:bottom w:val="single" w:sz="4" w:space="0" w:color="auto"/>
              <w:right w:val="single" w:sz="4" w:space="0" w:color="auto"/>
            </w:tcBorders>
            <w:shd w:val="clear" w:color="auto" w:fill="FABF8F"/>
          </w:tcPr>
          <w:p w:rsidR="00A64D19" w:rsidRPr="00A73681" w:rsidRDefault="00A64D19" w:rsidP="00AC79F6">
            <w:pPr>
              <w:pStyle w:val="BodyText"/>
              <w:tabs>
                <w:tab w:val="left" w:pos="720"/>
              </w:tabs>
              <w:rPr>
                <w:rFonts w:ascii="Arial" w:hAnsi="Arial" w:cs="Arial"/>
                <w:b/>
                <w:i w:val="0"/>
                <w:sz w:val="22"/>
                <w:szCs w:val="22"/>
              </w:rPr>
            </w:pPr>
            <w:r w:rsidRPr="00A73681">
              <w:rPr>
                <w:rFonts w:ascii="Arial" w:hAnsi="Arial" w:cs="Arial"/>
                <w:b/>
                <w:i w:val="0"/>
                <w:sz w:val="22"/>
                <w:szCs w:val="22"/>
              </w:rPr>
              <w:t>Date of Action</w:t>
            </w:r>
          </w:p>
        </w:tc>
        <w:tc>
          <w:tcPr>
            <w:tcW w:w="800" w:type="pct"/>
            <w:tcBorders>
              <w:top w:val="single" w:sz="4" w:space="0" w:color="auto"/>
              <w:left w:val="single" w:sz="4" w:space="0" w:color="auto"/>
              <w:bottom w:val="single" w:sz="4" w:space="0" w:color="auto"/>
              <w:right w:val="single" w:sz="4" w:space="0" w:color="auto"/>
            </w:tcBorders>
            <w:shd w:val="clear" w:color="auto" w:fill="FABF8F"/>
          </w:tcPr>
          <w:p w:rsidR="00A64D19" w:rsidRPr="00A73681" w:rsidRDefault="00A64D19" w:rsidP="00AC79F6">
            <w:pPr>
              <w:pStyle w:val="BodyText"/>
              <w:tabs>
                <w:tab w:val="left" w:pos="720"/>
              </w:tabs>
              <w:rPr>
                <w:rFonts w:ascii="Arial" w:hAnsi="Arial" w:cs="Arial"/>
                <w:b/>
                <w:i w:val="0"/>
                <w:sz w:val="22"/>
                <w:szCs w:val="22"/>
              </w:rPr>
            </w:pPr>
            <w:r w:rsidRPr="00A73681">
              <w:rPr>
                <w:rFonts w:ascii="Arial" w:hAnsi="Arial" w:cs="Arial"/>
                <w:b/>
                <w:i w:val="0"/>
                <w:sz w:val="22"/>
                <w:szCs w:val="22"/>
              </w:rPr>
              <w:t>Subject Area</w:t>
            </w:r>
          </w:p>
        </w:tc>
        <w:tc>
          <w:tcPr>
            <w:tcW w:w="753" w:type="pct"/>
            <w:tcBorders>
              <w:top w:val="single" w:sz="4" w:space="0" w:color="auto"/>
              <w:left w:val="single" w:sz="4" w:space="0" w:color="auto"/>
              <w:bottom w:val="single" w:sz="4" w:space="0" w:color="auto"/>
              <w:right w:val="single" w:sz="4" w:space="0" w:color="auto"/>
            </w:tcBorders>
            <w:shd w:val="clear" w:color="auto" w:fill="FABF8F"/>
          </w:tcPr>
          <w:p w:rsidR="00A64D19" w:rsidRPr="00A73681" w:rsidRDefault="00A64D19" w:rsidP="00AC79F6">
            <w:pPr>
              <w:pStyle w:val="BodyText"/>
              <w:tabs>
                <w:tab w:val="left" w:pos="720"/>
              </w:tabs>
              <w:rPr>
                <w:rFonts w:ascii="Arial" w:hAnsi="Arial" w:cs="Arial"/>
                <w:b/>
                <w:i w:val="0"/>
                <w:sz w:val="22"/>
                <w:szCs w:val="22"/>
              </w:rPr>
            </w:pPr>
            <w:r w:rsidRPr="00A73681">
              <w:rPr>
                <w:rFonts w:ascii="Arial" w:hAnsi="Arial" w:cs="Arial"/>
                <w:b/>
                <w:i w:val="0"/>
                <w:sz w:val="22"/>
                <w:szCs w:val="22"/>
              </w:rPr>
              <w:t>Citation</w:t>
            </w:r>
          </w:p>
        </w:tc>
        <w:tc>
          <w:tcPr>
            <w:tcW w:w="2684" w:type="pct"/>
            <w:tcBorders>
              <w:top w:val="single" w:sz="4" w:space="0" w:color="auto"/>
              <w:left w:val="single" w:sz="4" w:space="0" w:color="auto"/>
              <w:bottom w:val="single" w:sz="4" w:space="0" w:color="auto"/>
              <w:right w:val="single" w:sz="4" w:space="0" w:color="auto"/>
            </w:tcBorders>
            <w:shd w:val="clear" w:color="auto" w:fill="FABF8F"/>
          </w:tcPr>
          <w:p w:rsidR="00A64D19" w:rsidRPr="00A73681" w:rsidRDefault="00A64D19" w:rsidP="00AC79F6">
            <w:pPr>
              <w:pStyle w:val="BodyText"/>
              <w:tabs>
                <w:tab w:val="left" w:pos="720"/>
              </w:tabs>
              <w:rPr>
                <w:rFonts w:ascii="Arial" w:hAnsi="Arial" w:cs="Arial"/>
                <w:b/>
                <w:i w:val="0"/>
                <w:sz w:val="22"/>
                <w:szCs w:val="22"/>
              </w:rPr>
            </w:pPr>
            <w:r w:rsidRPr="00A73681">
              <w:rPr>
                <w:rFonts w:ascii="Arial" w:hAnsi="Arial" w:cs="Arial"/>
                <w:b/>
                <w:i w:val="0"/>
                <w:sz w:val="22"/>
                <w:szCs w:val="22"/>
              </w:rPr>
              <w:t xml:space="preserve">Other Titles with Parts to Migrate to Title 4A </w:t>
            </w:r>
          </w:p>
        </w:tc>
      </w:tr>
      <w:tr w:rsidR="00A64D19" w:rsidRPr="00D1695D" w:rsidTr="00AC79F6">
        <w:tc>
          <w:tcPr>
            <w:tcW w:w="763" w:type="pct"/>
            <w:tcBorders>
              <w:top w:val="single" w:sz="4" w:space="0" w:color="auto"/>
              <w:left w:val="single" w:sz="4" w:space="0" w:color="auto"/>
              <w:bottom w:val="single" w:sz="4" w:space="0" w:color="auto"/>
              <w:right w:val="single" w:sz="4" w:space="0" w:color="auto"/>
            </w:tcBorders>
            <w:shd w:val="clear" w:color="auto" w:fill="auto"/>
          </w:tcPr>
          <w:p w:rsidR="00A64D19" w:rsidRPr="00FA6C0D" w:rsidRDefault="00A64D19" w:rsidP="00AC79F6">
            <w:pPr>
              <w:pStyle w:val="BodyText"/>
              <w:tabs>
                <w:tab w:val="left" w:pos="720"/>
              </w:tabs>
              <w:jc w:val="center"/>
              <w:rPr>
                <w:rFonts w:ascii="Arial" w:hAnsi="Arial" w:cs="Arial"/>
                <w:sz w:val="22"/>
                <w:szCs w:val="22"/>
              </w:rPr>
            </w:pPr>
            <w:r w:rsidRPr="00BF24B3">
              <w:rPr>
                <w:rFonts w:ascii="Arial" w:hAnsi="Arial" w:cs="Arial"/>
                <w:i w:val="0"/>
                <w:sz w:val="22"/>
                <w:szCs w:val="22"/>
              </w:rPr>
              <w:t>TBD</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64D19" w:rsidRPr="00FA6C0D" w:rsidRDefault="00A64D19" w:rsidP="00AC79F6">
            <w:pPr>
              <w:pStyle w:val="BodyText"/>
              <w:tabs>
                <w:tab w:val="left" w:pos="720"/>
              </w:tabs>
              <w:rPr>
                <w:rFonts w:ascii="Arial" w:hAnsi="Arial" w:cs="Arial"/>
                <w:i w:val="0"/>
                <w:sz w:val="22"/>
                <w:szCs w:val="22"/>
              </w:rPr>
            </w:pPr>
            <w:r>
              <w:rPr>
                <w:rFonts w:ascii="Arial" w:hAnsi="Arial" w:cs="Arial"/>
                <w:i w:val="0"/>
                <w:sz w:val="22"/>
                <w:szCs w:val="22"/>
              </w:rPr>
              <w:t>Fees</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A64D19" w:rsidRPr="00FA6C0D" w:rsidRDefault="00A64D19" w:rsidP="00AC79F6">
            <w:pPr>
              <w:rPr>
                <w:rFonts w:ascii="Arial" w:hAnsi="Arial" w:cs="Arial"/>
                <w:sz w:val="22"/>
                <w:szCs w:val="22"/>
              </w:rPr>
            </w:pPr>
            <w:r>
              <w:rPr>
                <w:rFonts w:ascii="Arial" w:hAnsi="Arial" w:cs="Arial"/>
                <w:sz w:val="22"/>
                <w:szCs w:val="22"/>
              </w:rPr>
              <w:t>Various</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A64D19" w:rsidRDefault="00A64D19" w:rsidP="00AC79F6">
            <w:pPr>
              <w:rPr>
                <w:rFonts w:ascii="Arial" w:hAnsi="Arial" w:cs="Arial"/>
                <w:sz w:val="22"/>
                <w:szCs w:val="22"/>
              </w:rPr>
            </w:pPr>
            <w:r>
              <w:rPr>
                <w:rFonts w:ascii="Arial" w:hAnsi="Arial" w:cs="Arial"/>
                <w:sz w:val="22"/>
                <w:szCs w:val="22"/>
              </w:rPr>
              <w:t>Department fees in other titles, such as K.C.C. 10.12 Solid waste site disposal fees, could be moved to Title 4A.</w:t>
            </w:r>
          </w:p>
        </w:tc>
      </w:tr>
      <w:tr w:rsidR="00A64D19" w:rsidRPr="00D1695D" w:rsidTr="00AC79F6">
        <w:tc>
          <w:tcPr>
            <w:tcW w:w="763" w:type="pct"/>
            <w:tcBorders>
              <w:top w:val="single" w:sz="4" w:space="0" w:color="auto"/>
              <w:left w:val="single" w:sz="4" w:space="0" w:color="auto"/>
              <w:bottom w:val="single" w:sz="4" w:space="0" w:color="auto"/>
              <w:right w:val="single" w:sz="4" w:space="0" w:color="auto"/>
            </w:tcBorders>
            <w:shd w:val="clear" w:color="auto" w:fill="auto"/>
          </w:tcPr>
          <w:p w:rsidR="00A64D19" w:rsidRPr="00FA6C0D" w:rsidRDefault="00A64D19" w:rsidP="00AC79F6">
            <w:pPr>
              <w:pStyle w:val="BodyText"/>
              <w:tabs>
                <w:tab w:val="left" w:pos="720"/>
              </w:tabs>
              <w:jc w:val="center"/>
              <w:rPr>
                <w:rFonts w:ascii="Arial" w:hAnsi="Arial" w:cs="Arial"/>
                <w:sz w:val="22"/>
                <w:szCs w:val="22"/>
              </w:rPr>
            </w:pPr>
            <w:r w:rsidRPr="00BF24B3">
              <w:rPr>
                <w:rFonts w:ascii="Arial" w:hAnsi="Arial" w:cs="Arial"/>
                <w:i w:val="0"/>
                <w:sz w:val="22"/>
                <w:szCs w:val="22"/>
              </w:rPr>
              <w:t>TBD</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A64D19" w:rsidRPr="00FA6C0D" w:rsidRDefault="00A64D19" w:rsidP="00AC79F6">
            <w:pPr>
              <w:pStyle w:val="BodyText"/>
              <w:tabs>
                <w:tab w:val="left" w:pos="720"/>
              </w:tabs>
              <w:rPr>
                <w:rFonts w:ascii="Arial" w:hAnsi="Arial" w:cs="Arial"/>
                <w:i w:val="0"/>
                <w:sz w:val="22"/>
                <w:szCs w:val="22"/>
              </w:rPr>
            </w:pPr>
            <w:r>
              <w:rPr>
                <w:rFonts w:ascii="Arial" w:hAnsi="Arial" w:cs="Arial"/>
                <w:i w:val="0"/>
                <w:sz w:val="22"/>
                <w:szCs w:val="22"/>
              </w:rPr>
              <w:t>Misc.</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A64D19" w:rsidRPr="00FA6C0D" w:rsidRDefault="00A64D19" w:rsidP="00AC79F6">
            <w:pPr>
              <w:rPr>
                <w:rFonts w:ascii="Arial" w:hAnsi="Arial" w:cs="Arial"/>
                <w:sz w:val="22"/>
                <w:szCs w:val="22"/>
              </w:rPr>
            </w:pPr>
            <w:r>
              <w:rPr>
                <w:rFonts w:ascii="Arial" w:hAnsi="Arial" w:cs="Arial"/>
                <w:sz w:val="22"/>
                <w:szCs w:val="22"/>
              </w:rPr>
              <w:t>Various</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A64D19" w:rsidRDefault="00A64D19" w:rsidP="00AC79F6">
            <w:pPr>
              <w:rPr>
                <w:rFonts w:ascii="Arial" w:hAnsi="Arial" w:cs="Arial"/>
                <w:sz w:val="22"/>
                <w:szCs w:val="22"/>
              </w:rPr>
            </w:pPr>
            <w:r>
              <w:rPr>
                <w:rFonts w:ascii="Arial" w:hAnsi="Arial" w:cs="Arial"/>
                <w:sz w:val="22"/>
                <w:szCs w:val="22"/>
              </w:rPr>
              <w:t>This is a placeholder for other areas that might be identified as the Title 4A work continues.</w:t>
            </w:r>
          </w:p>
        </w:tc>
      </w:tr>
    </w:tbl>
    <w:p w:rsidR="00A64D19" w:rsidRDefault="00A64D19" w:rsidP="00A64D19">
      <w:r>
        <w:tab/>
      </w:r>
    </w:p>
    <w:p w:rsidR="00A64D19" w:rsidRDefault="00A64D19" w:rsidP="00A64D19">
      <w:pPr>
        <w:rPr>
          <w:rFonts w:ascii="Arial" w:hAnsi="Arial" w:cs="Arial"/>
        </w:rPr>
      </w:pPr>
      <w:r>
        <w:rPr>
          <w:rFonts w:ascii="Arial" w:hAnsi="Arial" w:cs="Arial"/>
        </w:rPr>
        <w:t>The goal is to continue working on Title 4 revisions throughout 2014, with proposed legislation on budgeting and reporting (Chapter 4.04) ready for Council discussion and possible action by mid-year.</w:t>
      </w:r>
      <w:r w:rsidR="00474DBF">
        <w:rPr>
          <w:rFonts w:ascii="Arial" w:hAnsi="Arial" w:cs="Arial"/>
        </w:rPr>
        <w:t xml:space="preserve">  </w:t>
      </w:r>
      <w:r>
        <w:rPr>
          <w:rFonts w:ascii="Arial" w:hAnsi="Arial" w:cs="Arial"/>
        </w:rPr>
        <w:t>The work on Chapter 4.04 will be the most labor intensive as it includes the entire budgeting and reporting framework for operating and capital budgets.</w:t>
      </w:r>
      <w:r w:rsidR="00474DBF">
        <w:rPr>
          <w:rFonts w:ascii="Arial" w:hAnsi="Arial" w:cs="Arial"/>
        </w:rPr>
        <w:t xml:space="preserve"> </w:t>
      </w:r>
      <w:r>
        <w:rPr>
          <w:rFonts w:ascii="Arial" w:hAnsi="Arial" w:cs="Arial"/>
        </w:rPr>
        <w:t xml:space="preserve"> </w:t>
      </w:r>
    </w:p>
    <w:p w:rsidR="00A90FF6" w:rsidRDefault="00A90FF6" w:rsidP="00A90FF6">
      <w:pPr>
        <w:pStyle w:val="BodyText"/>
        <w:rPr>
          <w:rFonts w:ascii="Arial" w:hAnsi="Arial" w:cs="Arial"/>
          <w:i w:val="0"/>
          <w:szCs w:val="24"/>
        </w:rPr>
      </w:pPr>
    </w:p>
    <w:p w:rsidR="00D96D1C" w:rsidRDefault="00D96D1C" w:rsidP="00D96D1C">
      <w:pPr>
        <w:pStyle w:val="BodyText"/>
        <w:rPr>
          <w:rFonts w:ascii="Arial" w:hAnsi="Arial" w:cs="Arial"/>
          <w:i w:val="0"/>
          <w:szCs w:val="24"/>
          <w:u w:val="single"/>
        </w:rPr>
      </w:pPr>
      <w:r>
        <w:rPr>
          <w:rFonts w:ascii="Arial" w:hAnsi="Arial" w:cs="Arial"/>
          <w:i w:val="0"/>
          <w:szCs w:val="24"/>
          <w:u w:val="single"/>
        </w:rPr>
        <w:t>Proposed Ordinance 2012-0358</w:t>
      </w:r>
    </w:p>
    <w:p w:rsidR="00D96D1C" w:rsidRDefault="00D96D1C" w:rsidP="00A90FF6">
      <w:pPr>
        <w:pStyle w:val="BodyText"/>
        <w:rPr>
          <w:rFonts w:ascii="Arial" w:hAnsi="Arial" w:cs="Arial"/>
          <w:i w:val="0"/>
          <w:szCs w:val="24"/>
        </w:rPr>
      </w:pPr>
    </w:p>
    <w:p w:rsidR="00474DBF" w:rsidRDefault="00474DBF" w:rsidP="00474DBF">
      <w:pPr>
        <w:rPr>
          <w:rFonts w:ascii="Arial" w:hAnsi="Arial" w:cs="Arial"/>
          <w:szCs w:val="24"/>
        </w:rPr>
      </w:pPr>
      <w:r>
        <w:rPr>
          <w:rFonts w:ascii="Arial" w:hAnsi="Arial" w:cs="Arial"/>
          <w:szCs w:val="24"/>
        </w:rPr>
        <w:t>Proposed Ordinance 2012-0358 relates to property taxes and proposes changes to the following chapters:</w:t>
      </w:r>
    </w:p>
    <w:p w:rsidR="00474DBF" w:rsidRDefault="00474DBF" w:rsidP="00474DBF">
      <w:pPr>
        <w:numPr>
          <w:ilvl w:val="0"/>
          <w:numId w:val="19"/>
        </w:numPr>
        <w:rPr>
          <w:rFonts w:ascii="Arial" w:hAnsi="Arial" w:cs="Arial"/>
          <w:szCs w:val="24"/>
        </w:rPr>
      </w:pPr>
      <w:r>
        <w:rPr>
          <w:rFonts w:ascii="Arial" w:hAnsi="Arial" w:cs="Arial"/>
          <w:szCs w:val="24"/>
        </w:rPr>
        <w:t>K.C.C. 4.48 Junior Taxing District Levy Certification</w:t>
      </w:r>
    </w:p>
    <w:p w:rsidR="00474DBF" w:rsidRDefault="00474DBF" w:rsidP="00474DBF">
      <w:pPr>
        <w:numPr>
          <w:ilvl w:val="0"/>
          <w:numId w:val="19"/>
        </w:numPr>
        <w:rPr>
          <w:rFonts w:ascii="Arial" w:hAnsi="Arial" w:cs="Arial"/>
          <w:szCs w:val="24"/>
        </w:rPr>
      </w:pPr>
      <w:r>
        <w:rPr>
          <w:rFonts w:ascii="Arial" w:hAnsi="Arial" w:cs="Arial"/>
          <w:szCs w:val="24"/>
        </w:rPr>
        <w:t>K.C.C. 4.52 Delinquent Local Improvement Assessment Foreclosure</w:t>
      </w:r>
    </w:p>
    <w:p w:rsidR="00474DBF" w:rsidRDefault="00474DBF" w:rsidP="00474DBF">
      <w:pPr>
        <w:numPr>
          <w:ilvl w:val="0"/>
          <w:numId w:val="19"/>
        </w:numPr>
        <w:rPr>
          <w:rFonts w:ascii="Arial" w:hAnsi="Arial" w:cs="Arial"/>
          <w:szCs w:val="24"/>
        </w:rPr>
      </w:pPr>
      <w:r>
        <w:rPr>
          <w:rFonts w:ascii="Arial" w:hAnsi="Arial" w:cs="Arial"/>
          <w:szCs w:val="24"/>
        </w:rPr>
        <w:t>K.C.C. 4.60 Subdivision Parcel Property Taxes</w:t>
      </w:r>
    </w:p>
    <w:p w:rsidR="00474DBF" w:rsidRDefault="00474DBF" w:rsidP="00474DBF">
      <w:pPr>
        <w:numPr>
          <w:ilvl w:val="0"/>
          <w:numId w:val="19"/>
        </w:numPr>
        <w:rPr>
          <w:rFonts w:ascii="Arial" w:hAnsi="Arial" w:cs="Arial"/>
          <w:szCs w:val="24"/>
        </w:rPr>
      </w:pPr>
      <w:r>
        <w:rPr>
          <w:rFonts w:ascii="Arial" w:hAnsi="Arial" w:cs="Arial"/>
          <w:szCs w:val="24"/>
        </w:rPr>
        <w:t>K.C.C. 4.62 Property Valuation</w:t>
      </w:r>
    </w:p>
    <w:p w:rsidR="00474DBF" w:rsidRPr="00046824" w:rsidRDefault="00474DBF" w:rsidP="00474DBF">
      <w:pPr>
        <w:numPr>
          <w:ilvl w:val="0"/>
          <w:numId w:val="19"/>
        </w:numPr>
        <w:rPr>
          <w:rFonts w:ascii="Arial" w:hAnsi="Arial" w:cs="Arial"/>
          <w:szCs w:val="24"/>
        </w:rPr>
      </w:pPr>
      <w:r w:rsidRPr="00046824">
        <w:rPr>
          <w:rFonts w:ascii="Arial" w:hAnsi="Arial" w:cs="Arial"/>
          <w:szCs w:val="24"/>
        </w:rPr>
        <w:t>K.C.C. 4.63 Property Tax Notice</w:t>
      </w:r>
    </w:p>
    <w:p w:rsidR="00474DBF" w:rsidRPr="000E7EFC" w:rsidRDefault="00474DBF" w:rsidP="00474DBF">
      <w:pPr>
        <w:numPr>
          <w:ilvl w:val="0"/>
          <w:numId w:val="19"/>
        </w:numPr>
        <w:rPr>
          <w:rFonts w:ascii="Arial" w:hAnsi="Arial" w:cs="Arial"/>
          <w:i/>
          <w:szCs w:val="24"/>
        </w:rPr>
      </w:pPr>
      <w:r>
        <w:rPr>
          <w:rFonts w:ascii="Arial" w:hAnsi="Arial" w:cs="Arial"/>
          <w:szCs w:val="24"/>
        </w:rPr>
        <w:t>K.C.C. 4.64 Property Tax Refunds</w:t>
      </w:r>
    </w:p>
    <w:p w:rsidR="00474DBF" w:rsidRPr="004E646C" w:rsidRDefault="00474DBF" w:rsidP="00474DBF">
      <w:pPr>
        <w:numPr>
          <w:ilvl w:val="0"/>
          <w:numId w:val="19"/>
        </w:numPr>
        <w:rPr>
          <w:rFonts w:ascii="Arial" w:hAnsi="Arial" w:cs="Arial"/>
          <w:i/>
          <w:szCs w:val="24"/>
        </w:rPr>
      </w:pPr>
      <w:r>
        <w:rPr>
          <w:rFonts w:ascii="Arial" w:hAnsi="Arial" w:cs="Arial"/>
          <w:szCs w:val="24"/>
        </w:rPr>
        <w:t>K.C.C. 4.68 Non</w:t>
      </w:r>
      <w:r w:rsidR="003C6B62">
        <w:rPr>
          <w:rFonts w:ascii="Arial" w:hAnsi="Arial" w:cs="Arial"/>
          <w:szCs w:val="24"/>
        </w:rPr>
        <w:t>-</w:t>
      </w:r>
      <w:r>
        <w:rPr>
          <w:rFonts w:ascii="Arial" w:hAnsi="Arial" w:cs="Arial"/>
          <w:szCs w:val="24"/>
        </w:rPr>
        <w:t>delinquent Property Tax Certification</w:t>
      </w:r>
    </w:p>
    <w:p w:rsidR="005C4BCC" w:rsidRDefault="005C4BCC" w:rsidP="00515150">
      <w:pPr>
        <w:rPr>
          <w:rFonts w:ascii="Arial" w:hAnsi="Arial" w:cs="Arial"/>
        </w:rPr>
      </w:pPr>
    </w:p>
    <w:p w:rsidR="00AB7EDB" w:rsidRDefault="00AB7EDB" w:rsidP="00515150">
      <w:pPr>
        <w:rPr>
          <w:rFonts w:ascii="Arial" w:hAnsi="Arial" w:cs="Arial"/>
        </w:rPr>
      </w:pPr>
      <w:r>
        <w:rPr>
          <w:rFonts w:ascii="Arial" w:hAnsi="Arial" w:cs="Arial"/>
        </w:rPr>
        <w:t xml:space="preserve">Any provisions that are not repealed by PO 2012-0358 are </w:t>
      </w:r>
      <w:r w:rsidRPr="00AB7EDB">
        <w:rPr>
          <w:rFonts w:ascii="Arial" w:hAnsi="Arial" w:cs="Arial"/>
          <w:b/>
        </w:rPr>
        <w:t>moved to Title 4A</w:t>
      </w:r>
      <w:r>
        <w:rPr>
          <w:rFonts w:ascii="Arial" w:hAnsi="Arial" w:cs="Arial"/>
        </w:rPr>
        <w:t>.  Other changes that are proposed are summarized below.</w:t>
      </w:r>
    </w:p>
    <w:p w:rsidR="00AB7EDB" w:rsidRDefault="00AB7EDB" w:rsidP="00515150">
      <w:pPr>
        <w:rPr>
          <w:rFonts w:ascii="Arial" w:hAnsi="Arial" w:cs="Arial"/>
        </w:rPr>
      </w:pPr>
    </w:p>
    <w:p w:rsidR="00711A85" w:rsidRDefault="00830BB1" w:rsidP="00830BB1">
      <w:pPr>
        <w:ind w:firstLine="360"/>
        <w:rPr>
          <w:rFonts w:ascii="Arial" w:hAnsi="Arial" w:cs="Arial"/>
          <w:szCs w:val="24"/>
        </w:rPr>
      </w:pPr>
      <w:r w:rsidRPr="00830BB1">
        <w:rPr>
          <w:rFonts w:ascii="Arial" w:hAnsi="Arial" w:cs="Arial"/>
          <w:szCs w:val="24"/>
          <w:u w:val="single"/>
        </w:rPr>
        <w:t>K.C.C. 4.48 Junior Taxing District Levy Certification</w:t>
      </w:r>
      <w:r>
        <w:rPr>
          <w:rFonts w:ascii="Arial" w:hAnsi="Arial" w:cs="Arial"/>
          <w:szCs w:val="24"/>
        </w:rPr>
        <w:t xml:space="preserve"> – </w:t>
      </w:r>
      <w:r w:rsidR="00711A85">
        <w:rPr>
          <w:rFonts w:ascii="Arial" w:hAnsi="Arial" w:cs="Arial"/>
          <w:szCs w:val="24"/>
        </w:rPr>
        <w:t>This chapter directs</w:t>
      </w:r>
      <w:r>
        <w:rPr>
          <w:rFonts w:ascii="Arial" w:hAnsi="Arial" w:cs="Arial"/>
          <w:szCs w:val="24"/>
        </w:rPr>
        <w:t xml:space="preserve"> junior taxing districts of King County to annually certify to the Council</w:t>
      </w:r>
      <w:r w:rsidR="00711A85">
        <w:rPr>
          <w:rFonts w:ascii="Arial" w:hAnsi="Arial" w:cs="Arial"/>
          <w:szCs w:val="24"/>
        </w:rPr>
        <w:t xml:space="preserve"> the amounts to be raised by their tax levies for the ensuing year.  </w:t>
      </w:r>
    </w:p>
    <w:p w:rsidR="00CD299A" w:rsidRDefault="00CD299A" w:rsidP="00830BB1">
      <w:pPr>
        <w:ind w:firstLine="360"/>
        <w:rPr>
          <w:rFonts w:ascii="Arial" w:hAnsi="Arial" w:cs="Arial"/>
          <w:szCs w:val="24"/>
        </w:rPr>
      </w:pPr>
      <w:r>
        <w:rPr>
          <w:rFonts w:ascii="Arial" w:hAnsi="Arial" w:cs="Arial"/>
          <w:szCs w:val="24"/>
        </w:rPr>
        <w:t>PO 2012-0358 does the following:</w:t>
      </w:r>
    </w:p>
    <w:p w:rsidR="00CD299A" w:rsidRDefault="00CD299A" w:rsidP="00CD299A">
      <w:pPr>
        <w:numPr>
          <w:ilvl w:val="0"/>
          <w:numId w:val="19"/>
        </w:numPr>
        <w:rPr>
          <w:rFonts w:ascii="Arial" w:hAnsi="Arial" w:cs="Arial"/>
          <w:szCs w:val="24"/>
        </w:rPr>
      </w:pPr>
      <w:r w:rsidRPr="00B21EA6">
        <w:rPr>
          <w:rFonts w:ascii="Arial" w:hAnsi="Arial" w:cs="Arial"/>
          <w:b/>
          <w:szCs w:val="24"/>
        </w:rPr>
        <w:t>Cleans up</w:t>
      </w:r>
      <w:r>
        <w:rPr>
          <w:rFonts w:ascii="Arial" w:hAnsi="Arial" w:cs="Arial"/>
          <w:szCs w:val="24"/>
        </w:rPr>
        <w:t xml:space="preserve"> date references that have changed in state law</w:t>
      </w:r>
      <w:r w:rsidR="00F06C8C">
        <w:rPr>
          <w:rFonts w:ascii="Arial" w:hAnsi="Arial" w:cs="Arial"/>
          <w:szCs w:val="24"/>
        </w:rPr>
        <w:t>,</w:t>
      </w:r>
    </w:p>
    <w:p w:rsidR="00830BB1" w:rsidRDefault="00CD299A" w:rsidP="00CD299A">
      <w:pPr>
        <w:numPr>
          <w:ilvl w:val="0"/>
          <w:numId w:val="19"/>
        </w:numPr>
        <w:rPr>
          <w:rFonts w:ascii="Arial" w:hAnsi="Arial" w:cs="Arial"/>
          <w:szCs w:val="24"/>
        </w:rPr>
      </w:pPr>
      <w:r w:rsidRPr="00B21EA6">
        <w:rPr>
          <w:rFonts w:ascii="Arial" w:hAnsi="Arial" w:cs="Arial"/>
          <w:b/>
          <w:szCs w:val="24"/>
        </w:rPr>
        <w:t>Updates</w:t>
      </w:r>
      <w:r>
        <w:rPr>
          <w:rFonts w:ascii="Arial" w:hAnsi="Arial" w:cs="Arial"/>
          <w:szCs w:val="24"/>
        </w:rPr>
        <w:t xml:space="preserve"> contents of the formal resolution to be used by the districts for the certification</w:t>
      </w:r>
      <w:r w:rsidR="0089377A">
        <w:rPr>
          <w:rFonts w:ascii="Arial" w:hAnsi="Arial" w:cs="Arial"/>
          <w:szCs w:val="24"/>
        </w:rPr>
        <w:t>, in order</w:t>
      </w:r>
      <w:r>
        <w:rPr>
          <w:rFonts w:ascii="Arial" w:hAnsi="Arial" w:cs="Arial"/>
          <w:szCs w:val="24"/>
        </w:rPr>
        <w:t xml:space="preserve"> to reflect information that is currently collected and needed b</w:t>
      </w:r>
      <w:r w:rsidR="00F06C8C">
        <w:rPr>
          <w:rFonts w:ascii="Arial" w:hAnsi="Arial" w:cs="Arial"/>
          <w:szCs w:val="24"/>
        </w:rPr>
        <w:t>y the Department of Assessments, and</w:t>
      </w:r>
    </w:p>
    <w:p w:rsidR="0089377A" w:rsidRDefault="00924A5F" w:rsidP="00CD299A">
      <w:pPr>
        <w:numPr>
          <w:ilvl w:val="0"/>
          <w:numId w:val="19"/>
        </w:numPr>
        <w:rPr>
          <w:rFonts w:ascii="Arial" w:hAnsi="Arial" w:cs="Arial"/>
          <w:szCs w:val="24"/>
        </w:rPr>
      </w:pPr>
      <w:r w:rsidRPr="00B21EA6">
        <w:rPr>
          <w:rFonts w:ascii="Arial" w:hAnsi="Arial" w:cs="Arial"/>
          <w:b/>
          <w:szCs w:val="24"/>
        </w:rPr>
        <w:t>Repeals</w:t>
      </w:r>
      <w:r>
        <w:rPr>
          <w:rFonts w:ascii="Arial" w:hAnsi="Arial" w:cs="Arial"/>
          <w:szCs w:val="24"/>
        </w:rPr>
        <w:t xml:space="preserve"> a provision containing timelines for the Assessor to annually certify to junior taxing districts the assessed valuation of property within the districts, which is covered by state law.</w:t>
      </w:r>
    </w:p>
    <w:p w:rsidR="004004FE" w:rsidRDefault="004004FE" w:rsidP="004004FE">
      <w:pPr>
        <w:rPr>
          <w:rFonts w:ascii="Arial" w:hAnsi="Arial" w:cs="Arial"/>
          <w:szCs w:val="24"/>
        </w:rPr>
      </w:pPr>
    </w:p>
    <w:p w:rsidR="00830BB1" w:rsidRDefault="00830BB1" w:rsidP="004004FE">
      <w:pPr>
        <w:ind w:firstLine="360"/>
        <w:rPr>
          <w:rFonts w:ascii="Arial" w:hAnsi="Arial" w:cs="Arial"/>
          <w:szCs w:val="24"/>
        </w:rPr>
      </w:pPr>
      <w:r w:rsidRPr="004004FE">
        <w:rPr>
          <w:rFonts w:ascii="Arial" w:hAnsi="Arial" w:cs="Arial"/>
          <w:szCs w:val="24"/>
          <w:u w:val="single"/>
        </w:rPr>
        <w:t>K.C.C. 4.52 Delinquent Local Improvement Assessment Foreclosure</w:t>
      </w:r>
      <w:r w:rsidR="004004FE">
        <w:rPr>
          <w:rFonts w:ascii="Arial" w:hAnsi="Arial" w:cs="Arial"/>
          <w:szCs w:val="24"/>
        </w:rPr>
        <w:t xml:space="preserve"> – Directs the manager of the Finance and Business Operations Division to foreclose on delinquent properties in accordance with state law. </w:t>
      </w:r>
    </w:p>
    <w:p w:rsidR="004004FE" w:rsidRDefault="00C00353" w:rsidP="00C00353">
      <w:pPr>
        <w:numPr>
          <w:ilvl w:val="0"/>
          <w:numId w:val="19"/>
        </w:numPr>
        <w:rPr>
          <w:rFonts w:ascii="Arial" w:hAnsi="Arial" w:cs="Arial"/>
          <w:szCs w:val="24"/>
        </w:rPr>
      </w:pPr>
      <w:r>
        <w:rPr>
          <w:rFonts w:ascii="Arial" w:hAnsi="Arial" w:cs="Arial"/>
          <w:szCs w:val="24"/>
        </w:rPr>
        <w:t xml:space="preserve">PO 2012-0358 </w:t>
      </w:r>
      <w:r w:rsidRPr="00B21EA6">
        <w:rPr>
          <w:rFonts w:ascii="Arial" w:hAnsi="Arial" w:cs="Arial"/>
          <w:b/>
          <w:szCs w:val="24"/>
        </w:rPr>
        <w:t>repeals</w:t>
      </w:r>
      <w:r>
        <w:rPr>
          <w:rFonts w:ascii="Arial" w:hAnsi="Arial" w:cs="Arial"/>
          <w:szCs w:val="24"/>
        </w:rPr>
        <w:t xml:space="preserve"> this </w:t>
      </w:r>
      <w:r w:rsidR="00C62C87">
        <w:rPr>
          <w:rFonts w:ascii="Arial" w:hAnsi="Arial" w:cs="Arial"/>
          <w:szCs w:val="24"/>
        </w:rPr>
        <w:t>chapter</w:t>
      </w:r>
      <w:r>
        <w:rPr>
          <w:rFonts w:ascii="Arial" w:hAnsi="Arial" w:cs="Arial"/>
          <w:szCs w:val="24"/>
        </w:rPr>
        <w:t xml:space="preserve"> as it is covered by state law.</w:t>
      </w:r>
    </w:p>
    <w:p w:rsidR="00C00353" w:rsidRPr="004004FE" w:rsidRDefault="00C00353" w:rsidP="00C00353">
      <w:pPr>
        <w:rPr>
          <w:rFonts w:ascii="Arial" w:hAnsi="Arial" w:cs="Arial"/>
          <w:szCs w:val="24"/>
        </w:rPr>
      </w:pPr>
    </w:p>
    <w:p w:rsidR="00B85BB0" w:rsidRDefault="00830BB1" w:rsidP="00B85BB0">
      <w:pPr>
        <w:ind w:firstLine="360"/>
        <w:rPr>
          <w:rFonts w:ascii="Arial" w:hAnsi="Arial" w:cs="Arial"/>
          <w:szCs w:val="24"/>
        </w:rPr>
      </w:pPr>
      <w:r w:rsidRPr="00C00353">
        <w:rPr>
          <w:rFonts w:ascii="Arial" w:hAnsi="Arial" w:cs="Arial"/>
          <w:szCs w:val="24"/>
          <w:u w:val="single"/>
        </w:rPr>
        <w:t>K.C.C. 4.60 Subdivision Parcel Property Taxes</w:t>
      </w:r>
      <w:r w:rsidR="00B85BB0">
        <w:rPr>
          <w:rFonts w:ascii="Arial" w:hAnsi="Arial" w:cs="Arial"/>
          <w:szCs w:val="24"/>
        </w:rPr>
        <w:t xml:space="preserve"> – </w:t>
      </w:r>
      <w:r w:rsidR="00D475C8">
        <w:rPr>
          <w:rFonts w:ascii="Arial" w:hAnsi="Arial" w:cs="Arial"/>
          <w:szCs w:val="24"/>
        </w:rPr>
        <w:t>The purpose of this chapter is to prevent landowners from segregating parcels for tax purposes without satisfying the requirements of state and local subdivision laws and ordinances.  It provides that the Assessor and Treasurer shall refuse to recognize a division or segregation of assessment unless the building and land development division (now Department of Permitting and Environmental Review</w:t>
      </w:r>
      <w:r w:rsidR="00E50403">
        <w:rPr>
          <w:rFonts w:ascii="Arial" w:hAnsi="Arial" w:cs="Arial"/>
          <w:szCs w:val="24"/>
        </w:rPr>
        <w:t>, DPER</w:t>
      </w:r>
      <w:r w:rsidR="00D475C8">
        <w:rPr>
          <w:rFonts w:ascii="Arial" w:hAnsi="Arial" w:cs="Arial"/>
          <w:szCs w:val="24"/>
        </w:rPr>
        <w:t xml:space="preserve">) has certified that the segregation conforms </w:t>
      </w:r>
      <w:proofErr w:type="gramStart"/>
      <w:r w:rsidR="00D475C8">
        <w:rPr>
          <w:rFonts w:ascii="Arial" w:hAnsi="Arial" w:cs="Arial"/>
          <w:szCs w:val="24"/>
        </w:rPr>
        <w:t>with</w:t>
      </w:r>
      <w:proofErr w:type="gramEnd"/>
      <w:r w:rsidR="00D475C8">
        <w:rPr>
          <w:rFonts w:ascii="Arial" w:hAnsi="Arial" w:cs="Arial"/>
          <w:szCs w:val="24"/>
        </w:rPr>
        <w:t xml:space="preserve"> applicable state and local laws.</w:t>
      </w:r>
    </w:p>
    <w:p w:rsidR="00B85BB0" w:rsidRDefault="00E50403" w:rsidP="00E50403">
      <w:pPr>
        <w:numPr>
          <w:ilvl w:val="0"/>
          <w:numId w:val="19"/>
        </w:numPr>
        <w:rPr>
          <w:rFonts w:ascii="Arial" w:hAnsi="Arial" w:cs="Arial"/>
          <w:szCs w:val="24"/>
        </w:rPr>
      </w:pPr>
      <w:r>
        <w:rPr>
          <w:rFonts w:ascii="Arial" w:hAnsi="Arial" w:cs="Arial"/>
          <w:szCs w:val="24"/>
        </w:rPr>
        <w:t xml:space="preserve">PO 2012-0358 </w:t>
      </w:r>
      <w:r w:rsidRPr="00B21EA6">
        <w:rPr>
          <w:rFonts w:ascii="Arial" w:hAnsi="Arial" w:cs="Arial"/>
          <w:b/>
          <w:szCs w:val="24"/>
        </w:rPr>
        <w:t>streamlines</w:t>
      </w:r>
      <w:r>
        <w:rPr>
          <w:rFonts w:ascii="Arial" w:hAnsi="Arial" w:cs="Arial"/>
          <w:szCs w:val="24"/>
        </w:rPr>
        <w:t xml:space="preserve"> the language and updates the departmental reference to DPER.</w:t>
      </w:r>
    </w:p>
    <w:p w:rsidR="00E50403" w:rsidRDefault="00E50403" w:rsidP="00E50403">
      <w:pPr>
        <w:rPr>
          <w:rFonts w:ascii="Arial" w:hAnsi="Arial" w:cs="Arial"/>
          <w:szCs w:val="24"/>
        </w:rPr>
      </w:pPr>
    </w:p>
    <w:p w:rsidR="00830BB1" w:rsidRDefault="00830BB1" w:rsidP="005E7CF0">
      <w:pPr>
        <w:ind w:firstLine="360"/>
        <w:rPr>
          <w:rFonts w:ascii="Arial" w:hAnsi="Arial" w:cs="Arial"/>
          <w:szCs w:val="24"/>
        </w:rPr>
      </w:pPr>
      <w:r w:rsidRPr="005E7CF0">
        <w:rPr>
          <w:rFonts w:ascii="Arial" w:hAnsi="Arial" w:cs="Arial"/>
          <w:szCs w:val="24"/>
          <w:u w:val="single"/>
        </w:rPr>
        <w:t>K.C.C. 4.62 Property Valuation</w:t>
      </w:r>
      <w:r w:rsidR="005E7CF0">
        <w:rPr>
          <w:rFonts w:ascii="Arial" w:hAnsi="Arial" w:cs="Arial"/>
          <w:szCs w:val="24"/>
        </w:rPr>
        <w:t xml:space="preserve"> </w:t>
      </w:r>
      <w:r w:rsidR="00AB7EDB">
        <w:rPr>
          <w:rFonts w:ascii="Arial" w:hAnsi="Arial" w:cs="Arial"/>
          <w:szCs w:val="24"/>
        </w:rPr>
        <w:t>–</w:t>
      </w:r>
      <w:r w:rsidR="005E7CF0">
        <w:rPr>
          <w:rFonts w:ascii="Arial" w:hAnsi="Arial" w:cs="Arial"/>
          <w:szCs w:val="24"/>
        </w:rPr>
        <w:t xml:space="preserve"> </w:t>
      </w:r>
      <w:r w:rsidR="00AB7EDB">
        <w:rPr>
          <w:rFonts w:ascii="Arial" w:hAnsi="Arial" w:cs="Arial"/>
          <w:szCs w:val="24"/>
        </w:rPr>
        <w:t>This chapter relates to Assessor valuation of properties.</w:t>
      </w:r>
    </w:p>
    <w:p w:rsidR="00C62C87" w:rsidRDefault="00C62C87" w:rsidP="008B3E7C">
      <w:pPr>
        <w:numPr>
          <w:ilvl w:val="0"/>
          <w:numId w:val="19"/>
        </w:numPr>
        <w:rPr>
          <w:rFonts w:ascii="Arial" w:hAnsi="Arial" w:cs="Arial"/>
          <w:szCs w:val="24"/>
        </w:rPr>
      </w:pPr>
      <w:r>
        <w:rPr>
          <w:rFonts w:ascii="Arial" w:hAnsi="Arial" w:cs="Arial"/>
          <w:szCs w:val="24"/>
        </w:rPr>
        <w:t xml:space="preserve">PO 2012-0358 </w:t>
      </w:r>
      <w:r w:rsidR="008B3E7C" w:rsidRPr="008B3E7C">
        <w:rPr>
          <w:rFonts w:ascii="Arial" w:hAnsi="Arial" w:cs="Arial"/>
          <w:b/>
          <w:szCs w:val="24"/>
        </w:rPr>
        <w:t>r</w:t>
      </w:r>
      <w:r w:rsidRPr="00B5298C">
        <w:rPr>
          <w:rFonts w:ascii="Arial" w:hAnsi="Arial" w:cs="Arial"/>
          <w:b/>
          <w:szCs w:val="24"/>
        </w:rPr>
        <w:t>epeals</w:t>
      </w:r>
      <w:r>
        <w:rPr>
          <w:rFonts w:ascii="Arial" w:hAnsi="Arial" w:cs="Arial"/>
          <w:szCs w:val="24"/>
        </w:rPr>
        <w:t xml:space="preserve"> 4.62.010 regarding factors the Assessor considers in determining property values, as it is covered by state law.</w:t>
      </w:r>
    </w:p>
    <w:p w:rsidR="00C62C87" w:rsidRPr="005E7CF0" w:rsidRDefault="00C62C87" w:rsidP="00B23613">
      <w:pPr>
        <w:ind w:left="720"/>
        <w:rPr>
          <w:rFonts w:ascii="Arial" w:hAnsi="Arial" w:cs="Arial"/>
          <w:szCs w:val="24"/>
        </w:rPr>
      </w:pPr>
    </w:p>
    <w:p w:rsidR="00830BB1" w:rsidRPr="00B5298C" w:rsidRDefault="00830BB1" w:rsidP="00B23613">
      <w:pPr>
        <w:ind w:firstLine="360"/>
        <w:rPr>
          <w:rFonts w:ascii="Arial" w:hAnsi="Arial" w:cs="Arial"/>
          <w:szCs w:val="24"/>
        </w:rPr>
      </w:pPr>
      <w:r w:rsidRPr="00B5298C">
        <w:rPr>
          <w:rFonts w:ascii="Arial" w:hAnsi="Arial" w:cs="Arial"/>
          <w:szCs w:val="24"/>
          <w:u w:val="single"/>
        </w:rPr>
        <w:t>K.C.C. 4.63 Property Tax Notice</w:t>
      </w:r>
      <w:r w:rsidR="00B23613" w:rsidRPr="00B5298C">
        <w:rPr>
          <w:rFonts w:ascii="Arial" w:hAnsi="Arial" w:cs="Arial"/>
          <w:szCs w:val="24"/>
        </w:rPr>
        <w:t xml:space="preserve"> </w:t>
      </w:r>
      <w:r w:rsidR="00B5298C" w:rsidRPr="00B5298C">
        <w:rPr>
          <w:rFonts w:ascii="Arial" w:hAnsi="Arial" w:cs="Arial"/>
          <w:szCs w:val="24"/>
        </w:rPr>
        <w:t>–</w:t>
      </w:r>
      <w:r w:rsidR="00B23613" w:rsidRPr="00B5298C">
        <w:rPr>
          <w:rFonts w:ascii="Arial" w:hAnsi="Arial" w:cs="Arial"/>
          <w:szCs w:val="24"/>
        </w:rPr>
        <w:t xml:space="preserve"> </w:t>
      </w:r>
      <w:r w:rsidR="00B5298C" w:rsidRPr="00B5298C">
        <w:rPr>
          <w:rFonts w:ascii="Arial" w:hAnsi="Arial" w:cs="Arial"/>
          <w:szCs w:val="24"/>
        </w:rPr>
        <w:t>This chapter covers Treasury notice of property taxes</w:t>
      </w:r>
      <w:r w:rsidR="00F51C8A">
        <w:rPr>
          <w:rFonts w:ascii="Arial" w:hAnsi="Arial" w:cs="Arial"/>
          <w:szCs w:val="24"/>
        </w:rPr>
        <w:t xml:space="preserve"> to taxpayers</w:t>
      </w:r>
      <w:r w:rsidR="00B5298C" w:rsidRPr="00B5298C">
        <w:rPr>
          <w:rFonts w:ascii="Arial" w:hAnsi="Arial" w:cs="Arial"/>
          <w:szCs w:val="24"/>
        </w:rPr>
        <w:t>. No changes are contained in the proposed ordinance, but the section is currently undergoing further analysis.</w:t>
      </w:r>
    </w:p>
    <w:p w:rsidR="00B5298C" w:rsidRDefault="00B5298C" w:rsidP="00B23613">
      <w:pPr>
        <w:ind w:firstLine="360"/>
        <w:rPr>
          <w:rFonts w:ascii="Arial" w:hAnsi="Arial" w:cs="Arial"/>
          <w:szCs w:val="24"/>
          <w:highlight w:val="yellow"/>
        </w:rPr>
      </w:pPr>
    </w:p>
    <w:p w:rsidR="00400C1C" w:rsidRDefault="00830BB1" w:rsidP="00F51C8A">
      <w:pPr>
        <w:ind w:firstLine="360"/>
        <w:rPr>
          <w:rFonts w:ascii="Arial" w:hAnsi="Arial" w:cs="Arial"/>
          <w:szCs w:val="24"/>
        </w:rPr>
      </w:pPr>
      <w:r w:rsidRPr="00F51C8A">
        <w:rPr>
          <w:rFonts w:ascii="Arial" w:hAnsi="Arial" w:cs="Arial"/>
          <w:szCs w:val="24"/>
          <w:u w:val="single"/>
        </w:rPr>
        <w:t>K.C.C. 4.64 Property Tax Refunds</w:t>
      </w:r>
      <w:r w:rsidR="00F51C8A">
        <w:rPr>
          <w:rFonts w:ascii="Arial" w:hAnsi="Arial" w:cs="Arial"/>
          <w:szCs w:val="24"/>
        </w:rPr>
        <w:t xml:space="preserve"> – This chapter contains provisions regarding petitions for refund of taxes under RCW Chapter 84.69.  </w:t>
      </w:r>
    </w:p>
    <w:p w:rsidR="00EE164A" w:rsidRDefault="00EE164A" w:rsidP="00EE164A">
      <w:pPr>
        <w:numPr>
          <w:ilvl w:val="0"/>
          <w:numId w:val="19"/>
        </w:numPr>
        <w:rPr>
          <w:rFonts w:ascii="Arial" w:hAnsi="Arial" w:cs="Arial"/>
          <w:szCs w:val="24"/>
        </w:rPr>
      </w:pPr>
      <w:r>
        <w:rPr>
          <w:rFonts w:ascii="Arial" w:hAnsi="Arial" w:cs="Arial"/>
          <w:szCs w:val="24"/>
        </w:rPr>
        <w:t xml:space="preserve">PO 2012-0358 </w:t>
      </w:r>
      <w:r>
        <w:rPr>
          <w:rFonts w:ascii="Arial" w:hAnsi="Arial" w:cs="Arial"/>
          <w:b/>
          <w:szCs w:val="24"/>
        </w:rPr>
        <w:t>cleans up and updates</w:t>
      </w:r>
      <w:r>
        <w:rPr>
          <w:rFonts w:ascii="Arial" w:hAnsi="Arial" w:cs="Arial"/>
          <w:szCs w:val="24"/>
        </w:rPr>
        <w:t xml:space="preserve"> language to reflect changes in state law.</w:t>
      </w:r>
      <w:r w:rsidR="0066130C">
        <w:rPr>
          <w:rFonts w:ascii="Arial" w:hAnsi="Arial" w:cs="Arial"/>
          <w:szCs w:val="24"/>
        </w:rPr>
        <w:t xml:space="preserve">  State law used to allow the Council</w:t>
      </w:r>
      <w:r w:rsidR="00FB66FD">
        <w:rPr>
          <w:rFonts w:ascii="Arial" w:hAnsi="Arial" w:cs="Arial"/>
          <w:szCs w:val="24"/>
        </w:rPr>
        <w:t xml:space="preserve"> to exercise discretion in waiv</w:t>
      </w:r>
      <w:r w:rsidR="0066130C">
        <w:rPr>
          <w:rFonts w:ascii="Arial" w:hAnsi="Arial" w:cs="Arial"/>
          <w:szCs w:val="24"/>
        </w:rPr>
        <w:t>ing statutory time limits for granting petitions for property tax refunds; this authority was eliminated in state law in 2009</w:t>
      </w:r>
      <w:r w:rsidR="00FB66FD">
        <w:rPr>
          <w:rFonts w:ascii="Arial" w:hAnsi="Arial" w:cs="Arial"/>
          <w:szCs w:val="24"/>
        </w:rPr>
        <w:t xml:space="preserve"> (RCW 84.69.030)</w:t>
      </w:r>
      <w:r w:rsidR="0066130C">
        <w:rPr>
          <w:rFonts w:ascii="Arial" w:hAnsi="Arial" w:cs="Arial"/>
          <w:szCs w:val="24"/>
        </w:rPr>
        <w:t>.</w:t>
      </w:r>
      <w:r w:rsidR="00FB66FD">
        <w:rPr>
          <w:rFonts w:ascii="Arial" w:hAnsi="Arial" w:cs="Arial"/>
          <w:szCs w:val="24"/>
        </w:rPr>
        <w:t xml:space="preserve">  </w:t>
      </w:r>
    </w:p>
    <w:p w:rsidR="00B46027" w:rsidRDefault="00B46027" w:rsidP="00EE164A">
      <w:pPr>
        <w:numPr>
          <w:ilvl w:val="0"/>
          <w:numId w:val="19"/>
        </w:numPr>
        <w:rPr>
          <w:rFonts w:ascii="Arial" w:hAnsi="Arial" w:cs="Arial"/>
          <w:szCs w:val="24"/>
        </w:rPr>
      </w:pPr>
      <w:r>
        <w:rPr>
          <w:rFonts w:ascii="Arial" w:hAnsi="Arial" w:cs="Arial"/>
          <w:szCs w:val="24"/>
        </w:rPr>
        <w:t xml:space="preserve">There is also a state law change that will go into effect on June 12, 2014 (HB 2446) that will no longer require petitions for certain types of refunds. </w:t>
      </w:r>
      <w:r w:rsidR="005F2888">
        <w:rPr>
          <w:rFonts w:ascii="Arial" w:hAnsi="Arial" w:cs="Arial"/>
          <w:szCs w:val="24"/>
        </w:rPr>
        <w:t xml:space="preserve">This development occurred after the proposed ordinance was introduced.  A striker is </w:t>
      </w:r>
      <w:r w:rsidR="005F2888">
        <w:rPr>
          <w:rFonts w:ascii="Arial" w:hAnsi="Arial" w:cs="Arial"/>
          <w:szCs w:val="24"/>
        </w:rPr>
        <w:lastRenderedPageBreak/>
        <w:t xml:space="preserve">being prepared that would </w:t>
      </w:r>
      <w:r w:rsidR="005F2888" w:rsidRPr="005F2888">
        <w:rPr>
          <w:rFonts w:ascii="Arial" w:hAnsi="Arial" w:cs="Arial"/>
          <w:b/>
          <w:szCs w:val="24"/>
        </w:rPr>
        <w:t>update</w:t>
      </w:r>
      <w:r w:rsidR="005F2888">
        <w:rPr>
          <w:rFonts w:ascii="Arial" w:hAnsi="Arial" w:cs="Arial"/>
          <w:szCs w:val="24"/>
        </w:rPr>
        <w:t xml:space="preserve"> </w:t>
      </w:r>
      <w:r w:rsidRPr="005F2888">
        <w:rPr>
          <w:rFonts w:ascii="Arial" w:hAnsi="Arial" w:cs="Arial"/>
          <w:szCs w:val="24"/>
        </w:rPr>
        <w:t>K</w:t>
      </w:r>
      <w:r>
        <w:rPr>
          <w:rFonts w:ascii="Arial" w:hAnsi="Arial" w:cs="Arial"/>
          <w:szCs w:val="24"/>
        </w:rPr>
        <w:t>.C.C. 4.64.020</w:t>
      </w:r>
      <w:r w:rsidR="00867DEB">
        <w:rPr>
          <w:rFonts w:ascii="Arial" w:hAnsi="Arial" w:cs="Arial"/>
          <w:szCs w:val="24"/>
        </w:rPr>
        <w:t xml:space="preserve"> and </w:t>
      </w:r>
      <w:r w:rsidR="00867DEB">
        <w:rPr>
          <w:rFonts w:ascii="Arial" w:hAnsi="Arial" w:cs="Arial"/>
          <w:b/>
          <w:szCs w:val="24"/>
        </w:rPr>
        <w:t>repeal</w:t>
      </w:r>
      <w:r w:rsidR="00867DEB">
        <w:rPr>
          <w:rFonts w:ascii="Arial" w:hAnsi="Arial" w:cs="Arial"/>
          <w:szCs w:val="24"/>
        </w:rPr>
        <w:t xml:space="preserve"> K.C.C. 4.64.040</w:t>
      </w:r>
      <w:r>
        <w:rPr>
          <w:rFonts w:ascii="Arial" w:hAnsi="Arial" w:cs="Arial"/>
          <w:szCs w:val="24"/>
        </w:rPr>
        <w:t xml:space="preserve"> effective in June to reflect </w:t>
      </w:r>
      <w:r w:rsidR="005F2888">
        <w:rPr>
          <w:rFonts w:ascii="Arial" w:hAnsi="Arial" w:cs="Arial"/>
          <w:szCs w:val="24"/>
        </w:rPr>
        <w:t>the</w:t>
      </w:r>
      <w:r>
        <w:rPr>
          <w:rFonts w:ascii="Arial" w:hAnsi="Arial" w:cs="Arial"/>
          <w:szCs w:val="24"/>
        </w:rPr>
        <w:t xml:space="preserve"> change</w:t>
      </w:r>
      <w:r w:rsidR="005F2888">
        <w:rPr>
          <w:rFonts w:ascii="Arial" w:hAnsi="Arial" w:cs="Arial"/>
          <w:szCs w:val="24"/>
        </w:rPr>
        <w:t xml:space="preserve"> in state law</w:t>
      </w:r>
      <w:r>
        <w:rPr>
          <w:rFonts w:ascii="Arial" w:hAnsi="Arial" w:cs="Arial"/>
          <w:szCs w:val="24"/>
        </w:rPr>
        <w:t>.</w:t>
      </w:r>
    </w:p>
    <w:p w:rsidR="00830BB1" w:rsidRPr="00F51C8A" w:rsidRDefault="00830BB1" w:rsidP="00F51C8A">
      <w:pPr>
        <w:ind w:firstLine="360"/>
        <w:rPr>
          <w:rFonts w:ascii="Arial" w:hAnsi="Arial" w:cs="Arial"/>
          <w:i/>
          <w:szCs w:val="24"/>
        </w:rPr>
      </w:pPr>
    </w:p>
    <w:p w:rsidR="00474DBF" w:rsidRDefault="00830BB1" w:rsidP="00E350AA">
      <w:pPr>
        <w:ind w:firstLine="360"/>
        <w:rPr>
          <w:rFonts w:ascii="Arial" w:hAnsi="Arial" w:cs="Arial"/>
          <w:szCs w:val="24"/>
        </w:rPr>
      </w:pPr>
      <w:r w:rsidRPr="00F301F8">
        <w:rPr>
          <w:rFonts w:ascii="Arial" w:hAnsi="Arial" w:cs="Arial"/>
          <w:szCs w:val="24"/>
          <w:u w:val="single"/>
        </w:rPr>
        <w:t>K.C.C. 4.68 Non</w:t>
      </w:r>
      <w:r w:rsidR="003C6B62">
        <w:rPr>
          <w:rFonts w:ascii="Arial" w:hAnsi="Arial" w:cs="Arial"/>
          <w:szCs w:val="24"/>
          <w:u w:val="single"/>
        </w:rPr>
        <w:t>-</w:t>
      </w:r>
      <w:r w:rsidRPr="00F301F8">
        <w:rPr>
          <w:rFonts w:ascii="Arial" w:hAnsi="Arial" w:cs="Arial"/>
          <w:szCs w:val="24"/>
          <w:u w:val="single"/>
        </w:rPr>
        <w:t>delinquent Property Tax Certification</w:t>
      </w:r>
      <w:r w:rsidR="00F301F8">
        <w:rPr>
          <w:rFonts w:ascii="Arial" w:hAnsi="Arial" w:cs="Arial"/>
          <w:szCs w:val="24"/>
        </w:rPr>
        <w:t xml:space="preserve"> </w:t>
      </w:r>
      <w:r w:rsidR="00734F1B">
        <w:rPr>
          <w:rFonts w:ascii="Arial" w:hAnsi="Arial" w:cs="Arial"/>
          <w:szCs w:val="24"/>
        </w:rPr>
        <w:t>–</w:t>
      </w:r>
      <w:r w:rsidR="00F301F8">
        <w:rPr>
          <w:rFonts w:ascii="Arial" w:hAnsi="Arial" w:cs="Arial"/>
          <w:szCs w:val="24"/>
        </w:rPr>
        <w:t xml:space="preserve"> </w:t>
      </w:r>
      <w:r w:rsidR="00734F1B">
        <w:rPr>
          <w:rFonts w:ascii="Arial" w:hAnsi="Arial" w:cs="Arial"/>
          <w:szCs w:val="24"/>
        </w:rPr>
        <w:t xml:space="preserve">This chapter </w:t>
      </w:r>
      <w:r w:rsidR="00E350AA">
        <w:rPr>
          <w:rFonts w:ascii="Arial" w:hAnsi="Arial" w:cs="Arial"/>
          <w:szCs w:val="24"/>
        </w:rPr>
        <w:t xml:space="preserve">requires a permit applicant for certain types of permits to provide certification from the manager of the Finance and Business Operations Division that property taxes of the subject property are not delinquent prior to county issuance of the permit.  </w:t>
      </w:r>
      <w:r w:rsidR="003C7596">
        <w:rPr>
          <w:rFonts w:ascii="Arial" w:hAnsi="Arial" w:cs="Arial"/>
          <w:szCs w:val="24"/>
        </w:rPr>
        <w:t>County p</w:t>
      </w:r>
      <w:r w:rsidR="00E350AA">
        <w:rPr>
          <w:rFonts w:ascii="Arial" w:hAnsi="Arial" w:cs="Arial"/>
          <w:szCs w:val="24"/>
        </w:rPr>
        <w:t>ermits covered by K.C.C. Chapter 4.68 currently include:</w:t>
      </w:r>
    </w:p>
    <w:p w:rsidR="00E350AA" w:rsidRDefault="00E350AA" w:rsidP="00E350AA">
      <w:pPr>
        <w:ind w:firstLine="360"/>
        <w:rPr>
          <w:rFonts w:ascii="Arial" w:hAnsi="Arial" w:cs="Arial"/>
          <w:szCs w:val="24"/>
        </w:rPr>
      </w:pPr>
    </w:p>
    <w:p w:rsidR="00E350AA" w:rsidRPr="00E350AA" w:rsidRDefault="003C7596" w:rsidP="00D278B5">
      <w:pPr>
        <w:tabs>
          <w:tab w:val="left" w:pos="720"/>
        </w:tabs>
        <w:ind w:left="720"/>
        <w:rPr>
          <w:rFonts w:ascii="Arial" w:hAnsi="Arial" w:cs="Arial"/>
          <w:szCs w:val="24"/>
        </w:rPr>
      </w:pPr>
      <w:r w:rsidRPr="003C7596">
        <w:rPr>
          <w:rFonts w:ascii="Arial" w:hAnsi="Arial" w:cs="Arial"/>
          <w:szCs w:val="24"/>
        </w:rPr>
        <w:t xml:space="preserve">A. Building permits authorized by Title 16; </w:t>
      </w:r>
      <w:r w:rsidRPr="003C7596">
        <w:rPr>
          <w:rFonts w:ascii="Arial" w:hAnsi="Arial" w:cs="Arial"/>
          <w:szCs w:val="24"/>
        </w:rPr>
        <w:br/>
        <w:t xml:space="preserve">B. Reclassification permits authorized by Title 21A; </w:t>
      </w:r>
      <w:r w:rsidRPr="003C7596">
        <w:rPr>
          <w:rFonts w:ascii="Arial" w:hAnsi="Arial" w:cs="Arial"/>
          <w:szCs w:val="24"/>
        </w:rPr>
        <w:br/>
        <w:t xml:space="preserve">C. Subdivisions permits authorized by Title 19; </w:t>
      </w:r>
      <w:r w:rsidRPr="003C7596">
        <w:rPr>
          <w:rFonts w:ascii="Arial" w:hAnsi="Arial" w:cs="Arial"/>
          <w:szCs w:val="24"/>
        </w:rPr>
        <w:br/>
        <w:t xml:space="preserve">D. Short subdivisions permits authorized by Title 19; </w:t>
      </w:r>
      <w:r w:rsidRPr="003C7596">
        <w:rPr>
          <w:rFonts w:ascii="Arial" w:hAnsi="Arial" w:cs="Arial"/>
          <w:szCs w:val="24"/>
        </w:rPr>
        <w:br/>
        <w:t xml:space="preserve">E. Shoreline development permits authorized by Title 25; </w:t>
      </w:r>
      <w:r w:rsidRPr="003C7596">
        <w:rPr>
          <w:rFonts w:ascii="Arial" w:hAnsi="Arial" w:cs="Arial"/>
          <w:szCs w:val="24"/>
        </w:rPr>
        <w:br/>
        <w:t xml:space="preserve">F. Grading permits authorized by Title 16; </w:t>
      </w:r>
      <w:r w:rsidRPr="003C7596">
        <w:rPr>
          <w:rFonts w:ascii="Arial" w:hAnsi="Arial" w:cs="Arial"/>
          <w:szCs w:val="24"/>
        </w:rPr>
        <w:br/>
        <w:t xml:space="preserve">G. Condominium conversion permits authorized by Title 20; </w:t>
      </w:r>
      <w:r w:rsidRPr="003C7596">
        <w:rPr>
          <w:rFonts w:ascii="Arial" w:hAnsi="Arial" w:cs="Arial"/>
          <w:szCs w:val="24"/>
        </w:rPr>
        <w:br/>
        <w:t xml:space="preserve">H. Demolition permits authorized by Title 16; </w:t>
      </w:r>
      <w:r w:rsidRPr="003C7596">
        <w:rPr>
          <w:rFonts w:ascii="Arial" w:hAnsi="Arial" w:cs="Arial"/>
          <w:szCs w:val="24"/>
        </w:rPr>
        <w:br/>
        <w:t xml:space="preserve">I. Right-of-way use permits authorized by Title 6; </w:t>
      </w:r>
      <w:r w:rsidRPr="003C7596">
        <w:rPr>
          <w:rFonts w:ascii="Arial" w:hAnsi="Arial" w:cs="Arial"/>
          <w:szCs w:val="24"/>
        </w:rPr>
        <w:br/>
        <w:t xml:space="preserve">J. Septic tank permits authorized by Title 13. </w:t>
      </w:r>
    </w:p>
    <w:p w:rsidR="00474DBF" w:rsidRDefault="00474DBF" w:rsidP="00515150">
      <w:pPr>
        <w:rPr>
          <w:rFonts w:ascii="Arial" w:hAnsi="Arial" w:cs="Arial"/>
        </w:rPr>
      </w:pPr>
    </w:p>
    <w:p w:rsidR="00D278B5" w:rsidRDefault="00DA2597" w:rsidP="00DA2597">
      <w:pPr>
        <w:numPr>
          <w:ilvl w:val="0"/>
          <w:numId w:val="19"/>
        </w:numPr>
        <w:rPr>
          <w:rFonts w:ascii="Arial" w:hAnsi="Arial" w:cs="Arial"/>
        </w:rPr>
      </w:pPr>
      <w:r>
        <w:rPr>
          <w:rFonts w:ascii="Arial" w:hAnsi="Arial" w:cs="Arial"/>
        </w:rPr>
        <w:t xml:space="preserve">PO 2012-0358 </w:t>
      </w:r>
      <w:r w:rsidRPr="004C4F9F">
        <w:rPr>
          <w:rFonts w:ascii="Arial" w:hAnsi="Arial" w:cs="Arial"/>
          <w:b/>
        </w:rPr>
        <w:t>moves</w:t>
      </w:r>
      <w:r>
        <w:rPr>
          <w:rFonts w:ascii="Arial" w:hAnsi="Arial" w:cs="Arial"/>
        </w:rPr>
        <w:t xml:space="preserve"> the non</w:t>
      </w:r>
      <w:r w:rsidR="003C6B62">
        <w:rPr>
          <w:rFonts w:ascii="Arial" w:hAnsi="Arial" w:cs="Arial"/>
        </w:rPr>
        <w:t>-</w:t>
      </w:r>
      <w:r>
        <w:rPr>
          <w:rFonts w:ascii="Arial" w:hAnsi="Arial" w:cs="Arial"/>
        </w:rPr>
        <w:t xml:space="preserve">delinquent property tax certification language out of Title 4 and </w:t>
      </w:r>
      <w:r w:rsidRPr="008B44E8">
        <w:rPr>
          <w:rFonts w:ascii="Arial" w:hAnsi="Arial" w:cs="Arial"/>
        </w:rPr>
        <w:t>into the applicable Titles</w:t>
      </w:r>
      <w:r w:rsidR="008B44E8">
        <w:rPr>
          <w:rFonts w:ascii="Arial" w:hAnsi="Arial" w:cs="Arial"/>
        </w:rPr>
        <w:t>.</w:t>
      </w:r>
    </w:p>
    <w:p w:rsidR="00381E3C" w:rsidRPr="008B3E7C" w:rsidRDefault="00381E3C" w:rsidP="00DA2597">
      <w:pPr>
        <w:numPr>
          <w:ilvl w:val="0"/>
          <w:numId w:val="19"/>
        </w:numPr>
        <w:rPr>
          <w:rFonts w:ascii="Arial" w:hAnsi="Arial" w:cs="Arial"/>
        </w:rPr>
      </w:pPr>
      <w:r w:rsidRPr="008B3E7C">
        <w:rPr>
          <w:rFonts w:ascii="Arial" w:hAnsi="Arial" w:cs="Arial"/>
        </w:rPr>
        <w:t>The Department of Permitting and Environmental Review has proposed language that would eliminate the non</w:t>
      </w:r>
      <w:r w:rsidR="003C6B62">
        <w:rPr>
          <w:rFonts w:ascii="Arial" w:hAnsi="Arial" w:cs="Arial"/>
        </w:rPr>
        <w:t>-</w:t>
      </w:r>
      <w:r w:rsidRPr="008B3E7C">
        <w:rPr>
          <w:rFonts w:ascii="Arial" w:hAnsi="Arial" w:cs="Arial"/>
        </w:rPr>
        <w:t>delinquent property tax certification requirement for all of the permit types except for Title 19 permits dealing with lot segregation, boundary line adjustments, or condominium-related approvals.  This proposal requires further staff and legal analysis.</w:t>
      </w:r>
    </w:p>
    <w:p w:rsidR="00D278B5" w:rsidRDefault="00D278B5" w:rsidP="00515150">
      <w:pPr>
        <w:rPr>
          <w:rFonts w:ascii="Arial" w:hAnsi="Arial" w:cs="Arial"/>
        </w:rPr>
      </w:pPr>
    </w:p>
    <w:p w:rsidR="00264BE1" w:rsidRPr="009864F8" w:rsidRDefault="00264BE1" w:rsidP="00264BE1">
      <w:pPr>
        <w:rPr>
          <w:rFonts w:ascii="Arial" w:hAnsi="Arial" w:cs="Arial"/>
          <w:b/>
          <w:smallCaps/>
          <w:szCs w:val="24"/>
        </w:rPr>
      </w:pPr>
      <w:r>
        <w:rPr>
          <w:rFonts w:ascii="Arial" w:hAnsi="Arial" w:cs="Arial"/>
          <w:b/>
          <w:smallCaps/>
          <w:szCs w:val="24"/>
          <w:u w:val="single"/>
        </w:rPr>
        <w:t>ANALYSIS</w:t>
      </w:r>
    </w:p>
    <w:p w:rsidR="00264BE1" w:rsidRDefault="00264BE1" w:rsidP="00066CEA">
      <w:pPr>
        <w:pStyle w:val="BodyText"/>
        <w:rPr>
          <w:rFonts w:ascii="Arial" w:hAnsi="Arial" w:cs="Arial"/>
          <w:i w:val="0"/>
          <w:szCs w:val="24"/>
        </w:rPr>
      </w:pPr>
    </w:p>
    <w:p w:rsidR="00515150" w:rsidRDefault="00BE5F70" w:rsidP="00515150">
      <w:pPr>
        <w:rPr>
          <w:rFonts w:ascii="Arial" w:hAnsi="Arial" w:cs="Arial"/>
        </w:rPr>
      </w:pPr>
      <w:r>
        <w:rPr>
          <w:rFonts w:ascii="Arial" w:hAnsi="Arial" w:cs="Arial"/>
        </w:rPr>
        <w:t>With the exception of the permitting proposal that is discussed further below, all of the proposed chan</w:t>
      </w:r>
      <w:r w:rsidR="00D13B13">
        <w:rPr>
          <w:rFonts w:ascii="Arial" w:hAnsi="Arial" w:cs="Arial"/>
        </w:rPr>
        <w:t xml:space="preserve">ges are language clarifications, updates, or provisions that are repealed due to being covered by state law. </w:t>
      </w:r>
    </w:p>
    <w:p w:rsidR="00D13B13" w:rsidRDefault="00D13B13" w:rsidP="00515150">
      <w:pPr>
        <w:rPr>
          <w:rFonts w:ascii="Arial" w:hAnsi="Arial" w:cs="Arial"/>
        </w:rPr>
      </w:pPr>
    </w:p>
    <w:p w:rsidR="00D13B13" w:rsidRDefault="0048608E" w:rsidP="00515150">
      <w:pPr>
        <w:rPr>
          <w:rFonts w:ascii="Arial" w:hAnsi="Arial" w:cs="Arial"/>
        </w:rPr>
      </w:pPr>
      <w:r>
        <w:rPr>
          <w:rFonts w:ascii="Arial" w:hAnsi="Arial" w:cs="Arial"/>
        </w:rPr>
        <w:t>Noteworthy changes include:</w:t>
      </w:r>
    </w:p>
    <w:p w:rsidR="0048608E" w:rsidRDefault="0048608E" w:rsidP="00515150">
      <w:pPr>
        <w:rPr>
          <w:rFonts w:ascii="Arial" w:hAnsi="Arial" w:cs="Arial"/>
        </w:rPr>
      </w:pPr>
    </w:p>
    <w:p w:rsidR="0048608E" w:rsidRDefault="00B16296" w:rsidP="0048608E">
      <w:pPr>
        <w:numPr>
          <w:ilvl w:val="0"/>
          <w:numId w:val="19"/>
        </w:numPr>
        <w:rPr>
          <w:rFonts w:ascii="Arial" w:hAnsi="Arial" w:cs="Arial"/>
        </w:rPr>
      </w:pPr>
      <w:r>
        <w:rPr>
          <w:rFonts w:ascii="Arial" w:hAnsi="Arial" w:cs="Arial"/>
        </w:rPr>
        <w:t>Junior Taxing District Levy Certification</w:t>
      </w:r>
      <w:r w:rsidR="0048608E">
        <w:rPr>
          <w:rFonts w:ascii="Arial" w:hAnsi="Arial" w:cs="Arial"/>
        </w:rPr>
        <w:t xml:space="preserve"> – The levy certification format</w:t>
      </w:r>
      <w:r>
        <w:rPr>
          <w:rFonts w:ascii="Arial" w:hAnsi="Arial" w:cs="Arial"/>
        </w:rPr>
        <w:t xml:space="preserve"> that is currently</w:t>
      </w:r>
      <w:r w:rsidR="0048608E">
        <w:rPr>
          <w:rFonts w:ascii="Arial" w:hAnsi="Arial" w:cs="Arial"/>
        </w:rPr>
        <w:t xml:space="preserve"> </w:t>
      </w:r>
      <w:r>
        <w:rPr>
          <w:rFonts w:ascii="Arial" w:hAnsi="Arial" w:cs="Arial"/>
        </w:rPr>
        <w:t xml:space="preserve">in K.C.C. 4.48.020 </w:t>
      </w:r>
      <w:r w:rsidR="0048608E">
        <w:rPr>
          <w:rFonts w:ascii="Arial" w:hAnsi="Arial" w:cs="Arial"/>
        </w:rPr>
        <w:t xml:space="preserve">was created in 1974 and has not been amended since. </w:t>
      </w:r>
      <w:r w:rsidR="001835BD">
        <w:rPr>
          <w:rFonts w:ascii="Arial" w:hAnsi="Arial" w:cs="Arial"/>
        </w:rPr>
        <w:t xml:space="preserve">It contains outdated references, such as a “coupon warrant fund” that is not used by the Assessor. </w:t>
      </w:r>
      <w:r w:rsidR="00A06458">
        <w:rPr>
          <w:rFonts w:ascii="Arial" w:hAnsi="Arial" w:cs="Arial"/>
        </w:rPr>
        <w:t xml:space="preserve">A striker </w:t>
      </w:r>
      <w:r w:rsidR="001835BD">
        <w:rPr>
          <w:rFonts w:ascii="Arial" w:hAnsi="Arial" w:cs="Arial"/>
        </w:rPr>
        <w:t>is being prepared to streamline the code appearance and update the required contents to reflect information requested by and collected by the Assessor for the levy certification process.</w:t>
      </w:r>
    </w:p>
    <w:p w:rsidR="001835BD" w:rsidRDefault="001835BD" w:rsidP="001835BD">
      <w:pPr>
        <w:rPr>
          <w:rFonts w:ascii="Arial" w:hAnsi="Arial" w:cs="Arial"/>
        </w:rPr>
      </w:pPr>
    </w:p>
    <w:p w:rsidR="001835BD" w:rsidRDefault="000A4CB2" w:rsidP="001835BD">
      <w:pPr>
        <w:numPr>
          <w:ilvl w:val="0"/>
          <w:numId w:val="19"/>
        </w:numPr>
        <w:rPr>
          <w:rFonts w:ascii="Arial" w:hAnsi="Arial" w:cs="Arial"/>
        </w:rPr>
      </w:pPr>
      <w:r>
        <w:rPr>
          <w:rFonts w:ascii="Arial" w:hAnsi="Arial" w:cs="Arial"/>
        </w:rPr>
        <w:t xml:space="preserve">State law changes </w:t>
      </w:r>
      <w:r w:rsidR="0015229A">
        <w:rPr>
          <w:rFonts w:ascii="Arial" w:hAnsi="Arial" w:cs="Arial"/>
        </w:rPr>
        <w:t>–</w:t>
      </w:r>
      <w:r>
        <w:rPr>
          <w:rFonts w:ascii="Arial" w:hAnsi="Arial" w:cs="Arial"/>
        </w:rPr>
        <w:t xml:space="preserve"> </w:t>
      </w:r>
      <w:r w:rsidR="0015229A">
        <w:rPr>
          <w:rFonts w:ascii="Arial" w:hAnsi="Arial" w:cs="Arial"/>
        </w:rPr>
        <w:t xml:space="preserve">As identified above, various provisions are repealed because they are covered by state law. It is a policy choice whether to update the code to accurately reflect state law changes, or to remove the provision altogether when it is duplicative of state law.  Repealing the provisions ensures that when there are changes in state law, the county code does not become out of date or in conflict with the state law.  Staff analyzed the proposed changes to </w:t>
      </w:r>
      <w:r w:rsidR="0015229A">
        <w:rPr>
          <w:rFonts w:ascii="Arial" w:hAnsi="Arial" w:cs="Arial"/>
        </w:rPr>
        <w:lastRenderedPageBreak/>
        <w:t xml:space="preserve">ensure that the differences between existing code provisions and state law were due to changes in state law over time, as opposed to differences that were deliberately placed in county code based on policy choices.  </w:t>
      </w:r>
    </w:p>
    <w:p w:rsidR="00C96E22" w:rsidRDefault="00C96E22" w:rsidP="00C96E22">
      <w:pPr>
        <w:pStyle w:val="ListParagraph0"/>
        <w:rPr>
          <w:rFonts w:ascii="Arial" w:hAnsi="Arial" w:cs="Arial"/>
        </w:rPr>
      </w:pPr>
    </w:p>
    <w:p w:rsidR="00C96E22" w:rsidRDefault="00B766D7" w:rsidP="00DF020E">
      <w:pPr>
        <w:rPr>
          <w:rFonts w:ascii="Arial" w:hAnsi="Arial" w:cs="Arial"/>
          <w:u w:val="single"/>
        </w:rPr>
      </w:pPr>
      <w:r>
        <w:rPr>
          <w:rFonts w:ascii="Arial" w:hAnsi="Arial" w:cs="Arial"/>
          <w:u w:val="single"/>
        </w:rPr>
        <w:t>Permitting Requirements</w:t>
      </w:r>
      <w:r w:rsidR="009D2DE6">
        <w:rPr>
          <w:rFonts w:ascii="Arial" w:hAnsi="Arial" w:cs="Arial"/>
          <w:u w:val="single"/>
        </w:rPr>
        <w:t xml:space="preserve"> Proposal</w:t>
      </w:r>
    </w:p>
    <w:p w:rsidR="004A16D6" w:rsidRDefault="004A16D6" w:rsidP="00DF020E">
      <w:pPr>
        <w:rPr>
          <w:rFonts w:ascii="Arial" w:hAnsi="Arial" w:cs="Arial"/>
          <w:u w:val="single"/>
        </w:rPr>
      </w:pPr>
    </w:p>
    <w:p w:rsidR="00CA0067" w:rsidRDefault="004A16D6" w:rsidP="00DF020E">
      <w:pPr>
        <w:rPr>
          <w:rFonts w:ascii="Arial" w:hAnsi="Arial" w:cs="Arial"/>
        </w:rPr>
      </w:pPr>
      <w:r w:rsidRPr="000D5202">
        <w:rPr>
          <w:rFonts w:ascii="Arial" w:hAnsi="Arial" w:cs="Arial"/>
        </w:rPr>
        <w:t>The Department of Permitting and Environmental Review has proposed language that would eliminate the non</w:t>
      </w:r>
      <w:r w:rsidR="00195414">
        <w:rPr>
          <w:rFonts w:ascii="Arial" w:hAnsi="Arial" w:cs="Arial"/>
        </w:rPr>
        <w:t>-</w:t>
      </w:r>
      <w:r w:rsidRPr="000D5202">
        <w:rPr>
          <w:rFonts w:ascii="Arial" w:hAnsi="Arial" w:cs="Arial"/>
        </w:rPr>
        <w:t xml:space="preserve">delinquent property tax certification requirement for all of the permit types except for Title 19 permits dealing with lot segregation, boundary line adjustments, or condominium-related approvals.  </w:t>
      </w:r>
    </w:p>
    <w:p w:rsidR="00CA0067" w:rsidRDefault="00CA0067" w:rsidP="00DF020E">
      <w:pPr>
        <w:rPr>
          <w:rFonts w:ascii="Arial" w:hAnsi="Arial" w:cs="Arial"/>
        </w:rPr>
      </w:pPr>
    </w:p>
    <w:p w:rsidR="004E0E02" w:rsidRDefault="00A94108" w:rsidP="004E0E02">
      <w:pPr>
        <w:rPr>
          <w:rFonts w:ascii="Arial" w:hAnsi="Arial" w:cs="Arial"/>
        </w:rPr>
      </w:pPr>
      <w:r>
        <w:rPr>
          <w:rFonts w:ascii="Arial" w:hAnsi="Arial" w:cs="Arial"/>
        </w:rPr>
        <w:t xml:space="preserve">In accordance with KCC 4.68.010, when a citizen applies for </w:t>
      </w:r>
      <w:r w:rsidR="00195414">
        <w:rPr>
          <w:rFonts w:ascii="Arial" w:hAnsi="Arial" w:cs="Arial"/>
        </w:rPr>
        <w:t>certain types of</w:t>
      </w:r>
      <w:r>
        <w:rPr>
          <w:rFonts w:ascii="Arial" w:hAnsi="Arial" w:cs="Arial"/>
        </w:rPr>
        <w:t xml:space="preserve"> permit</w:t>
      </w:r>
      <w:r w:rsidR="00195414">
        <w:rPr>
          <w:rFonts w:ascii="Arial" w:hAnsi="Arial" w:cs="Arial"/>
        </w:rPr>
        <w:t>s</w:t>
      </w:r>
      <w:r>
        <w:rPr>
          <w:rFonts w:ascii="Arial" w:hAnsi="Arial" w:cs="Arial"/>
        </w:rPr>
        <w:t xml:space="preserve"> </w:t>
      </w:r>
      <w:r w:rsidR="00195414">
        <w:rPr>
          <w:rFonts w:ascii="Arial" w:hAnsi="Arial" w:cs="Arial"/>
        </w:rPr>
        <w:t>from the county, the county</w:t>
      </w:r>
      <w:r>
        <w:rPr>
          <w:rFonts w:ascii="Arial" w:hAnsi="Arial" w:cs="Arial"/>
        </w:rPr>
        <w:t xml:space="preserve"> cannot release the permit application until the manager of FBOD has certified that the applicant's property taxes are </w:t>
      </w:r>
      <w:r w:rsidR="009B4DBC">
        <w:rPr>
          <w:rFonts w:ascii="Arial" w:hAnsi="Arial" w:cs="Arial"/>
        </w:rPr>
        <w:t xml:space="preserve">not </w:t>
      </w:r>
      <w:r>
        <w:rPr>
          <w:rFonts w:ascii="Arial" w:hAnsi="Arial" w:cs="Arial"/>
        </w:rPr>
        <w:t xml:space="preserve">delinquent.  </w:t>
      </w:r>
      <w:r w:rsidR="00195414">
        <w:rPr>
          <w:rFonts w:ascii="Arial" w:hAnsi="Arial" w:cs="Arial"/>
        </w:rPr>
        <w:t xml:space="preserve">Types </w:t>
      </w:r>
      <w:r>
        <w:rPr>
          <w:rFonts w:ascii="Arial" w:hAnsi="Arial" w:cs="Arial"/>
        </w:rPr>
        <w:t>of</w:t>
      </w:r>
      <w:r w:rsidR="00E623AE">
        <w:rPr>
          <w:rFonts w:ascii="Arial" w:hAnsi="Arial" w:cs="Arial"/>
        </w:rPr>
        <w:t xml:space="preserve"> </w:t>
      </w:r>
      <w:r w:rsidR="009B4DBC">
        <w:rPr>
          <w:rFonts w:ascii="Arial" w:hAnsi="Arial" w:cs="Arial"/>
        </w:rPr>
        <w:t xml:space="preserve">applicable </w:t>
      </w:r>
      <w:r w:rsidR="00E623AE">
        <w:rPr>
          <w:rFonts w:ascii="Arial" w:hAnsi="Arial" w:cs="Arial"/>
        </w:rPr>
        <w:t>permits</w:t>
      </w:r>
      <w:r>
        <w:rPr>
          <w:rFonts w:ascii="Arial" w:hAnsi="Arial" w:cs="Arial"/>
        </w:rPr>
        <w:t xml:space="preserve"> </w:t>
      </w:r>
      <w:r w:rsidR="00195414">
        <w:rPr>
          <w:rFonts w:ascii="Arial" w:hAnsi="Arial" w:cs="Arial"/>
        </w:rPr>
        <w:t xml:space="preserve">include </w:t>
      </w:r>
      <w:r w:rsidR="00E623AE">
        <w:rPr>
          <w:rFonts w:ascii="Arial" w:hAnsi="Arial" w:cs="Arial"/>
        </w:rPr>
        <w:t xml:space="preserve">building permits (furnaces, plumbing, gas piping, etc.), grading permits, subdivisions, shoreline development, condominium conversions, demolition permits, right of way permits, and septic tank permits. </w:t>
      </w:r>
      <w:r w:rsidR="005F7A5A">
        <w:rPr>
          <w:rFonts w:ascii="Arial" w:hAnsi="Arial" w:cs="Arial"/>
        </w:rPr>
        <w:t>The majority</w:t>
      </w:r>
      <w:r w:rsidR="00195414">
        <w:rPr>
          <w:rFonts w:ascii="Arial" w:hAnsi="Arial" w:cs="Arial"/>
        </w:rPr>
        <w:t xml:space="preserve"> of these permits are handled by </w:t>
      </w:r>
      <w:r w:rsidR="004E0E02">
        <w:rPr>
          <w:rFonts w:ascii="Arial" w:hAnsi="Arial" w:cs="Arial"/>
        </w:rPr>
        <w:t>the Department of Permitting and Environmental Review (DPER). Gas, plumbing, and septic tank permits are issued by Public Health. Right of Way permits are issued by the Roads Division.</w:t>
      </w:r>
    </w:p>
    <w:p w:rsidR="004E0E02" w:rsidRDefault="004E0E02" w:rsidP="00DF020E">
      <w:pPr>
        <w:rPr>
          <w:rFonts w:ascii="Arial" w:hAnsi="Arial" w:cs="Arial"/>
        </w:rPr>
      </w:pPr>
    </w:p>
    <w:p w:rsidR="004E0E02" w:rsidRDefault="004E0E02" w:rsidP="00DF020E">
      <w:pPr>
        <w:rPr>
          <w:rFonts w:ascii="Arial" w:hAnsi="Arial" w:cs="Arial"/>
        </w:rPr>
      </w:pPr>
      <w:r>
        <w:rPr>
          <w:rFonts w:ascii="Arial" w:hAnsi="Arial" w:cs="Arial"/>
        </w:rPr>
        <w:t xml:space="preserve">DPER processes approximately 5,000 permits per year. About 1,500 permits are over-the-counter simple permits such as a furnace replacement. A very few in the neighborhood of 100 are simple permits such as decks that require minimal review. The </w:t>
      </w:r>
      <w:proofErr w:type="gramStart"/>
      <w:r>
        <w:rPr>
          <w:rFonts w:ascii="Arial" w:hAnsi="Arial" w:cs="Arial"/>
        </w:rPr>
        <w:t>remainder, about 2,500 to 3,500, are</w:t>
      </w:r>
      <w:proofErr w:type="gramEnd"/>
      <w:r>
        <w:rPr>
          <w:rFonts w:ascii="Arial" w:hAnsi="Arial" w:cs="Arial"/>
        </w:rPr>
        <w:t xml:space="preserve"> more complex permits requiring review.    </w:t>
      </w:r>
    </w:p>
    <w:p w:rsidR="004E0E02" w:rsidRDefault="004E0E02" w:rsidP="00DF020E">
      <w:pPr>
        <w:rPr>
          <w:rFonts w:ascii="Arial" w:hAnsi="Arial" w:cs="Arial"/>
        </w:rPr>
      </w:pPr>
    </w:p>
    <w:p w:rsidR="00AB62CD" w:rsidRDefault="00AB62CD" w:rsidP="00AB62CD">
      <w:pPr>
        <w:rPr>
          <w:rFonts w:ascii="Arial" w:hAnsi="Arial" w:cs="Arial"/>
        </w:rPr>
      </w:pPr>
      <w:r>
        <w:rPr>
          <w:rFonts w:ascii="Arial" w:hAnsi="Arial" w:cs="Arial"/>
        </w:rPr>
        <w:t>One of the main rationales for the request is that DPER would like to move simple permits to an on-line automated approval system, but it is difficult to do so when certification of property tax non-delinquency is required.  It should be noted, however, that there are possibly ways that DPER could accomplish online automation without eliminating the property tax certification requirement, such as perhaps a code change in how taxpayers can show proof of property tax payment.  There are likely alternatives that would meet DPER’s needs that could be explored further.</w:t>
      </w:r>
    </w:p>
    <w:p w:rsidR="00AB62CD" w:rsidRDefault="00AB62CD" w:rsidP="00AB62CD">
      <w:pPr>
        <w:rPr>
          <w:rFonts w:ascii="Arial" w:hAnsi="Arial" w:cs="Arial"/>
        </w:rPr>
      </w:pPr>
    </w:p>
    <w:p w:rsidR="00AB62CD" w:rsidRDefault="00AB62CD" w:rsidP="00AB62CD">
      <w:pPr>
        <w:rPr>
          <w:rFonts w:ascii="Arial" w:hAnsi="Arial" w:cs="Arial"/>
        </w:rPr>
      </w:pPr>
      <w:r>
        <w:rPr>
          <w:rFonts w:ascii="Arial" w:hAnsi="Arial" w:cs="Arial"/>
        </w:rPr>
        <w:t>A second reason given by DPER for the proposal is that the requirement results in the denial of 15 to 20 percent of over-the-counter simple permit applications annually, not because the taxes are unpaid, but because during the months property taxes are due it takes longer to verify that property taxes have been paid.</w:t>
      </w:r>
      <w:r w:rsidRPr="00AB62CD">
        <w:rPr>
          <w:rFonts w:ascii="Arial" w:hAnsi="Arial" w:cs="Arial"/>
        </w:rPr>
        <w:t xml:space="preserve"> </w:t>
      </w:r>
      <w:r>
        <w:rPr>
          <w:rFonts w:ascii="Arial" w:hAnsi="Arial" w:cs="Arial"/>
        </w:rPr>
        <w:t xml:space="preserve"> Normally, for over-the-counter permits, DPER will immediately check on-line for payment of property taxes for the applicant. When the information is not available online around May/June or October/November, the permit is denied and the applicant must come back with certification of non</w:t>
      </w:r>
      <w:r w:rsidR="00F92AB0">
        <w:rPr>
          <w:rFonts w:ascii="Arial" w:hAnsi="Arial" w:cs="Arial"/>
        </w:rPr>
        <w:t>-</w:t>
      </w:r>
      <w:r>
        <w:rPr>
          <w:rFonts w:ascii="Arial" w:hAnsi="Arial" w:cs="Arial"/>
        </w:rPr>
        <w:t xml:space="preserve">delinquent property taxes.  </w:t>
      </w:r>
      <w:r w:rsidR="00D01C73">
        <w:rPr>
          <w:rFonts w:ascii="Arial" w:hAnsi="Arial" w:cs="Arial"/>
        </w:rPr>
        <w:t>It should be noted</w:t>
      </w:r>
      <w:r w:rsidR="00560D50">
        <w:rPr>
          <w:rFonts w:ascii="Arial" w:hAnsi="Arial" w:cs="Arial"/>
        </w:rPr>
        <w:t xml:space="preserve"> that county code requires all other permit applicants to obtain certification from FBOD as well</w:t>
      </w:r>
      <w:r w:rsidR="00550611">
        <w:rPr>
          <w:rFonts w:ascii="Arial" w:hAnsi="Arial" w:cs="Arial"/>
        </w:rPr>
        <w:t>; but</w:t>
      </w:r>
      <w:r w:rsidR="00560D50">
        <w:rPr>
          <w:rFonts w:ascii="Arial" w:hAnsi="Arial" w:cs="Arial"/>
        </w:rPr>
        <w:t xml:space="preserve"> as a practical matter DPER performs the certification check on their behalf online when possible.</w:t>
      </w:r>
      <w:r w:rsidR="00086A9B">
        <w:rPr>
          <w:rFonts w:ascii="Arial" w:hAnsi="Arial" w:cs="Arial"/>
        </w:rPr>
        <w:t xml:space="preserve">  Nevertheless, the end result is a greater inconvenience to about 250 applicants per year.</w:t>
      </w:r>
    </w:p>
    <w:p w:rsidR="00970AEA" w:rsidRDefault="00970AEA" w:rsidP="00AB62CD">
      <w:pPr>
        <w:rPr>
          <w:rFonts w:ascii="Arial" w:hAnsi="Arial" w:cs="Arial"/>
        </w:rPr>
      </w:pPr>
    </w:p>
    <w:p w:rsidR="004C76FB" w:rsidRDefault="00970AEA" w:rsidP="00AB62CD">
      <w:pPr>
        <w:rPr>
          <w:rFonts w:ascii="Arial" w:hAnsi="Arial" w:cs="Arial"/>
        </w:rPr>
      </w:pPr>
      <w:r>
        <w:rPr>
          <w:rFonts w:ascii="Arial" w:hAnsi="Arial" w:cs="Arial"/>
        </w:rPr>
        <w:t xml:space="preserve">A third reason given by DPER for the proposal is that if a citizen has not paid his or her property taxes, it would be a barrier to obtaining a permit that can have health and </w:t>
      </w:r>
      <w:r>
        <w:rPr>
          <w:rFonts w:ascii="Arial" w:hAnsi="Arial" w:cs="Arial"/>
        </w:rPr>
        <w:lastRenderedPageBreak/>
        <w:t>safety implications, such as the replacement of a furnace during wintertime.  A taxpayer who is not current on their property taxes might either be deterred from doing the needed work, or proceed with the work without obtaining proper permits and performing the work up to code.</w:t>
      </w:r>
      <w:r w:rsidR="004079CC">
        <w:rPr>
          <w:rFonts w:ascii="Arial" w:hAnsi="Arial" w:cs="Arial"/>
        </w:rPr>
        <w:t xml:space="preserve">  It is unknown how many times this situation may have arisen.</w:t>
      </w:r>
      <w:r w:rsidR="004C76FB">
        <w:rPr>
          <w:rFonts w:ascii="Arial" w:hAnsi="Arial" w:cs="Arial"/>
        </w:rPr>
        <w:t xml:space="preserve">  </w:t>
      </w:r>
    </w:p>
    <w:p w:rsidR="004C76FB" w:rsidRDefault="004C76FB" w:rsidP="00AB62CD">
      <w:pPr>
        <w:rPr>
          <w:rFonts w:ascii="Arial" w:hAnsi="Arial" w:cs="Arial"/>
        </w:rPr>
      </w:pPr>
    </w:p>
    <w:p w:rsidR="004A16D6" w:rsidRDefault="00AB62CD" w:rsidP="00DF020E">
      <w:pPr>
        <w:rPr>
          <w:rFonts w:ascii="Arial" w:hAnsi="Arial" w:cs="Arial"/>
        </w:rPr>
      </w:pPr>
      <w:r>
        <w:rPr>
          <w:rFonts w:ascii="Arial" w:hAnsi="Arial" w:cs="Arial"/>
        </w:rPr>
        <w:t>The prop</w:t>
      </w:r>
      <w:r w:rsidR="004E0E02">
        <w:rPr>
          <w:rFonts w:ascii="Arial" w:hAnsi="Arial" w:cs="Arial"/>
        </w:rPr>
        <w:t xml:space="preserve">erty tax certification </w:t>
      </w:r>
      <w:r w:rsidR="009D2DE6">
        <w:rPr>
          <w:rFonts w:ascii="Arial" w:hAnsi="Arial" w:cs="Arial"/>
        </w:rPr>
        <w:t>requirement has been in place since 1995.</w:t>
      </w:r>
      <w:r w:rsidR="00177734">
        <w:rPr>
          <w:rFonts w:ascii="Arial" w:hAnsi="Arial" w:cs="Arial"/>
        </w:rPr>
        <w:t xml:space="preserve">  </w:t>
      </w:r>
      <w:r w:rsidR="009B4DBC">
        <w:rPr>
          <w:rFonts w:ascii="Arial" w:hAnsi="Arial" w:cs="Arial"/>
        </w:rPr>
        <w:t xml:space="preserve">Staff was unable to </w:t>
      </w:r>
      <w:r w:rsidR="00CA0067">
        <w:rPr>
          <w:rFonts w:ascii="Arial" w:hAnsi="Arial" w:cs="Arial"/>
        </w:rPr>
        <w:t>confirm</w:t>
      </w:r>
      <w:r w:rsidR="009B4DBC">
        <w:rPr>
          <w:rFonts w:ascii="Arial" w:hAnsi="Arial" w:cs="Arial"/>
        </w:rPr>
        <w:t xml:space="preserve"> the reasons fo</w:t>
      </w:r>
      <w:r w:rsidR="00CA0067">
        <w:rPr>
          <w:rFonts w:ascii="Arial" w:hAnsi="Arial" w:cs="Arial"/>
        </w:rPr>
        <w:t>r adoption of the certification requirement</w:t>
      </w:r>
      <w:r w:rsidR="00177734">
        <w:rPr>
          <w:rFonts w:ascii="Arial" w:hAnsi="Arial" w:cs="Arial"/>
        </w:rPr>
        <w:t xml:space="preserve">.  </w:t>
      </w:r>
      <w:r w:rsidR="004A16D6">
        <w:rPr>
          <w:rFonts w:ascii="Arial" w:hAnsi="Arial" w:cs="Arial"/>
        </w:rPr>
        <w:t xml:space="preserve">The certification appears to accomplish two purposes. </w:t>
      </w:r>
    </w:p>
    <w:p w:rsidR="004A16D6" w:rsidRDefault="00177734" w:rsidP="00CA0067">
      <w:pPr>
        <w:numPr>
          <w:ilvl w:val="0"/>
          <w:numId w:val="27"/>
        </w:numPr>
        <w:rPr>
          <w:rFonts w:ascii="Arial" w:hAnsi="Arial" w:cs="Arial"/>
        </w:rPr>
      </w:pPr>
      <w:r>
        <w:rPr>
          <w:rFonts w:ascii="Arial" w:hAnsi="Arial" w:cs="Arial"/>
        </w:rPr>
        <w:t>F</w:t>
      </w:r>
      <w:r w:rsidR="004A16D6">
        <w:rPr>
          <w:rFonts w:ascii="Arial" w:hAnsi="Arial" w:cs="Arial"/>
        </w:rPr>
        <w:t>or</w:t>
      </w:r>
      <w:r>
        <w:rPr>
          <w:rFonts w:ascii="Arial" w:hAnsi="Arial" w:cs="Arial"/>
        </w:rPr>
        <w:t xml:space="preserve"> land segregation types of permits, it ensures that property taxes are free and clear prior to changing boundary lines.  </w:t>
      </w:r>
      <w:r w:rsidR="00E32B17">
        <w:rPr>
          <w:rFonts w:ascii="Arial" w:hAnsi="Arial" w:cs="Arial"/>
        </w:rPr>
        <w:t>The proposed change would not affect these types of permits</w:t>
      </w:r>
      <w:r w:rsidR="00CA0067">
        <w:rPr>
          <w:rFonts w:ascii="Arial" w:hAnsi="Arial" w:cs="Arial"/>
        </w:rPr>
        <w:t>.  P</w:t>
      </w:r>
      <w:r w:rsidR="00E32B17">
        <w:rPr>
          <w:rFonts w:ascii="Arial" w:hAnsi="Arial" w:cs="Arial"/>
        </w:rPr>
        <w:t xml:space="preserve">roperty tax certification would still be required.  </w:t>
      </w:r>
    </w:p>
    <w:p w:rsidR="00683A2D" w:rsidRDefault="004A16D6" w:rsidP="00CA0067">
      <w:pPr>
        <w:numPr>
          <w:ilvl w:val="0"/>
          <w:numId w:val="27"/>
        </w:numPr>
        <w:rPr>
          <w:rFonts w:ascii="Arial" w:hAnsi="Arial" w:cs="Arial"/>
        </w:rPr>
      </w:pPr>
      <w:r>
        <w:rPr>
          <w:rFonts w:ascii="Arial" w:hAnsi="Arial" w:cs="Arial"/>
        </w:rPr>
        <w:t>The</w:t>
      </w:r>
      <w:r w:rsidR="00177734">
        <w:rPr>
          <w:rFonts w:ascii="Arial" w:hAnsi="Arial" w:cs="Arial"/>
        </w:rPr>
        <w:t xml:space="preserve"> requirement is an incentive for a permit applicant to be current on property taxes.</w:t>
      </w:r>
      <w:r w:rsidR="00E32B17">
        <w:rPr>
          <w:rFonts w:ascii="Arial" w:hAnsi="Arial" w:cs="Arial"/>
        </w:rPr>
        <w:t xml:space="preserve">  The proposed change would eliminate this incentive for most permits</w:t>
      </w:r>
      <w:r w:rsidR="00683A2D">
        <w:rPr>
          <w:rFonts w:ascii="Arial" w:hAnsi="Arial" w:cs="Arial"/>
        </w:rPr>
        <w:t>, but the impact is hypothesized to be small</w:t>
      </w:r>
      <w:r w:rsidR="006715A0">
        <w:rPr>
          <w:rFonts w:ascii="Arial" w:hAnsi="Arial" w:cs="Arial"/>
        </w:rPr>
        <w:t xml:space="preserve"> as discussed below.</w:t>
      </w:r>
    </w:p>
    <w:p w:rsidR="00683A2D" w:rsidRDefault="00683A2D" w:rsidP="00DF020E">
      <w:pPr>
        <w:rPr>
          <w:rFonts w:ascii="Arial" w:hAnsi="Arial" w:cs="Arial"/>
        </w:rPr>
      </w:pPr>
    </w:p>
    <w:p w:rsidR="00177734" w:rsidRDefault="007B3A44" w:rsidP="00DF020E">
      <w:pPr>
        <w:rPr>
          <w:rFonts w:ascii="Arial" w:hAnsi="Arial" w:cs="Arial"/>
        </w:rPr>
      </w:pPr>
      <w:r>
        <w:rPr>
          <w:rFonts w:ascii="Arial" w:hAnsi="Arial" w:cs="Arial"/>
        </w:rPr>
        <w:t xml:space="preserve">Most permit applicants are current on their property taxes.  </w:t>
      </w:r>
      <w:r w:rsidR="006B42A5">
        <w:rPr>
          <w:rFonts w:ascii="Arial" w:hAnsi="Arial" w:cs="Arial"/>
        </w:rPr>
        <w:t>DPER</w:t>
      </w:r>
      <w:r w:rsidR="00177734">
        <w:rPr>
          <w:rFonts w:ascii="Arial" w:hAnsi="Arial" w:cs="Arial"/>
        </w:rPr>
        <w:t xml:space="preserve"> does not track how many permits it rejects per year due </w:t>
      </w:r>
      <w:r>
        <w:rPr>
          <w:rFonts w:ascii="Arial" w:hAnsi="Arial" w:cs="Arial"/>
        </w:rPr>
        <w:t xml:space="preserve">to delinquent property taxes.  </w:t>
      </w:r>
      <w:r w:rsidR="004A16D6">
        <w:rPr>
          <w:rFonts w:ascii="Arial" w:hAnsi="Arial" w:cs="Arial"/>
        </w:rPr>
        <w:t>A</w:t>
      </w:r>
      <w:r w:rsidR="00177734">
        <w:rPr>
          <w:rFonts w:ascii="Arial" w:hAnsi="Arial" w:cs="Arial"/>
        </w:rPr>
        <w:t xml:space="preserve">necdotally, DPER reports that about three to five </w:t>
      </w:r>
      <w:r w:rsidR="0082285D">
        <w:rPr>
          <w:rFonts w:ascii="Arial" w:hAnsi="Arial" w:cs="Arial"/>
        </w:rPr>
        <w:t xml:space="preserve">permits </w:t>
      </w:r>
      <w:r w:rsidR="00177734">
        <w:rPr>
          <w:rFonts w:ascii="Arial" w:hAnsi="Arial" w:cs="Arial"/>
        </w:rPr>
        <w:t xml:space="preserve">per year may be denied due to </w:t>
      </w:r>
      <w:r w:rsidR="00352E55">
        <w:rPr>
          <w:rFonts w:ascii="Arial" w:hAnsi="Arial" w:cs="Arial"/>
        </w:rPr>
        <w:t xml:space="preserve">discovering that they have </w:t>
      </w:r>
      <w:r w:rsidR="00177734">
        <w:rPr>
          <w:rFonts w:ascii="Arial" w:hAnsi="Arial" w:cs="Arial"/>
        </w:rPr>
        <w:t>delinquent taxes</w:t>
      </w:r>
      <w:r w:rsidR="00352E55">
        <w:rPr>
          <w:rFonts w:ascii="Arial" w:hAnsi="Arial" w:cs="Arial"/>
        </w:rPr>
        <w:t xml:space="preserve"> (as opposed to those who have been turned away because payment of taxes cannot be immediately verified)</w:t>
      </w:r>
      <w:r w:rsidR="00177734">
        <w:rPr>
          <w:rFonts w:ascii="Arial" w:hAnsi="Arial" w:cs="Arial"/>
        </w:rPr>
        <w:t>.</w:t>
      </w:r>
      <w:r w:rsidR="006B42A5">
        <w:rPr>
          <w:rFonts w:ascii="Arial" w:hAnsi="Arial" w:cs="Arial"/>
        </w:rPr>
        <w:t xml:space="preserve">  </w:t>
      </w:r>
    </w:p>
    <w:p w:rsidR="00BE5F70" w:rsidRDefault="00BE5F70" w:rsidP="00515150">
      <w:pPr>
        <w:rPr>
          <w:rFonts w:ascii="Arial" w:hAnsi="Arial" w:cs="Arial"/>
        </w:rPr>
      </w:pPr>
    </w:p>
    <w:p w:rsidR="007B3A44" w:rsidRDefault="007B3A44" w:rsidP="00515150">
      <w:pPr>
        <w:rPr>
          <w:rFonts w:ascii="Arial" w:hAnsi="Arial" w:cs="Arial"/>
        </w:rPr>
      </w:pPr>
      <w:r>
        <w:rPr>
          <w:rFonts w:ascii="Arial" w:hAnsi="Arial" w:cs="Arial"/>
        </w:rPr>
        <w:t xml:space="preserve">It is unknown how many permit applicants are current on their taxes solely due to their desire to obtain a permit. </w:t>
      </w:r>
      <w:r w:rsidR="009667CE">
        <w:rPr>
          <w:rFonts w:ascii="Arial" w:hAnsi="Arial" w:cs="Arial"/>
        </w:rPr>
        <w:t>This number is believed to be small for the following reasons:</w:t>
      </w:r>
    </w:p>
    <w:p w:rsidR="009667CE" w:rsidRDefault="009667CE" w:rsidP="009667CE">
      <w:pPr>
        <w:numPr>
          <w:ilvl w:val="0"/>
          <w:numId w:val="19"/>
        </w:numPr>
        <w:rPr>
          <w:rFonts w:ascii="Arial" w:hAnsi="Arial" w:cs="Arial"/>
        </w:rPr>
      </w:pPr>
      <w:r>
        <w:rPr>
          <w:rFonts w:ascii="Arial" w:hAnsi="Arial" w:cs="Arial"/>
        </w:rPr>
        <w:t>On average, according to Treasury, roughly 2 percent of taxpayers countywide are delinquent on their taxes.</w:t>
      </w:r>
    </w:p>
    <w:p w:rsidR="009667CE" w:rsidRDefault="009667CE" w:rsidP="009667CE">
      <w:pPr>
        <w:numPr>
          <w:ilvl w:val="0"/>
          <w:numId w:val="19"/>
        </w:numPr>
        <w:rPr>
          <w:rFonts w:ascii="Arial" w:hAnsi="Arial" w:cs="Arial"/>
        </w:rPr>
      </w:pPr>
      <w:r>
        <w:rPr>
          <w:rFonts w:ascii="Arial" w:hAnsi="Arial" w:cs="Arial"/>
        </w:rPr>
        <w:t>One can hypothesize that taxpayers who apply for a permit are more legally abiding than those who unlawfully proceed with work without a permit, and therefore may be more likely to pay their taxes.</w:t>
      </w:r>
    </w:p>
    <w:p w:rsidR="009667CE" w:rsidRDefault="009667CE" w:rsidP="009667CE">
      <w:pPr>
        <w:numPr>
          <w:ilvl w:val="0"/>
          <w:numId w:val="19"/>
        </w:numPr>
        <w:rPr>
          <w:rFonts w:ascii="Arial" w:hAnsi="Arial" w:cs="Arial"/>
        </w:rPr>
      </w:pPr>
      <w:r>
        <w:rPr>
          <w:rFonts w:ascii="Arial" w:hAnsi="Arial" w:cs="Arial"/>
        </w:rPr>
        <w:t>People who apply for permits for improvements to properties have money for the improvements, and therefore may be more likely to be able to afford to pay their taxes.</w:t>
      </w:r>
    </w:p>
    <w:p w:rsidR="00AF3FD8" w:rsidRDefault="003E54B1" w:rsidP="009667CE">
      <w:pPr>
        <w:numPr>
          <w:ilvl w:val="0"/>
          <w:numId w:val="19"/>
        </w:numPr>
        <w:rPr>
          <w:rFonts w:ascii="Arial" w:hAnsi="Arial" w:cs="Arial"/>
        </w:rPr>
      </w:pPr>
      <w:r>
        <w:rPr>
          <w:rFonts w:ascii="Arial" w:hAnsi="Arial" w:cs="Arial"/>
        </w:rPr>
        <w:t>T</w:t>
      </w:r>
      <w:r w:rsidR="009667CE">
        <w:rPr>
          <w:rFonts w:ascii="Arial" w:hAnsi="Arial" w:cs="Arial"/>
        </w:rPr>
        <w:t>wo percent of 5,000 applicants</w:t>
      </w:r>
      <w:r>
        <w:rPr>
          <w:rFonts w:ascii="Arial" w:hAnsi="Arial" w:cs="Arial"/>
        </w:rPr>
        <w:t xml:space="preserve"> </w:t>
      </w:r>
      <w:r w:rsidR="009667CE">
        <w:rPr>
          <w:rFonts w:ascii="Arial" w:hAnsi="Arial" w:cs="Arial"/>
        </w:rPr>
        <w:t>would</w:t>
      </w:r>
      <w:r>
        <w:rPr>
          <w:rFonts w:ascii="Arial" w:hAnsi="Arial" w:cs="Arial"/>
        </w:rPr>
        <w:t xml:space="preserve"> equal</w:t>
      </w:r>
      <w:r w:rsidR="00AF3FD8">
        <w:rPr>
          <w:rFonts w:ascii="Arial" w:hAnsi="Arial" w:cs="Arial"/>
        </w:rPr>
        <w:t xml:space="preserve"> about 100 people</w:t>
      </w:r>
      <w:r>
        <w:rPr>
          <w:rFonts w:ascii="Arial" w:hAnsi="Arial" w:cs="Arial"/>
        </w:rPr>
        <w:t xml:space="preserve"> who be incentivized to pay their property taxes in order to get a permit</w:t>
      </w:r>
      <w:r w:rsidR="00AF3FD8">
        <w:rPr>
          <w:rFonts w:ascii="Arial" w:hAnsi="Arial" w:cs="Arial"/>
        </w:rPr>
        <w:t xml:space="preserve">.  </w:t>
      </w:r>
      <w:r w:rsidR="00683A2D">
        <w:rPr>
          <w:rFonts w:ascii="Arial" w:hAnsi="Arial" w:cs="Arial"/>
        </w:rPr>
        <w:t>For the reasons given above, this number is believed to be a conservatively high estimate.</w:t>
      </w:r>
    </w:p>
    <w:p w:rsidR="00F92AB0" w:rsidRDefault="00C160A3" w:rsidP="009667CE">
      <w:pPr>
        <w:numPr>
          <w:ilvl w:val="0"/>
          <w:numId w:val="19"/>
        </w:numPr>
        <w:rPr>
          <w:rFonts w:ascii="Arial" w:hAnsi="Arial" w:cs="Arial"/>
        </w:rPr>
      </w:pPr>
      <w:r>
        <w:rPr>
          <w:rFonts w:ascii="Arial" w:hAnsi="Arial" w:cs="Arial"/>
        </w:rPr>
        <w:t>50</w:t>
      </w:r>
      <w:r w:rsidR="00F92AB0">
        <w:rPr>
          <w:rFonts w:ascii="Arial" w:hAnsi="Arial" w:cs="Arial"/>
        </w:rPr>
        <w:t>% of parcels have their taxes paid by mortgage companies irrespective of any need/desire for building permits</w:t>
      </w:r>
      <w:r>
        <w:rPr>
          <w:rFonts w:ascii="Arial" w:hAnsi="Arial" w:cs="Arial"/>
        </w:rPr>
        <w:t>.</w:t>
      </w:r>
    </w:p>
    <w:p w:rsidR="00AF3FD8" w:rsidRDefault="00AF3FD8" w:rsidP="00AF3FD8">
      <w:pPr>
        <w:rPr>
          <w:rFonts w:ascii="Arial" w:hAnsi="Arial" w:cs="Arial"/>
        </w:rPr>
      </w:pPr>
    </w:p>
    <w:p w:rsidR="00002565" w:rsidRDefault="00AF3FD8" w:rsidP="00AF3FD8">
      <w:pPr>
        <w:rPr>
          <w:rFonts w:ascii="Arial" w:hAnsi="Arial" w:cs="Arial"/>
        </w:rPr>
      </w:pPr>
      <w:r>
        <w:rPr>
          <w:rFonts w:ascii="Arial" w:hAnsi="Arial" w:cs="Arial"/>
        </w:rPr>
        <w:t>The amount of revenue impacted by removing the property tax certification requirement for certain types of permits</w:t>
      </w:r>
      <w:r w:rsidR="004A16D6">
        <w:rPr>
          <w:rFonts w:ascii="Arial" w:hAnsi="Arial" w:cs="Arial"/>
        </w:rPr>
        <w:t>, as proposed,</w:t>
      </w:r>
      <w:r>
        <w:rPr>
          <w:rFonts w:ascii="Arial" w:hAnsi="Arial" w:cs="Arial"/>
        </w:rPr>
        <w:t xml:space="preserve"> is likely to b</w:t>
      </w:r>
      <w:r w:rsidR="00AC7D17">
        <w:rPr>
          <w:rFonts w:ascii="Arial" w:hAnsi="Arial" w:cs="Arial"/>
        </w:rPr>
        <w:t xml:space="preserve">e small. According to Treasury, a rough estimate of an average property tax bill would be $4,000.  If the proposed code change allowed 100 citizens to obtain permits without being current on their taxes, this would represent </w:t>
      </w:r>
      <w:r w:rsidR="004A16D6">
        <w:rPr>
          <w:rFonts w:ascii="Arial" w:hAnsi="Arial" w:cs="Arial"/>
        </w:rPr>
        <w:t xml:space="preserve">a tax loss of approximately </w:t>
      </w:r>
      <w:r w:rsidR="00AC7D17">
        <w:rPr>
          <w:rFonts w:ascii="Arial" w:hAnsi="Arial" w:cs="Arial"/>
        </w:rPr>
        <w:t xml:space="preserve">$400,000 </w:t>
      </w:r>
      <w:r w:rsidR="004A16D6">
        <w:rPr>
          <w:rFonts w:ascii="Arial" w:hAnsi="Arial" w:cs="Arial"/>
        </w:rPr>
        <w:t>in total jurisdictional taxes</w:t>
      </w:r>
      <w:r w:rsidR="00AC7D17">
        <w:rPr>
          <w:rFonts w:ascii="Arial" w:hAnsi="Arial" w:cs="Arial"/>
        </w:rPr>
        <w:t xml:space="preserve">, or </w:t>
      </w:r>
      <w:r w:rsidR="004A16D6">
        <w:rPr>
          <w:rFonts w:ascii="Arial" w:hAnsi="Arial" w:cs="Arial"/>
        </w:rPr>
        <w:t xml:space="preserve">approximately </w:t>
      </w:r>
      <w:r w:rsidR="00AC7D17">
        <w:rPr>
          <w:rFonts w:ascii="Arial" w:hAnsi="Arial" w:cs="Arial"/>
        </w:rPr>
        <w:t xml:space="preserve">$72,000 </w:t>
      </w:r>
      <w:r w:rsidR="004A16D6">
        <w:rPr>
          <w:rFonts w:ascii="Arial" w:hAnsi="Arial" w:cs="Arial"/>
        </w:rPr>
        <w:t>for King County</w:t>
      </w:r>
      <w:r w:rsidR="00AC7D17">
        <w:rPr>
          <w:rFonts w:ascii="Arial" w:hAnsi="Arial" w:cs="Arial"/>
        </w:rPr>
        <w:t xml:space="preserve">. </w:t>
      </w:r>
    </w:p>
    <w:p w:rsidR="00683A2D" w:rsidRDefault="00683A2D" w:rsidP="00AF3FD8">
      <w:pPr>
        <w:rPr>
          <w:rFonts w:ascii="Arial" w:hAnsi="Arial" w:cs="Arial"/>
        </w:rPr>
      </w:pPr>
    </w:p>
    <w:p w:rsidR="00AE7C51" w:rsidRDefault="00C4548C" w:rsidP="00AE7C51">
      <w:pPr>
        <w:rPr>
          <w:rFonts w:ascii="Arial" w:hAnsi="Arial" w:cs="Arial"/>
        </w:rPr>
      </w:pPr>
      <w:r>
        <w:rPr>
          <w:rFonts w:ascii="Arial" w:hAnsi="Arial" w:cs="Arial"/>
        </w:rPr>
        <w:t>If the property tax certification requirement is eliminated</w:t>
      </w:r>
      <w:r w:rsidR="00DE47C5">
        <w:rPr>
          <w:rFonts w:ascii="Arial" w:hAnsi="Arial" w:cs="Arial"/>
        </w:rPr>
        <w:t xml:space="preserve">, </w:t>
      </w:r>
      <w:r w:rsidR="000C311D">
        <w:rPr>
          <w:rFonts w:ascii="Arial" w:hAnsi="Arial" w:cs="Arial"/>
        </w:rPr>
        <w:t xml:space="preserve">it is possible that </w:t>
      </w:r>
      <w:r>
        <w:rPr>
          <w:rFonts w:ascii="Arial" w:hAnsi="Arial" w:cs="Arial"/>
        </w:rPr>
        <w:t>in the future there could be a building permit granted for a property with a large amount of delinquent property taxes</w:t>
      </w:r>
      <w:r w:rsidR="00DE47C5">
        <w:rPr>
          <w:rFonts w:ascii="Arial" w:hAnsi="Arial" w:cs="Arial"/>
        </w:rPr>
        <w:t xml:space="preserve">.  </w:t>
      </w:r>
      <w:r w:rsidR="00AE7C51">
        <w:rPr>
          <w:rFonts w:ascii="Arial" w:hAnsi="Arial" w:cs="Arial"/>
        </w:rPr>
        <w:t>On the other hand, it is worth noting that when property taxes are unpaid, the county has regular processes to seek collection of those property taxes, including foreclosure.</w:t>
      </w:r>
    </w:p>
    <w:p w:rsidR="00F92AB0" w:rsidRDefault="00F92AB0" w:rsidP="00AE7C51">
      <w:pPr>
        <w:rPr>
          <w:rFonts w:ascii="Arial" w:hAnsi="Arial" w:cs="Arial"/>
        </w:rPr>
      </w:pPr>
    </w:p>
    <w:p w:rsidR="00F92AB0" w:rsidRPr="00AE7C51" w:rsidRDefault="00F92AB0" w:rsidP="00AE7C51">
      <w:pPr>
        <w:rPr>
          <w:rFonts w:ascii="Arial" w:hAnsi="Arial" w:cs="Arial"/>
        </w:rPr>
      </w:pPr>
      <w:r>
        <w:rPr>
          <w:rFonts w:ascii="Arial" w:hAnsi="Arial" w:cs="Arial"/>
        </w:rPr>
        <w:t xml:space="preserve">Council </w:t>
      </w:r>
      <w:proofErr w:type="gramStart"/>
      <w:r>
        <w:rPr>
          <w:rFonts w:ascii="Arial" w:hAnsi="Arial" w:cs="Arial"/>
        </w:rPr>
        <w:t>staff are</w:t>
      </w:r>
      <w:proofErr w:type="gramEnd"/>
      <w:r>
        <w:rPr>
          <w:rFonts w:ascii="Arial" w:hAnsi="Arial" w:cs="Arial"/>
        </w:rPr>
        <w:t xml:space="preserve"> continuing our an</w:t>
      </w:r>
      <w:r w:rsidR="00D744E8">
        <w:rPr>
          <w:rFonts w:ascii="Arial" w:hAnsi="Arial" w:cs="Arial"/>
        </w:rPr>
        <w:t xml:space="preserve">alysis with legal counsel, FBOD, </w:t>
      </w:r>
      <w:r>
        <w:rPr>
          <w:rFonts w:ascii="Arial" w:hAnsi="Arial" w:cs="Arial"/>
        </w:rPr>
        <w:t>DOA</w:t>
      </w:r>
      <w:r w:rsidR="00D744E8">
        <w:rPr>
          <w:rFonts w:ascii="Arial" w:hAnsi="Arial" w:cs="Arial"/>
        </w:rPr>
        <w:t xml:space="preserve"> and DPER</w:t>
      </w:r>
      <w:r>
        <w:rPr>
          <w:rFonts w:ascii="Arial" w:hAnsi="Arial" w:cs="Arial"/>
        </w:rPr>
        <w:t>. Further information will be included at the May 6</w:t>
      </w:r>
      <w:r w:rsidRPr="00F92AB0">
        <w:rPr>
          <w:rFonts w:ascii="Arial" w:hAnsi="Arial" w:cs="Arial"/>
          <w:vertAlign w:val="superscript"/>
        </w:rPr>
        <w:t>th</w:t>
      </w:r>
      <w:r>
        <w:rPr>
          <w:rFonts w:ascii="Arial" w:hAnsi="Arial" w:cs="Arial"/>
        </w:rPr>
        <w:t xml:space="preserve"> BFM meeting. </w:t>
      </w:r>
    </w:p>
    <w:p w:rsidR="0082285D" w:rsidRDefault="0082285D" w:rsidP="00515150">
      <w:pPr>
        <w:rPr>
          <w:rFonts w:ascii="Arial" w:hAnsi="Arial" w:cs="Arial"/>
        </w:rPr>
      </w:pPr>
    </w:p>
    <w:p w:rsidR="00251FAC" w:rsidRPr="00251FAC" w:rsidRDefault="006577DB" w:rsidP="00C37A37">
      <w:pPr>
        <w:pStyle w:val="BodyText"/>
        <w:rPr>
          <w:rFonts w:ascii="Arial" w:hAnsi="Arial" w:cs="Arial"/>
          <w:b/>
          <w:i w:val="0"/>
          <w:szCs w:val="24"/>
          <w:u w:val="single"/>
        </w:rPr>
      </w:pPr>
      <w:r>
        <w:rPr>
          <w:rFonts w:ascii="Arial" w:hAnsi="Arial" w:cs="Arial"/>
          <w:b/>
          <w:i w:val="0"/>
          <w:szCs w:val="24"/>
          <w:u w:val="single"/>
        </w:rPr>
        <w:t>REASONABLENESS</w:t>
      </w:r>
    </w:p>
    <w:p w:rsidR="00111799" w:rsidRDefault="00DF020E" w:rsidP="00C37A37">
      <w:pPr>
        <w:pStyle w:val="BodyText"/>
        <w:rPr>
          <w:rFonts w:ascii="Arial" w:hAnsi="Arial" w:cs="Arial"/>
          <w:i w:val="0"/>
          <w:szCs w:val="24"/>
        </w:rPr>
      </w:pPr>
      <w:r>
        <w:rPr>
          <w:rFonts w:ascii="Arial" w:hAnsi="Arial" w:cs="Arial"/>
          <w:i w:val="0"/>
          <w:szCs w:val="24"/>
        </w:rPr>
        <w:t>This item is not ready for action at this time.</w:t>
      </w:r>
    </w:p>
    <w:p w:rsidR="00020FEE" w:rsidRDefault="00020FEE" w:rsidP="000C20E2">
      <w:pPr>
        <w:jc w:val="both"/>
      </w:pPr>
    </w:p>
    <w:p w:rsidR="00C44166" w:rsidRDefault="00293D02" w:rsidP="00C44166">
      <w:pPr>
        <w:pStyle w:val="BodyText"/>
        <w:rPr>
          <w:rFonts w:ascii="Arial" w:hAnsi="Arial" w:cs="Arial"/>
          <w:b/>
          <w:i w:val="0"/>
          <w:szCs w:val="24"/>
          <w:u w:val="single"/>
        </w:rPr>
      </w:pPr>
      <w:r>
        <w:rPr>
          <w:rFonts w:ascii="Arial" w:hAnsi="Arial" w:cs="Arial"/>
          <w:b/>
          <w:i w:val="0"/>
          <w:szCs w:val="24"/>
          <w:u w:val="single"/>
        </w:rPr>
        <w:t>ATTACHMENTS</w:t>
      </w:r>
    </w:p>
    <w:p w:rsidR="00293D02" w:rsidRPr="004C241A" w:rsidRDefault="004C241A" w:rsidP="004C241A">
      <w:pPr>
        <w:pStyle w:val="BodyText"/>
        <w:numPr>
          <w:ilvl w:val="0"/>
          <w:numId w:val="23"/>
        </w:numPr>
        <w:rPr>
          <w:rFonts w:ascii="Arial" w:hAnsi="Arial" w:cs="Arial"/>
          <w:i w:val="0"/>
          <w:szCs w:val="24"/>
        </w:rPr>
      </w:pPr>
      <w:r>
        <w:rPr>
          <w:rFonts w:ascii="Arial" w:hAnsi="Arial" w:cs="Arial"/>
          <w:i w:val="0"/>
          <w:szCs w:val="24"/>
        </w:rPr>
        <w:t xml:space="preserve"> Proposed Ordinance 2012-0358</w:t>
      </w:r>
    </w:p>
    <w:p w:rsidR="004C241A" w:rsidRPr="00C44166" w:rsidRDefault="004C241A" w:rsidP="00C44166">
      <w:pPr>
        <w:pStyle w:val="BodyText"/>
        <w:rPr>
          <w:rFonts w:ascii="Arial" w:hAnsi="Arial" w:cs="Arial"/>
          <w:b/>
          <w:i w:val="0"/>
          <w:szCs w:val="24"/>
          <w:u w:val="single"/>
        </w:rPr>
      </w:pPr>
    </w:p>
    <w:p w:rsidR="00C44166" w:rsidRDefault="00C44166" w:rsidP="000C20E2">
      <w:pPr>
        <w:jc w:val="both"/>
        <w:rPr>
          <w:rFonts w:ascii="Arial" w:hAnsi="Arial" w:cs="Arial"/>
          <w:b/>
          <w:szCs w:val="24"/>
          <w:u w:val="single"/>
        </w:rPr>
      </w:pPr>
      <w:r w:rsidRPr="00C44166">
        <w:rPr>
          <w:rFonts w:ascii="Arial" w:hAnsi="Arial" w:cs="Arial"/>
          <w:b/>
          <w:szCs w:val="24"/>
          <w:u w:val="single"/>
        </w:rPr>
        <w:t>INVITED</w:t>
      </w:r>
    </w:p>
    <w:p w:rsidR="008C0B85" w:rsidRPr="004C241A" w:rsidRDefault="008C0B85" w:rsidP="00923832">
      <w:pPr>
        <w:numPr>
          <w:ilvl w:val="0"/>
          <w:numId w:val="26"/>
        </w:numPr>
        <w:jc w:val="both"/>
        <w:rPr>
          <w:rFonts w:ascii="Arial" w:hAnsi="Arial" w:cs="Arial"/>
          <w:szCs w:val="24"/>
        </w:rPr>
      </w:pPr>
      <w:r>
        <w:rPr>
          <w:rFonts w:ascii="Arial" w:hAnsi="Arial" w:cs="Arial"/>
          <w:szCs w:val="24"/>
        </w:rPr>
        <w:t>Warren Cheney, Chief Financial Officer, Department of Permitting and Environmental Review</w:t>
      </w:r>
    </w:p>
    <w:sectPr w:rsidR="008C0B85" w:rsidRPr="004C241A" w:rsidSect="00061676">
      <w:pgSz w:w="12240" w:h="15840" w:code="1"/>
      <w:pgMar w:top="1008" w:right="1440" w:bottom="1080" w:left="1440" w:header="576" w:footer="43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412" w:rsidRDefault="00270412">
      <w:r>
        <w:separator/>
      </w:r>
    </w:p>
  </w:endnote>
  <w:endnote w:type="continuationSeparator" w:id="0">
    <w:p w:rsidR="00270412" w:rsidRDefault="0027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412" w:rsidRDefault="00270412">
      <w:r>
        <w:separator/>
      </w:r>
    </w:p>
  </w:footnote>
  <w:footnote w:type="continuationSeparator" w:id="0">
    <w:p w:rsidR="00270412" w:rsidRDefault="00270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61B"/>
    <w:multiLevelType w:val="hybridMultilevel"/>
    <w:tmpl w:val="2E62B4F6"/>
    <w:lvl w:ilvl="0" w:tplc="6366D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02566"/>
    <w:multiLevelType w:val="singleLevel"/>
    <w:tmpl w:val="F30258BC"/>
    <w:lvl w:ilvl="0">
      <w:numFmt w:val="bullet"/>
      <w:lvlText w:val=""/>
      <w:lvlJc w:val="left"/>
      <w:pPr>
        <w:tabs>
          <w:tab w:val="num" w:pos="360"/>
        </w:tabs>
        <w:ind w:left="72" w:hanging="72"/>
      </w:pPr>
      <w:rPr>
        <w:rFonts w:ascii="Symbol" w:hAnsi="Symbol" w:hint="default"/>
      </w:rPr>
    </w:lvl>
  </w:abstractNum>
  <w:abstractNum w:abstractNumId="2">
    <w:nsid w:val="06EA77C1"/>
    <w:multiLevelType w:val="hybridMultilevel"/>
    <w:tmpl w:val="D7904350"/>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
    <w:nsid w:val="084E4AA7"/>
    <w:multiLevelType w:val="hybridMultilevel"/>
    <w:tmpl w:val="7EBE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C271B"/>
    <w:multiLevelType w:val="hybridMultilevel"/>
    <w:tmpl w:val="F9CA5C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C331A4"/>
    <w:multiLevelType w:val="hybridMultilevel"/>
    <w:tmpl w:val="083C39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2E291B"/>
    <w:multiLevelType w:val="hybridMultilevel"/>
    <w:tmpl w:val="3DF694CE"/>
    <w:lvl w:ilvl="0" w:tplc="2E420D5C">
      <w:start w:val="20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160CA"/>
    <w:multiLevelType w:val="hybridMultilevel"/>
    <w:tmpl w:val="FE522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425CA"/>
    <w:multiLevelType w:val="hybridMultilevel"/>
    <w:tmpl w:val="370E7F34"/>
    <w:lvl w:ilvl="0" w:tplc="0409000F">
      <w:start w:val="1"/>
      <w:numFmt w:val="decimal"/>
      <w:lvlText w:val="%1."/>
      <w:lvlJc w:val="left"/>
      <w:pPr>
        <w:tabs>
          <w:tab w:val="num" w:pos="360"/>
        </w:tabs>
        <w:ind w:left="360" w:hanging="360"/>
      </w:pPr>
    </w:lvl>
    <w:lvl w:ilvl="1" w:tplc="37DC5460">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12F36B8"/>
    <w:multiLevelType w:val="hybridMultilevel"/>
    <w:tmpl w:val="E37CB262"/>
    <w:lvl w:ilvl="0" w:tplc="2E420D5C">
      <w:start w:val="20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17778"/>
    <w:multiLevelType w:val="singleLevel"/>
    <w:tmpl w:val="0409000F"/>
    <w:lvl w:ilvl="0">
      <w:start w:val="1"/>
      <w:numFmt w:val="decimal"/>
      <w:lvlText w:val="%1."/>
      <w:lvlJc w:val="left"/>
      <w:pPr>
        <w:tabs>
          <w:tab w:val="num" w:pos="360"/>
        </w:tabs>
        <w:ind w:left="360" w:hanging="360"/>
      </w:pPr>
    </w:lvl>
  </w:abstractNum>
  <w:abstractNum w:abstractNumId="11">
    <w:nsid w:val="2B7B3910"/>
    <w:multiLevelType w:val="multilevel"/>
    <w:tmpl w:val="C474200C"/>
    <w:lvl w:ilvl="0">
      <w:start w:val="4"/>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451166AC"/>
    <w:multiLevelType w:val="hybridMultilevel"/>
    <w:tmpl w:val="2AAA448E"/>
    <w:lvl w:ilvl="0" w:tplc="37DC5460">
      <w:start w:val="1"/>
      <w:numFmt w:val="bullet"/>
      <w:lvlText w:val=""/>
      <w:lvlJc w:val="left"/>
      <w:pPr>
        <w:tabs>
          <w:tab w:val="num" w:pos="360"/>
        </w:tabs>
        <w:ind w:left="360" w:hanging="360"/>
      </w:pPr>
      <w:rPr>
        <w:rFonts w:ascii="Symbol" w:hAnsi="Symbol" w:hint="default"/>
        <w:color w:val="auto"/>
      </w:rPr>
    </w:lvl>
    <w:lvl w:ilvl="1" w:tplc="37DC5460">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8A0710C"/>
    <w:multiLevelType w:val="hybridMultilevel"/>
    <w:tmpl w:val="C474200C"/>
    <w:lvl w:ilvl="0" w:tplc="D626ECBC">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C256F16"/>
    <w:multiLevelType w:val="multilevel"/>
    <w:tmpl w:val="95964924"/>
    <w:lvl w:ilvl="0">
      <w:start w:val="4"/>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4C3C54AD"/>
    <w:multiLevelType w:val="hybridMultilevel"/>
    <w:tmpl w:val="66BA6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7726B9"/>
    <w:multiLevelType w:val="hybridMultilevel"/>
    <w:tmpl w:val="8D7E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F9619D"/>
    <w:multiLevelType w:val="hybridMultilevel"/>
    <w:tmpl w:val="187CC528"/>
    <w:lvl w:ilvl="0" w:tplc="6084242E">
      <w:start w:val="6"/>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066DDF"/>
    <w:multiLevelType w:val="singleLevel"/>
    <w:tmpl w:val="0409000F"/>
    <w:lvl w:ilvl="0">
      <w:start w:val="1"/>
      <w:numFmt w:val="decimal"/>
      <w:lvlText w:val="%1."/>
      <w:lvlJc w:val="left"/>
      <w:pPr>
        <w:tabs>
          <w:tab w:val="num" w:pos="360"/>
        </w:tabs>
        <w:ind w:left="360" w:hanging="360"/>
      </w:pPr>
    </w:lvl>
  </w:abstractNum>
  <w:abstractNum w:abstractNumId="19">
    <w:nsid w:val="5FF6354C"/>
    <w:multiLevelType w:val="hybridMultilevel"/>
    <w:tmpl w:val="CFB86D98"/>
    <w:lvl w:ilvl="0" w:tplc="E7B6ED08">
      <w:start w:val="1"/>
      <w:numFmt w:val="decimal"/>
      <w:lvlText w:val="%1&gt;"/>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A440E9"/>
    <w:multiLevelType w:val="hybridMultilevel"/>
    <w:tmpl w:val="8FA08EC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051DD3"/>
    <w:multiLevelType w:val="singleLevel"/>
    <w:tmpl w:val="0409000F"/>
    <w:lvl w:ilvl="0">
      <w:start w:val="1"/>
      <w:numFmt w:val="decimal"/>
      <w:lvlText w:val="%1."/>
      <w:lvlJc w:val="left"/>
      <w:pPr>
        <w:tabs>
          <w:tab w:val="num" w:pos="360"/>
        </w:tabs>
        <w:ind w:left="360" w:hanging="360"/>
      </w:pPr>
    </w:lvl>
  </w:abstractNum>
  <w:abstractNum w:abstractNumId="22">
    <w:nsid w:val="620F2283"/>
    <w:multiLevelType w:val="hybridMultilevel"/>
    <w:tmpl w:val="88000D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24B1973"/>
    <w:multiLevelType w:val="hybridMultilevel"/>
    <w:tmpl w:val="DD86FA76"/>
    <w:lvl w:ilvl="0" w:tplc="37DC54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512292D"/>
    <w:multiLevelType w:val="hybridMultilevel"/>
    <w:tmpl w:val="96D4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220CF7"/>
    <w:multiLevelType w:val="hybridMultilevel"/>
    <w:tmpl w:val="2A86D496"/>
    <w:lvl w:ilvl="0" w:tplc="0409000F">
      <w:start w:val="1"/>
      <w:numFmt w:val="decimal"/>
      <w:lvlText w:val="%1."/>
      <w:lvlJc w:val="left"/>
      <w:pPr>
        <w:tabs>
          <w:tab w:val="num" w:pos="2940"/>
        </w:tabs>
        <w:ind w:left="2940" w:hanging="360"/>
      </w:p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26">
    <w:nsid w:val="6B30705C"/>
    <w:multiLevelType w:val="hybridMultilevel"/>
    <w:tmpl w:val="9E00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9C5D04"/>
    <w:multiLevelType w:val="hybridMultilevel"/>
    <w:tmpl w:val="50E248EE"/>
    <w:lvl w:ilvl="0" w:tplc="2E420D5C">
      <w:start w:val="20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F6E1882"/>
    <w:multiLevelType w:val="hybridMultilevel"/>
    <w:tmpl w:val="52641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B544A4"/>
    <w:multiLevelType w:val="hybridMultilevel"/>
    <w:tmpl w:val="F2C63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BD544A"/>
    <w:multiLevelType w:val="hybridMultilevel"/>
    <w:tmpl w:val="D7462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407AD6"/>
    <w:multiLevelType w:val="hybridMultilevel"/>
    <w:tmpl w:val="77AC638C"/>
    <w:lvl w:ilvl="0" w:tplc="0409000F">
      <w:start w:val="1"/>
      <w:numFmt w:val="decimal"/>
      <w:lvlText w:val="%1."/>
      <w:lvlJc w:val="left"/>
      <w:pPr>
        <w:ind w:left="720" w:hanging="360"/>
      </w:pPr>
      <w:rPr>
        <w:rFonts w:hint="default"/>
        <w:u w:val="none"/>
      </w:rPr>
    </w:lvl>
    <w:lvl w:ilvl="1" w:tplc="46D84C02">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3453C5"/>
    <w:multiLevelType w:val="hybridMultilevel"/>
    <w:tmpl w:val="C4FA2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1"/>
  </w:num>
  <w:num w:numId="3">
    <w:abstractNumId w:val="18"/>
  </w:num>
  <w:num w:numId="4">
    <w:abstractNumId w:val="10"/>
  </w:num>
  <w:num w:numId="5">
    <w:abstractNumId w:val="22"/>
  </w:num>
  <w:num w:numId="6">
    <w:abstractNumId w:val="8"/>
  </w:num>
  <w:num w:numId="7">
    <w:abstractNumId w:val="12"/>
  </w:num>
  <w:num w:numId="8">
    <w:abstractNumId w:val="13"/>
  </w:num>
  <w:num w:numId="9">
    <w:abstractNumId w:val="14"/>
  </w:num>
  <w:num w:numId="10">
    <w:abstractNumId w:val="11"/>
  </w:num>
  <w:num w:numId="11">
    <w:abstractNumId w:val="17"/>
  </w:num>
  <w:num w:numId="12">
    <w:abstractNumId w:val="23"/>
  </w:num>
  <w:num w:numId="13">
    <w:abstractNumId w:val="7"/>
  </w:num>
  <w:num w:numId="14">
    <w:abstractNumId w:val="25"/>
  </w:num>
  <w:num w:numId="15">
    <w:abstractNumId w:val="3"/>
  </w:num>
  <w:num w:numId="16">
    <w:abstractNumId w:val="0"/>
  </w:num>
  <w:num w:numId="17">
    <w:abstractNumId w:val="24"/>
  </w:num>
  <w:num w:numId="18">
    <w:abstractNumId w:val="26"/>
  </w:num>
  <w:num w:numId="19">
    <w:abstractNumId w:val="9"/>
  </w:num>
  <w:num w:numId="20">
    <w:abstractNumId w:val="5"/>
  </w:num>
  <w:num w:numId="21">
    <w:abstractNumId w:val="31"/>
  </w:num>
  <w:num w:numId="22">
    <w:abstractNumId w:val="28"/>
  </w:num>
  <w:num w:numId="23">
    <w:abstractNumId w:val="30"/>
  </w:num>
  <w:num w:numId="24">
    <w:abstractNumId w:val="16"/>
  </w:num>
  <w:num w:numId="25">
    <w:abstractNumId w:val="27"/>
  </w:num>
  <w:num w:numId="26">
    <w:abstractNumId w:val="6"/>
  </w:num>
  <w:num w:numId="27">
    <w:abstractNumId w:val="15"/>
  </w:num>
  <w:num w:numId="28">
    <w:abstractNumId w:val="2"/>
  </w:num>
  <w:num w:numId="29">
    <w:abstractNumId w:val="33"/>
  </w:num>
  <w:num w:numId="30">
    <w:abstractNumId w:val="19"/>
  </w:num>
  <w:num w:numId="31">
    <w:abstractNumId w:val="32"/>
  </w:num>
  <w:num w:numId="32">
    <w:abstractNumId w:val="29"/>
  </w:num>
  <w:num w:numId="33">
    <w:abstractNumId w:val="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2565"/>
    <w:rsid w:val="000038DD"/>
    <w:rsid w:val="000048A8"/>
    <w:rsid w:val="00006AAA"/>
    <w:rsid w:val="00007170"/>
    <w:rsid w:val="000079A1"/>
    <w:rsid w:val="00011320"/>
    <w:rsid w:val="00011563"/>
    <w:rsid w:val="00012770"/>
    <w:rsid w:val="00016751"/>
    <w:rsid w:val="000172AB"/>
    <w:rsid w:val="0001760A"/>
    <w:rsid w:val="000179BF"/>
    <w:rsid w:val="00020FEE"/>
    <w:rsid w:val="00022EE3"/>
    <w:rsid w:val="000231B1"/>
    <w:rsid w:val="0002551E"/>
    <w:rsid w:val="0002555E"/>
    <w:rsid w:val="000311D8"/>
    <w:rsid w:val="000315B2"/>
    <w:rsid w:val="00031E7D"/>
    <w:rsid w:val="000321D8"/>
    <w:rsid w:val="000333DA"/>
    <w:rsid w:val="00046824"/>
    <w:rsid w:val="000470FF"/>
    <w:rsid w:val="000533AF"/>
    <w:rsid w:val="000553F5"/>
    <w:rsid w:val="00056C81"/>
    <w:rsid w:val="000577A3"/>
    <w:rsid w:val="0006124B"/>
    <w:rsid w:val="00061676"/>
    <w:rsid w:val="00062056"/>
    <w:rsid w:val="00066CEA"/>
    <w:rsid w:val="000722EA"/>
    <w:rsid w:val="000736F6"/>
    <w:rsid w:val="00076F58"/>
    <w:rsid w:val="00086A9B"/>
    <w:rsid w:val="000913B6"/>
    <w:rsid w:val="00093E2E"/>
    <w:rsid w:val="000956D8"/>
    <w:rsid w:val="00095A14"/>
    <w:rsid w:val="000967D1"/>
    <w:rsid w:val="000976A4"/>
    <w:rsid w:val="00097FCF"/>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70C3"/>
    <w:rsid w:val="000C20E2"/>
    <w:rsid w:val="000C311D"/>
    <w:rsid w:val="000C4BA4"/>
    <w:rsid w:val="000C4E99"/>
    <w:rsid w:val="000C4E9C"/>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6322"/>
    <w:rsid w:val="00131D0E"/>
    <w:rsid w:val="001320CB"/>
    <w:rsid w:val="0013286C"/>
    <w:rsid w:val="00132C16"/>
    <w:rsid w:val="00132DFC"/>
    <w:rsid w:val="00132FA5"/>
    <w:rsid w:val="0013486D"/>
    <w:rsid w:val="0013537B"/>
    <w:rsid w:val="00136122"/>
    <w:rsid w:val="001404CF"/>
    <w:rsid w:val="00140D86"/>
    <w:rsid w:val="00141B7A"/>
    <w:rsid w:val="00142F7E"/>
    <w:rsid w:val="001440C8"/>
    <w:rsid w:val="001440E6"/>
    <w:rsid w:val="001463CF"/>
    <w:rsid w:val="0015229A"/>
    <w:rsid w:val="00154E2E"/>
    <w:rsid w:val="00163DEF"/>
    <w:rsid w:val="0016552E"/>
    <w:rsid w:val="00166774"/>
    <w:rsid w:val="001702C8"/>
    <w:rsid w:val="001718C9"/>
    <w:rsid w:val="001738AC"/>
    <w:rsid w:val="00174080"/>
    <w:rsid w:val="00174BB6"/>
    <w:rsid w:val="00174FEE"/>
    <w:rsid w:val="00177734"/>
    <w:rsid w:val="001835BD"/>
    <w:rsid w:val="00183EAB"/>
    <w:rsid w:val="0018563A"/>
    <w:rsid w:val="00185D38"/>
    <w:rsid w:val="00185F51"/>
    <w:rsid w:val="00187B62"/>
    <w:rsid w:val="00187ECE"/>
    <w:rsid w:val="0019001E"/>
    <w:rsid w:val="00190D5A"/>
    <w:rsid w:val="001913AD"/>
    <w:rsid w:val="00194359"/>
    <w:rsid w:val="00195414"/>
    <w:rsid w:val="0019583B"/>
    <w:rsid w:val="00197513"/>
    <w:rsid w:val="001A1721"/>
    <w:rsid w:val="001A1D18"/>
    <w:rsid w:val="001A1F93"/>
    <w:rsid w:val="001A2421"/>
    <w:rsid w:val="001A3BDD"/>
    <w:rsid w:val="001A4D65"/>
    <w:rsid w:val="001A69FC"/>
    <w:rsid w:val="001A79D0"/>
    <w:rsid w:val="001B4E6F"/>
    <w:rsid w:val="001B65A3"/>
    <w:rsid w:val="001B6C67"/>
    <w:rsid w:val="001C0CD3"/>
    <w:rsid w:val="001C254D"/>
    <w:rsid w:val="001D15FF"/>
    <w:rsid w:val="001D2DDB"/>
    <w:rsid w:val="001D396A"/>
    <w:rsid w:val="001D525A"/>
    <w:rsid w:val="001D7004"/>
    <w:rsid w:val="001E0DD3"/>
    <w:rsid w:val="001E0E59"/>
    <w:rsid w:val="001E1042"/>
    <w:rsid w:val="001E2BAC"/>
    <w:rsid w:val="001E45BF"/>
    <w:rsid w:val="001E6331"/>
    <w:rsid w:val="001E7A70"/>
    <w:rsid w:val="001F1B21"/>
    <w:rsid w:val="001F3766"/>
    <w:rsid w:val="001F447F"/>
    <w:rsid w:val="001F4FC3"/>
    <w:rsid w:val="001F5169"/>
    <w:rsid w:val="001F6119"/>
    <w:rsid w:val="002054F9"/>
    <w:rsid w:val="002072C9"/>
    <w:rsid w:val="00210E29"/>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50071"/>
    <w:rsid w:val="00250B96"/>
    <w:rsid w:val="00251853"/>
    <w:rsid w:val="00251FAC"/>
    <w:rsid w:val="00253433"/>
    <w:rsid w:val="00253903"/>
    <w:rsid w:val="00254100"/>
    <w:rsid w:val="0025456D"/>
    <w:rsid w:val="00256832"/>
    <w:rsid w:val="00257DA8"/>
    <w:rsid w:val="00261750"/>
    <w:rsid w:val="00261E2C"/>
    <w:rsid w:val="00264BE1"/>
    <w:rsid w:val="00265D03"/>
    <w:rsid w:val="00265EB7"/>
    <w:rsid w:val="00270412"/>
    <w:rsid w:val="002720F5"/>
    <w:rsid w:val="00275B58"/>
    <w:rsid w:val="00276EE4"/>
    <w:rsid w:val="00276FDA"/>
    <w:rsid w:val="0028252E"/>
    <w:rsid w:val="00283483"/>
    <w:rsid w:val="00283B58"/>
    <w:rsid w:val="00285AF1"/>
    <w:rsid w:val="0029050E"/>
    <w:rsid w:val="00292DEC"/>
    <w:rsid w:val="00293B99"/>
    <w:rsid w:val="00293D02"/>
    <w:rsid w:val="00294222"/>
    <w:rsid w:val="00296690"/>
    <w:rsid w:val="002A1228"/>
    <w:rsid w:val="002A2420"/>
    <w:rsid w:val="002B0E1F"/>
    <w:rsid w:val="002B76A4"/>
    <w:rsid w:val="002C1543"/>
    <w:rsid w:val="002C42B2"/>
    <w:rsid w:val="002C4D38"/>
    <w:rsid w:val="002D1993"/>
    <w:rsid w:val="002D6D64"/>
    <w:rsid w:val="002E0EBA"/>
    <w:rsid w:val="002E4150"/>
    <w:rsid w:val="002E6164"/>
    <w:rsid w:val="002E61CB"/>
    <w:rsid w:val="002E6838"/>
    <w:rsid w:val="002E71BD"/>
    <w:rsid w:val="002F3DFD"/>
    <w:rsid w:val="002F6129"/>
    <w:rsid w:val="003002EE"/>
    <w:rsid w:val="00301EF5"/>
    <w:rsid w:val="00302F3E"/>
    <w:rsid w:val="00303D74"/>
    <w:rsid w:val="0030553B"/>
    <w:rsid w:val="00306680"/>
    <w:rsid w:val="003110A1"/>
    <w:rsid w:val="0031514F"/>
    <w:rsid w:val="0031593D"/>
    <w:rsid w:val="00321882"/>
    <w:rsid w:val="00321CDB"/>
    <w:rsid w:val="00322AA8"/>
    <w:rsid w:val="003260D6"/>
    <w:rsid w:val="0032788E"/>
    <w:rsid w:val="00330976"/>
    <w:rsid w:val="00332D92"/>
    <w:rsid w:val="00336FF7"/>
    <w:rsid w:val="003377D3"/>
    <w:rsid w:val="003406EB"/>
    <w:rsid w:val="0034168A"/>
    <w:rsid w:val="003416A6"/>
    <w:rsid w:val="00342043"/>
    <w:rsid w:val="00343549"/>
    <w:rsid w:val="00343A9E"/>
    <w:rsid w:val="00344898"/>
    <w:rsid w:val="0034627D"/>
    <w:rsid w:val="00347DD1"/>
    <w:rsid w:val="00352E55"/>
    <w:rsid w:val="003536EA"/>
    <w:rsid w:val="00353F01"/>
    <w:rsid w:val="00356FD8"/>
    <w:rsid w:val="00361436"/>
    <w:rsid w:val="003616DB"/>
    <w:rsid w:val="00362EF8"/>
    <w:rsid w:val="00363CBA"/>
    <w:rsid w:val="003648B8"/>
    <w:rsid w:val="00365DAD"/>
    <w:rsid w:val="00366F46"/>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203"/>
    <w:rsid w:val="003A2766"/>
    <w:rsid w:val="003A374B"/>
    <w:rsid w:val="003A6408"/>
    <w:rsid w:val="003B0446"/>
    <w:rsid w:val="003B184F"/>
    <w:rsid w:val="003B1B3D"/>
    <w:rsid w:val="003B2D4C"/>
    <w:rsid w:val="003B3318"/>
    <w:rsid w:val="003B3572"/>
    <w:rsid w:val="003B4653"/>
    <w:rsid w:val="003B52A7"/>
    <w:rsid w:val="003C027F"/>
    <w:rsid w:val="003C31C2"/>
    <w:rsid w:val="003C3AE8"/>
    <w:rsid w:val="003C6B62"/>
    <w:rsid w:val="003C7596"/>
    <w:rsid w:val="003C78B5"/>
    <w:rsid w:val="003D06D2"/>
    <w:rsid w:val="003D24A2"/>
    <w:rsid w:val="003D3E56"/>
    <w:rsid w:val="003D7347"/>
    <w:rsid w:val="003E0A75"/>
    <w:rsid w:val="003E2957"/>
    <w:rsid w:val="003E32E3"/>
    <w:rsid w:val="003E54B1"/>
    <w:rsid w:val="003F252B"/>
    <w:rsid w:val="003F3805"/>
    <w:rsid w:val="003F635B"/>
    <w:rsid w:val="004004FE"/>
    <w:rsid w:val="00400C1C"/>
    <w:rsid w:val="00401E29"/>
    <w:rsid w:val="00402D08"/>
    <w:rsid w:val="00405402"/>
    <w:rsid w:val="004079CC"/>
    <w:rsid w:val="00413BB8"/>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7090B"/>
    <w:rsid w:val="0047220A"/>
    <w:rsid w:val="0047262B"/>
    <w:rsid w:val="00472A96"/>
    <w:rsid w:val="00472E21"/>
    <w:rsid w:val="0047355F"/>
    <w:rsid w:val="00473BE5"/>
    <w:rsid w:val="00473BEB"/>
    <w:rsid w:val="00474DBF"/>
    <w:rsid w:val="0048143B"/>
    <w:rsid w:val="00483F1A"/>
    <w:rsid w:val="0048608E"/>
    <w:rsid w:val="0048657D"/>
    <w:rsid w:val="0048715C"/>
    <w:rsid w:val="00490068"/>
    <w:rsid w:val="004900A4"/>
    <w:rsid w:val="00490B18"/>
    <w:rsid w:val="004919C6"/>
    <w:rsid w:val="004927DD"/>
    <w:rsid w:val="00494B53"/>
    <w:rsid w:val="004A139B"/>
    <w:rsid w:val="004A1529"/>
    <w:rsid w:val="004A16D6"/>
    <w:rsid w:val="004A3EEF"/>
    <w:rsid w:val="004A56A4"/>
    <w:rsid w:val="004A59B3"/>
    <w:rsid w:val="004A764A"/>
    <w:rsid w:val="004B0743"/>
    <w:rsid w:val="004B0F80"/>
    <w:rsid w:val="004B21CD"/>
    <w:rsid w:val="004B5D19"/>
    <w:rsid w:val="004B74B3"/>
    <w:rsid w:val="004C083D"/>
    <w:rsid w:val="004C20B1"/>
    <w:rsid w:val="004C241A"/>
    <w:rsid w:val="004C2A6B"/>
    <w:rsid w:val="004C4F9F"/>
    <w:rsid w:val="004C570A"/>
    <w:rsid w:val="004C76FB"/>
    <w:rsid w:val="004D160D"/>
    <w:rsid w:val="004D30D7"/>
    <w:rsid w:val="004D31B6"/>
    <w:rsid w:val="004D5297"/>
    <w:rsid w:val="004E03AF"/>
    <w:rsid w:val="004E0E02"/>
    <w:rsid w:val="004E25F6"/>
    <w:rsid w:val="004E48AE"/>
    <w:rsid w:val="004E646C"/>
    <w:rsid w:val="004F504F"/>
    <w:rsid w:val="004F57F7"/>
    <w:rsid w:val="004F70E1"/>
    <w:rsid w:val="00502028"/>
    <w:rsid w:val="0050458D"/>
    <w:rsid w:val="0050612C"/>
    <w:rsid w:val="0050732B"/>
    <w:rsid w:val="00511CC0"/>
    <w:rsid w:val="00512F16"/>
    <w:rsid w:val="00515150"/>
    <w:rsid w:val="00515368"/>
    <w:rsid w:val="00516686"/>
    <w:rsid w:val="005218F6"/>
    <w:rsid w:val="00522D68"/>
    <w:rsid w:val="00527709"/>
    <w:rsid w:val="00537B98"/>
    <w:rsid w:val="00541E71"/>
    <w:rsid w:val="0054685E"/>
    <w:rsid w:val="00547D83"/>
    <w:rsid w:val="00547FA2"/>
    <w:rsid w:val="00550611"/>
    <w:rsid w:val="00551D64"/>
    <w:rsid w:val="00554CE6"/>
    <w:rsid w:val="00554E38"/>
    <w:rsid w:val="00557EA9"/>
    <w:rsid w:val="0056091F"/>
    <w:rsid w:val="00560D50"/>
    <w:rsid w:val="00561804"/>
    <w:rsid w:val="00561E7C"/>
    <w:rsid w:val="005621CF"/>
    <w:rsid w:val="0056311F"/>
    <w:rsid w:val="00564DEE"/>
    <w:rsid w:val="00565716"/>
    <w:rsid w:val="0057198B"/>
    <w:rsid w:val="00571FF0"/>
    <w:rsid w:val="00581978"/>
    <w:rsid w:val="00581B47"/>
    <w:rsid w:val="00581C94"/>
    <w:rsid w:val="00583A0C"/>
    <w:rsid w:val="005878CE"/>
    <w:rsid w:val="00590C7D"/>
    <w:rsid w:val="00592A33"/>
    <w:rsid w:val="005A1377"/>
    <w:rsid w:val="005A2AE5"/>
    <w:rsid w:val="005A2BC9"/>
    <w:rsid w:val="005A4155"/>
    <w:rsid w:val="005A5CC1"/>
    <w:rsid w:val="005A7B2A"/>
    <w:rsid w:val="005A7E12"/>
    <w:rsid w:val="005B0541"/>
    <w:rsid w:val="005C4BCC"/>
    <w:rsid w:val="005C624B"/>
    <w:rsid w:val="005D056C"/>
    <w:rsid w:val="005E59DE"/>
    <w:rsid w:val="005E7CF0"/>
    <w:rsid w:val="005F27C6"/>
    <w:rsid w:val="005F2888"/>
    <w:rsid w:val="005F3150"/>
    <w:rsid w:val="005F5668"/>
    <w:rsid w:val="005F6FD5"/>
    <w:rsid w:val="005F720B"/>
    <w:rsid w:val="005F7A5A"/>
    <w:rsid w:val="00600CE0"/>
    <w:rsid w:val="006020BC"/>
    <w:rsid w:val="006024DB"/>
    <w:rsid w:val="00604FAF"/>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ED8"/>
    <w:rsid w:val="00643BA7"/>
    <w:rsid w:val="00643DFB"/>
    <w:rsid w:val="00643E28"/>
    <w:rsid w:val="00645C5A"/>
    <w:rsid w:val="00650F7C"/>
    <w:rsid w:val="0065437B"/>
    <w:rsid w:val="0065437F"/>
    <w:rsid w:val="00656699"/>
    <w:rsid w:val="006577DB"/>
    <w:rsid w:val="0066130C"/>
    <w:rsid w:val="006620F2"/>
    <w:rsid w:val="0066224F"/>
    <w:rsid w:val="0066257C"/>
    <w:rsid w:val="00665939"/>
    <w:rsid w:val="006664C0"/>
    <w:rsid w:val="0066783A"/>
    <w:rsid w:val="006715A0"/>
    <w:rsid w:val="00671BEF"/>
    <w:rsid w:val="00675900"/>
    <w:rsid w:val="00683A2D"/>
    <w:rsid w:val="00684471"/>
    <w:rsid w:val="00686A7F"/>
    <w:rsid w:val="00687973"/>
    <w:rsid w:val="00692925"/>
    <w:rsid w:val="00692F34"/>
    <w:rsid w:val="00695212"/>
    <w:rsid w:val="0069690D"/>
    <w:rsid w:val="006A047D"/>
    <w:rsid w:val="006A18DE"/>
    <w:rsid w:val="006A1E5F"/>
    <w:rsid w:val="006A58EF"/>
    <w:rsid w:val="006A5FDA"/>
    <w:rsid w:val="006A76F1"/>
    <w:rsid w:val="006A77A8"/>
    <w:rsid w:val="006B134E"/>
    <w:rsid w:val="006B42A5"/>
    <w:rsid w:val="006B4615"/>
    <w:rsid w:val="006B4D79"/>
    <w:rsid w:val="006B4E42"/>
    <w:rsid w:val="006B577E"/>
    <w:rsid w:val="006B6B31"/>
    <w:rsid w:val="006B7D68"/>
    <w:rsid w:val="006B7DA0"/>
    <w:rsid w:val="006C0C61"/>
    <w:rsid w:val="006C1861"/>
    <w:rsid w:val="006C7139"/>
    <w:rsid w:val="006C71C9"/>
    <w:rsid w:val="006D3174"/>
    <w:rsid w:val="006D4A90"/>
    <w:rsid w:val="006D5B17"/>
    <w:rsid w:val="006D6BEA"/>
    <w:rsid w:val="006D6C04"/>
    <w:rsid w:val="006E1DED"/>
    <w:rsid w:val="006E7771"/>
    <w:rsid w:val="006F129F"/>
    <w:rsid w:val="006F5E92"/>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44A4"/>
    <w:rsid w:val="00724D34"/>
    <w:rsid w:val="007260A1"/>
    <w:rsid w:val="00730621"/>
    <w:rsid w:val="0073475E"/>
    <w:rsid w:val="00734CFE"/>
    <w:rsid w:val="00734F1B"/>
    <w:rsid w:val="007362F4"/>
    <w:rsid w:val="007404DF"/>
    <w:rsid w:val="007470ED"/>
    <w:rsid w:val="00750388"/>
    <w:rsid w:val="007506B8"/>
    <w:rsid w:val="00753E84"/>
    <w:rsid w:val="00755B13"/>
    <w:rsid w:val="00756DB3"/>
    <w:rsid w:val="007574DF"/>
    <w:rsid w:val="007635B2"/>
    <w:rsid w:val="0076386D"/>
    <w:rsid w:val="00765EB5"/>
    <w:rsid w:val="00771486"/>
    <w:rsid w:val="00772135"/>
    <w:rsid w:val="00772261"/>
    <w:rsid w:val="00773139"/>
    <w:rsid w:val="00773149"/>
    <w:rsid w:val="007814FF"/>
    <w:rsid w:val="00782F7C"/>
    <w:rsid w:val="007836C0"/>
    <w:rsid w:val="00784160"/>
    <w:rsid w:val="00790D5F"/>
    <w:rsid w:val="00795056"/>
    <w:rsid w:val="00797DDB"/>
    <w:rsid w:val="007A0645"/>
    <w:rsid w:val="007A0F27"/>
    <w:rsid w:val="007B3A44"/>
    <w:rsid w:val="007B4108"/>
    <w:rsid w:val="007B5ED6"/>
    <w:rsid w:val="007B63B1"/>
    <w:rsid w:val="007B688B"/>
    <w:rsid w:val="007C20EE"/>
    <w:rsid w:val="007C6843"/>
    <w:rsid w:val="007C7BDF"/>
    <w:rsid w:val="007D178B"/>
    <w:rsid w:val="007D17ED"/>
    <w:rsid w:val="007D2C57"/>
    <w:rsid w:val="007D72EC"/>
    <w:rsid w:val="007D78E8"/>
    <w:rsid w:val="007D7D5A"/>
    <w:rsid w:val="007E3231"/>
    <w:rsid w:val="007F0F9A"/>
    <w:rsid w:val="007F2EFD"/>
    <w:rsid w:val="007F566F"/>
    <w:rsid w:val="008028FF"/>
    <w:rsid w:val="0080466D"/>
    <w:rsid w:val="008054C0"/>
    <w:rsid w:val="00806E8B"/>
    <w:rsid w:val="00816B49"/>
    <w:rsid w:val="008212BA"/>
    <w:rsid w:val="00821B8A"/>
    <w:rsid w:val="0082285D"/>
    <w:rsid w:val="00822B84"/>
    <w:rsid w:val="008240CE"/>
    <w:rsid w:val="0082419F"/>
    <w:rsid w:val="00824FBF"/>
    <w:rsid w:val="00826536"/>
    <w:rsid w:val="008276D2"/>
    <w:rsid w:val="00830BB1"/>
    <w:rsid w:val="008327CE"/>
    <w:rsid w:val="00833D81"/>
    <w:rsid w:val="0083560B"/>
    <w:rsid w:val="00836694"/>
    <w:rsid w:val="008376FD"/>
    <w:rsid w:val="0084334C"/>
    <w:rsid w:val="008455FA"/>
    <w:rsid w:val="0084565D"/>
    <w:rsid w:val="008462F0"/>
    <w:rsid w:val="00855EED"/>
    <w:rsid w:val="00860271"/>
    <w:rsid w:val="00864C8A"/>
    <w:rsid w:val="00867662"/>
    <w:rsid w:val="00867DEB"/>
    <w:rsid w:val="00870615"/>
    <w:rsid w:val="00870E5A"/>
    <w:rsid w:val="00871392"/>
    <w:rsid w:val="00871C55"/>
    <w:rsid w:val="00871EF8"/>
    <w:rsid w:val="00871F91"/>
    <w:rsid w:val="00872B93"/>
    <w:rsid w:val="00875841"/>
    <w:rsid w:val="00881F37"/>
    <w:rsid w:val="00882407"/>
    <w:rsid w:val="00882B75"/>
    <w:rsid w:val="00882C72"/>
    <w:rsid w:val="008848DC"/>
    <w:rsid w:val="00885C43"/>
    <w:rsid w:val="00886402"/>
    <w:rsid w:val="00887986"/>
    <w:rsid w:val="00892A2F"/>
    <w:rsid w:val="0089377A"/>
    <w:rsid w:val="00897140"/>
    <w:rsid w:val="008A1766"/>
    <w:rsid w:val="008A5B27"/>
    <w:rsid w:val="008A706A"/>
    <w:rsid w:val="008B35EE"/>
    <w:rsid w:val="008B3E7C"/>
    <w:rsid w:val="008B4033"/>
    <w:rsid w:val="008B44E8"/>
    <w:rsid w:val="008B49E0"/>
    <w:rsid w:val="008B556D"/>
    <w:rsid w:val="008B7A46"/>
    <w:rsid w:val="008C01D4"/>
    <w:rsid w:val="008C0B85"/>
    <w:rsid w:val="008C197F"/>
    <w:rsid w:val="008C33F8"/>
    <w:rsid w:val="008C468E"/>
    <w:rsid w:val="008C6271"/>
    <w:rsid w:val="008C6FBE"/>
    <w:rsid w:val="008C7211"/>
    <w:rsid w:val="008D07F4"/>
    <w:rsid w:val="008D125C"/>
    <w:rsid w:val="008D2884"/>
    <w:rsid w:val="008D2E17"/>
    <w:rsid w:val="008D460A"/>
    <w:rsid w:val="008D79B2"/>
    <w:rsid w:val="008E2972"/>
    <w:rsid w:val="008F18D1"/>
    <w:rsid w:val="008F3077"/>
    <w:rsid w:val="008F4FEE"/>
    <w:rsid w:val="008F5106"/>
    <w:rsid w:val="0090274A"/>
    <w:rsid w:val="00904115"/>
    <w:rsid w:val="00905154"/>
    <w:rsid w:val="009114C1"/>
    <w:rsid w:val="00913FE4"/>
    <w:rsid w:val="009149B1"/>
    <w:rsid w:val="0091571C"/>
    <w:rsid w:val="0092081A"/>
    <w:rsid w:val="00920D44"/>
    <w:rsid w:val="0092110D"/>
    <w:rsid w:val="009211DA"/>
    <w:rsid w:val="00923832"/>
    <w:rsid w:val="00923F1E"/>
    <w:rsid w:val="00924A5F"/>
    <w:rsid w:val="00924F91"/>
    <w:rsid w:val="00925702"/>
    <w:rsid w:val="00925828"/>
    <w:rsid w:val="0092633C"/>
    <w:rsid w:val="00930C01"/>
    <w:rsid w:val="00930CE2"/>
    <w:rsid w:val="00932CEB"/>
    <w:rsid w:val="00932EF0"/>
    <w:rsid w:val="00935AB2"/>
    <w:rsid w:val="00935F95"/>
    <w:rsid w:val="00941D80"/>
    <w:rsid w:val="00943E7A"/>
    <w:rsid w:val="0094499D"/>
    <w:rsid w:val="009456E6"/>
    <w:rsid w:val="00945FF7"/>
    <w:rsid w:val="0094628E"/>
    <w:rsid w:val="0095041F"/>
    <w:rsid w:val="00951A06"/>
    <w:rsid w:val="009526CD"/>
    <w:rsid w:val="009532E2"/>
    <w:rsid w:val="009535B1"/>
    <w:rsid w:val="00955248"/>
    <w:rsid w:val="0096284C"/>
    <w:rsid w:val="009667CE"/>
    <w:rsid w:val="00967CB3"/>
    <w:rsid w:val="00970704"/>
    <w:rsid w:val="00970AEA"/>
    <w:rsid w:val="009718BD"/>
    <w:rsid w:val="00972E6E"/>
    <w:rsid w:val="0097695C"/>
    <w:rsid w:val="00976A46"/>
    <w:rsid w:val="009864F8"/>
    <w:rsid w:val="009879E6"/>
    <w:rsid w:val="0099121E"/>
    <w:rsid w:val="00991B8E"/>
    <w:rsid w:val="00995A87"/>
    <w:rsid w:val="009A2222"/>
    <w:rsid w:val="009A504B"/>
    <w:rsid w:val="009A52E8"/>
    <w:rsid w:val="009A5B2B"/>
    <w:rsid w:val="009A672D"/>
    <w:rsid w:val="009B0304"/>
    <w:rsid w:val="009B0F66"/>
    <w:rsid w:val="009B17E9"/>
    <w:rsid w:val="009B29D4"/>
    <w:rsid w:val="009B2F8B"/>
    <w:rsid w:val="009B3672"/>
    <w:rsid w:val="009B4DBC"/>
    <w:rsid w:val="009B50B9"/>
    <w:rsid w:val="009B56EA"/>
    <w:rsid w:val="009B6861"/>
    <w:rsid w:val="009C0CBB"/>
    <w:rsid w:val="009C3B05"/>
    <w:rsid w:val="009C597F"/>
    <w:rsid w:val="009C69CB"/>
    <w:rsid w:val="009D2DE6"/>
    <w:rsid w:val="009D48A1"/>
    <w:rsid w:val="009D48CE"/>
    <w:rsid w:val="009D55BB"/>
    <w:rsid w:val="009E652E"/>
    <w:rsid w:val="009F356D"/>
    <w:rsid w:val="009F5577"/>
    <w:rsid w:val="00A06458"/>
    <w:rsid w:val="00A06776"/>
    <w:rsid w:val="00A07959"/>
    <w:rsid w:val="00A124BC"/>
    <w:rsid w:val="00A15161"/>
    <w:rsid w:val="00A20459"/>
    <w:rsid w:val="00A23355"/>
    <w:rsid w:val="00A25BEF"/>
    <w:rsid w:val="00A25DEB"/>
    <w:rsid w:val="00A3188A"/>
    <w:rsid w:val="00A31CF0"/>
    <w:rsid w:val="00A320D2"/>
    <w:rsid w:val="00A347A7"/>
    <w:rsid w:val="00A3643F"/>
    <w:rsid w:val="00A40E9F"/>
    <w:rsid w:val="00A42F0C"/>
    <w:rsid w:val="00A4406D"/>
    <w:rsid w:val="00A46752"/>
    <w:rsid w:val="00A5174B"/>
    <w:rsid w:val="00A57E80"/>
    <w:rsid w:val="00A602E9"/>
    <w:rsid w:val="00A623C2"/>
    <w:rsid w:val="00A62920"/>
    <w:rsid w:val="00A6349A"/>
    <w:rsid w:val="00A64D19"/>
    <w:rsid w:val="00A67B23"/>
    <w:rsid w:val="00A70F08"/>
    <w:rsid w:val="00A7120C"/>
    <w:rsid w:val="00A7326B"/>
    <w:rsid w:val="00A7463A"/>
    <w:rsid w:val="00A75483"/>
    <w:rsid w:val="00A810B0"/>
    <w:rsid w:val="00A8219B"/>
    <w:rsid w:val="00A90FF6"/>
    <w:rsid w:val="00A914CD"/>
    <w:rsid w:val="00A94108"/>
    <w:rsid w:val="00A95CCF"/>
    <w:rsid w:val="00AA01C6"/>
    <w:rsid w:val="00AA29A0"/>
    <w:rsid w:val="00AA38AF"/>
    <w:rsid w:val="00AA78FE"/>
    <w:rsid w:val="00AA7ACA"/>
    <w:rsid w:val="00AB2549"/>
    <w:rsid w:val="00AB546C"/>
    <w:rsid w:val="00AB62CD"/>
    <w:rsid w:val="00AB7EDB"/>
    <w:rsid w:val="00AC1CD2"/>
    <w:rsid w:val="00AC515D"/>
    <w:rsid w:val="00AC79F6"/>
    <w:rsid w:val="00AC7D17"/>
    <w:rsid w:val="00AD234A"/>
    <w:rsid w:val="00AD2CDA"/>
    <w:rsid w:val="00AD3B91"/>
    <w:rsid w:val="00AD41FD"/>
    <w:rsid w:val="00AD4C01"/>
    <w:rsid w:val="00AE080A"/>
    <w:rsid w:val="00AE1BE8"/>
    <w:rsid w:val="00AE24B0"/>
    <w:rsid w:val="00AE34D3"/>
    <w:rsid w:val="00AE4AD5"/>
    <w:rsid w:val="00AE6101"/>
    <w:rsid w:val="00AE7C51"/>
    <w:rsid w:val="00AE7DFD"/>
    <w:rsid w:val="00AF361D"/>
    <w:rsid w:val="00AF3FD8"/>
    <w:rsid w:val="00AF705B"/>
    <w:rsid w:val="00B00C8F"/>
    <w:rsid w:val="00B0176F"/>
    <w:rsid w:val="00B039FE"/>
    <w:rsid w:val="00B03C3D"/>
    <w:rsid w:val="00B03F64"/>
    <w:rsid w:val="00B051C0"/>
    <w:rsid w:val="00B12B60"/>
    <w:rsid w:val="00B12F4B"/>
    <w:rsid w:val="00B13D04"/>
    <w:rsid w:val="00B16296"/>
    <w:rsid w:val="00B17CEA"/>
    <w:rsid w:val="00B21EA6"/>
    <w:rsid w:val="00B23613"/>
    <w:rsid w:val="00B23E7A"/>
    <w:rsid w:val="00B32CF9"/>
    <w:rsid w:val="00B33ED2"/>
    <w:rsid w:val="00B37B8A"/>
    <w:rsid w:val="00B410AF"/>
    <w:rsid w:val="00B418C2"/>
    <w:rsid w:val="00B46027"/>
    <w:rsid w:val="00B47954"/>
    <w:rsid w:val="00B5059B"/>
    <w:rsid w:val="00B51EFC"/>
    <w:rsid w:val="00B5298C"/>
    <w:rsid w:val="00B65EB6"/>
    <w:rsid w:val="00B66304"/>
    <w:rsid w:val="00B701FA"/>
    <w:rsid w:val="00B709CE"/>
    <w:rsid w:val="00B71C54"/>
    <w:rsid w:val="00B71C6D"/>
    <w:rsid w:val="00B72103"/>
    <w:rsid w:val="00B7271E"/>
    <w:rsid w:val="00B72A04"/>
    <w:rsid w:val="00B743A1"/>
    <w:rsid w:val="00B76422"/>
    <w:rsid w:val="00B766D7"/>
    <w:rsid w:val="00B77981"/>
    <w:rsid w:val="00B82F0D"/>
    <w:rsid w:val="00B83DD6"/>
    <w:rsid w:val="00B850AC"/>
    <w:rsid w:val="00B85BB0"/>
    <w:rsid w:val="00B90238"/>
    <w:rsid w:val="00B943D8"/>
    <w:rsid w:val="00B954C0"/>
    <w:rsid w:val="00BA4BF0"/>
    <w:rsid w:val="00BB0831"/>
    <w:rsid w:val="00BB0D89"/>
    <w:rsid w:val="00BB2F7B"/>
    <w:rsid w:val="00BB4CB6"/>
    <w:rsid w:val="00BC0755"/>
    <w:rsid w:val="00BD004A"/>
    <w:rsid w:val="00BD1F11"/>
    <w:rsid w:val="00BD2360"/>
    <w:rsid w:val="00BD24E9"/>
    <w:rsid w:val="00BD2A49"/>
    <w:rsid w:val="00BD560A"/>
    <w:rsid w:val="00BE251E"/>
    <w:rsid w:val="00BE26EF"/>
    <w:rsid w:val="00BE3367"/>
    <w:rsid w:val="00BE46A7"/>
    <w:rsid w:val="00BE5F70"/>
    <w:rsid w:val="00BF0A06"/>
    <w:rsid w:val="00BF14DE"/>
    <w:rsid w:val="00BF201B"/>
    <w:rsid w:val="00BF6682"/>
    <w:rsid w:val="00BF69A0"/>
    <w:rsid w:val="00C00353"/>
    <w:rsid w:val="00C01B37"/>
    <w:rsid w:val="00C02B0D"/>
    <w:rsid w:val="00C039FB"/>
    <w:rsid w:val="00C06E23"/>
    <w:rsid w:val="00C11DF4"/>
    <w:rsid w:val="00C12B5B"/>
    <w:rsid w:val="00C1438C"/>
    <w:rsid w:val="00C147F0"/>
    <w:rsid w:val="00C160A3"/>
    <w:rsid w:val="00C1790C"/>
    <w:rsid w:val="00C2027E"/>
    <w:rsid w:val="00C21D20"/>
    <w:rsid w:val="00C24296"/>
    <w:rsid w:val="00C2460A"/>
    <w:rsid w:val="00C2551D"/>
    <w:rsid w:val="00C26326"/>
    <w:rsid w:val="00C26D26"/>
    <w:rsid w:val="00C27F02"/>
    <w:rsid w:val="00C30C8A"/>
    <w:rsid w:val="00C3183B"/>
    <w:rsid w:val="00C3244B"/>
    <w:rsid w:val="00C36D52"/>
    <w:rsid w:val="00C37A37"/>
    <w:rsid w:val="00C40BAD"/>
    <w:rsid w:val="00C42A4E"/>
    <w:rsid w:val="00C44166"/>
    <w:rsid w:val="00C44FB5"/>
    <w:rsid w:val="00C45222"/>
    <w:rsid w:val="00C4548C"/>
    <w:rsid w:val="00C45801"/>
    <w:rsid w:val="00C46A40"/>
    <w:rsid w:val="00C46FBA"/>
    <w:rsid w:val="00C475FD"/>
    <w:rsid w:val="00C47D08"/>
    <w:rsid w:val="00C50DBA"/>
    <w:rsid w:val="00C5212E"/>
    <w:rsid w:val="00C54D05"/>
    <w:rsid w:val="00C57065"/>
    <w:rsid w:val="00C574BA"/>
    <w:rsid w:val="00C62C87"/>
    <w:rsid w:val="00C635C0"/>
    <w:rsid w:val="00C64A17"/>
    <w:rsid w:val="00C70D06"/>
    <w:rsid w:val="00C71C5B"/>
    <w:rsid w:val="00C71D66"/>
    <w:rsid w:val="00C72AEF"/>
    <w:rsid w:val="00C731F0"/>
    <w:rsid w:val="00C7503E"/>
    <w:rsid w:val="00C771DE"/>
    <w:rsid w:val="00C814A3"/>
    <w:rsid w:val="00C81634"/>
    <w:rsid w:val="00C822A0"/>
    <w:rsid w:val="00C8489E"/>
    <w:rsid w:val="00C84D9E"/>
    <w:rsid w:val="00C856CB"/>
    <w:rsid w:val="00C8595A"/>
    <w:rsid w:val="00C86972"/>
    <w:rsid w:val="00C9201A"/>
    <w:rsid w:val="00C953AF"/>
    <w:rsid w:val="00C96E22"/>
    <w:rsid w:val="00C97211"/>
    <w:rsid w:val="00C9726A"/>
    <w:rsid w:val="00C975AC"/>
    <w:rsid w:val="00CA0067"/>
    <w:rsid w:val="00CA0929"/>
    <w:rsid w:val="00CA0C81"/>
    <w:rsid w:val="00CA31AA"/>
    <w:rsid w:val="00CA4C49"/>
    <w:rsid w:val="00CA585D"/>
    <w:rsid w:val="00CB0923"/>
    <w:rsid w:val="00CB1443"/>
    <w:rsid w:val="00CB175C"/>
    <w:rsid w:val="00CB4508"/>
    <w:rsid w:val="00CB5C22"/>
    <w:rsid w:val="00CC36CE"/>
    <w:rsid w:val="00CC383B"/>
    <w:rsid w:val="00CC4C3C"/>
    <w:rsid w:val="00CC53FD"/>
    <w:rsid w:val="00CD299A"/>
    <w:rsid w:val="00CD2CEA"/>
    <w:rsid w:val="00CE0613"/>
    <w:rsid w:val="00CE1231"/>
    <w:rsid w:val="00CE1F3A"/>
    <w:rsid w:val="00CE3A29"/>
    <w:rsid w:val="00CE74FD"/>
    <w:rsid w:val="00CE792B"/>
    <w:rsid w:val="00CF079B"/>
    <w:rsid w:val="00CF1D35"/>
    <w:rsid w:val="00CF6A55"/>
    <w:rsid w:val="00CF7E2E"/>
    <w:rsid w:val="00D00BB2"/>
    <w:rsid w:val="00D0107F"/>
    <w:rsid w:val="00D016C8"/>
    <w:rsid w:val="00D01C73"/>
    <w:rsid w:val="00D12FCB"/>
    <w:rsid w:val="00D13B13"/>
    <w:rsid w:val="00D13DD3"/>
    <w:rsid w:val="00D167BB"/>
    <w:rsid w:val="00D16B63"/>
    <w:rsid w:val="00D2488B"/>
    <w:rsid w:val="00D24E56"/>
    <w:rsid w:val="00D26358"/>
    <w:rsid w:val="00D278B5"/>
    <w:rsid w:val="00D31BCF"/>
    <w:rsid w:val="00D3323E"/>
    <w:rsid w:val="00D341C4"/>
    <w:rsid w:val="00D361E1"/>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AEC"/>
    <w:rsid w:val="00D72AE4"/>
    <w:rsid w:val="00D742A4"/>
    <w:rsid w:val="00D744E8"/>
    <w:rsid w:val="00D76D98"/>
    <w:rsid w:val="00D80AAF"/>
    <w:rsid w:val="00D81229"/>
    <w:rsid w:val="00D83FC8"/>
    <w:rsid w:val="00D84386"/>
    <w:rsid w:val="00D848AB"/>
    <w:rsid w:val="00D91860"/>
    <w:rsid w:val="00D934F8"/>
    <w:rsid w:val="00D946F8"/>
    <w:rsid w:val="00D94FB0"/>
    <w:rsid w:val="00D96D1C"/>
    <w:rsid w:val="00DA243B"/>
    <w:rsid w:val="00DA2597"/>
    <w:rsid w:val="00DA298D"/>
    <w:rsid w:val="00DA60CC"/>
    <w:rsid w:val="00DA6BFB"/>
    <w:rsid w:val="00DB0574"/>
    <w:rsid w:val="00DB254D"/>
    <w:rsid w:val="00DB268C"/>
    <w:rsid w:val="00DB3B68"/>
    <w:rsid w:val="00DB4590"/>
    <w:rsid w:val="00DB4DFD"/>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E33C8"/>
    <w:rsid w:val="00DE47C5"/>
    <w:rsid w:val="00DE4D3C"/>
    <w:rsid w:val="00DE63A4"/>
    <w:rsid w:val="00DE71C2"/>
    <w:rsid w:val="00DE7334"/>
    <w:rsid w:val="00DE7EB8"/>
    <w:rsid w:val="00DF020E"/>
    <w:rsid w:val="00DF132C"/>
    <w:rsid w:val="00DF5528"/>
    <w:rsid w:val="00DF58D2"/>
    <w:rsid w:val="00E003CD"/>
    <w:rsid w:val="00E03679"/>
    <w:rsid w:val="00E03BED"/>
    <w:rsid w:val="00E04DC5"/>
    <w:rsid w:val="00E05578"/>
    <w:rsid w:val="00E1337E"/>
    <w:rsid w:val="00E147A2"/>
    <w:rsid w:val="00E15DB3"/>
    <w:rsid w:val="00E17D34"/>
    <w:rsid w:val="00E21079"/>
    <w:rsid w:val="00E244B3"/>
    <w:rsid w:val="00E245DC"/>
    <w:rsid w:val="00E272C6"/>
    <w:rsid w:val="00E274FC"/>
    <w:rsid w:val="00E27805"/>
    <w:rsid w:val="00E30001"/>
    <w:rsid w:val="00E302A8"/>
    <w:rsid w:val="00E32B17"/>
    <w:rsid w:val="00E33C11"/>
    <w:rsid w:val="00E35009"/>
    <w:rsid w:val="00E350AA"/>
    <w:rsid w:val="00E36CCF"/>
    <w:rsid w:val="00E4092E"/>
    <w:rsid w:val="00E41F8A"/>
    <w:rsid w:val="00E42F19"/>
    <w:rsid w:val="00E45516"/>
    <w:rsid w:val="00E45A95"/>
    <w:rsid w:val="00E46037"/>
    <w:rsid w:val="00E46CE2"/>
    <w:rsid w:val="00E470A6"/>
    <w:rsid w:val="00E50403"/>
    <w:rsid w:val="00E50F48"/>
    <w:rsid w:val="00E515A2"/>
    <w:rsid w:val="00E524AA"/>
    <w:rsid w:val="00E53A87"/>
    <w:rsid w:val="00E56250"/>
    <w:rsid w:val="00E60649"/>
    <w:rsid w:val="00E60EB8"/>
    <w:rsid w:val="00E61726"/>
    <w:rsid w:val="00E623AE"/>
    <w:rsid w:val="00E6300F"/>
    <w:rsid w:val="00E63B4A"/>
    <w:rsid w:val="00E7163A"/>
    <w:rsid w:val="00E75710"/>
    <w:rsid w:val="00E75A6E"/>
    <w:rsid w:val="00E773DF"/>
    <w:rsid w:val="00E77788"/>
    <w:rsid w:val="00E85DF1"/>
    <w:rsid w:val="00E86124"/>
    <w:rsid w:val="00E866FF"/>
    <w:rsid w:val="00E867BD"/>
    <w:rsid w:val="00E9054A"/>
    <w:rsid w:val="00E91025"/>
    <w:rsid w:val="00E9450C"/>
    <w:rsid w:val="00E9591E"/>
    <w:rsid w:val="00EA2581"/>
    <w:rsid w:val="00EA4A24"/>
    <w:rsid w:val="00EA564A"/>
    <w:rsid w:val="00EB1647"/>
    <w:rsid w:val="00EB1EDE"/>
    <w:rsid w:val="00EB2C3E"/>
    <w:rsid w:val="00EB474B"/>
    <w:rsid w:val="00EC11DC"/>
    <w:rsid w:val="00EC1332"/>
    <w:rsid w:val="00EC29CC"/>
    <w:rsid w:val="00ED0178"/>
    <w:rsid w:val="00ED1C6C"/>
    <w:rsid w:val="00ED520F"/>
    <w:rsid w:val="00ED7379"/>
    <w:rsid w:val="00EE1077"/>
    <w:rsid w:val="00EE164A"/>
    <w:rsid w:val="00EE5F51"/>
    <w:rsid w:val="00EF0F70"/>
    <w:rsid w:val="00EF2C25"/>
    <w:rsid w:val="00EF47FF"/>
    <w:rsid w:val="00EF73AB"/>
    <w:rsid w:val="00EF74E2"/>
    <w:rsid w:val="00F028A0"/>
    <w:rsid w:val="00F051CE"/>
    <w:rsid w:val="00F06C8C"/>
    <w:rsid w:val="00F14ED2"/>
    <w:rsid w:val="00F20BE0"/>
    <w:rsid w:val="00F230D6"/>
    <w:rsid w:val="00F301F8"/>
    <w:rsid w:val="00F32E77"/>
    <w:rsid w:val="00F3709D"/>
    <w:rsid w:val="00F420E4"/>
    <w:rsid w:val="00F44ED5"/>
    <w:rsid w:val="00F45EB3"/>
    <w:rsid w:val="00F466F4"/>
    <w:rsid w:val="00F50181"/>
    <w:rsid w:val="00F51C8A"/>
    <w:rsid w:val="00F53584"/>
    <w:rsid w:val="00F540CB"/>
    <w:rsid w:val="00F54215"/>
    <w:rsid w:val="00F55BD7"/>
    <w:rsid w:val="00F56EBC"/>
    <w:rsid w:val="00F57E55"/>
    <w:rsid w:val="00F60C80"/>
    <w:rsid w:val="00F62D63"/>
    <w:rsid w:val="00F6619B"/>
    <w:rsid w:val="00F768EB"/>
    <w:rsid w:val="00F77845"/>
    <w:rsid w:val="00F8004A"/>
    <w:rsid w:val="00F80769"/>
    <w:rsid w:val="00F8340D"/>
    <w:rsid w:val="00F85B55"/>
    <w:rsid w:val="00F8749A"/>
    <w:rsid w:val="00F90F69"/>
    <w:rsid w:val="00F92AB0"/>
    <w:rsid w:val="00F94922"/>
    <w:rsid w:val="00F964B6"/>
    <w:rsid w:val="00F968C9"/>
    <w:rsid w:val="00F97CCD"/>
    <w:rsid w:val="00FA09E1"/>
    <w:rsid w:val="00FA594E"/>
    <w:rsid w:val="00FA7679"/>
    <w:rsid w:val="00FB2A39"/>
    <w:rsid w:val="00FB4D01"/>
    <w:rsid w:val="00FB500C"/>
    <w:rsid w:val="00FB574A"/>
    <w:rsid w:val="00FB66FD"/>
    <w:rsid w:val="00FB684A"/>
    <w:rsid w:val="00FC3DA6"/>
    <w:rsid w:val="00FC71FB"/>
    <w:rsid w:val="00FD18E1"/>
    <w:rsid w:val="00FD2280"/>
    <w:rsid w:val="00FD22E8"/>
    <w:rsid w:val="00FD24F5"/>
    <w:rsid w:val="00FD6012"/>
    <w:rsid w:val="00FD69DC"/>
    <w:rsid w:val="00FD7938"/>
    <w:rsid w:val="00FE3738"/>
    <w:rsid w:val="00FE58BC"/>
    <w:rsid w:val="00FE71D3"/>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3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3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FC651-6799-4377-84EA-CFDAA5D7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2986</Words>
  <Characters>16458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Daly, Sharon</cp:lastModifiedBy>
  <cp:revision>4</cp:revision>
  <cp:lastPrinted>2010-08-16T19:17:00Z</cp:lastPrinted>
  <dcterms:created xsi:type="dcterms:W3CDTF">2014-04-14T17:48:00Z</dcterms:created>
  <dcterms:modified xsi:type="dcterms:W3CDTF">2014-04-14T17:55:00Z</dcterms:modified>
</cp:coreProperties>
</file>