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FC" w:rsidRPr="00F82826" w:rsidRDefault="001D1DFC" w:rsidP="001D1DFC">
      <w:pPr>
        <w:pStyle w:val="Heading2"/>
        <w:rPr>
          <w:rFonts w:ascii="Arial" w:hAnsi="Arial" w:cs="Arial"/>
          <w:sz w:val="24"/>
        </w:rPr>
      </w:pPr>
      <w:bookmarkStart w:id="0" w:name="_GoBack"/>
      <w:bookmarkEnd w:id="0"/>
      <w:r w:rsidRPr="00F82826">
        <w:rPr>
          <w:rFonts w:ascii="Arial" w:hAnsi="Arial" w:cs="Arial"/>
          <w:sz w:val="24"/>
        </w:rPr>
        <w:t>STAFF REPORT</w:t>
      </w:r>
    </w:p>
    <w:p w:rsidR="00F3508D" w:rsidRDefault="00F3508D" w:rsidP="00F3508D">
      <w:pPr>
        <w:jc w:val="center"/>
      </w:pPr>
    </w:p>
    <w:tbl>
      <w:tblPr>
        <w:tblW w:w="9872" w:type="dxa"/>
        <w:tblInd w:w="108" w:type="dxa"/>
        <w:tblLayout w:type="fixed"/>
        <w:tblLook w:val="0000" w:firstRow="0" w:lastRow="0" w:firstColumn="0" w:lastColumn="0" w:noHBand="0" w:noVBand="0"/>
      </w:tblPr>
      <w:tblGrid>
        <w:gridCol w:w="3122"/>
        <w:gridCol w:w="2430"/>
        <w:gridCol w:w="1170"/>
        <w:gridCol w:w="3150"/>
      </w:tblGrid>
      <w:tr w:rsidR="00F3508D" w:rsidRPr="009349D6" w:rsidTr="006A3823">
        <w:trPr>
          <w:trHeight w:val="400"/>
        </w:trPr>
        <w:tc>
          <w:tcPr>
            <w:tcW w:w="3122" w:type="dxa"/>
          </w:tcPr>
          <w:p w:rsidR="00F3508D" w:rsidRPr="00BC3286" w:rsidRDefault="00F3508D" w:rsidP="00F3508D">
            <w:pPr>
              <w:spacing w:before="120"/>
              <w:rPr>
                <w:rFonts w:ascii="Arial" w:hAnsi="Arial" w:cs="Arial"/>
                <w:b/>
                <w:u w:val="single"/>
              </w:rPr>
            </w:pPr>
            <w:r w:rsidRPr="009349D6">
              <w:rPr>
                <w:rFonts w:ascii="Arial" w:hAnsi="Arial" w:cs="Arial"/>
                <w:b/>
              </w:rPr>
              <w:t>Agenda Item</w:t>
            </w:r>
            <w:r w:rsidR="00B430DE">
              <w:rPr>
                <w:rFonts w:ascii="Arial" w:hAnsi="Arial" w:cs="Arial"/>
                <w:b/>
              </w:rPr>
              <w:t xml:space="preserve"> No</w:t>
            </w:r>
            <w:r w:rsidRPr="009349D6">
              <w:rPr>
                <w:rFonts w:ascii="Arial" w:hAnsi="Arial" w:cs="Arial"/>
                <w:b/>
              </w:rPr>
              <w:t>:</w:t>
            </w:r>
          </w:p>
        </w:tc>
        <w:tc>
          <w:tcPr>
            <w:tcW w:w="2430" w:type="dxa"/>
          </w:tcPr>
          <w:p w:rsidR="00F3508D" w:rsidRPr="009349D6" w:rsidRDefault="005443D6" w:rsidP="00B430DE">
            <w:pPr>
              <w:spacing w:before="120"/>
              <w:ind w:left="-108"/>
              <w:rPr>
                <w:rFonts w:ascii="Arial" w:hAnsi="Arial" w:cs="Arial"/>
              </w:rPr>
            </w:pPr>
            <w:r>
              <w:rPr>
                <w:rFonts w:ascii="Arial" w:hAnsi="Arial" w:cs="Arial"/>
              </w:rPr>
              <w:t>5</w:t>
            </w:r>
          </w:p>
        </w:tc>
        <w:tc>
          <w:tcPr>
            <w:tcW w:w="1170" w:type="dxa"/>
          </w:tcPr>
          <w:p w:rsidR="00F3508D" w:rsidRPr="009349D6" w:rsidRDefault="00F3508D" w:rsidP="00F3508D">
            <w:pPr>
              <w:spacing w:before="120"/>
              <w:rPr>
                <w:rFonts w:ascii="Arial" w:hAnsi="Arial" w:cs="Arial"/>
                <w:b/>
              </w:rPr>
            </w:pPr>
            <w:r w:rsidRPr="009349D6">
              <w:rPr>
                <w:rFonts w:ascii="Arial" w:hAnsi="Arial" w:cs="Arial"/>
                <w:b/>
              </w:rPr>
              <w:t>Name:</w:t>
            </w:r>
          </w:p>
        </w:tc>
        <w:tc>
          <w:tcPr>
            <w:tcW w:w="3150" w:type="dxa"/>
          </w:tcPr>
          <w:p w:rsidR="00F3508D" w:rsidRDefault="00F23379" w:rsidP="00743C58">
            <w:pPr>
              <w:spacing w:before="120"/>
              <w:rPr>
                <w:rFonts w:ascii="Arial" w:hAnsi="Arial" w:cs="Arial"/>
              </w:rPr>
            </w:pPr>
            <w:r>
              <w:rPr>
                <w:rFonts w:ascii="Arial" w:hAnsi="Arial" w:cs="Arial"/>
              </w:rPr>
              <w:t>Patrick Hamacher</w:t>
            </w:r>
            <w:r w:rsidR="00AB66D2">
              <w:rPr>
                <w:rFonts w:ascii="Arial" w:hAnsi="Arial" w:cs="Arial"/>
              </w:rPr>
              <w:t>,</w:t>
            </w:r>
          </w:p>
          <w:p w:rsidR="00AB66D2" w:rsidRPr="009349D6" w:rsidRDefault="00AB66D2" w:rsidP="00743C58">
            <w:pPr>
              <w:spacing w:before="120"/>
              <w:rPr>
                <w:rFonts w:ascii="Arial" w:hAnsi="Arial" w:cs="Arial"/>
              </w:rPr>
            </w:pPr>
            <w:r>
              <w:rPr>
                <w:rFonts w:ascii="Arial" w:hAnsi="Arial" w:cs="Arial"/>
              </w:rPr>
              <w:t>Erik Sund</w:t>
            </w:r>
          </w:p>
        </w:tc>
      </w:tr>
      <w:tr w:rsidR="00F3508D" w:rsidRPr="009349D6" w:rsidTr="006A3823">
        <w:trPr>
          <w:trHeight w:val="400"/>
        </w:trPr>
        <w:tc>
          <w:tcPr>
            <w:tcW w:w="3122" w:type="dxa"/>
          </w:tcPr>
          <w:p w:rsidR="00F3508D" w:rsidRPr="003351EF" w:rsidRDefault="00F3508D" w:rsidP="00B430DE">
            <w:pPr>
              <w:spacing w:before="120"/>
              <w:ind w:right="-108"/>
              <w:rPr>
                <w:rFonts w:ascii="Arial" w:hAnsi="Arial" w:cs="Arial"/>
              </w:rPr>
            </w:pPr>
            <w:r w:rsidRPr="003351EF">
              <w:rPr>
                <w:rFonts w:ascii="Arial" w:hAnsi="Arial" w:cs="Arial"/>
                <w:b/>
              </w:rPr>
              <w:t xml:space="preserve">Proposed </w:t>
            </w:r>
            <w:r w:rsidR="00B430DE" w:rsidRPr="003351EF">
              <w:rPr>
                <w:rFonts w:ascii="Arial" w:hAnsi="Arial" w:cs="Arial"/>
                <w:b/>
              </w:rPr>
              <w:t xml:space="preserve">Ordinance </w:t>
            </w:r>
            <w:r w:rsidRPr="003351EF">
              <w:rPr>
                <w:rFonts w:ascii="Arial" w:hAnsi="Arial" w:cs="Arial"/>
                <w:b/>
              </w:rPr>
              <w:t>No</w:t>
            </w:r>
            <w:r w:rsidRPr="003351EF">
              <w:rPr>
                <w:rFonts w:ascii="Arial" w:hAnsi="Arial" w:cs="Arial"/>
              </w:rPr>
              <w:t>.:</w:t>
            </w:r>
          </w:p>
        </w:tc>
        <w:tc>
          <w:tcPr>
            <w:tcW w:w="2430" w:type="dxa"/>
          </w:tcPr>
          <w:p w:rsidR="00887A56" w:rsidRPr="003351EF" w:rsidRDefault="00F06936" w:rsidP="00F23379">
            <w:pPr>
              <w:tabs>
                <w:tab w:val="left" w:pos="1692"/>
              </w:tabs>
              <w:spacing w:before="120"/>
              <w:ind w:left="-108"/>
              <w:rPr>
                <w:rFonts w:ascii="Arial" w:hAnsi="Arial" w:cs="Arial"/>
              </w:rPr>
            </w:pPr>
            <w:r w:rsidRPr="003351EF">
              <w:rPr>
                <w:rFonts w:ascii="Arial" w:hAnsi="Arial" w:cs="Arial"/>
              </w:rPr>
              <w:t>201</w:t>
            </w:r>
            <w:r w:rsidR="00743C58">
              <w:rPr>
                <w:rFonts w:ascii="Arial" w:hAnsi="Arial" w:cs="Arial"/>
              </w:rPr>
              <w:t>4</w:t>
            </w:r>
            <w:r w:rsidR="00AE06A0" w:rsidRPr="003351EF">
              <w:rPr>
                <w:rFonts w:ascii="Arial" w:hAnsi="Arial" w:cs="Arial"/>
              </w:rPr>
              <w:t>-</w:t>
            </w:r>
            <w:r w:rsidR="00887A56" w:rsidRPr="003351EF">
              <w:rPr>
                <w:rFonts w:ascii="Arial" w:hAnsi="Arial" w:cs="Arial"/>
              </w:rPr>
              <w:t>0</w:t>
            </w:r>
            <w:r w:rsidR="00F23379">
              <w:rPr>
                <w:rFonts w:ascii="Arial" w:hAnsi="Arial" w:cs="Arial"/>
              </w:rPr>
              <w:t>073</w:t>
            </w:r>
          </w:p>
        </w:tc>
        <w:tc>
          <w:tcPr>
            <w:tcW w:w="1170" w:type="dxa"/>
          </w:tcPr>
          <w:p w:rsidR="00F3508D" w:rsidRPr="003351EF" w:rsidRDefault="00F3508D" w:rsidP="00F3508D">
            <w:pPr>
              <w:spacing w:before="120"/>
              <w:ind w:right="-108"/>
              <w:rPr>
                <w:rFonts w:ascii="Arial" w:hAnsi="Arial" w:cs="Arial"/>
              </w:rPr>
            </w:pPr>
            <w:r w:rsidRPr="003351EF">
              <w:rPr>
                <w:rFonts w:ascii="Arial" w:hAnsi="Arial" w:cs="Arial"/>
                <w:b/>
              </w:rPr>
              <w:t>Date:</w:t>
            </w:r>
          </w:p>
        </w:tc>
        <w:tc>
          <w:tcPr>
            <w:tcW w:w="3150" w:type="dxa"/>
          </w:tcPr>
          <w:p w:rsidR="00F3508D" w:rsidRPr="009349D6" w:rsidRDefault="00F23379" w:rsidP="00F23379">
            <w:pPr>
              <w:spacing w:before="120"/>
              <w:rPr>
                <w:rFonts w:ascii="Arial" w:hAnsi="Arial" w:cs="Arial"/>
              </w:rPr>
            </w:pPr>
            <w:r>
              <w:rPr>
                <w:rFonts w:ascii="Arial" w:hAnsi="Arial" w:cs="Arial"/>
              </w:rPr>
              <w:t>April</w:t>
            </w:r>
            <w:r w:rsidR="00790FA4" w:rsidRPr="003351EF">
              <w:rPr>
                <w:rFonts w:ascii="Arial" w:hAnsi="Arial" w:cs="Arial"/>
              </w:rPr>
              <w:t xml:space="preserve"> </w:t>
            </w:r>
            <w:r w:rsidR="00743C58">
              <w:rPr>
                <w:rFonts w:ascii="Arial" w:hAnsi="Arial" w:cs="Arial"/>
              </w:rPr>
              <w:t>1</w:t>
            </w:r>
            <w:r w:rsidR="00AE06A0" w:rsidRPr="003351EF">
              <w:rPr>
                <w:rFonts w:ascii="Arial" w:hAnsi="Arial" w:cs="Arial"/>
              </w:rPr>
              <w:t>, 201</w:t>
            </w:r>
            <w:r w:rsidR="00743C58">
              <w:rPr>
                <w:rFonts w:ascii="Arial" w:hAnsi="Arial" w:cs="Arial"/>
              </w:rPr>
              <w:t>4</w:t>
            </w:r>
          </w:p>
        </w:tc>
      </w:tr>
    </w:tbl>
    <w:p w:rsidR="00824EA4" w:rsidRDefault="00824EA4" w:rsidP="00824EA4">
      <w:pPr>
        <w:jc w:val="both"/>
        <w:rPr>
          <w:rFonts w:ascii="Arial" w:hAnsi="Arial" w:cs="Arial"/>
        </w:rPr>
      </w:pPr>
    </w:p>
    <w:p w:rsidR="00F23379" w:rsidRPr="00935664" w:rsidRDefault="00F23379" w:rsidP="00F23379">
      <w:pPr>
        <w:ind w:left="1440" w:hanging="1440"/>
        <w:rPr>
          <w:rFonts w:ascii="Arial" w:hAnsi="Arial" w:cs="Arial"/>
        </w:rPr>
      </w:pPr>
      <w:r w:rsidRPr="00935664">
        <w:rPr>
          <w:rFonts w:ascii="Arial" w:hAnsi="Arial" w:cs="Arial"/>
          <w:b/>
          <w:u w:val="single"/>
        </w:rPr>
        <w:t>SUBJECT</w:t>
      </w:r>
      <w:r w:rsidRPr="00935664">
        <w:rPr>
          <w:rFonts w:ascii="Arial" w:hAnsi="Arial" w:cs="Arial"/>
          <w:b/>
        </w:rPr>
        <w:t>:</w:t>
      </w:r>
      <w:r w:rsidRPr="00935664">
        <w:rPr>
          <w:rFonts w:ascii="Arial" w:hAnsi="Arial" w:cs="Arial"/>
          <w:b/>
        </w:rPr>
        <w:tab/>
      </w:r>
      <w:r w:rsidRPr="00C633BF">
        <w:rPr>
          <w:rFonts w:ascii="Arial" w:hAnsi="Arial" w:cs="Arial"/>
        </w:rPr>
        <w:t>A MOTION authorizing the manager of treasury operations of King County to cancel the attached list of uncollectible personal property taxes in the amount of $1,</w:t>
      </w:r>
      <w:r w:rsidR="00E10C2B">
        <w:rPr>
          <w:rFonts w:ascii="Arial" w:hAnsi="Arial" w:cs="Arial"/>
        </w:rPr>
        <w:t>408</w:t>
      </w:r>
      <w:r w:rsidRPr="00C633BF">
        <w:rPr>
          <w:rFonts w:ascii="Arial" w:hAnsi="Arial" w:cs="Arial"/>
        </w:rPr>
        <w:t>,</w:t>
      </w:r>
      <w:r w:rsidR="00E10C2B">
        <w:rPr>
          <w:rFonts w:ascii="Arial" w:hAnsi="Arial" w:cs="Arial"/>
        </w:rPr>
        <w:t>143</w:t>
      </w:r>
      <w:r w:rsidRPr="00C633BF">
        <w:rPr>
          <w:rFonts w:ascii="Arial" w:hAnsi="Arial" w:cs="Arial"/>
        </w:rPr>
        <w:t>.</w:t>
      </w:r>
      <w:r w:rsidR="00E10C2B">
        <w:rPr>
          <w:rFonts w:ascii="Arial" w:hAnsi="Arial" w:cs="Arial"/>
        </w:rPr>
        <w:t>4</w:t>
      </w:r>
      <w:r w:rsidRPr="00C633BF">
        <w:rPr>
          <w:rFonts w:ascii="Arial" w:hAnsi="Arial" w:cs="Arial"/>
        </w:rPr>
        <w:t>1</w:t>
      </w:r>
      <w:r w:rsidR="00E10C2B">
        <w:rPr>
          <w:rFonts w:ascii="Arial" w:hAnsi="Arial" w:cs="Arial"/>
        </w:rPr>
        <w:t xml:space="preserve"> </w:t>
      </w:r>
      <w:r w:rsidRPr="00C633BF">
        <w:rPr>
          <w:rFonts w:ascii="Arial" w:hAnsi="Arial" w:cs="Arial"/>
        </w:rPr>
        <w:t xml:space="preserve">for the years </w:t>
      </w:r>
      <w:r w:rsidR="00E10C2B">
        <w:rPr>
          <w:rFonts w:ascii="Arial" w:hAnsi="Arial" w:cs="Arial"/>
        </w:rPr>
        <w:t>2003</w:t>
      </w:r>
      <w:r w:rsidRPr="00C633BF">
        <w:rPr>
          <w:rFonts w:ascii="Arial" w:hAnsi="Arial" w:cs="Arial"/>
        </w:rPr>
        <w:t xml:space="preserve"> through 201</w:t>
      </w:r>
      <w:r w:rsidR="00E10C2B">
        <w:rPr>
          <w:rFonts w:ascii="Arial" w:hAnsi="Arial" w:cs="Arial"/>
        </w:rPr>
        <w:t>3</w:t>
      </w:r>
      <w:r w:rsidRPr="00C633BF">
        <w:rPr>
          <w:rFonts w:ascii="Arial" w:hAnsi="Arial" w:cs="Arial"/>
        </w:rPr>
        <w:t>.</w:t>
      </w:r>
    </w:p>
    <w:p w:rsidR="00F23379" w:rsidRPr="00935664" w:rsidRDefault="00F23379" w:rsidP="00F23379">
      <w:pPr>
        <w:ind w:left="1440" w:hanging="1440"/>
        <w:rPr>
          <w:rFonts w:ascii="Arial" w:hAnsi="Arial" w:cs="Arial"/>
        </w:rPr>
      </w:pPr>
    </w:p>
    <w:p w:rsidR="00F23379" w:rsidRPr="00935664" w:rsidRDefault="00F23379" w:rsidP="00F23379">
      <w:pPr>
        <w:ind w:left="1440" w:hanging="1440"/>
        <w:rPr>
          <w:rFonts w:ascii="Arial" w:hAnsi="Arial" w:cs="Arial"/>
        </w:rPr>
      </w:pPr>
      <w:r>
        <w:rPr>
          <w:rFonts w:ascii="Arial" w:hAnsi="Arial" w:cs="Arial"/>
          <w:b/>
          <w:u w:val="single"/>
        </w:rPr>
        <w:t>SUMMARY</w:t>
      </w:r>
      <w:r w:rsidRPr="00935664">
        <w:rPr>
          <w:rFonts w:ascii="Arial" w:hAnsi="Arial" w:cs="Arial"/>
          <w:b/>
          <w:u w:val="single"/>
        </w:rPr>
        <w:t>:</w:t>
      </w:r>
    </w:p>
    <w:p w:rsidR="00F23379" w:rsidRDefault="00F23379" w:rsidP="00F23379">
      <w:pPr>
        <w:ind w:left="1440" w:hanging="1440"/>
        <w:rPr>
          <w:rFonts w:ascii="Arial" w:hAnsi="Arial" w:cs="Arial"/>
          <w:b/>
          <w:u w:val="single"/>
        </w:rPr>
      </w:pPr>
    </w:p>
    <w:p w:rsidR="00F23379" w:rsidRPr="00A64529" w:rsidRDefault="00F23379" w:rsidP="00F23379">
      <w:pPr>
        <w:rPr>
          <w:rFonts w:ascii="Arial" w:hAnsi="Arial" w:cs="Arial"/>
        </w:rPr>
      </w:pPr>
      <w:r>
        <w:rPr>
          <w:rFonts w:ascii="Arial" w:hAnsi="Arial" w:cs="Arial"/>
        </w:rPr>
        <w:t xml:space="preserve">The Treasury Division annually requests cancellation of outstanding uncollectible personal property taxes after due diligent attempts to collect the taxes have been made.  This allows the Treasury Division to remove uncollectible property taxes from the tax rolls, but the County does not relinquish its ability to collect on the debts.  The proposed </w:t>
      </w:r>
      <w:r w:rsidRPr="006B7591">
        <w:rPr>
          <w:rFonts w:ascii="Arial" w:hAnsi="Arial" w:cs="Arial"/>
        </w:rPr>
        <w:t xml:space="preserve">motion would cancel </w:t>
      </w:r>
      <w:r w:rsidR="00AE3BE4">
        <w:rPr>
          <w:rFonts w:ascii="Arial" w:hAnsi="Arial" w:cs="Arial"/>
        </w:rPr>
        <w:t>799</w:t>
      </w:r>
      <w:r w:rsidRPr="006B7591">
        <w:rPr>
          <w:rFonts w:ascii="Arial" w:hAnsi="Arial" w:cs="Arial"/>
        </w:rPr>
        <w:t xml:space="preserve"> accounts for a total of </w:t>
      </w:r>
      <w:r w:rsidR="00AE3BE4">
        <w:rPr>
          <w:rFonts w:ascii="Arial" w:hAnsi="Arial" w:cs="Arial"/>
        </w:rPr>
        <w:t>$</w:t>
      </w:r>
      <w:r w:rsidR="00AE3BE4" w:rsidRPr="00C633BF">
        <w:rPr>
          <w:rFonts w:ascii="Arial" w:hAnsi="Arial" w:cs="Arial"/>
        </w:rPr>
        <w:t>1,</w:t>
      </w:r>
      <w:r w:rsidR="00AE3BE4">
        <w:rPr>
          <w:rFonts w:ascii="Arial" w:hAnsi="Arial" w:cs="Arial"/>
        </w:rPr>
        <w:t>408</w:t>
      </w:r>
      <w:r w:rsidR="00AE3BE4" w:rsidRPr="00C633BF">
        <w:rPr>
          <w:rFonts w:ascii="Arial" w:hAnsi="Arial" w:cs="Arial"/>
        </w:rPr>
        <w:t>,</w:t>
      </w:r>
      <w:r w:rsidR="00AE3BE4">
        <w:rPr>
          <w:rFonts w:ascii="Arial" w:hAnsi="Arial" w:cs="Arial"/>
        </w:rPr>
        <w:t>143</w:t>
      </w:r>
      <w:r w:rsidR="00AE3BE4" w:rsidRPr="00C633BF">
        <w:rPr>
          <w:rFonts w:ascii="Arial" w:hAnsi="Arial" w:cs="Arial"/>
        </w:rPr>
        <w:t>.</w:t>
      </w:r>
      <w:r w:rsidRPr="006B7591">
        <w:rPr>
          <w:rFonts w:ascii="Arial" w:hAnsi="Arial" w:cs="Arial"/>
        </w:rPr>
        <w:t xml:space="preserve">  The impact to the County would be 18 percent, or $</w:t>
      </w:r>
      <w:r w:rsidR="00AE3BE4">
        <w:rPr>
          <w:rFonts w:ascii="Arial" w:hAnsi="Arial" w:cs="Arial"/>
        </w:rPr>
        <w:t>253</w:t>
      </w:r>
      <w:r w:rsidRPr="006B7591">
        <w:rPr>
          <w:rFonts w:ascii="Arial" w:hAnsi="Arial" w:cs="Arial"/>
        </w:rPr>
        <w:t>,</w:t>
      </w:r>
      <w:r w:rsidR="00AE3BE4">
        <w:rPr>
          <w:rFonts w:ascii="Arial" w:hAnsi="Arial" w:cs="Arial"/>
        </w:rPr>
        <w:t>466</w:t>
      </w:r>
      <w:r w:rsidRPr="006B7591">
        <w:rPr>
          <w:rFonts w:ascii="Arial" w:hAnsi="Arial" w:cs="Arial"/>
        </w:rPr>
        <w:t>.  Of that amount, half, or $</w:t>
      </w:r>
      <w:r w:rsidR="00AE3BE4">
        <w:rPr>
          <w:rFonts w:ascii="Arial" w:hAnsi="Arial" w:cs="Arial"/>
        </w:rPr>
        <w:t>126,733</w:t>
      </w:r>
      <w:r w:rsidRPr="006B7591">
        <w:rPr>
          <w:rFonts w:ascii="Arial" w:hAnsi="Arial" w:cs="Arial"/>
        </w:rPr>
        <w:t>, is the projected loss to the General Fund.</w:t>
      </w:r>
    </w:p>
    <w:p w:rsidR="00F23379" w:rsidRDefault="00F23379" w:rsidP="00F23379">
      <w:pPr>
        <w:ind w:left="1440" w:hanging="1440"/>
        <w:rPr>
          <w:rFonts w:ascii="Arial" w:hAnsi="Arial" w:cs="Arial"/>
          <w:b/>
          <w:u w:val="single"/>
        </w:rPr>
      </w:pPr>
    </w:p>
    <w:p w:rsidR="00F23379" w:rsidRPr="00935664" w:rsidRDefault="00F23379" w:rsidP="00F23379">
      <w:pPr>
        <w:ind w:left="1440" w:hanging="1440"/>
        <w:rPr>
          <w:rFonts w:ascii="Arial" w:hAnsi="Arial" w:cs="Arial"/>
        </w:rPr>
      </w:pPr>
      <w:r w:rsidRPr="00935664">
        <w:rPr>
          <w:rFonts w:ascii="Arial" w:hAnsi="Arial" w:cs="Arial"/>
          <w:b/>
          <w:u w:val="single"/>
        </w:rPr>
        <w:t>BACKGROUND:</w:t>
      </w:r>
    </w:p>
    <w:p w:rsidR="00F23379" w:rsidRDefault="00F23379" w:rsidP="00F23379">
      <w:pPr>
        <w:rPr>
          <w:rFonts w:ascii="Arial" w:hAnsi="Arial" w:cs="Arial"/>
        </w:rPr>
      </w:pPr>
    </w:p>
    <w:p w:rsidR="00F23379" w:rsidRPr="00935664" w:rsidRDefault="00F23379" w:rsidP="00F23379">
      <w:pPr>
        <w:rPr>
          <w:rFonts w:ascii="Arial" w:hAnsi="Arial" w:cs="Arial"/>
        </w:rPr>
      </w:pPr>
      <w:r w:rsidRPr="00935664">
        <w:rPr>
          <w:rFonts w:ascii="Arial" w:hAnsi="Arial" w:cs="Arial"/>
        </w:rPr>
        <w:t xml:space="preserve">King County’s Treasury Operations Section is responsible for collecting personal property taxes within the county.  </w:t>
      </w:r>
      <w:r w:rsidRPr="00D70794">
        <w:rPr>
          <w:rFonts w:ascii="Arial" w:hAnsi="Arial" w:cs="Arial"/>
        </w:rPr>
        <w:t xml:space="preserve">Personal property </w:t>
      </w:r>
      <w:r>
        <w:rPr>
          <w:rFonts w:ascii="Arial" w:hAnsi="Arial" w:cs="Arial"/>
        </w:rPr>
        <w:t xml:space="preserve">refers to assets used in conducting a business; it </w:t>
      </w:r>
      <w:r w:rsidRPr="00D70794">
        <w:rPr>
          <w:rFonts w:ascii="Arial" w:hAnsi="Arial" w:cs="Arial"/>
        </w:rPr>
        <w:t>includes machinery, equipment,</w:t>
      </w:r>
      <w:r>
        <w:rPr>
          <w:rFonts w:ascii="Arial" w:hAnsi="Arial" w:cs="Arial"/>
        </w:rPr>
        <w:t xml:space="preserve"> </w:t>
      </w:r>
      <w:r w:rsidRPr="00D70794">
        <w:rPr>
          <w:rFonts w:ascii="Arial" w:hAnsi="Arial" w:cs="Arial"/>
        </w:rPr>
        <w:t>fu</w:t>
      </w:r>
      <w:r>
        <w:rPr>
          <w:rFonts w:ascii="Arial" w:hAnsi="Arial" w:cs="Arial"/>
        </w:rPr>
        <w:t>rniture, supplies</w:t>
      </w:r>
      <w:r w:rsidRPr="00D70794">
        <w:rPr>
          <w:rFonts w:ascii="Arial" w:hAnsi="Arial" w:cs="Arial"/>
        </w:rPr>
        <w:t>, and leasehold improvements.</w:t>
      </w:r>
      <w:r>
        <w:rPr>
          <w:rFonts w:ascii="Arial" w:hAnsi="Arial" w:cs="Arial"/>
        </w:rPr>
        <w:t xml:space="preserve">  </w:t>
      </w:r>
      <w:r w:rsidRPr="00935664">
        <w:rPr>
          <w:rFonts w:ascii="Arial" w:hAnsi="Arial" w:cs="Arial"/>
        </w:rPr>
        <w:t>Personal property taxes</w:t>
      </w:r>
      <w:r>
        <w:rPr>
          <w:rFonts w:ascii="Arial" w:hAnsi="Arial" w:cs="Arial"/>
        </w:rPr>
        <w:t xml:space="preserve"> </w:t>
      </w:r>
      <w:r w:rsidRPr="00935664">
        <w:rPr>
          <w:rFonts w:ascii="Arial" w:hAnsi="Arial" w:cs="Arial"/>
        </w:rPr>
        <w:t xml:space="preserve">are assessed against businesses, utilities, airlines, timber, leasehold estates, mobile homes, floating homes and lease accounts.  </w:t>
      </w:r>
    </w:p>
    <w:p w:rsidR="00F23379" w:rsidRPr="00935664" w:rsidRDefault="00F23379" w:rsidP="00F23379">
      <w:pPr>
        <w:rPr>
          <w:rFonts w:ascii="Arial" w:hAnsi="Arial" w:cs="Arial"/>
        </w:rPr>
      </w:pPr>
    </w:p>
    <w:p w:rsidR="00F23379" w:rsidRPr="00935664" w:rsidRDefault="00F23379" w:rsidP="00F23379">
      <w:pPr>
        <w:rPr>
          <w:rFonts w:ascii="Arial" w:hAnsi="Arial" w:cs="Arial"/>
        </w:rPr>
      </w:pPr>
      <w:r w:rsidRPr="00935664">
        <w:rPr>
          <w:rFonts w:ascii="Arial" w:hAnsi="Arial" w:cs="Arial"/>
        </w:rPr>
        <w:t xml:space="preserve">When an account becomes delinquent, Treasury initiates procedures to obtain payment (see Attachment </w:t>
      </w:r>
      <w:r>
        <w:rPr>
          <w:rFonts w:ascii="Arial" w:hAnsi="Arial" w:cs="Arial"/>
        </w:rPr>
        <w:t>4</w:t>
      </w:r>
      <w:r w:rsidRPr="00935664">
        <w:rPr>
          <w:rFonts w:ascii="Arial" w:hAnsi="Arial" w:cs="Arial"/>
        </w:rPr>
        <w:t xml:space="preserve">).  After Treasury performs diligent efforts to collect, state law (RCW 84.56.240 and RCW 84.56.260) requires Treasury to submit a list to the Council of those delinquent tax accounts found to be uncollectible.  The county’s Manager of Treasury Operations must also submit an affidavit stating that a diligent search for the delinquent taxpayers was conducted and unable to yield any property from which owed taxes could be collected.  The Council may then “cancel such taxes as they are satisfied cannot be collected.”  </w:t>
      </w:r>
      <w:r w:rsidRPr="00935664">
        <w:rPr>
          <w:rFonts w:ascii="Arial" w:hAnsi="Arial" w:cs="Arial"/>
          <w:i/>
        </w:rPr>
        <w:t>This procedure is required on an annual basis and the Council considers this type of legislation each year.</w:t>
      </w:r>
    </w:p>
    <w:p w:rsidR="00AE3BE4" w:rsidRDefault="00AE3BE4">
      <w:pPr>
        <w:rPr>
          <w:rFonts w:ascii="Arial" w:hAnsi="Arial" w:cs="Arial"/>
          <w:b/>
          <w:u w:val="single"/>
        </w:rPr>
      </w:pPr>
      <w:r>
        <w:rPr>
          <w:rFonts w:ascii="Arial" w:hAnsi="Arial" w:cs="Arial"/>
          <w:b/>
          <w:u w:val="single"/>
        </w:rPr>
        <w:br w:type="page"/>
      </w:r>
    </w:p>
    <w:p w:rsidR="00F23379" w:rsidRPr="00935664" w:rsidRDefault="00F23379" w:rsidP="00F23379">
      <w:pPr>
        <w:rPr>
          <w:rFonts w:ascii="Arial" w:hAnsi="Arial" w:cs="Arial"/>
        </w:rPr>
      </w:pPr>
      <w:r w:rsidRPr="00935664">
        <w:rPr>
          <w:rFonts w:ascii="Arial" w:hAnsi="Arial" w:cs="Arial"/>
          <w:b/>
          <w:u w:val="single"/>
        </w:rPr>
        <w:lastRenderedPageBreak/>
        <w:t>ANALYSIS:</w:t>
      </w:r>
    </w:p>
    <w:p w:rsidR="00F23379" w:rsidRDefault="00F23379" w:rsidP="00F23379">
      <w:pPr>
        <w:rPr>
          <w:rFonts w:ascii="Arial" w:hAnsi="Arial" w:cs="Arial"/>
        </w:rPr>
      </w:pPr>
    </w:p>
    <w:p w:rsidR="00F23379" w:rsidRPr="00935664" w:rsidRDefault="00F23379" w:rsidP="00F23379">
      <w:pPr>
        <w:rPr>
          <w:rFonts w:ascii="Arial" w:hAnsi="Arial" w:cs="Arial"/>
        </w:rPr>
      </w:pPr>
      <w:r w:rsidRPr="00CF207E">
        <w:rPr>
          <w:rFonts w:ascii="Arial" w:hAnsi="Arial" w:cs="Arial"/>
        </w:rPr>
        <w:t xml:space="preserve">This legislation would authorize the Manager of Treasury Operations to cancel </w:t>
      </w:r>
      <w:r w:rsidR="00AE3BE4">
        <w:rPr>
          <w:rFonts w:ascii="Arial" w:hAnsi="Arial" w:cs="Arial"/>
        </w:rPr>
        <w:t>799</w:t>
      </w:r>
      <w:r w:rsidRPr="00CF207E">
        <w:rPr>
          <w:rFonts w:ascii="Arial" w:hAnsi="Arial" w:cs="Arial"/>
        </w:rPr>
        <w:t xml:space="preserve"> uncollectible personal property tax accounts, as </w:t>
      </w:r>
      <w:r>
        <w:rPr>
          <w:rFonts w:ascii="Arial" w:hAnsi="Arial" w:cs="Arial"/>
        </w:rPr>
        <w:t>shown</w:t>
      </w:r>
      <w:r w:rsidRPr="00CF207E">
        <w:rPr>
          <w:rFonts w:ascii="Arial" w:hAnsi="Arial" w:cs="Arial"/>
        </w:rPr>
        <w:t xml:space="preserve"> in Attachment </w:t>
      </w:r>
      <w:r>
        <w:rPr>
          <w:rFonts w:ascii="Arial" w:hAnsi="Arial" w:cs="Arial"/>
        </w:rPr>
        <w:t xml:space="preserve">C </w:t>
      </w:r>
      <w:r w:rsidRPr="00CF207E">
        <w:rPr>
          <w:rFonts w:ascii="Arial" w:hAnsi="Arial" w:cs="Arial"/>
        </w:rPr>
        <w:t>to Proposed</w:t>
      </w:r>
      <w:r w:rsidRPr="00935664">
        <w:rPr>
          <w:rFonts w:ascii="Arial" w:hAnsi="Arial" w:cs="Arial"/>
        </w:rPr>
        <w:t xml:space="preserve"> </w:t>
      </w:r>
      <w:r w:rsidRPr="00CF207E">
        <w:rPr>
          <w:rFonts w:ascii="Arial" w:hAnsi="Arial" w:cs="Arial"/>
        </w:rPr>
        <w:t>Motion 201</w:t>
      </w:r>
      <w:r w:rsidR="00AE3BE4">
        <w:rPr>
          <w:rFonts w:ascii="Arial" w:hAnsi="Arial" w:cs="Arial"/>
        </w:rPr>
        <w:t>4</w:t>
      </w:r>
      <w:r w:rsidRPr="00CF207E">
        <w:rPr>
          <w:rFonts w:ascii="Arial" w:hAnsi="Arial" w:cs="Arial"/>
        </w:rPr>
        <w:t>-00</w:t>
      </w:r>
      <w:r w:rsidR="00AE3BE4">
        <w:rPr>
          <w:rFonts w:ascii="Arial" w:hAnsi="Arial" w:cs="Arial"/>
        </w:rPr>
        <w:t>73</w:t>
      </w:r>
      <w:r w:rsidRPr="00CF207E">
        <w:rPr>
          <w:rFonts w:ascii="Arial" w:hAnsi="Arial" w:cs="Arial"/>
        </w:rPr>
        <w:t>.  These accounts total $1,</w:t>
      </w:r>
      <w:r w:rsidR="00AE3BE4">
        <w:rPr>
          <w:rFonts w:ascii="Arial" w:hAnsi="Arial" w:cs="Arial"/>
        </w:rPr>
        <w:t>408</w:t>
      </w:r>
      <w:r w:rsidRPr="00CF207E">
        <w:rPr>
          <w:rFonts w:ascii="Arial" w:hAnsi="Arial" w:cs="Arial"/>
        </w:rPr>
        <w:t>,</w:t>
      </w:r>
      <w:r w:rsidR="00AE3BE4">
        <w:rPr>
          <w:rFonts w:ascii="Arial" w:hAnsi="Arial" w:cs="Arial"/>
        </w:rPr>
        <w:t>143</w:t>
      </w:r>
      <w:r w:rsidRPr="00CF207E">
        <w:rPr>
          <w:rFonts w:ascii="Arial" w:hAnsi="Arial" w:cs="Arial"/>
        </w:rPr>
        <w:t>.</w:t>
      </w:r>
      <w:r w:rsidR="00AE3BE4">
        <w:rPr>
          <w:rFonts w:ascii="Arial" w:hAnsi="Arial" w:cs="Arial"/>
        </w:rPr>
        <w:t>4</w:t>
      </w:r>
      <w:r w:rsidRPr="00CF207E">
        <w:rPr>
          <w:rFonts w:ascii="Arial" w:hAnsi="Arial" w:cs="Arial"/>
        </w:rPr>
        <w:t xml:space="preserve">1 and date from </w:t>
      </w:r>
      <w:r w:rsidR="00AE3BE4">
        <w:rPr>
          <w:rFonts w:ascii="Arial" w:hAnsi="Arial" w:cs="Arial"/>
        </w:rPr>
        <w:t>2003</w:t>
      </w:r>
      <w:r w:rsidRPr="00CF207E">
        <w:rPr>
          <w:rFonts w:ascii="Arial" w:hAnsi="Arial" w:cs="Arial"/>
        </w:rPr>
        <w:t xml:space="preserve"> to 2013, as</w:t>
      </w:r>
      <w:r w:rsidRPr="00935664">
        <w:rPr>
          <w:rFonts w:ascii="Arial" w:hAnsi="Arial" w:cs="Arial"/>
        </w:rPr>
        <w:t xml:space="preserve"> reported in the Executive's transmittal letter and shown below in Table 1.  </w:t>
      </w:r>
    </w:p>
    <w:p w:rsidR="00F23379" w:rsidRPr="00935664" w:rsidRDefault="00F23379" w:rsidP="00F23379">
      <w:pPr>
        <w:rPr>
          <w:rFonts w:ascii="Arial" w:hAnsi="Arial" w:cs="Arial"/>
          <w:b/>
        </w:rPr>
      </w:pPr>
    </w:p>
    <w:p w:rsidR="00F23379" w:rsidRPr="00935664" w:rsidRDefault="00F23379" w:rsidP="00F23379">
      <w:pPr>
        <w:jc w:val="center"/>
        <w:rPr>
          <w:rFonts w:ascii="Arial" w:hAnsi="Arial" w:cs="Arial"/>
          <w:b/>
        </w:rPr>
      </w:pPr>
      <w:r>
        <w:rPr>
          <w:rFonts w:ascii="Arial" w:hAnsi="Arial" w:cs="Arial"/>
          <w:b/>
        </w:rPr>
        <w:t>Table 1.  Uncollectible Taxes Proposed for Cancellation</w:t>
      </w:r>
    </w:p>
    <w:tbl>
      <w:tblPr>
        <w:tblW w:w="4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3150"/>
      </w:tblGrid>
      <w:tr w:rsidR="00F23379" w:rsidRPr="00935664" w:rsidTr="00867C54">
        <w:trPr>
          <w:trHeight w:val="266"/>
          <w:jc w:val="center"/>
        </w:trPr>
        <w:tc>
          <w:tcPr>
            <w:tcW w:w="1435" w:type="dxa"/>
            <w:shd w:val="clear" w:color="auto" w:fill="FBD4B4"/>
            <w:noWrap/>
            <w:vAlign w:val="center"/>
          </w:tcPr>
          <w:p w:rsidR="00F23379" w:rsidRPr="00935664" w:rsidRDefault="00F23379" w:rsidP="00867C54">
            <w:pPr>
              <w:keepNext/>
              <w:jc w:val="center"/>
              <w:rPr>
                <w:rFonts w:ascii="Arial" w:hAnsi="Arial" w:cs="Arial"/>
                <w:b/>
                <w:i/>
              </w:rPr>
            </w:pPr>
            <w:r w:rsidRPr="00935664">
              <w:rPr>
                <w:rFonts w:ascii="Arial" w:hAnsi="Arial" w:cs="Arial"/>
                <w:b/>
                <w:i/>
              </w:rPr>
              <w:t>Year Billed</w:t>
            </w:r>
          </w:p>
        </w:tc>
        <w:tc>
          <w:tcPr>
            <w:tcW w:w="3150" w:type="dxa"/>
            <w:shd w:val="clear" w:color="auto" w:fill="FBD4B4"/>
            <w:vAlign w:val="center"/>
          </w:tcPr>
          <w:p w:rsidR="00F23379" w:rsidRPr="00935664" w:rsidRDefault="00F23379" w:rsidP="00867C54">
            <w:pPr>
              <w:keepNext/>
              <w:spacing w:after="40"/>
              <w:jc w:val="center"/>
              <w:rPr>
                <w:rFonts w:ascii="Arial" w:hAnsi="Arial" w:cs="Arial"/>
                <w:b/>
                <w:i/>
              </w:rPr>
            </w:pPr>
            <w:r w:rsidRPr="00935664">
              <w:rPr>
                <w:rFonts w:ascii="Arial" w:hAnsi="Arial" w:cs="Arial"/>
                <w:b/>
                <w:i/>
              </w:rPr>
              <w:t>Amount Unpaid</w:t>
            </w:r>
          </w:p>
        </w:tc>
      </w:tr>
      <w:tr w:rsidR="00AE3BE4" w:rsidRPr="00935664" w:rsidTr="00867C54">
        <w:trPr>
          <w:trHeight w:val="266"/>
          <w:jc w:val="center"/>
        </w:trPr>
        <w:tc>
          <w:tcPr>
            <w:tcW w:w="1435" w:type="dxa"/>
            <w:shd w:val="clear" w:color="auto" w:fill="auto"/>
            <w:noWrap/>
            <w:vAlign w:val="bottom"/>
          </w:tcPr>
          <w:p w:rsidR="00AE3BE4" w:rsidRPr="00D33FF4" w:rsidRDefault="00AE3BE4" w:rsidP="00867C54">
            <w:pPr>
              <w:jc w:val="right"/>
              <w:rPr>
                <w:rFonts w:ascii="Arial" w:hAnsi="Arial" w:cs="Arial"/>
              </w:rPr>
            </w:pPr>
            <w:r w:rsidRPr="00AE3BE4">
              <w:rPr>
                <w:rFonts w:ascii="Arial" w:hAnsi="Arial" w:cs="Arial"/>
              </w:rPr>
              <w:t>2013</w:t>
            </w:r>
          </w:p>
        </w:tc>
        <w:tc>
          <w:tcPr>
            <w:tcW w:w="3150" w:type="dxa"/>
            <w:shd w:val="clear" w:color="auto" w:fill="auto"/>
            <w:vAlign w:val="bottom"/>
          </w:tcPr>
          <w:p w:rsidR="00AE3BE4" w:rsidRPr="00D33FF4" w:rsidRDefault="00AE3BE4" w:rsidP="00867C54">
            <w:pPr>
              <w:jc w:val="right"/>
              <w:rPr>
                <w:rFonts w:ascii="Arial" w:hAnsi="Arial" w:cs="Arial"/>
              </w:rPr>
            </w:pPr>
            <w:r w:rsidRPr="00AE3BE4">
              <w:rPr>
                <w:rFonts w:ascii="Arial" w:hAnsi="Arial" w:cs="Arial"/>
              </w:rPr>
              <w:t xml:space="preserve"> $         21,421.70</w:t>
            </w:r>
          </w:p>
        </w:tc>
      </w:tr>
      <w:tr w:rsidR="00AE3BE4" w:rsidRPr="00935664" w:rsidTr="00867C54">
        <w:trPr>
          <w:trHeight w:val="266"/>
          <w:jc w:val="center"/>
        </w:trPr>
        <w:tc>
          <w:tcPr>
            <w:tcW w:w="1435" w:type="dxa"/>
            <w:shd w:val="clear" w:color="auto" w:fill="auto"/>
            <w:noWrap/>
            <w:vAlign w:val="bottom"/>
          </w:tcPr>
          <w:p w:rsidR="00AE3BE4" w:rsidRPr="00D33FF4" w:rsidRDefault="00AE3BE4" w:rsidP="00867C54">
            <w:pPr>
              <w:jc w:val="right"/>
              <w:rPr>
                <w:rFonts w:ascii="Arial" w:hAnsi="Arial" w:cs="Arial"/>
              </w:rPr>
            </w:pPr>
            <w:r w:rsidRPr="00AE3BE4">
              <w:rPr>
                <w:rFonts w:ascii="Arial" w:hAnsi="Arial" w:cs="Arial"/>
              </w:rPr>
              <w:t>2012</w:t>
            </w:r>
          </w:p>
        </w:tc>
        <w:tc>
          <w:tcPr>
            <w:tcW w:w="3150" w:type="dxa"/>
            <w:shd w:val="clear" w:color="auto" w:fill="auto"/>
            <w:vAlign w:val="bottom"/>
          </w:tcPr>
          <w:p w:rsidR="00AE3BE4" w:rsidRPr="00D33FF4" w:rsidRDefault="00AE3BE4" w:rsidP="00867C54">
            <w:pPr>
              <w:jc w:val="right"/>
              <w:rPr>
                <w:rFonts w:ascii="Arial" w:hAnsi="Arial" w:cs="Arial"/>
              </w:rPr>
            </w:pPr>
            <w:r w:rsidRPr="00AE3BE4">
              <w:rPr>
                <w:rFonts w:ascii="Arial" w:hAnsi="Arial" w:cs="Arial"/>
              </w:rPr>
              <w:t xml:space="preserve"> $       426,848.95</w:t>
            </w:r>
          </w:p>
        </w:tc>
      </w:tr>
      <w:tr w:rsidR="00AE3BE4" w:rsidRPr="00935664" w:rsidTr="00867C54">
        <w:trPr>
          <w:trHeight w:val="266"/>
          <w:jc w:val="center"/>
        </w:trPr>
        <w:tc>
          <w:tcPr>
            <w:tcW w:w="1435" w:type="dxa"/>
            <w:shd w:val="clear" w:color="auto" w:fill="auto"/>
            <w:noWrap/>
            <w:vAlign w:val="bottom"/>
          </w:tcPr>
          <w:p w:rsidR="00AE3BE4" w:rsidRPr="00D33FF4" w:rsidRDefault="00AE3BE4" w:rsidP="00867C54">
            <w:pPr>
              <w:jc w:val="right"/>
              <w:rPr>
                <w:rFonts w:ascii="Arial" w:hAnsi="Arial" w:cs="Arial"/>
              </w:rPr>
            </w:pPr>
            <w:r w:rsidRPr="00AE3BE4">
              <w:rPr>
                <w:rFonts w:ascii="Arial" w:hAnsi="Arial" w:cs="Arial"/>
              </w:rPr>
              <w:t>2011</w:t>
            </w:r>
          </w:p>
        </w:tc>
        <w:tc>
          <w:tcPr>
            <w:tcW w:w="3150" w:type="dxa"/>
            <w:shd w:val="clear" w:color="auto" w:fill="auto"/>
            <w:vAlign w:val="bottom"/>
          </w:tcPr>
          <w:p w:rsidR="00AE3BE4" w:rsidRPr="00D33FF4" w:rsidRDefault="00AE3BE4" w:rsidP="00867C54">
            <w:pPr>
              <w:jc w:val="right"/>
              <w:rPr>
                <w:rFonts w:ascii="Arial" w:hAnsi="Arial" w:cs="Arial"/>
              </w:rPr>
            </w:pPr>
            <w:r w:rsidRPr="00AE3BE4">
              <w:rPr>
                <w:rFonts w:ascii="Arial" w:hAnsi="Arial" w:cs="Arial"/>
              </w:rPr>
              <w:t xml:space="preserve"> $       374,196.28</w:t>
            </w:r>
          </w:p>
        </w:tc>
      </w:tr>
      <w:tr w:rsidR="00AE3BE4" w:rsidRPr="00935664" w:rsidTr="00867C54">
        <w:trPr>
          <w:trHeight w:val="266"/>
          <w:jc w:val="center"/>
        </w:trPr>
        <w:tc>
          <w:tcPr>
            <w:tcW w:w="1435" w:type="dxa"/>
            <w:shd w:val="clear" w:color="auto" w:fill="auto"/>
            <w:noWrap/>
            <w:vAlign w:val="bottom"/>
          </w:tcPr>
          <w:p w:rsidR="00AE3BE4" w:rsidRPr="00D33FF4" w:rsidRDefault="00AE3BE4" w:rsidP="00867C54">
            <w:pPr>
              <w:jc w:val="right"/>
              <w:rPr>
                <w:rFonts w:ascii="Arial" w:hAnsi="Arial" w:cs="Arial"/>
              </w:rPr>
            </w:pPr>
            <w:r w:rsidRPr="00AE3BE4">
              <w:rPr>
                <w:rFonts w:ascii="Arial" w:hAnsi="Arial" w:cs="Arial"/>
              </w:rPr>
              <w:t>2010</w:t>
            </w:r>
          </w:p>
        </w:tc>
        <w:tc>
          <w:tcPr>
            <w:tcW w:w="3150" w:type="dxa"/>
            <w:shd w:val="clear" w:color="auto" w:fill="auto"/>
            <w:vAlign w:val="bottom"/>
          </w:tcPr>
          <w:p w:rsidR="00AE3BE4" w:rsidRPr="00D33FF4" w:rsidRDefault="00AE3BE4" w:rsidP="00867C54">
            <w:pPr>
              <w:jc w:val="right"/>
              <w:rPr>
                <w:rFonts w:ascii="Arial" w:hAnsi="Arial" w:cs="Arial"/>
              </w:rPr>
            </w:pPr>
            <w:r w:rsidRPr="00AE3BE4">
              <w:rPr>
                <w:rFonts w:ascii="Arial" w:hAnsi="Arial" w:cs="Arial"/>
              </w:rPr>
              <w:t xml:space="preserve"> $       238,295.54</w:t>
            </w:r>
          </w:p>
        </w:tc>
      </w:tr>
      <w:tr w:rsidR="00AE3BE4" w:rsidRPr="00935664" w:rsidTr="00867C54">
        <w:trPr>
          <w:trHeight w:val="266"/>
          <w:jc w:val="center"/>
        </w:trPr>
        <w:tc>
          <w:tcPr>
            <w:tcW w:w="1435" w:type="dxa"/>
            <w:shd w:val="clear" w:color="auto" w:fill="auto"/>
            <w:noWrap/>
            <w:vAlign w:val="bottom"/>
          </w:tcPr>
          <w:p w:rsidR="00AE3BE4" w:rsidRPr="00D33FF4" w:rsidRDefault="00AE3BE4" w:rsidP="00867C54">
            <w:pPr>
              <w:jc w:val="right"/>
              <w:rPr>
                <w:rFonts w:ascii="Arial" w:hAnsi="Arial" w:cs="Arial"/>
              </w:rPr>
            </w:pPr>
            <w:r w:rsidRPr="00AE3BE4">
              <w:rPr>
                <w:rFonts w:ascii="Arial" w:hAnsi="Arial" w:cs="Arial"/>
              </w:rPr>
              <w:t>2009</w:t>
            </w:r>
          </w:p>
        </w:tc>
        <w:tc>
          <w:tcPr>
            <w:tcW w:w="3150" w:type="dxa"/>
            <w:shd w:val="clear" w:color="auto" w:fill="auto"/>
            <w:vAlign w:val="bottom"/>
          </w:tcPr>
          <w:p w:rsidR="00AE3BE4" w:rsidRPr="00D33FF4" w:rsidRDefault="00AE3BE4" w:rsidP="00867C54">
            <w:pPr>
              <w:jc w:val="right"/>
              <w:rPr>
                <w:rFonts w:ascii="Arial" w:hAnsi="Arial" w:cs="Arial"/>
              </w:rPr>
            </w:pPr>
            <w:r w:rsidRPr="00AE3BE4">
              <w:rPr>
                <w:rFonts w:ascii="Arial" w:hAnsi="Arial" w:cs="Arial"/>
              </w:rPr>
              <w:t xml:space="preserve"> $       148,626.26</w:t>
            </w:r>
          </w:p>
        </w:tc>
      </w:tr>
      <w:tr w:rsidR="00AE3BE4" w:rsidRPr="00935664" w:rsidTr="00867C54">
        <w:trPr>
          <w:trHeight w:val="266"/>
          <w:jc w:val="center"/>
        </w:trPr>
        <w:tc>
          <w:tcPr>
            <w:tcW w:w="1435" w:type="dxa"/>
            <w:shd w:val="clear" w:color="auto" w:fill="auto"/>
            <w:noWrap/>
            <w:vAlign w:val="bottom"/>
          </w:tcPr>
          <w:p w:rsidR="00AE3BE4" w:rsidRPr="00D33FF4" w:rsidRDefault="00AE3BE4" w:rsidP="00867C54">
            <w:pPr>
              <w:jc w:val="right"/>
              <w:rPr>
                <w:rFonts w:ascii="Arial" w:hAnsi="Arial" w:cs="Arial"/>
              </w:rPr>
            </w:pPr>
            <w:r w:rsidRPr="00AE3BE4">
              <w:rPr>
                <w:rFonts w:ascii="Arial" w:hAnsi="Arial" w:cs="Arial"/>
              </w:rPr>
              <w:t>2008</w:t>
            </w:r>
          </w:p>
        </w:tc>
        <w:tc>
          <w:tcPr>
            <w:tcW w:w="3150" w:type="dxa"/>
            <w:shd w:val="clear" w:color="auto" w:fill="auto"/>
            <w:vAlign w:val="bottom"/>
          </w:tcPr>
          <w:p w:rsidR="00AE3BE4" w:rsidRPr="00D33FF4" w:rsidRDefault="00AE3BE4" w:rsidP="00867C54">
            <w:pPr>
              <w:jc w:val="right"/>
              <w:rPr>
                <w:rFonts w:ascii="Arial" w:hAnsi="Arial" w:cs="Arial"/>
              </w:rPr>
            </w:pPr>
            <w:r w:rsidRPr="00AE3BE4">
              <w:rPr>
                <w:rFonts w:ascii="Arial" w:hAnsi="Arial" w:cs="Arial"/>
              </w:rPr>
              <w:t xml:space="preserve"> $         90,845.92</w:t>
            </w:r>
          </w:p>
        </w:tc>
      </w:tr>
      <w:tr w:rsidR="00AE3BE4" w:rsidRPr="00935664" w:rsidTr="00867C54">
        <w:trPr>
          <w:trHeight w:val="266"/>
          <w:jc w:val="center"/>
        </w:trPr>
        <w:tc>
          <w:tcPr>
            <w:tcW w:w="1435" w:type="dxa"/>
            <w:shd w:val="clear" w:color="auto" w:fill="auto"/>
            <w:noWrap/>
            <w:vAlign w:val="bottom"/>
          </w:tcPr>
          <w:p w:rsidR="00AE3BE4" w:rsidRPr="00D33FF4" w:rsidRDefault="00AE3BE4" w:rsidP="00867C54">
            <w:pPr>
              <w:jc w:val="right"/>
              <w:rPr>
                <w:rFonts w:ascii="Arial" w:hAnsi="Arial" w:cs="Arial"/>
              </w:rPr>
            </w:pPr>
            <w:r w:rsidRPr="00AE3BE4">
              <w:rPr>
                <w:rFonts w:ascii="Arial" w:hAnsi="Arial" w:cs="Arial"/>
              </w:rPr>
              <w:t>2007</w:t>
            </w:r>
          </w:p>
        </w:tc>
        <w:tc>
          <w:tcPr>
            <w:tcW w:w="3150" w:type="dxa"/>
            <w:shd w:val="clear" w:color="auto" w:fill="auto"/>
            <w:vAlign w:val="bottom"/>
          </w:tcPr>
          <w:p w:rsidR="00AE3BE4" w:rsidRPr="00D33FF4" w:rsidRDefault="00AE3BE4" w:rsidP="00867C54">
            <w:pPr>
              <w:jc w:val="right"/>
              <w:rPr>
                <w:rFonts w:ascii="Arial" w:hAnsi="Arial" w:cs="Arial"/>
              </w:rPr>
            </w:pPr>
            <w:r w:rsidRPr="00AE3BE4">
              <w:rPr>
                <w:rFonts w:ascii="Arial" w:hAnsi="Arial" w:cs="Arial"/>
              </w:rPr>
              <w:t xml:space="preserve"> $       101,938.61</w:t>
            </w:r>
          </w:p>
        </w:tc>
      </w:tr>
      <w:tr w:rsidR="00AE3BE4" w:rsidRPr="00935664" w:rsidTr="00867C54">
        <w:trPr>
          <w:trHeight w:val="266"/>
          <w:jc w:val="center"/>
        </w:trPr>
        <w:tc>
          <w:tcPr>
            <w:tcW w:w="1435" w:type="dxa"/>
            <w:shd w:val="clear" w:color="auto" w:fill="auto"/>
            <w:noWrap/>
            <w:vAlign w:val="bottom"/>
          </w:tcPr>
          <w:p w:rsidR="00AE3BE4" w:rsidRPr="00D33FF4" w:rsidRDefault="00AE3BE4" w:rsidP="00867C54">
            <w:pPr>
              <w:jc w:val="right"/>
              <w:rPr>
                <w:rFonts w:ascii="Arial" w:hAnsi="Arial" w:cs="Arial"/>
              </w:rPr>
            </w:pPr>
            <w:r w:rsidRPr="00AE3BE4">
              <w:rPr>
                <w:rFonts w:ascii="Arial" w:hAnsi="Arial" w:cs="Arial"/>
              </w:rPr>
              <w:t>2006</w:t>
            </w:r>
          </w:p>
        </w:tc>
        <w:tc>
          <w:tcPr>
            <w:tcW w:w="3150" w:type="dxa"/>
            <w:shd w:val="clear" w:color="auto" w:fill="auto"/>
            <w:vAlign w:val="bottom"/>
          </w:tcPr>
          <w:p w:rsidR="00AE3BE4" w:rsidRPr="00D33FF4" w:rsidRDefault="00AE3BE4" w:rsidP="00867C54">
            <w:pPr>
              <w:jc w:val="right"/>
              <w:rPr>
                <w:rFonts w:ascii="Arial" w:hAnsi="Arial" w:cs="Arial"/>
              </w:rPr>
            </w:pPr>
            <w:r w:rsidRPr="00AE3BE4">
              <w:rPr>
                <w:rFonts w:ascii="Arial" w:hAnsi="Arial" w:cs="Arial"/>
              </w:rPr>
              <w:t xml:space="preserve"> $           2,989.62</w:t>
            </w:r>
          </w:p>
        </w:tc>
      </w:tr>
      <w:tr w:rsidR="00AE3BE4" w:rsidRPr="00935664" w:rsidTr="00867C54">
        <w:trPr>
          <w:trHeight w:val="266"/>
          <w:jc w:val="center"/>
        </w:trPr>
        <w:tc>
          <w:tcPr>
            <w:tcW w:w="1435" w:type="dxa"/>
            <w:tcBorders>
              <w:bottom w:val="single" w:sz="4" w:space="0" w:color="auto"/>
            </w:tcBorders>
            <w:shd w:val="clear" w:color="auto" w:fill="auto"/>
            <w:noWrap/>
            <w:vAlign w:val="bottom"/>
          </w:tcPr>
          <w:p w:rsidR="00AE3BE4" w:rsidRPr="00D33FF4" w:rsidRDefault="00AE3BE4" w:rsidP="00867C54">
            <w:pPr>
              <w:jc w:val="right"/>
              <w:rPr>
                <w:rFonts w:ascii="Arial" w:hAnsi="Arial" w:cs="Arial"/>
              </w:rPr>
            </w:pPr>
            <w:r w:rsidRPr="00AE3BE4">
              <w:rPr>
                <w:rFonts w:ascii="Arial" w:hAnsi="Arial" w:cs="Arial"/>
              </w:rPr>
              <w:t>2004</w:t>
            </w:r>
          </w:p>
        </w:tc>
        <w:tc>
          <w:tcPr>
            <w:tcW w:w="3150" w:type="dxa"/>
            <w:tcBorders>
              <w:bottom w:val="single" w:sz="4" w:space="0" w:color="auto"/>
            </w:tcBorders>
            <w:shd w:val="clear" w:color="auto" w:fill="auto"/>
            <w:vAlign w:val="bottom"/>
          </w:tcPr>
          <w:p w:rsidR="00AE3BE4" w:rsidRPr="00D33FF4" w:rsidRDefault="00AE3BE4" w:rsidP="00867C54">
            <w:pPr>
              <w:jc w:val="right"/>
              <w:rPr>
                <w:rFonts w:ascii="Arial" w:hAnsi="Arial" w:cs="Arial"/>
              </w:rPr>
            </w:pPr>
            <w:r w:rsidRPr="00AE3BE4">
              <w:rPr>
                <w:rFonts w:ascii="Arial" w:hAnsi="Arial" w:cs="Arial"/>
              </w:rPr>
              <w:t xml:space="preserve"> $           2,373.52</w:t>
            </w:r>
          </w:p>
        </w:tc>
      </w:tr>
      <w:tr w:rsidR="00AE3BE4" w:rsidRPr="00935664" w:rsidTr="00867C54">
        <w:trPr>
          <w:trHeight w:val="266"/>
          <w:jc w:val="center"/>
        </w:trPr>
        <w:tc>
          <w:tcPr>
            <w:tcW w:w="1435" w:type="dxa"/>
            <w:tcBorders>
              <w:bottom w:val="single" w:sz="4" w:space="0" w:color="auto"/>
            </w:tcBorders>
            <w:shd w:val="clear" w:color="auto" w:fill="auto"/>
            <w:noWrap/>
            <w:vAlign w:val="bottom"/>
          </w:tcPr>
          <w:p w:rsidR="00AE3BE4" w:rsidRPr="00D33FF4" w:rsidRDefault="00AE3BE4" w:rsidP="00867C54">
            <w:pPr>
              <w:jc w:val="right"/>
              <w:rPr>
                <w:rFonts w:ascii="Arial" w:hAnsi="Arial" w:cs="Arial"/>
              </w:rPr>
            </w:pPr>
            <w:r w:rsidRPr="00AE3BE4">
              <w:rPr>
                <w:rFonts w:ascii="Arial" w:hAnsi="Arial" w:cs="Arial"/>
              </w:rPr>
              <w:t>2003</w:t>
            </w:r>
          </w:p>
        </w:tc>
        <w:tc>
          <w:tcPr>
            <w:tcW w:w="3150" w:type="dxa"/>
            <w:tcBorders>
              <w:bottom w:val="single" w:sz="4" w:space="0" w:color="auto"/>
            </w:tcBorders>
            <w:shd w:val="clear" w:color="auto" w:fill="auto"/>
            <w:vAlign w:val="bottom"/>
          </w:tcPr>
          <w:p w:rsidR="00AE3BE4" w:rsidRPr="00D33FF4" w:rsidRDefault="00AE3BE4" w:rsidP="00867C54">
            <w:pPr>
              <w:jc w:val="right"/>
              <w:rPr>
                <w:rFonts w:ascii="Arial" w:hAnsi="Arial" w:cs="Arial"/>
              </w:rPr>
            </w:pPr>
            <w:r w:rsidRPr="00AE3BE4">
              <w:rPr>
                <w:rFonts w:ascii="Arial" w:hAnsi="Arial" w:cs="Arial"/>
              </w:rPr>
              <w:t xml:space="preserve"> $              607.01</w:t>
            </w:r>
          </w:p>
        </w:tc>
      </w:tr>
      <w:tr w:rsidR="00F23379" w:rsidRPr="00935664" w:rsidTr="00867C54">
        <w:trPr>
          <w:trHeight w:val="266"/>
          <w:jc w:val="center"/>
        </w:trPr>
        <w:tc>
          <w:tcPr>
            <w:tcW w:w="1435" w:type="dxa"/>
            <w:shd w:val="clear" w:color="auto" w:fill="FBD4B4"/>
            <w:noWrap/>
            <w:vAlign w:val="bottom"/>
          </w:tcPr>
          <w:p w:rsidR="00F23379" w:rsidRPr="00D33FF4" w:rsidRDefault="00F23379" w:rsidP="00867C54">
            <w:pPr>
              <w:keepNext/>
              <w:jc w:val="right"/>
              <w:rPr>
                <w:rFonts w:ascii="Arial" w:hAnsi="Arial" w:cs="Arial"/>
                <w:b/>
                <w:i/>
              </w:rPr>
            </w:pPr>
            <w:r w:rsidRPr="00D33FF4">
              <w:rPr>
                <w:rFonts w:ascii="Arial" w:hAnsi="Arial" w:cs="Arial"/>
                <w:b/>
                <w:i/>
              </w:rPr>
              <w:t>Total</w:t>
            </w:r>
          </w:p>
        </w:tc>
        <w:tc>
          <w:tcPr>
            <w:tcW w:w="3150" w:type="dxa"/>
            <w:shd w:val="clear" w:color="auto" w:fill="FBD4B4"/>
            <w:vAlign w:val="bottom"/>
          </w:tcPr>
          <w:p w:rsidR="00F23379" w:rsidRPr="00D33FF4" w:rsidRDefault="00F23379" w:rsidP="00AE3BE4">
            <w:pPr>
              <w:keepNext/>
              <w:jc w:val="right"/>
              <w:rPr>
                <w:rFonts w:ascii="Arial" w:hAnsi="Arial" w:cs="Arial"/>
                <w:b/>
                <w:i/>
              </w:rPr>
            </w:pPr>
            <w:r w:rsidRPr="00D33FF4">
              <w:rPr>
                <w:rFonts w:ascii="Arial" w:hAnsi="Arial" w:cs="Arial"/>
                <w:b/>
              </w:rPr>
              <w:t>$    1,</w:t>
            </w:r>
            <w:r w:rsidR="00AE3BE4">
              <w:rPr>
                <w:rFonts w:ascii="Arial" w:hAnsi="Arial" w:cs="Arial"/>
                <w:b/>
              </w:rPr>
              <w:t>408</w:t>
            </w:r>
            <w:r w:rsidRPr="00D33FF4">
              <w:rPr>
                <w:rFonts w:ascii="Arial" w:hAnsi="Arial" w:cs="Arial"/>
                <w:b/>
              </w:rPr>
              <w:t>,1</w:t>
            </w:r>
            <w:r w:rsidR="00AE3BE4">
              <w:rPr>
                <w:rFonts w:ascii="Arial" w:hAnsi="Arial" w:cs="Arial"/>
                <w:b/>
              </w:rPr>
              <w:t>43</w:t>
            </w:r>
            <w:r w:rsidRPr="00D33FF4">
              <w:rPr>
                <w:rFonts w:ascii="Arial" w:hAnsi="Arial" w:cs="Arial"/>
                <w:b/>
              </w:rPr>
              <w:t>.</w:t>
            </w:r>
            <w:r w:rsidR="00AE3BE4">
              <w:rPr>
                <w:rFonts w:ascii="Arial" w:hAnsi="Arial" w:cs="Arial"/>
                <w:b/>
              </w:rPr>
              <w:t>4</w:t>
            </w:r>
            <w:r w:rsidRPr="00D33FF4">
              <w:rPr>
                <w:rFonts w:ascii="Arial" w:hAnsi="Arial" w:cs="Arial"/>
                <w:b/>
              </w:rPr>
              <w:t>1</w:t>
            </w:r>
          </w:p>
        </w:tc>
      </w:tr>
    </w:tbl>
    <w:p w:rsidR="00F23379" w:rsidRPr="00935664" w:rsidRDefault="00F23379" w:rsidP="00F23379">
      <w:pPr>
        <w:rPr>
          <w:rFonts w:ascii="Arial" w:hAnsi="Arial" w:cs="Arial"/>
        </w:rPr>
      </w:pPr>
    </w:p>
    <w:p w:rsidR="00F23379" w:rsidRPr="00935664" w:rsidRDefault="00F23379" w:rsidP="00F23379">
      <w:pPr>
        <w:rPr>
          <w:rFonts w:ascii="Arial" w:hAnsi="Arial" w:cs="Arial"/>
        </w:rPr>
      </w:pPr>
      <w:r w:rsidRPr="00935664">
        <w:rPr>
          <w:rFonts w:ascii="Arial" w:hAnsi="Arial" w:cs="Arial"/>
        </w:rPr>
        <w:t xml:space="preserve">The majority of personal property taxes are successfully collected within the first three </w:t>
      </w:r>
      <w:r w:rsidRPr="00E13BEB">
        <w:rPr>
          <w:rFonts w:ascii="Arial" w:hAnsi="Arial" w:cs="Arial"/>
        </w:rPr>
        <w:t>years of billing.  The proposed for write-offs date back as far as 1</w:t>
      </w:r>
      <w:r w:rsidR="00AE3BE4">
        <w:rPr>
          <w:rFonts w:ascii="Arial" w:hAnsi="Arial" w:cs="Arial"/>
        </w:rPr>
        <w:t>1</w:t>
      </w:r>
      <w:r w:rsidRPr="00E13BEB">
        <w:rPr>
          <w:rFonts w:ascii="Arial" w:hAnsi="Arial" w:cs="Arial"/>
        </w:rPr>
        <w:t xml:space="preserve"> years  because over time the Treasury section determines that taxes are not collectible for various reasons.</w:t>
      </w:r>
      <w:r w:rsidRPr="00935664">
        <w:rPr>
          <w:rFonts w:ascii="Arial" w:hAnsi="Arial" w:cs="Arial"/>
        </w:rPr>
        <w:t xml:space="preserve">  Accounts have been included on the write-off list for the following reasons:</w:t>
      </w:r>
    </w:p>
    <w:p w:rsidR="00F23379" w:rsidRPr="00935664" w:rsidRDefault="00F23379" w:rsidP="00F23379">
      <w:pPr>
        <w:numPr>
          <w:ilvl w:val="0"/>
          <w:numId w:val="22"/>
        </w:numPr>
        <w:rPr>
          <w:rFonts w:ascii="Arial" w:hAnsi="Arial" w:cs="Arial"/>
        </w:rPr>
      </w:pPr>
      <w:r w:rsidRPr="00935664">
        <w:rPr>
          <w:rFonts w:ascii="Arial" w:hAnsi="Arial" w:cs="Arial"/>
        </w:rPr>
        <w:t xml:space="preserve">Taxpayer has gone out of business, and the assets cannot be traced. </w:t>
      </w:r>
    </w:p>
    <w:p w:rsidR="00F23379" w:rsidRPr="00935664" w:rsidRDefault="00F23379" w:rsidP="00F23379">
      <w:pPr>
        <w:numPr>
          <w:ilvl w:val="0"/>
          <w:numId w:val="22"/>
        </w:numPr>
        <w:rPr>
          <w:rFonts w:ascii="Arial" w:hAnsi="Arial" w:cs="Arial"/>
        </w:rPr>
      </w:pPr>
      <w:r w:rsidRPr="00935664">
        <w:rPr>
          <w:rFonts w:ascii="Arial" w:hAnsi="Arial" w:cs="Arial"/>
        </w:rPr>
        <w:t xml:space="preserve">Taxpayer does not have real property to which the </w:t>
      </w:r>
      <w:r w:rsidR="00AE3BE4">
        <w:rPr>
          <w:rFonts w:ascii="Arial" w:hAnsi="Arial" w:cs="Arial"/>
        </w:rPr>
        <w:t>C</w:t>
      </w:r>
      <w:r w:rsidRPr="00935664">
        <w:rPr>
          <w:rFonts w:ascii="Arial" w:hAnsi="Arial" w:cs="Arial"/>
        </w:rPr>
        <w:t>ounty can certify a personal property tax lien.</w:t>
      </w:r>
    </w:p>
    <w:p w:rsidR="00F23379" w:rsidRPr="00935664" w:rsidRDefault="00F23379" w:rsidP="00F23379">
      <w:pPr>
        <w:numPr>
          <w:ilvl w:val="0"/>
          <w:numId w:val="22"/>
        </w:numPr>
        <w:rPr>
          <w:rFonts w:ascii="Arial" w:hAnsi="Arial" w:cs="Arial"/>
        </w:rPr>
      </w:pPr>
      <w:r w:rsidRPr="00935664">
        <w:rPr>
          <w:rFonts w:ascii="Arial" w:hAnsi="Arial" w:cs="Arial"/>
        </w:rPr>
        <w:t>Taxpayer has filed for bankruptcy protection.</w:t>
      </w:r>
    </w:p>
    <w:p w:rsidR="00F23379" w:rsidRPr="00935664" w:rsidRDefault="00F23379" w:rsidP="00F23379">
      <w:pPr>
        <w:numPr>
          <w:ilvl w:val="0"/>
          <w:numId w:val="22"/>
        </w:numPr>
        <w:rPr>
          <w:rFonts w:ascii="Arial" w:hAnsi="Arial" w:cs="Arial"/>
        </w:rPr>
      </w:pPr>
      <w:r w:rsidRPr="00935664">
        <w:rPr>
          <w:rFonts w:ascii="Arial" w:hAnsi="Arial" w:cs="Arial"/>
        </w:rPr>
        <w:t xml:space="preserve">Taxpayer has disposed of or sold assets, and the </w:t>
      </w:r>
      <w:r w:rsidR="00AE3BE4">
        <w:rPr>
          <w:rFonts w:ascii="Arial" w:hAnsi="Arial" w:cs="Arial"/>
        </w:rPr>
        <w:t>C</w:t>
      </w:r>
      <w:r w:rsidRPr="00935664">
        <w:rPr>
          <w:rFonts w:ascii="Arial" w:hAnsi="Arial" w:cs="Arial"/>
        </w:rPr>
        <w:t xml:space="preserve">ounty cannot locate the assets. </w:t>
      </w:r>
    </w:p>
    <w:p w:rsidR="00F23379" w:rsidRPr="00935664" w:rsidRDefault="00F23379" w:rsidP="00F23379">
      <w:pPr>
        <w:numPr>
          <w:ilvl w:val="0"/>
          <w:numId w:val="22"/>
        </w:numPr>
        <w:rPr>
          <w:rFonts w:ascii="Arial" w:hAnsi="Arial" w:cs="Arial"/>
        </w:rPr>
      </w:pPr>
      <w:r w:rsidRPr="00935664">
        <w:rPr>
          <w:rFonts w:ascii="Arial" w:hAnsi="Arial" w:cs="Arial"/>
        </w:rPr>
        <w:t xml:space="preserve">Taxpayer relocated the business and property out of state, taking it out of the </w:t>
      </w:r>
      <w:r w:rsidR="00AE3BE4">
        <w:rPr>
          <w:rFonts w:ascii="Arial" w:hAnsi="Arial" w:cs="Arial"/>
        </w:rPr>
        <w:t>C</w:t>
      </w:r>
      <w:r w:rsidRPr="00935664">
        <w:rPr>
          <w:rFonts w:ascii="Arial" w:hAnsi="Arial" w:cs="Arial"/>
        </w:rPr>
        <w:t>ounty’s jurisdiction to pursue delinquent tax payments.</w:t>
      </w:r>
    </w:p>
    <w:p w:rsidR="00F23379" w:rsidRPr="00935664" w:rsidRDefault="00F23379" w:rsidP="00F23379">
      <w:pPr>
        <w:numPr>
          <w:ilvl w:val="0"/>
          <w:numId w:val="22"/>
        </w:numPr>
        <w:rPr>
          <w:rFonts w:ascii="Arial" w:hAnsi="Arial" w:cs="Arial"/>
        </w:rPr>
      </w:pPr>
      <w:r w:rsidRPr="00935664">
        <w:rPr>
          <w:rFonts w:ascii="Arial" w:hAnsi="Arial" w:cs="Arial"/>
        </w:rPr>
        <w:t>Corporate Officers with no personal liability of defunct corporate debt.</w:t>
      </w:r>
    </w:p>
    <w:p w:rsidR="00F23379" w:rsidRPr="00935664" w:rsidRDefault="00F23379" w:rsidP="00F23379">
      <w:pPr>
        <w:numPr>
          <w:ilvl w:val="0"/>
          <w:numId w:val="22"/>
        </w:numPr>
        <w:rPr>
          <w:rFonts w:ascii="Arial" w:hAnsi="Arial" w:cs="Arial"/>
        </w:rPr>
      </w:pPr>
      <w:r w:rsidRPr="00935664">
        <w:rPr>
          <w:rFonts w:ascii="Arial" w:hAnsi="Arial" w:cs="Arial"/>
        </w:rPr>
        <w:t>Assessments were made in error.</w:t>
      </w:r>
    </w:p>
    <w:p w:rsidR="00F23379" w:rsidRPr="00935664" w:rsidRDefault="00F23379" w:rsidP="00F23379">
      <w:pPr>
        <w:rPr>
          <w:rFonts w:ascii="Arial" w:hAnsi="Arial" w:cs="Arial"/>
        </w:rPr>
      </w:pPr>
    </w:p>
    <w:p w:rsidR="00F23379" w:rsidRPr="00935664" w:rsidRDefault="00F23379" w:rsidP="00F23379">
      <w:pPr>
        <w:rPr>
          <w:rFonts w:ascii="Arial" w:hAnsi="Arial" w:cs="Arial"/>
        </w:rPr>
      </w:pPr>
      <w:r w:rsidRPr="00935664">
        <w:rPr>
          <w:rFonts w:ascii="Arial" w:hAnsi="Arial" w:cs="Arial"/>
        </w:rPr>
        <w:t xml:space="preserve">An affidavit from the Manager of Treasury Operations swearing to the </w:t>
      </w:r>
      <w:r w:rsidR="00AE3BE4">
        <w:rPr>
          <w:rFonts w:ascii="Arial" w:hAnsi="Arial" w:cs="Arial"/>
        </w:rPr>
        <w:t>C</w:t>
      </w:r>
      <w:r w:rsidRPr="00935664">
        <w:rPr>
          <w:rFonts w:ascii="Arial" w:hAnsi="Arial" w:cs="Arial"/>
        </w:rPr>
        <w:t xml:space="preserve">ounty’s diligent effort and ultimate inability to collect these payments has been transmitted to the </w:t>
      </w:r>
      <w:r w:rsidRPr="00E13BEB">
        <w:rPr>
          <w:rFonts w:ascii="Arial" w:hAnsi="Arial" w:cs="Arial"/>
        </w:rPr>
        <w:t>Council as Attachment A to Proposed Motion 201</w:t>
      </w:r>
      <w:r w:rsidR="00AE3BE4">
        <w:rPr>
          <w:rFonts w:ascii="Arial" w:hAnsi="Arial" w:cs="Arial"/>
        </w:rPr>
        <w:t>4</w:t>
      </w:r>
      <w:r w:rsidRPr="00E13BEB">
        <w:rPr>
          <w:rFonts w:ascii="Arial" w:hAnsi="Arial" w:cs="Arial"/>
        </w:rPr>
        <w:t>-007</w:t>
      </w:r>
      <w:r w:rsidR="00AE3BE4">
        <w:rPr>
          <w:rFonts w:ascii="Arial" w:hAnsi="Arial" w:cs="Arial"/>
        </w:rPr>
        <w:t>3</w:t>
      </w:r>
      <w:r w:rsidRPr="00E13BEB">
        <w:rPr>
          <w:rFonts w:ascii="Arial" w:hAnsi="Arial" w:cs="Arial"/>
        </w:rPr>
        <w:t>.</w:t>
      </w:r>
    </w:p>
    <w:p w:rsidR="00F23379" w:rsidRPr="00935664" w:rsidRDefault="00F23379" w:rsidP="00F23379">
      <w:pPr>
        <w:rPr>
          <w:rFonts w:ascii="Arial" w:hAnsi="Arial" w:cs="Arial"/>
        </w:rPr>
      </w:pPr>
    </w:p>
    <w:p w:rsidR="00F23379" w:rsidRPr="00D70794" w:rsidRDefault="00F23379" w:rsidP="00F23379">
      <w:pPr>
        <w:rPr>
          <w:rFonts w:ascii="Arial" w:hAnsi="Arial" w:cs="Arial"/>
        </w:rPr>
      </w:pPr>
      <w:r w:rsidRPr="00935664">
        <w:rPr>
          <w:rFonts w:ascii="Arial" w:hAnsi="Arial" w:cs="Arial"/>
        </w:rPr>
        <w:t xml:space="preserve">The proposed motion would authorize the Manager of Treasury Operations to cancel </w:t>
      </w:r>
      <w:r w:rsidRPr="00CF207E">
        <w:rPr>
          <w:rFonts w:ascii="Arial" w:hAnsi="Arial" w:cs="Arial"/>
        </w:rPr>
        <w:t>$1,</w:t>
      </w:r>
      <w:r w:rsidR="00AE3BE4">
        <w:rPr>
          <w:rFonts w:ascii="Arial" w:hAnsi="Arial" w:cs="Arial"/>
        </w:rPr>
        <w:t>408</w:t>
      </w:r>
      <w:r w:rsidRPr="00CF207E">
        <w:rPr>
          <w:rFonts w:ascii="Arial" w:hAnsi="Arial" w:cs="Arial"/>
        </w:rPr>
        <w:t>,</w:t>
      </w:r>
      <w:r w:rsidR="00AE3BE4">
        <w:rPr>
          <w:rFonts w:ascii="Arial" w:hAnsi="Arial" w:cs="Arial"/>
        </w:rPr>
        <w:t>143</w:t>
      </w:r>
      <w:r w:rsidRPr="00CF207E">
        <w:rPr>
          <w:rFonts w:ascii="Arial" w:hAnsi="Arial" w:cs="Arial"/>
        </w:rPr>
        <w:t>.</w:t>
      </w:r>
      <w:r w:rsidR="00AE3BE4">
        <w:rPr>
          <w:rFonts w:ascii="Arial" w:hAnsi="Arial" w:cs="Arial"/>
        </w:rPr>
        <w:t>4</w:t>
      </w:r>
      <w:r w:rsidRPr="00CF207E">
        <w:rPr>
          <w:rFonts w:ascii="Arial" w:hAnsi="Arial" w:cs="Arial"/>
        </w:rPr>
        <w:t xml:space="preserve">1 </w:t>
      </w:r>
      <w:r w:rsidRPr="00935664">
        <w:rPr>
          <w:rFonts w:ascii="Arial" w:hAnsi="Arial" w:cs="Arial"/>
        </w:rPr>
        <w:t>in billings from the tax rolls</w:t>
      </w:r>
      <w:r w:rsidR="00AE3BE4">
        <w:rPr>
          <w:rFonts w:ascii="Arial" w:hAnsi="Arial" w:cs="Arial"/>
        </w:rPr>
        <w:t xml:space="preserve">.  The accounts comprising to be canceled </w:t>
      </w:r>
      <w:r w:rsidRPr="00E13BEB">
        <w:rPr>
          <w:rFonts w:ascii="Arial" w:hAnsi="Arial" w:cs="Arial"/>
        </w:rPr>
        <w:t>are listed in Attachment C, with a summary report shown in Attachment B.</w:t>
      </w:r>
      <w:r w:rsidRPr="00935664">
        <w:rPr>
          <w:rFonts w:ascii="Arial" w:hAnsi="Arial" w:cs="Arial"/>
        </w:rPr>
        <w:t xml:space="preserve">  The encumbrances would no longer be carried forward.  </w:t>
      </w:r>
      <w:r w:rsidRPr="00935664">
        <w:rPr>
          <w:rFonts w:ascii="Arial" w:hAnsi="Arial" w:cs="Arial"/>
          <w:u w:val="single"/>
        </w:rPr>
        <w:t>Cancellation would not constitute a forgiveness of these debts.</w:t>
      </w:r>
      <w:r w:rsidRPr="00935664">
        <w:rPr>
          <w:rFonts w:ascii="Arial" w:hAnsi="Arial" w:cs="Arial"/>
        </w:rPr>
        <w:t xml:space="preserve">  Tax obligations would remain in force, and the </w:t>
      </w:r>
      <w:r w:rsidR="00AE3BE4">
        <w:rPr>
          <w:rFonts w:ascii="Arial" w:hAnsi="Arial" w:cs="Arial"/>
        </w:rPr>
        <w:t>C</w:t>
      </w:r>
      <w:r w:rsidRPr="00935664">
        <w:rPr>
          <w:rFonts w:ascii="Arial" w:hAnsi="Arial" w:cs="Arial"/>
        </w:rPr>
        <w:t xml:space="preserve">ounty would retain the ability to pursue appropriate legal actions to collect the debt.  </w:t>
      </w:r>
      <w:r>
        <w:rPr>
          <w:rFonts w:ascii="Arial" w:hAnsi="Arial" w:cs="Arial"/>
          <w:u w:val="single"/>
        </w:rPr>
        <w:t xml:space="preserve">In reality, </w:t>
      </w:r>
      <w:r w:rsidRPr="00935664">
        <w:rPr>
          <w:rFonts w:ascii="Arial" w:hAnsi="Arial" w:cs="Arial"/>
          <w:u w:val="single"/>
        </w:rPr>
        <w:t xml:space="preserve">once accounts </w:t>
      </w:r>
      <w:r w:rsidR="000A051A">
        <w:rPr>
          <w:rFonts w:ascii="Arial" w:hAnsi="Arial" w:cs="Arial"/>
          <w:u w:val="single"/>
        </w:rPr>
        <w:t xml:space="preserve">reach this stage of the process and </w:t>
      </w:r>
      <w:r w:rsidRPr="00935664">
        <w:rPr>
          <w:rFonts w:ascii="Arial" w:hAnsi="Arial" w:cs="Arial"/>
          <w:u w:val="single"/>
        </w:rPr>
        <w:t>are cancelled then future collection is unlikely</w:t>
      </w:r>
      <w:r>
        <w:rPr>
          <w:rFonts w:ascii="Arial" w:hAnsi="Arial" w:cs="Arial"/>
        </w:rPr>
        <w:t xml:space="preserve">.  However, </w:t>
      </w:r>
      <w:r>
        <w:rPr>
          <w:rFonts w:ascii="Arial" w:hAnsi="Arial" w:cs="Arial"/>
        </w:rPr>
        <w:lastRenderedPageBreak/>
        <w:t>cancellation administratively helps to clear the tax rolls of those accounts that are truly unlikely to be collected.</w:t>
      </w:r>
    </w:p>
    <w:p w:rsidR="00F23379" w:rsidRPr="00935664" w:rsidRDefault="00F23379" w:rsidP="00F23379">
      <w:pPr>
        <w:rPr>
          <w:rFonts w:ascii="Arial" w:hAnsi="Arial" w:cs="Arial"/>
        </w:rPr>
      </w:pPr>
    </w:p>
    <w:p w:rsidR="00F23379" w:rsidRPr="00A54A3A" w:rsidRDefault="00F23379" w:rsidP="00F23379">
      <w:pPr>
        <w:rPr>
          <w:rFonts w:ascii="Arial" w:hAnsi="Arial" w:cs="Arial"/>
        </w:rPr>
      </w:pPr>
      <w:r w:rsidRPr="00A54A3A">
        <w:rPr>
          <w:rFonts w:ascii="Arial" w:hAnsi="Arial" w:cs="Arial"/>
        </w:rPr>
        <w:t xml:space="preserve">Of the write-off, the </w:t>
      </w:r>
      <w:r w:rsidR="00AE3BE4">
        <w:rPr>
          <w:rFonts w:ascii="Arial" w:hAnsi="Arial" w:cs="Arial"/>
        </w:rPr>
        <w:t>C</w:t>
      </w:r>
      <w:r w:rsidRPr="00A54A3A">
        <w:rPr>
          <w:rFonts w:ascii="Arial" w:hAnsi="Arial" w:cs="Arial"/>
        </w:rPr>
        <w:t>ounty’s one-time potential revenue loss is $</w:t>
      </w:r>
      <w:r w:rsidR="00AE3BE4">
        <w:rPr>
          <w:rFonts w:ascii="Arial" w:hAnsi="Arial" w:cs="Arial"/>
        </w:rPr>
        <w:t>253</w:t>
      </w:r>
      <w:r w:rsidR="00AE3BE4" w:rsidRPr="006B7591">
        <w:rPr>
          <w:rFonts w:ascii="Arial" w:hAnsi="Arial" w:cs="Arial"/>
        </w:rPr>
        <w:t>,</w:t>
      </w:r>
      <w:r w:rsidR="00AE3BE4">
        <w:rPr>
          <w:rFonts w:ascii="Arial" w:hAnsi="Arial" w:cs="Arial"/>
        </w:rPr>
        <w:t>466</w:t>
      </w:r>
      <w:r w:rsidRPr="00A54A3A">
        <w:rPr>
          <w:rFonts w:ascii="Arial" w:hAnsi="Arial" w:cs="Arial"/>
        </w:rPr>
        <w:t>, or 18 percent of the total (</w:t>
      </w:r>
      <w:r w:rsidR="00AE3BE4">
        <w:rPr>
          <w:rFonts w:ascii="Arial" w:hAnsi="Arial" w:cs="Arial"/>
        </w:rPr>
        <w:t xml:space="preserve">about </w:t>
      </w:r>
      <w:r w:rsidRPr="00A54A3A">
        <w:rPr>
          <w:rFonts w:ascii="Arial" w:hAnsi="Arial" w:cs="Arial"/>
        </w:rPr>
        <w:t xml:space="preserve">half of the </w:t>
      </w:r>
      <w:r w:rsidR="00AE3BE4">
        <w:rPr>
          <w:rFonts w:ascii="Arial" w:hAnsi="Arial" w:cs="Arial"/>
        </w:rPr>
        <w:t>County’s loss</w:t>
      </w:r>
      <w:r w:rsidRPr="00A54A3A">
        <w:rPr>
          <w:rFonts w:ascii="Arial" w:hAnsi="Arial" w:cs="Arial"/>
        </w:rPr>
        <w:t>, or $</w:t>
      </w:r>
      <w:r w:rsidR="00AE3BE4">
        <w:rPr>
          <w:rFonts w:ascii="Arial" w:hAnsi="Arial" w:cs="Arial"/>
        </w:rPr>
        <w:t>126,733</w:t>
      </w:r>
      <w:r w:rsidRPr="00A54A3A">
        <w:rPr>
          <w:rFonts w:ascii="Arial" w:hAnsi="Arial" w:cs="Arial"/>
        </w:rPr>
        <w:t>, is a projected loss to the General Fund).  The remaining loss would be incurred by a variety of taxing jurisdictions for which the County collects taxes.  The proposed write-off of $1,</w:t>
      </w:r>
      <w:r w:rsidR="00231724">
        <w:rPr>
          <w:rFonts w:ascii="Arial" w:hAnsi="Arial" w:cs="Arial"/>
        </w:rPr>
        <w:t>408</w:t>
      </w:r>
      <w:r w:rsidRPr="00A54A3A">
        <w:rPr>
          <w:rFonts w:ascii="Arial" w:hAnsi="Arial" w:cs="Arial"/>
        </w:rPr>
        <w:t>,</w:t>
      </w:r>
      <w:r w:rsidR="00231724">
        <w:rPr>
          <w:rFonts w:ascii="Arial" w:hAnsi="Arial" w:cs="Arial"/>
        </w:rPr>
        <w:t>143</w:t>
      </w:r>
      <w:r w:rsidRPr="00A54A3A">
        <w:rPr>
          <w:rFonts w:ascii="Arial" w:hAnsi="Arial" w:cs="Arial"/>
        </w:rPr>
        <w:t>.</w:t>
      </w:r>
      <w:r w:rsidR="00231724">
        <w:rPr>
          <w:rFonts w:ascii="Arial" w:hAnsi="Arial" w:cs="Arial"/>
        </w:rPr>
        <w:t>4</w:t>
      </w:r>
      <w:r w:rsidRPr="00A54A3A">
        <w:rPr>
          <w:rFonts w:ascii="Arial" w:hAnsi="Arial" w:cs="Arial"/>
        </w:rPr>
        <w:t xml:space="preserve">1 </w:t>
      </w:r>
      <w:r w:rsidR="00231724">
        <w:rPr>
          <w:rFonts w:ascii="Arial" w:hAnsi="Arial" w:cs="Arial"/>
        </w:rPr>
        <w:t xml:space="preserve">for 2013 represents a 36% increase over the $1,032.410.41 of property tax written off for 2012, which was in turn </w:t>
      </w:r>
      <w:r w:rsidRPr="00A54A3A">
        <w:rPr>
          <w:rFonts w:ascii="Arial" w:hAnsi="Arial" w:cs="Arial"/>
        </w:rPr>
        <w:t xml:space="preserve">56% larger than the $661,081.35 </w:t>
      </w:r>
      <w:r w:rsidR="00231724">
        <w:rPr>
          <w:rFonts w:ascii="Arial" w:hAnsi="Arial" w:cs="Arial"/>
        </w:rPr>
        <w:t xml:space="preserve">amount for </w:t>
      </w:r>
      <w:r w:rsidRPr="00A54A3A">
        <w:rPr>
          <w:rFonts w:ascii="Arial" w:hAnsi="Arial" w:cs="Arial"/>
        </w:rPr>
        <w:t>201</w:t>
      </w:r>
      <w:r w:rsidR="00231724">
        <w:rPr>
          <w:rFonts w:ascii="Arial" w:hAnsi="Arial" w:cs="Arial"/>
        </w:rPr>
        <w:t>1</w:t>
      </w:r>
      <w:r w:rsidRPr="00A54A3A">
        <w:rPr>
          <w:rFonts w:ascii="Arial" w:hAnsi="Arial" w:cs="Arial"/>
        </w:rPr>
        <w:t xml:space="preserve">.  According to the Executive’s transmittal letter the increase is primarily due to the exhaustion of collection efforts related to business closures over the past </w:t>
      </w:r>
      <w:r w:rsidR="00231724">
        <w:rPr>
          <w:rFonts w:ascii="Arial" w:hAnsi="Arial" w:cs="Arial"/>
        </w:rPr>
        <w:t>several</w:t>
      </w:r>
      <w:r w:rsidRPr="00A54A3A">
        <w:rPr>
          <w:rFonts w:ascii="Arial" w:hAnsi="Arial" w:cs="Arial"/>
        </w:rPr>
        <w:t xml:space="preserve"> years.</w:t>
      </w:r>
      <w:r w:rsidR="00231724">
        <w:rPr>
          <w:rFonts w:ascii="Arial" w:hAnsi="Arial" w:cs="Arial"/>
        </w:rPr>
        <w:t xml:space="preserve">  The taxes owed by these businesses were not declared uncollectible until all collection efforts had been exhausted.</w:t>
      </w:r>
    </w:p>
    <w:p w:rsidR="00F23379" w:rsidRDefault="00F23379" w:rsidP="00F23379">
      <w:pPr>
        <w:rPr>
          <w:rFonts w:ascii="Arial" w:hAnsi="Arial" w:cs="Arial"/>
        </w:rPr>
      </w:pPr>
    </w:p>
    <w:p w:rsidR="00F23379" w:rsidRPr="00935664" w:rsidRDefault="00F23379" w:rsidP="00F23379">
      <w:pPr>
        <w:rPr>
          <w:rFonts w:ascii="Arial" w:hAnsi="Arial" w:cs="Arial"/>
        </w:rPr>
      </w:pPr>
    </w:p>
    <w:p w:rsidR="00F23379" w:rsidRPr="00935664" w:rsidRDefault="00F23379" w:rsidP="00F23379">
      <w:pPr>
        <w:rPr>
          <w:rFonts w:ascii="Arial" w:hAnsi="Arial" w:cs="Arial"/>
          <w:u w:val="single"/>
        </w:rPr>
      </w:pPr>
      <w:r w:rsidRPr="00935664">
        <w:rPr>
          <w:rFonts w:ascii="Arial" w:hAnsi="Arial" w:cs="Arial"/>
          <w:b/>
          <w:u w:val="single"/>
        </w:rPr>
        <w:t xml:space="preserve">REASONABLENESS: </w:t>
      </w:r>
      <w:r w:rsidRPr="00935664">
        <w:rPr>
          <w:rFonts w:ascii="Arial" w:hAnsi="Arial" w:cs="Arial"/>
          <w:u w:val="single"/>
        </w:rPr>
        <w:t xml:space="preserve">   </w:t>
      </w:r>
    </w:p>
    <w:p w:rsidR="00F23379" w:rsidRPr="00935664" w:rsidRDefault="00F23379" w:rsidP="00F23379">
      <w:pPr>
        <w:rPr>
          <w:rFonts w:ascii="Arial" w:hAnsi="Arial" w:cs="Arial"/>
        </w:rPr>
      </w:pPr>
      <w:r w:rsidRPr="00935664">
        <w:rPr>
          <w:rFonts w:ascii="Arial" w:hAnsi="Arial" w:cs="Arial"/>
        </w:rPr>
        <w:t>Treasury Operations has made diligent collection efforts and</w:t>
      </w:r>
      <w:r>
        <w:rPr>
          <w:rFonts w:ascii="Arial" w:hAnsi="Arial" w:cs="Arial"/>
        </w:rPr>
        <w:t>,</w:t>
      </w:r>
      <w:r w:rsidRPr="00935664">
        <w:rPr>
          <w:rFonts w:ascii="Arial" w:hAnsi="Arial" w:cs="Arial"/>
        </w:rPr>
        <w:t xml:space="preserve"> as required by state law, has submitted the annual list of delinquent tax accounts to the Council.  Approval of the proposed motion would be a reasonable policy and business decision. </w:t>
      </w:r>
    </w:p>
    <w:p w:rsidR="00F23379" w:rsidRPr="00935664" w:rsidRDefault="00F23379" w:rsidP="00F23379">
      <w:pPr>
        <w:rPr>
          <w:rFonts w:ascii="Arial" w:hAnsi="Arial" w:cs="Arial"/>
        </w:rPr>
      </w:pPr>
    </w:p>
    <w:p w:rsidR="00F23379" w:rsidRPr="00144F47" w:rsidRDefault="00F23379" w:rsidP="00F23379">
      <w:pPr>
        <w:rPr>
          <w:rFonts w:ascii="Arial" w:hAnsi="Arial" w:cs="Arial"/>
          <w:b/>
          <w:u w:val="single"/>
        </w:rPr>
      </w:pPr>
      <w:r w:rsidRPr="00144F47">
        <w:rPr>
          <w:rFonts w:ascii="Arial" w:hAnsi="Arial" w:cs="Arial"/>
          <w:b/>
          <w:u w:val="single"/>
        </w:rPr>
        <w:t xml:space="preserve">INVITED: </w:t>
      </w:r>
    </w:p>
    <w:p w:rsidR="00F23379" w:rsidRPr="00144F47" w:rsidRDefault="00F23379" w:rsidP="00F23379">
      <w:pPr>
        <w:rPr>
          <w:rFonts w:ascii="Arial" w:hAnsi="Arial" w:cs="Arial"/>
        </w:rPr>
      </w:pPr>
      <w:r w:rsidRPr="00144F47">
        <w:rPr>
          <w:rFonts w:ascii="Arial" w:hAnsi="Arial" w:cs="Arial"/>
        </w:rPr>
        <w:t>Ken Guy, Director, Finance and Business Operations Division (FBOD)</w:t>
      </w:r>
    </w:p>
    <w:p w:rsidR="00F23379" w:rsidRPr="00144F47" w:rsidRDefault="00F23379" w:rsidP="00F23379">
      <w:pPr>
        <w:rPr>
          <w:rFonts w:ascii="Arial" w:hAnsi="Arial" w:cs="Arial"/>
        </w:rPr>
      </w:pPr>
      <w:r w:rsidRPr="00144F47">
        <w:rPr>
          <w:rFonts w:ascii="Arial" w:hAnsi="Arial" w:cs="Arial"/>
        </w:rPr>
        <w:t>Scott Matheson, Treasury Operations Manager, FBOD</w:t>
      </w:r>
    </w:p>
    <w:p w:rsidR="00F23379" w:rsidRPr="00935664" w:rsidRDefault="00F23379" w:rsidP="00F23379">
      <w:pPr>
        <w:rPr>
          <w:rFonts w:ascii="Arial" w:hAnsi="Arial" w:cs="Arial"/>
        </w:rPr>
      </w:pPr>
      <w:r w:rsidRPr="00144F47">
        <w:rPr>
          <w:rFonts w:ascii="Arial" w:hAnsi="Arial" w:cs="Arial"/>
        </w:rPr>
        <w:t>Dwight Dively, Director, Office of Performance, Strategy and Budget</w:t>
      </w:r>
    </w:p>
    <w:p w:rsidR="00F23379" w:rsidRPr="00935664" w:rsidRDefault="00F23379" w:rsidP="00F23379">
      <w:pPr>
        <w:rPr>
          <w:rFonts w:ascii="Arial" w:hAnsi="Arial" w:cs="Arial"/>
        </w:rPr>
      </w:pPr>
    </w:p>
    <w:p w:rsidR="00F23379" w:rsidRPr="00935664" w:rsidRDefault="00F23379" w:rsidP="00F23379">
      <w:pPr>
        <w:rPr>
          <w:rFonts w:ascii="Arial" w:hAnsi="Arial" w:cs="Arial"/>
        </w:rPr>
      </w:pPr>
      <w:r w:rsidRPr="00935664">
        <w:rPr>
          <w:rFonts w:ascii="Arial" w:hAnsi="Arial" w:cs="Arial"/>
          <w:b/>
          <w:u w:val="single"/>
        </w:rPr>
        <w:t>ATTACHMENTS:</w:t>
      </w:r>
    </w:p>
    <w:p w:rsidR="00F23379" w:rsidRPr="00A54A3A" w:rsidRDefault="00F23379" w:rsidP="00F23379">
      <w:pPr>
        <w:numPr>
          <w:ilvl w:val="0"/>
          <w:numId w:val="23"/>
        </w:numPr>
        <w:rPr>
          <w:rFonts w:ascii="Arial" w:hAnsi="Arial" w:cs="Arial"/>
        </w:rPr>
      </w:pPr>
      <w:r w:rsidRPr="00A54A3A">
        <w:rPr>
          <w:rFonts w:ascii="Arial" w:hAnsi="Arial" w:cs="Arial"/>
        </w:rPr>
        <w:t>Proposed Motion 201</w:t>
      </w:r>
      <w:r w:rsidR="00231724">
        <w:rPr>
          <w:rFonts w:ascii="Arial" w:hAnsi="Arial" w:cs="Arial"/>
        </w:rPr>
        <w:t>4</w:t>
      </w:r>
      <w:r w:rsidRPr="00A54A3A">
        <w:rPr>
          <w:rFonts w:ascii="Arial" w:hAnsi="Arial" w:cs="Arial"/>
        </w:rPr>
        <w:t>-00</w:t>
      </w:r>
      <w:r w:rsidR="00231724">
        <w:rPr>
          <w:rFonts w:ascii="Arial" w:hAnsi="Arial" w:cs="Arial"/>
        </w:rPr>
        <w:t>73</w:t>
      </w:r>
      <w:r w:rsidRPr="00A54A3A">
        <w:rPr>
          <w:rFonts w:ascii="Arial" w:hAnsi="Arial" w:cs="Arial"/>
        </w:rPr>
        <w:t>, with Attachments A. Affidavit; B. Details of Write-offs Over $5,000; and C. Fill Write-off List</w:t>
      </w:r>
    </w:p>
    <w:p w:rsidR="00F23379" w:rsidRPr="00935664" w:rsidRDefault="00F23379" w:rsidP="00F23379">
      <w:pPr>
        <w:numPr>
          <w:ilvl w:val="0"/>
          <w:numId w:val="23"/>
        </w:numPr>
        <w:rPr>
          <w:rFonts w:ascii="Arial" w:hAnsi="Arial" w:cs="Arial"/>
        </w:rPr>
      </w:pPr>
      <w:r w:rsidRPr="00935664">
        <w:rPr>
          <w:rFonts w:ascii="Arial" w:hAnsi="Arial" w:cs="Arial"/>
        </w:rPr>
        <w:t>Transmittal Letter</w:t>
      </w:r>
    </w:p>
    <w:p w:rsidR="00F23379" w:rsidRPr="00935664" w:rsidRDefault="00F23379" w:rsidP="00F23379">
      <w:pPr>
        <w:numPr>
          <w:ilvl w:val="0"/>
          <w:numId w:val="23"/>
        </w:numPr>
        <w:rPr>
          <w:rFonts w:ascii="Arial" w:hAnsi="Arial" w:cs="Arial"/>
        </w:rPr>
      </w:pPr>
      <w:r w:rsidRPr="00935664">
        <w:rPr>
          <w:rFonts w:ascii="Arial" w:hAnsi="Arial" w:cs="Arial"/>
        </w:rPr>
        <w:t>Fiscal Note</w:t>
      </w:r>
    </w:p>
    <w:p w:rsidR="00BB42AD" w:rsidRPr="002D028D" w:rsidRDefault="00BB42AD" w:rsidP="00F233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rPr>
      </w:pPr>
    </w:p>
    <w:sectPr w:rsidR="00BB42AD" w:rsidRPr="002D028D" w:rsidSect="002D028D">
      <w:headerReference w:type="first" r:id="rId9"/>
      <w:footerReference w:type="first" r:id="rId10"/>
      <w:pgSz w:w="12240" w:h="15840" w:code="1"/>
      <w:pgMar w:top="1296" w:right="1296" w:bottom="1152" w:left="1296"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AF3931" w15:done="0"/>
  <w15:commentEx w15:paraId="3731E48B" w15:done="0"/>
  <w15:commentEx w15:paraId="10C60843" w15:done="0"/>
  <w15:commentEx w15:paraId="2806C9F0" w15:done="0"/>
  <w15:commentEx w15:paraId="1FE20F3A" w15:done="0"/>
  <w15:commentEx w15:paraId="41CAD3EE" w15:done="0"/>
  <w15:commentEx w15:paraId="0311D23E" w15:done="0"/>
  <w15:commentEx w15:paraId="74CE9949" w15:done="0"/>
  <w15:commentEx w15:paraId="606D0C94" w15:done="0"/>
  <w15:commentEx w15:paraId="589AFDDD" w15:done="0"/>
  <w15:commentEx w15:paraId="0FF72FD3" w15:done="0"/>
  <w15:commentEx w15:paraId="27C501A7" w15:done="0"/>
  <w15:commentEx w15:paraId="7CF00B0C" w15:done="0"/>
  <w15:commentEx w15:paraId="282E3B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74" w:rsidRDefault="000F7B74">
      <w:r>
        <w:separator/>
      </w:r>
    </w:p>
  </w:endnote>
  <w:endnote w:type="continuationSeparator" w:id="0">
    <w:p w:rsidR="000F7B74" w:rsidRDefault="000F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CD" w:rsidRDefault="00F759CD"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74" w:rsidRDefault="000F7B74">
      <w:r>
        <w:separator/>
      </w:r>
    </w:p>
  </w:footnote>
  <w:footnote w:type="continuationSeparator" w:id="0">
    <w:p w:rsidR="000F7B74" w:rsidRDefault="000F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CD" w:rsidRDefault="00F759CD" w:rsidP="006436CB">
    <w:pPr>
      <w:jc w:val="center"/>
    </w:pPr>
    <w:r>
      <w:rPr>
        <w:noProof/>
      </w:rPr>
      <w:drawing>
        <wp:inline distT="0" distB="0" distL="0" distR="0" wp14:anchorId="1E9A2667" wp14:editId="1AC003DA">
          <wp:extent cx="1009650" cy="716280"/>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srcRect/>
                  <a:stretch>
                    <a:fillRect/>
                  </a:stretch>
                </pic:blipFill>
                <pic:spPr bwMode="auto">
                  <a:xfrm>
                    <a:off x="0" y="0"/>
                    <a:ext cx="1009650" cy="716280"/>
                  </a:xfrm>
                  <a:prstGeom prst="rect">
                    <a:avLst/>
                  </a:prstGeom>
                  <a:noFill/>
                  <a:ln w="9525">
                    <a:noFill/>
                    <a:miter lim="800000"/>
                    <a:headEnd/>
                    <a:tailEnd/>
                  </a:ln>
                </pic:spPr>
              </pic:pic>
            </a:graphicData>
          </a:graphic>
        </wp:inline>
      </w:drawing>
    </w:r>
  </w:p>
  <w:p w:rsidR="00F759CD" w:rsidRDefault="00F759CD" w:rsidP="00B430DE">
    <w:pPr>
      <w:jc w:val="center"/>
      <w:rPr>
        <w:rFonts w:ascii="Verdana" w:hAnsi="Verdana"/>
        <w:b/>
        <w:sz w:val="28"/>
        <w:szCs w:val="28"/>
      </w:rPr>
    </w:pPr>
    <w:r>
      <w:rPr>
        <w:rFonts w:ascii="Verdana" w:hAnsi="Verdana"/>
        <w:b/>
        <w:sz w:val="28"/>
        <w:szCs w:val="28"/>
      </w:rPr>
      <w:t>Metropolitan King County Council</w:t>
    </w:r>
  </w:p>
  <w:p w:rsidR="00F759CD" w:rsidRDefault="00F759CD" w:rsidP="00B430DE">
    <w:pPr>
      <w:jc w:val="center"/>
      <w:rPr>
        <w:rFonts w:ascii="Verdana" w:hAnsi="Verdana"/>
        <w:b/>
        <w:sz w:val="28"/>
        <w:szCs w:val="28"/>
      </w:rPr>
    </w:pPr>
    <w:r>
      <w:rPr>
        <w:rFonts w:ascii="Verdana" w:hAnsi="Verdana"/>
        <w:b/>
        <w:sz w:val="28"/>
        <w:szCs w:val="28"/>
      </w:rPr>
      <w:t>Budget and Fiscal Management Committee</w:t>
    </w:r>
  </w:p>
  <w:p w:rsidR="00F759CD" w:rsidRDefault="00F75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0088"/>
    <w:multiLevelType w:val="hybridMultilevel"/>
    <w:tmpl w:val="93968F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26046"/>
    <w:multiLevelType w:val="hybridMultilevel"/>
    <w:tmpl w:val="4C00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64E16"/>
    <w:multiLevelType w:val="hybridMultilevel"/>
    <w:tmpl w:val="C78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C5DC3"/>
    <w:multiLevelType w:val="hybridMultilevel"/>
    <w:tmpl w:val="6C383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D7E63"/>
    <w:multiLevelType w:val="hybridMultilevel"/>
    <w:tmpl w:val="EEACC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A1A54"/>
    <w:multiLevelType w:val="hybridMultilevel"/>
    <w:tmpl w:val="7B00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77530"/>
    <w:multiLevelType w:val="hybridMultilevel"/>
    <w:tmpl w:val="5B8A28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3037D4"/>
    <w:multiLevelType w:val="hybridMultilevel"/>
    <w:tmpl w:val="1994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2E4EE6"/>
    <w:multiLevelType w:val="hybridMultilevel"/>
    <w:tmpl w:val="1EFC0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970770"/>
    <w:multiLevelType w:val="hybridMultilevel"/>
    <w:tmpl w:val="CC707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F367D4"/>
    <w:multiLevelType w:val="hybridMultilevel"/>
    <w:tmpl w:val="151C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D3A46"/>
    <w:multiLevelType w:val="hybridMultilevel"/>
    <w:tmpl w:val="8EF0F64A"/>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2">
    <w:nsid w:val="45A337AC"/>
    <w:multiLevelType w:val="hybridMultilevel"/>
    <w:tmpl w:val="FB4C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F2395"/>
    <w:multiLevelType w:val="hybridMultilevel"/>
    <w:tmpl w:val="818423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A23694"/>
    <w:multiLevelType w:val="hybridMultilevel"/>
    <w:tmpl w:val="F606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37F6F"/>
    <w:multiLevelType w:val="hybridMultilevel"/>
    <w:tmpl w:val="126CF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0760EE"/>
    <w:multiLevelType w:val="hybridMultilevel"/>
    <w:tmpl w:val="6C383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A142A"/>
    <w:multiLevelType w:val="hybridMultilevel"/>
    <w:tmpl w:val="94EE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B63CFD"/>
    <w:multiLevelType w:val="hybridMultilevel"/>
    <w:tmpl w:val="CF00E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153F0B"/>
    <w:multiLevelType w:val="hybridMultilevel"/>
    <w:tmpl w:val="003081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671BCE"/>
    <w:multiLevelType w:val="hybridMultilevel"/>
    <w:tmpl w:val="45449E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0"/>
        </w:tabs>
        <w:ind w:left="0" w:hanging="360"/>
      </w:p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1440"/>
        </w:tabs>
        <w:ind w:left="1440" w:hanging="180"/>
      </w:pPr>
    </w:lvl>
    <w:lvl w:ilvl="6" w:tplc="0409000F">
      <w:start w:val="1"/>
      <w:numFmt w:val="decimal"/>
      <w:lvlText w:val="%7."/>
      <w:lvlJc w:val="left"/>
      <w:pPr>
        <w:tabs>
          <w:tab w:val="num" w:pos="2160"/>
        </w:tabs>
        <w:ind w:left="2160" w:hanging="360"/>
      </w:pPr>
    </w:lvl>
    <w:lvl w:ilvl="7" w:tplc="04090019">
      <w:start w:val="1"/>
      <w:numFmt w:val="lowerLetter"/>
      <w:lvlText w:val="%8."/>
      <w:lvlJc w:val="left"/>
      <w:pPr>
        <w:tabs>
          <w:tab w:val="num" w:pos="2880"/>
        </w:tabs>
        <w:ind w:left="2880" w:hanging="360"/>
      </w:pPr>
    </w:lvl>
    <w:lvl w:ilvl="8" w:tplc="0409001B">
      <w:start w:val="1"/>
      <w:numFmt w:val="lowerRoman"/>
      <w:lvlText w:val="%9."/>
      <w:lvlJc w:val="right"/>
      <w:pPr>
        <w:tabs>
          <w:tab w:val="num" w:pos="3600"/>
        </w:tabs>
        <w:ind w:left="3600" w:hanging="180"/>
      </w:pPr>
    </w:lvl>
  </w:abstractNum>
  <w:abstractNum w:abstractNumId="21">
    <w:nsid w:val="7D016E94"/>
    <w:multiLevelType w:val="hybridMultilevel"/>
    <w:tmpl w:val="0812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F64D75"/>
    <w:multiLevelType w:val="hybridMultilevel"/>
    <w:tmpl w:val="AEB0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
  </w:num>
  <w:num w:numId="4">
    <w:abstractNumId w:val="10"/>
  </w:num>
  <w:num w:numId="5">
    <w:abstractNumId w:val="11"/>
  </w:num>
  <w:num w:numId="6">
    <w:abstractNumId w:val="4"/>
  </w:num>
  <w:num w:numId="7">
    <w:abstractNumId w:val="21"/>
  </w:num>
  <w:num w:numId="8">
    <w:abstractNumId w:val="7"/>
  </w:num>
  <w:num w:numId="9">
    <w:abstractNumId w:val="22"/>
  </w:num>
  <w:num w:numId="10">
    <w:abstractNumId w:val="12"/>
  </w:num>
  <w:num w:numId="11">
    <w:abstractNumId w:val="17"/>
  </w:num>
  <w:num w:numId="12">
    <w:abstractNumId w:val="3"/>
  </w:num>
  <w:num w:numId="13">
    <w:abstractNumId w:val="16"/>
  </w:num>
  <w:num w:numId="14">
    <w:abstractNumId w:val="14"/>
  </w:num>
  <w:num w:numId="15">
    <w:abstractNumId w:val="15"/>
  </w:num>
  <w:num w:numId="16">
    <w:abstractNumId w:val="8"/>
  </w:num>
  <w:num w:numId="17">
    <w:abstractNumId w:val="9"/>
  </w:num>
  <w:num w:numId="18">
    <w:abstractNumId w:val="6"/>
  </w:num>
  <w:num w:numId="19">
    <w:abstractNumId w:val="1"/>
  </w:num>
  <w:num w:numId="20">
    <w:abstractNumId w:val="5"/>
  </w:num>
  <w:num w:numId="21">
    <w:abstractNumId w:val="13"/>
  </w:num>
  <w:num w:numId="22">
    <w:abstractNumId w:val="19"/>
  </w:num>
  <w:num w:numId="23">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macher">
    <w15:presenceInfo w15:providerId="Windows Live" w15:userId="989d6dcaee160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3E21"/>
    <w:rsid w:val="00004B71"/>
    <w:rsid w:val="000064D8"/>
    <w:rsid w:val="0000757B"/>
    <w:rsid w:val="0001227D"/>
    <w:rsid w:val="000129BA"/>
    <w:rsid w:val="00013E82"/>
    <w:rsid w:val="000147E7"/>
    <w:rsid w:val="00020CDE"/>
    <w:rsid w:val="000211D2"/>
    <w:rsid w:val="0002477D"/>
    <w:rsid w:val="000251B1"/>
    <w:rsid w:val="00026B6F"/>
    <w:rsid w:val="00027553"/>
    <w:rsid w:val="00031044"/>
    <w:rsid w:val="000312BF"/>
    <w:rsid w:val="00031DCC"/>
    <w:rsid w:val="000332FA"/>
    <w:rsid w:val="000357EA"/>
    <w:rsid w:val="00036EBE"/>
    <w:rsid w:val="00037865"/>
    <w:rsid w:val="00045D70"/>
    <w:rsid w:val="00047730"/>
    <w:rsid w:val="00051003"/>
    <w:rsid w:val="00051233"/>
    <w:rsid w:val="000514CA"/>
    <w:rsid w:val="00051AAB"/>
    <w:rsid w:val="00053A14"/>
    <w:rsid w:val="000543A9"/>
    <w:rsid w:val="00054884"/>
    <w:rsid w:val="00056D0D"/>
    <w:rsid w:val="00056E79"/>
    <w:rsid w:val="00057E3A"/>
    <w:rsid w:val="0006074E"/>
    <w:rsid w:val="0006082F"/>
    <w:rsid w:val="00060C9C"/>
    <w:rsid w:val="00060F01"/>
    <w:rsid w:val="00061F92"/>
    <w:rsid w:val="000623EC"/>
    <w:rsid w:val="000628A5"/>
    <w:rsid w:val="00062EFF"/>
    <w:rsid w:val="0006480C"/>
    <w:rsid w:val="00064A90"/>
    <w:rsid w:val="0006676D"/>
    <w:rsid w:val="0007020A"/>
    <w:rsid w:val="0007054F"/>
    <w:rsid w:val="00071C11"/>
    <w:rsid w:val="0007443E"/>
    <w:rsid w:val="00074EFB"/>
    <w:rsid w:val="000773C2"/>
    <w:rsid w:val="00077DE5"/>
    <w:rsid w:val="00080BB6"/>
    <w:rsid w:val="00080D1B"/>
    <w:rsid w:val="000864FA"/>
    <w:rsid w:val="00091756"/>
    <w:rsid w:val="00091C01"/>
    <w:rsid w:val="000967D9"/>
    <w:rsid w:val="00096937"/>
    <w:rsid w:val="000A051A"/>
    <w:rsid w:val="000A1C65"/>
    <w:rsid w:val="000A44F9"/>
    <w:rsid w:val="000A658F"/>
    <w:rsid w:val="000A70E7"/>
    <w:rsid w:val="000B3896"/>
    <w:rsid w:val="000B3E14"/>
    <w:rsid w:val="000B53F7"/>
    <w:rsid w:val="000C0AF3"/>
    <w:rsid w:val="000C0E4A"/>
    <w:rsid w:val="000C160E"/>
    <w:rsid w:val="000C255E"/>
    <w:rsid w:val="000C3337"/>
    <w:rsid w:val="000C45AE"/>
    <w:rsid w:val="000D0385"/>
    <w:rsid w:val="000D1476"/>
    <w:rsid w:val="000D199F"/>
    <w:rsid w:val="000D23F4"/>
    <w:rsid w:val="000D2B56"/>
    <w:rsid w:val="000D3AB0"/>
    <w:rsid w:val="000D4079"/>
    <w:rsid w:val="000D5EBB"/>
    <w:rsid w:val="000D6272"/>
    <w:rsid w:val="000E3BAC"/>
    <w:rsid w:val="000E4B39"/>
    <w:rsid w:val="000E50BC"/>
    <w:rsid w:val="000F022F"/>
    <w:rsid w:val="000F1EC0"/>
    <w:rsid w:val="000F29D7"/>
    <w:rsid w:val="000F3952"/>
    <w:rsid w:val="000F42AB"/>
    <w:rsid w:val="000F4325"/>
    <w:rsid w:val="000F4BFE"/>
    <w:rsid w:val="000F55ED"/>
    <w:rsid w:val="000F589C"/>
    <w:rsid w:val="000F7B74"/>
    <w:rsid w:val="0010351A"/>
    <w:rsid w:val="00103B58"/>
    <w:rsid w:val="001112B5"/>
    <w:rsid w:val="0011243C"/>
    <w:rsid w:val="00114D0F"/>
    <w:rsid w:val="00115AEE"/>
    <w:rsid w:val="00115E05"/>
    <w:rsid w:val="00117912"/>
    <w:rsid w:val="00121A2D"/>
    <w:rsid w:val="00122B52"/>
    <w:rsid w:val="00125FFC"/>
    <w:rsid w:val="001260B2"/>
    <w:rsid w:val="001312AB"/>
    <w:rsid w:val="001342D1"/>
    <w:rsid w:val="00134855"/>
    <w:rsid w:val="00137278"/>
    <w:rsid w:val="00141B54"/>
    <w:rsid w:val="00142B5D"/>
    <w:rsid w:val="001433D0"/>
    <w:rsid w:val="0014344D"/>
    <w:rsid w:val="00143B5B"/>
    <w:rsid w:val="00150E8D"/>
    <w:rsid w:val="00151491"/>
    <w:rsid w:val="00152C10"/>
    <w:rsid w:val="0015376F"/>
    <w:rsid w:val="001545F1"/>
    <w:rsid w:val="00154E7F"/>
    <w:rsid w:val="00155869"/>
    <w:rsid w:val="00155A39"/>
    <w:rsid w:val="001562DD"/>
    <w:rsid w:val="00160605"/>
    <w:rsid w:val="00162B53"/>
    <w:rsid w:val="0016668C"/>
    <w:rsid w:val="00166DB7"/>
    <w:rsid w:val="00181566"/>
    <w:rsid w:val="00183725"/>
    <w:rsid w:val="001850D9"/>
    <w:rsid w:val="00190029"/>
    <w:rsid w:val="00191BCF"/>
    <w:rsid w:val="00192EBF"/>
    <w:rsid w:val="00193F11"/>
    <w:rsid w:val="00194AD4"/>
    <w:rsid w:val="0019594E"/>
    <w:rsid w:val="0019712F"/>
    <w:rsid w:val="001A005B"/>
    <w:rsid w:val="001A03C4"/>
    <w:rsid w:val="001A3194"/>
    <w:rsid w:val="001A3425"/>
    <w:rsid w:val="001A37DA"/>
    <w:rsid w:val="001A5A5A"/>
    <w:rsid w:val="001A68C8"/>
    <w:rsid w:val="001A6AE7"/>
    <w:rsid w:val="001B4707"/>
    <w:rsid w:val="001B4C49"/>
    <w:rsid w:val="001B59FA"/>
    <w:rsid w:val="001B60C1"/>
    <w:rsid w:val="001B67FA"/>
    <w:rsid w:val="001B6D3A"/>
    <w:rsid w:val="001B78F3"/>
    <w:rsid w:val="001C2FD6"/>
    <w:rsid w:val="001C3FBC"/>
    <w:rsid w:val="001D1DFC"/>
    <w:rsid w:val="001D1E39"/>
    <w:rsid w:val="001D233E"/>
    <w:rsid w:val="001D5247"/>
    <w:rsid w:val="001E05C4"/>
    <w:rsid w:val="001E0DD1"/>
    <w:rsid w:val="001E1334"/>
    <w:rsid w:val="001E2B99"/>
    <w:rsid w:val="001E58D8"/>
    <w:rsid w:val="001F0048"/>
    <w:rsid w:val="001F2CF1"/>
    <w:rsid w:val="001F38EA"/>
    <w:rsid w:val="001F4E4F"/>
    <w:rsid w:val="001F6661"/>
    <w:rsid w:val="001F7895"/>
    <w:rsid w:val="00200087"/>
    <w:rsid w:val="00200277"/>
    <w:rsid w:val="002007B9"/>
    <w:rsid w:val="00203E1D"/>
    <w:rsid w:val="002069FA"/>
    <w:rsid w:val="00207167"/>
    <w:rsid w:val="002078E7"/>
    <w:rsid w:val="00211100"/>
    <w:rsid w:val="00212363"/>
    <w:rsid w:val="00216242"/>
    <w:rsid w:val="00216484"/>
    <w:rsid w:val="002175D0"/>
    <w:rsid w:val="002179AE"/>
    <w:rsid w:val="0022142F"/>
    <w:rsid w:val="00223462"/>
    <w:rsid w:val="00224D9B"/>
    <w:rsid w:val="00224F2F"/>
    <w:rsid w:val="00225C9E"/>
    <w:rsid w:val="002306D9"/>
    <w:rsid w:val="0023125F"/>
    <w:rsid w:val="00231724"/>
    <w:rsid w:val="00231831"/>
    <w:rsid w:val="00231A96"/>
    <w:rsid w:val="002330A7"/>
    <w:rsid w:val="0023444E"/>
    <w:rsid w:val="00234656"/>
    <w:rsid w:val="0023511A"/>
    <w:rsid w:val="0023529A"/>
    <w:rsid w:val="00235B38"/>
    <w:rsid w:val="002431DE"/>
    <w:rsid w:val="00245402"/>
    <w:rsid w:val="002465D8"/>
    <w:rsid w:val="0024731A"/>
    <w:rsid w:val="00250314"/>
    <w:rsid w:val="00250B0D"/>
    <w:rsid w:val="00252ADB"/>
    <w:rsid w:val="0025556F"/>
    <w:rsid w:val="00261645"/>
    <w:rsid w:val="00261649"/>
    <w:rsid w:val="00264634"/>
    <w:rsid w:val="00264F81"/>
    <w:rsid w:val="00266C9B"/>
    <w:rsid w:val="00270173"/>
    <w:rsid w:val="002708F5"/>
    <w:rsid w:val="0027095D"/>
    <w:rsid w:val="0027165D"/>
    <w:rsid w:val="002724CB"/>
    <w:rsid w:val="00272D28"/>
    <w:rsid w:val="0027307F"/>
    <w:rsid w:val="0027310B"/>
    <w:rsid w:val="00273A39"/>
    <w:rsid w:val="00276D6A"/>
    <w:rsid w:val="002838FF"/>
    <w:rsid w:val="00290D91"/>
    <w:rsid w:val="00292DB7"/>
    <w:rsid w:val="00293C0E"/>
    <w:rsid w:val="00295E5B"/>
    <w:rsid w:val="00295F1D"/>
    <w:rsid w:val="00296C8D"/>
    <w:rsid w:val="002A01C8"/>
    <w:rsid w:val="002A1443"/>
    <w:rsid w:val="002A20C6"/>
    <w:rsid w:val="002A2461"/>
    <w:rsid w:val="002A341B"/>
    <w:rsid w:val="002B4733"/>
    <w:rsid w:val="002B5BB0"/>
    <w:rsid w:val="002B5CB2"/>
    <w:rsid w:val="002B6CB6"/>
    <w:rsid w:val="002B743E"/>
    <w:rsid w:val="002C0C1F"/>
    <w:rsid w:val="002C3B19"/>
    <w:rsid w:val="002C5AE1"/>
    <w:rsid w:val="002D028D"/>
    <w:rsid w:val="002D1B42"/>
    <w:rsid w:val="002D1F61"/>
    <w:rsid w:val="002D2275"/>
    <w:rsid w:val="002D369A"/>
    <w:rsid w:val="002D6813"/>
    <w:rsid w:val="002D6D7E"/>
    <w:rsid w:val="002E4739"/>
    <w:rsid w:val="002E52D9"/>
    <w:rsid w:val="002E615C"/>
    <w:rsid w:val="002F5FAE"/>
    <w:rsid w:val="00301F07"/>
    <w:rsid w:val="00303922"/>
    <w:rsid w:val="00310382"/>
    <w:rsid w:val="00310810"/>
    <w:rsid w:val="00310C27"/>
    <w:rsid w:val="0031547A"/>
    <w:rsid w:val="00315595"/>
    <w:rsid w:val="003163F9"/>
    <w:rsid w:val="00317316"/>
    <w:rsid w:val="003203D8"/>
    <w:rsid w:val="00320BF0"/>
    <w:rsid w:val="00322448"/>
    <w:rsid w:val="00322D37"/>
    <w:rsid w:val="00326131"/>
    <w:rsid w:val="00326D31"/>
    <w:rsid w:val="00327E5E"/>
    <w:rsid w:val="003326A6"/>
    <w:rsid w:val="00333F17"/>
    <w:rsid w:val="003351EF"/>
    <w:rsid w:val="00336935"/>
    <w:rsid w:val="003370C9"/>
    <w:rsid w:val="00341518"/>
    <w:rsid w:val="00342CB2"/>
    <w:rsid w:val="00343576"/>
    <w:rsid w:val="00343A2F"/>
    <w:rsid w:val="00344EA9"/>
    <w:rsid w:val="00346FD0"/>
    <w:rsid w:val="00350D81"/>
    <w:rsid w:val="0035694F"/>
    <w:rsid w:val="00360A8D"/>
    <w:rsid w:val="00362B89"/>
    <w:rsid w:val="00363399"/>
    <w:rsid w:val="003641FF"/>
    <w:rsid w:val="00366539"/>
    <w:rsid w:val="00366792"/>
    <w:rsid w:val="00366D66"/>
    <w:rsid w:val="00366DD2"/>
    <w:rsid w:val="003706B7"/>
    <w:rsid w:val="00372849"/>
    <w:rsid w:val="00373085"/>
    <w:rsid w:val="00373CF1"/>
    <w:rsid w:val="0037504E"/>
    <w:rsid w:val="00375899"/>
    <w:rsid w:val="00375D1C"/>
    <w:rsid w:val="00375D8F"/>
    <w:rsid w:val="0037645D"/>
    <w:rsid w:val="0037730A"/>
    <w:rsid w:val="003777B5"/>
    <w:rsid w:val="00381C2C"/>
    <w:rsid w:val="003863B7"/>
    <w:rsid w:val="003864FE"/>
    <w:rsid w:val="00387639"/>
    <w:rsid w:val="003877B8"/>
    <w:rsid w:val="00391EED"/>
    <w:rsid w:val="003923D4"/>
    <w:rsid w:val="0039280E"/>
    <w:rsid w:val="00395844"/>
    <w:rsid w:val="00397725"/>
    <w:rsid w:val="00397837"/>
    <w:rsid w:val="003A4FAB"/>
    <w:rsid w:val="003A60D1"/>
    <w:rsid w:val="003B03EF"/>
    <w:rsid w:val="003B1ED4"/>
    <w:rsid w:val="003B76F9"/>
    <w:rsid w:val="003C05AD"/>
    <w:rsid w:val="003C3BDE"/>
    <w:rsid w:val="003C5C9F"/>
    <w:rsid w:val="003C6C26"/>
    <w:rsid w:val="003D5B80"/>
    <w:rsid w:val="003D6556"/>
    <w:rsid w:val="003E0C05"/>
    <w:rsid w:val="003E4284"/>
    <w:rsid w:val="003E4F27"/>
    <w:rsid w:val="003E5130"/>
    <w:rsid w:val="003F1E55"/>
    <w:rsid w:val="003F3CF0"/>
    <w:rsid w:val="003F4213"/>
    <w:rsid w:val="003F4B2F"/>
    <w:rsid w:val="003F77CD"/>
    <w:rsid w:val="00401CB8"/>
    <w:rsid w:val="00401D1D"/>
    <w:rsid w:val="00404295"/>
    <w:rsid w:val="00404B00"/>
    <w:rsid w:val="0040660B"/>
    <w:rsid w:val="0041453E"/>
    <w:rsid w:val="00416748"/>
    <w:rsid w:val="004213BA"/>
    <w:rsid w:val="004269DA"/>
    <w:rsid w:val="00430C2E"/>
    <w:rsid w:val="00433FD5"/>
    <w:rsid w:val="00436CF0"/>
    <w:rsid w:val="00437808"/>
    <w:rsid w:val="0044166A"/>
    <w:rsid w:val="0044217E"/>
    <w:rsid w:val="00442E64"/>
    <w:rsid w:val="00443EAF"/>
    <w:rsid w:val="004459FE"/>
    <w:rsid w:val="0044798C"/>
    <w:rsid w:val="00450609"/>
    <w:rsid w:val="00450815"/>
    <w:rsid w:val="00451BAD"/>
    <w:rsid w:val="00452BC7"/>
    <w:rsid w:val="0045621F"/>
    <w:rsid w:val="00466DA3"/>
    <w:rsid w:val="0047008E"/>
    <w:rsid w:val="0047077F"/>
    <w:rsid w:val="00471014"/>
    <w:rsid w:val="0047170A"/>
    <w:rsid w:val="00473C26"/>
    <w:rsid w:val="00476C0D"/>
    <w:rsid w:val="00480506"/>
    <w:rsid w:val="00484E3D"/>
    <w:rsid w:val="00485881"/>
    <w:rsid w:val="00485950"/>
    <w:rsid w:val="00486BEB"/>
    <w:rsid w:val="0048780A"/>
    <w:rsid w:val="00490CFA"/>
    <w:rsid w:val="00492190"/>
    <w:rsid w:val="00493036"/>
    <w:rsid w:val="0049547E"/>
    <w:rsid w:val="00497886"/>
    <w:rsid w:val="004A0073"/>
    <w:rsid w:val="004A1D48"/>
    <w:rsid w:val="004A272D"/>
    <w:rsid w:val="004A2D3A"/>
    <w:rsid w:val="004A4DFA"/>
    <w:rsid w:val="004A513A"/>
    <w:rsid w:val="004A6010"/>
    <w:rsid w:val="004A7BA3"/>
    <w:rsid w:val="004B3A84"/>
    <w:rsid w:val="004B5EF0"/>
    <w:rsid w:val="004C05E9"/>
    <w:rsid w:val="004C1424"/>
    <w:rsid w:val="004C2B47"/>
    <w:rsid w:val="004C4212"/>
    <w:rsid w:val="004C56B1"/>
    <w:rsid w:val="004C75E7"/>
    <w:rsid w:val="004D20A5"/>
    <w:rsid w:val="004D39BD"/>
    <w:rsid w:val="004E0011"/>
    <w:rsid w:val="004E3264"/>
    <w:rsid w:val="004E7D5B"/>
    <w:rsid w:val="004F2242"/>
    <w:rsid w:val="004F2D27"/>
    <w:rsid w:val="004F365D"/>
    <w:rsid w:val="004F42FB"/>
    <w:rsid w:val="004F43DC"/>
    <w:rsid w:val="004F4CEC"/>
    <w:rsid w:val="004F5B56"/>
    <w:rsid w:val="004F5CDC"/>
    <w:rsid w:val="004F71BF"/>
    <w:rsid w:val="005000C3"/>
    <w:rsid w:val="0050049A"/>
    <w:rsid w:val="00501B7B"/>
    <w:rsid w:val="00501D6F"/>
    <w:rsid w:val="00503495"/>
    <w:rsid w:val="00503725"/>
    <w:rsid w:val="00506D99"/>
    <w:rsid w:val="005077E9"/>
    <w:rsid w:val="00510E67"/>
    <w:rsid w:val="00511294"/>
    <w:rsid w:val="00511527"/>
    <w:rsid w:val="00512DD8"/>
    <w:rsid w:val="00515F07"/>
    <w:rsid w:val="00520AD8"/>
    <w:rsid w:val="00521902"/>
    <w:rsid w:val="00521A54"/>
    <w:rsid w:val="00522FBA"/>
    <w:rsid w:val="005247EA"/>
    <w:rsid w:val="00532771"/>
    <w:rsid w:val="005340AC"/>
    <w:rsid w:val="005368A5"/>
    <w:rsid w:val="005373E2"/>
    <w:rsid w:val="00537436"/>
    <w:rsid w:val="005374CE"/>
    <w:rsid w:val="00540DA7"/>
    <w:rsid w:val="00543C15"/>
    <w:rsid w:val="005443D6"/>
    <w:rsid w:val="00545034"/>
    <w:rsid w:val="00546ADE"/>
    <w:rsid w:val="0055393F"/>
    <w:rsid w:val="0056098D"/>
    <w:rsid w:val="00560D47"/>
    <w:rsid w:val="00561A35"/>
    <w:rsid w:val="0056239E"/>
    <w:rsid w:val="00562B5C"/>
    <w:rsid w:val="00563337"/>
    <w:rsid w:val="00567589"/>
    <w:rsid w:val="0057132F"/>
    <w:rsid w:val="00572D2A"/>
    <w:rsid w:val="00574C20"/>
    <w:rsid w:val="005779F4"/>
    <w:rsid w:val="00577B01"/>
    <w:rsid w:val="00577D03"/>
    <w:rsid w:val="005900EF"/>
    <w:rsid w:val="00590966"/>
    <w:rsid w:val="005914B6"/>
    <w:rsid w:val="005936BF"/>
    <w:rsid w:val="00593B1B"/>
    <w:rsid w:val="005A03BD"/>
    <w:rsid w:val="005A0AB3"/>
    <w:rsid w:val="005A259F"/>
    <w:rsid w:val="005A66DE"/>
    <w:rsid w:val="005B0685"/>
    <w:rsid w:val="005B12A7"/>
    <w:rsid w:val="005B4AE5"/>
    <w:rsid w:val="005B73DF"/>
    <w:rsid w:val="005C0BA6"/>
    <w:rsid w:val="005C1582"/>
    <w:rsid w:val="005C1A46"/>
    <w:rsid w:val="005C211E"/>
    <w:rsid w:val="005C3F40"/>
    <w:rsid w:val="005C415D"/>
    <w:rsid w:val="005C616D"/>
    <w:rsid w:val="005C77CE"/>
    <w:rsid w:val="005C7E9C"/>
    <w:rsid w:val="005D028E"/>
    <w:rsid w:val="005D08E0"/>
    <w:rsid w:val="005D1A3E"/>
    <w:rsid w:val="005D4936"/>
    <w:rsid w:val="005D65E4"/>
    <w:rsid w:val="005E0CA5"/>
    <w:rsid w:val="005E1E6C"/>
    <w:rsid w:val="005E214F"/>
    <w:rsid w:val="005E2984"/>
    <w:rsid w:val="005E4859"/>
    <w:rsid w:val="005E50B8"/>
    <w:rsid w:val="005E5B08"/>
    <w:rsid w:val="005F4431"/>
    <w:rsid w:val="005F46EC"/>
    <w:rsid w:val="005F5134"/>
    <w:rsid w:val="005F61B2"/>
    <w:rsid w:val="005F7F4A"/>
    <w:rsid w:val="006016A1"/>
    <w:rsid w:val="00602AAF"/>
    <w:rsid w:val="00614AA4"/>
    <w:rsid w:val="006223C6"/>
    <w:rsid w:val="00622E3D"/>
    <w:rsid w:val="0062419F"/>
    <w:rsid w:val="00624E13"/>
    <w:rsid w:val="0062569F"/>
    <w:rsid w:val="00625C60"/>
    <w:rsid w:val="00630762"/>
    <w:rsid w:val="0063204E"/>
    <w:rsid w:val="006404EC"/>
    <w:rsid w:val="00640501"/>
    <w:rsid w:val="0064056A"/>
    <w:rsid w:val="00642A2B"/>
    <w:rsid w:val="006436CB"/>
    <w:rsid w:val="00650EEC"/>
    <w:rsid w:val="00654F0F"/>
    <w:rsid w:val="006554CC"/>
    <w:rsid w:val="00656751"/>
    <w:rsid w:val="006630FC"/>
    <w:rsid w:val="0066697D"/>
    <w:rsid w:val="00666981"/>
    <w:rsid w:val="00667C2A"/>
    <w:rsid w:val="00670679"/>
    <w:rsid w:val="006728DE"/>
    <w:rsid w:val="006731DC"/>
    <w:rsid w:val="0067565B"/>
    <w:rsid w:val="00677794"/>
    <w:rsid w:val="00677A8A"/>
    <w:rsid w:val="00682788"/>
    <w:rsid w:val="00682A8D"/>
    <w:rsid w:val="00684A7C"/>
    <w:rsid w:val="00684FA9"/>
    <w:rsid w:val="0069035A"/>
    <w:rsid w:val="00690C99"/>
    <w:rsid w:val="0069355D"/>
    <w:rsid w:val="00694F0E"/>
    <w:rsid w:val="00696485"/>
    <w:rsid w:val="00697F6F"/>
    <w:rsid w:val="006A0493"/>
    <w:rsid w:val="006A26AA"/>
    <w:rsid w:val="006A3823"/>
    <w:rsid w:val="006A4526"/>
    <w:rsid w:val="006A4987"/>
    <w:rsid w:val="006A4D99"/>
    <w:rsid w:val="006A533A"/>
    <w:rsid w:val="006B2245"/>
    <w:rsid w:val="006B4F91"/>
    <w:rsid w:val="006B5A57"/>
    <w:rsid w:val="006B5BBC"/>
    <w:rsid w:val="006B681D"/>
    <w:rsid w:val="006B7A4B"/>
    <w:rsid w:val="006C0BD1"/>
    <w:rsid w:val="006C3BCC"/>
    <w:rsid w:val="006C4C47"/>
    <w:rsid w:val="006D1143"/>
    <w:rsid w:val="006D1493"/>
    <w:rsid w:val="006D2EE4"/>
    <w:rsid w:val="006D70D3"/>
    <w:rsid w:val="006E045A"/>
    <w:rsid w:val="006E21CE"/>
    <w:rsid w:val="006E2802"/>
    <w:rsid w:val="006E29B7"/>
    <w:rsid w:val="006E5A78"/>
    <w:rsid w:val="006E62D9"/>
    <w:rsid w:val="006F4660"/>
    <w:rsid w:val="006F58B8"/>
    <w:rsid w:val="00702A85"/>
    <w:rsid w:val="007034C6"/>
    <w:rsid w:val="00705CD9"/>
    <w:rsid w:val="00705ED6"/>
    <w:rsid w:val="00706FB5"/>
    <w:rsid w:val="007111C1"/>
    <w:rsid w:val="00713331"/>
    <w:rsid w:val="0071516D"/>
    <w:rsid w:val="00717966"/>
    <w:rsid w:val="00724525"/>
    <w:rsid w:val="00725E8C"/>
    <w:rsid w:val="00727320"/>
    <w:rsid w:val="00730B8E"/>
    <w:rsid w:val="00730BB8"/>
    <w:rsid w:val="00735539"/>
    <w:rsid w:val="00735C4E"/>
    <w:rsid w:val="007377AB"/>
    <w:rsid w:val="00737FD7"/>
    <w:rsid w:val="007408AC"/>
    <w:rsid w:val="007431A7"/>
    <w:rsid w:val="00743C58"/>
    <w:rsid w:val="0074403A"/>
    <w:rsid w:val="00747156"/>
    <w:rsid w:val="00747BB8"/>
    <w:rsid w:val="0075084A"/>
    <w:rsid w:val="00751671"/>
    <w:rsid w:val="007538A5"/>
    <w:rsid w:val="00756803"/>
    <w:rsid w:val="00756F7D"/>
    <w:rsid w:val="00762695"/>
    <w:rsid w:val="00763783"/>
    <w:rsid w:val="007644CA"/>
    <w:rsid w:val="00765B0D"/>
    <w:rsid w:val="00770173"/>
    <w:rsid w:val="007768D1"/>
    <w:rsid w:val="00780DCB"/>
    <w:rsid w:val="007814B1"/>
    <w:rsid w:val="007843F8"/>
    <w:rsid w:val="00784A36"/>
    <w:rsid w:val="007855AC"/>
    <w:rsid w:val="00785AC4"/>
    <w:rsid w:val="00786346"/>
    <w:rsid w:val="00790FA4"/>
    <w:rsid w:val="00793E6A"/>
    <w:rsid w:val="00797EC2"/>
    <w:rsid w:val="007A6C0E"/>
    <w:rsid w:val="007B27F6"/>
    <w:rsid w:val="007B37D2"/>
    <w:rsid w:val="007B6475"/>
    <w:rsid w:val="007B66D8"/>
    <w:rsid w:val="007B6EEE"/>
    <w:rsid w:val="007B7A08"/>
    <w:rsid w:val="007C4F51"/>
    <w:rsid w:val="007C6688"/>
    <w:rsid w:val="007C7F9A"/>
    <w:rsid w:val="007D078B"/>
    <w:rsid w:val="007D08D9"/>
    <w:rsid w:val="007D0A38"/>
    <w:rsid w:val="007D1FEC"/>
    <w:rsid w:val="007D4EB6"/>
    <w:rsid w:val="007D5579"/>
    <w:rsid w:val="007E1491"/>
    <w:rsid w:val="007E2062"/>
    <w:rsid w:val="007E225A"/>
    <w:rsid w:val="007E7426"/>
    <w:rsid w:val="007F0598"/>
    <w:rsid w:val="007F1A17"/>
    <w:rsid w:val="007F1E8B"/>
    <w:rsid w:val="007F3EC2"/>
    <w:rsid w:val="007F46D8"/>
    <w:rsid w:val="007F629A"/>
    <w:rsid w:val="007F7892"/>
    <w:rsid w:val="00801010"/>
    <w:rsid w:val="00807E1D"/>
    <w:rsid w:val="00810339"/>
    <w:rsid w:val="0081112F"/>
    <w:rsid w:val="008115B4"/>
    <w:rsid w:val="00811E00"/>
    <w:rsid w:val="0081416D"/>
    <w:rsid w:val="008147F6"/>
    <w:rsid w:val="00820430"/>
    <w:rsid w:val="00822350"/>
    <w:rsid w:val="00822735"/>
    <w:rsid w:val="0082363F"/>
    <w:rsid w:val="00824D38"/>
    <w:rsid w:val="00824EA4"/>
    <w:rsid w:val="00827471"/>
    <w:rsid w:val="00827FE4"/>
    <w:rsid w:val="00831B37"/>
    <w:rsid w:val="00832083"/>
    <w:rsid w:val="008326DB"/>
    <w:rsid w:val="00832CC1"/>
    <w:rsid w:val="00834023"/>
    <w:rsid w:val="0083648E"/>
    <w:rsid w:val="00836EB7"/>
    <w:rsid w:val="00836F3B"/>
    <w:rsid w:val="00841488"/>
    <w:rsid w:val="00841FA4"/>
    <w:rsid w:val="00847E28"/>
    <w:rsid w:val="00852B99"/>
    <w:rsid w:val="0085321A"/>
    <w:rsid w:val="00853A58"/>
    <w:rsid w:val="00856459"/>
    <w:rsid w:val="00856D40"/>
    <w:rsid w:val="008639ED"/>
    <w:rsid w:val="00864AAA"/>
    <w:rsid w:val="00865A87"/>
    <w:rsid w:val="00866DC2"/>
    <w:rsid w:val="00867369"/>
    <w:rsid w:val="00867616"/>
    <w:rsid w:val="008679F4"/>
    <w:rsid w:val="00872792"/>
    <w:rsid w:val="0087290A"/>
    <w:rsid w:val="0087391D"/>
    <w:rsid w:val="00875C1F"/>
    <w:rsid w:val="00877F9F"/>
    <w:rsid w:val="00881014"/>
    <w:rsid w:val="008814D4"/>
    <w:rsid w:val="0088160A"/>
    <w:rsid w:val="008831A5"/>
    <w:rsid w:val="008839D0"/>
    <w:rsid w:val="0088530D"/>
    <w:rsid w:val="00885481"/>
    <w:rsid w:val="008857D1"/>
    <w:rsid w:val="00887976"/>
    <w:rsid w:val="00887A56"/>
    <w:rsid w:val="008920A5"/>
    <w:rsid w:val="00892114"/>
    <w:rsid w:val="008923A3"/>
    <w:rsid w:val="0089491D"/>
    <w:rsid w:val="00894BE0"/>
    <w:rsid w:val="00894E3A"/>
    <w:rsid w:val="008A0BB8"/>
    <w:rsid w:val="008A3D9D"/>
    <w:rsid w:val="008A4B37"/>
    <w:rsid w:val="008A7983"/>
    <w:rsid w:val="008A7C5A"/>
    <w:rsid w:val="008B624C"/>
    <w:rsid w:val="008C01AC"/>
    <w:rsid w:val="008C048F"/>
    <w:rsid w:val="008D0394"/>
    <w:rsid w:val="008D071F"/>
    <w:rsid w:val="008D0EAF"/>
    <w:rsid w:val="008D1647"/>
    <w:rsid w:val="008D330B"/>
    <w:rsid w:val="008D3A99"/>
    <w:rsid w:val="008D4B10"/>
    <w:rsid w:val="008D5393"/>
    <w:rsid w:val="008D653A"/>
    <w:rsid w:val="008D6A3F"/>
    <w:rsid w:val="008D6FC5"/>
    <w:rsid w:val="008E47D1"/>
    <w:rsid w:val="008E6B0E"/>
    <w:rsid w:val="008F2324"/>
    <w:rsid w:val="008F304F"/>
    <w:rsid w:val="008F40F1"/>
    <w:rsid w:val="008F6353"/>
    <w:rsid w:val="008F6885"/>
    <w:rsid w:val="009008EF"/>
    <w:rsid w:val="00901FCE"/>
    <w:rsid w:val="00902092"/>
    <w:rsid w:val="00902609"/>
    <w:rsid w:val="00902DE6"/>
    <w:rsid w:val="00903FBC"/>
    <w:rsid w:val="00910F44"/>
    <w:rsid w:val="00912EF5"/>
    <w:rsid w:val="0091429D"/>
    <w:rsid w:val="009163BB"/>
    <w:rsid w:val="00916E98"/>
    <w:rsid w:val="00920908"/>
    <w:rsid w:val="00923794"/>
    <w:rsid w:val="009255E6"/>
    <w:rsid w:val="00927B71"/>
    <w:rsid w:val="009309AA"/>
    <w:rsid w:val="00932A58"/>
    <w:rsid w:val="00932C1D"/>
    <w:rsid w:val="00933270"/>
    <w:rsid w:val="009333ED"/>
    <w:rsid w:val="009344D9"/>
    <w:rsid w:val="009349D6"/>
    <w:rsid w:val="00934AAA"/>
    <w:rsid w:val="009402E7"/>
    <w:rsid w:val="00941561"/>
    <w:rsid w:val="00941F1D"/>
    <w:rsid w:val="00942BB0"/>
    <w:rsid w:val="009448C9"/>
    <w:rsid w:val="009462A7"/>
    <w:rsid w:val="00950AC5"/>
    <w:rsid w:val="00950D97"/>
    <w:rsid w:val="009534CC"/>
    <w:rsid w:val="00954948"/>
    <w:rsid w:val="0095559D"/>
    <w:rsid w:val="00956445"/>
    <w:rsid w:val="00961B17"/>
    <w:rsid w:val="009627DB"/>
    <w:rsid w:val="009628B3"/>
    <w:rsid w:val="00963B7D"/>
    <w:rsid w:val="009656A1"/>
    <w:rsid w:val="00972523"/>
    <w:rsid w:val="009725B7"/>
    <w:rsid w:val="00974517"/>
    <w:rsid w:val="00976D6B"/>
    <w:rsid w:val="0097744A"/>
    <w:rsid w:val="00977C74"/>
    <w:rsid w:val="0098148D"/>
    <w:rsid w:val="00985AB8"/>
    <w:rsid w:val="00996D73"/>
    <w:rsid w:val="009A166B"/>
    <w:rsid w:val="009A2519"/>
    <w:rsid w:val="009A25D7"/>
    <w:rsid w:val="009A2CA5"/>
    <w:rsid w:val="009A3F29"/>
    <w:rsid w:val="009A6667"/>
    <w:rsid w:val="009A7AA0"/>
    <w:rsid w:val="009B05F8"/>
    <w:rsid w:val="009B2CD1"/>
    <w:rsid w:val="009B3FB1"/>
    <w:rsid w:val="009B6F1D"/>
    <w:rsid w:val="009C2FE5"/>
    <w:rsid w:val="009C3360"/>
    <w:rsid w:val="009C50F3"/>
    <w:rsid w:val="009C5545"/>
    <w:rsid w:val="009C7BD5"/>
    <w:rsid w:val="009C7D8B"/>
    <w:rsid w:val="009D55D6"/>
    <w:rsid w:val="009D5E10"/>
    <w:rsid w:val="009E0F12"/>
    <w:rsid w:val="009E2615"/>
    <w:rsid w:val="009E2721"/>
    <w:rsid w:val="009E53DF"/>
    <w:rsid w:val="009E561B"/>
    <w:rsid w:val="009F3D80"/>
    <w:rsid w:val="009F41C8"/>
    <w:rsid w:val="009F4B5B"/>
    <w:rsid w:val="009F5BF3"/>
    <w:rsid w:val="00A05383"/>
    <w:rsid w:val="00A06AF3"/>
    <w:rsid w:val="00A10AA6"/>
    <w:rsid w:val="00A1177A"/>
    <w:rsid w:val="00A11797"/>
    <w:rsid w:val="00A14DD9"/>
    <w:rsid w:val="00A15193"/>
    <w:rsid w:val="00A15B77"/>
    <w:rsid w:val="00A17C26"/>
    <w:rsid w:val="00A21D49"/>
    <w:rsid w:val="00A21DD4"/>
    <w:rsid w:val="00A22075"/>
    <w:rsid w:val="00A2346A"/>
    <w:rsid w:val="00A23F5B"/>
    <w:rsid w:val="00A26FB7"/>
    <w:rsid w:val="00A27B84"/>
    <w:rsid w:val="00A30FEB"/>
    <w:rsid w:val="00A40C7C"/>
    <w:rsid w:val="00A416EB"/>
    <w:rsid w:val="00A42098"/>
    <w:rsid w:val="00A428D9"/>
    <w:rsid w:val="00A44C20"/>
    <w:rsid w:val="00A4663C"/>
    <w:rsid w:val="00A4741B"/>
    <w:rsid w:val="00A5186D"/>
    <w:rsid w:val="00A52FC2"/>
    <w:rsid w:val="00A55BFC"/>
    <w:rsid w:val="00A64CBC"/>
    <w:rsid w:val="00A6731D"/>
    <w:rsid w:val="00A710FD"/>
    <w:rsid w:val="00A72C82"/>
    <w:rsid w:val="00A7332E"/>
    <w:rsid w:val="00A77CA1"/>
    <w:rsid w:val="00A97040"/>
    <w:rsid w:val="00A9795F"/>
    <w:rsid w:val="00AA1854"/>
    <w:rsid w:val="00AA2425"/>
    <w:rsid w:val="00AA2620"/>
    <w:rsid w:val="00AA3961"/>
    <w:rsid w:val="00AA407E"/>
    <w:rsid w:val="00AA41B6"/>
    <w:rsid w:val="00AB11B6"/>
    <w:rsid w:val="00AB3FE4"/>
    <w:rsid w:val="00AB54D4"/>
    <w:rsid w:val="00AB5DD2"/>
    <w:rsid w:val="00AB66D2"/>
    <w:rsid w:val="00AC141E"/>
    <w:rsid w:val="00AC2B0B"/>
    <w:rsid w:val="00AC2F58"/>
    <w:rsid w:val="00AC36C8"/>
    <w:rsid w:val="00AC5635"/>
    <w:rsid w:val="00AC63CD"/>
    <w:rsid w:val="00AC664D"/>
    <w:rsid w:val="00AC77FA"/>
    <w:rsid w:val="00AD1C73"/>
    <w:rsid w:val="00AD3E46"/>
    <w:rsid w:val="00AD6A53"/>
    <w:rsid w:val="00AD70B5"/>
    <w:rsid w:val="00AE06A0"/>
    <w:rsid w:val="00AE3BE4"/>
    <w:rsid w:val="00AE4952"/>
    <w:rsid w:val="00AE6C9D"/>
    <w:rsid w:val="00AE72FF"/>
    <w:rsid w:val="00AE7D7E"/>
    <w:rsid w:val="00AF0AA2"/>
    <w:rsid w:val="00AF2CB0"/>
    <w:rsid w:val="00AF6FF3"/>
    <w:rsid w:val="00AF77B8"/>
    <w:rsid w:val="00AF7A0E"/>
    <w:rsid w:val="00B01556"/>
    <w:rsid w:val="00B0706C"/>
    <w:rsid w:val="00B07099"/>
    <w:rsid w:val="00B11BC2"/>
    <w:rsid w:val="00B147BF"/>
    <w:rsid w:val="00B16BE9"/>
    <w:rsid w:val="00B2195C"/>
    <w:rsid w:val="00B233F7"/>
    <w:rsid w:val="00B263EE"/>
    <w:rsid w:val="00B2685B"/>
    <w:rsid w:val="00B2757C"/>
    <w:rsid w:val="00B3075D"/>
    <w:rsid w:val="00B32636"/>
    <w:rsid w:val="00B347FD"/>
    <w:rsid w:val="00B34BA1"/>
    <w:rsid w:val="00B373BA"/>
    <w:rsid w:val="00B37D51"/>
    <w:rsid w:val="00B4029E"/>
    <w:rsid w:val="00B430DE"/>
    <w:rsid w:val="00B438F3"/>
    <w:rsid w:val="00B441E0"/>
    <w:rsid w:val="00B46498"/>
    <w:rsid w:val="00B51F9C"/>
    <w:rsid w:val="00B53EBC"/>
    <w:rsid w:val="00B541A0"/>
    <w:rsid w:val="00B56742"/>
    <w:rsid w:val="00B5704B"/>
    <w:rsid w:val="00B57C37"/>
    <w:rsid w:val="00B63B5A"/>
    <w:rsid w:val="00B64AA0"/>
    <w:rsid w:val="00B64BF8"/>
    <w:rsid w:val="00B64D51"/>
    <w:rsid w:val="00B65A38"/>
    <w:rsid w:val="00B67656"/>
    <w:rsid w:val="00B6767E"/>
    <w:rsid w:val="00B72417"/>
    <w:rsid w:val="00B83DA0"/>
    <w:rsid w:val="00B83E0A"/>
    <w:rsid w:val="00B8447E"/>
    <w:rsid w:val="00B87F9C"/>
    <w:rsid w:val="00B90870"/>
    <w:rsid w:val="00B91CA3"/>
    <w:rsid w:val="00B94A37"/>
    <w:rsid w:val="00B95E57"/>
    <w:rsid w:val="00B96153"/>
    <w:rsid w:val="00B97016"/>
    <w:rsid w:val="00B97361"/>
    <w:rsid w:val="00BA2396"/>
    <w:rsid w:val="00BA715B"/>
    <w:rsid w:val="00BB022B"/>
    <w:rsid w:val="00BB0402"/>
    <w:rsid w:val="00BB06E3"/>
    <w:rsid w:val="00BB42AD"/>
    <w:rsid w:val="00BB5CEC"/>
    <w:rsid w:val="00BB6F62"/>
    <w:rsid w:val="00BB7839"/>
    <w:rsid w:val="00BB7A05"/>
    <w:rsid w:val="00BC2AF9"/>
    <w:rsid w:val="00BC3286"/>
    <w:rsid w:val="00BC3EE1"/>
    <w:rsid w:val="00BC57BD"/>
    <w:rsid w:val="00BD4136"/>
    <w:rsid w:val="00BD54A9"/>
    <w:rsid w:val="00BD54BB"/>
    <w:rsid w:val="00BD59AB"/>
    <w:rsid w:val="00BD6C5C"/>
    <w:rsid w:val="00BE10E6"/>
    <w:rsid w:val="00BE1A77"/>
    <w:rsid w:val="00BE3A56"/>
    <w:rsid w:val="00BE6883"/>
    <w:rsid w:val="00BF0E33"/>
    <w:rsid w:val="00BF2DB2"/>
    <w:rsid w:val="00BF54AE"/>
    <w:rsid w:val="00BF7460"/>
    <w:rsid w:val="00C02A5E"/>
    <w:rsid w:val="00C032B4"/>
    <w:rsid w:val="00C05C32"/>
    <w:rsid w:val="00C1064D"/>
    <w:rsid w:val="00C11AC6"/>
    <w:rsid w:val="00C12FA5"/>
    <w:rsid w:val="00C149D4"/>
    <w:rsid w:val="00C14ABA"/>
    <w:rsid w:val="00C17C8F"/>
    <w:rsid w:val="00C259E4"/>
    <w:rsid w:val="00C266A3"/>
    <w:rsid w:val="00C301EC"/>
    <w:rsid w:val="00C304EE"/>
    <w:rsid w:val="00C30B80"/>
    <w:rsid w:val="00C30D13"/>
    <w:rsid w:val="00C348A6"/>
    <w:rsid w:val="00C35F56"/>
    <w:rsid w:val="00C36783"/>
    <w:rsid w:val="00C36C81"/>
    <w:rsid w:val="00C37D70"/>
    <w:rsid w:val="00C40E0D"/>
    <w:rsid w:val="00C41B42"/>
    <w:rsid w:val="00C42645"/>
    <w:rsid w:val="00C42FC8"/>
    <w:rsid w:val="00C43521"/>
    <w:rsid w:val="00C44746"/>
    <w:rsid w:val="00C45718"/>
    <w:rsid w:val="00C5029D"/>
    <w:rsid w:val="00C512BB"/>
    <w:rsid w:val="00C56667"/>
    <w:rsid w:val="00C57263"/>
    <w:rsid w:val="00C57D84"/>
    <w:rsid w:val="00C610EA"/>
    <w:rsid w:val="00C63FEC"/>
    <w:rsid w:val="00C65457"/>
    <w:rsid w:val="00C7089A"/>
    <w:rsid w:val="00C745BA"/>
    <w:rsid w:val="00C75F3E"/>
    <w:rsid w:val="00C81BCC"/>
    <w:rsid w:val="00C85F04"/>
    <w:rsid w:val="00C86F46"/>
    <w:rsid w:val="00C9227E"/>
    <w:rsid w:val="00C9793B"/>
    <w:rsid w:val="00CA18F5"/>
    <w:rsid w:val="00CA37A3"/>
    <w:rsid w:val="00CA3B89"/>
    <w:rsid w:val="00CA45BF"/>
    <w:rsid w:val="00CA4AED"/>
    <w:rsid w:val="00CA7E1E"/>
    <w:rsid w:val="00CB0542"/>
    <w:rsid w:val="00CB215F"/>
    <w:rsid w:val="00CB3B15"/>
    <w:rsid w:val="00CB406C"/>
    <w:rsid w:val="00CB516B"/>
    <w:rsid w:val="00CB5DAA"/>
    <w:rsid w:val="00CB6FF9"/>
    <w:rsid w:val="00CC3712"/>
    <w:rsid w:val="00CD1ECE"/>
    <w:rsid w:val="00CD30D8"/>
    <w:rsid w:val="00CD344F"/>
    <w:rsid w:val="00CD78B9"/>
    <w:rsid w:val="00CE5777"/>
    <w:rsid w:val="00CF361C"/>
    <w:rsid w:val="00CF41A2"/>
    <w:rsid w:val="00CF6533"/>
    <w:rsid w:val="00D01E8B"/>
    <w:rsid w:val="00D027B4"/>
    <w:rsid w:val="00D0541E"/>
    <w:rsid w:val="00D10284"/>
    <w:rsid w:val="00D158B2"/>
    <w:rsid w:val="00D20687"/>
    <w:rsid w:val="00D241B6"/>
    <w:rsid w:val="00D24E40"/>
    <w:rsid w:val="00D25723"/>
    <w:rsid w:val="00D316B3"/>
    <w:rsid w:val="00D32892"/>
    <w:rsid w:val="00D35E58"/>
    <w:rsid w:val="00D3621D"/>
    <w:rsid w:val="00D36AAD"/>
    <w:rsid w:val="00D375E7"/>
    <w:rsid w:val="00D378BE"/>
    <w:rsid w:val="00D407A7"/>
    <w:rsid w:val="00D43571"/>
    <w:rsid w:val="00D435BA"/>
    <w:rsid w:val="00D4469C"/>
    <w:rsid w:val="00D51161"/>
    <w:rsid w:val="00D5557A"/>
    <w:rsid w:val="00D60F26"/>
    <w:rsid w:val="00D62C9F"/>
    <w:rsid w:val="00D64ABB"/>
    <w:rsid w:val="00D70B27"/>
    <w:rsid w:val="00D71D04"/>
    <w:rsid w:val="00D755D2"/>
    <w:rsid w:val="00D80D18"/>
    <w:rsid w:val="00D82A76"/>
    <w:rsid w:val="00D84BDA"/>
    <w:rsid w:val="00D90986"/>
    <w:rsid w:val="00D90D9E"/>
    <w:rsid w:val="00D921E0"/>
    <w:rsid w:val="00D92C25"/>
    <w:rsid w:val="00D942B3"/>
    <w:rsid w:val="00D94FCE"/>
    <w:rsid w:val="00DA5B03"/>
    <w:rsid w:val="00DB50F0"/>
    <w:rsid w:val="00DB5BF6"/>
    <w:rsid w:val="00DC1617"/>
    <w:rsid w:val="00DC2549"/>
    <w:rsid w:val="00DC3817"/>
    <w:rsid w:val="00DC3A2D"/>
    <w:rsid w:val="00DC3EE8"/>
    <w:rsid w:val="00DC575D"/>
    <w:rsid w:val="00DC758C"/>
    <w:rsid w:val="00DD0DC0"/>
    <w:rsid w:val="00DD42CA"/>
    <w:rsid w:val="00DD69C3"/>
    <w:rsid w:val="00DE011B"/>
    <w:rsid w:val="00DE0131"/>
    <w:rsid w:val="00DE0512"/>
    <w:rsid w:val="00DE0752"/>
    <w:rsid w:val="00DE104C"/>
    <w:rsid w:val="00DE2386"/>
    <w:rsid w:val="00DF062C"/>
    <w:rsid w:val="00DF4309"/>
    <w:rsid w:val="00E00824"/>
    <w:rsid w:val="00E0225C"/>
    <w:rsid w:val="00E054F7"/>
    <w:rsid w:val="00E06C67"/>
    <w:rsid w:val="00E1011D"/>
    <w:rsid w:val="00E1081E"/>
    <w:rsid w:val="00E10C2B"/>
    <w:rsid w:val="00E11102"/>
    <w:rsid w:val="00E124CF"/>
    <w:rsid w:val="00E12998"/>
    <w:rsid w:val="00E12C9C"/>
    <w:rsid w:val="00E12EB3"/>
    <w:rsid w:val="00E139B1"/>
    <w:rsid w:val="00E178B3"/>
    <w:rsid w:val="00E2227D"/>
    <w:rsid w:val="00E2285F"/>
    <w:rsid w:val="00E229EB"/>
    <w:rsid w:val="00E2365C"/>
    <w:rsid w:val="00E277E5"/>
    <w:rsid w:val="00E30364"/>
    <w:rsid w:val="00E32412"/>
    <w:rsid w:val="00E33CB7"/>
    <w:rsid w:val="00E33DC3"/>
    <w:rsid w:val="00E35372"/>
    <w:rsid w:val="00E35C14"/>
    <w:rsid w:val="00E37AAE"/>
    <w:rsid w:val="00E410E3"/>
    <w:rsid w:val="00E41BE3"/>
    <w:rsid w:val="00E43D0A"/>
    <w:rsid w:val="00E452D5"/>
    <w:rsid w:val="00E51208"/>
    <w:rsid w:val="00E53D6A"/>
    <w:rsid w:val="00E54A93"/>
    <w:rsid w:val="00E54BF6"/>
    <w:rsid w:val="00E54C6E"/>
    <w:rsid w:val="00E57509"/>
    <w:rsid w:val="00E57AAD"/>
    <w:rsid w:val="00E57BE7"/>
    <w:rsid w:val="00E57BF9"/>
    <w:rsid w:val="00E60209"/>
    <w:rsid w:val="00E62672"/>
    <w:rsid w:val="00E6739C"/>
    <w:rsid w:val="00E67C0D"/>
    <w:rsid w:val="00E67DEB"/>
    <w:rsid w:val="00E70B77"/>
    <w:rsid w:val="00E70E6C"/>
    <w:rsid w:val="00E714CA"/>
    <w:rsid w:val="00E71822"/>
    <w:rsid w:val="00E71EEF"/>
    <w:rsid w:val="00E7208A"/>
    <w:rsid w:val="00E7213B"/>
    <w:rsid w:val="00E723D7"/>
    <w:rsid w:val="00E75F7B"/>
    <w:rsid w:val="00E81F19"/>
    <w:rsid w:val="00E855D7"/>
    <w:rsid w:val="00E8607D"/>
    <w:rsid w:val="00E92E48"/>
    <w:rsid w:val="00E9398E"/>
    <w:rsid w:val="00EA035F"/>
    <w:rsid w:val="00EA17DB"/>
    <w:rsid w:val="00EA4865"/>
    <w:rsid w:val="00EA6248"/>
    <w:rsid w:val="00EA7B85"/>
    <w:rsid w:val="00EB1D6D"/>
    <w:rsid w:val="00EB3209"/>
    <w:rsid w:val="00EB3374"/>
    <w:rsid w:val="00EB432D"/>
    <w:rsid w:val="00EB5154"/>
    <w:rsid w:val="00EB696F"/>
    <w:rsid w:val="00EB7459"/>
    <w:rsid w:val="00EC1932"/>
    <w:rsid w:val="00EC54F8"/>
    <w:rsid w:val="00EC5AB7"/>
    <w:rsid w:val="00EC6ABD"/>
    <w:rsid w:val="00EC7208"/>
    <w:rsid w:val="00EC7DD0"/>
    <w:rsid w:val="00ED133D"/>
    <w:rsid w:val="00ED46F5"/>
    <w:rsid w:val="00ED66C7"/>
    <w:rsid w:val="00ED6C65"/>
    <w:rsid w:val="00EE15A5"/>
    <w:rsid w:val="00EE2265"/>
    <w:rsid w:val="00EE2359"/>
    <w:rsid w:val="00EE36C5"/>
    <w:rsid w:val="00EE5481"/>
    <w:rsid w:val="00EE5C11"/>
    <w:rsid w:val="00EE626D"/>
    <w:rsid w:val="00EE6CBF"/>
    <w:rsid w:val="00EE7D7E"/>
    <w:rsid w:val="00EF15DB"/>
    <w:rsid w:val="00EF3540"/>
    <w:rsid w:val="00EF42FF"/>
    <w:rsid w:val="00F023E9"/>
    <w:rsid w:val="00F02E36"/>
    <w:rsid w:val="00F05233"/>
    <w:rsid w:val="00F05DDD"/>
    <w:rsid w:val="00F06936"/>
    <w:rsid w:val="00F07C9A"/>
    <w:rsid w:val="00F10E52"/>
    <w:rsid w:val="00F121EB"/>
    <w:rsid w:val="00F12B71"/>
    <w:rsid w:val="00F157C9"/>
    <w:rsid w:val="00F2194F"/>
    <w:rsid w:val="00F22686"/>
    <w:rsid w:val="00F23379"/>
    <w:rsid w:val="00F24BEA"/>
    <w:rsid w:val="00F27D96"/>
    <w:rsid w:val="00F323CD"/>
    <w:rsid w:val="00F34C8C"/>
    <w:rsid w:val="00F3508D"/>
    <w:rsid w:val="00F35B6C"/>
    <w:rsid w:val="00F40D7D"/>
    <w:rsid w:val="00F41ED2"/>
    <w:rsid w:val="00F477CA"/>
    <w:rsid w:val="00F51B3B"/>
    <w:rsid w:val="00F5276D"/>
    <w:rsid w:val="00F52F62"/>
    <w:rsid w:val="00F53FE9"/>
    <w:rsid w:val="00F54B2F"/>
    <w:rsid w:val="00F5680C"/>
    <w:rsid w:val="00F61932"/>
    <w:rsid w:val="00F62B46"/>
    <w:rsid w:val="00F6728A"/>
    <w:rsid w:val="00F71FF2"/>
    <w:rsid w:val="00F73494"/>
    <w:rsid w:val="00F74706"/>
    <w:rsid w:val="00F759CD"/>
    <w:rsid w:val="00F76443"/>
    <w:rsid w:val="00F76C26"/>
    <w:rsid w:val="00F77020"/>
    <w:rsid w:val="00F77A36"/>
    <w:rsid w:val="00F8251D"/>
    <w:rsid w:val="00F82826"/>
    <w:rsid w:val="00F84BE2"/>
    <w:rsid w:val="00F85377"/>
    <w:rsid w:val="00F8642B"/>
    <w:rsid w:val="00F92CDA"/>
    <w:rsid w:val="00F95612"/>
    <w:rsid w:val="00F95680"/>
    <w:rsid w:val="00F96981"/>
    <w:rsid w:val="00FA004B"/>
    <w:rsid w:val="00FA1A3B"/>
    <w:rsid w:val="00FA67E1"/>
    <w:rsid w:val="00FB418E"/>
    <w:rsid w:val="00FB6633"/>
    <w:rsid w:val="00FC0109"/>
    <w:rsid w:val="00FD24B6"/>
    <w:rsid w:val="00FD259C"/>
    <w:rsid w:val="00FD3D8D"/>
    <w:rsid w:val="00FD4630"/>
    <w:rsid w:val="00FD4CED"/>
    <w:rsid w:val="00FD68AC"/>
    <w:rsid w:val="00FE0D94"/>
    <w:rsid w:val="00FE290A"/>
    <w:rsid w:val="00FE4DCF"/>
    <w:rsid w:val="00FE6181"/>
    <w:rsid w:val="00FF010C"/>
    <w:rsid w:val="00FF1D55"/>
    <w:rsid w:val="00FF4412"/>
    <w:rsid w:val="00FF6223"/>
    <w:rsid w:val="00FF69B8"/>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paragraph" w:styleId="Heading9">
    <w:name w:val="heading 9"/>
    <w:basedOn w:val="Normal"/>
    <w:next w:val="Normal"/>
    <w:link w:val="Heading9Char"/>
    <w:uiPriority w:val="9"/>
    <w:semiHidden/>
    <w:unhideWhenUsed/>
    <w:qFormat/>
    <w:rsid w:val="00E57B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uiPriority w:val="59"/>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semiHidden/>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character" w:customStyle="1" w:styleId="Heading9Char">
    <w:name w:val="Heading 9 Char"/>
    <w:basedOn w:val="DefaultParagraphFont"/>
    <w:link w:val="Heading9"/>
    <w:uiPriority w:val="9"/>
    <w:semiHidden/>
    <w:rsid w:val="00E57BF9"/>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9A7AA0"/>
    <w:rPr>
      <w:sz w:val="24"/>
      <w:szCs w:val="24"/>
    </w:rPr>
  </w:style>
  <w:style w:type="paragraph" w:styleId="NormalWeb">
    <w:name w:val="Normal (Web)"/>
    <w:basedOn w:val="Normal"/>
    <w:uiPriority w:val="99"/>
    <w:semiHidden/>
    <w:unhideWhenUsed/>
    <w:rsid w:val="0031547A"/>
    <w:pPr>
      <w:spacing w:before="100" w:beforeAutospacing="1" w:after="100" w:afterAutospacing="1"/>
    </w:pPr>
  </w:style>
  <w:style w:type="character" w:styleId="Emphasis">
    <w:name w:val="Emphasis"/>
    <w:basedOn w:val="DefaultParagraphFont"/>
    <w:uiPriority w:val="20"/>
    <w:qFormat/>
    <w:rsid w:val="005914B6"/>
    <w:rPr>
      <w:i/>
      <w:iCs/>
    </w:rPr>
  </w:style>
  <w:style w:type="character" w:styleId="Hyperlink">
    <w:name w:val="Hyperlink"/>
    <w:basedOn w:val="DefaultParagraphFont"/>
    <w:uiPriority w:val="99"/>
    <w:unhideWhenUsed/>
    <w:rsid w:val="00E67DEB"/>
    <w:rPr>
      <w:color w:val="0000FF" w:themeColor="hyperlink"/>
      <w:u w:val="single"/>
    </w:rPr>
  </w:style>
  <w:style w:type="character" w:styleId="FollowedHyperlink">
    <w:name w:val="FollowedHyperlink"/>
    <w:basedOn w:val="DefaultParagraphFont"/>
    <w:uiPriority w:val="99"/>
    <w:semiHidden/>
    <w:unhideWhenUsed/>
    <w:rsid w:val="00E67DEB"/>
    <w:rPr>
      <w:color w:val="800080" w:themeColor="followedHyperlink"/>
      <w:u w:val="single"/>
    </w:rPr>
  </w:style>
  <w:style w:type="character" w:styleId="Strong">
    <w:name w:val="Strong"/>
    <w:basedOn w:val="DefaultParagraphFont"/>
    <w:uiPriority w:val="22"/>
    <w:qFormat/>
    <w:rsid w:val="00F67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paragraph" w:styleId="Heading9">
    <w:name w:val="heading 9"/>
    <w:basedOn w:val="Normal"/>
    <w:next w:val="Normal"/>
    <w:link w:val="Heading9Char"/>
    <w:uiPriority w:val="9"/>
    <w:semiHidden/>
    <w:unhideWhenUsed/>
    <w:qFormat/>
    <w:rsid w:val="00E57B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uiPriority w:val="59"/>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semiHidden/>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character" w:customStyle="1" w:styleId="Heading9Char">
    <w:name w:val="Heading 9 Char"/>
    <w:basedOn w:val="DefaultParagraphFont"/>
    <w:link w:val="Heading9"/>
    <w:uiPriority w:val="9"/>
    <w:semiHidden/>
    <w:rsid w:val="00E57BF9"/>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9A7AA0"/>
    <w:rPr>
      <w:sz w:val="24"/>
      <w:szCs w:val="24"/>
    </w:rPr>
  </w:style>
  <w:style w:type="paragraph" w:styleId="NormalWeb">
    <w:name w:val="Normal (Web)"/>
    <w:basedOn w:val="Normal"/>
    <w:uiPriority w:val="99"/>
    <w:semiHidden/>
    <w:unhideWhenUsed/>
    <w:rsid w:val="0031547A"/>
    <w:pPr>
      <w:spacing w:before="100" w:beforeAutospacing="1" w:after="100" w:afterAutospacing="1"/>
    </w:pPr>
  </w:style>
  <w:style w:type="character" w:styleId="Emphasis">
    <w:name w:val="Emphasis"/>
    <w:basedOn w:val="DefaultParagraphFont"/>
    <w:uiPriority w:val="20"/>
    <w:qFormat/>
    <w:rsid w:val="005914B6"/>
    <w:rPr>
      <w:i/>
      <w:iCs/>
    </w:rPr>
  </w:style>
  <w:style w:type="character" w:styleId="Hyperlink">
    <w:name w:val="Hyperlink"/>
    <w:basedOn w:val="DefaultParagraphFont"/>
    <w:uiPriority w:val="99"/>
    <w:unhideWhenUsed/>
    <w:rsid w:val="00E67DEB"/>
    <w:rPr>
      <w:color w:val="0000FF" w:themeColor="hyperlink"/>
      <w:u w:val="single"/>
    </w:rPr>
  </w:style>
  <w:style w:type="character" w:styleId="FollowedHyperlink">
    <w:name w:val="FollowedHyperlink"/>
    <w:basedOn w:val="DefaultParagraphFont"/>
    <w:uiPriority w:val="99"/>
    <w:semiHidden/>
    <w:unhideWhenUsed/>
    <w:rsid w:val="00E67DEB"/>
    <w:rPr>
      <w:color w:val="800080" w:themeColor="followedHyperlink"/>
      <w:u w:val="single"/>
    </w:rPr>
  </w:style>
  <w:style w:type="character" w:styleId="Strong">
    <w:name w:val="Strong"/>
    <w:basedOn w:val="DefaultParagraphFont"/>
    <w:uiPriority w:val="22"/>
    <w:qFormat/>
    <w:rsid w:val="00F67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428">
      <w:bodyDiv w:val="1"/>
      <w:marLeft w:val="0"/>
      <w:marRight w:val="0"/>
      <w:marTop w:val="0"/>
      <w:marBottom w:val="0"/>
      <w:divBdr>
        <w:top w:val="none" w:sz="0" w:space="0" w:color="auto"/>
        <w:left w:val="none" w:sz="0" w:space="0" w:color="auto"/>
        <w:bottom w:val="none" w:sz="0" w:space="0" w:color="auto"/>
        <w:right w:val="none" w:sz="0" w:space="0" w:color="auto"/>
      </w:divBdr>
    </w:div>
    <w:div w:id="188220284">
      <w:bodyDiv w:val="1"/>
      <w:marLeft w:val="0"/>
      <w:marRight w:val="0"/>
      <w:marTop w:val="0"/>
      <w:marBottom w:val="0"/>
      <w:divBdr>
        <w:top w:val="none" w:sz="0" w:space="0" w:color="auto"/>
        <w:left w:val="none" w:sz="0" w:space="0" w:color="auto"/>
        <w:bottom w:val="none" w:sz="0" w:space="0" w:color="auto"/>
        <w:right w:val="none" w:sz="0" w:space="0" w:color="auto"/>
      </w:divBdr>
    </w:div>
    <w:div w:id="233324445">
      <w:bodyDiv w:val="1"/>
      <w:marLeft w:val="0"/>
      <w:marRight w:val="0"/>
      <w:marTop w:val="0"/>
      <w:marBottom w:val="0"/>
      <w:divBdr>
        <w:top w:val="none" w:sz="0" w:space="0" w:color="auto"/>
        <w:left w:val="none" w:sz="0" w:space="0" w:color="auto"/>
        <w:bottom w:val="none" w:sz="0" w:space="0" w:color="auto"/>
        <w:right w:val="none" w:sz="0" w:space="0" w:color="auto"/>
      </w:divBdr>
    </w:div>
    <w:div w:id="289946860">
      <w:bodyDiv w:val="1"/>
      <w:marLeft w:val="0"/>
      <w:marRight w:val="0"/>
      <w:marTop w:val="0"/>
      <w:marBottom w:val="0"/>
      <w:divBdr>
        <w:top w:val="none" w:sz="0" w:space="0" w:color="auto"/>
        <w:left w:val="none" w:sz="0" w:space="0" w:color="auto"/>
        <w:bottom w:val="none" w:sz="0" w:space="0" w:color="auto"/>
        <w:right w:val="none" w:sz="0" w:space="0" w:color="auto"/>
      </w:divBdr>
    </w:div>
    <w:div w:id="388722526">
      <w:bodyDiv w:val="1"/>
      <w:marLeft w:val="0"/>
      <w:marRight w:val="0"/>
      <w:marTop w:val="0"/>
      <w:marBottom w:val="0"/>
      <w:divBdr>
        <w:top w:val="none" w:sz="0" w:space="0" w:color="auto"/>
        <w:left w:val="none" w:sz="0" w:space="0" w:color="auto"/>
        <w:bottom w:val="none" w:sz="0" w:space="0" w:color="auto"/>
        <w:right w:val="none" w:sz="0" w:space="0" w:color="auto"/>
      </w:divBdr>
    </w:div>
    <w:div w:id="420761777">
      <w:bodyDiv w:val="1"/>
      <w:marLeft w:val="0"/>
      <w:marRight w:val="0"/>
      <w:marTop w:val="0"/>
      <w:marBottom w:val="0"/>
      <w:divBdr>
        <w:top w:val="none" w:sz="0" w:space="0" w:color="auto"/>
        <w:left w:val="none" w:sz="0" w:space="0" w:color="auto"/>
        <w:bottom w:val="none" w:sz="0" w:space="0" w:color="auto"/>
        <w:right w:val="none" w:sz="0" w:space="0" w:color="auto"/>
      </w:divBdr>
    </w:div>
    <w:div w:id="472874700">
      <w:bodyDiv w:val="1"/>
      <w:marLeft w:val="0"/>
      <w:marRight w:val="0"/>
      <w:marTop w:val="0"/>
      <w:marBottom w:val="0"/>
      <w:divBdr>
        <w:top w:val="none" w:sz="0" w:space="0" w:color="auto"/>
        <w:left w:val="none" w:sz="0" w:space="0" w:color="auto"/>
        <w:bottom w:val="none" w:sz="0" w:space="0" w:color="auto"/>
        <w:right w:val="none" w:sz="0" w:space="0" w:color="auto"/>
      </w:divBdr>
    </w:div>
    <w:div w:id="494534876">
      <w:bodyDiv w:val="1"/>
      <w:marLeft w:val="0"/>
      <w:marRight w:val="0"/>
      <w:marTop w:val="0"/>
      <w:marBottom w:val="0"/>
      <w:divBdr>
        <w:top w:val="none" w:sz="0" w:space="0" w:color="auto"/>
        <w:left w:val="none" w:sz="0" w:space="0" w:color="auto"/>
        <w:bottom w:val="none" w:sz="0" w:space="0" w:color="auto"/>
        <w:right w:val="none" w:sz="0" w:space="0" w:color="auto"/>
      </w:divBdr>
    </w:div>
    <w:div w:id="510413239">
      <w:bodyDiv w:val="1"/>
      <w:marLeft w:val="0"/>
      <w:marRight w:val="0"/>
      <w:marTop w:val="0"/>
      <w:marBottom w:val="0"/>
      <w:divBdr>
        <w:top w:val="none" w:sz="0" w:space="0" w:color="auto"/>
        <w:left w:val="none" w:sz="0" w:space="0" w:color="auto"/>
        <w:bottom w:val="none" w:sz="0" w:space="0" w:color="auto"/>
        <w:right w:val="none" w:sz="0" w:space="0" w:color="auto"/>
      </w:divBdr>
    </w:div>
    <w:div w:id="592663380">
      <w:bodyDiv w:val="1"/>
      <w:marLeft w:val="0"/>
      <w:marRight w:val="0"/>
      <w:marTop w:val="0"/>
      <w:marBottom w:val="0"/>
      <w:divBdr>
        <w:top w:val="none" w:sz="0" w:space="0" w:color="auto"/>
        <w:left w:val="none" w:sz="0" w:space="0" w:color="auto"/>
        <w:bottom w:val="none" w:sz="0" w:space="0" w:color="auto"/>
        <w:right w:val="none" w:sz="0" w:space="0" w:color="auto"/>
      </w:divBdr>
    </w:div>
    <w:div w:id="804278220">
      <w:bodyDiv w:val="1"/>
      <w:marLeft w:val="0"/>
      <w:marRight w:val="0"/>
      <w:marTop w:val="0"/>
      <w:marBottom w:val="0"/>
      <w:divBdr>
        <w:top w:val="none" w:sz="0" w:space="0" w:color="auto"/>
        <w:left w:val="none" w:sz="0" w:space="0" w:color="auto"/>
        <w:bottom w:val="none" w:sz="0" w:space="0" w:color="auto"/>
        <w:right w:val="none" w:sz="0" w:space="0" w:color="auto"/>
      </w:divBdr>
    </w:div>
    <w:div w:id="897858412">
      <w:bodyDiv w:val="1"/>
      <w:marLeft w:val="0"/>
      <w:marRight w:val="0"/>
      <w:marTop w:val="0"/>
      <w:marBottom w:val="0"/>
      <w:divBdr>
        <w:top w:val="none" w:sz="0" w:space="0" w:color="auto"/>
        <w:left w:val="none" w:sz="0" w:space="0" w:color="auto"/>
        <w:bottom w:val="none" w:sz="0" w:space="0" w:color="auto"/>
        <w:right w:val="none" w:sz="0" w:space="0" w:color="auto"/>
      </w:divBdr>
    </w:div>
    <w:div w:id="979648195">
      <w:bodyDiv w:val="1"/>
      <w:marLeft w:val="0"/>
      <w:marRight w:val="0"/>
      <w:marTop w:val="0"/>
      <w:marBottom w:val="0"/>
      <w:divBdr>
        <w:top w:val="none" w:sz="0" w:space="0" w:color="auto"/>
        <w:left w:val="none" w:sz="0" w:space="0" w:color="auto"/>
        <w:bottom w:val="none" w:sz="0" w:space="0" w:color="auto"/>
        <w:right w:val="none" w:sz="0" w:space="0" w:color="auto"/>
      </w:divBdr>
    </w:div>
    <w:div w:id="989866982">
      <w:bodyDiv w:val="1"/>
      <w:marLeft w:val="0"/>
      <w:marRight w:val="0"/>
      <w:marTop w:val="0"/>
      <w:marBottom w:val="0"/>
      <w:divBdr>
        <w:top w:val="none" w:sz="0" w:space="0" w:color="auto"/>
        <w:left w:val="none" w:sz="0" w:space="0" w:color="auto"/>
        <w:bottom w:val="none" w:sz="0" w:space="0" w:color="auto"/>
        <w:right w:val="none" w:sz="0" w:space="0" w:color="auto"/>
      </w:divBdr>
    </w:div>
    <w:div w:id="994801130">
      <w:bodyDiv w:val="1"/>
      <w:marLeft w:val="0"/>
      <w:marRight w:val="0"/>
      <w:marTop w:val="0"/>
      <w:marBottom w:val="0"/>
      <w:divBdr>
        <w:top w:val="none" w:sz="0" w:space="0" w:color="auto"/>
        <w:left w:val="none" w:sz="0" w:space="0" w:color="auto"/>
        <w:bottom w:val="none" w:sz="0" w:space="0" w:color="auto"/>
        <w:right w:val="none" w:sz="0" w:space="0" w:color="auto"/>
      </w:divBdr>
    </w:div>
    <w:div w:id="998850286">
      <w:bodyDiv w:val="1"/>
      <w:marLeft w:val="0"/>
      <w:marRight w:val="0"/>
      <w:marTop w:val="0"/>
      <w:marBottom w:val="0"/>
      <w:divBdr>
        <w:top w:val="none" w:sz="0" w:space="0" w:color="auto"/>
        <w:left w:val="none" w:sz="0" w:space="0" w:color="auto"/>
        <w:bottom w:val="none" w:sz="0" w:space="0" w:color="auto"/>
        <w:right w:val="none" w:sz="0" w:space="0" w:color="auto"/>
      </w:divBdr>
    </w:div>
    <w:div w:id="1006203479">
      <w:bodyDiv w:val="1"/>
      <w:marLeft w:val="0"/>
      <w:marRight w:val="0"/>
      <w:marTop w:val="0"/>
      <w:marBottom w:val="0"/>
      <w:divBdr>
        <w:top w:val="none" w:sz="0" w:space="0" w:color="auto"/>
        <w:left w:val="none" w:sz="0" w:space="0" w:color="auto"/>
        <w:bottom w:val="none" w:sz="0" w:space="0" w:color="auto"/>
        <w:right w:val="none" w:sz="0" w:space="0" w:color="auto"/>
      </w:divBdr>
    </w:div>
    <w:div w:id="1010446423">
      <w:bodyDiv w:val="1"/>
      <w:marLeft w:val="0"/>
      <w:marRight w:val="0"/>
      <w:marTop w:val="0"/>
      <w:marBottom w:val="0"/>
      <w:divBdr>
        <w:top w:val="none" w:sz="0" w:space="0" w:color="auto"/>
        <w:left w:val="none" w:sz="0" w:space="0" w:color="auto"/>
        <w:bottom w:val="none" w:sz="0" w:space="0" w:color="auto"/>
        <w:right w:val="none" w:sz="0" w:space="0" w:color="auto"/>
      </w:divBdr>
    </w:div>
    <w:div w:id="1095832548">
      <w:bodyDiv w:val="1"/>
      <w:marLeft w:val="0"/>
      <w:marRight w:val="0"/>
      <w:marTop w:val="0"/>
      <w:marBottom w:val="0"/>
      <w:divBdr>
        <w:top w:val="none" w:sz="0" w:space="0" w:color="auto"/>
        <w:left w:val="none" w:sz="0" w:space="0" w:color="auto"/>
        <w:bottom w:val="none" w:sz="0" w:space="0" w:color="auto"/>
        <w:right w:val="none" w:sz="0" w:space="0" w:color="auto"/>
      </w:divBdr>
    </w:div>
    <w:div w:id="1116945103">
      <w:bodyDiv w:val="1"/>
      <w:marLeft w:val="0"/>
      <w:marRight w:val="0"/>
      <w:marTop w:val="0"/>
      <w:marBottom w:val="0"/>
      <w:divBdr>
        <w:top w:val="none" w:sz="0" w:space="0" w:color="auto"/>
        <w:left w:val="none" w:sz="0" w:space="0" w:color="auto"/>
        <w:bottom w:val="none" w:sz="0" w:space="0" w:color="auto"/>
        <w:right w:val="none" w:sz="0" w:space="0" w:color="auto"/>
      </w:divBdr>
    </w:div>
    <w:div w:id="1333215518">
      <w:bodyDiv w:val="1"/>
      <w:marLeft w:val="0"/>
      <w:marRight w:val="0"/>
      <w:marTop w:val="0"/>
      <w:marBottom w:val="0"/>
      <w:divBdr>
        <w:top w:val="none" w:sz="0" w:space="0" w:color="auto"/>
        <w:left w:val="none" w:sz="0" w:space="0" w:color="auto"/>
        <w:bottom w:val="none" w:sz="0" w:space="0" w:color="auto"/>
        <w:right w:val="none" w:sz="0" w:space="0" w:color="auto"/>
      </w:divBdr>
    </w:div>
    <w:div w:id="1358506149">
      <w:bodyDiv w:val="1"/>
      <w:marLeft w:val="0"/>
      <w:marRight w:val="0"/>
      <w:marTop w:val="0"/>
      <w:marBottom w:val="0"/>
      <w:divBdr>
        <w:top w:val="none" w:sz="0" w:space="0" w:color="auto"/>
        <w:left w:val="none" w:sz="0" w:space="0" w:color="auto"/>
        <w:bottom w:val="none" w:sz="0" w:space="0" w:color="auto"/>
        <w:right w:val="none" w:sz="0" w:space="0" w:color="auto"/>
      </w:divBdr>
      <w:divsChild>
        <w:div w:id="537015632">
          <w:marLeft w:val="0"/>
          <w:marRight w:val="0"/>
          <w:marTop w:val="150"/>
          <w:marBottom w:val="150"/>
          <w:divBdr>
            <w:top w:val="none" w:sz="0" w:space="0" w:color="auto"/>
            <w:left w:val="none" w:sz="0" w:space="0" w:color="auto"/>
            <w:bottom w:val="none" w:sz="0" w:space="0" w:color="auto"/>
            <w:right w:val="none" w:sz="0" w:space="0" w:color="auto"/>
          </w:divBdr>
          <w:divsChild>
            <w:div w:id="1606812703">
              <w:marLeft w:val="0"/>
              <w:marRight w:val="45"/>
              <w:marTop w:val="0"/>
              <w:marBottom w:val="0"/>
              <w:divBdr>
                <w:top w:val="none" w:sz="0" w:space="0" w:color="auto"/>
                <w:left w:val="none" w:sz="0" w:space="0" w:color="auto"/>
                <w:bottom w:val="none" w:sz="0" w:space="0" w:color="auto"/>
                <w:right w:val="none" w:sz="0" w:space="0" w:color="auto"/>
              </w:divBdr>
              <w:divsChild>
                <w:div w:id="1907757613">
                  <w:marLeft w:val="0"/>
                  <w:marRight w:val="0"/>
                  <w:marTop w:val="0"/>
                  <w:marBottom w:val="0"/>
                  <w:divBdr>
                    <w:top w:val="none" w:sz="0" w:space="0" w:color="auto"/>
                    <w:left w:val="none" w:sz="0" w:space="0" w:color="auto"/>
                    <w:bottom w:val="none" w:sz="0" w:space="0" w:color="auto"/>
                    <w:right w:val="none" w:sz="0" w:space="0" w:color="auto"/>
                  </w:divBdr>
                  <w:divsChild>
                    <w:div w:id="1434976703">
                      <w:marLeft w:val="0"/>
                      <w:marRight w:val="0"/>
                      <w:marTop w:val="450"/>
                      <w:marBottom w:val="0"/>
                      <w:divBdr>
                        <w:top w:val="none" w:sz="0" w:space="0" w:color="auto"/>
                        <w:left w:val="none" w:sz="0" w:space="0" w:color="auto"/>
                        <w:bottom w:val="none" w:sz="0" w:space="0" w:color="auto"/>
                        <w:right w:val="none" w:sz="0" w:space="0" w:color="auto"/>
                      </w:divBdr>
                      <w:divsChild>
                        <w:div w:id="20910720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76153932">
      <w:bodyDiv w:val="1"/>
      <w:marLeft w:val="0"/>
      <w:marRight w:val="0"/>
      <w:marTop w:val="0"/>
      <w:marBottom w:val="0"/>
      <w:divBdr>
        <w:top w:val="none" w:sz="0" w:space="0" w:color="auto"/>
        <w:left w:val="none" w:sz="0" w:space="0" w:color="auto"/>
        <w:bottom w:val="none" w:sz="0" w:space="0" w:color="auto"/>
        <w:right w:val="none" w:sz="0" w:space="0" w:color="auto"/>
      </w:divBdr>
    </w:div>
    <w:div w:id="1515267213">
      <w:bodyDiv w:val="1"/>
      <w:marLeft w:val="0"/>
      <w:marRight w:val="0"/>
      <w:marTop w:val="0"/>
      <w:marBottom w:val="0"/>
      <w:divBdr>
        <w:top w:val="none" w:sz="0" w:space="0" w:color="auto"/>
        <w:left w:val="none" w:sz="0" w:space="0" w:color="auto"/>
        <w:bottom w:val="none" w:sz="0" w:space="0" w:color="auto"/>
        <w:right w:val="none" w:sz="0" w:space="0" w:color="auto"/>
      </w:divBdr>
    </w:div>
    <w:div w:id="1536891545">
      <w:bodyDiv w:val="1"/>
      <w:marLeft w:val="0"/>
      <w:marRight w:val="0"/>
      <w:marTop w:val="0"/>
      <w:marBottom w:val="0"/>
      <w:divBdr>
        <w:top w:val="none" w:sz="0" w:space="0" w:color="auto"/>
        <w:left w:val="none" w:sz="0" w:space="0" w:color="auto"/>
        <w:bottom w:val="none" w:sz="0" w:space="0" w:color="auto"/>
        <w:right w:val="none" w:sz="0" w:space="0" w:color="auto"/>
      </w:divBdr>
    </w:div>
    <w:div w:id="1543784593">
      <w:bodyDiv w:val="1"/>
      <w:marLeft w:val="0"/>
      <w:marRight w:val="0"/>
      <w:marTop w:val="0"/>
      <w:marBottom w:val="0"/>
      <w:divBdr>
        <w:top w:val="none" w:sz="0" w:space="0" w:color="auto"/>
        <w:left w:val="none" w:sz="0" w:space="0" w:color="auto"/>
        <w:bottom w:val="none" w:sz="0" w:space="0" w:color="auto"/>
        <w:right w:val="none" w:sz="0" w:space="0" w:color="auto"/>
      </w:divBdr>
    </w:div>
    <w:div w:id="1607425891">
      <w:bodyDiv w:val="1"/>
      <w:marLeft w:val="0"/>
      <w:marRight w:val="0"/>
      <w:marTop w:val="0"/>
      <w:marBottom w:val="0"/>
      <w:divBdr>
        <w:top w:val="none" w:sz="0" w:space="0" w:color="auto"/>
        <w:left w:val="none" w:sz="0" w:space="0" w:color="auto"/>
        <w:bottom w:val="none" w:sz="0" w:space="0" w:color="auto"/>
        <w:right w:val="none" w:sz="0" w:space="0" w:color="auto"/>
      </w:divBdr>
    </w:div>
    <w:div w:id="1646079777">
      <w:bodyDiv w:val="1"/>
      <w:marLeft w:val="0"/>
      <w:marRight w:val="0"/>
      <w:marTop w:val="0"/>
      <w:marBottom w:val="0"/>
      <w:divBdr>
        <w:top w:val="none" w:sz="0" w:space="0" w:color="auto"/>
        <w:left w:val="none" w:sz="0" w:space="0" w:color="auto"/>
        <w:bottom w:val="none" w:sz="0" w:space="0" w:color="auto"/>
        <w:right w:val="none" w:sz="0" w:space="0" w:color="auto"/>
      </w:divBdr>
    </w:div>
    <w:div w:id="1703247613">
      <w:bodyDiv w:val="1"/>
      <w:marLeft w:val="0"/>
      <w:marRight w:val="0"/>
      <w:marTop w:val="0"/>
      <w:marBottom w:val="0"/>
      <w:divBdr>
        <w:top w:val="none" w:sz="0" w:space="0" w:color="auto"/>
        <w:left w:val="none" w:sz="0" w:space="0" w:color="auto"/>
        <w:bottom w:val="none" w:sz="0" w:space="0" w:color="auto"/>
        <w:right w:val="none" w:sz="0" w:space="0" w:color="auto"/>
      </w:divBdr>
    </w:div>
    <w:div w:id="1794322112">
      <w:bodyDiv w:val="1"/>
      <w:marLeft w:val="0"/>
      <w:marRight w:val="0"/>
      <w:marTop w:val="0"/>
      <w:marBottom w:val="0"/>
      <w:divBdr>
        <w:top w:val="none" w:sz="0" w:space="0" w:color="auto"/>
        <w:left w:val="none" w:sz="0" w:space="0" w:color="auto"/>
        <w:bottom w:val="none" w:sz="0" w:space="0" w:color="auto"/>
        <w:right w:val="none" w:sz="0" w:space="0" w:color="auto"/>
      </w:divBdr>
    </w:div>
    <w:div w:id="1841776648">
      <w:bodyDiv w:val="1"/>
      <w:marLeft w:val="0"/>
      <w:marRight w:val="0"/>
      <w:marTop w:val="0"/>
      <w:marBottom w:val="0"/>
      <w:divBdr>
        <w:top w:val="none" w:sz="0" w:space="0" w:color="auto"/>
        <w:left w:val="none" w:sz="0" w:space="0" w:color="auto"/>
        <w:bottom w:val="none" w:sz="0" w:space="0" w:color="auto"/>
        <w:right w:val="none" w:sz="0" w:space="0" w:color="auto"/>
      </w:divBdr>
    </w:div>
    <w:div w:id="2023584982">
      <w:bodyDiv w:val="1"/>
      <w:marLeft w:val="0"/>
      <w:marRight w:val="0"/>
      <w:marTop w:val="0"/>
      <w:marBottom w:val="0"/>
      <w:divBdr>
        <w:top w:val="none" w:sz="0" w:space="0" w:color="auto"/>
        <w:left w:val="none" w:sz="0" w:space="0" w:color="auto"/>
        <w:bottom w:val="none" w:sz="0" w:space="0" w:color="auto"/>
        <w:right w:val="none" w:sz="0" w:space="0" w:color="auto"/>
      </w:divBdr>
    </w:div>
    <w:div w:id="2096123167">
      <w:bodyDiv w:val="1"/>
      <w:marLeft w:val="0"/>
      <w:marRight w:val="0"/>
      <w:marTop w:val="0"/>
      <w:marBottom w:val="0"/>
      <w:divBdr>
        <w:top w:val="none" w:sz="0" w:space="0" w:color="auto"/>
        <w:left w:val="none" w:sz="0" w:space="0" w:color="auto"/>
        <w:bottom w:val="none" w:sz="0" w:space="0" w:color="auto"/>
        <w:right w:val="none" w:sz="0" w:space="0" w:color="auto"/>
      </w:divBdr>
    </w:div>
    <w:div w:id="21037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ABB8-AD96-4890-AA65-826976C8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Daly, Sharon</cp:lastModifiedBy>
  <cp:revision>2</cp:revision>
  <cp:lastPrinted>2014-03-26T15:43:00Z</cp:lastPrinted>
  <dcterms:created xsi:type="dcterms:W3CDTF">2014-03-27T18:41:00Z</dcterms:created>
  <dcterms:modified xsi:type="dcterms:W3CDTF">2014-03-27T18:41:00Z</dcterms:modified>
</cp:coreProperties>
</file>