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40" w:rsidRDefault="00843440" w:rsidP="00843440">
      <w:pPr>
        <w:pStyle w:val="Title"/>
        <w:rPr>
          <w:rFonts w:ascii="Times New Roman" w:hAnsi="Times New Roman"/>
        </w:rPr>
      </w:pPr>
      <w:r>
        <w:rPr>
          <w:rFonts w:ascii="Times New Roman" w:hAnsi="Times New Roman"/>
        </w:rPr>
        <w:t>INTERLOCAL AGREEMENT FOR LANDMARK SERVICES</w:t>
      </w:r>
    </w:p>
    <w:p w:rsidR="00843440" w:rsidRDefault="00843440" w:rsidP="00843440">
      <w:pPr>
        <w:pStyle w:val="Title"/>
        <w:rPr>
          <w:rFonts w:ascii="Times New Roman" w:hAnsi="Times New Roman"/>
        </w:rPr>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rsidR="00843440" w:rsidRDefault="00843440" w:rsidP="00843440">
      <w:pPr>
        <w:pStyle w:val="BodyText2"/>
        <w:rPr>
          <w:rFonts w:ascii="Times New Roman" w:hAnsi="Times New Roman"/>
          <w:bCs w:val="0"/>
        </w:rPr>
      </w:pPr>
      <w:r>
        <w:rPr>
          <w:rFonts w:ascii="Times New Roman" w:hAnsi="Times New Roman"/>
          <w:bCs w:val="0"/>
        </w:rPr>
        <w:t>AN AGREEMENT BETWEEN KING COUNTY AND THE CITY OF ENUMCLAW RELATING TO LANDMARK DESIGNATION AND PROTECTION SERVICES</w:t>
      </w:r>
      <w:r w:rsidR="00305178">
        <w:rPr>
          <w:rFonts w:ascii="Times New Roman" w:hAnsi="Times New Roman"/>
          <w:bCs w:val="0"/>
        </w:rPr>
        <w:t xml:space="preserve"> </w:t>
      </w:r>
    </w:p>
    <w:p w:rsidR="00305178" w:rsidRDefault="00305178" w:rsidP="00305178">
      <w:pPr>
        <w:pStyle w:val="BodyText2"/>
        <w:jc w:val="center"/>
        <w:rPr>
          <w:rFonts w:ascii="Times New Roman" w:hAnsi="Times New Roman"/>
          <w:bCs w:val="0"/>
        </w:rPr>
      </w:pPr>
      <w:r>
        <w:rPr>
          <w:rFonts w:ascii="Times New Roman" w:hAnsi="Times New Roman"/>
          <w:bCs w:val="0"/>
        </w:rPr>
        <w:t>Revised September 17, 2013</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pStyle w:val="BodyText"/>
        <w:jc w:val="left"/>
        <w:rPr>
          <w:rFonts w:ascii="Times New Roman" w:hAnsi="Times New Roman"/>
        </w:rPr>
      </w:pPr>
      <w:r>
        <w:rPr>
          <w:rFonts w:ascii="Times New Roman" w:hAnsi="Times New Roman"/>
        </w:rPr>
        <w:tab/>
        <w:t>THIS IS AN AGREEMENT between King County, a home rule charter county and a political subdivision of the State of Washington, hereinafter referred to as the "County," and the City of Enumclaw, a municipal corporation of the State of Washington, hereinafter referred to as the "City".</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the City is incorporated;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local governmental authority and jurisdiction with respect to the designation and protection of landmarks within the city limits resides with the City;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the City desires to protect and preserve the historic buildings, structures, districts, sites, objects, and archaeological sites within the city for the benefit of present and future generations;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the County is able to provide landmark designation and protection services for the City;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the City has elected to contract with the County to provide such services;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WHEREAS, it is in the public interest that the jurisdictions cooperate to provide efficient and cost effective landmark designation and protection; and</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 xml:space="preserve">WHEREAS, pursuant to R.C.W. 39.34, the </w:t>
      </w:r>
      <w:proofErr w:type="spellStart"/>
      <w:r>
        <w:t>Interlocal</w:t>
      </w:r>
      <w:proofErr w:type="spellEnd"/>
      <w:r>
        <w:t xml:space="preserve"> Cooperation Act, the parties are each authorized to enter into an agreement for cooperative action;</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ab/>
        <w:t>NOW THEREFORE, the County and the City hereby agree:</w:t>
      </w:r>
    </w:p>
    <w:p w:rsidR="00843440" w:rsidRDefault="00843440" w:rsidP="008434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u w:val="single"/>
        </w:rPr>
        <w:t>Services</w:t>
      </w:r>
      <w:r>
        <w:t xml:space="preserve">.  At the request of the City, the County shall provide landmark designation and protection services using the criteria and procedures adopted in King County Ordinance 10474, King County Code (K.C.C.), Chapter 20.62 within the City limits.  </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2.</w:t>
      </w:r>
      <w:r>
        <w:tab/>
      </w:r>
      <w:r>
        <w:rPr>
          <w:u w:val="single"/>
        </w:rPr>
        <w:t>City's Responsibilities</w:t>
      </w:r>
    </w:p>
    <w:p w:rsidR="00843440" w:rsidRDefault="00843440" w:rsidP="008434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2"/>
        </w:numPr>
        <w:tabs>
          <w:tab w:val="clear" w:pos="1125"/>
          <w:tab w:val="left" w:pos="360"/>
          <w:tab w:val="num" w:pos="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 xml:space="preserve">Adopt an ordinance establishing regulations and procedures for the designation of historic buildings, structures, objects, districts, sites, objects, and archaeological sites as landmarks and for the protection of landmarks.  Regulations and procedures shall be substantially the same as the regulations and procedures set forth in K.C.C. Chapter 20.62.  The ordinance shall provide that the King County Landmarks Commission, with </w:t>
      </w:r>
      <w:r>
        <w:lastRenderedPageBreak/>
        <w:t>the addition of a special member, acting as the City of Enumclaw Landmarks Commission (Commission) shall have the authority to designate and protect landmarks within the City limits in accordance with the City ordinance.  The ordinance shall include:</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p>
    <w:p w:rsidR="00843440" w:rsidRDefault="00843440" w:rsidP="00843440">
      <w:pPr>
        <w:pStyle w:val="BodyTextIndent"/>
        <w:ind w:left="1530" w:hanging="360"/>
        <w:rPr>
          <w:rFonts w:ascii="Times New Roman" w:hAnsi="Times New Roman"/>
        </w:rPr>
      </w:pPr>
      <w:r>
        <w:rPr>
          <w:rFonts w:ascii="Times New Roman" w:hAnsi="Times New Roman"/>
        </w:rPr>
        <w:t>1)</w:t>
      </w:r>
      <w:r>
        <w:rPr>
          <w:rFonts w:ascii="Times New Roman" w:hAnsi="Times New Roman"/>
        </w:rPr>
        <w:tab/>
        <w:t>Provision for the appointment of a special member to the Commission as provided by K.C.C. Chapter 20.62.030.</w:t>
      </w:r>
    </w:p>
    <w:p w:rsidR="00843440" w:rsidRDefault="00843440" w:rsidP="0084344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530" w:hanging="360"/>
      </w:pPr>
    </w:p>
    <w:p w:rsidR="00843440" w:rsidRDefault="00843440" w:rsidP="0084344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530" w:hanging="360"/>
      </w:pPr>
      <w:r>
        <w:t>2)</w:t>
      </w:r>
      <w:r>
        <w:tab/>
        <w:t>A provision that appeals from decisions of the Commission pertaining to real property within the City limits shall be taken to the city council.</w:t>
      </w:r>
    </w:p>
    <w:p w:rsidR="00843440" w:rsidRDefault="00843440" w:rsidP="0084344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530" w:hanging="360"/>
      </w:pPr>
    </w:p>
    <w:p w:rsidR="00843440" w:rsidRDefault="00843440" w:rsidP="00843440">
      <w:pPr>
        <w:pStyle w:val="BodyTextIndent2"/>
        <w:numPr>
          <w:ilvl w:val="0"/>
          <w:numId w:val="6"/>
        </w:numPr>
        <w:tabs>
          <w:tab w:val="clear" w:pos="1710"/>
        </w:tabs>
        <w:rPr>
          <w:rFonts w:ascii="Times New Roman" w:hAnsi="Times New Roman"/>
        </w:rPr>
      </w:pPr>
      <w:r>
        <w:rPr>
          <w:rFonts w:ascii="Times New Roman" w:hAnsi="Times New Roman"/>
        </w:rPr>
        <w:t>A provision for penalties for violation of the certificate of appropriateness procedures (K.C.C. Chapter 20.62.080).</w:t>
      </w:r>
    </w:p>
    <w:p w:rsidR="00843440" w:rsidRDefault="00843440" w:rsidP="00843440">
      <w:pPr>
        <w:pStyle w:val="BodyTextIndent2"/>
        <w:tabs>
          <w:tab w:val="clear" w:pos="1710"/>
          <w:tab w:val="left" w:pos="1530"/>
        </w:tabs>
        <w:ind w:left="1170" w:firstLine="0"/>
        <w:rPr>
          <w:rFonts w:ascii="Times New Roman" w:hAnsi="Times New Roman"/>
        </w:rPr>
      </w:pPr>
    </w:p>
    <w:p w:rsidR="00843440" w:rsidRDefault="00843440" w:rsidP="00843440">
      <w:pPr>
        <w:pStyle w:val="BodyTextIndent3"/>
        <w:rPr>
          <w:rFonts w:ascii="Times New Roman" w:hAnsi="Times New Roman"/>
        </w:rPr>
      </w:pPr>
      <w:r>
        <w:rPr>
          <w:rFonts w:ascii="Times New Roman" w:hAnsi="Times New Roman"/>
        </w:rPr>
        <w:t>4)</w:t>
      </w:r>
      <w:r>
        <w:rPr>
          <w:rFonts w:ascii="Times New Roman" w:hAnsi="Times New Roman"/>
        </w:rPr>
        <w:tab/>
        <w:t>A provision that the official responsible for the issuance of building and related permits shall promptly refer applications for permits which affect historic buildings, structures, objects, sites, districts, or archaeological sites to the King County Historic Preservation Officer (HPO) for review and comment.  The responsible official shall seek and take into consideration the comments of the HPO regarding mitigation of any adverse effects affecting historic buildings, structures, objects, sites, districts or archaeological sites.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270"/>
      </w:pPr>
      <w:r>
        <w:t>B.</w:t>
      </w:r>
      <w:r>
        <w:tab/>
        <w:t>Appoint a Special Member to the Commission in accordance with the ordinance adopted by the City.  Pursuant to K.C.C. Chapter 20.62 such Special Member shall be a voting member of the Commission on all matters relating to or affecting landmarks within the City, except review of applications to the Special Valuation Tax Program, and the Current Use Taxation Program.</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270"/>
      </w:pPr>
    </w:p>
    <w:p w:rsidR="00843440" w:rsidRDefault="00843440" w:rsidP="0084344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270"/>
      </w:pPr>
      <w:r>
        <w:t>Except as to Section 5, the services provided by the County pursuant to this agreement do not include legal services.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pPr>
      <w:r>
        <w:t>3.</w:t>
      </w:r>
      <w:r>
        <w:tab/>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Responsibilities</w:t>
          </w:r>
        </w:smartTag>
      </w:smartTag>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pPr>
      <w:r>
        <w:t xml:space="preserve">Process all landmark nomination applications and conduct planning, training, and public information tasks necessary to support </w:t>
      </w:r>
      <w:proofErr w:type="spellStart"/>
      <w:r>
        <w:t>landmarking</w:t>
      </w:r>
      <w:proofErr w:type="spellEnd"/>
      <w:r>
        <w:t xml:space="preserve"> activities in the City.  Such tasks shall be defined by mutual agreement of both parties on an annual basis. </w:t>
      </w:r>
    </w:p>
    <w:p w:rsidR="00843440" w:rsidRDefault="00843440" w:rsidP="00843440">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p>
    <w:p w:rsidR="00843440" w:rsidRDefault="00843440" w:rsidP="00843440">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r>
        <w:t>B.</w:t>
      </w:r>
      <w:r>
        <w:tab/>
        <w:t>Process all Certificate of Appropriateness applications to alter, demolish, or move any significant feature of a landmark property within the City limits.</w:t>
      </w:r>
    </w:p>
    <w:p w:rsidR="00843440" w:rsidRDefault="00843440" w:rsidP="00843440">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p>
    <w:p w:rsidR="00843440" w:rsidRDefault="00843440" w:rsidP="00843440">
      <w:pPr>
        <w:numPr>
          <w:ilvl w:val="0"/>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pPr>
      <w:r>
        <w:t>Act as the "Local Review Board" for the purposes related to Chapter 221, 1986 Laws of Washington, (R.C.W. 84.26 and WAC 254.20) for the special valuation of historic properties within the city limits.</w:t>
      </w:r>
    </w:p>
    <w:p w:rsidR="00843440" w:rsidRDefault="00843440" w:rsidP="00843440">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p>
    <w:p w:rsidR="00843440" w:rsidRDefault="00843440" w:rsidP="00843440">
      <w:pPr>
        <w:numPr>
          <w:ilvl w:val="0"/>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pPr>
      <w:r>
        <w:t xml:space="preserve">Review and approve all applications to the King County Landmark Loan Program.  </w:t>
      </w:r>
    </w:p>
    <w:p w:rsidR="00843440" w:rsidRDefault="00843440" w:rsidP="00843440">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p>
    <w:p w:rsidR="00843440" w:rsidRDefault="00843440" w:rsidP="0084344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360"/>
      </w:pPr>
      <w:r>
        <w:lastRenderedPageBreak/>
        <w:t>E.  Review and comment on applications for permits which affect historic buildings, structures, objects, sites, districts, and archaeological sites.  Comments shall be forwarded to the city official responsible for the issuance of building and related permits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4.</w:t>
      </w:r>
      <w:r>
        <w:tab/>
      </w:r>
      <w:r>
        <w:rPr>
          <w:u w:val="single"/>
        </w:rPr>
        <w:t>Compensation</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pStyle w:val="BodyText"/>
        <w:numPr>
          <w:ilvl w:val="0"/>
          <w:numId w:val="3"/>
        </w:numPr>
        <w:tabs>
          <w:tab w:val="clear" w:pos="1095"/>
          <w:tab w:val="num" w:pos="720"/>
        </w:tabs>
        <w:ind w:left="720" w:hanging="360"/>
        <w:jc w:val="left"/>
        <w:rPr>
          <w:rFonts w:ascii="Times New Roman" w:hAnsi="Times New Roman"/>
        </w:rPr>
      </w:pPr>
      <w:r>
        <w:rPr>
          <w:rFonts w:ascii="Times New Roman" w:hAnsi="Times New Roman"/>
        </w:rPr>
        <w:t xml:space="preserve">Costs.  The City shall reimburse the County fully for all costs incurred in providing services under this contract, including overhead and indirect administrative costs.  Costs charged to the City may be reduced by special appropriations, grants, or other supplemental funds, by mutual agreement of both parties.  The rate of reimbursement to the County for labor costs shall be revised annually.  </w:t>
      </w:r>
    </w:p>
    <w:p w:rsidR="00843440" w:rsidRDefault="00843440" w:rsidP="00843440">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p>
    <w:p w:rsidR="00843440" w:rsidRDefault="00843440" w:rsidP="00843440">
      <w:pPr>
        <w:numPr>
          <w:ilvl w:val="0"/>
          <w:numId w:val="3"/>
        </w:numPr>
        <w:tabs>
          <w:tab w:val="clear" w:pos="1095"/>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 xml:space="preserve">Billing.  The County shall bill the City quarterly.  The quarterly bill shall reflect actual costs plus the annual administrative overhead rate.  Payments are due within 30 days of invoicing by the County. </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5.</w:t>
      </w:r>
      <w:r>
        <w:tab/>
      </w:r>
      <w:r>
        <w:rPr>
          <w:u w:val="single"/>
        </w:rPr>
        <w:t>Indemnification</w:t>
      </w:r>
      <w:r>
        <w:t>.</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4"/>
        </w:numPr>
        <w:tabs>
          <w:tab w:val="clear" w:pos="1095"/>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The County shall indemnify and hold harmless the City and its officers, agents and employees or any of them from any and all claims, actions, suits, liability, loss, costs, expenses, and damages of any nature whatsoever, by reason or arising out of any negligent act or omission of the County, its officers, agents, and employees, or any of them, in providing services pursuant to this agreement.  In the event that any suit based upon such a claim, action, loss, or damage is brought against the City, the County shall defend the same at its sole cost and expense; provided, that the City retains the right to participate in said suit if any principle of governmental or public law is involved; and if final judgment be rendered against the City and its officers, agents, employees, or any of them, or jointly against the City and the County and their respective officers, agents and employees, or any of them, the County shall satisfy the same.</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In executing this agreement, the County does not assume liability or responsibility for or in any way release the City from any liability or responsibility which arises in whole or in part from the existence or effect of City ordinances, rules or regulations, polices or procedures.  If any cause, claim, suit, actions or administrative proceeding is commenced in the enforceability and/or validity or any City ordinance, rule or regulation is at issue, the City shall defend the same at its sole expense and if judgment is entered or damages are awarded against the City, the County, or both, the City shall satisfy the same, including all chargeable costs and attorneys’ fees.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4"/>
        </w:numPr>
        <w:tabs>
          <w:tab w:val="clear" w:pos="1095"/>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 xml:space="preserve">The City shall indemnify and hold harmless the County and its officers, agents, and employees, or any of them from any and all claims, actions, suits, liability, loss, costs, expenses and damages of any nature whatsoever, by reason of or arising out of any negligent act or omission of the City, its officers, agents, and employees, or any of them.  In the event that any suit based upon such a claim, action, loss or damage is brought against the County, the City shall defend the same at its sole cost and expense; provided </w:t>
      </w:r>
      <w:r>
        <w:lastRenderedPageBreak/>
        <w:t xml:space="preserve">that the County retains the right to participate in said suit if any principle of governmental or public laws is involved; and if final judgment be rendered against the County, and its officers, agents, and employees, or any of them, the City shall satisfy the same.  </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numPr>
          <w:ilvl w:val="0"/>
          <w:numId w:val="4"/>
        </w:numPr>
        <w:tabs>
          <w:tab w:val="clear" w:pos="1095"/>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pPr>
      <w:r>
        <w:t>The City and the County acknowledge and agree that if such claims, actions, suits, liability, loss, costs, expenses and damages are caused by or result from the concurrent negligence of the City, its agents, employees, and/or officers and the County, its agents, employees, and/or officers, this Article shall be valid and enforceable only to the extent of the negligence of each party, its agents, employees and/or officers.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Pr="004712ED" w:rsidRDefault="00843440" w:rsidP="00843440">
      <w:pPr>
        <w:numPr>
          <w:ilvl w:val="1"/>
          <w:numId w:val="8"/>
        </w:numPr>
        <w:tabs>
          <w:tab w:val="clear" w:pos="144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szCs w:val="24"/>
          <w:u w:val="single"/>
        </w:rPr>
      </w:pPr>
      <w:proofErr w:type="spellStart"/>
      <w:r w:rsidRPr="004712ED">
        <w:rPr>
          <w:szCs w:val="24"/>
          <w:u w:val="single"/>
        </w:rPr>
        <w:t>Interlocal</w:t>
      </w:r>
      <w:proofErr w:type="spellEnd"/>
      <w:r w:rsidRPr="004712ED">
        <w:rPr>
          <w:szCs w:val="24"/>
          <w:u w:val="single"/>
        </w:rPr>
        <w:t xml:space="preserve"> Cooperation Act</w:t>
      </w:r>
    </w:p>
    <w:p w:rsidR="00843440" w:rsidRPr="004712ED" w:rsidRDefault="00843440" w:rsidP="00843440">
      <w:pPr>
        <w:rPr>
          <w:szCs w:val="24"/>
        </w:rPr>
      </w:pPr>
    </w:p>
    <w:p w:rsidR="00843440" w:rsidRDefault="00843440" w:rsidP="00843440">
      <w:pPr>
        <w:numPr>
          <w:ilvl w:val="0"/>
          <w:numId w:val="9"/>
        </w:numPr>
        <w:ind w:left="720" w:hanging="360"/>
        <w:rPr>
          <w:szCs w:val="24"/>
        </w:rPr>
      </w:pPr>
      <w:r w:rsidRPr="004712ED">
        <w:rPr>
          <w:szCs w:val="24"/>
          <w:u w:val="single"/>
        </w:rPr>
        <w:t>Purpose.</w:t>
      </w:r>
      <w:r>
        <w:rPr>
          <w:szCs w:val="24"/>
        </w:rPr>
        <w:t xml:space="preserve">  </w:t>
      </w:r>
      <w:r w:rsidRPr="004712ED">
        <w:rPr>
          <w:szCs w:val="24"/>
        </w:rPr>
        <w:t xml:space="preserve">The purpose of this agreement is for the City of </w:t>
      </w:r>
      <w:r w:rsidR="0057327E">
        <w:rPr>
          <w:szCs w:val="24"/>
        </w:rPr>
        <w:t>Enumclaw</w:t>
      </w:r>
      <w:bookmarkStart w:id="0" w:name="_GoBack"/>
      <w:bookmarkEnd w:id="0"/>
      <w:r w:rsidRPr="004712ED">
        <w:rPr>
          <w:szCs w:val="24"/>
        </w:rPr>
        <w:t xml:space="preserve"> and King County to partner to provide historical preservation services within the corporate boundaries of the City.</w:t>
      </w:r>
    </w:p>
    <w:p w:rsidR="00843440" w:rsidRDefault="00843440" w:rsidP="00843440">
      <w:pPr>
        <w:ind w:left="720"/>
        <w:rPr>
          <w:szCs w:val="24"/>
        </w:rPr>
      </w:pPr>
    </w:p>
    <w:p w:rsidR="00843440" w:rsidRPr="008059AA" w:rsidRDefault="00843440" w:rsidP="00843440">
      <w:pPr>
        <w:numPr>
          <w:ilvl w:val="0"/>
          <w:numId w:val="9"/>
        </w:numPr>
        <w:ind w:left="720" w:hanging="360"/>
        <w:rPr>
          <w:szCs w:val="24"/>
        </w:rPr>
      </w:pPr>
      <w:r w:rsidRPr="008059AA">
        <w:rPr>
          <w:u w:val="single"/>
        </w:rPr>
        <w:t>Administration.</w:t>
      </w:r>
      <w:r>
        <w:t xml:space="preserve">  This agreement shall be administered for the County by the Director of the Department of Natural Resources and Parks, or the director’s designee, and for the City by the City Manager or the manager's designee.</w:t>
      </w:r>
    </w:p>
    <w:p w:rsidR="00843440" w:rsidRDefault="00843440" w:rsidP="00843440">
      <w:pPr>
        <w:pStyle w:val="ListParagraph"/>
        <w:ind w:left="360"/>
        <w:rPr>
          <w:u w:val="single"/>
        </w:rPr>
      </w:pPr>
    </w:p>
    <w:p w:rsidR="00843440" w:rsidRPr="00252FD1" w:rsidRDefault="00843440" w:rsidP="00843440">
      <w:pPr>
        <w:numPr>
          <w:ilvl w:val="0"/>
          <w:numId w:val="9"/>
        </w:numPr>
        <w:ind w:left="720" w:hanging="360"/>
        <w:rPr>
          <w:szCs w:val="24"/>
        </w:rPr>
      </w:pPr>
      <w:r w:rsidRPr="004712ED">
        <w:rPr>
          <w:u w:val="single"/>
        </w:rPr>
        <w:t>Budget and Financing.</w:t>
      </w:r>
      <w:r>
        <w:t xml:space="preserve">  </w:t>
      </w:r>
      <w:r w:rsidRPr="004712ED">
        <w:t>No special budget or funds are anticipated, nor will the parities jointly acquire, hold or dispose of real or personal property.</w:t>
      </w:r>
    </w:p>
    <w:p w:rsidR="00843440" w:rsidRPr="004712ED" w:rsidRDefault="00843440" w:rsidP="00843440">
      <w:pPr>
        <w:rPr>
          <w:szCs w:val="24"/>
        </w:rPr>
      </w:pPr>
    </w:p>
    <w:p w:rsidR="00843440" w:rsidRPr="00252FD1" w:rsidRDefault="00843440" w:rsidP="00843440">
      <w:pPr>
        <w:numPr>
          <w:ilvl w:val="0"/>
          <w:numId w:val="9"/>
        </w:numPr>
        <w:ind w:left="720" w:hanging="360"/>
        <w:rPr>
          <w:szCs w:val="24"/>
        </w:rPr>
      </w:pPr>
      <w:r w:rsidRPr="004712ED">
        <w:rPr>
          <w:bCs/>
          <w:u w:val="single"/>
        </w:rPr>
        <w:t>Duration</w:t>
      </w:r>
      <w:r w:rsidRPr="004712ED">
        <w:rPr>
          <w:bCs/>
        </w:rPr>
        <w:t xml:space="preserve">. This agreement is effective beginning upon execution, and shall continue until terminated pursuant to the terms of this agreement.  </w:t>
      </w:r>
    </w:p>
    <w:p w:rsidR="00843440" w:rsidRPr="004712ED" w:rsidRDefault="00843440" w:rsidP="00843440">
      <w:pPr>
        <w:rPr>
          <w:szCs w:val="24"/>
        </w:rPr>
      </w:pPr>
    </w:p>
    <w:p w:rsidR="00843440" w:rsidRPr="004712ED" w:rsidRDefault="00843440" w:rsidP="00843440">
      <w:pPr>
        <w:numPr>
          <w:ilvl w:val="0"/>
          <w:numId w:val="9"/>
        </w:numPr>
        <w:ind w:left="720" w:hanging="360"/>
        <w:rPr>
          <w:szCs w:val="24"/>
        </w:rPr>
      </w:pPr>
      <w:r w:rsidRPr="004712ED">
        <w:rPr>
          <w:szCs w:val="24"/>
        </w:rPr>
        <w:t xml:space="preserve">This Agreement will be recorded by the County or otherwise be made public by it in conformance with the </w:t>
      </w:r>
      <w:proofErr w:type="spellStart"/>
      <w:r w:rsidRPr="004712ED">
        <w:rPr>
          <w:szCs w:val="24"/>
        </w:rPr>
        <w:t>Interlocal</w:t>
      </w:r>
      <w:proofErr w:type="spellEnd"/>
      <w:r w:rsidRPr="004712ED">
        <w:rPr>
          <w:szCs w:val="24"/>
        </w:rPr>
        <w:t xml:space="preserve"> Cooperation Act.</w:t>
      </w:r>
    </w:p>
    <w:p w:rsidR="00843440" w:rsidRPr="004712ED" w:rsidRDefault="00843440" w:rsidP="00843440">
      <w:pPr>
        <w:pStyle w:val="BodyText2"/>
        <w:tabs>
          <w:tab w:val="clear" w:pos="720"/>
          <w:tab w:val="clear" w:pos="1440"/>
          <w:tab w:val="left" w:pos="360"/>
        </w:tabs>
        <w:rPr>
          <w:rFonts w:ascii="Times New Roman" w:hAnsi="Times New Roman"/>
          <w:b w:val="0"/>
          <w:bCs w:val="0"/>
        </w:rPr>
      </w:pPr>
    </w:p>
    <w:p w:rsidR="00843440" w:rsidRPr="007F61F0" w:rsidRDefault="00843440" w:rsidP="00843440">
      <w:pPr>
        <w:pStyle w:val="BodyText2"/>
        <w:numPr>
          <w:ilvl w:val="1"/>
          <w:numId w:val="8"/>
        </w:numPr>
        <w:tabs>
          <w:tab w:val="clear" w:pos="1440"/>
          <w:tab w:val="left" w:pos="360"/>
        </w:tabs>
        <w:ind w:left="360"/>
        <w:rPr>
          <w:rFonts w:ascii="Times New Roman" w:hAnsi="Times New Roman"/>
          <w:b w:val="0"/>
          <w:bCs w:val="0"/>
        </w:rPr>
      </w:pPr>
      <w:r w:rsidRPr="004712ED">
        <w:rPr>
          <w:rFonts w:ascii="Times New Roman" w:hAnsi="Times New Roman"/>
          <w:b w:val="0"/>
          <w:bCs w:val="0"/>
          <w:u w:val="single"/>
        </w:rPr>
        <w:t>Termination</w:t>
      </w:r>
      <w:r w:rsidRPr="004712ED">
        <w:rPr>
          <w:rFonts w:ascii="Times New Roman" w:hAnsi="Times New Roman"/>
          <w:b w:val="0"/>
          <w:bCs w:val="0"/>
        </w:rPr>
        <w:t>.  Either party may terminate this agreement by forty-five (45) days written notice from one party to the other.</w:t>
      </w:r>
    </w:p>
    <w:p w:rsidR="00843440" w:rsidRPr="007F61F0" w:rsidRDefault="00843440" w:rsidP="008434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lang w:val="en-US"/>
        </w:rPr>
      </w:pPr>
    </w:p>
    <w:p w:rsidR="00843440" w:rsidRDefault="00843440" w:rsidP="008434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pPr>
      <w:r>
        <w:t>8.</w:t>
      </w:r>
      <w:r>
        <w:tab/>
      </w:r>
      <w:r>
        <w:rPr>
          <w:u w:val="single"/>
        </w:rPr>
        <w:t>Amendments</w:t>
      </w:r>
      <w:r>
        <w:t>.  This Agreement may be amended at any time by mutual written agreement of the parties.</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IN WITNESS WHEREOF, the parties have executed this agreement this _______ day of ______________, 2013.</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pStyle w:val="Heading1"/>
        <w:rPr>
          <w:rFonts w:ascii="Times New Roman" w:hAnsi="Times New Roman"/>
        </w:rPr>
      </w:pPr>
      <w:r>
        <w:rPr>
          <w:rFonts w:ascii="Times New Roman" w:hAnsi="Times New Roman"/>
        </w:rPr>
        <w:t>CITY OF ENUMCLAW</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By:_________________________________</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t>Liz Reynolds, Mayor</w:t>
      </w: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KING</w:t>
          </w:r>
        </w:smartTag>
        <w:r>
          <w:rPr>
            <w:rFonts w:ascii="Times New Roman" w:hAnsi="Times New Roman"/>
          </w:rPr>
          <w:t xml:space="preserve"> </w:t>
        </w:r>
        <w:smartTag w:uri="urn:schemas-microsoft-com:office:smarttags" w:element="PlaceType">
          <w:r>
            <w:rPr>
              <w:rFonts w:ascii="Times New Roman" w:hAnsi="Times New Roman"/>
            </w:rPr>
            <w:t>COUNTY</w:t>
          </w:r>
        </w:smartTag>
      </w:smartTag>
    </w:p>
    <w:p w:rsidR="00843440" w:rsidRDefault="00843440" w:rsidP="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rsidR="00843440" w:rsidRDefault="00843440" w:rsidP="00843440">
      <w:pPr>
        <w:ind w:left="5040"/>
      </w:pPr>
      <w:r>
        <w:t>By:________________________________</w:t>
      </w:r>
    </w:p>
    <w:p w:rsidR="00843440" w:rsidRDefault="00843440" w:rsidP="00843440">
      <w:pPr>
        <w:ind w:left="5040" w:firstLine="720"/>
      </w:pPr>
      <w:r>
        <w:t xml:space="preserve">   King County Executive</w:t>
      </w:r>
    </w:p>
    <w:p w:rsidR="00843440" w:rsidRDefault="00843440" w:rsidP="00843440"/>
    <w:p w:rsidR="00843440" w:rsidRDefault="00843440" w:rsidP="00843440"/>
    <w:p w:rsidR="00843440" w:rsidRDefault="00843440" w:rsidP="00843440">
      <w:pPr>
        <w:ind w:left="4320" w:firstLine="720"/>
      </w:pPr>
      <w:r>
        <w:t>Approved as to form:</w:t>
      </w:r>
    </w:p>
    <w:p w:rsidR="00843440" w:rsidRDefault="00843440" w:rsidP="00843440"/>
    <w:p w:rsidR="00843440" w:rsidRDefault="00843440" w:rsidP="00843440"/>
    <w:p w:rsidR="00843440" w:rsidRDefault="00843440" w:rsidP="00843440">
      <w:pPr>
        <w:ind w:left="4320" w:firstLine="720"/>
      </w:pPr>
      <w:r>
        <w:t>By:________________________________</w:t>
      </w:r>
    </w:p>
    <w:p w:rsidR="00843440" w:rsidRDefault="00843440" w:rsidP="00843440">
      <w:pPr>
        <w:ind w:left="5040" w:firstLine="720"/>
      </w:pPr>
      <w:r>
        <w:t xml:space="preserve">   King County Prosecutor</w:t>
      </w:r>
    </w:p>
    <w:p w:rsidR="004E548D" w:rsidRDefault="004E548D"/>
    <w:sectPr w:rsidR="004E548D" w:rsidSect="00DD6FF1">
      <w:headerReference w:type="default" r:id="rId8"/>
      <w:footerReference w:type="default" r:id="rId9"/>
      <w:headerReference w:type="first" r:id="rId10"/>
      <w:footerReference w:type="first" r:id="rId11"/>
      <w:footnotePr>
        <w:numRestart w:val="eachPage"/>
      </w:foot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78" w:rsidRDefault="00305178" w:rsidP="00305178">
      <w:r>
        <w:separator/>
      </w:r>
    </w:p>
  </w:endnote>
  <w:endnote w:type="continuationSeparator" w:id="0">
    <w:p w:rsidR="00305178" w:rsidRDefault="00305178" w:rsidP="003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CF" w:rsidRPr="004B7FB4" w:rsidRDefault="004E00A0" w:rsidP="004B7FB4">
    <w:pPr>
      <w:pStyle w:val="Footer"/>
      <w:jc w:val="center"/>
    </w:pPr>
    <w:r w:rsidRPr="004B7FB4">
      <w:rPr>
        <w:szCs w:val="24"/>
      </w:rPr>
      <w:fldChar w:fldCharType="begin"/>
    </w:r>
    <w:r w:rsidRPr="004B7FB4">
      <w:rPr>
        <w:szCs w:val="24"/>
      </w:rPr>
      <w:instrText xml:space="preserve"> PAGE   \* MERGEFORMAT </w:instrText>
    </w:r>
    <w:r w:rsidRPr="004B7FB4">
      <w:rPr>
        <w:szCs w:val="24"/>
      </w:rPr>
      <w:fldChar w:fldCharType="separate"/>
    </w:r>
    <w:r w:rsidR="0057327E">
      <w:rPr>
        <w:noProof/>
        <w:szCs w:val="24"/>
      </w:rPr>
      <w:t>1</w:t>
    </w:r>
    <w:r w:rsidRPr="004B7FB4">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1" w:rsidRPr="00DD6FF1" w:rsidRDefault="004E00A0">
    <w:pPr>
      <w:pStyle w:val="Footer"/>
      <w:jc w:val="center"/>
    </w:pPr>
    <w:r w:rsidRPr="00DD6FF1">
      <w:rPr>
        <w:szCs w:val="24"/>
      </w:rPr>
      <w:fldChar w:fldCharType="begin"/>
    </w:r>
    <w:r w:rsidRPr="00DD6FF1">
      <w:rPr>
        <w:szCs w:val="24"/>
      </w:rPr>
      <w:instrText xml:space="preserve"> PAGE   \* MERGEFORMAT </w:instrText>
    </w:r>
    <w:r w:rsidRPr="00DD6FF1">
      <w:rPr>
        <w:szCs w:val="24"/>
      </w:rPr>
      <w:fldChar w:fldCharType="separate"/>
    </w:r>
    <w:r>
      <w:rPr>
        <w:noProof/>
        <w:szCs w:val="24"/>
      </w:rPr>
      <w:t>1</w:t>
    </w:r>
    <w:r w:rsidRPr="00DD6FF1">
      <w:rPr>
        <w:szCs w:val="24"/>
      </w:rPr>
      <w:fldChar w:fldCharType="end"/>
    </w:r>
  </w:p>
  <w:p w:rsidR="00DD6FF1" w:rsidRDefault="0057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78" w:rsidRDefault="00305178" w:rsidP="00305178">
      <w:r>
        <w:separator/>
      </w:r>
    </w:p>
  </w:footnote>
  <w:footnote w:type="continuationSeparator" w:id="0">
    <w:p w:rsidR="00305178" w:rsidRDefault="00305178" w:rsidP="0030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1" w:rsidRDefault="004E00A0" w:rsidP="008E20AF">
    <w:pPr>
      <w:pStyle w:val="Header"/>
      <w:jc w:val="right"/>
      <w:rPr>
        <w:szCs w:val="24"/>
      </w:rPr>
    </w:pPr>
    <w:r w:rsidRPr="00DD6FF1">
      <w:rPr>
        <w:szCs w:val="24"/>
      </w:rPr>
      <w:t>Attachment A</w:t>
    </w:r>
  </w:p>
  <w:p w:rsidR="00305178" w:rsidRPr="008E20AF" w:rsidRDefault="00305178" w:rsidP="008E20AF">
    <w:pPr>
      <w:pStyle w:val="Header"/>
      <w:jc w:val="right"/>
      <w:rPr>
        <w:szCs w:val="24"/>
      </w:rPr>
    </w:pPr>
    <w:r>
      <w:rPr>
        <w:szCs w:val="24"/>
      </w:rPr>
      <w:t>Revised September 17,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1" w:rsidRDefault="004E00A0" w:rsidP="00DD6FF1">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9B0"/>
    <w:multiLevelType w:val="hybridMultilevel"/>
    <w:tmpl w:val="CCE88226"/>
    <w:lvl w:ilvl="0" w:tplc="7A08FE34">
      <w:start w:val="1"/>
      <w:numFmt w:val="upperLetter"/>
      <w:lvlText w:val="%1."/>
      <w:lvlJc w:val="left"/>
      <w:pPr>
        <w:ind w:left="2160" w:hanging="14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86DA8"/>
    <w:multiLevelType w:val="singleLevel"/>
    <w:tmpl w:val="0FC0AC64"/>
    <w:lvl w:ilvl="0">
      <w:start w:val="1"/>
      <w:numFmt w:val="upperLetter"/>
      <w:lvlText w:val="%1."/>
      <w:lvlJc w:val="left"/>
      <w:pPr>
        <w:tabs>
          <w:tab w:val="num" w:pos="1095"/>
        </w:tabs>
        <w:ind w:left="1095" w:hanging="375"/>
      </w:pPr>
      <w:rPr>
        <w:rFonts w:hint="default"/>
      </w:rPr>
    </w:lvl>
  </w:abstractNum>
  <w:abstractNum w:abstractNumId="2">
    <w:nsid w:val="1BA36220"/>
    <w:multiLevelType w:val="singleLevel"/>
    <w:tmpl w:val="0409000F"/>
    <w:lvl w:ilvl="0">
      <w:start w:val="1"/>
      <w:numFmt w:val="decimal"/>
      <w:lvlText w:val="%1."/>
      <w:lvlJc w:val="left"/>
      <w:pPr>
        <w:tabs>
          <w:tab w:val="num" w:pos="360"/>
        </w:tabs>
        <w:ind w:left="360" w:hanging="360"/>
      </w:pPr>
    </w:lvl>
  </w:abstractNum>
  <w:abstractNum w:abstractNumId="3">
    <w:nsid w:val="359136FE"/>
    <w:multiLevelType w:val="singleLevel"/>
    <w:tmpl w:val="ED848802"/>
    <w:lvl w:ilvl="0">
      <w:start w:val="1"/>
      <w:numFmt w:val="upperLetter"/>
      <w:lvlText w:val="%1."/>
      <w:lvlJc w:val="left"/>
      <w:pPr>
        <w:tabs>
          <w:tab w:val="num" w:pos="1125"/>
        </w:tabs>
        <w:ind w:left="1125" w:hanging="405"/>
      </w:pPr>
      <w:rPr>
        <w:rFonts w:hint="default"/>
      </w:rPr>
    </w:lvl>
  </w:abstractNum>
  <w:abstractNum w:abstractNumId="4">
    <w:nsid w:val="438F082A"/>
    <w:multiLevelType w:val="hybridMultilevel"/>
    <w:tmpl w:val="C54CA1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D72C9A"/>
    <w:multiLevelType w:val="singleLevel"/>
    <w:tmpl w:val="0FC0AC64"/>
    <w:lvl w:ilvl="0">
      <w:start w:val="1"/>
      <w:numFmt w:val="upperLetter"/>
      <w:lvlText w:val="%1."/>
      <w:lvlJc w:val="left"/>
      <w:pPr>
        <w:tabs>
          <w:tab w:val="num" w:pos="1095"/>
        </w:tabs>
        <w:ind w:left="1095" w:hanging="375"/>
      </w:pPr>
      <w:rPr>
        <w:rFonts w:hint="default"/>
      </w:rPr>
    </w:lvl>
  </w:abstractNum>
  <w:abstractNum w:abstractNumId="6">
    <w:nsid w:val="50D12A10"/>
    <w:multiLevelType w:val="hybridMultilevel"/>
    <w:tmpl w:val="254C1A0A"/>
    <w:lvl w:ilvl="0" w:tplc="04090015">
      <w:start w:val="3"/>
      <w:numFmt w:val="upperLetter"/>
      <w:lvlText w:val="%1."/>
      <w:lvlJc w:val="left"/>
      <w:pPr>
        <w:tabs>
          <w:tab w:val="num" w:pos="720"/>
        </w:tabs>
        <w:ind w:left="720" w:hanging="360"/>
      </w:pPr>
      <w:rPr>
        <w:rFonts w:hint="default"/>
      </w:rPr>
    </w:lvl>
    <w:lvl w:ilvl="1" w:tplc="41B04D3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790365"/>
    <w:multiLevelType w:val="hybridMultilevel"/>
    <w:tmpl w:val="566E23DE"/>
    <w:lvl w:ilvl="0" w:tplc="EDDCBD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B4E313F"/>
    <w:multiLevelType w:val="hybridMultilevel"/>
    <w:tmpl w:val="4C747F9C"/>
    <w:lvl w:ilvl="0" w:tplc="0352A2D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
  </w:num>
  <w:num w:numId="2">
    <w:abstractNumId w:val="3"/>
  </w:num>
  <w:num w:numId="3">
    <w:abstractNumId w:val="1"/>
  </w:num>
  <w:num w:numId="4">
    <w:abstractNumId w:val="5"/>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0"/>
    <w:rsid w:val="00305178"/>
    <w:rsid w:val="004E00A0"/>
    <w:rsid w:val="004E548D"/>
    <w:rsid w:val="0057327E"/>
    <w:rsid w:val="00735E7F"/>
    <w:rsid w:val="00843440"/>
    <w:rsid w:val="00A47CDA"/>
    <w:rsid w:val="00C9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34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440"/>
    <w:rPr>
      <w:rFonts w:ascii="Book Antiqua" w:eastAsia="Times New Roman" w:hAnsi="Book Antiqua" w:cs="Times New Roman"/>
      <w:b/>
      <w:sz w:val="24"/>
      <w:szCs w:val="20"/>
    </w:rPr>
  </w:style>
  <w:style w:type="paragraph" w:styleId="Footer">
    <w:name w:val="footer"/>
    <w:basedOn w:val="Normal"/>
    <w:link w:val="FooterChar"/>
    <w:uiPriority w:val="99"/>
    <w:rsid w:val="0084344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43440"/>
    <w:rPr>
      <w:rFonts w:ascii="Times New Roman" w:eastAsia="Times New Roman" w:hAnsi="Times New Roman" w:cs="Times New Roman"/>
      <w:sz w:val="24"/>
      <w:szCs w:val="20"/>
      <w:lang w:val="x-none" w:eastAsia="x-none"/>
    </w:rPr>
  </w:style>
  <w:style w:type="paragraph" w:styleId="Header">
    <w:name w:val="header"/>
    <w:basedOn w:val="Normal"/>
    <w:link w:val="HeaderChar"/>
    <w:rsid w:val="00843440"/>
    <w:pPr>
      <w:tabs>
        <w:tab w:val="center" w:pos="4320"/>
        <w:tab w:val="right" w:pos="8640"/>
      </w:tabs>
    </w:pPr>
  </w:style>
  <w:style w:type="character" w:customStyle="1" w:styleId="HeaderChar">
    <w:name w:val="Header Char"/>
    <w:basedOn w:val="DefaultParagraphFont"/>
    <w:link w:val="Header"/>
    <w:rsid w:val="00843440"/>
    <w:rPr>
      <w:rFonts w:ascii="Times New Roman" w:eastAsia="Times New Roman" w:hAnsi="Times New Roman" w:cs="Times New Roman"/>
      <w:sz w:val="24"/>
      <w:szCs w:val="20"/>
    </w:rPr>
  </w:style>
  <w:style w:type="paragraph" w:styleId="Title">
    <w:name w:val="Title"/>
    <w:basedOn w:val="Normal"/>
    <w:link w:val="TitleChar"/>
    <w:qFormat/>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character" w:customStyle="1" w:styleId="TitleChar">
    <w:name w:val="Title Char"/>
    <w:basedOn w:val="DefaultParagraphFont"/>
    <w:link w:val="Title"/>
    <w:rsid w:val="00843440"/>
    <w:rPr>
      <w:rFonts w:ascii="Times" w:eastAsia="Times New Roman" w:hAnsi="Times" w:cs="Times New Roman"/>
      <w:b/>
      <w:sz w:val="24"/>
      <w:szCs w:val="20"/>
    </w:rPr>
  </w:style>
  <w:style w:type="paragraph" w:styleId="BodyText">
    <w:name w:val="Body Text"/>
    <w:basedOn w:val="Normal"/>
    <w:link w:val="BodyTextChar"/>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rFonts w:ascii="Times" w:hAnsi="Times"/>
    </w:rPr>
  </w:style>
  <w:style w:type="character" w:customStyle="1" w:styleId="BodyTextChar">
    <w:name w:val="Body Text Char"/>
    <w:basedOn w:val="DefaultParagraphFont"/>
    <w:link w:val="BodyText"/>
    <w:rsid w:val="00843440"/>
    <w:rPr>
      <w:rFonts w:ascii="Times" w:eastAsia="Times New Roman" w:hAnsi="Times" w:cs="Times New Roman"/>
      <w:sz w:val="24"/>
      <w:szCs w:val="20"/>
    </w:rPr>
  </w:style>
  <w:style w:type="paragraph" w:styleId="BodyText2">
    <w:name w:val="Body Text 2"/>
    <w:basedOn w:val="Normal"/>
    <w:link w:val="BodyText2Char"/>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Book Antiqua" w:hAnsi="Book Antiqua"/>
      <w:b/>
      <w:bCs/>
    </w:rPr>
  </w:style>
  <w:style w:type="character" w:customStyle="1" w:styleId="BodyText2Char">
    <w:name w:val="Body Text 2 Char"/>
    <w:basedOn w:val="DefaultParagraphFont"/>
    <w:link w:val="BodyText2"/>
    <w:rsid w:val="00843440"/>
    <w:rPr>
      <w:rFonts w:ascii="Book Antiqua" w:eastAsia="Times New Roman" w:hAnsi="Book Antiqua" w:cs="Times New Roman"/>
      <w:b/>
      <w:bCs/>
      <w:sz w:val="24"/>
      <w:szCs w:val="20"/>
    </w:rPr>
  </w:style>
  <w:style w:type="paragraph" w:styleId="BodyTextIndent">
    <w:name w:val="Body Text Indent"/>
    <w:basedOn w:val="Normal"/>
    <w:link w:val="BodyTextIndentChar"/>
    <w:rsid w:val="0084344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270"/>
    </w:pPr>
    <w:rPr>
      <w:rFonts w:ascii="Book Antiqua" w:hAnsi="Book Antiqua"/>
    </w:rPr>
  </w:style>
  <w:style w:type="character" w:customStyle="1" w:styleId="BodyTextIndentChar">
    <w:name w:val="Body Text Indent Char"/>
    <w:basedOn w:val="DefaultParagraphFont"/>
    <w:link w:val="BodyTextIndent"/>
    <w:rsid w:val="00843440"/>
    <w:rPr>
      <w:rFonts w:ascii="Book Antiqua" w:eastAsia="Times New Roman" w:hAnsi="Book Antiqua" w:cs="Times New Roman"/>
      <w:sz w:val="24"/>
      <w:szCs w:val="20"/>
    </w:rPr>
  </w:style>
  <w:style w:type="paragraph" w:styleId="BodyTextIndent2">
    <w:name w:val="Body Text Indent 2"/>
    <w:basedOn w:val="Normal"/>
    <w:link w:val="BodyTextIndent2Char"/>
    <w:rsid w:val="00843440"/>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540"/>
    </w:pPr>
    <w:rPr>
      <w:rFonts w:ascii="Book Antiqua" w:hAnsi="Book Antiqua"/>
    </w:rPr>
  </w:style>
  <w:style w:type="character" w:customStyle="1" w:styleId="BodyTextIndent2Char">
    <w:name w:val="Body Text Indent 2 Char"/>
    <w:basedOn w:val="DefaultParagraphFont"/>
    <w:link w:val="BodyTextIndent2"/>
    <w:rsid w:val="00843440"/>
    <w:rPr>
      <w:rFonts w:ascii="Book Antiqua" w:eastAsia="Times New Roman" w:hAnsi="Book Antiqua" w:cs="Times New Roman"/>
      <w:sz w:val="24"/>
      <w:szCs w:val="20"/>
    </w:rPr>
  </w:style>
  <w:style w:type="paragraph" w:styleId="BodyTextIndent3">
    <w:name w:val="Body Text Indent 3"/>
    <w:basedOn w:val="Normal"/>
    <w:link w:val="BodyTextIndent3Char"/>
    <w:rsid w:val="00843440"/>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530" w:hanging="360"/>
    </w:pPr>
    <w:rPr>
      <w:rFonts w:ascii="Book Antiqua" w:hAnsi="Book Antiqua"/>
    </w:rPr>
  </w:style>
  <w:style w:type="character" w:customStyle="1" w:styleId="BodyTextIndent3Char">
    <w:name w:val="Body Text Indent 3 Char"/>
    <w:basedOn w:val="DefaultParagraphFont"/>
    <w:link w:val="BodyTextIndent3"/>
    <w:rsid w:val="00843440"/>
    <w:rPr>
      <w:rFonts w:ascii="Book Antiqua" w:eastAsia="Times New Roman" w:hAnsi="Book Antiqua" w:cs="Times New Roman"/>
      <w:sz w:val="24"/>
      <w:szCs w:val="20"/>
    </w:rPr>
  </w:style>
  <w:style w:type="paragraph" w:styleId="ListParagraph">
    <w:name w:val="List Paragraph"/>
    <w:basedOn w:val="Normal"/>
    <w:uiPriority w:val="34"/>
    <w:qFormat/>
    <w:rsid w:val="008434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34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440"/>
    <w:rPr>
      <w:rFonts w:ascii="Book Antiqua" w:eastAsia="Times New Roman" w:hAnsi="Book Antiqua" w:cs="Times New Roman"/>
      <w:b/>
      <w:sz w:val="24"/>
      <w:szCs w:val="20"/>
    </w:rPr>
  </w:style>
  <w:style w:type="paragraph" w:styleId="Footer">
    <w:name w:val="footer"/>
    <w:basedOn w:val="Normal"/>
    <w:link w:val="FooterChar"/>
    <w:uiPriority w:val="99"/>
    <w:rsid w:val="0084344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43440"/>
    <w:rPr>
      <w:rFonts w:ascii="Times New Roman" w:eastAsia="Times New Roman" w:hAnsi="Times New Roman" w:cs="Times New Roman"/>
      <w:sz w:val="24"/>
      <w:szCs w:val="20"/>
      <w:lang w:val="x-none" w:eastAsia="x-none"/>
    </w:rPr>
  </w:style>
  <w:style w:type="paragraph" w:styleId="Header">
    <w:name w:val="header"/>
    <w:basedOn w:val="Normal"/>
    <w:link w:val="HeaderChar"/>
    <w:rsid w:val="00843440"/>
    <w:pPr>
      <w:tabs>
        <w:tab w:val="center" w:pos="4320"/>
        <w:tab w:val="right" w:pos="8640"/>
      </w:tabs>
    </w:pPr>
  </w:style>
  <w:style w:type="character" w:customStyle="1" w:styleId="HeaderChar">
    <w:name w:val="Header Char"/>
    <w:basedOn w:val="DefaultParagraphFont"/>
    <w:link w:val="Header"/>
    <w:rsid w:val="00843440"/>
    <w:rPr>
      <w:rFonts w:ascii="Times New Roman" w:eastAsia="Times New Roman" w:hAnsi="Times New Roman" w:cs="Times New Roman"/>
      <w:sz w:val="24"/>
      <w:szCs w:val="20"/>
    </w:rPr>
  </w:style>
  <w:style w:type="paragraph" w:styleId="Title">
    <w:name w:val="Title"/>
    <w:basedOn w:val="Normal"/>
    <w:link w:val="TitleChar"/>
    <w:qFormat/>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character" w:customStyle="1" w:styleId="TitleChar">
    <w:name w:val="Title Char"/>
    <w:basedOn w:val="DefaultParagraphFont"/>
    <w:link w:val="Title"/>
    <w:rsid w:val="00843440"/>
    <w:rPr>
      <w:rFonts w:ascii="Times" w:eastAsia="Times New Roman" w:hAnsi="Times" w:cs="Times New Roman"/>
      <w:b/>
      <w:sz w:val="24"/>
      <w:szCs w:val="20"/>
    </w:rPr>
  </w:style>
  <w:style w:type="paragraph" w:styleId="BodyText">
    <w:name w:val="Body Text"/>
    <w:basedOn w:val="Normal"/>
    <w:link w:val="BodyTextChar"/>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rFonts w:ascii="Times" w:hAnsi="Times"/>
    </w:rPr>
  </w:style>
  <w:style w:type="character" w:customStyle="1" w:styleId="BodyTextChar">
    <w:name w:val="Body Text Char"/>
    <w:basedOn w:val="DefaultParagraphFont"/>
    <w:link w:val="BodyText"/>
    <w:rsid w:val="00843440"/>
    <w:rPr>
      <w:rFonts w:ascii="Times" w:eastAsia="Times New Roman" w:hAnsi="Times" w:cs="Times New Roman"/>
      <w:sz w:val="24"/>
      <w:szCs w:val="20"/>
    </w:rPr>
  </w:style>
  <w:style w:type="paragraph" w:styleId="BodyText2">
    <w:name w:val="Body Text 2"/>
    <w:basedOn w:val="Normal"/>
    <w:link w:val="BodyText2Char"/>
    <w:rsid w:val="00843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Book Antiqua" w:hAnsi="Book Antiqua"/>
      <w:b/>
      <w:bCs/>
    </w:rPr>
  </w:style>
  <w:style w:type="character" w:customStyle="1" w:styleId="BodyText2Char">
    <w:name w:val="Body Text 2 Char"/>
    <w:basedOn w:val="DefaultParagraphFont"/>
    <w:link w:val="BodyText2"/>
    <w:rsid w:val="00843440"/>
    <w:rPr>
      <w:rFonts w:ascii="Book Antiqua" w:eastAsia="Times New Roman" w:hAnsi="Book Antiqua" w:cs="Times New Roman"/>
      <w:b/>
      <w:bCs/>
      <w:sz w:val="24"/>
      <w:szCs w:val="20"/>
    </w:rPr>
  </w:style>
  <w:style w:type="paragraph" w:styleId="BodyTextIndent">
    <w:name w:val="Body Text Indent"/>
    <w:basedOn w:val="Normal"/>
    <w:link w:val="BodyTextIndentChar"/>
    <w:rsid w:val="0084344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270"/>
    </w:pPr>
    <w:rPr>
      <w:rFonts w:ascii="Book Antiqua" w:hAnsi="Book Antiqua"/>
    </w:rPr>
  </w:style>
  <w:style w:type="character" w:customStyle="1" w:styleId="BodyTextIndentChar">
    <w:name w:val="Body Text Indent Char"/>
    <w:basedOn w:val="DefaultParagraphFont"/>
    <w:link w:val="BodyTextIndent"/>
    <w:rsid w:val="00843440"/>
    <w:rPr>
      <w:rFonts w:ascii="Book Antiqua" w:eastAsia="Times New Roman" w:hAnsi="Book Antiqua" w:cs="Times New Roman"/>
      <w:sz w:val="24"/>
      <w:szCs w:val="20"/>
    </w:rPr>
  </w:style>
  <w:style w:type="paragraph" w:styleId="BodyTextIndent2">
    <w:name w:val="Body Text Indent 2"/>
    <w:basedOn w:val="Normal"/>
    <w:link w:val="BodyTextIndent2Char"/>
    <w:rsid w:val="00843440"/>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540"/>
    </w:pPr>
    <w:rPr>
      <w:rFonts w:ascii="Book Antiqua" w:hAnsi="Book Antiqua"/>
    </w:rPr>
  </w:style>
  <w:style w:type="character" w:customStyle="1" w:styleId="BodyTextIndent2Char">
    <w:name w:val="Body Text Indent 2 Char"/>
    <w:basedOn w:val="DefaultParagraphFont"/>
    <w:link w:val="BodyTextIndent2"/>
    <w:rsid w:val="00843440"/>
    <w:rPr>
      <w:rFonts w:ascii="Book Antiqua" w:eastAsia="Times New Roman" w:hAnsi="Book Antiqua" w:cs="Times New Roman"/>
      <w:sz w:val="24"/>
      <w:szCs w:val="20"/>
    </w:rPr>
  </w:style>
  <w:style w:type="paragraph" w:styleId="BodyTextIndent3">
    <w:name w:val="Body Text Indent 3"/>
    <w:basedOn w:val="Normal"/>
    <w:link w:val="BodyTextIndent3Char"/>
    <w:rsid w:val="00843440"/>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530" w:hanging="360"/>
    </w:pPr>
    <w:rPr>
      <w:rFonts w:ascii="Book Antiqua" w:hAnsi="Book Antiqua"/>
    </w:rPr>
  </w:style>
  <w:style w:type="character" w:customStyle="1" w:styleId="BodyTextIndent3Char">
    <w:name w:val="Body Text Indent 3 Char"/>
    <w:basedOn w:val="DefaultParagraphFont"/>
    <w:link w:val="BodyTextIndent3"/>
    <w:rsid w:val="00843440"/>
    <w:rPr>
      <w:rFonts w:ascii="Book Antiqua" w:eastAsia="Times New Roman" w:hAnsi="Book Antiqua" w:cs="Times New Roman"/>
      <w:sz w:val="24"/>
      <w:szCs w:val="20"/>
    </w:rPr>
  </w:style>
  <w:style w:type="paragraph" w:styleId="ListParagraph">
    <w:name w:val="List Paragraph"/>
    <w:basedOn w:val="Normal"/>
    <w:uiPriority w:val="34"/>
    <w:qFormat/>
    <w:rsid w:val="008434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Mansfield, Janice</cp:lastModifiedBy>
  <cp:revision>3</cp:revision>
  <dcterms:created xsi:type="dcterms:W3CDTF">2013-09-16T21:20:00Z</dcterms:created>
  <dcterms:modified xsi:type="dcterms:W3CDTF">2013-09-24T20:36:00Z</dcterms:modified>
</cp:coreProperties>
</file>