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320D2" w14:textId="4B4B3700" w:rsidR="008A5CF4" w:rsidRPr="0063060C" w:rsidRDefault="00784B28" w:rsidP="0063060C">
      <w:pPr>
        <w:spacing w:line="264" w:lineRule="auto"/>
        <w:contextualSpacing/>
        <w:jc w:val="center"/>
        <w:rPr>
          <w:rFonts w:ascii="Arial" w:hAnsi="Arial" w:cs="Arial"/>
          <w:b/>
          <w:smallCaps/>
          <w:sz w:val="28"/>
          <w:szCs w:val="28"/>
          <w:u w:val="single"/>
        </w:rPr>
      </w:pPr>
      <w:r>
        <w:rPr>
          <w:rFonts w:ascii="Arial" w:hAnsi="Arial" w:cs="Arial"/>
          <w:b/>
          <w:smallCaps/>
          <w:sz w:val="28"/>
          <w:szCs w:val="28"/>
          <w:u w:val="single"/>
        </w:rPr>
        <w:t>I</w:t>
      </w:r>
      <w:r w:rsidR="004F3038">
        <w:rPr>
          <w:rFonts w:ascii="Arial" w:hAnsi="Arial" w:cs="Arial"/>
          <w:b/>
          <w:smallCaps/>
          <w:sz w:val="28"/>
          <w:szCs w:val="28"/>
          <w:u w:val="single"/>
        </w:rPr>
        <w:t xml:space="preserve">nformation </w:t>
      </w:r>
      <w:r>
        <w:rPr>
          <w:rFonts w:ascii="Arial" w:hAnsi="Arial" w:cs="Arial"/>
          <w:b/>
          <w:smallCaps/>
          <w:sz w:val="28"/>
          <w:szCs w:val="28"/>
          <w:u w:val="single"/>
        </w:rPr>
        <w:t>T</w:t>
      </w:r>
      <w:r w:rsidR="004F3038">
        <w:rPr>
          <w:rFonts w:ascii="Arial" w:hAnsi="Arial" w:cs="Arial"/>
          <w:b/>
          <w:smallCaps/>
          <w:sz w:val="28"/>
          <w:szCs w:val="28"/>
          <w:u w:val="single"/>
        </w:rPr>
        <w:t xml:space="preserve">echnology </w:t>
      </w:r>
      <w:r>
        <w:rPr>
          <w:rFonts w:ascii="Arial" w:hAnsi="Arial" w:cs="Arial"/>
          <w:b/>
          <w:smallCaps/>
          <w:sz w:val="28"/>
          <w:szCs w:val="28"/>
          <w:u w:val="single"/>
        </w:rPr>
        <w:t>S</w:t>
      </w:r>
      <w:r w:rsidR="004F3038">
        <w:rPr>
          <w:rFonts w:ascii="Arial" w:hAnsi="Arial" w:cs="Arial"/>
          <w:b/>
          <w:smallCaps/>
          <w:sz w:val="28"/>
          <w:szCs w:val="28"/>
          <w:u w:val="single"/>
        </w:rPr>
        <w:t>ervices</w:t>
      </w:r>
      <w:r w:rsidR="003322AC">
        <w:rPr>
          <w:rFonts w:ascii="Arial" w:hAnsi="Arial" w:cs="Arial"/>
          <w:b/>
          <w:smallCaps/>
          <w:sz w:val="28"/>
          <w:szCs w:val="28"/>
          <w:u w:val="single"/>
        </w:rPr>
        <w:t xml:space="preserve"> Capital Fund</w:t>
      </w:r>
    </w:p>
    <w:p w14:paraId="6441FF93" w14:textId="17818F6B" w:rsidR="008A5CF4" w:rsidRPr="00B17797" w:rsidRDefault="0063060C" w:rsidP="00B17797">
      <w:pPr>
        <w:spacing w:line="264" w:lineRule="auto"/>
        <w:contextualSpacing/>
        <w:jc w:val="center"/>
        <w:rPr>
          <w:rFonts w:ascii="Arial" w:hAnsi="Arial" w:cs="Arial"/>
          <w:b/>
          <w:sz w:val="28"/>
          <w:szCs w:val="28"/>
        </w:rPr>
      </w:pPr>
      <w:r>
        <w:rPr>
          <w:rFonts w:ascii="Arial" w:hAnsi="Arial" w:cs="Arial"/>
          <w:smallCaps/>
          <w:szCs w:val="24"/>
        </w:rPr>
        <w:t xml:space="preserve">Analyst: </w:t>
      </w:r>
      <w:r w:rsidR="00C051F3">
        <w:rPr>
          <w:rFonts w:ascii="Arial" w:hAnsi="Arial" w:cs="Arial"/>
          <w:smallCaps/>
          <w:szCs w:val="24"/>
        </w:rPr>
        <w:t>Terra Rose</w:t>
      </w:r>
      <w:r w:rsidR="00B17797">
        <w:rPr>
          <w:rFonts w:ascii="Arial" w:hAnsi="Arial" w:cs="Arial"/>
          <w:smallCaps/>
          <w:szCs w:val="24"/>
        </w:rPr>
        <w:t>, Leah Krekel-Zoppi</w:t>
      </w:r>
    </w:p>
    <w:p w14:paraId="344FF57F" w14:textId="4C9DED8D" w:rsidR="00F20221" w:rsidRDefault="00F20221" w:rsidP="00F20221">
      <w:pPr>
        <w:spacing w:line="264" w:lineRule="auto"/>
        <w:contextualSpacing/>
        <w:rPr>
          <w:rFonts w:ascii="Arial" w:hAnsi="Arial" w:cs="Arial"/>
          <w:b/>
          <w:smallCaps/>
          <w:szCs w:val="24"/>
          <w:u w:val="single"/>
        </w:rPr>
      </w:pPr>
    </w:p>
    <w:tbl>
      <w:tblPr>
        <w:tblStyle w:val="TableGrid"/>
        <w:tblW w:w="8257" w:type="dxa"/>
        <w:jc w:val="center"/>
        <w:tblCellMar>
          <w:left w:w="72" w:type="dxa"/>
          <w:right w:w="72" w:type="dxa"/>
        </w:tblCellMar>
        <w:tblLook w:val="04A0" w:firstRow="1" w:lastRow="0" w:firstColumn="1" w:lastColumn="0" w:noHBand="0" w:noVBand="1"/>
      </w:tblPr>
      <w:tblGrid>
        <w:gridCol w:w="2959"/>
        <w:gridCol w:w="180"/>
        <w:gridCol w:w="1516"/>
        <w:gridCol w:w="164"/>
        <w:gridCol w:w="1637"/>
        <w:gridCol w:w="164"/>
        <w:gridCol w:w="1637"/>
      </w:tblGrid>
      <w:tr w:rsidR="00CB3CC8" w:rsidRPr="008D0300" w14:paraId="71F70277" w14:textId="77777777" w:rsidTr="00CB3CC8">
        <w:trPr>
          <w:cantSplit/>
          <w:trHeight w:val="411"/>
          <w:tblHeader/>
          <w:jc w:val="center"/>
        </w:trPr>
        <w:tc>
          <w:tcPr>
            <w:tcW w:w="2959" w:type="dxa"/>
            <w:tcBorders>
              <w:top w:val="single" w:sz="12" w:space="0" w:color="auto"/>
              <w:left w:val="nil"/>
              <w:bottom w:val="single" w:sz="4" w:space="0" w:color="auto"/>
              <w:right w:val="nil"/>
            </w:tcBorders>
            <w:shd w:val="clear" w:color="auto" w:fill="auto"/>
            <w:vAlign w:val="center"/>
          </w:tcPr>
          <w:p w14:paraId="2F6452FB" w14:textId="77777777" w:rsidR="00B42E40" w:rsidRPr="008D0300" w:rsidRDefault="00B42E40" w:rsidP="006E1A10">
            <w:pPr>
              <w:rPr>
                <w:rFonts w:ascii="Arial" w:hAnsi="Arial" w:cs="Arial"/>
                <w:b/>
                <w:sz w:val="22"/>
                <w:szCs w:val="22"/>
              </w:rPr>
            </w:pPr>
          </w:p>
        </w:tc>
        <w:tc>
          <w:tcPr>
            <w:tcW w:w="180" w:type="dxa"/>
            <w:tcBorders>
              <w:top w:val="single" w:sz="12" w:space="0" w:color="auto"/>
              <w:left w:val="nil"/>
              <w:bottom w:val="nil"/>
              <w:right w:val="nil"/>
            </w:tcBorders>
          </w:tcPr>
          <w:p w14:paraId="36D03F00" w14:textId="77777777" w:rsidR="00B42E40" w:rsidRPr="008D0300" w:rsidRDefault="00B42E40" w:rsidP="006E1A10">
            <w:pPr>
              <w:rPr>
                <w:rFonts w:ascii="Arial" w:hAnsi="Arial" w:cs="Arial"/>
                <w:b/>
                <w:sz w:val="22"/>
                <w:szCs w:val="22"/>
              </w:rPr>
            </w:pPr>
          </w:p>
        </w:tc>
        <w:tc>
          <w:tcPr>
            <w:tcW w:w="1516" w:type="dxa"/>
            <w:tcBorders>
              <w:top w:val="single" w:sz="12" w:space="0" w:color="auto"/>
              <w:left w:val="nil"/>
              <w:bottom w:val="nil"/>
              <w:right w:val="nil"/>
            </w:tcBorders>
            <w:vAlign w:val="center"/>
          </w:tcPr>
          <w:p w14:paraId="6E0DB857" w14:textId="5503F8A0" w:rsidR="00B42E40" w:rsidRPr="008D0300" w:rsidRDefault="00B42E40" w:rsidP="006E1A10">
            <w:pPr>
              <w:jc w:val="center"/>
              <w:rPr>
                <w:rFonts w:ascii="Arial" w:hAnsi="Arial" w:cs="Arial"/>
                <w:b/>
                <w:sz w:val="22"/>
                <w:szCs w:val="22"/>
              </w:rPr>
            </w:pPr>
            <w:r>
              <w:rPr>
                <w:rFonts w:ascii="Arial" w:hAnsi="Arial" w:cs="Arial"/>
                <w:b/>
                <w:sz w:val="22"/>
                <w:szCs w:val="22"/>
              </w:rPr>
              <w:t>202</w:t>
            </w:r>
            <w:r w:rsidR="001F39C9">
              <w:rPr>
                <w:rFonts w:ascii="Arial" w:hAnsi="Arial" w:cs="Arial"/>
                <w:b/>
                <w:sz w:val="22"/>
                <w:szCs w:val="22"/>
              </w:rPr>
              <w:t>3</w:t>
            </w:r>
            <w:r>
              <w:rPr>
                <w:rFonts w:ascii="Arial" w:hAnsi="Arial" w:cs="Arial"/>
                <w:b/>
                <w:sz w:val="22"/>
                <w:szCs w:val="22"/>
              </w:rPr>
              <w:t>-202</w:t>
            </w:r>
            <w:r w:rsidR="001F39C9">
              <w:rPr>
                <w:rFonts w:ascii="Arial" w:hAnsi="Arial" w:cs="Arial"/>
                <w:b/>
                <w:sz w:val="22"/>
                <w:szCs w:val="22"/>
              </w:rPr>
              <w:t>4</w:t>
            </w:r>
            <w:r>
              <w:rPr>
                <w:rFonts w:ascii="Arial" w:hAnsi="Arial" w:cs="Arial"/>
                <w:b/>
                <w:sz w:val="22"/>
                <w:szCs w:val="22"/>
              </w:rPr>
              <w:t xml:space="preserve"> Proposed</w:t>
            </w:r>
          </w:p>
        </w:tc>
        <w:tc>
          <w:tcPr>
            <w:tcW w:w="164" w:type="dxa"/>
            <w:tcBorders>
              <w:top w:val="single" w:sz="12" w:space="0" w:color="auto"/>
              <w:left w:val="nil"/>
              <w:bottom w:val="nil"/>
              <w:right w:val="nil"/>
            </w:tcBorders>
          </w:tcPr>
          <w:p w14:paraId="1F65DD8A" w14:textId="77777777" w:rsidR="00B42E40" w:rsidRPr="008D0300" w:rsidRDefault="00B42E40" w:rsidP="006E1A10">
            <w:pPr>
              <w:rPr>
                <w:rFonts w:ascii="Arial" w:hAnsi="Arial" w:cs="Arial"/>
                <w:b/>
                <w:sz w:val="22"/>
                <w:szCs w:val="22"/>
              </w:rPr>
            </w:pPr>
          </w:p>
        </w:tc>
        <w:tc>
          <w:tcPr>
            <w:tcW w:w="1637" w:type="dxa"/>
            <w:tcBorders>
              <w:top w:val="single" w:sz="12" w:space="0" w:color="auto"/>
              <w:left w:val="nil"/>
              <w:bottom w:val="single" w:sz="2" w:space="0" w:color="auto"/>
              <w:right w:val="nil"/>
            </w:tcBorders>
            <w:shd w:val="clear" w:color="auto" w:fill="auto"/>
            <w:vAlign w:val="center"/>
          </w:tcPr>
          <w:p w14:paraId="21F0BB65" w14:textId="2046F187" w:rsidR="00B42E40" w:rsidRPr="008D0300" w:rsidRDefault="00B42E40" w:rsidP="00B42E40">
            <w:pPr>
              <w:jc w:val="center"/>
              <w:rPr>
                <w:rFonts w:ascii="Arial" w:hAnsi="Arial" w:cs="Arial"/>
                <w:b/>
                <w:sz w:val="22"/>
                <w:szCs w:val="22"/>
              </w:rPr>
            </w:pPr>
            <w:r>
              <w:rPr>
                <w:rFonts w:ascii="Arial" w:hAnsi="Arial" w:cs="Arial"/>
                <w:b/>
                <w:sz w:val="22"/>
                <w:szCs w:val="22"/>
              </w:rPr>
              <w:t>202</w:t>
            </w:r>
            <w:r w:rsidR="001F39C9">
              <w:rPr>
                <w:rFonts w:ascii="Arial" w:hAnsi="Arial" w:cs="Arial"/>
                <w:b/>
                <w:sz w:val="22"/>
                <w:szCs w:val="22"/>
              </w:rPr>
              <w:t>5</w:t>
            </w:r>
            <w:r>
              <w:rPr>
                <w:rFonts w:ascii="Arial" w:hAnsi="Arial" w:cs="Arial"/>
                <w:b/>
                <w:sz w:val="22"/>
                <w:szCs w:val="22"/>
              </w:rPr>
              <w:t>-202</w:t>
            </w:r>
            <w:r w:rsidR="001F39C9">
              <w:rPr>
                <w:rFonts w:ascii="Arial" w:hAnsi="Arial" w:cs="Arial"/>
                <w:b/>
                <w:sz w:val="22"/>
                <w:szCs w:val="22"/>
              </w:rPr>
              <w:t>6</w:t>
            </w:r>
            <w:r>
              <w:rPr>
                <w:rFonts w:ascii="Arial" w:hAnsi="Arial" w:cs="Arial"/>
                <w:b/>
                <w:sz w:val="22"/>
                <w:szCs w:val="22"/>
              </w:rPr>
              <w:t xml:space="preserve"> Projected</w:t>
            </w:r>
          </w:p>
        </w:tc>
        <w:tc>
          <w:tcPr>
            <w:tcW w:w="164" w:type="dxa"/>
            <w:tcBorders>
              <w:top w:val="single" w:sz="12" w:space="0" w:color="auto"/>
              <w:left w:val="nil"/>
              <w:bottom w:val="nil"/>
              <w:right w:val="nil"/>
            </w:tcBorders>
          </w:tcPr>
          <w:p w14:paraId="2B51D760" w14:textId="77777777" w:rsidR="00B42E40" w:rsidRPr="008D0300" w:rsidRDefault="00B42E40" w:rsidP="006E1A10">
            <w:pPr>
              <w:rPr>
                <w:rFonts w:ascii="Arial" w:hAnsi="Arial" w:cs="Arial"/>
                <w:b/>
                <w:sz w:val="22"/>
                <w:szCs w:val="22"/>
              </w:rPr>
            </w:pPr>
          </w:p>
        </w:tc>
        <w:tc>
          <w:tcPr>
            <w:tcW w:w="1637" w:type="dxa"/>
            <w:tcBorders>
              <w:top w:val="single" w:sz="12" w:space="0" w:color="auto"/>
              <w:left w:val="nil"/>
              <w:bottom w:val="single" w:sz="2" w:space="0" w:color="auto"/>
              <w:right w:val="nil"/>
            </w:tcBorders>
            <w:vAlign w:val="center"/>
          </w:tcPr>
          <w:p w14:paraId="7DC054DD" w14:textId="1A93F69A" w:rsidR="00B42E40" w:rsidRPr="008D0300" w:rsidRDefault="00B42E40" w:rsidP="006E1A10">
            <w:pPr>
              <w:jc w:val="center"/>
              <w:rPr>
                <w:rFonts w:ascii="Arial" w:hAnsi="Arial" w:cs="Arial"/>
                <w:b/>
                <w:sz w:val="22"/>
                <w:szCs w:val="22"/>
              </w:rPr>
            </w:pPr>
            <w:r>
              <w:rPr>
                <w:rFonts w:ascii="Arial" w:hAnsi="Arial" w:cs="Arial"/>
                <w:b/>
                <w:sz w:val="22"/>
                <w:szCs w:val="22"/>
              </w:rPr>
              <w:t>202</w:t>
            </w:r>
            <w:r w:rsidR="001F39C9">
              <w:rPr>
                <w:rFonts w:ascii="Arial" w:hAnsi="Arial" w:cs="Arial"/>
                <w:b/>
                <w:sz w:val="22"/>
                <w:szCs w:val="22"/>
              </w:rPr>
              <w:t>7</w:t>
            </w:r>
            <w:r>
              <w:rPr>
                <w:rFonts w:ascii="Arial" w:hAnsi="Arial" w:cs="Arial"/>
                <w:b/>
                <w:sz w:val="22"/>
                <w:szCs w:val="22"/>
              </w:rPr>
              <w:t>-202</w:t>
            </w:r>
            <w:r w:rsidR="001F39C9">
              <w:rPr>
                <w:rFonts w:ascii="Arial" w:hAnsi="Arial" w:cs="Arial"/>
                <w:b/>
                <w:sz w:val="22"/>
                <w:szCs w:val="22"/>
              </w:rPr>
              <w:t>8</w:t>
            </w:r>
            <w:r>
              <w:rPr>
                <w:rFonts w:ascii="Arial" w:hAnsi="Arial" w:cs="Arial"/>
                <w:b/>
                <w:sz w:val="22"/>
                <w:szCs w:val="22"/>
              </w:rPr>
              <w:t xml:space="preserve"> Projected</w:t>
            </w:r>
          </w:p>
        </w:tc>
      </w:tr>
      <w:tr w:rsidR="00CB3CC8" w:rsidRPr="008D0300" w14:paraId="6AFB5FE2" w14:textId="77777777" w:rsidTr="00CB3CC8">
        <w:trPr>
          <w:cantSplit/>
          <w:jc w:val="center"/>
        </w:trPr>
        <w:tc>
          <w:tcPr>
            <w:tcW w:w="2959" w:type="dxa"/>
            <w:tcBorders>
              <w:left w:val="nil"/>
              <w:bottom w:val="nil"/>
              <w:right w:val="nil"/>
            </w:tcBorders>
            <w:tcMar>
              <w:top w:w="72" w:type="dxa"/>
              <w:left w:w="115" w:type="dxa"/>
              <w:bottom w:w="72" w:type="dxa"/>
              <w:right w:w="115" w:type="dxa"/>
            </w:tcMar>
          </w:tcPr>
          <w:p w14:paraId="2C269414" w14:textId="0F95DD0D" w:rsidR="00B46CA9" w:rsidRPr="0087000B" w:rsidRDefault="00B46CA9" w:rsidP="00B46CA9">
            <w:pPr>
              <w:rPr>
                <w:rFonts w:ascii="Arial" w:hAnsi="Arial" w:cs="Arial"/>
                <w:b/>
                <w:sz w:val="22"/>
                <w:szCs w:val="22"/>
              </w:rPr>
            </w:pPr>
            <w:r w:rsidRPr="0087000B">
              <w:rPr>
                <w:rFonts w:ascii="Arial" w:hAnsi="Arial" w:cs="Arial"/>
                <w:b/>
                <w:sz w:val="22"/>
                <w:szCs w:val="22"/>
              </w:rPr>
              <w:t>Revenues</w:t>
            </w:r>
          </w:p>
        </w:tc>
        <w:tc>
          <w:tcPr>
            <w:tcW w:w="180" w:type="dxa"/>
            <w:tcBorders>
              <w:top w:val="nil"/>
              <w:left w:val="nil"/>
              <w:bottom w:val="nil"/>
              <w:right w:val="nil"/>
            </w:tcBorders>
          </w:tcPr>
          <w:p w14:paraId="5F0B9F0D" w14:textId="77777777" w:rsidR="00B46CA9" w:rsidRPr="008D0300" w:rsidRDefault="00B46CA9" w:rsidP="00B46CA9">
            <w:pPr>
              <w:jc w:val="right"/>
              <w:rPr>
                <w:rFonts w:ascii="Arial" w:hAnsi="Arial" w:cs="Arial"/>
                <w:sz w:val="22"/>
                <w:szCs w:val="22"/>
              </w:rPr>
            </w:pPr>
          </w:p>
        </w:tc>
        <w:tc>
          <w:tcPr>
            <w:tcW w:w="1516" w:type="dxa"/>
            <w:tcBorders>
              <w:left w:val="nil"/>
              <w:bottom w:val="nil"/>
              <w:right w:val="nil"/>
            </w:tcBorders>
          </w:tcPr>
          <w:p w14:paraId="5BE1A31E" w14:textId="12398027" w:rsidR="00B46CA9" w:rsidRPr="008D0300" w:rsidRDefault="00B46CA9" w:rsidP="00B46CA9">
            <w:pPr>
              <w:jc w:val="right"/>
              <w:rPr>
                <w:rFonts w:ascii="Arial" w:hAnsi="Arial" w:cs="Arial"/>
                <w:sz w:val="22"/>
                <w:szCs w:val="22"/>
              </w:rPr>
            </w:pPr>
            <w:r>
              <w:rPr>
                <w:rFonts w:ascii="Arial" w:hAnsi="Arial" w:cs="Arial"/>
                <w:sz w:val="22"/>
                <w:szCs w:val="22"/>
              </w:rPr>
              <w:t>$</w:t>
            </w:r>
            <w:r w:rsidR="00C17333">
              <w:rPr>
                <w:rFonts w:ascii="Arial" w:hAnsi="Arial" w:cs="Arial"/>
                <w:sz w:val="22"/>
                <w:szCs w:val="22"/>
              </w:rPr>
              <w:t>7,361,601</w:t>
            </w:r>
          </w:p>
        </w:tc>
        <w:tc>
          <w:tcPr>
            <w:tcW w:w="164" w:type="dxa"/>
            <w:tcBorders>
              <w:top w:val="nil"/>
              <w:left w:val="nil"/>
              <w:bottom w:val="nil"/>
              <w:right w:val="nil"/>
            </w:tcBorders>
          </w:tcPr>
          <w:p w14:paraId="7A3B973A" w14:textId="77777777" w:rsidR="00B46CA9" w:rsidRPr="008D0300" w:rsidRDefault="00B46CA9" w:rsidP="00B46CA9">
            <w:pPr>
              <w:jc w:val="right"/>
              <w:rPr>
                <w:rFonts w:ascii="Arial" w:hAnsi="Arial" w:cs="Arial"/>
                <w:sz w:val="22"/>
                <w:szCs w:val="22"/>
              </w:rPr>
            </w:pPr>
          </w:p>
        </w:tc>
        <w:tc>
          <w:tcPr>
            <w:tcW w:w="1637" w:type="dxa"/>
            <w:tcBorders>
              <w:top w:val="single" w:sz="2" w:space="0" w:color="auto"/>
              <w:left w:val="nil"/>
              <w:bottom w:val="nil"/>
              <w:right w:val="nil"/>
            </w:tcBorders>
            <w:tcMar>
              <w:top w:w="72" w:type="dxa"/>
              <w:bottom w:w="72" w:type="dxa"/>
            </w:tcMar>
          </w:tcPr>
          <w:p w14:paraId="5B258A66" w14:textId="4A05DB65" w:rsidR="00B46CA9" w:rsidRPr="008D0300" w:rsidRDefault="00B46CA9" w:rsidP="00B46CA9">
            <w:pPr>
              <w:jc w:val="right"/>
              <w:rPr>
                <w:rFonts w:ascii="Arial" w:hAnsi="Arial" w:cs="Arial"/>
                <w:sz w:val="22"/>
                <w:szCs w:val="22"/>
              </w:rPr>
            </w:pPr>
            <w:r>
              <w:rPr>
                <w:rFonts w:ascii="Arial" w:hAnsi="Arial" w:cs="Arial"/>
                <w:sz w:val="22"/>
                <w:szCs w:val="22"/>
              </w:rPr>
              <w:t>$</w:t>
            </w:r>
            <w:r w:rsidR="00725C64">
              <w:rPr>
                <w:rFonts w:ascii="Arial" w:hAnsi="Arial" w:cs="Arial"/>
                <w:sz w:val="22"/>
                <w:szCs w:val="22"/>
              </w:rPr>
              <w:t>6,643,660</w:t>
            </w:r>
          </w:p>
        </w:tc>
        <w:tc>
          <w:tcPr>
            <w:tcW w:w="164" w:type="dxa"/>
            <w:tcBorders>
              <w:top w:val="nil"/>
              <w:left w:val="nil"/>
              <w:bottom w:val="nil"/>
              <w:right w:val="nil"/>
            </w:tcBorders>
          </w:tcPr>
          <w:p w14:paraId="4A3B4E7C" w14:textId="77777777" w:rsidR="00B46CA9" w:rsidRPr="008D0300" w:rsidRDefault="00B46CA9" w:rsidP="00B46CA9">
            <w:pPr>
              <w:jc w:val="right"/>
              <w:rPr>
                <w:rFonts w:ascii="Arial" w:hAnsi="Arial" w:cs="Arial"/>
                <w:sz w:val="22"/>
                <w:szCs w:val="22"/>
              </w:rPr>
            </w:pPr>
          </w:p>
        </w:tc>
        <w:tc>
          <w:tcPr>
            <w:tcW w:w="1637" w:type="dxa"/>
            <w:tcBorders>
              <w:top w:val="single" w:sz="2" w:space="0" w:color="auto"/>
              <w:left w:val="nil"/>
              <w:bottom w:val="nil"/>
              <w:right w:val="nil"/>
            </w:tcBorders>
            <w:tcMar>
              <w:top w:w="72" w:type="dxa"/>
              <w:bottom w:w="72" w:type="dxa"/>
            </w:tcMar>
          </w:tcPr>
          <w:p w14:paraId="603EC64F" w14:textId="3E456A77" w:rsidR="00B46CA9" w:rsidRPr="008D0300" w:rsidRDefault="00B46CA9" w:rsidP="00B46CA9">
            <w:pPr>
              <w:jc w:val="right"/>
              <w:rPr>
                <w:rFonts w:ascii="Arial" w:hAnsi="Arial" w:cs="Arial"/>
                <w:sz w:val="22"/>
                <w:szCs w:val="22"/>
              </w:rPr>
            </w:pPr>
            <w:r>
              <w:rPr>
                <w:rFonts w:ascii="Arial" w:hAnsi="Arial" w:cs="Arial"/>
                <w:sz w:val="22"/>
                <w:szCs w:val="22"/>
              </w:rPr>
              <w:t>$</w:t>
            </w:r>
            <w:r w:rsidR="00725C64">
              <w:rPr>
                <w:rFonts w:ascii="Arial" w:hAnsi="Arial" w:cs="Arial"/>
                <w:sz w:val="22"/>
                <w:szCs w:val="22"/>
              </w:rPr>
              <w:t>6</w:t>
            </w:r>
            <w:r w:rsidR="0050471F">
              <w:rPr>
                <w:rFonts w:ascii="Arial" w:hAnsi="Arial" w:cs="Arial"/>
                <w:sz w:val="22"/>
                <w:szCs w:val="22"/>
              </w:rPr>
              <w:t>,643,660</w:t>
            </w:r>
          </w:p>
        </w:tc>
      </w:tr>
      <w:tr w:rsidR="00CB3CC8" w:rsidRPr="008D0300" w14:paraId="06E96C43" w14:textId="77777777" w:rsidTr="00CB3CC8">
        <w:trPr>
          <w:cantSplit/>
          <w:trHeight w:val="216"/>
          <w:jc w:val="center"/>
        </w:trPr>
        <w:tc>
          <w:tcPr>
            <w:tcW w:w="2959" w:type="dxa"/>
            <w:tcBorders>
              <w:top w:val="nil"/>
              <w:left w:val="nil"/>
              <w:bottom w:val="dotted" w:sz="4" w:space="0" w:color="auto"/>
              <w:right w:val="nil"/>
            </w:tcBorders>
            <w:tcMar>
              <w:top w:w="72" w:type="dxa"/>
              <w:left w:w="115" w:type="dxa"/>
              <w:bottom w:w="72" w:type="dxa"/>
              <w:right w:w="115" w:type="dxa"/>
            </w:tcMar>
          </w:tcPr>
          <w:p w14:paraId="489A5D08" w14:textId="20499611" w:rsidR="00B46CA9" w:rsidRPr="0087000B" w:rsidRDefault="00B46CA9" w:rsidP="00B46CA9">
            <w:pPr>
              <w:rPr>
                <w:rFonts w:ascii="Arial" w:hAnsi="Arial" w:cs="Arial"/>
                <w:b/>
                <w:sz w:val="22"/>
                <w:szCs w:val="22"/>
              </w:rPr>
            </w:pPr>
            <w:r w:rsidRPr="0087000B">
              <w:rPr>
                <w:rFonts w:ascii="Arial" w:hAnsi="Arial" w:cs="Arial"/>
                <w:b/>
                <w:sz w:val="22"/>
                <w:szCs w:val="22"/>
              </w:rPr>
              <w:t>Expenditures</w:t>
            </w:r>
          </w:p>
        </w:tc>
        <w:tc>
          <w:tcPr>
            <w:tcW w:w="180" w:type="dxa"/>
            <w:tcBorders>
              <w:top w:val="nil"/>
              <w:left w:val="nil"/>
              <w:bottom w:val="dotted" w:sz="4" w:space="0" w:color="auto"/>
              <w:right w:val="nil"/>
            </w:tcBorders>
          </w:tcPr>
          <w:p w14:paraId="64EFE687" w14:textId="77777777" w:rsidR="00B46CA9" w:rsidRPr="008D0300" w:rsidRDefault="00B46CA9" w:rsidP="00B46CA9">
            <w:pPr>
              <w:jc w:val="right"/>
              <w:rPr>
                <w:rFonts w:ascii="Arial" w:hAnsi="Arial" w:cs="Arial"/>
                <w:sz w:val="22"/>
                <w:szCs w:val="22"/>
              </w:rPr>
            </w:pPr>
          </w:p>
        </w:tc>
        <w:tc>
          <w:tcPr>
            <w:tcW w:w="1516" w:type="dxa"/>
            <w:tcBorders>
              <w:top w:val="nil"/>
              <w:left w:val="nil"/>
              <w:bottom w:val="dotted" w:sz="4" w:space="0" w:color="auto"/>
              <w:right w:val="nil"/>
            </w:tcBorders>
          </w:tcPr>
          <w:p w14:paraId="626BB516" w14:textId="4561B47F" w:rsidR="00B46CA9" w:rsidRPr="008D0300" w:rsidRDefault="00B46CA9" w:rsidP="00B46CA9">
            <w:pPr>
              <w:jc w:val="right"/>
              <w:rPr>
                <w:rFonts w:ascii="Arial" w:hAnsi="Arial" w:cs="Arial"/>
                <w:sz w:val="22"/>
                <w:szCs w:val="22"/>
              </w:rPr>
            </w:pPr>
            <w:r>
              <w:rPr>
                <w:rFonts w:ascii="Arial" w:hAnsi="Arial" w:cs="Arial"/>
                <w:sz w:val="22"/>
                <w:szCs w:val="22"/>
              </w:rPr>
              <w:t>$</w:t>
            </w:r>
            <w:r w:rsidR="00C17333">
              <w:rPr>
                <w:rFonts w:ascii="Arial" w:hAnsi="Arial" w:cs="Arial"/>
                <w:sz w:val="22"/>
                <w:szCs w:val="22"/>
              </w:rPr>
              <w:t>7,361,601</w:t>
            </w:r>
          </w:p>
        </w:tc>
        <w:tc>
          <w:tcPr>
            <w:tcW w:w="164" w:type="dxa"/>
            <w:tcBorders>
              <w:top w:val="nil"/>
              <w:left w:val="nil"/>
              <w:bottom w:val="dotted" w:sz="4" w:space="0" w:color="auto"/>
              <w:right w:val="nil"/>
            </w:tcBorders>
          </w:tcPr>
          <w:p w14:paraId="590F0A59" w14:textId="77777777" w:rsidR="00B46CA9" w:rsidRPr="008D0300" w:rsidRDefault="00B46CA9" w:rsidP="00B46CA9">
            <w:pPr>
              <w:jc w:val="right"/>
              <w:rPr>
                <w:rFonts w:ascii="Arial" w:hAnsi="Arial" w:cs="Arial"/>
                <w:sz w:val="22"/>
                <w:szCs w:val="22"/>
              </w:rPr>
            </w:pPr>
          </w:p>
        </w:tc>
        <w:tc>
          <w:tcPr>
            <w:tcW w:w="1637" w:type="dxa"/>
            <w:tcBorders>
              <w:top w:val="nil"/>
              <w:left w:val="nil"/>
              <w:bottom w:val="dotted" w:sz="4" w:space="0" w:color="auto"/>
              <w:right w:val="nil"/>
            </w:tcBorders>
            <w:tcMar>
              <w:top w:w="72" w:type="dxa"/>
              <w:bottom w:w="72" w:type="dxa"/>
            </w:tcMar>
          </w:tcPr>
          <w:p w14:paraId="310CCDC0" w14:textId="42545F5E" w:rsidR="00B46CA9" w:rsidRDefault="00B46CA9" w:rsidP="00B46CA9">
            <w:pPr>
              <w:jc w:val="right"/>
              <w:rPr>
                <w:rFonts w:ascii="Arial" w:hAnsi="Arial" w:cs="Arial"/>
                <w:sz w:val="22"/>
                <w:szCs w:val="22"/>
              </w:rPr>
            </w:pPr>
            <w:r>
              <w:rPr>
                <w:rFonts w:ascii="Arial" w:hAnsi="Arial" w:cs="Arial"/>
                <w:sz w:val="22"/>
                <w:szCs w:val="22"/>
              </w:rPr>
              <w:t>$</w:t>
            </w:r>
            <w:r w:rsidR="00725C64">
              <w:rPr>
                <w:rFonts w:ascii="Arial" w:hAnsi="Arial" w:cs="Arial"/>
                <w:sz w:val="22"/>
                <w:szCs w:val="22"/>
              </w:rPr>
              <w:t>6,643,660</w:t>
            </w:r>
          </w:p>
        </w:tc>
        <w:tc>
          <w:tcPr>
            <w:tcW w:w="164" w:type="dxa"/>
            <w:tcBorders>
              <w:top w:val="nil"/>
              <w:left w:val="nil"/>
              <w:bottom w:val="dotted" w:sz="4" w:space="0" w:color="auto"/>
              <w:right w:val="nil"/>
            </w:tcBorders>
          </w:tcPr>
          <w:p w14:paraId="533E1B49" w14:textId="77777777" w:rsidR="00B46CA9" w:rsidRPr="008D0300" w:rsidRDefault="00B46CA9" w:rsidP="00B46CA9">
            <w:pPr>
              <w:jc w:val="right"/>
              <w:rPr>
                <w:rFonts w:ascii="Arial" w:hAnsi="Arial" w:cs="Arial"/>
                <w:sz w:val="22"/>
                <w:szCs w:val="22"/>
              </w:rPr>
            </w:pPr>
          </w:p>
        </w:tc>
        <w:tc>
          <w:tcPr>
            <w:tcW w:w="1637" w:type="dxa"/>
            <w:tcBorders>
              <w:top w:val="nil"/>
              <w:left w:val="nil"/>
              <w:bottom w:val="dotted" w:sz="4" w:space="0" w:color="auto"/>
              <w:right w:val="nil"/>
            </w:tcBorders>
            <w:tcMar>
              <w:top w:w="72" w:type="dxa"/>
              <w:bottom w:w="72" w:type="dxa"/>
            </w:tcMar>
          </w:tcPr>
          <w:p w14:paraId="10A9A5E0" w14:textId="2951B44C" w:rsidR="00B46CA9" w:rsidRDefault="00B46CA9" w:rsidP="00B46CA9">
            <w:pPr>
              <w:jc w:val="right"/>
              <w:rPr>
                <w:rFonts w:ascii="Arial" w:hAnsi="Arial" w:cs="Arial"/>
                <w:sz w:val="22"/>
                <w:szCs w:val="22"/>
              </w:rPr>
            </w:pPr>
            <w:r>
              <w:rPr>
                <w:rFonts w:ascii="Arial" w:hAnsi="Arial" w:cs="Arial"/>
                <w:sz w:val="22"/>
                <w:szCs w:val="22"/>
              </w:rPr>
              <w:t>$</w:t>
            </w:r>
            <w:r w:rsidR="0050471F">
              <w:rPr>
                <w:rFonts w:ascii="Arial" w:hAnsi="Arial" w:cs="Arial"/>
                <w:sz w:val="22"/>
                <w:szCs w:val="22"/>
              </w:rPr>
              <w:t>6,643,660</w:t>
            </w:r>
          </w:p>
        </w:tc>
      </w:tr>
      <w:tr w:rsidR="0087000B" w:rsidRPr="008D0300" w14:paraId="1A1C317E" w14:textId="77777777" w:rsidTr="00CB3CC8">
        <w:trPr>
          <w:cantSplit/>
          <w:trHeight w:val="485"/>
          <w:jc w:val="center"/>
        </w:trPr>
        <w:tc>
          <w:tcPr>
            <w:tcW w:w="8257" w:type="dxa"/>
            <w:gridSpan w:val="7"/>
            <w:tcBorders>
              <w:top w:val="dotted" w:sz="4" w:space="0" w:color="auto"/>
              <w:left w:val="nil"/>
              <w:bottom w:val="single" w:sz="12" w:space="0" w:color="auto"/>
              <w:right w:val="single" w:sz="2" w:space="0" w:color="FFFFFF" w:themeColor="background1"/>
            </w:tcBorders>
            <w:tcMar>
              <w:top w:w="72" w:type="dxa"/>
              <w:left w:w="115" w:type="dxa"/>
              <w:bottom w:w="72" w:type="dxa"/>
              <w:right w:w="115" w:type="dxa"/>
            </w:tcMar>
            <w:vAlign w:val="center"/>
          </w:tcPr>
          <w:p w14:paraId="79B692D8" w14:textId="3E66562C" w:rsidR="0087000B" w:rsidRPr="0087000B" w:rsidRDefault="0087000B" w:rsidP="0087000B">
            <w:pPr>
              <w:rPr>
                <w:rFonts w:ascii="Arial" w:hAnsi="Arial" w:cs="Arial"/>
                <w:sz w:val="22"/>
                <w:szCs w:val="22"/>
              </w:rPr>
            </w:pPr>
            <w:r>
              <w:rPr>
                <w:rFonts w:ascii="Arial" w:hAnsi="Arial" w:cs="Arial"/>
                <w:b/>
                <w:sz w:val="22"/>
                <w:szCs w:val="22"/>
              </w:rPr>
              <w:t>Major Revenue Sources:</w:t>
            </w:r>
            <w:r>
              <w:rPr>
                <w:rFonts w:ascii="Arial" w:hAnsi="Arial" w:cs="Arial"/>
                <w:sz w:val="22"/>
                <w:szCs w:val="22"/>
              </w:rPr>
              <w:t xml:space="preserve">  </w:t>
            </w:r>
            <w:r w:rsidR="0047695F">
              <w:rPr>
                <w:rFonts w:ascii="Arial" w:hAnsi="Arial" w:cs="Arial"/>
                <w:sz w:val="22"/>
                <w:szCs w:val="22"/>
              </w:rPr>
              <w:t>Internal service ch</w:t>
            </w:r>
            <w:r w:rsidR="00FF07E0">
              <w:rPr>
                <w:rFonts w:ascii="Arial" w:hAnsi="Arial" w:cs="Arial"/>
                <w:sz w:val="22"/>
                <w:szCs w:val="22"/>
              </w:rPr>
              <w:t>arges to county agencies, General Fund</w:t>
            </w:r>
          </w:p>
        </w:tc>
      </w:tr>
    </w:tbl>
    <w:p w14:paraId="042FF9ED" w14:textId="151DD30A" w:rsidR="00B42E40" w:rsidRDefault="00B42E40" w:rsidP="00F20221">
      <w:pPr>
        <w:spacing w:line="264" w:lineRule="auto"/>
        <w:contextualSpacing/>
        <w:rPr>
          <w:rFonts w:ascii="Arial" w:hAnsi="Arial" w:cs="Arial"/>
          <w:b/>
          <w:smallCaps/>
          <w:szCs w:val="24"/>
          <w:u w:val="single"/>
        </w:rPr>
      </w:pPr>
    </w:p>
    <w:p w14:paraId="43E0E657" w14:textId="03EA6CAA" w:rsidR="005C2E8B" w:rsidRPr="00B2433E" w:rsidRDefault="008156D8" w:rsidP="008156D8">
      <w:pPr>
        <w:spacing w:line="264" w:lineRule="auto"/>
        <w:contextualSpacing/>
        <w:jc w:val="center"/>
        <w:rPr>
          <w:rFonts w:ascii="Arial" w:hAnsi="Arial" w:cs="Arial"/>
          <w:b/>
          <w:szCs w:val="24"/>
        </w:rPr>
      </w:pPr>
      <w:r>
        <w:rPr>
          <w:rFonts w:ascii="Arial" w:hAnsi="Arial" w:cs="Arial"/>
          <w:b/>
          <w:smallCaps/>
          <w:szCs w:val="24"/>
          <w:u w:val="single"/>
        </w:rPr>
        <w:t>Description</w:t>
      </w:r>
    </w:p>
    <w:p w14:paraId="25F15ECA" w14:textId="19B601BD" w:rsidR="005C2E8B" w:rsidRDefault="005C2E8B" w:rsidP="008A5CF4">
      <w:pPr>
        <w:spacing w:line="264" w:lineRule="auto"/>
        <w:contextualSpacing/>
        <w:jc w:val="both"/>
        <w:rPr>
          <w:rFonts w:ascii="Arial" w:hAnsi="Arial" w:cs="Arial"/>
          <w:szCs w:val="24"/>
        </w:rPr>
      </w:pPr>
    </w:p>
    <w:p w14:paraId="37CE344A" w14:textId="3F419DB6" w:rsidR="005C2E8B" w:rsidRDefault="004F3038" w:rsidP="008A5CF4">
      <w:pPr>
        <w:spacing w:line="264" w:lineRule="auto"/>
        <w:contextualSpacing/>
        <w:jc w:val="both"/>
        <w:rPr>
          <w:rFonts w:ascii="Arial" w:hAnsi="Arial" w:cs="Arial"/>
          <w:szCs w:val="24"/>
        </w:rPr>
      </w:pPr>
      <w:r>
        <w:rPr>
          <w:rFonts w:ascii="Arial" w:hAnsi="Arial" w:cs="Arial"/>
          <w:szCs w:val="24"/>
        </w:rPr>
        <w:t xml:space="preserve">The Information Technology Services Capital </w:t>
      </w:r>
      <w:r w:rsidR="006125A8">
        <w:rPr>
          <w:rFonts w:ascii="Arial" w:hAnsi="Arial" w:cs="Arial"/>
          <w:szCs w:val="24"/>
        </w:rPr>
        <w:t>fund supports enterprise technology capital projects (e.g., related to the King County website) and enterpr</w:t>
      </w:r>
      <w:r w:rsidR="00FF00EA">
        <w:rPr>
          <w:rFonts w:ascii="Arial" w:hAnsi="Arial" w:cs="Arial"/>
          <w:szCs w:val="24"/>
        </w:rPr>
        <w:t>i</w:t>
      </w:r>
      <w:r w:rsidR="006125A8">
        <w:rPr>
          <w:rFonts w:ascii="Arial" w:hAnsi="Arial" w:cs="Arial"/>
          <w:szCs w:val="24"/>
        </w:rPr>
        <w:t xml:space="preserve">se equipment replacement (e.g., related to the County's servers or network) that </w:t>
      </w:r>
      <w:r w:rsidR="00A66318">
        <w:rPr>
          <w:rFonts w:ascii="Arial" w:hAnsi="Arial" w:cs="Arial"/>
          <w:szCs w:val="24"/>
        </w:rPr>
        <w:t xml:space="preserve">are </w:t>
      </w:r>
      <w:r w:rsidR="006125A8">
        <w:rPr>
          <w:rFonts w:ascii="Arial" w:hAnsi="Arial" w:cs="Arial"/>
          <w:szCs w:val="24"/>
        </w:rPr>
        <w:t>countywide</w:t>
      </w:r>
      <w:r w:rsidR="00FF00EA">
        <w:rPr>
          <w:rFonts w:ascii="Arial" w:hAnsi="Arial" w:cs="Arial"/>
          <w:szCs w:val="24"/>
        </w:rPr>
        <w:t xml:space="preserve"> </w:t>
      </w:r>
      <w:r w:rsidR="00A66318">
        <w:rPr>
          <w:rFonts w:ascii="Arial" w:hAnsi="Arial" w:cs="Arial"/>
          <w:szCs w:val="24"/>
        </w:rPr>
        <w:t>in scope. The fund is managed by King County Information Technology (KCIT).</w:t>
      </w:r>
      <w:r w:rsidR="00A51E90">
        <w:rPr>
          <w:rFonts w:ascii="Arial" w:hAnsi="Arial" w:cs="Arial"/>
          <w:szCs w:val="24"/>
        </w:rPr>
        <w:t xml:space="preserve"> Most projects in this fund are supported by internal service charges to county agencies. </w:t>
      </w:r>
    </w:p>
    <w:p w14:paraId="58418056" w14:textId="766FA0AF" w:rsidR="004567F8" w:rsidRPr="00F6225B" w:rsidRDefault="004567F8" w:rsidP="008A5CF4">
      <w:pPr>
        <w:spacing w:line="264" w:lineRule="auto"/>
        <w:contextualSpacing/>
        <w:rPr>
          <w:rFonts w:ascii="Arial" w:hAnsi="Arial" w:cs="Arial"/>
          <w:szCs w:val="24"/>
        </w:rPr>
      </w:pPr>
    </w:p>
    <w:p w14:paraId="63E54FF6" w14:textId="154CE1C7" w:rsidR="005C2E8B" w:rsidRPr="00B2433E" w:rsidRDefault="008156D8" w:rsidP="008156D8">
      <w:pPr>
        <w:spacing w:line="264" w:lineRule="auto"/>
        <w:contextualSpacing/>
        <w:jc w:val="center"/>
        <w:rPr>
          <w:rFonts w:ascii="Arial" w:hAnsi="Arial" w:cs="Arial"/>
          <w:b/>
          <w:szCs w:val="24"/>
        </w:rPr>
      </w:pPr>
      <w:r>
        <w:rPr>
          <w:rFonts w:ascii="Arial" w:hAnsi="Arial" w:cs="Arial"/>
          <w:b/>
          <w:smallCaps/>
          <w:szCs w:val="24"/>
          <w:u w:val="single"/>
        </w:rPr>
        <w:t>Summary of Proposed Budget and Changes</w:t>
      </w:r>
    </w:p>
    <w:p w14:paraId="6F397FB5" w14:textId="77777777" w:rsidR="005C2E8B" w:rsidRPr="00F6225B" w:rsidRDefault="005C2E8B" w:rsidP="008A5CF4">
      <w:pPr>
        <w:spacing w:line="264" w:lineRule="auto"/>
        <w:contextualSpacing/>
        <w:jc w:val="both"/>
        <w:rPr>
          <w:rFonts w:ascii="Arial" w:hAnsi="Arial" w:cs="Arial"/>
          <w:szCs w:val="24"/>
        </w:rPr>
      </w:pPr>
    </w:p>
    <w:p w14:paraId="1571292C" w14:textId="60A5B376" w:rsidR="003E0D1D" w:rsidRDefault="00253D99" w:rsidP="005344D7">
      <w:pPr>
        <w:spacing w:line="264" w:lineRule="auto"/>
        <w:contextualSpacing/>
        <w:jc w:val="both"/>
        <w:rPr>
          <w:rFonts w:ascii="Arial" w:hAnsi="Arial" w:cs="Arial"/>
          <w:szCs w:val="24"/>
        </w:rPr>
      </w:pPr>
      <w:r>
        <w:rPr>
          <w:rFonts w:ascii="Arial" w:hAnsi="Arial" w:cs="Arial"/>
          <w:szCs w:val="24"/>
        </w:rPr>
        <w:t>The Executive proposed 2023-2024 budget would appropriate approximately $</w:t>
      </w:r>
      <w:r w:rsidR="002873F2">
        <w:rPr>
          <w:rFonts w:ascii="Arial" w:hAnsi="Arial" w:cs="Arial"/>
          <w:szCs w:val="24"/>
        </w:rPr>
        <w:t>7.4 million</w:t>
      </w:r>
      <w:r w:rsidR="00676DFD">
        <w:rPr>
          <w:rFonts w:ascii="Arial" w:hAnsi="Arial" w:cs="Arial"/>
          <w:szCs w:val="24"/>
        </w:rPr>
        <w:t xml:space="preserve"> for this fund. Of this appropriation, approximately $5.1 million would</w:t>
      </w:r>
      <w:r w:rsidR="002144A7">
        <w:rPr>
          <w:rFonts w:ascii="Arial" w:hAnsi="Arial" w:cs="Arial"/>
          <w:szCs w:val="24"/>
        </w:rPr>
        <w:t xml:space="preserve"> replace end-of-life network equipment, approximately $553,000 to expand the number of County sites with enhanced wireless capabilities, and approximately $1.7 million for the four new technology projects listed in the table below.  </w:t>
      </w:r>
    </w:p>
    <w:p w14:paraId="14B73F34" w14:textId="155110C2" w:rsidR="000413FE" w:rsidRDefault="000413FE" w:rsidP="005344D7">
      <w:pPr>
        <w:spacing w:line="264" w:lineRule="auto"/>
        <w:contextualSpacing/>
        <w:jc w:val="both"/>
        <w:rPr>
          <w:rFonts w:ascii="Arial" w:hAnsi="Arial" w:cs="Arial"/>
          <w:szCs w:val="24"/>
        </w:rPr>
      </w:pPr>
    </w:p>
    <w:tbl>
      <w:tblPr>
        <w:tblStyle w:val="TableGrid"/>
        <w:tblW w:w="0" w:type="auto"/>
        <w:jc w:val="center"/>
        <w:tblLook w:val="04A0" w:firstRow="1" w:lastRow="0" w:firstColumn="1" w:lastColumn="0" w:noHBand="0" w:noVBand="1"/>
      </w:tblPr>
      <w:tblGrid>
        <w:gridCol w:w="1315"/>
        <w:gridCol w:w="270"/>
        <w:gridCol w:w="3842"/>
        <w:gridCol w:w="270"/>
        <w:gridCol w:w="1468"/>
      </w:tblGrid>
      <w:tr w:rsidR="000413FE" w:rsidRPr="00052F7B" w14:paraId="6C64641D" w14:textId="77777777" w:rsidTr="00366348">
        <w:trPr>
          <w:cantSplit/>
          <w:tblHeader/>
          <w:jc w:val="center"/>
        </w:trPr>
        <w:tc>
          <w:tcPr>
            <w:tcW w:w="1315" w:type="dxa"/>
            <w:tcBorders>
              <w:top w:val="single" w:sz="12" w:space="0" w:color="auto"/>
              <w:left w:val="nil"/>
              <w:bottom w:val="single" w:sz="4" w:space="0" w:color="auto"/>
              <w:right w:val="nil"/>
            </w:tcBorders>
            <w:shd w:val="clear" w:color="auto" w:fill="auto"/>
            <w:vAlign w:val="bottom"/>
          </w:tcPr>
          <w:p w14:paraId="316ACAD1" w14:textId="77777777" w:rsidR="000413FE" w:rsidRPr="00052F7B" w:rsidRDefault="000413FE" w:rsidP="00366348">
            <w:pPr>
              <w:rPr>
                <w:rFonts w:ascii="Arial" w:hAnsi="Arial" w:cs="Arial"/>
                <w:b/>
                <w:sz w:val="22"/>
                <w:szCs w:val="22"/>
              </w:rPr>
            </w:pPr>
            <w:r>
              <w:rPr>
                <w:rFonts w:ascii="Arial" w:hAnsi="Arial" w:cs="Arial"/>
                <w:b/>
                <w:sz w:val="22"/>
                <w:szCs w:val="22"/>
              </w:rPr>
              <w:t>Project #</w:t>
            </w:r>
          </w:p>
        </w:tc>
        <w:tc>
          <w:tcPr>
            <w:tcW w:w="270" w:type="dxa"/>
            <w:tcBorders>
              <w:top w:val="single" w:sz="12" w:space="0" w:color="auto"/>
              <w:left w:val="nil"/>
              <w:bottom w:val="nil"/>
              <w:right w:val="nil"/>
            </w:tcBorders>
            <w:vAlign w:val="bottom"/>
          </w:tcPr>
          <w:p w14:paraId="68F36FCB" w14:textId="77777777" w:rsidR="000413FE" w:rsidRPr="00052F7B" w:rsidRDefault="000413FE" w:rsidP="00366348">
            <w:pPr>
              <w:rPr>
                <w:rFonts w:ascii="Arial" w:hAnsi="Arial" w:cs="Arial"/>
                <w:b/>
                <w:sz w:val="22"/>
                <w:szCs w:val="22"/>
              </w:rPr>
            </w:pPr>
          </w:p>
        </w:tc>
        <w:tc>
          <w:tcPr>
            <w:tcW w:w="3842" w:type="dxa"/>
            <w:tcBorders>
              <w:top w:val="single" w:sz="12" w:space="0" w:color="auto"/>
              <w:left w:val="nil"/>
              <w:bottom w:val="single" w:sz="4" w:space="0" w:color="auto"/>
              <w:right w:val="nil"/>
            </w:tcBorders>
            <w:shd w:val="clear" w:color="auto" w:fill="auto"/>
            <w:vAlign w:val="bottom"/>
          </w:tcPr>
          <w:p w14:paraId="5E149D9B" w14:textId="77777777" w:rsidR="000413FE" w:rsidRPr="00052F7B" w:rsidRDefault="000413FE" w:rsidP="00366348">
            <w:pPr>
              <w:rPr>
                <w:rFonts w:ascii="Arial" w:hAnsi="Arial" w:cs="Arial"/>
                <w:b/>
                <w:sz w:val="22"/>
                <w:szCs w:val="22"/>
              </w:rPr>
            </w:pPr>
            <w:r>
              <w:rPr>
                <w:rFonts w:ascii="Arial" w:hAnsi="Arial" w:cs="Arial"/>
                <w:b/>
                <w:sz w:val="22"/>
                <w:szCs w:val="22"/>
              </w:rPr>
              <w:t>Project Name</w:t>
            </w:r>
          </w:p>
        </w:tc>
        <w:tc>
          <w:tcPr>
            <w:tcW w:w="270" w:type="dxa"/>
            <w:tcBorders>
              <w:top w:val="single" w:sz="12" w:space="0" w:color="auto"/>
              <w:left w:val="nil"/>
              <w:bottom w:val="nil"/>
              <w:right w:val="nil"/>
            </w:tcBorders>
            <w:vAlign w:val="bottom"/>
          </w:tcPr>
          <w:p w14:paraId="57EF1B80" w14:textId="77777777" w:rsidR="000413FE" w:rsidRPr="00052F7B" w:rsidRDefault="000413FE" w:rsidP="00366348">
            <w:pPr>
              <w:rPr>
                <w:rFonts w:ascii="Arial" w:hAnsi="Arial" w:cs="Arial"/>
                <w:b/>
                <w:sz w:val="22"/>
                <w:szCs w:val="22"/>
              </w:rPr>
            </w:pPr>
          </w:p>
        </w:tc>
        <w:tc>
          <w:tcPr>
            <w:tcW w:w="1468" w:type="dxa"/>
            <w:tcBorders>
              <w:top w:val="single" w:sz="12" w:space="0" w:color="auto"/>
              <w:left w:val="nil"/>
              <w:bottom w:val="single" w:sz="4" w:space="0" w:color="auto"/>
              <w:right w:val="nil"/>
            </w:tcBorders>
            <w:shd w:val="clear" w:color="auto" w:fill="auto"/>
            <w:vAlign w:val="bottom"/>
          </w:tcPr>
          <w:p w14:paraId="0AFECF53" w14:textId="77777777" w:rsidR="000413FE" w:rsidRPr="00052F7B" w:rsidRDefault="000413FE" w:rsidP="00366348">
            <w:pPr>
              <w:rPr>
                <w:rFonts w:ascii="Arial" w:hAnsi="Arial" w:cs="Arial"/>
                <w:b/>
                <w:sz w:val="22"/>
                <w:szCs w:val="22"/>
              </w:rPr>
            </w:pPr>
            <w:r>
              <w:rPr>
                <w:rFonts w:ascii="Arial" w:hAnsi="Arial" w:cs="Arial"/>
                <w:b/>
                <w:sz w:val="22"/>
                <w:szCs w:val="22"/>
              </w:rPr>
              <w:t xml:space="preserve">FY23-24 Proposed </w:t>
            </w:r>
          </w:p>
        </w:tc>
      </w:tr>
      <w:tr w:rsidR="000413FE" w:rsidRPr="00052F7B" w14:paraId="2D801883" w14:textId="77777777" w:rsidTr="00366348">
        <w:trPr>
          <w:cantSplit/>
          <w:jc w:val="center"/>
        </w:trPr>
        <w:tc>
          <w:tcPr>
            <w:tcW w:w="1315" w:type="dxa"/>
            <w:tcBorders>
              <w:left w:val="nil"/>
              <w:bottom w:val="nil"/>
              <w:right w:val="nil"/>
            </w:tcBorders>
            <w:tcMar>
              <w:top w:w="43" w:type="dxa"/>
              <w:left w:w="115" w:type="dxa"/>
              <w:bottom w:w="43" w:type="dxa"/>
              <w:right w:w="115" w:type="dxa"/>
            </w:tcMar>
          </w:tcPr>
          <w:p w14:paraId="626198E1" w14:textId="42E262F9" w:rsidR="000413FE" w:rsidRPr="00D04BA0" w:rsidRDefault="000413FE" w:rsidP="00366348">
            <w:pPr>
              <w:rPr>
                <w:rFonts w:ascii="Arial" w:hAnsi="Arial" w:cs="Arial"/>
                <w:sz w:val="22"/>
                <w:szCs w:val="22"/>
              </w:rPr>
            </w:pPr>
            <w:r>
              <w:rPr>
                <w:rFonts w:ascii="Arial" w:hAnsi="Arial" w:cs="Arial"/>
                <w:sz w:val="22"/>
                <w:szCs w:val="22"/>
              </w:rPr>
              <w:t>114</w:t>
            </w:r>
            <w:r w:rsidR="00C37142">
              <w:rPr>
                <w:rFonts w:ascii="Arial" w:hAnsi="Arial" w:cs="Arial"/>
                <w:sz w:val="22"/>
                <w:szCs w:val="22"/>
              </w:rPr>
              <w:t>3991</w:t>
            </w:r>
          </w:p>
        </w:tc>
        <w:tc>
          <w:tcPr>
            <w:tcW w:w="270" w:type="dxa"/>
            <w:tcBorders>
              <w:top w:val="nil"/>
              <w:left w:val="nil"/>
              <w:bottom w:val="nil"/>
              <w:right w:val="nil"/>
            </w:tcBorders>
            <w:tcMar>
              <w:top w:w="43" w:type="dxa"/>
              <w:bottom w:w="43" w:type="dxa"/>
            </w:tcMar>
          </w:tcPr>
          <w:p w14:paraId="5532E2C1" w14:textId="77777777" w:rsidR="000413FE" w:rsidRPr="00052F7B" w:rsidRDefault="000413FE" w:rsidP="00366348">
            <w:pPr>
              <w:rPr>
                <w:rFonts w:ascii="Arial" w:hAnsi="Arial" w:cs="Arial"/>
                <w:sz w:val="22"/>
                <w:szCs w:val="22"/>
              </w:rPr>
            </w:pPr>
          </w:p>
        </w:tc>
        <w:tc>
          <w:tcPr>
            <w:tcW w:w="3842" w:type="dxa"/>
            <w:tcBorders>
              <w:left w:val="nil"/>
              <w:bottom w:val="nil"/>
              <w:right w:val="nil"/>
            </w:tcBorders>
            <w:tcMar>
              <w:top w:w="43" w:type="dxa"/>
              <w:left w:w="115" w:type="dxa"/>
              <w:bottom w:w="43" w:type="dxa"/>
              <w:right w:w="115" w:type="dxa"/>
            </w:tcMar>
          </w:tcPr>
          <w:p w14:paraId="1C31D8FD" w14:textId="6C563624" w:rsidR="000413FE" w:rsidRPr="00052F7B" w:rsidRDefault="00C37142" w:rsidP="00366348">
            <w:pPr>
              <w:rPr>
                <w:rFonts w:ascii="Arial" w:hAnsi="Arial" w:cs="Arial"/>
                <w:sz w:val="22"/>
                <w:szCs w:val="22"/>
              </w:rPr>
            </w:pPr>
            <w:r>
              <w:rPr>
                <w:rFonts w:ascii="Arial" w:hAnsi="Arial" w:cs="Arial"/>
                <w:sz w:val="22"/>
                <w:szCs w:val="22"/>
              </w:rPr>
              <w:t>Payment Kiosks</w:t>
            </w:r>
          </w:p>
        </w:tc>
        <w:tc>
          <w:tcPr>
            <w:tcW w:w="270" w:type="dxa"/>
            <w:tcBorders>
              <w:top w:val="nil"/>
              <w:left w:val="nil"/>
              <w:bottom w:val="nil"/>
              <w:right w:val="nil"/>
            </w:tcBorders>
            <w:tcMar>
              <w:top w:w="43" w:type="dxa"/>
              <w:bottom w:w="43" w:type="dxa"/>
            </w:tcMar>
          </w:tcPr>
          <w:p w14:paraId="3F5E1157" w14:textId="77777777" w:rsidR="000413FE" w:rsidRPr="00052F7B" w:rsidRDefault="000413FE" w:rsidP="00366348">
            <w:pPr>
              <w:rPr>
                <w:rFonts w:ascii="Arial" w:hAnsi="Arial" w:cs="Arial"/>
                <w:b/>
                <w:sz w:val="22"/>
                <w:szCs w:val="22"/>
              </w:rPr>
            </w:pPr>
          </w:p>
        </w:tc>
        <w:tc>
          <w:tcPr>
            <w:tcW w:w="1468" w:type="dxa"/>
            <w:tcBorders>
              <w:left w:val="nil"/>
              <w:bottom w:val="nil"/>
              <w:right w:val="nil"/>
            </w:tcBorders>
            <w:shd w:val="clear" w:color="auto" w:fill="auto"/>
            <w:tcMar>
              <w:top w:w="43" w:type="dxa"/>
              <w:left w:w="115" w:type="dxa"/>
              <w:bottom w:w="43" w:type="dxa"/>
              <w:right w:w="115" w:type="dxa"/>
            </w:tcMar>
          </w:tcPr>
          <w:p w14:paraId="16CC0FA0" w14:textId="3C4A89A6" w:rsidR="000413FE" w:rsidRPr="0009680B" w:rsidRDefault="00C37142" w:rsidP="00366348">
            <w:pPr>
              <w:rPr>
                <w:rFonts w:ascii="Arial" w:hAnsi="Arial" w:cs="Arial"/>
                <w:bCs/>
                <w:sz w:val="22"/>
                <w:szCs w:val="22"/>
              </w:rPr>
            </w:pPr>
            <w:r>
              <w:rPr>
                <w:rFonts w:ascii="Arial" w:hAnsi="Arial" w:cs="Arial"/>
                <w:bCs/>
                <w:sz w:val="22"/>
                <w:szCs w:val="22"/>
              </w:rPr>
              <w:t>$150,000</w:t>
            </w:r>
          </w:p>
        </w:tc>
      </w:tr>
      <w:tr w:rsidR="000413FE" w:rsidRPr="00052F7B" w14:paraId="7314469A" w14:textId="77777777" w:rsidTr="00366348">
        <w:trPr>
          <w:cantSplit/>
          <w:jc w:val="center"/>
        </w:trPr>
        <w:tc>
          <w:tcPr>
            <w:tcW w:w="1315" w:type="dxa"/>
            <w:tcBorders>
              <w:top w:val="nil"/>
              <w:left w:val="nil"/>
              <w:bottom w:val="nil"/>
              <w:right w:val="nil"/>
            </w:tcBorders>
            <w:tcMar>
              <w:top w:w="43" w:type="dxa"/>
              <w:left w:w="115" w:type="dxa"/>
              <w:bottom w:w="43" w:type="dxa"/>
              <w:right w:w="115" w:type="dxa"/>
            </w:tcMar>
          </w:tcPr>
          <w:p w14:paraId="26391396" w14:textId="23DA6312" w:rsidR="000413FE" w:rsidRPr="00D04BA0" w:rsidRDefault="00C37142" w:rsidP="00366348">
            <w:pPr>
              <w:rPr>
                <w:rFonts w:ascii="Arial" w:hAnsi="Arial" w:cs="Arial"/>
                <w:sz w:val="22"/>
                <w:szCs w:val="22"/>
              </w:rPr>
            </w:pPr>
            <w:r>
              <w:rPr>
                <w:rFonts w:ascii="Arial" w:hAnsi="Arial" w:cs="Arial"/>
                <w:sz w:val="22"/>
                <w:szCs w:val="22"/>
              </w:rPr>
              <w:t>1143993</w:t>
            </w:r>
          </w:p>
        </w:tc>
        <w:tc>
          <w:tcPr>
            <w:tcW w:w="270" w:type="dxa"/>
            <w:tcBorders>
              <w:top w:val="nil"/>
              <w:left w:val="nil"/>
              <w:bottom w:val="nil"/>
              <w:right w:val="nil"/>
            </w:tcBorders>
            <w:tcMar>
              <w:top w:w="43" w:type="dxa"/>
              <w:bottom w:w="43" w:type="dxa"/>
            </w:tcMar>
          </w:tcPr>
          <w:p w14:paraId="76B12B98" w14:textId="77777777" w:rsidR="000413FE" w:rsidRPr="00052F7B" w:rsidRDefault="000413FE" w:rsidP="00366348">
            <w:pPr>
              <w:rPr>
                <w:rFonts w:ascii="Arial" w:hAnsi="Arial" w:cs="Arial"/>
                <w:sz w:val="22"/>
                <w:szCs w:val="22"/>
              </w:rPr>
            </w:pPr>
          </w:p>
        </w:tc>
        <w:tc>
          <w:tcPr>
            <w:tcW w:w="3842" w:type="dxa"/>
            <w:tcBorders>
              <w:top w:val="nil"/>
              <w:left w:val="nil"/>
              <w:bottom w:val="nil"/>
              <w:right w:val="nil"/>
            </w:tcBorders>
            <w:tcMar>
              <w:top w:w="43" w:type="dxa"/>
              <w:left w:w="115" w:type="dxa"/>
              <w:bottom w:w="43" w:type="dxa"/>
              <w:right w:w="115" w:type="dxa"/>
            </w:tcMar>
          </w:tcPr>
          <w:p w14:paraId="05E258B7" w14:textId="637095CE" w:rsidR="000413FE" w:rsidRPr="00052F7B" w:rsidRDefault="00C37142" w:rsidP="00366348">
            <w:pPr>
              <w:rPr>
                <w:rFonts w:ascii="Arial" w:hAnsi="Arial" w:cs="Arial"/>
                <w:sz w:val="22"/>
                <w:szCs w:val="22"/>
              </w:rPr>
            </w:pPr>
            <w:r>
              <w:rPr>
                <w:rFonts w:ascii="Arial" w:hAnsi="Arial" w:cs="Arial"/>
                <w:sz w:val="22"/>
                <w:szCs w:val="22"/>
              </w:rPr>
              <w:t>Criminal Justice Enterprise Data Hub</w:t>
            </w:r>
          </w:p>
        </w:tc>
        <w:tc>
          <w:tcPr>
            <w:tcW w:w="270" w:type="dxa"/>
            <w:tcBorders>
              <w:top w:val="nil"/>
              <w:left w:val="nil"/>
              <w:bottom w:val="nil"/>
              <w:right w:val="nil"/>
            </w:tcBorders>
            <w:tcMar>
              <w:top w:w="43" w:type="dxa"/>
              <w:bottom w:w="43" w:type="dxa"/>
            </w:tcMar>
          </w:tcPr>
          <w:p w14:paraId="57720692" w14:textId="77777777" w:rsidR="000413FE" w:rsidRPr="00052F7B" w:rsidRDefault="000413FE" w:rsidP="00366348">
            <w:pPr>
              <w:rPr>
                <w:rFonts w:ascii="Arial" w:hAnsi="Arial" w:cs="Arial"/>
                <w:b/>
                <w:sz w:val="22"/>
                <w:szCs w:val="22"/>
              </w:rPr>
            </w:pPr>
          </w:p>
        </w:tc>
        <w:tc>
          <w:tcPr>
            <w:tcW w:w="1468" w:type="dxa"/>
            <w:tcBorders>
              <w:top w:val="nil"/>
              <w:left w:val="nil"/>
              <w:bottom w:val="nil"/>
              <w:right w:val="nil"/>
            </w:tcBorders>
            <w:shd w:val="clear" w:color="auto" w:fill="auto"/>
            <w:tcMar>
              <w:top w:w="43" w:type="dxa"/>
              <w:left w:w="115" w:type="dxa"/>
              <w:bottom w:w="43" w:type="dxa"/>
              <w:right w:w="115" w:type="dxa"/>
            </w:tcMar>
          </w:tcPr>
          <w:p w14:paraId="4C7301AE" w14:textId="2672EA5D" w:rsidR="000413FE" w:rsidRPr="0009680B" w:rsidRDefault="00C37142" w:rsidP="00366348">
            <w:pPr>
              <w:rPr>
                <w:rFonts w:ascii="Arial" w:hAnsi="Arial" w:cs="Arial"/>
                <w:bCs/>
                <w:sz w:val="22"/>
                <w:szCs w:val="22"/>
              </w:rPr>
            </w:pPr>
            <w:r>
              <w:rPr>
                <w:rFonts w:ascii="Arial" w:hAnsi="Arial" w:cs="Arial"/>
                <w:bCs/>
                <w:sz w:val="22"/>
                <w:szCs w:val="22"/>
              </w:rPr>
              <w:t>$</w:t>
            </w:r>
            <w:r w:rsidR="00563B1E">
              <w:rPr>
                <w:rFonts w:ascii="Arial" w:hAnsi="Arial" w:cs="Arial"/>
                <w:bCs/>
                <w:sz w:val="22"/>
                <w:szCs w:val="22"/>
              </w:rPr>
              <w:t>150,000</w:t>
            </w:r>
          </w:p>
        </w:tc>
      </w:tr>
      <w:tr w:rsidR="000413FE" w:rsidRPr="00052F7B" w14:paraId="1F515C5B" w14:textId="77777777" w:rsidTr="00366348">
        <w:trPr>
          <w:cantSplit/>
          <w:jc w:val="center"/>
        </w:trPr>
        <w:tc>
          <w:tcPr>
            <w:tcW w:w="1315" w:type="dxa"/>
            <w:tcBorders>
              <w:top w:val="nil"/>
              <w:left w:val="nil"/>
              <w:bottom w:val="nil"/>
              <w:right w:val="nil"/>
            </w:tcBorders>
            <w:tcMar>
              <w:top w:w="43" w:type="dxa"/>
              <w:left w:w="115" w:type="dxa"/>
              <w:bottom w:w="43" w:type="dxa"/>
              <w:right w:w="115" w:type="dxa"/>
            </w:tcMar>
          </w:tcPr>
          <w:p w14:paraId="6BE56C57" w14:textId="13AFCA87" w:rsidR="000413FE" w:rsidRPr="00D04BA0" w:rsidRDefault="00563B1E" w:rsidP="00366348">
            <w:pPr>
              <w:rPr>
                <w:rFonts w:ascii="Arial" w:hAnsi="Arial" w:cs="Arial"/>
                <w:sz w:val="22"/>
                <w:szCs w:val="22"/>
              </w:rPr>
            </w:pPr>
            <w:r>
              <w:rPr>
                <w:rFonts w:ascii="Arial" w:hAnsi="Arial" w:cs="Arial"/>
                <w:sz w:val="22"/>
                <w:szCs w:val="22"/>
              </w:rPr>
              <w:t>1143995</w:t>
            </w:r>
          </w:p>
        </w:tc>
        <w:tc>
          <w:tcPr>
            <w:tcW w:w="270" w:type="dxa"/>
            <w:tcBorders>
              <w:top w:val="nil"/>
              <w:left w:val="nil"/>
              <w:bottom w:val="nil"/>
              <w:right w:val="nil"/>
            </w:tcBorders>
            <w:tcMar>
              <w:top w:w="43" w:type="dxa"/>
              <w:bottom w:w="43" w:type="dxa"/>
            </w:tcMar>
          </w:tcPr>
          <w:p w14:paraId="5B7A431C" w14:textId="77777777" w:rsidR="000413FE" w:rsidRPr="00052F7B" w:rsidRDefault="000413FE" w:rsidP="00366348">
            <w:pPr>
              <w:rPr>
                <w:rFonts w:ascii="Arial" w:hAnsi="Arial" w:cs="Arial"/>
                <w:sz w:val="22"/>
                <w:szCs w:val="22"/>
              </w:rPr>
            </w:pPr>
          </w:p>
        </w:tc>
        <w:tc>
          <w:tcPr>
            <w:tcW w:w="3842" w:type="dxa"/>
            <w:tcBorders>
              <w:top w:val="nil"/>
              <w:left w:val="nil"/>
              <w:bottom w:val="nil"/>
              <w:right w:val="nil"/>
            </w:tcBorders>
            <w:tcMar>
              <w:top w:w="43" w:type="dxa"/>
              <w:left w:w="115" w:type="dxa"/>
              <w:bottom w:w="43" w:type="dxa"/>
              <w:right w:w="115" w:type="dxa"/>
            </w:tcMar>
          </w:tcPr>
          <w:p w14:paraId="7C6D6C99" w14:textId="262A0A0C" w:rsidR="000413FE" w:rsidRPr="00052F7B" w:rsidRDefault="00563B1E" w:rsidP="00366348">
            <w:pPr>
              <w:rPr>
                <w:rFonts w:ascii="Arial" w:hAnsi="Arial" w:cs="Arial"/>
                <w:sz w:val="22"/>
                <w:szCs w:val="22"/>
              </w:rPr>
            </w:pPr>
            <w:r>
              <w:rPr>
                <w:rFonts w:ascii="Arial" w:hAnsi="Arial" w:cs="Arial"/>
                <w:sz w:val="22"/>
                <w:szCs w:val="22"/>
              </w:rPr>
              <w:t>Data Center Analysis &amp; Planning</w:t>
            </w:r>
          </w:p>
        </w:tc>
        <w:tc>
          <w:tcPr>
            <w:tcW w:w="270" w:type="dxa"/>
            <w:tcBorders>
              <w:top w:val="nil"/>
              <w:left w:val="nil"/>
              <w:bottom w:val="nil"/>
              <w:right w:val="nil"/>
            </w:tcBorders>
            <w:tcMar>
              <w:top w:w="43" w:type="dxa"/>
              <w:bottom w:w="43" w:type="dxa"/>
            </w:tcMar>
          </w:tcPr>
          <w:p w14:paraId="0CEC2B36" w14:textId="77777777" w:rsidR="000413FE" w:rsidRPr="00052F7B" w:rsidRDefault="000413FE" w:rsidP="00366348">
            <w:pPr>
              <w:rPr>
                <w:rFonts w:ascii="Arial" w:hAnsi="Arial" w:cs="Arial"/>
                <w:b/>
                <w:sz w:val="22"/>
                <w:szCs w:val="22"/>
              </w:rPr>
            </w:pPr>
          </w:p>
        </w:tc>
        <w:tc>
          <w:tcPr>
            <w:tcW w:w="1468" w:type="dxa"/>
            <w:tcBorders>
              <w:top w:val="nil"/>
              <w:left w:val="nil"/>
              <w:bottom w:val="nil"/>
              <w:right w:val="nil"/>
            </w:tcBorders>
            <w:shd w:val="clear" w:color="auto" w:fill="auto"/>
            <w:tcMar>
              <w:top w:w="43" w:type="dxa"/>
              <w:left w:w="115" w:type="dxa"/>
              <w:bottom w:w="43" w:type="dxa"/>
              <w:right w:w="115" w:type="dxa"/>
            </w:tcMar>
          </w:tcPr>
          <w:p w14:paraId="5B427362" w14:textId="6E6A2064" w:rsidR="000413FE" w:rsidRPr="0009680B" w:rsidRDefault="00563B1E" w:rsidP="00366348">
            <w:pPr>
              <w:rPr>
                <w:rFonts w:ascii="Arial" w:hAnsi="Arial" w:cs="Arial"/>
                <w:bCs/>
                <w:sz w:val="22"/>
                <w:szCs w:val="22"/>
              </w:rPr>
            </w:pPr>
            <w:r>
              <w:rPr>
                <w:rFonts w:ascii="Arial" w:hAnsi="Arial" w:cs="Arial"/>
                <w:bCs/>
                <w:sz w:val="22"/>
                <w:szCs w:val="22"/>
              </w:rPr>
              <w:t>$500,000</w:t>
            </w:r>
          </w:p>
        </w:tc>
      </w:tr>
      <w:tr w:rsidR="000413FE" w:rsidRPr="00052F7B" w14:paraId="14B80BD8" w14:textId="77777777" w:rsidTr="00366348">
        <w:trPr>
          <w:cantSplit/>
          <w:jc w:val="center"/>
        </w:trPr>
        <w:tc>
          <w:tcPr>
            <w:tcW w:w="1315" w:type="dxa"/>
            <w:tcBorders>
              <w:top w:val="nil"/>
              <w:left w:val="nil"/>
              <w:bottom w:val="nil"/>
              <w:right w:val="nil"/>
            </w:tcBorders>
            <w:tcMar>
              <w:top w:w="43" w:type="dxa"/>
              <w:left w:w="115" w:type="dxa"/>
              <w:bottom w:w="43" w:type="dxa"/>
              <w:right w:w="115" w:type="dxa"/>
            </w:tcMar>
          </w:tcPr>
          <w:p w14:paraId="0F50DC2A" w14:textId="25F9B60C" w:rsidR="000413FE" w:rsidRDefault="00A37A6A" w:rsidP="00366348">
            <w:pPr>
              <w:rPr>
                <w:rFonts w:ascii="Arial" w:hAnsi="Arial" w:cs="Arial"/>
                <w:sz w:val="22"/>
                <w:szCs w:val="22"/>
              </w:rPr>
            </w:pPr>
            <w:r>
              <w:rPr>
                <w:rFonts w:ascii="Arial" w:hAnsi="Arial" w:cs="Arial"/>
                <w:sz w:val="22"/>
                <w:szCs w:val="22"/>
              </w:rPr>
              <w:t>1144333</w:t>
            </w:r>
          </w:p>
        </w:tc>
        <w:tc>
          <w:tcPr>
            <w:tcW w:w="270" w:type="dxa"/>
            <w:tcBorders>
              <w:top w:val="nil"/>
              <w:left w:val="nil"/>
              <w:bottom w:val="nil"/>
              <w:right w:val="nil"/>
            </w:tcBorders>
            <w:tcMar>
              <w:top w:w="43" w:type="dxa"/>
              <w:bottom w:w="43" w:type="dxa"/>
            </w:tcMar>
          </w:tcPr>
          <w:p w14:paraId="2C1AE737" w14:textId="77777777" w:rsidR="000413FE" w:rsidRPr="00052F7B" w:rsidRDefault="000413FE" w:rsidP="00366348">
            <w:pPr>
              <w:rPr>
                <w:rFonts w:ascii="Arial" w:hAnsi="Arial" w:cs="Arial"/>
                <w:sz w:val="22"/>
                <w:szCs w:val="22"/>
              </w:rPr>
            </w:pPr>
          </w:p>
        </w:tc>
        <w:tc>
          <w:tcPr>
            <w:tcW w:w="3842" w:type="dxa"/>
            <w:tcBorders>
              <w:top w:val="nil"/>
              <w:left w:val="nil"/>
              <w:bottom w:val="nil"/>
              <w:right w:val="nil"/>
            </w:tcBorders>
            <w:tcMar>
              <w:top w:w="43" w:type="dxa"/>
              <w:left w:w="115" w:type="dxa"/>
              <w:bottom w:w="43" w:type="dxa"/>
              <w:right w:w="115" w:type="dxa"/>
            </w:tcMar>
          </w:tcPr>
          <w:p w14:paraId="1F24E60D" w14:textId="5CF57A6F" w:rsidR="000413FE" w:rsidRDefault="00A37A6A" w:rsidP="00366348">
            <w:pPr>
              <w:rPr>
                <w:rFonts w:ascii="Arial" w:hAnsi="Arial" w:cs="Arial"/>
                <w:sz w:val="22"/>
                <w:szCs w:val="22"/>
              </w:rPr>
            </w:pPr>
            <w:r>
              <w:rPr>
                <w:rFonts w:ascii="Arial" w:hAnsi="Arial" w:cs="Arial"/>
                <w:sz w:val="22"/>
                <w:szCs w:val="22"/>
              </w:rPr>
              <w:t>SIRM Solution</w:t>
            </w:r>
          </w:p>
        </w:tc>
        <w:tc>
          <w:tcPr>
            <w:tcW w:w="270" w:type="dxa"/>
            <w:tcBorders>
              <w:top w:val="nil"/>
              <w:left w:val="nil"/>
              <w:bottom w:val="nil"/>
              <w:right w:val="nil"/>
            </w:tcBorders>
            <w:tcMar>
              <w:top w:w="43" w:type="dxa"/>
              <w:bottom w:w="43" w:type="dxa"/>
            </w:tcMar>
          </w:tcPr>
          <w:p w14:paraId="659A359F" w14:textId="77777777" w:rsidR="000413FE" w:rsidRPr="00052F7B" w:rsidRDefault="000413FE" w:rsidP="00366348">
            <w:pPr>
              <w:rPr>
                <w:rFonts w:ascii="Arial" w:hAnsi="Arial" w:cs="Arial"/>
                <w:b/>
                <w:sz w:val="22"/>
                <w:szCs w:val="22"/>
              </w:rPr>
            </w:pPr>
          </w:p>
        </w:tc>
        <w:tc>
          <w:tcPr>
            <w:tcW w:w="1468" w:type="dxa"/>
            <w:tcBorders>
              <w:top w:val="nil"/>
              <w:left w:val="nil"/>
              <w:bottom w:val="nil"/>
              <w:right w:val="nil"/>
            </w:tcBorders>
            <w:shd w:val="clear" w:color="auto" w:fill="auto"/>
            <w:tcMar>
              <w:top w:w="43" w:type="dxa"/>
              <w:left w:w="115" w:type="dxa"/>
              <w:bottom w:w="43" w:type="dxa"/>
              <w:right w:w="115" w:type="dxa"/>
            </w:tcMar>
          </w:tcPr>
          <w:p w14:paraId="6807F7BD" w14:textId="27EB04B9" w:rsidR="000413FE" w:rsidRDefault="00A37A6A" w:rsidP="00366348">
            <w:pPr>
              <w:rPr>
                <w:rFonts w:ascii="Arial" w:hAnsi="Arial" w:cs="Arial"/>
                <w:bCs/>
                <w:sz w:val="22"/>
                <w:szCs w:val="22"/>
              </w:rPr>
            </w:pPr>
            <w:r>
              <w:rPr>
                <w:rFonts w:ascii="Arial" w:hAnsi="Arial" w:cs="Arial"/>
                <w:bCs/>
                <w:sz w:val="22"/>
                <w:szCs w:val="22"/>
              </w:rPr>
              <w:t>$</w:t>
            </w:r>
            <w:r w:rsidR="00624796">
              <w:rPr>
                <w:rFonts w:ascii="Arial" w:hAnsi="Arial" w:cs="Arial"/>
                <w:bCs/>
                <w:sz w:val="22"/>
                <w:szCs w:val="22"/>
              </w:rPr>
              <w:t>908,112</w:t>
            </w:r>
          </w:p>
        </w:tc>
      </w:tr>
      <w:tr w:rsidR="000413FE" w:rsidRPr="00052F7B" w14:paraId="184F0ECF" w14:textId="77777777" w:rsidTr="00366348">
        <w:trPr>
          <w:cantSplit/>
          <w:jc w:val="center"/>
        </w:trPr>
        <w:tc>
          <w:tcPr>
            <w:tcW w:w="1315" w:type="dxa"/>
            <w:tcBorders>
              <w:top w:val="nil"/>
              <w:left w:val="nil"/>
              <w:bottom w:val="single" w:sz="12" w:space="0" w:color="auto"/>
              <w:right w:val="nil"/>
            </w:tcBorders>
            <w:tcMar>
              <w:top w:w="43" w:type="dxa"/>
              <w:left w:w="115" w:type="dxa"/>
              <w:bottom w:w="43" w:type="dxa"/>
              <w:right w:w="115" w:type="dxa"/>
            </w:tcMar>
          </w:tcPr>
          <w:p w14:paraId="73AB0C72" w14:textId="77777777" w:rsidR="000413FE" w:rsidRPr="00D04BA0" w:rsidRDefault="000413FE" w:rsidP="00366348">
            <w:pPr>
              <w:rPr>
                <w:rFonts w:ascii="Arial" w:hAnsi="Arial" w:cs="Arial"/>
                <w:sz w:val="22"/>
                <w:szCs w:val="22"/>
              </w:rPr>
            </w:pPr>
          </w:p>
        </w:tc>
        <w:tc>
          <w:tcPr>
            <w:tcW w:w="270" w:type="dxa"/>
            <w:tcBorders>
              <w:top w:val="nil"/>
              <w:left w:val="nil"/>
              <w:bottom w:val="single" w:sz="12" w:space="0" w:color="auto"/>
              <w:right w:val="nil"/>
            </w:tcBorders>
            <w:tcMar>
              <w:top w:w="43" w:type="dxa"/>
              <w:bottom w:w="43" w:type="dxa"/>
            </w:tcMar>
          </w:tcPr>
          <w:p w14:paraId="04096D59" w14:textId="77777777" w:rsidR="000413FE" w:rsidRPr="00052F7B" w:rsidRDefault="000413FE" w:rsidP="00366348">
            <w:pPr>
              <w:jc w:val="right"/>
              <w:rPr>
                <w:rFonts w:ascii="Arial" w:hAnsi="Arial" w:cs="Arial"/>
                <w:sz w:val="22"/>
                <w:szCs w:val="22"/>
              </w:rPr>
            </w:pPr>
          </w:p>
        </w:tc>
        <w:tc>
          <w:tcPr>
            <w:tcW w:w="3842" w:type="dxa"/>
            <w:tcBorders>
              <w:top w:val="nil"/>
              <w:left w:val="nil"/>
              <w:bottom w:val="single" w:sz="12" w:space="0" w:color="auto"/>
              <w:right w:val="nil"/>
            </w:tcBorders>
            <w:tcMar>
              <w:top w:w="43" w:type="dxa"/>
              <w:left w:w="115" w:type="dxa"/>
              <w:bottom w:w="43" w:type="dxa"/>
              <w:right w:w="115" w:type="dxa"/>
            </w:tcMar>
          </w:tcPr>
          <w:p w14:paraId="78B4B397" w14:textId="1ABE460C" w:rsidR="000413FE" w:rsidRPr="00052F7B" w:rsidRDefault="00624796" w:rsidP="00366348">
            <w:pPr>
              <w:jc w:val="right"/>
              <w:rPr>
                <w:rFonts w:ascii="Arial" w:hAnsi="Arial" w:cs="Arial"/>
                <w:sz w:val="22"/>
                <w:szCs w:val="22"/>
              </w:rPr>
            </w:pPr>
            <w:r>
              <w:rPr>
                <w:rFonts w:ascii="Arial" w:hAnsi="Arial" w:cs="Arial"/>
                <w:b/>
                <w:bCs/>
                <w:sz w:val="22"/>
                <w:szCs w:val="22"/>
              </w:rPr>
              <w:t xml:space="preserve">NEW PROJECT </w:t>
            </w:r>
            <w:r w:rsidR="000413FE">
              <w:rPr>
                <w:rFonts w:ascii="Arial" w:hAnsi="Arial" w:cs="Arial"/>
                <w:b/>
                <w:bCs/>
                <w:sz w:val="22"/>
                <w:szCs w:val="22"/>
              </w:rPr>
              <w:t>TOTAL</w:t>
            </w:r>
          </w:p>
        </w:tc>
        <w:tc>
          <w:tcPr>
            <w:tcW w:w="270" w:type="dxa"/>
            <w:tcBorders>
              <w:top w:val="nil"/>
              <w:left w:val="nil"/>
              <w:bottom w:val="single" w:sz="12" w:space="0" w:color="auto"/>
              <w:right w:val="nil"/>
            </w:tcBorders>
            <w:tcMar>
              <w:top w:w="43" w:type="dxa"/>
              <w:bottom w:w="43" w:type="dxa"/>
            </w:tcMar>
          </w:tcPr>
          <w:p w14:paraId="475A93E7" w14:textId="77777777" w:rsidR="000413FE" w:rsidRPr="00052F7B" w:rsidRDefault="000413FE" w:rsidP="00366348">
            <w:pPr>
              <w:jc w:val="right"/>
              <w:rPr>
                <w:rFonts w:ascii="Arial" w:hAnsi="Arial" w:cs="Arial"/>
                <w:b/>
                <w:sz w:val="22"/>
                <w:szCs w:val="22"/>
              </w:rPr>
            </w:pPr>
          </w:p>
        </w:tc>
        <w:tc>
          <w:tcPr>
            <w:tcW w:w="1468" w:type="dxa"/>
            <w:tcBorders>
              <w:top w:val="nil"/>
              <w:left w:val="nil"/>
              <w:bottom w:val="single" w:sz="12" w:space="0" w:color="auto"/>
              <w:right w:val="nil"/>
            </w:tcBorders>
            <w:shd w:val="clear" w:color="auto" w:fill="auto"/>
            <w:tcMar>
              <w:top w:w="43" w:type="dxa"/>
              <w:left w:w="115" w:type="dxa"/>
              <w:bottom w:w="43" w:type="dxa"/>
              <w:right w:w="115" w:type="dxa"/>
            </w:tcMar>
          </w:tcPr>
          <w:p w14:paraId="78E8DC0E" w14:textId="6BB88617" w:rsidR="000413FE" w:rsidRPr="00052F7B" w:rsidRDefault="000413FE" w:rsidP="00366348">
            <w:pPr>
              <w:rPr>
                <w:rFonts w:ascii="Arial" w:hAnsi="Arial" w:cs="Arial"/>
                <w:b/>
                <w:sz w:val="22"/>
                <w:szCs w:val="22"/>
              </w:rPr>
            </w:pPr>
            <w:r>
              <w:rPr>
                <w:rFonts w:ascii="Arial" w:hAnsi="Arial" w:cs="Arial"/>
                <w:b/>
                <w:sz w:val="22"/>
                <w:szCs w:val="22"/>
              </w:rPr>
              <w:t>$</w:t>
            </w:r>
            <w:r w:rsidR="0071408C">
              <w:rPr>
                <w:rFonts w:ascii="Arial" w:hAnsi="Arial" w:cs="Arial"/>
                <w:b/>
                <w:sz w:val="22"/>
                <w:szCs w:val="22"/>
              </w:rPr>
              <w:t>1,708,112</w:t>
            </w:r>
          </w:p>
        </w:tc>
      </w:tr>
    </w:tbl>
    <w:p w14:paraId="61FC919B" w14:textId="77777777" w:rsidR="000413FE" w:rsidRDefault="000413FE" w:rsidP="005344D7">
      <w:pPr>
        <w:spacing w:line="264" w:lineRule="auto"/>
        <w:contextualSpacing/>
        <w:jc w:val="both"/>
        <w:rPr>
          <w:rFonts w:ascii="Arial" w:hAnsi="Arial" w:cs="Arial"/>
          <w:szCs w:val="24"/>
        </w:rPr>
      </w:pPr>
    </w:p>
    <w:p w14:paraId="5870E7AB" w14:textId="3D05F8FE" w:rsidR="005344D7" w:rsidRDefault="005D5668" w:rsidP="005344D7">
      <w:pPr>
        <w:spacing w:line="264" w:lineRule="auto"/>
        <w:contextualSpacing/>
        <w:jc w:val="both"/>
        <w:rPr>
          <w:rFonts w:ascii="Arial" w:hAnsi="Arial" w:cs="Arial"/>
          <w:szCs w:val="24"/>
        </w:rPr>
      </w:pPr>
      <w:r>
        <w:rPr>
          <w:rFonts w:ascii="Arial" w:hAnsi="Arial" w:cs="Arial"/>
          <w:szCs w:val="24"/>
        </w:rPr>
        <w:t xml:space="preserve"> </w:t>
      </w:r>
    </w:p>
    <w:p w14:paraId="08D8E538" w14:textId="71CB3DE9" w:rsidR="0080491D" w:rsidRDefault="0080491D" w:rsidP="0080491D">
      <w:pPr>
        <w:spacing w:line="264" w:lineRule="auto"/>
        <w:contextualSpacing/>
        <w:jc w:val="both"/>
        <w:rPr>
          <w:rFonts w:ascii="Arial" w:hAnsi="Arial" w:cs="Arial"/>
          <w:szCs w:val="24"/>
        </w:rPr>
      </w:pPr>
      <w:proofErr w:type="gramStart"/>
      <w:r>
        <w:rPr>
          <w:rFonts w:ascii="Arial" w:hAnsi="Arial" w:cs="Arial"/>
          <w:szCs w:val="24"/>
        </w:rPr>
        <w:t>Noteworthy proposed</w:t>
      </w:r>
      <w:proofErr w:type="gramEnd"/>
      <w:r>
        <w:rPr>
          <w:rFonts w:ascii="Arial" w:hAnsi="Arial" w:cs="Arial"/>
          <w:szCs w:val="24"/>
        </w:rPr>
        <w:t xml:space="preserve"> expenditures are further described below.</w:t>
      </w:r>
    </w:p>
    <w:p w14:paraId="3904D129" w14:textId="77777777" w:rsidR="0080491D" w:rsidRDefault="0080491D" w:rsidP="005344D7">
      <w:pPr>
        <w:spacing w:line="264" w:lineRule="auto"/>
        <w:contextualSpacing/>
        <w:jc w:val="both"/>
        <w:rPr>
          <w:rFonts w:ascii="Arial" w:hAnsi="Arial" w:cs="Arial"/>
          <w:b/>
          <w:bCs/>
          <w:szCs w:val="24"/>
        </w:rPr>
      </w:pPr>
    </w:p>
    <w:p w14:paraId="05D09370" w14:textId="0AC28D4F" w:rsidR="003F317D" w:rsidRDefault="00720049" w:rsidP="00D42F75">
      <w:pPr>
        <w:spacing w:line="264" w:lineRule="auto"/>
        <w:contextualSpacing/>
        <w:jc w:val="both"/>
        <w:rPr>
          <w:rFonts w:ascii="Arial" w:hAnsi="Arial" w:cs="Arial"/>
          <w:szCs w:val="24"/>
        </w:rPr>
      </w:pPr>
      <w:r>
        <w:rPr>
          <w:rFonts w:ascii="Arial" w:hAnsi="Arial" w:cs="Arial"/>
          <w:b/>
          <w:bCs/>
          <w:szCs w:val="24"/>
        </w:rPr>
        <w:t>Payment Kiosks: $150,000</w:t>
      </w:r>
      <w:r w:rsidR="000D3C95">
        <w:rPr>
          <w:rFonts w:ascii="Arial" w:hAnsi="Arial" w:cs="Arial"/>
          <w:b/>
          <w:bCs/>
          <w:szCs w:val="24"/>
        </w:rPr>
        <w:t xml:space="preserve"> </w:t>
      </w:r>
      <w:r w:rsidR="009B2680">
        <w:rPr>
          <w:rFonts w:ascii="Arial" w:hAnsi="Arial" w:cs="Arial"/>
          <w:szCs w:val="24"/>
        </w:rPr>
        <w:t>The proposed budget</w:t>
      </w:r>
      <w:r w:rsidR="00BD4EEC">
        <w:rPr>
          <w:rFonts w:ascii="Arial" w:hAnsi="Arial" w:cs="Arial"/>
          <w:szCs w:val="24"/>
        </w:rPr>
        <w:t xml:space="preserve"> would appropriate $150,000 to support a planning study</w:t>
      </w:r>
      <w:r w:rsidR="00646EB2">
        <w:rPr>
          <w:rFonts w:ascii="Arial" w:hAnsi="Arial" w:cs="Arial"/>
          <w:szCs w:val="24"/>
        </w:rPr>
        <w:t xml:space="preserve"> to implement payment kiosks throughout the County to enable an additional channel of payment</w:t>
      </w:r>
      <w:r w:rsidR="00C746E6">
        <w:rPr>
          <w:rFonts w:ascii="Arial" w:hAnsi="Arial" w:cs="Arial"/>
          <w:szCs w:val="24"/>
        </w:rPr>
        <w:t xml:space="preserve"> for County services</w:t>
      </w:r>
      <w:r w:rsidR="00873D72">
        <w:rPr>
          <w:rFonts w:ascii="Arial" w:hAnsi="Arial" w:cs="Arial"/>
          <w:szCs w:val="24"/>
        </w:rPr>
        <w:t xml:space="preserve">. </w:t>
      </w:r>
      <w:r w:rsidR="00211E6A">
        <w:rPr>
          <w:rFonts w:ascii="Arial" w:hAnsi="Arial" w:cs="Arial"/>
          <w:szCs w:val="24"/>
        </w:rPr>
        <w:t>Budget documentation indicates that</w:t>
      </w:r>
      <w:r w:rsidR="007F2E0B">
        <w:rPr>
          <w:rFonts w:ascii="Arial" w:hAnsi="Arial" w:cs="Arial"/>
          <w:szCs w:val="24"/>
        </w:rPr>
        <w:t xml:space="preserve"> </w:t>
      </w:r>
      <w:r w:rsidR="00C746E6">
        <w:rPr>
          <w:rFonts w:ascii="Arial" w:hAnsi="Arial" w:cs="Arial"/>
          <w:szCs w:val="24"/>
        </w:rPr>
        <w:t xml:space="preserve">the proposed </w:t>
      </w:r>
      <w:r w:rsidR="007F2E0B">
        <w:rPr>
          <w:rFonts w:ascii="Arial" w:hAnsi="Arial" w:cs="Arial"/>
          <w:szCs w:val="24"/>
        </w:rPr>
        <w:t>payment kiosks are</w:t>
      </w:r>
      <w:r w:rsidR="009E7173">
        <w:rPr>
          <w:rFonts w:ascii="Arial" w:hAnsi="Arial" w:cs="Arial"/>
          <w:szCs w:val="24"/>
        </w:rPr>
        <w:t xml:space="preserve"> intended</w:t>
      </w:r>
      <w:r w:rsidR="007F2E0B">
        <w:rPr>
          <w:rFonts w:ascii="Arial" w:hAnsi="Arial" w:cs="Arial"/>
          <w:szCs w:val="24"/>
        </w:rPr>
        <w:t xml:space="preserve"> to decrease barriers to payments faced by those least economically advantaged and</w:t>
      </w:r>
      <w:r w:rsidR="00873D72">
        <w:rPr>
          <w:rFonts w:ascii="Arial" w:hAnsi="Arial" w:cs="Arial"/>
          <w:szCs w:val="24"/>
        </w:rPr>
        <w:t xml:space="preserve"> would help these residents make timely payments and avoid penalties and collections activities associated with late payments.</w:t>
      </w:r>
      <w:r w:rsidR="003D1818">
        <w:rPr>
          <w:rFonts w:ascii="Arial" w:hAnsi="Arial" w:cs="Arial"/>
          <w:szCs w:val="24"/>
        </w:rPr>
        <w:t xml:space="preserve"> </w:t>
      </w:r>
    </w:p>
    <w:p w14:paraId="0D50D864" w14:textId="77777777" w:rsidR="003F317D" w:rsidRDefault="003F317D" w:rsidP="00D42F75">
      <w:pPr>
        <w:spacing w:line="264" w:lineRule="auto"/>
        <w:contextualSpacing/>
        <w:jc w:val="both"/>
        <w:rPr>
          <w:rFonts w:ascii="Arial" w:hAnsi="Arial" w:cs="Arial"/>
          <w:szCs w:val="24"/>
        </w:rPr>
      </w:pPr>
    </w:p>
    <w:p w14:paraId="4C32E2BD" w14:textId="2DB4D4B4" w:rsidR="00702F19" w:rsidRDefault="00702F19" w:rsidP="00D42F75">
      <w:pPr>
        <w:spacing w:line="264" w:lineRule="auto"/>
        <w:contextualSpacing/>
        <w:jc w:val="both"/>
        <w:rPr>
          <w:rFonts w:ascii="Arial" w:hAnsi="Arial" w:cs="Arial"/>
          <w:szCs w:val="24"/>
        </w:rPr>
      </w:pPr>
      <w:r>
        <w:rPr>
          <w:rFonts w:ascii="Arial" w:hAnsi="Arial" w:cs="Arial"/>
          <w:szCs w:val="24"/>
        </w:rPr>
        <w:lastRenderedPageBreak/>
        <w:t>Executive staff indicate that they anticipate kiosks to increase payment options for some County services by including cash; improve availability of payment services</w:t>
      </w:r>
      <w:r w:rsidR="005C694C">
        <w:rPr>
          <w:rFonts w:ascii="Arial" w:hAnsi="Arial" w:cs="Arial"/>
          <w:szCs w:val="24"/>
        </w:rPr>
        <w:t>;</w:t>
      </w:r>
      <w:r>
        <w:rPr>
          <w:rFonts w:ascii="Arial" w:hAnsi="Arial" w:cs="Arial"/>
          <w:szCs w:val="24"/>
        </w:rPr>
        <w:t xml:space="preserve"> and improve self-service payment options in different languages. </w:t>
      </w:r>
      <w:r w:rsidR="00B07012">
        <w:rPr>
          <w:rFonts w:ascii="Arial" w:hAnsi="Arial" w:cs="Arial"/>
          <w:szCs w:val="24"/>
        </w:rPr>
        <w:t xml:space="preserve">According to Executive staff, it has not yet been determined </w:t>
      </w:r>
      <w:r w:rsidR="00465CDC">
        <w:rPr>
          <w:rFonts w:ascii="Arial" w:hAnsi="Arial" w:cs="Arial"/>
          <w:szCs w:val="24"/>
        </w:rPr>
        <w:t xml:space="preserve">what County services </w:t>
      </w:r>
      <w:r w:rsidR="00B00C10">
        <w:rPr>
          <w:rFonts w:ascii="Arial" w:hAnsi="Arial" w:cs="Arial"/>
          <w:szCs w:val="24"/>
        </w:rPr>
        <w:t xml:space="preserve">(e.g., property tax payment, pet licensure) </w:t>
      </w:r>
      <w:r w:rsidR="00465CDC">
        <w:rPr>
          <w:rFonts w:ascii="Arial" w:hAnsi="Arial" w:cs="Arial"/>
          <w:szCs w:val="24"/>
        </w:rPr>
        <w:t>will accept payment at the kiosks</w:t>
      </w:r>
      <w:r w:rsidR="00B00C10">
        <w:rPr>
          <w:rFonts w:ascii="Arial" w:hAnsi="Arial" w:cs="Arial"/>
          <w:szCs w:val="24"/>
        </w:rPr>
        <w:t xml:space="preserve">, if all services will accept cash payment, </w:t>
      </w:r>
      <w:r w:rsidR="0057194B">
        <w:rPr>
          <w:rFonts w:ascii="Arial" w:hAnsi="Arial" w:cs="Arial"/>
          <w:szCs w:val="24"/>
        </w:rPr>
        <w:t xml:space="preserve">the hours the kiosks will be available, </w:t>
      </w:r>
      <w:r w:rsidR="00953C6C">
        <w:rPr>
          <w:rFonts w:ascii="Arial" w:hAnsi="Arial" w:cs="Arial"/>
          <w:szCs w:val="24"/>
        </w:rPr>
        <w:t>as well as</w:t>
      </w:r>
      <w:r w:rsidR="0057194B">
        <w:rPr>
          <w:rFonts w:ascii="Arial" w:hAnsi="Arial" w:cs="Arial"/>
          <w:szCs w:val="24"/>
        </w:rPr>
        <w:t xml:space="preserve"> </w:t>
      </w:r>
      <w:r w:rsidR="00F91087">
        <w:rPr>
          <w:rFonts w:ascii="Arial" w:hAnsi="Arial" w:cs="Arial"/>
          <w:szCs w:val="24"/>
        </w:rPr>
        <w:t xml:space="preserve">the number of kiosks and </w:t>
      </w:r>
      <w:r w:rsidR="0057194B">
        <w:rPr>
          <w:rFonts w:ascii="Arial" w:hAnsi="Arial" w:cs="Arial"/>
          <w:szCs w:val="24"/>
        </w:rPr>
        <w:t>their locations.</w:t>
      </w:r>
      <w:r w:rsidR="00953C6C">
        <w:rPr>
          <w:rFonts w:ascii="Arial" w:hAnsi="Arial" w:cs="Arial"/>
          <w:szCs w:val="24"/>
        </w:rPr>
        <w:t xml:space="preserve"> </w:t>
      </w:r>
      <w:r w:rsidR="00A1087B">
        <w:rPr>
          <w:rFonts w:ascii="Arial" w:hAnsi="Arial" w:cs="Arial"/>
          <w:szCs w:val="24"/>
        </w:rPr>
        <w:t xml:space="preserve">While the proposed appropriation only covers the planning study, the </w:t>
      </w:r>
      <w:r w:rsidR="00953C6C">
        <w:rPr>
          <w:rFonts w:ascii="Arial" w:hAnsi="Arial" w:cs="Arial"/>
          <w:szCs w:val="24"/>
        </w:rPr>
        <w:t>current assumption</w:t>
      </w:r>
      <w:r w:rsidR="00F91087">
        <w:rPr>
          <w:rFonts w:ascii="Arial" w:hAnsi="Arial" w:cs="Arial"/>
          <w:szCs w:val="24"/>
        </w:rPr>
        <w:t>s</w:t>
      </w:r>
      <w:r w:rsidR="00A1087B">
        <w:rPr>
          <w:rFonts w:ascii="Arial" w:hAnsi="Arial" w:cs="Arial"/>
          <w:szCs w:val="24"/>
        </w:rPr>
        <w:t xml:space="preserve"> </w:t>
      </w:r>
      <w:r w:rsidR="00F91087">
        <w:rPr>
          <w:rFonts w:ascii="Arial" w:hAnsi="Arial" w:cs="Arial"/>
          <w:szCs w:val="24"/>
        </w:rPr>
        <w:t xml:space="preserve">are that the project would begin with a few kiosks </w:t>
      </w:r>
      <w:r w:rsidR="00A1087B">
        <w:rPr>
          <w:rFonts w:ascii="Arial" w:hAnsi="Arial" w:cs="Arial"/>
          <w:szCs w:val="24"/>
        </w:rPr>
        <w:t>and roll out additional kiosks later. The project staff also assume</w:t>
      </w:r>
      <w:r w:rsidR="005E3D4A">
        <w:rPr>
          <w:rFonts w:ascii="Arial" w:hAnsi="Arial" w:cs="Arial"/>
          <w:szCs w:val="24"/>
        </w:rPr>
        <w:t xml:space="preserve">, at least at this time, that kiosks would </w:t>
      </w:r>
      <w:proofErr w:type="gramStart"/>
      <w:r w:rsidR="005E3D4A">
        <w:rPr>
          <w:rFonts w:ascii="Arial" w:hAnsi="Arial" w:cs="Arial"/>
          <w:szCs w:val="24"/>
        </w:rPr>
        <w:t>be located in</w:t>
      </w:r>
      <w:proofErr w:type="gramEnd"/>
      <w:r w:rsidR="005E3D4A">
        <w:rPr>
          <w:rFonts w:ascii="Arial" w:hAnsi="Arial" w:cs="Arial"/>
          <w:szCs w:val="24"/>
        </w:rPr>
        <w:t xml:space="preserve"> </w:t>
      </w:r>
      <w:r w:rsidR="007C297B">
        <w:rPr>
          <w:rFonts w:ascii="Arial" w:hAnsi="Arial" w:cs="Arial"/>
          <w:szCs w:val="24"/>
        </w:rPr>
        <w:t>places with limited hours</w:t>
      </w:r>
      <w:r w:rsidR="009F5AEA">
        <w:rPr>
          <w:rFonts w:ascii="Arial" w:hAnsi="Arial" w:cs="Arial"/>
          <w:szCs w:val="24"/>
        </w:rPr>
        <w:t xml:space="preserve"> given security considerations</w:t>
      </w:r>
      <w:r w:rsidR="00CC0C9F">
        <w:rPr>
          <w:rFonts w:ascii="Arial" w:hAnsi="Arial" w:cs="Arial"/>
          <w:szCs w:val="24"/>
        </w:rPr>
        <w:t xml:space="preserve"> (for example, at King Street Center)</w:t>
      </w:r>
      <w:r w:rsidR="00BA563F">
        <w:rPr>
          <w:rFonts w:ascii="Arial" w:hAnsi="Arial" w:cs="Arial"/>
          <w:szCs w:val="24"/>
        </w:rPr>
        <w:t>. T</w:t>
      </w:r>
      <w:r w:rsidR="007C297B">
        <w:rPr>
          <w:rFonts w:ascii="Arial" w:hAnsi="Arial" w:cs="Arial"/>
          <w:szCs w:val="24"/>
        </w:rPr>
        <w:t xml:space="preserve">hese and other details </w:t>
      </w:r>
      <w:r w:rsidR="0083673C">
        <w:rPr>
          <w:rFonts w:ascii="Arial" w:hAnsi="Arial" w:cs="Arial"/>
          <w:szCs w:val="24"/>
        </w:rPr>
        <w:t>are anticipated to be</w:t>
      </w:r>
      <w:r w:rsidR="007C297B">
        <w:rPr>
          <w:rFonts w:ascii="Arial" w:hAnsi="Arial" w:cs="Arial"/>
          <w:szCs w:val="24"/>
        </w:rPr>
        <w:t xml:space="preserve"> determined during the planning study</w:t>
      </w:r>
      <w:r w:rsidR="005E3D4A">
        <w:rPr>
          <w:rFonts w:ascii="Arial" w:hAnsi="Arial" w:cs="Arial"/>
          <w:szCs w:val="24"/>
        </w:rPr>
        <w:t xml:space="preserve">, which would be expected to be complete in </w:t>
      </w:r>
      <w:r w:rsidR="003F317D">
        <w:rPr>
          <w:rFonts w:ascii="Arial" w:hAnsi="Arial" w:cs="Arial"/>
          <w:szCs w:val="24"/>
        </w:rPr>
        <w:t>Q2 2023</w:t>
      </w:r>
      <w:r w:rsidR="007C297B">
        <w:rPr>
          <w:rFonts w:ascii="Arial" w:hAnsi="Arial" w:cs="Arial"/>
          <w:szCs w:val="24"/>
        </w:rPr>
        <w:t>.</w:t>
      </w:r>
    </w:p>
    <w:p w14:paraId="18C0AA4B" w14:textId="77777777" w:rsidR="00702F19" w:rsidRDefault="00702F19" w:rsidP="00D42F75">
      <w:pPr>
        <w:spacing w:line="264" w:lineRule="auto"/>
        <w:contextualSpacing/>
        <w:jc w:val="both"/>
        <w:rPr>
          <w:rFonts w:ascii="Arial" w:hAnsi="Arial" w:cs="Arial"/>
          <w:szCs w:val="24"/>
        </w:rPr>
      </w:pPr>
    </w:p>
    <w:p w14:paraId="064D898A" w14:textId="636034A0" w:rsidR="00B00C10" w:rsidRDefault="006659CD" w:rsidP="00D42F75">
      <w:pPr>
        <w:spacing w:line="264" w:lineRule="auto"/>
        <w:contextualSpacing/>
        <w:jc w:val="both"/>
        <w:rPr>
          <w:rFonts w:ascii="Arial" w:hAnsi="Arial" w:cs="Arial"/>
          <w:szCs w:val="24"/>
        </w:rPr>
      </w:pPr>
      <w:r>
        <w:rPr>
          <w:rFonts w:ascii="Arial" w:hAnsi="Arial" w:cs="Arial"/>
          <w:szCs w:val="24"/>
        </w:rPr>
        <w:t xml:space="preserve">Executive staff </w:t>
      </w:r>
      <w:r w:rsidR="007E596B">
        <w:rPr>
          <w:rFonts w:ascii="Arial" w:hAnsi="Arial" w:cs="Arial"/>
          <w:szCs w:val="24"/>
        </w:rPr>
        <w:t>justify this project by noting</w:t>
      </w:r>
      <w:r w:rsidR="00F51A7B">
        <w:rPr>
          <w:rFonts w:ascii="Arial" w:hAnsi="Arial" w:cs="Arial"/>
          <w:szCs w:val="24"/>
        </w:rPr>
        <w:t xml:space="preserve"> that not everyone can access electronic payments for County services, </w:t>
      </w:r>
      <w:r>
        <w:rPr>
          <w:rFonts w:ascii="Arial" w:hAnsi="Arial" w:cs="Arial"/>
          <w:szCs w:val="24"/>
        </w:rPr>
        <w:t>cit</w:t>
      </w:r>
      <w:r w:rsidR="00F51A7B">
        <w:rPr>
          <w:rFonts w:ascii="Arial" w:hAnsi="Arial" w:cs="Arial"/>
          <w:szCs w:val="24"/>
        </w:rPr>
        <w:t>ing</w:t>
      </w:r>
      <w:r>
        <w:rPr>
          <w:rFonts w:ascii="Arial" w:hAnsi="Arial" w:cs="Arial"/>
          <w:szCs w:val="24"/>
        </w:rPr>
        <w:t xml:space="preserve"> that approximately 17.5 percent of Washington state residents are underbanked</w:t>
      </w:r>
      <w:r w:rsidR="006F5140">
        <w:rPr>
          <w:rFonts w:ascii="Arial" w:hAnsi="Arial" w:cs="Arial"/>
          <w:szCs w:val="24"/>
        </w:rPr>
        <w:t xml:space="preserve"> and that around 1.2 million </w:t>
      </w:r>
      <w:r w:rsidR="00403158">
        <w:rPr>
          <w:rFonts w:ascii="Arial" w:hAnsi="Arial" w:cs="Arial"/>
          <w:szCs w:val="24"/>
        </w:rPr>
        <w:t>people</w:t>
      </w:r>
      <w:r w:rsidR="00E8670A">
        <w:rPr>
          <w:rFonts w:ascii="Arial" w:hAnsi="Arial" w:cs="Arial"/>
          <w:szCs w:val="24"/>
        </w:rPr>
        <w:t xml:space="preserve"> in King County</w:t>
      </w:r>
      <w:r w:rsidR="00403158">
        <w:rPr>
          <w:rFonts w:ascii="Arial" w:hAnsi="Arial" w:cs="Arial"/>
          <w:szCs w:val="24"/>
        </w:rPr>
        <w:t xml:space="preserve"> </w:t>
      </w:r>
      <w:r w:rsidR="006F5140">
        <w:rPr>
          <w:rFonts w:ascii="Arial" w:hAnsi="Arial" w:cs="Arial"/>
          <w:szCs w:val="24"/>
        </w:rPr>
        <w:t>face at least o</w:t>
      </w:r>
      <w:r w:rsidR="00F51A7B">
        <w:rPr>
          <w:rFonts w:ascii="Arial" w:hAnsi="Arial" w:cs="Arial"/>
          <w:szCs w:val="24"/>
        </w:rPr>
        <w:t xml:space="preserve">ne barrier for broadband access. </w:t>
      </w:r>
      <w:r w:rsidR="0032598C">
        <w:rPr>
          <w:rFonts w:ascii="Arial" w:hAnsi="Arial" w:cs="Arial"/>
          <w:szCs w:val="24"/>
        </w:rPr>
        <w:t>Council staff requested available data from community engagement that supported kiosks as being the preferred method of payment for the underbanked or those without internet access</w:t>
      </w:r>
      <w:r w:rsidR="0014315E">
        <w:rPr>
          <w:rFonts w:ascii="Arial" w:hAnsi="Arial" w:cs="Arial"/>
          <w:szCs w:val="24"/>
        </w:rPr>
        <w:t xml:space="preserve">. </w:t>
      </w:r>
      <w:r w:rsidR="00B00C10">
        <w:rPr>
          <w:rFonts w:ascii="Arial" w:hAnsi="Arial" w:cs="Arial"/>
          <w:szCs w:val="24"/>
        </w:rPr>
        <w:t xml:space="preserve">Given that one of the goals for this project provided by Executive staff is to </w:t>
      </w:r>
      <w:r w:rsidR="007E596B">
        <w:rPr>
          <w:rFonts w:ascii="Arial" w:hAnsi="Arial" w:cs="Arial"/>
          <w:szCs w:val="24"/>
        </w:rPr>
        <w:t xml:space="preserve">help residents avoid penalties and collections activities associated with late payments, Council staff also </w:t>
      </w:r>
      <w:r w:rsidR="00D46392">
        <w:rPr>
          <w:rFonts w:ascii="Arial" w:hAnsi="Arial" w:cs="Arial"/>
          <w:szCs w:val="24"/>
        </w:rPr>
        <w:t>requested information on what proportion of late or non-payments for County services is due to difficulty in accessing payment options versus insufficient funds or other reasons</w:t>
      </w:r>
      <w:r w:rsidR="006345CE">
        <w:rPr>
          <w:rFonts w:ascii="Arial" w:hAnsi="Arial" w:cs="Arial"/>
          <w:szCs w:val="24"/>
        </w:rPr>
        <w:t>. Executive staff indicated that</w:t>
      </w:r>
      <w:r w:rsidR="00844236">
        <w:rPr>
          <w:rFonts w:ascii="Arial" w:hAnsi="Arial" w:cs="Arial"/>
          <w:szCs w:val="24"/>
        </w:rPr>
        <w:t xml:space="preserve"> </w:t>
      </w:r>
      <w:r w:rsidR="007776A3">
        <w:rPr>
          <w:rFonts w:ascii="Arial" w:hAnsi="Arial" w:cs="Arial"/>
          <w:szCs w:val="24"/>
        </w:rPr>
        <w:t>prior o</w:t>
      </w:r>
      <w:r w:rsidR="00844236">
        <w:rPr>
          <w:rFonts w:ascii="Arial" w:hAnsi="Arial" w:cs="Arial"/>
          <w:szCs w:val="24"/>
        </w:rPr>
        <w:t>utreach has been limited</w:t>
      </w:r>
      <w:r w:rsidR="007776A3">
        <w:rPr>
          <w:rFonts w:ascii="Arial" w:hAnsi="Arial" w:cs="Arial"/>
          <w:szCs w:val="24"/>
        </w:rPr>
        <w:t xml:space="preserve"> due to the project being in the proposal stage, but that </w:t>
      </w:r>
      <w:r w:rsidR="006345CE">
        <w:rPr>
          <w:rFonts w:ascii="Arial" w:hAnsi="Arial" w:cs="Arial"/>
          <w:szCs w:val="24"/>
        </w:rPr>
        <w:t>as part of the planning</w:t>
      </w:r>
      <w:r w:rsidR="00844236">
        <w:rPr>
          <w:rFonts w:ascii="Arial" w:hAnsi="Arial" w:cs="Arial"/>
          <w:szCs w:val="24"/>
        </w:rPr>
        <w:t xml:space="preserve"> study, KCIT will engage with a consultant to gather more detailed data about current behavior, needs, opportunities, and challenges faced by the unbanked and those with limited access to the internet.</w:t>
      </w:r>
    </w:p>
    <w:p w14:paraId="7CCFC440" w14:textId="49A8BB31" w:rsidR="00FE226C" w:rsidRDefault="00FE226C" w:rsidP="00D42F75">
      <w:pPr>
        <w:spacing w:line="264" w:lineRule="auto"/>
        <w:contextualSpacing/>
        <w:jc w:val="both"/>
        <w:rPr>
          <w:rFonts w:ascii="Arial" w:hAnsi="Arial" w:cs="Arial"/>
          <w:szCs w:val="24"/>
        </w:rPr>
      </w:pPr>
    </w:p>
    <w:p w14:paraId="69222F06" w14:textId="0A72BD9E" w:rsidR="00FE226C" w:rsidRDefault="00FE226C" w:rsidP="00D42F75">
      <w:pPr>
        <w:spacing w:line="264" w:lineRule="auto"/>
        <w:contextualSpacing/>
        <w:jc w:val="both"/>
        <w:rPr>
          <w:rFonts w:ascii="Arial" w:hAnsi="Arial" w:cs="Arial"/>
          <w:szCs w:val="24"/>
        </w:rPr>
      </w:pPr>
      <w:r>
        <w:rPr>
          <w:rFonts w:ascii="Arial" w:hAnsi="Arial" w:cs="Arial"/>
          <w:szCs w:val="24"/>
        </w:rPr>
        <w:t>Council staff also inquired about the potential for multi-jurisdictional payment kiosks given that a</w:t>
      </w:r>
      <w:r w:rsidR="00F16B24">
        <w:rPr>
          <w:rFonts w:ascii="Arial" w:hAnsi="Arial" w:cs="Arial"/>
          <w:szCs w:val="24"/>
        </w:rPr>
        <w:t xml:space="preserve">n additional barrier for bill payors is having </w:t>
      </w:r>
      <w:r w:rsidR="00D006AF">
        <w:rPr>
          <w:rFonts w:ascii="Arial" w:hAnsi="Arial" w:cs="Arial"/>
          <w:szCs w:val="24"/>
        </w:rPr>
        <w:t>multiple bills to various government entities</w:t>
      </w:r>
      <w:r w:rsidR="0083673C">
        <w:rPr>
          <w:rFonts w:ascii="Arial" w:hAnsi="Arial" w:cs="Arial"/>
          <w:szCs w:val="24"/>
        </w:rPr>
        <w:t xml:space="preserve"> and having to visit numerous locations to make payment. Executive staff indicate that in KCIT's initial analysis, multi-jurisdictional payment kiosks is a potentially viable option and that </w:t>
      </w:r>
      <w:r w:rsidR="003F317D">
        <w:rPr>
          <w:rFonts w:ascii="Arial" w:hAnsi="Arial" w:cs="Arial"/>
          <w:szCs w:val="24"/>
        </w:rPr>
        <w:t xml:space="preserve">preliminary conversations with </w:t>
      </w:r>
      <w:r w:rsidR="0083673C">
        <w:rPr>
          <w:rFonts w:ascii="Arial" w:hAnsi="Arial" w:cs="Arial"/>
          <w:szCs w:val="24"/>
        </w:rPr>
        <w:t xml:space="preserve">City of Seattle staff </w:t>
      </w:r>
      <w:r w:rsidR="0002761B">
        <w:rPr>
          <w:rFonts w:ascii="Arial" w:hAnsi="Arial" w:cs="Arial"/>
          <w:szCs w:val="24"/>
        </w:rPr>
        <w:t xml:space="preserve">signaled they </w:t>
      </w:r>
      <w:r w:rsidR="0083673C">
        <w:rPr>
          <w:rFonts w:ascii="Arial" w:hAnsi="Arial" w:cs="Arial"/>
          <w:szCs w:val="24"/>
        </w:rPr>
        <w:t>were open to a conversation about a possible collaboration.</w:t>
      </w:r>
    </w:p>
    <w:p w14:paraId="5169DC90" w14:textId="653F695C" w:rsidR="00C95D20" w:rsidRDefault="00C95D20" w:rsidP="005344D7">
      <w:pPr>
        <w:spacing w:line="264" w:lineRule="auto"/>
        <w:contextualSpacing/>
        <w:jc w:val="both"/>
        <w:rPr>
          <w:rFonts w:ascii="Arial" w:hAnsi="Arial" w:cs="Arial"/>
          <w:b/>
          <w:bCs/>
          <w:szCs w:val="24"/>
        </w:rPr>
      </w:pPr>
    </w:p>
    <w:p w14:paraId="4924EB70" w14:textId="5BD7B4BB" w:rsidR="0080491D" w:rsidRPr="00DA5493" w:rsidRDefault="00C95D20" w:rsidP="005344D7">
      <w:pPr>
        <w:spacing w:line="264" w:lineRule="auto"/>
        <w:contextualSpacing/>
        <w:jc w:val="both"/>
        <w:rPr>
          <w:rFonts w:ascii="Arial" w:hAnsi="Arial" w:cs="Arial"/>
          <w:szCs w:val="24"/>
        </w:rPr>
      </w:pPr>
      <w:r>
        <w:rPr>
          <w:rFonts w:ascii="Arial" w:hAnsi="Arial" w:cs="Arial"/>
          <w:b/>
          <w:bCs/>
          <w:szCs w:val="24"/>
        </w:rPr>
        <w:t xml:space="preserve">Criminal Justice Enterprise Data Hub: $150,000 </w:t>
      </w:r>
      <w:r>
        <w:rPr>
          <w:rFonts w:ascii="Arial" w:hAnsi="Arial" w:cs="Arial"/>
          <w:szCs w:val="24"/>
        </w:rPr>
        <w:t>The proposed budget would appropriate $150,000 for initial planning activities for a Criminal Justice data hub to provide publicly available data tracking across criminal justice agencies.</w:t>
      </w:r>
      <w:r w:rsidR="0071091D">
        <w:rPr>
          <w:rFonts w:ascii="Arial" w:hAnsi="Arial" w:cs="Arial"/>
          <w:szCs w:val="24"/>
        </w:rPr>
        <w:t xml:space="preserve"> </w:t>
      </w:r>
      <w:r>
        <w:rPr>
          <w:rFonts w:ascii="Arial" w:hAnsi="Arial" w:cs="Arial"/>
          <w:szCs w:val="24"/>
        </w:rPr>
        <w:t xml:space="preserve"> Due to the siloed nature of criminal justice agenc</w:t>
      </w:r>
      <w:r w:rsidR="000B393D">
        <w:rPr>
          <w:rFonts w:ascii="Arial" w:hAnsi="Arial" w:cs="Arial"/>
          <w:szCs w:val="24"/>
        </w:rPr>
        <w:t>ies' current data management systems and data classifications, there is no automated way for the public, policy makers, or agency managers to track criminal justice outcomes and trends across services, for example</w:t>
      </w:r>
      <w:r w:rsidR="0071091D">
        <w:rPr>
          <w:rFonts w:ascii="Arial" w:hAnsi="Arial" w:cs="Arial"/>
          <w:szCs w:val="24"/>
        </w:rPr>
        <w:t xml:space="preserve"> from arrest to referral to the prosecutor to booking into jail to court processing and community release.  The intent of this pro</w:t>
      </w:r>
      <w:r w:rsidR="00DA5493">
        <w:rPr>
          <w:rFonts w:ascii="Arial" w:hAnsi="Arial" w:cs="Arial"/>
          <w:szCs w:val="24"/>
        </w:rPr>
        <w:t xml:space="preserve">posed project would be to develop an enterprise-wide data hub for tracking disaggregated information related to subjects, cases, and resource allocations.  The project would involve the KCSO, DAJD, Superior </w:t>
      </w:r>
      <w:r w:rsidR="00DA5493">
        <w:rPr>
          <w:rFonts w:ascii="Arial" w:hAnsi="Arial" w:cs="Arial"/>
          <w:szCs w:val="24"/>
        </w:rPr>
        <w:lastRenderedPageBreak/>
        <w:t xml:space="preserve">Court, District Court, and the PAO.  The requested appropriation would fund initial project planning only in 2023-2024, with feasibility and estimated project costs to be determined </w:t>
      </w:r>
      <w:proofErr w:type="gramStart"/>
      <w:r w:rsidR="00DA5493">
        <w:rPr>
          <w:rFonts w:ascii="Arial" w:hAnsi="Arial" w:cs="Arial"/>
          <w:szCs w:val="24"/>
        </w:rPr>
        <w:t>at a later time</w:t>
      </w:r>
      <w:proofErr w:type="gramEnd"/>
      <w:r w:rsidR="00DA5493">
        <w:rPr>
          <w:rFonts w:ascii="Arial" w:hAnsi="Arial" w:cs="Arial"/>
          <w:szCs w:val="24"/>
        </w:rPr>
        <w:t>.</w:t>
      </w:r>
    </w:p>
    <w:p w14:paraId="158580B4" w14:textId="2EAA469B" w:rsidR="005C2E8B" w:rsidRPr="00FD1A00" w:rsidRDefault="005C2E8B" w:rsidP="008A5CF4">
      <w:pPr>
        <w:spacing w:line="264" w:lineRule="auto"/>
        <w:contextualSpacing/>
        <w:jc w:val="both"/>
        <w:rPr>
          <w:rFonts w:ascii="Arial" w:hAnsi="Arial" w:cs="Arial"/>
          <w:szCs w:val="24"/>
        </w:rPr>
      </w:pPr>
    </w:p>
    <w:p w14:paraId="3DA733C3" w14:textId="5ADEC478" w:rsidR="005C2E8B" w:rsidRPr="00B2433E" w:rsidRDefault="00547964" w:rsidP="008156D8">
      <w:pPr>
        <w:spacing w:line="264" w:lineRule="auto"/>
        <w:contextualSpacing/>
        <w:jc w:val="center"/>
        <w:rPr>
          <w:rFonts w:ascii="Arial" w:hAnsi="Arial" w:cs="Arial"/>
          <w:b/>
          <w:smallCaps/>
          <w:szCs w:val="24"/>
          <w:u w:val="single"/>
        </w:rPr>
      </w:pPr>
      <w:r>
        <w:rPr>
          <w:rFonts w:ascii="Arial" w:hAnsi="Arial" w:cs="Arial"/>
          <w:b/>
          <w:smallCaps/>
          <w:szCs w:val="24"/>
          <w:u w:val="single"/>
        </w:rPr>
        <w:t xml:space="preserve">Key </w:t>
      </w:r>
      <w:r w:rsidR="008156D8">
        <w:rPr>
          <w:rFonts w:ascii="Arial" w:hAnsi="Arial" w:cs="Arial"/>
          <w:b/>
          <w:smallCaps/>
          <w:szCs w:val="24"/>
          <w:u w:val="single"/>
        </w:rPr>
        <w:t>Issues</w:t>
      </w:r>
    </w:p>
    <w:p w14:paraId="5279866C" w14:textId="77777777" w:rsidR="005C2E8B" w:rsidRPr="00B2433E" w:rsidRDefault="005C2E8B" w:rsidP="008A5CF4">
      <w:pPr>
        <w:spacing w:line="264" w:lineRule="auto"/>
        <w:contextualSpacing/>
        <w:jc w:val="center"/>
        <w:rPr>
          <w:rFonts w:ascii="Arial" w:hAnsi="Arial" w:cs="Arial"/>
          <w:szCs w:val="24"/>
        </w:rPr>
      </w:pPr>
    </w:p>
    <w:p w14:paraId="033FEB41" w14:textId="77777777" w:rsidR="00220CAF" w:rsidRPr="00A545D6" w:rsidRDefault="00220CAF" w:rsidP="00220CAF">
      <w:pPr>
        <w:spacing w:line="264" w:lineRule="auto"/>
        <w:contextualSpacing/>
      </w:pPr>
      <w:r>
        <w:rPr>
          <w:rFonts w:ascii="Arial" w:hAnsi="Arial" w:cs="Arial"/>
          <w:szCs w:val="24"/>
        </w:rPr>
        <w:t>Staff have not identified any issues for this budget.</w:t>
      </w:r>
    </w:p>
    <w:p w14:paraId="4630C2FA" w14:textId="77777777" w:rsidR="00220CAF" w:rsidRDefault="00220CAF" w:rsidP="00220CAF">
      <w:pPr>
        <w:spacing w:line="264" w:lineRule="auto"/>
        <w:contextualSpacing/>
      </w:pPr>
    </w:p>
    <w:p w14:paraId="1D82178F" w14:textId="77777777" w:rsidR="0069321D" w:rsidRPr="00466801" w:rsidRDefault="0069321D" w:rsidP="0069321D">
      <w:pPr>
        <w:spacing w:line="264" w:lineRule="auto"/>
        <w:contextualSpacing/>
        <w:rPr>
          <w:color w:val="CA5C54"/>
        </w:rPr>
      </w:pPr>
      <w:r w:rsidRPr="00466801">
        <w:rPr>
          <w:rFonts w:ascii="Arial" w:hAnsi="Arial" w:cs="Arial"/>
          <w:color w:val="CA5C54"/>
          <w:szCs w:val="24"/>
          <w:u w:val="single"/>
        </w:rPr>
        <w:t>UPDATE:</w:t>
      </w:r>
      <w:r w:rsidRPr="00466801">
        <w:rPr>
          <w:rFonts w:ascii="Arial" w:hAnsi="Arial" w:cs="Arial"/>
          <w:color w:val="CA5C54"/>
          <w:szCs w:val="24"/>
        </w:rPr>
        <w:t xml:space="preserve">  No updates from the Week 1 staff report.</w:t>
      </w:r>
    </w:p>
    <w:p w14:paraId="0CBBB9A7" w14:textId="20B5425C" w:rsidR="002220A5" w:rsidRDefault="002220A5" w:rsidP="005D49A1">
      <w:pPr>
        <w:spacing w:line="264" w:lineRule="auto"/>
        <w:contextualSpacing/>
      </w:pPr>
    </w:p>
    <w:p w14:paraId="24DBB234" w14:textId="77777777" w:rsidR="001E7086" w:rsidRPr="00B2433E" w:rsidRDefault="001E7086" w:rsidP="001E7086">
      <w:pPr>
        <w:spacing w:line="264" w:lineRule="auto"/>
        <w:contextualSpacing/>
        <w:jc w:val="center"/>
        <w:rPr>
          <w:rFonts w:ascii="Arial" w:hAnsi="Arial" w:cs="Arial"/>
          <w:b/>
          <w:smallCaps/>
          <w:szCs w:val="24"/>
          <w:u w:val="single"/>
        </w:rPr>
      </w:pPr>
      <w:r>
        <w:rPr>
          <w:rFonts w:ascii="Arial" w:hAnsi="Arial" w:cs="Arial"/>
          <w:b/>
          <w:smallCaps/>
          <w:szCs w:val="24"/>
          <w:u w:val="single"/>
        </w:rPr>
        <w:t>Response to Council Inquiries</w:t>
      </w:r>
    </w:p>
    <w:p w14:paraId="1B504CA2" w14:textId="77777777" w:rsidR="001E7086" w:rsidRPr="00B2433E" w:rsidRDefault="001E7086" w:rsidP="001E7086">
      <w:pPr>
        <w:spacing w:line="264" w:lineRule="auto"/>
        <w:contextualSpacing/>
        <w:jc w:val="center"/>
        <w:rPr>
          <w:rFonts w:ascii="Arial" w:hAnsi="Arial" w:cs="Arial"/>
          <w:szCs w:val="24"/>
        </w:rPr>
      </w:pPr>
    </w:p>
    <w:p w14:paraId="7298B139" w14:textId="2A8B4AFD" w:rsidR="001E7086" w:rsidRDefault="001E7086" w:rsidP="00466801">
      <w:pPr>
        <w:spacing w:line="264" w:lineRule="auto"/>
        <w:contextualSpacing/>
        <w:jc w:val="both"/>
        <w:rPr>
          <w:rFonts w:ascii="Arial" w:hAnsi="Arial" w:cs="Arial"/>
          <w:b/>
          <w:smallCaps/>
          <w:szCs w:val="24"/>
        </w:rPr>
      </w:pPr>
      <w:r>
        <w:rPr>
          <w:rFonts w:ascii="Arial" w:hAnsi="Arial" w:cs="Arial"/>
          <w:b/>
          <w:smallCaps/>
          <w:szCs w:val="24"/>
          <w:u w:val="single"/>
        </w:rPr>
        <w:t>Question 1:</w:t>
      </w:r>
      <w:r>
        <w:rPr>
          <w:rFonts w:ascii="Arial" w:hAnsi="Arial" w:cs="Arial"/>
          <w:b/>
          <w:smallCaps/>
          <w:szCs w:val="24"/>
        </w:rPr>
        <w:t xml:space="preserve">  For the Payment Kiosks Project, would the future kiosks be distributed regionally throughout the County?</w:t>
      </w:r>
    </w:p>
    <w:p w14:paraId="12472538" w14:textId="77777777" w:rsidR="00466801" w:rsidRPr="005D49A1" w:rsidRDefault="00466801" w:rsidP="00466801">
      <w:pPr>
        <w:spacing w:line="264" w:lineRule="auto"/>
        <w:contextualSpacing/>
        <w:jc w:val="both"/>
        <w:rPr>
          <w:rFonts w:ascii="Arial" w:hAnsi="Arial" w:cs="Arial"/>
          <w:b/>
          <w:smallCaps/>
          <w:szCs w:val="24"/>
          <w:u w:val="single"/>
        </w:rPr>
      </w:pPr>
    </w:p>
    <w:p w14:paraId="66D3D7C2" w14:textId="1B1BC520" w:rsidR="001E7086" w:rsidRPr="00466801" w:rsidRDefault="001E7086" w:rsidP="00466801">
      <w:pPr>
        <w:spacing w:line="264" w:lineRule="auto"/>
        <w:contextualSpacing/>
        <w:jc w:val="both"/>
        <w:rPr>
          <w:rFonts w:ascii="Arial" w:hAnsi="Arial" w:cs="Arial"/>
          <w:color w:val="CA5C54"/>
          <w:szCs w:val="24"/>
        </w:rPr>
      </w:pPr>
      <w:r w:rsidRPr="00466801">
        <w:rPr>
          <w:rFonts w:ascii="Arial" w:hAnsi="Arial" w:cs="Arial"/>
          <w:smallCaps/>
          <w:color w:val="CA5C54"/>
          <w:szCs w:val="24"/>
          <w:u w:val="single"/>
        </w:rPr>
        <w:t>Answer:</w:t>
      </w:r>
      <w:r w:rsidRPr="00466801">
        <w:rPr>
          <w:rFonts w:ascii="Arial" w:hAnsi="Arial" w:cs="Arial"/>
          <w:smallCaps/>
          <w:color w:val="CA5C54"/>
          <w:szCs w:val="24"/>
        </w:rPr>
        <w:t xml:space="preserve">  </w:t>
      </w:r>
      <w:r w:rsidR="00BD0C42" w:rsidRPr="00466801">
        <w:rPr>
          <w:rFonts w:ascii="Arial" w:hAnsi="Arial" w:cs="Arial"/>
          <w:color w:val="CA5C54"/>
          <w:szCs w:val="24"/>
        </w:rPr>
        <w:t>Executive staff indicate that payment kiosks are planned to be distributed throughout the County and the planning study will provide more precise details as to where they will be located.</w:t>
      </w:r>
    </w:p>
    <w:p w14:paraId="680917A6" w14:textId="77777777" w:rsidR="001E7086" w:rsidRDefault="001E7086" w:rsidP="00466801">
      <w:pPr>
        <w:spacing w:line="264" w:lineRule="auto"/>
        <w:contextualSpacing/>
        <w:jc w:val="both"/>
        <w:rPr>
          <w:rFonts w:ascii="Arial" w:hAnsi="Arial" w:cs="Arial"/>
          <w:szCs w:val="24"/>
        </w:rPr>
      </w:pPr>
    </w:p>
    <w:p w14:paraId="3FDD23E8" w14:textId="3CC8A2FA" w:rsidR="001E7086" w:rsidRDefault="001E7086" w:rsidP="00466801">
      <w:pPr>
        <w:spacing w:line="264" w:lineRule="auto"/>
        <w:contextualSpacing/>
        <w:jc w:val="both"/>
        <w:rPr>
          <w:rFonts w:ascii="Arial" w:hAnsi="Arial" w:cs="Arial"/>
          <w:b/>
          <w:smallCaps/>
          <w:szCs w:val="24"/>
        </w:rPr>
      </w:pPr>
      <w:bookmarkStart w:id="0" w:name="_Hlk115960424"/>
      <w:r>
        <w:rPr>
          <w:rFonts w:ascii="Arial" w:hAnsi="Arial" w:cs="Arial"/>
          <w:b/>
          <w:smallCaps/>
          <w:szCs w:val="24"/>
          <w:u w:val="single"/>
        </w:rPr>
        <w:t>Question 2:</w:t>
      </w:r>
      <w:r>
        <w:rPr>
          <w:rFonts w:ascii="Arial" w:hAnsi="Arial" w:cs="Arial"/>
          <w:b/>
          <w:smallCaps/>
          <w:szCs w:val="24"/>
        </w:rPr>
        <w:t xml:space="preserve">  For the CJ Enterprise Data Hub Project, why </w:t>
      </w:r>
      <w:r w:rsidR="00CE5908">
        <w:rPr>
          <w:rFonts w:ascii="Arial" w:hAnsi="Arial" w:cs="Arial"/>
          <w:b/>
          <w:smallCaps/>
          <w:szCs w:val="24"/>
        </w:rPr>
        <w:t>isn't DCHS a part of the data hub? Should Public Health personnel have access to this</w:t>
      </w:r>
      <w:r w:rsidR="00DD7DC2">
        <w:rPr>
          <w:rFonts w:ascii="Arial" w:hAnsi="Arial" w:cs="Arial"/>
          <w:b/>
          <w:smallCaps/>
          <w:szCs w:val="24"/>
        </w:rPr>
        <w:t xml:space="preserve"> data?</w:t>
      </w:r>
      <w:r w:rsidR="00CE5908">
        <w:rPr>
          <w:rFonts w:ascii="Arial" w:hAnsi="Arial" w:cs="Arial"/>
          <w:b/>
          <w:smallCaps/>
          <w:szCs w:val="24"/>
        </w:rPr>
        <w:t xml:space="preserve"> </w:t>
      </w:r>
    </w:p>
    <w:p w14:paraId="15F76108" w14:textId="77777777" w:rsidR="00466801" w:rsidRPr="005D49A1" w:rsidRDefault="00466801" w:rsidP="00466801">
      <w:pPr>
        <w:spacing w:line="264" w:lineRule="auto"/>
        <w:contextualSpacing/>
        <w:jc w:val="both"/>
        <w:rPr>
          <w:rFonts w:ascii="Arial" w:hAnsi="Arial" w:cs="Arial"/>
          <w:b/>
          <w:smallCaps/>
          <w:szCs w:val="24"/>
          <w:u w:val="single"/>
        </w:rPr>
      </w:pPr>
    </w:p>
    <w:p w14:paraId="21B744A3" w14:textId="1638C10B" w:rsidR="001E7086" w:rsidRPr="00466801" w:rsidRDefault="001E7086" w:rsidP="00466801">
      <w:pPr>
        <w:spacing w:line="264" w:lineRule="auto"/>
        <w:contextualSpacing/>
        <w:jc w:val="both"/>
        <w:rPr>
          <w:rFonts w:ascii="Arial" w:hAnsi="Arial" w:cs="Arial"/>
          <w:color w:val="CA5C54"/>
          <w:szCs w:val="24"/>
        </w:rPr>
      </w:pPr>
      <w:r w:rsidRPr="00466801">
        <w:rPr>
          <w:rFonts w:ascii="Arial" w:hAnsi="Arial" w:cs="Arial"/>
          <w:smallCaps/>
          <w:color w:val="CA5C54"/>
          <w:szCs w:val="24"/>
          <w:u w:val="single"/>
        </w:rPr>
        <w:t>Answer:</w:t>
      </w:r>
      <w:r w:rsidRPr="00466801">
        <w:rPr>
          <w:rFonts w:ascii="Arial" w:hAnsi="Arial" w:cs="Arial"/>
          <w:smallCaps/>
          <w:color w:val="CA5C54"/>
          <w:szCs w:val="24"/>
        </w:rPr>
        <w:t xml:space="preserve">  </w:t>
      </w:r>
      <w:r w:rsidR="00BD0C42" w:rsidRPr="00466801">
        <w:rPr>
          <w:rFonts w:ascii="Arial" w:hAnsi="Arial" w:cs="Arial"/>
          <w:color w:val="CA5C54"/>
          <w:szCs w:val="24"/>
        </w:rPr>
        <w:t>Executive staff indicate that</w:t>
      </w:r>
      <w:r w:rsidR="00EB7C81" w:rsidRPr="00466801">
        <w:rPr>
          <w:rFonts w:ascii="Arial" w:hAnsi="Arial" w:cs="Arial"/>
          <w:color w:val="CA5C54"/>
          <w:szCs w:val="24"/>
        </w:rPr>
        <w:t xml:space="preserve"> the while DCHS and Public Health personnel are anticipate</w:t>
      </w:r>
      <w:r w:rsidR="009A44F8" w:rsidRPr="00466801">
        <w:rPr>
          <w:rFonts w:ascii="Arial" w:hAnsi="Arial" w:cs="Arial"/>
          <w:color w:val="CA5C54"/>
          <w:szCs w:val="24"/>
        </w:rPr>
        <w:t>d</w:t>
      </w:r>
      <w:r w:rsidR="00EB7C81" w:rsidRPr="00466801">
        <w:rPr>
          <w:rFonts w:ascii="Arial" w:hAnsi="Arial" w:cs="Arial"/>
          <w:color w:val="CA5C54"/>
          <w:szCs w:val="24"/>
        </w:rPr>
        <w:t xml:space="preserve"> to be able to consume the data, they would not be contributors of data to the </w:t>
      </w:r>
      <w:r w:rsidR="00731906" w:rsidRPr="00466801">
        <w:rPr>
          <w:rFonts w:ascii="Arial" w:hAnsi="Arial" w:cs="Arial"/>
          <w:color w:val="CA5C54"/>
          <w:szCs w:val="24"/>
        </w:rPr>
        <w:t>CJ Enterprise Data Hub project because the focus is exclusively on criminal justice data.</w:t>
      </w:r>
    </w:p>
    <w:bookmarkEnd w:id="0"/>
    <w:p w14:paraId="0ED0F463" w14:textId="77777777" w:rsidR="001E7086" w:rsidRDefault="001E7086" w:rsidP="001E7086">
      <w:pPr>
        <w:spacing w:line="360" w:lineRule="auto"/>
        <w:contextualSpacing/>
        <w:rPr>
          <w:rFonts w:ascii="Arial" w:hAnsi="Arial" w:cs="Arial"/>
          <w:szCs w:val="24"/>
        </w:rPr>
      </w:pPr>
    </w:p>
    <w:p w14:paraId="536730D4" w14:textId="77777777" w:rsidR="001E7086" w:rsidRPr="005D49A1" w:rsidRDefault="001E7086" w:rsidP="001E7086">
      <w:pPr>
        <w:spacing w:line="360" w:lineRule="auto"/>
        <w:contextualSpacing/>
        <w:rPr>
          <w:rFonts w:ascii="Arial" w:hAnsi="Arial" w:cs="Arial"/>
          <w:vanish/>
          <w:szCs w:val="24"/>
        </w:rPr>
      </w:pPr>
    </w:p>
    <w:p w14:paraId="38C912C9" w14:textId="77777777" w:rsidR="001E7086" w:rsidRPr="005D49A1" w:rsidRDefault="001E7086" w:rsidP="001E7086">
      <w:pPr>
        <w:spacing w:line="360" w:lineRule="auto"/>
        <w:contextualSpacing/>
        <w:rPr>
          <w:rFonts w:ascii="Arial" w:hAnsi="Arial" w:cs="Arial"/>
          <w:vanish/>
          <w:szCs w:val="24"/>
        </w:rPr>
      </w:pPr>
    </w:p>
    <w:p w14:paraId="14E28E53" w14:textId="77777777" w:rsidR="001E7086" w:rsidRDefault="001E7086" w:rsidP="001E7086">
      <w:pPr>
        <w:spacing w:line="264" w:lineRule="auto"/>
        <w:contextualSpacing/>
      </w:pPr>
    </w:p>
    <w:p w14:paraId="527ACFCE" w14:textId="77777777" w:rsidR="001E7086" w:rsidRPr="00ED32D5" w:rsidRDefault="001E7086" w:rsidP="001E7086">
      <w:pPr>
        <w:rPr>
          <w:color w:val="C00000"/>
        </w:rPr>
      </w:pPr>
    </w:p>
    <w:p w14:paraId="64BF959E" w14:textId="77777777" w:rsidR="001E7086" w:rsidRDefault="001E7086" w:rsidP="005D49A1">
      <w:pPr>
        <w:spacing w:line="264" w:lineRule="auto"/>
        <w:contextualSpacing/>
      </w:pPr>
    </w:p>
    <w:sectPr w:rsidR="001E7086" w:rsidSect="008E7755">
      <w:footerReference w:type="even" r:id="rId11"/>
      <w:footerReference w:type="default" r:id="rId12"/>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09F5D" w14:textId="77777777" w:rsidR="0091204E" w:rsidRDefault="0091204E">
      <w:r>
        <w:separator/>
      </w:r>
    </w:p>
  </w:endnote>
  <w:endnote w:type="continuationSeparator" w:id="0">
    <w:p w14:paraId="7A991499" w14:textId="77777777" w:rsidR="0091204E" w:rsidRDefault="0091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6D38" w14:textId="77777777" w:rsidR="00FD1A00" w:rsidRDefault="005700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EAF8E7" w14:textId="77777777" w:rsidR="00FD1A00" w:rsidRDefault="009E71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3672" w14:textId="6361CE0E" w:rsidR="00FD1A00" w:rsidRDefault="009E7173">
    <w:pPr>
      <w:pStyle w:val="Footer"/>
      <w:jc w:val="center"/>
    </w:pPr>
  </w:p>
  <w:p w14:paraId="35088CA8" w14:textId="77777777" w:rsidR="00FD1A00" w:rsidRDefault="009E7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AC92C" w14:textId="77777777" w:rsidR="0091204E" w:rsidRDefault="0091204E">
      <w:r>
        <w:separator/>
      </w:r>
    </w:p>
  </w:footnote>
  <w:footnote w:type="continuationSeparator" w:id="0">
    <w:p w14:paraId="5E78EAF2" w14:textId="77777777" w:rsidR="0091204E" w:rsidRDefault="00912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67ED"/>
    <w:multiLevelType w:val="hybridMultilevel"/>
    <w:tmpl w:val="9A6A7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6E2F0B"/>
    <w:multiLevelType w:val="hybridMultilevel"/>
    <w:tmpl w:val="F8E8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62C62"/>
    <w:multiLevelType w:val="hybridMultilevel"/>
    <w:tmpl w:val="B4D8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2A7C4C"/>
    <w:multiLevelType w:val="hybridMultilevel"/>
    <w:tmpl w:val="663EC3BC"/>
    <w:lvl w:ilvl="0" w:tplc="46D6DB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BF051F"/>
    <w:multiLevelType w:val="hybridMultilevel"/>
    <w:tmpl w:val="09287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E8B"/>
    <w:rsid w:val="000168DD"/>
    <w:rsid w:val="0002761B"/>
    <w:rsid w:val="000413FE"/>
    <w:rsid w:val="0004254D"/>
    <w:rsid w:val="00083F57"/>
    <w:rsid w:val="00087CD0"/>
    <w:rsid w:val="000B393D"/>
    <w:rsid w:val="000C7297"/>
    <w:rsid w:val="000D3C95"/>
    <w:rsid w:val="000D7EDA"/>
    <w:rsid w:val="00107A61"/>
    <w:rsid w:val="00127163"/>
    <w:rsid w:val="00131002"/>
    <w:rsid w:val="0014315E"/>
    <w:rsid w:val="001E7086"/>
    <w:rsid w:val="001F39C9"/>
    <w:rsid w:val="001F488E"/>
    <w:rsid w:val="002029B2"/>
    <w:rsid w:val="00211E6A"/>
    <w:rsid w:val="002144A7"/>
    <w:rsid w:val="00220CAF"/>
    <w:rsid w:val="002220A5"/>
    <w:rsid w:val="00236A42"/>
    <w:rsid w:val="0025092C"/>
    <w:rsid w:val="00253D99"/>
    <w:rsid w:val="002662BD"/>
    <w:rsid w:val="002873F2"/>
    <w:rsid w:val="002A759F"/>
    <w:rsid w:val="002E35C0"/>
    <w:rsid w:val="002F79A8"/>
    <w:rsid w:val="00311C12"/>
    <w:rsid w:val="0032598C"/>
    <w:rsid w:val="003322AC"/>
    <w:rsid w:val="00334B6F"/>
    <w:rsid w:val="00350086"/>
    <w:rsid w:val="003605CB"/>
    <w:rsid w:val="00367821"/>
    <w:rsid w:val="00393602"/>
    <w:rsid w:val="003D1818"/>
    <w:rsid w:val="003E0D1D"/>
    <w:rsid w:val="003F317D"/>
    <w:rsid w:val="003F73E3"/>
    <w:rsid w:val="00403158"/>
    <w:rsid w:val="004127C4"/>
    <w:rsid w:val="00443370"/>
    <w:rsid w:val="004558FB"/>
    <w:rsid w:val="004567F8"/>
    <w:rsid w:val="00465CDC"/>
    <w:rsid w:val="00466801"/>
    <w:rsid w:val="0046704C"/>
    <w:rsid w:val="0047695F"/>
    <w:rsid w:val="004C7877"/>
    <w:rsid w:val="004D0115"/>
    <w:rsid w:val="004F3038"/>
    <w:rsid w:val="0050471F"/>
    <w:rsid w:val="005344D7"/>
    <w:rsid w:val="00540F55"/>
    <w:rsid w:val="0054653E"/>
    <w:rsid w:val="00547964"/>
    <w:rsid w:val="00547B49"/>
    <w:rsid w:val="00551E47"/>
    <w:rsid w:val="00563B1E"/>
    <w:rsid w:val="00570083"/>
    <w:rsid w:val="00571879"/>
    <w:rsid w:val="0057194B"/>
    <w:rsid w:val="00580825"/>
    <w:rsid w:val="005B1223"/>
    <w:rsid w:val="005B7D48"/>
    <w:rsid w:val="005C2E8B"/>
    <w:rsid w:val="005C694C"/>
    <w:rsid w:val="005D2B85"/>
    <w:rsid w:val="005D49A1"/>
    <w:rsid w:val="005D5668"/>
    <w:rsid w:val="005E3D4A"/>
    <w:rsid w:val="006125A8"/>
    <w:rsid w:val="00624796"/>
    <w:rsid w:val="0063060C"/>
    <w:rsid w:val="006345CE"/>
    <w:rsid w:val="00646EB2"/>
    <w:rsid w:val="00657AD7"/>
    <w:rsid w:val="006659CD"/>
    <w:rsid w:val="00676DFD"/>
    <w:rsid w:val="006873A9"/>
    <w:rsid w:val="0069321D"/>
    <w:rsid w:val="006C7A7A"/>
    <w:rsid w:val="006D100B"/>
    <w:rsid w:val="006F4699"/>
    <w:rsid w:val="006F5140"/>
    <w:rsid w:val="00702F19"/>
    <w:rsid w:val="0071091D"/>
    <w:rsid w:val="0071408C"/>
    <w:rsid w:val="00720049"/>
    <w:rsid w:val="00725C64"/>
    <w:rsid w:val="00731906"/>
    <w:rsid w:val="00734E8B"/>
    <w:rsid w:val="007776A3"/>
    <w:rsid w:val="00784B28"/>
    <w:rsid w:val="00795E28"/>
    <w:rsid w:val="007A2ABB"/>
    <w:rsid w:val="007A4F43"/>
    <w:rsid w:val="007C297B"/>
    <w:rsid w:val="007D0720"/>
    <w:rsid w:val="007E596B"/>
    <w:rsid w:val="007F2E0B"/>
    <w:rsid w:val="0080491D"/>
    <w:rsid w:val="008156D8"/>
    <w:rsid w:val="0083673C"/>
    <w:rsid w:val="0084249B"/>
    <w:rsid w:val="00844236"/>
    <w:rsid w:val="0087000B"/>
    <w:rsid w:val="00873D72"/>
    <w:rsid w:val="008A28C6"/>
    <w:rsid w:val="008A5CF4"/>
    <w:rsid w:val="008C07EB"/>
    <w:rsid w:val="008E7755"/>
    <w:rsid w:val="00901E69"/>
    <w:rsid w:val="0091204E"/>
    <w:rsid w:val="00953C6C"/>
    <w:rsid w:val="0097260E"/>
    <w:rsid w:val="00986E6B"/>
    <w:rsid w:val="009A44F8"/>
    <w:rsid w:val="009A5126"/>
    <w:rsid w:val="009B2680"/>
    <w:rsid w:val="009B26F5"/>
    <w:rsid w:val="009B6D59"/>
    <w:rsid w:val="009E0017"/>
    <w:rsid w:val="009E036B"/>
    <w:rsid w:val="009E7173"/>
    <w:rsid w:val="009F3F40"/>
    <w:rsid w:val="009F5AEA"/>
    <w:rsid w:val="00A1087B"/>
    <w:rsid w:val="00A27DEA"/>
    <w:rsid w:val="00A31F54"/>
    <w:rsid w:val="00A37A6A"/>
    <w:rsid w:val="00A45B01"/>
    <w:rsid w:val="00A51E90"/>
    <w:rsid w:val="00A66318"/>
    <w:rsid w:val="00AB1E4D"/>
    <w:rsid w:val="00B00C10"/>
    <w:rsid w:val="00B07012"/>
    <w:rsid w:val="00B17797"/>
    <w:rsid w:val="00B332B9"/>
    <w:rsid w:val="00B40E00"/>
    <w:rsid w:val="00B42E40"/>
    <w:rsid w:val="00B46CA9"/>
    <w:rsid w:val="00B84C5D"/>
    <w:rsid w:val="00B9229B"/>
    <w:rsid w:val="00BA563F"/>
    <w:rsid w:val="00BB5568"/>
    <w:rsid w:val="00BB66EE"/>
    <w:rsid w:val="00BD0C42"/>
    <w:rsid w:val="00BD4EEC"/>
    <w:rsid w:val="00BF543C"/>
    <w:rsid w:val="00C051F3"/>
    <w:rsid w:val="00C17333"/>
    <w:rsid w:val="00C37142"/>
    <w:rsid w:val="00C746E6"/>
    <w:rsid w:val="00C95D20"/>
    <w:rsid w:val="00C967DF"/>
    <w:rsid w:val="00CA4443"/>
    <w:rsid w:val="00CB275F"/>
    <w:rsid w:val="00CB3CC8"/>
    <w:rsid w:val="00CC0C9F"/>
    <w:rsid w:val="00CE2F3B"/>
    <w:rsid w:val="00CE5908"/>
    <w:rsid w:val="00D006AF"/>
    <w:rsid w:val="00D1233D"/>
    <w:rsid w:val="00D308C2"/>
    <w:rsid w:val="00D42F75"/>
    <w:rsid w:val="00D45A31"/>
    <w:rsid w:val="00D46392"/>
    <w:rsid w:val="00D566D0"/>
    <w:rsid w:val="00D861DB"/>
    <w:rsid w:val="00DA5493"/>
    <w:rsid w:val="00DA5D47"/>
    <w:rsid w:val="00DB63D4"/>
    <w:rsid w:val="00DD7DC2"/>
    <w:rsid w:val="00DE2902"/>
    <w:rsid w:val="00E20775"/>
    <w:rsid w:val="00E35D91"/>
    <w:rsid w:val="00E604E2"/>
    <w:rsid w:val="00E642CF"/>
    <w:rsid w:val="00E74ACE"/>
    <w:rsid w:val="00E8670A"/>
    <w:rsid w:val="00EB3D5E"/>
    <w:rsid w:val="00EB7C81"/>
    <w:rsid w:val="00EC5BF3"/>
    <w:rsid w:val="00ED7BE6"/>
    <w:rsid w:val="00EF5E2E"/>
    <w:rsid w:val="00F16B24"/>
    <w:rsid w:val="00F20221"/>
    <w:rsid w:val="00F248D6"/>
    <w:rsid w:val="00F41D1D"/>
    <w:rsid w:val="00F51092"/>
    <w:rsid w:val="00F51A7B"/>
    <w:rsid w:val="00F70B27"/>
    <w:rsid w:val="00F91087"/>
    <w:rsid w:val="00FE221E"/>
    <w:rsid w:val="00FE226C"/>
    <w:rsid w:val="00FE28F0"/>
    <w:rsid w:val="00FF00EA"/>
    <w:rsid w:val="00FF07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0CD1"/>
  <w15:docId w15:val="{5ADE9C08-3525-4DEE-80AE-B9805477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E8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Times11">
    <w:name w:val="CG Times 11"/>
    <w:basedOn w:val="Normal"/>
    <w:link w:val="CGTimes11Char"/>
    <w:rsid w:val="005C2E8B"/>
    <w:rPr>
      <w:rFonts w:ascii="CG Times" w:hAnsi="CG Times"/>
      <w:sz w:val="22"/>
    </w:rPr>
  </w:style>
  <w:style w:type="paragraph" w:styleId="Footer">
    <w:name w:val="footer"/>
    <w:basedOn w:val="Normal"/>
    <w:link w:val="FooterChar"/>
    <w:uiPriority w:val="99"/>
    <w:rsid w:val="005C2E8B"/>
    <w:pPr>
      <w:tabs>
        <w:tab w:val="center" w:pos="4320"/>
        <w:tab w:val="right" w:pos="8640"/>
      </w:tabs>
    </w:pPr>
  </w:style>
  <w:style w:type="character" w:customStyle="1" w:styleId="FooterChar">
    <w:name w:val="Footer Char"/>
    <w:basedOn w:val="DefaultParagraphFont"/>
    <w:link w:val="Footer"/>
    <w:uiPriority w:val="99"/>
    <w:rsid w:val="005C2E8B"/>
    <w:rPr>
      <w:rFonts w:ascii="Times New Roman" w:eastAsia="Times New Roman" w:hAnsi="Times New Roman" w:cs="Times New Roman"/>
      <w:sz w:val="24"/>
      <w:szCs w:val="20"/>
    </w:rPr>
  </w:style>
  <w:style w:type="character" w:styleId="PageNumber">
    <w:name w:val="page number"/>
    <w:basedOn w:val="DefaultParagraphFont"/>
    <w:rsid w:val="005C2E8B"/>
  </w:style>
  <w:style w:type="character" w:customStyle="1" w:styleId="CGTimes11Char">
    <w:name w:val="CG Times 11 Char"/>
    <w:link w:val="CGTimes11"/>
    <w:rsid w:val="005C2E8B"/>
    <w:rPr>
      <w:rFonts w:ascii="CG Times" w:eastAsia="Times New Roman" w:hAnsi="CG Times" w:cs="Times New Roman"/>
      <w:szCs w:val="20"/>
    </w:rPr>
  </w:style>
  <w:style w:type="table" w:styleId="TableGrid">
    <w:name w:val="Table Grid"/>
    <w:basedOn w:val="TableNormal"/>
    <w:uiPriority w:val="39"/>
    <w:rsid w:val="008A5C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29B2"/>
    <w:pPr>
      <w:tabs>
        <w:tab w:val="center" w:pos="4680"/>
        <w:tab w:val="right" w:pos="9360"/>
      </w:tabs>
    </w:pPr>
  </w:style>
  <w:style w:type="character" w:customStyle="1" w:styleId="HeaderChar">
    <w:name w:val="Header Char"/>
    <w:basedOn w:val="DefaultParagraphFont"/>
    <w:link w:val="Header"/>
    <w:uiPriority w:val="99"/>
    <w:rsid w:val="002029B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40E00"/>
    <w:rPr>
      <w:sz w:val="16"/>
      <w:szCs w:val="16"/>
    </w:rPr>
  </w:style>
  <w:style w:type="paragraph" w:styleId="CommentText">
    <w:name w:val="annotation text"/>
    <w:basedOn w:val="Normal"/>
    <w:link w:val="CommentTextChar"/>
    <w:uiPriority w:val="99"/>
    <w:semiHidden/>
    <w:unhideWhenUsed/>
    <w:rsid w:val="00B40E00"/>
    <w:rPr>
      <w:sz w:val="20"/>
    </w:rPr>
  </w:style>
  <w:style w:type="character" w:customStyle="1" w:styleId="CommentTextChar">
    <w:name w:val="Comment Text Char"/>
    <w:basedOn w:val="DefaultParagraphFont"/>
    <w:link w:val="CommentText"/>
    <w:uiPriority w:val="99"/>
    <w:semiHidden/>
    <w:rsid w:val="00B40E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0E00"/>
    <w:rPr>
      <w:b/>
      <w:bCs/>
    </w:rPr>
  </w:style>
  <w:style w:type="character" w:customStyle="1" w:styleId="CommentSubjectChar">
    <w:name w:val="Comment Subject Char"/>
    <w:basedOn w:val="CommentTextChar"/>
    <w:link w:val="CommentSubject"/>
    <w:uiPriority w:val="99"/>
    <w:semiHidden/>
    <w:rsid w:val="00B40E0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0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00"/>
    <w:rPr>
      <w:rFonts w:ascii="Segoe UI" w:eastAsia="Times New Roman" w:hAnsi="Segoe UI" w:cs="Segoe UI"/>
      <w:sz w:val="18"/>
      <w:szCs w:val="18"/>
    </w:rPr>
  </w:style>
  <w:style w:type="paragraph" w:styleId="ListParagraph">
    <w:name w:val="List Paragraph"/>
    <w:basedOn w:val="Normal"/>
    <w:uiPriority w:val="34"/>
    <w:qFormat/>
    <w:rsid w:val="008156D8"/>
    <w:pPr>
      <w:ind w:left="720"/>
      <w:contextualSpacing/>
    </w:pPr>
  </w:style>
  <w:style w:type="paragraph" w:styleId="FootnoteText">
    <w:name w:val="footnote text"/>
    <w:basedOn w:val="Normal"/>
    <w:link w:val="FootnoteTextChar"/>
    <w:uiPriority w:val="99"/>
    <w:semiHidden/>
    <w:unhideWhenUsed/>
    <w:rsid w:val="005344D7"/>
    <w:rPr>
      <w:sz w:val="20"/>
    </w:rPr>
  </w:style>
  <w:style w:type="character" w:customStyle="1" w:styleId="FootnoteTextChar">
    <w:name w:val="Footnote Text Char"/>
    <w:basedOn w:val="DefaultParagraphFont"/>
    <w:link w:val="FootnoteText"/>
    <w:uiPriority w:val="99"/>
    <w:semiHidden/>
    <w:rsid w:val="005344D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344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C766BE52AFCE49BFF8C9E5981B7BB1" ma:contentTypeVersion="10" ma:contentTypeDescription="Create a new document." ma:contentTypeScope="" ma:versionID="a08cbf2a25614058b53784f7ec973484">
  <xsd:schema xmlns:xsd="http://www.w3.org/2001/XMLSchema" xmlns:xs="http://www.w3.org/2001/XMLSchema" xmlns:p="http://schemas.microsoft.com/office/2006/metadata/properties" xmlns:ns3="4aba5fda-01fb-42e4-a102-58659c678a77" targetNamespace="http://schemas.microsoft.com/office/2006/metadata/properties" ma:root="true" ma:fieldsID="5c52963a4240e854101b58bd4ca27871" ns3:_="">
    <xsd:import namespace="4aba5fda-01fb-42e4-a102-58659c678a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a5fda-01fb-42e4-a102-58659c678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88746F-8D59-40F9-B640-4365792AD95F}">
  <ds:schemaRefs>
    <ds:schemaRef ds:uri="http://schemas.openxmlformats.org/officeDocument/2006/bibliography"/>
  </ds:schemaRefs>
</ds:datastoreItem>
</file>

<file path=customXml/itemProps2.xml><?xml version="1.0" encoding="utf-8"?>
<ds:datastoreItem xmlns:ds="http://schemas.openxmlformats.org/officeDocument/2006/customXml" ds:itemID="{C506C7B0-1D3C-47CD-829C-4E4137AAC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a5fda-01fb-42e4-a102-58659c678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137E2D-BBDF-4D0A-870A-9F3BEB0E7A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BFD9A2-A397-40CA-96E0-C2913181A5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dc:creator>
  <cp:lastModifiedBy>Paribello, Brandi</cp:lastModifiedBy>
  <cp:revision>123</cp:revision>
  <dcterms:created xsi:type="dcterms:W3CDTF">2022-09-13T16:46:00Z</dcterms:created>
  <dcterms:modified xsi:type="dcterms:W3CDTF">2022-10-07T20:13:00Z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0x01010059C766BE52AFCE49BFF8C9E5981B7BB1</vt:lpwstr>
  </property>
</Properties>
</file>