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9F9F" w14:textId="77777777" w:rsidR="00AF0E97" w:rsidRPr="00AF0E97" w:rsidRDefault="00AF0E97" w:rsidP="00AF0E97">
      <w:pPr>
        <w:spacing w:line="264" w:lineRule="auto"/>
        <w:contextualSpacing/>
        <w:jc w:val="center"/>
        <w:rPr>
          <w:rFonts w:ascii="Arial" w:hAnsi="Arial" w:cs="Arial"/>
          <w:b/>
          <w:smallCaps/>
          <w:sz w:val="28"/>
          <w:szCs w:val="28"/>
          <w:u w:val="single"/>
        </w:rPr>
      </w:pPr>
      <w:r w:rsidRPr="00AF0E97">
        <w:rPr>
          <w:rFonts w:ascii="Arial" w:hAnsi="Arial" w:cs="Arial"/>
          <w:b/>
          <w:smallCaps/>
          <w:sz w:val="28"/>
          <w:szCs w:val="28"/>
          <w:u w:val="single"/>
        </w:rPr>
        <w:t>Surface Water Management Local Drainage Services</w:t>
      </w:r>
    </w:p>
    <w:p w14:paraId="038CC267" w14:textId="39B3351E" w:rsidR="0063060C" w:rsidRPr="0063060C" w:rsidRDefault="0063060C" w:rsidP="0063060C">
      <w:pPr>
        <w:spacing w:line="264" w:lineRule="auto"/>
        <w:contextualSpacing/>
        <w:jc w:val="center"/>
        <w:rPr>
          <w:rFonts w:ascii="Arial" w:hAnsi="Arial" w:cs="Arial"/>
          <w:b/>
          <w:sz w:val="28"/>
          <w:szCs w:val="28"/>
        </w:rPr>
      </w:pPr>
      <w:r>
        <w:rPr>
          <w:rFonts w:ascii="Arial" w:hAnsi="Arial" w:cs="Arial"/>
          <w:smallCaps/>
          <w:szCs w:val="24"/>
        </w:rPr>
        <w:t xml:space="preserve">Analyst: </w:t>
      </w:r>
      <w:r w:rsidR="00AF0E97">
        <w:rPr>
          <w:rFonts w:ascii="Arial" w:hAnsi="Arial" w:cs="Arial"/>
          <w:smallCaps/>
          <w:szCs w:val="24"/>
        </w:rPr>
        <w:t>Jenny Ngo</w:t>
      </w:r>
    </w:p>
    <w:p w14:paraId="4D38C770" w14:textId="0AD2CB49" w:rsidR="008A5CF4" w:rsidRPr="001C4B19" w:rsidRDefault="008A5CF4" w:rsidP="008A5CF4">
      <w:pPr>
        <w:rPr>
          <w:rFonts w:ascii="Arial" w:hAnsi="Arial" w:cs="Arial"/>
          <w:b/>
          <w:szCs w:val="24"/>
        </w:rPr>
      </w:pPr>
    </w:p>
    <w:tbl>
      <w:tblPr>
        <w:tblStyle w:val="TableGrid"/>
        <w:tblW w:w="9480" w:type="dxa"/>
        <w:jc w:val="center"/>
        <w:tblCellMar>
          <w:left w:w="72" w:type="dxa"/>
          <w:right w:w="72" w:type="dxa"/>
        </w:tblCellMar>
        <w:tblLook w:val="04A0" w:firstRow="1" w:lastRow="0" w:firstColumn="1" w:lastColumn="0" w:noHBand="0" w:noVBand="1"/>
      </w:tblPr>
      <w:tblGrid>
        <w:gridCol w:w="3840"/>
        <w:gridCol w:w="180"/>
        <w:gridCol w:w="1596"/>
        <w:gridCol w:w="165"/>
        <w:gridCol w:w="1514"/>
        <w:gridCol w:w="161"/>
        <w:gridCol w:w="896"/>
        <w:gridCol w:w="196"/>
        <w:gridCol w:w="926"/>
        <w:gridCol w:w="6"/>
      </w:tblGrid>
      <w:tr w:rsidR="00B40E00" w:rsidRPr="00B0053A" w14:paraId="596C73F0" w14:textId="77777777" w:rsidTr="00F51092">
        <w:trPr>
          <w:cantSplit/>
          <w:trHeight w:val="411"/>
          <w:tblHeader/>
          <w:jc w:val="center"/>
        </w:trPr>
        <w:tc>
          <w:tcPr>
            <w:tcW w:w="3840" w:type="dxa"/>
            <w:tcBorders>
              <w:top w:val="single" w:sz="12" w:space="0" w:color="auto"/>
              <w:left w:val="nil"/>
              <w:bottom w:val="single" w:sz="4" w:space="0" w:color="auto"/>
              <w:right w:val="nil"/>
            </w:tcBorders>
            <w:shd w:val="clear" w:color="auto" w:fill="auto"/>
            <w:vAlign w:val="center"/>
          </w:tcPr>
          <w:p w14:paraId="1647FA31" w14:textId="321FD8D4" w:rsidR="00D566D0" w:rsidRPr="00C3115F" w:rsidRDefault="00D566D0" w:rsidP="0063060C">
            <w:pPr>
              <w:rPr>
                <w:rFonts w:ascii="Arial" w:hAnsi="Arial" w:cs="Arial"/>
                <w:b/>
                <w:sz w:val="22"/>
                <w:szCs w:val="22"/>
              </w:rPr>
            </w:pPr>
          </w:p>
        </w:tc>
        <w:tc>
          <w:tcPr>
            <w:tcW w:w="180" w:type="dxa"/>
            <w:tcBorders>
              <w:top w:val="single" w:sz="12" w:space="0" w:color="auto"/>
              <w:left w:val="nil"/>
              <w:bottom w:val="nil"/>
              <w:right w:val="nil"/>
            </w:tcBorders>
          </w:tcPr>
          <w:p w14:paraId="508119E7" w14:textId="77777777" w:rsidR="00D566D0" w:rsidRPr="00C3115F" w:rsidRDefault="00D566D0" w:rsidP="008A5CF4">
            <w:pPr>
              <w:rPr>
                <w:rFonts w:ascii="Arial" w:hAnsi="Arial" w:cs="Arial"/>
                <w:b/>
                <w:sz w:val="22"/>
                <w:szCs w:val="22"/>
              </w:rPr>
            </w:pPr>
          </w:p>
        </w:tc>
        <w:tc>
          <w:tcPr>
            <w:tcW w:w="1596" w:type="dxa"/>
            <w:tcBorders>
              <w:top w:val="single" w:sz="12" w:space="0" w:color="auto"/>
              <w:left w:val="nil"/>
              <w:bottom w:val="nil"/>
              <w:right w:val="nil"/>
            </w:tcBorders>
            <w:vAlign w:val="center"/>
          </w:tcPr>
          <w:p w14:paraId="03CB8E56" w14:textId="7520B120" w:rsidR="00D566D0" w:rsidRPr="00C3115F" w:rsidRDefault="009A5126" w:rsidP="009A5126">
            <w:pPr>
              <w:jc w:val="center"/>
              <w:rPr>
                <w:rFonts w:ascii="Arial" w:hAnsi="Arial" w:cs="Arial"/>
                <w:b/>
                <w:sz w:val="22"/>
                <w:szCs w:val="22"/>
              </w:rPr>
            </w:pPr>
            <w:r w:rsidRPr="00C3115F">
              <w:rPr>
                <w:rFonts w:ascii="Arial" w:hAnsi="Arial" w:cs="Arial"/>
                <w:b/>
                <w:sz w:val="22"/>
                <w:szCs w:val="22"/>
              </w:rPr>
              <w:t>Expenditures</w:t>
            </w:r>
          </w:p>
        </w:tc>
        <w:tc>
          <w:tcPr>
            <w:tcW w:w="165" w:type="dxa"/>
            <w:tcBorders>
              <w:top w:val="single" w:sz="12" w:space="0" w:color="auto"/>
              <w:left w:val="nil"/>
              <w:bottom w:val="nil"/>
              <w:right w:val="nil"/>
            </w:tcBorders>
          </w:tcPr>
          <w:p w14:paraId="6255EFDB" w14:textId="5CEB78AB" w:rsidR="00D566D0" w:rsidRPr="00C3115F" w:rsidRDefault="00D566D0" w:rsidP="008A5CF4">
            <w:pPr>
              <w:rPr>
                <w:rFonts w:ascii="Arial" w:hAnsi="Arial" w:cs="Arial"/>
                <w:b/>
                <w:sz w:val="22"/>
                <w:szCs w:val="22"/>
              </w:rPr>
            </w:pPr>
          </w:p>
        </w:tc>
        <w:tc>
          <w:tcPr>
            <w:tcW w:w="1514" w:type="dxa"/>
            <w:tcBorders>
              <w:top w:val="single" w:sz="12" w:space="0" w:color="auto"/>
              <w:left w:val="nil"/>
              <w:bottom w:val="single" w:sz="2" w:space="0" w:color="auto"/>
              <w:right w:val="nil"/>
            </w:tcBorders>
            <w:shd w:val="clear" w:color="auto" w:fill="auto"/>
            <w:vAlign w:val="center"/>
          </w:tcPr>
          <w:p w14:paraId="3E2CB846" w14:textId="6246048C" w:rsidR="00D566D0" w:rsidRPr="00C3115F" w:rsidRDefault="009A5126" w:rsidP="0063060C">
            <w:pPr>
              <w:jc w:val="center"/>
              <w:rPr>
                <w:rFonts w:ascii="Arial" w:hAnsi="Arial" w:cs="Arial"/>
                <w:b/>
                <w:sz w:val="22"/>
                <w:szCs w:val="22"/>
              </w:rPr>
            </w:pPr>
            <w:r w:rsidRPr="00C3115F">
              <w:rPr>
                <w:rFonts w:ascii="Arial" w:hAnsi="Arial" w:cs="Arial"/>
                <w:b/>
                <w:sz w:val="22"/>
                <w:szCs w:val="22"/>
              </w:rPr>
              <w:t>Revenues</w:t>
            </w:r>
          </w:p>
        </w:tc>
        <w:tc>
          <w:tcPr>
            <w:tcW w:w="161" w:type="dxa"/>
            <w:tcBorders>
              <w:top w:val="single" w:sz="12" w:space="0" w:color="auto"/>
              <w:left w:val="nil"/>
              <w:bottom w:val="nil"/>
              <w:right w:val="nil"/>
            </w:tcBorders>
          </w:tcPr>
          <w:p w14:paraId="54A62A2C" w14:textId="6FBC42CB" w:rsidR="00D566D0" w:rsidRPr="00C3115F" w:rsidRDefault="00D566D0" w:rsidP="008A5CF4">
            <w:pPr>
              <w:rPr>
                <w:rFonts w:ascii="Arial" w:hAnsi="Arial" w:cs="Arial"/>
                <w:b/>
                <w:sz w:val="22"/>
                <w:szCs w:val="22"/>
              </w:rPr>
            </w:pPr>
          </w:p>
        </w:tc>
        <w:tc>
          <w:tcPr>
            <w:tcW w:w="896" w:type="dxa"/>
            <w:tcBorders>
              <w:top w:val="single" w:sz="12" w:space="0" w:color="auto"/>
              <w:left w:val="nil"/>
              <w:bottom w:val="single" w:sz="2" w:space="0" w:color="auto"/>
              <w:right w:val="nil"/>
            </w:tcBorders>
            <w:vAlign w:val="center"/>
          </w:tcPr>
          <w:p w14:paraId="05ACC489" w14:textId="31773FEB" w:rsidR="00D566D0" w:rsidRPr="00C3115F" w:rsidRDefault="00D566D0" w:rsidP="0063060C">
            <w:pPr>
              <w:jc w:val="center"/>
              <w:rPr>
                <w:rFonts w:ascii="Arial" w:hAnsi="Arial" w:cs="Arial"/>
                <w:b/>
                <w:sz w:val="22"/>
                <w:szCs w:val="22"/>
              </w:rPr>
            </w:pPr>
            <w:r w:rsidRPr="00C3115F">
              <w:rPr>
                <w:rFonts w:ascii="Arial" w:hAnsi="Arial" w:cs="Arial"/>
                <w:b/>
                <w:sz w:val="22"/>
                <w:szCs w:val="22"/>
              </w:rPr>
              <w:t>FTEs</w:t>
            </w:r>
          </w:p>
        </w:tc>
        <w:tc>
          <w:tcPr>
            <w:tcW w:w="196" w:type="dxa"/>
            <w:tcBorders>
              <w:top w:val="single" w:sz="12" w:space="0" w:color="auto"/>
              <w:left w:val="nil"/>
              <w:bottom w:val="nil"/>
              <w:right w:val="nil"/>
            </w:tcBorders>
          </w:tcPr>
          <w:p w14:paraId="4FFC7A7C" w14:textId="77777777" w:rsidR="00D566D0" w:rsidRPr="00C3115F" w:rsidRDefault="00D566D0" w:rsidP="008A5CF4">
            <w:pPr>
              <w:jc w:val="center"/>
              <w:rPr>
                <w:rFonts w:ascii="Arial" w:hAnsi="Arial" w:cs="Arial"/>
                <w:b/>
                <w:sz w:val="22"/>
                <w:szCs w:val="22"/>
              </w:rPr>
            </w:pPr>
          </w:p>
        </w:tc>
        <w:tc>
          <w:tcPr>
            <w:tcW w:w="932" w:type="dxa"/>
            <w:gridSpan w:val="2"/>
            <w:tcBorders>
              <w:top w:val="single" w:sz="12" w:space="0" w:color="auto"/>
              <w:left w:val="nil"/>
              <w:bottom w:val="single" w:sz="2" w:space="0" w:color="auto"/>
              <w:right w:val="single" w:sz="2" w:space="0" w:color="FFFFFF" w:themeColor="background1"/>
            </w:tcBorders>
            <w:vAlign w:val="center"/>
          </w:tcPr>
          <w:p w14:paraId="23F3C229" w14:textId="5E2587EA" w:rsidR="00D566D0" w:rsidRPr="00C3115F" w:rsidRDefault="00D566D0" w:rsidP="008A5CF4">
            <w:pPr>
              <w:jc w:val="center"/>
              <w:rPr>
                <w:rFonts w:ascii="Arial" w:hAnsi="Arial" w:cs="Arial"/>
                <w:b/>
                <w:sz w:val="22"/>
                <w:szCs w:val="22"/>
              </w:rPr>
            </w:pPr>
            <w:r w:rsidRPr="00C3115F">
              <w:rPr>
                <w:rFonts w:ascii="Arial" w:hAnsi="Arial" w:cs="Arial"/>
                <w:b/>
                <w:sz w:val="22"/>
                <w:szCs w:val="22"/>
              </w:rPr>
              <w:t>TLTs</w:t>
            </w:r>
          </w:p>
        </w:tc>
      </w:tr>
      <w:tr w:rsidR="00B40E00" w:rsidRPr="00B0053A" w14:paraId="2F9A4CD3" w14:textId="77777777" w:rsidTr="00F51092">
        <w:trPr>
          <w:cantSplit/>
          <w:jc w:val="center"/>
        </w:trPr>
        <w:tc>
          <w:tcPr>
            <w:tcW w:w="3840" w:type="dxa"/>
            <w:tcBorders>
              <w:left w:val="nil"/>
              <w:bottom w:val="nil"/>
              <w:right w:val="nil"/>
            </w:tcBorders>
            <w:tcMar>
              <w:top w:w="72" w:type="dxa"/>
              <w:left w:w="115" w:type="dxa"/>
              <w:bottom w:w="72" w:type="dxa"/>
              <w:right w:w="115" w:type="dxa"/>
            </w:tcMar>
          </w:tcPr>
          <w:p w14:paraId="30A89E3F" w14:textId="2C04A51E" w:rsidR="009A5126" w:rsidRPr="00C3115F" w:rsidRDefault="009A5126" w:rsidP="009A5126">
            <w:pPr>
              <w:rPr>
                <w:rFonts w:ascii="Arial" w:hAnsi="Arial" w:cs="Arial"/>
                <w:sz w:val="22"/>
                <w:szCs w:val="22"/>
              </w:rPr>
            </w:pPr>
            <w:r w:rsidRPr="00C3115F">
              <w:rPr>
                <w:rFonts w:ascii="Arial" w:hAnsi="Arial" w:cs="Arial"/>
                <w:sz w:val="22"/>
                <w:szCs w:val="22"/>
              </w:rPr>
              <w:t>20</w:t>
            </w:r>
            <w:r w:rsidR="001F39C9" w:rsidRPr="00C3115F">
              <w:rPr>
                <w:rFonts w:ascii="Arial" w:hAnsi="Arial" w:cs="Arial"/>
                <w:sz w:val="22"/>
                <w:szCs w:val="22"/>
              </w:rPr>
              <w:t>21</w:t>
            </w:r>
            <w:r w:rsidRPr="00C3115F">
              <w:rPr>
                <w:rFonts w:ascii="Arial" w:hAnsi="Arial" w:cs="Arial"/>
                <w:sz w:val="22"/>
                <w:szCs w:val="22"/>
              </w:rPr>
              <w:t>-202</w:t>
            </w:r>
            <w:r w:rsidR="001F39C9" w:rsidRPr="00C3115F">
              <w:rPr>
                <w:rFonts w:ascii="Arial" w:hAnsi="Arial" w:cs="Arial"/>
                <w:sz w:val="22"/>
                <w:szCs w:val="22"/>
              </w:rPr>
              <w:t>2</w:t>
            </w:r>
            <w:r w:rsidRPr="00C3115F">
              <w:rPr>
                <w:rFonts w:ascii="Arial" w:hAnsi="Arial" w:cs="Arial"/>
                <w:sz w:val="22"/>
                <w:szCs w:val="22"/>
              </w:rPr>
              <w:t xml:space="preserve"> Revised Budget</w:t>
            </w:r>
          </w:p>
        </w:tc>
        <w:tc>
          <w:tcPr>
            <w:tcW w:w="180" w:type="dxa"/>
            <w:tcBorders>
              <w:top w:val="nil"/>
              <w:left w:val="nil"/>
              <w:bottom w:val="nil"/>
              <w:right w:val="nil"/>
            </w:tcBorders>
          </w:tcPr>
          <w:p w14:paraId="5395F1E7" w14:textId="77777777" w:rsidR="009A5126" w:rsidRPr="00C3115F" w:rsidRDefault="009A5126" w:rsidP="009A5126">
            <w:pPr>
              <w:jc w:val="right"/>
              <w:rPr>
                <w:rFonts w:ascii="Arial" w:hAnsi="Arial" w:cs="Arial"/>
                <w:sz w:val="22"/>
                <w:szCs w:val="22"/>
              </w:rPr>
            </w:pPr>
          </w:p>
        </w:tc>
        <w:tc>
          <w:tcPr>
            <w:tcW w:w="1596" w:type="dxa"/>
            <w:tcBorders>
              <w:left w:val="nil"/>
              <w:bottom w:val="nil"/>
              <w:right w:val="nil"/>
            </w:tcBorders>
          </w:tcPr>
          <w:p w14:paraId="3A6E1983" w14:textId="324313E4" w:rsidR="009A5126" w:rsidRPr="00C3115F" w:rsidRDefault="009A5126" w:rsidP="009A5126">
            <w:pPr>
              <w:jc w:val="right"/>
              <w:rPr>
                <w:rFonts w:ascii="Arial" w:hAnsi="Arial" w:cs="Arial"/>
                <w:sz w:val="22"/>
                <w:szCs w:val="22"/>
              </w:rPr>
            </w:pPr>
            <w:r w:rsidRPr="00C3115F">
              <w:rPr>
                <w:rFonts w:ascii="Arial" w:hAnsi="Arial" w:cs="Arial"/>
                <w:sz w:val="22"/>
                <w:szCs w:val="22"/>
              </w:rPr>
              <w:t>$</w:t>
            </w:r>
            <w:r w:rsidR="00213A0F" w:rsidRPr="00C3115F">
              <w:rPr>
                <w:rFonts w:ascii="Arial" w:hAnsi="Arial" w:cs="Arial"/>
                <w:sz w:val="22"/>
                <w:szCs w:val="22"/>
              </w:rPr>
              <w:t>89,366,700</w:t>
            </w:r>
          </w:p>
        </w:tc>
        <w:tc>
          <w:tcPr>
            <w:tcW w:w="165" w:type="dxa"/>
            <w:tcBorders>
              <w:top w:val="nil"/>
              <w:left w:val="nil"/>
              <w:bottom w:val="nil"/>
              <w:right w:val="nil"/>
            </w:tcBorders>
          </w:tcPr>
          <w:p w14:paraId="4FCBAB7B" w14:textId="50471FA6" w:rsidR="009A5126" w:rsidRPr="00C3115F" w:rsidRDefault="009A5126" w:rsidP="009A5126">
            <w:pPr>
              <w:jc w:val="right"/>
              <w:rPr>
                <w:rFonts w:ascii="Arial" w:hAnsi="Arial" w:cs="Arial"/>
                <w:sz w:val="22"/>
                <w:szCs w:val="22"/>
              </w:rPr>
            </w:pPr>
          </w:p>
        </w:tc>
        <w:tc>
          <w:tcPr>
            <w:tcW w:w="1514" w:type="dxa"/>
            <w:tcBorders>
              <w:top w:val="single" w:sz="2" w:space="0" w:color="auto"/>
              <w:left w:val="nil"/>
              <w:bottom w:val="nil"/>
              <w:right w:val="nil"/>
            </w:tcBorders>
            <w:tcMar>
              <w:top w:w="72" w:type="dxa"/>
              <w:bottom w:w="72" w:type="dxa"/>
            </w:tcMar>
          </w:tcPr>
          <w:p w14:paraId="01A9110B" w14:textId="525EE094" w:rsidR="009A5126" w:rsidRPr="00C3115F" w:rsidRDefault="009A5126" w:rsidP="009A5126">
            <w:pPr>
              <w:jc w:val="right"/>
              <w:rPr>
                <w:rFonts w:ascii="Arial" w:hAnsi="Arial" w:cs="Arial"/>
                <w:sz w:val="22"/>
                <w:szCs w:val="22"/>
              </w:rPr>
            </w:pPr>
            <w:r w:rsidRPr="00C3115F">
              <w:rPr>
                <w:rFonts w:ascii="Arial" w:hAnsi="Arial" w:cs="Arial"/>
                <w:sz w:val="22"/>
                <w:szCs w:val="22"/>
              </w:rPr>
              <w:t>$</w:t>
            </w:r>
            <w:r w:rsidR="00213A0F" w:rsidRPr="00C3115F">
              <w:rPr>
                <w:rFonts w:ascii="Arial" w:hAnsi="Arial" w:cs="Arial"/>
                <w:sz w:val="22"/>
                <w:szCs w:val="22"/>
              </w:rPr>
              <w:t>86,873,918</w:t>
            </w:r>
          </w:p>
        </w:tc>
        <w:tc>
          <w:tcPr>
            <w:tcW w:w="161" w:type="dxa"/>
            <w:tcBorders>
              <w:top w:val="nil"/>
              <w:left w:val="nil"/>
              <w:bottom w:val="nil"/>
              <w:right w:val="nil"/>
            </w:tcBorders>
          </w:tcPr>
          <w:p w14:paraId="4DFF88B8" w14:textId="225208E8" w:rsidR="009A5126" w:rsidRPr="00C3115F" w:rsidRDefault="009A5126" w:rsidP="009A5126">
            <w:pPr>
              <w:jc w:val="right"/>
              <w:rPr>
                <w:rFonts w:ascii="Arial" w:hAnsi="Arial" w:cs="Arial"/>
                <w:sz w:val="22"/>
                <w:szCs w:val="22"/>
              </w:rPr>
            </w:pPr>
          </w:p>
        </w:tc>
        <w:tc>
          <w:tcPr>
            <w:tcW w:w="896" w:type="dxa"/>
            <w:tcBorders>
              <w:top w:val="single" w:sz="2" w:space="0" w:color="auto"/>
              <w:left w:val="nil"/>
              <w:bottom w:val="nil"/>
              <w:right w:val="nil"/>
            </w:tcBorders>
            <w:tcMar>
              <w:top w:w="72" w:type="dxa"/>
              <w:bottom w:w="72" w:type="dxa"/>
            </w:tcMar>
          </w:tcPr>
          <w:p w14:paraId="5F2CDDC0" w14:textId="56D7DAF9" w:rsidR="009A5126" w:rsidRPr="00C3115F" w:rsidRDefault="00B0053A" w:rsidP="009A5126">
            <w:pPr>
              <w:jc w:val="right"/>
              <w:rPr>
                <w:rFonts w:ascii="Arial" w:hAnsi="Arial" w:cs="Arial"/>
                <w:sz w:val="22"/>
                <w:szCs w:val="22"/>
              </w:rPr>
            </w:pPr>
            <w:r w:rsidRPr="00C3115F">
              <w:rPr>
                <w:rFonts w:ascii="Arial" w:hAnsi="Arial" w:cs="Arial"/>
                <w:sz w:val="22"/>
                <w:szCs w:val="22"/>
              </w:rPr>
              <w:t>128</w:t>
            </w:r>
            <w:r w:rsidR="009A5126" w:rsidRPr="00C3115F">
              <w:rPr>
                <w:rFonts w:ascii="Arial" w:hAnsi="Arial" w:cs="Arial"/>
                <w:sz w:val="22"/>
                <w:szCs w:val="22"/>
              </w:rPr>
              <w:t>.0</w:t>
            </w:r>
          </w:p>
        </w:tc>
        <w:tc>
          <w:tcPr>
            <w:tcW w:w="196" w:type="dxa"/>
            <w:tcBorders>
              <w:top w:val="nil"/>
              <w:left w:val="nil"/>
              <w:bottom w:val="nil"/>
              <w:right w:val="nil"/>
            </w:tcBorders>
          </w:tcPr>
          <w:p w14:paraId="5743EB10" w14:textId="77777777" w:rsidR="009A5126" w:rsidRPr="00C3115F" w:rsidRDefault="009A5126" w:rsidP="009A5126">
            <w:pPr>
              <w:jc w:val="right"/>
              <w:rPr>
                <w:rFonts w:ascii="Arial" w:hAnsi="Arial" w:cs="Arial"/>
                <w:sz w:val="22"/>
                <w:szCs w:val="22"/>
              </w:rPr>
            </w:pPr>
          </w:p>
        </w:tc>
        <w:tc>
          <w:tcPr>
            <w:tcW w:w="932" w:type="dxa"/>
            <w:gridSpan w:val="2"/>
            <w:tcBorders>
              <w:top w:val="single" w:sz="2" w:space="0" w:color="auto"/>
              <w:left w:val="nil"/>
              <w:bottom w:val="nil"/>
              <w:right w:val="single" w:sz="2" w:space="0" w:color="FFFFFF" w:themeColor="background1"/>
            </w:tcBorders>
            <w:tcMar>
              <w:top w:w="72" w:type="dxa"/>
              <w:left w:w="115" w:type="dxa"/>
              <w:bottom w:w="72" w:type="dxa"/>
              <w:right w:w="115" w:type="dxa"/>
            </w:tcMar>
          </w:tcPr>
          <w:p w14:paraId="639D9642" w14:textId="5FA2827F" w:rsidR="009A5126" w:rsidRPr="00C3115F" w:rsidRDefault="00B0053A" w:rsidP="009A5126">
            <w:pPr>
              <w:jc w:val="right"/>
              <w:rPr>
                <w:rFonts w:ascii="Arial" w:hAnsi="Arial" w:cs="Arial"/>
                <w:sz w:val="22"/>
                <w:szCs w:val="22"/>
              </w:rPr>
            </w:pPr>
            <w:r w:rsidRPr="00C3115F">
              <w:rPr>
                <w:rFonts w:ascii="Arial" w:hAnsi="Arial" w:cs="Arial"/>
                <w:sz w:val="22"/>
                <w:szCs w:val="22"/>
              </w:rPr>
              <w:t>11</w:t>
            </w:r>
            <w:r w:rsidR="009A5126" w:rsidRPr="00C3115F">
              <w:rPr>
                <w:rFonts w:ascii="Arial" w:hAnsi="Arial" w:cs="Arial"/>
                <w:sz w:val="22"/>
                <w:szCs w:val="22"/>
              </w:rPr>
              <w:t>.0</w:t>
            </w:r>
          </w:p>
        </w:tc>
      </w:tr>
      <w:tr w:rsidR="00B40E00" w:rsidRPr="00B0053A" w14:paraId="774D22F3" w14:textId="77777777" w:rsidTr="00F51092">
        <w:trPr>
          <w:cantSplit/>
          <w:trHeight w:val="216"/>
          <w:jc w:val="center"/>
        </w:trPr>
        <w:tc>
          <w:tcPr>
            <w:tcW w:w="3840" w:type="dxa"/>
            <w:tcBorders>
              <w:top w:val="nil"/>
              <w:left w:val="nil"/>
              <w:bottom w:val="nil"/>
              <w:right w:val="nil"/>
            </w:tcBorders>
            <w:tcMar>
              <w:top w:w="72" w:type="dxa"/>
              <w:left w:w="115" w:type="dxa"/>
              <w:bottom w:w="72" w:type="dxa"/>
              <w:right w:w="115" w:type="dxa"/>
            </w:tcMar>
          </w:tcPr>
          <w:p w14:paraId="4D82153D" w14:textId="7710B9A8" w:rsidR="009A5126" w:rsidRPr="00C3115F" w:rsidRDefault="009A5126" w:rsidP="009A5126">
            <w:pPr>
              <w:ind w:left="240"/>
              <w:rPr>
                <w:rFonts w:ascii="Arial" w:hAnsi="Arial" w:cs="Arial"/>
                <w:sz w:val="22"/>
                <w:szCs w:val="22"/>
              </w:rPr>
            </w:pPr>
            <w:r w:rsidRPr="00C3115F">
              <w:rPr>
                <w:rFonts w:ascii="Arial" w:hAnsi="Arial" w:cs="Arial"/>
                <w:sz w:val="22"/>
                <w:szCs w:val="22"/>
              </w:rPr>
              <w:t>20</w:t>
            </w:r>
            <w:r w:rsidR="001F39C9" w:rsidRPr="00C3115F">
              <w:rPr>
                <w:rFonts w:ascii="Arial" w:hAnsi="Arial" w:cs="Arial"/>
                <w:sz w:val="22"/>
                <w:szCs w:val="22"/>
              </w:rPr>
              <w:t>23</w:t>
            </w:r>
            <w:r w:rsidRPr="00C3115F">
              <w:rPr>
                <w:rFonts w:ascii="Arial" w:hAnsi="Arial" w:cs="Arial"/>
                <w:sz w:val="22"/>
                <w:szCs w:val="22"/>
              </w:rPr>
              <w:t>-202</w:t>
            </w:r>
            <w:r w:rsidR="001F39C9" w:rsidRPr="00C3115F">
              <w:rPr>
                <w:rFonts w:ascii="Arial" w:hAnsi="Arial" w:cs="Arial"/>
                <w:sz w:val="22"/>
                <w:szCs w:val="22"/>
              </w:rPr>
              <w:t>4</w:t>
            </w:r>
            <w:r w:rsidRPr="00C3115F">
              <w:rPr>
                <w:rFonts w:ascii="Arial" w:hAnsi="Arial" w:cs="Arial"/>
                <w:sz w:val="22"/>
                <w:szCs w:val="22"/>
              </w:rPr>
              <w:t xml:space="preserve"> Base Budget</w:t>
            </w:r>
            <w:r w:rsidR="00F51092" w:rsidRPr="00C3115F">
              <w:rPr>
                <w:rFonts w:ascii="Arial" w:hAnsi="Arial" w:cs="Arial"/>
                <w:sz w:val="22"/>
                <w:szCs w:val="22"/>
              </w:rPr>
              <w:t xml:space="preserve"> Adjust.</w:t>
            </w:r>
          </w:p>
        </w:tc>
        <w:tc>
          <w:tcPr>
            <w:tcW w:w="180" w:type="dxa"/>
            <w:tcBorders>
              <w:top w:val="nil"/>
              <w:left w:val="nil"/>
              <w:bottom w:val="nil"/>
              <w:right w:val="nil"/>
            </w:tcBorders>
          </w:tcPr>
          <w:p w14:paraId="6D59484A" w14:textId="122F491C" w:rsidR="009A5126" w:rsidRPr="00C3115F" w:rsidRDefault="009A5126" w:rsidP="009A5126">
            <w:pPr>
              <w:jc w:val="right"/>
              <w:rPr>
                <w:rFonts w:ascii="Arial" w:hAnsi="Arial" w:cs="Arial"/>
                <w:sz w:val="22"/>
                <w:szCs w:val="22"/>
              </w:rPr>
            </w:pPr>
          </w:p>
        </w:tc>
        <w:tc>
          <w:tcPr>
            <w:tcW w:w="1596" w:type="dxa"/>
            <w:tcBorders>
              <w:top w:val="nil"/>
              <w:left w:val="nil"/>
              <w:bottom w:val="nil"/>
              <w:right w:val="nil"/>
            </w:tcBorders>
          </w:tcPr>
          <w:p w14:paraId="153739B1" w14:textId="1CDA63F0" w:rsidR="009A5126" w:rsidRPr="00C3115F" w:rsidRDefault="00D854CA" w:rsidP="009A5126">
            <w:pPr>
              <w:jc w:val="right"/>
              <w:rPr>
                <w:rFonts w:ascii="Arial" w:hAnsi="Arial" w:cs="Arial"/>
                <w:sz w:val="22"/>
                <w:szCs w:val="22"/>
              </w:rPr>
            </w:pPr>
            <w:r w:rsidRPr="00C3115F">
              <w:rPr>
                <w:rFonts w:ascii="Arial" w:hAnsi="Arial" w:cs="Arial"/>
                <w:sz w:val="22"/>
                <w:szCs w:val="22"/>
              </w:rPr>
              <w:t>(</w:t>
            </w:r>
            <w:r w:rsidR="002C7F90" w:rsidRPr="00C3115F">
              <w:rPr>
                <w:rFonts w:ascii="Arial" w:hAnsi="Arial" w:cs="Arial"/>
                <w:sz w:val="22"/>
                <w:szCs w:val="22"/>
              </w:rPr>
              <w:t>$</w:t>
            </w:r>
            <w:r w:rsidRPr="00C3115F">
              <w:rPr>
                <w:rFonts w:ascii="Arial" w:hAnsi="Arial" w:cs="Arial"/>
                <w:sz w:val="22"/>
                <w:szCs w:val="22"/>
              </w:rPr>
              <w:t>2,412,892)</w:t>
            </w:r>
          </w:p>
        </w:tc>
        <w:tc>
          <w:tcPr>
            <w:tcW w:w="165" w:type="dxa"/>
            <w:tcBorders>
              <w:top w:val="nil"/>
              <w:left w:val="nil"/>
              <w:bottom w:val="nil"/>
              <w:right w:val="nil"/>
            </w:tcBorders>
          </w:tcPr>
          <w:p w14:paraId="1275B628" w14:textId="7406A1B1" w:rsidR="009A5126" w:rsidRPr="00C3115F" w:rsidRDefault="009A5126" w:rsidP="009A5126">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1ECE2542" w14:textId="09F9C04C" w:rsidR="009A5126" w:rsidRPr="00C3115F" w:rsidRDefault="008E7755" w:rsidP="009A5126">
            <w:pPr>
              <w:jc w:val="right"/>
              <w:rPr>
                <w:rFonts w:ascii="Arial" w:hAnsi="Arial" w:cs="Arial"/>
                <w:sz w:val="22"/>
                <w:szCs w:val="22"/>
              </w:rPr>
            </w:pPr>
            <w:r w:rsidRPr="00C3115F">
              <w:rPr>
                <w:rFonts w:ascii="Arial" w:hAnsi="Arial" w:cs="Arial"/>
                <w:sz w:val="22"/>
                <w:szCs w:val="22"/>
              </w:rPr>
              <w:t>(</w:t>
            </w:r>
            <w:r w:rsidR="009A5126" w:rsidRPr="00C3115F">
              <w:rPr>
                <w:rFonts w:ascii="Arial" w:hAnsi="Arial" w:cs="Arial"/>
                <w:sz w:val="22"/>
                <w:szCs w:val="22"/>
              </w:rPr>
              <w:t>$</w:t>
            </w:r>
            <w:r w:rsidR="00D854CA" w:rsidRPr="00C3115F">
              <w:rPr>
                <w:rFonts w:ascii="Arial" w:hAnsi="Arial" w:cs="Arial"/>
                <w:sz w:val="22"/>
                <w:szCs w:val="22"/>
              </w:rPr>
              <w:t>102,138)</w:t>
            </w:r>
          </w:p>
        </w:tc>
        <w:tc>
          <w:tcPr>
            <w:tcW w:w="161" w:type="dxa"/>
            <w:tcBorders>
              <w:top w:val="nil"/>
              <w:left w:val="nil"/>
              <w:bottom w:val="nil"/>
              <w:right w:val="nil"/>
            </w:tcBorders>
          </w:tcPr>
          <w:p w14:paraId="657812B7" w14:textId="77777777" w:rsidR="009A5126" w:rsidRPr="00C3115F" w:rsidRDefault="009A5126" w:rsidP="009A5126">
            <w:pPr>
              <w:jc w:val="right"/>
              <w:rPr>
                <w:rFonts w:ascii="Arial" w:hAnsi="Arial" w:cs="Arial"/>
                <w:sz w:val="22"/>
                <w:szCs w:val="22"/>
              </w:rPr>
            </w:pPr>
          </w:p>
        </w:tc>
        <w:tc>
          <w:tcPr>
            <w:tcW w:w="896" w:type="dxa"/>
            <w:tcBorders>
              <w:top w:val="nil"/>
              <w:left w:val="nil"/>
              <w:bottom w:val="nil"/>
              <w:right w:val="nil"/>
            </w:tcBorders>
            <w:tcMar>
              <w:top w:w="72" w:type="dxa"/>
              <w:bottom w:w="72" w:type="dxa"/>
            </w:tcMar>
          </w:tcPr>
          <w:p w14:paraId="4A72EA18" w14:textId="00C68866" w:rsidR="009A5126" w:rsidRPr="00C3115F" w:rsidRDefault="009A5126" w:rsidP="009A5126">
            <w:pPr>
              <w:jc w:val="right"/>
              <w:rPr>
                <w:rFonts w:ascii="Arial" w:hAnsi="Arial" w:cs="Arial"/>
                <w:sz w:val="22"/>
                <w:szCs w:val="22"/>
              </w:rPr>
            </w:pPr>
            <w:r w:rsidRPr="00C3115F">
              <w:rPr>
                <w:rFonts w:ascii="Arial" w:hAnsi="Arial" w:cs="Arial"/>
                <w:sz w:val="22"/>
                <w:szCs w:val="22"/>
              </w:rPr>
              <w:t>0.0</w:t>
            </w:r>
          </w:p>
        </w:tc>
        <w:tc>
          <w:tcPr>
            <w:tcW w:w="196" w:type="dxa"/>
            <w:tcBorders>
              <w:top w:val="nil"/>
              <w:left w:val="nil"/>
              <w:bottom w:val="nil"/>
              <w:right w:val="nil"/>
            </w:tcBorders>
          </w:tcPr>
          <w:p w14:paraId="358B7EF9" w14:textId="77777777" w:rsidR="009A5126" w:rsidRPr="00C3115F" w:rsidRDefault="009A5126" w:rsidP="009A5126">
            <w:pPr>
              <w:jc w:val="right"/>
              <w:rPr>
                <w:rFonts w:ascii="Arial" w:hAnsi="Arial" w:cs="Arial"/>
                <w:sz w:val="22"/>
                <w:szCs w:val="22"/>
              </w:rPr>
            </w:pPr>
          </w:p>
        </w:tc>
        <w:tc>
          <w:tcPr>
            <w:tcW w:w="932" w:type="dxa"/>
            <w:gridSpan w:val="2"/>
            <w:tcBorders>
              <w:top w:val="nil"/>
              <w:left w:val="nil"/>
              <w:bottom w:val="nil"/>
              <w:right w:val="single" w:sz="2" w:space="0" w:color="FFFFFF" w:themeColor="background1"/>
            </w:tcBorders>
            <w:tcMar>
              <w:top w:w="72" w:type="dxa"/>
              <w:left w:w="115" w:type="dxa"/>
              <w:bottom w:w="72" w:type="dxa"/>
              <w:right w:w="115" w:type="dxa"/>
            </w:tcMar>
          </w:tcPr>
          <w:p w14:paraId="4392F1A5" w14:textId="2BC821B6" w:rsidR="009A5126" w:rsidRPr="00C3115F" w:rsidRDefault="00B0053A" w:rsidP="008E7755">
            <w:pPr>
              <w:jc w:val="right"/>
              <w:rPr>
                <w:rFonts w:ascii="Arial" w:hAnsi="Arial" w:cs="Arial"/>
                <w:sz w:val="22"/>
                <w:szCs w:val="22"/>
              </w:rPr>
            </w:pPr>
            <w:r w:rsidRPr="00C3115F">
              <w:rPr>
                <w:rFonts w:ascii="Arial" w:hAnsi="Arial" w:cs="Arial"/>
                <w:sz w:val="22"/>
                <w:szCs w:val="22"/>
              </w:rPr>
              <w:t>(6</w:t>
            </w:r>
            <w:r w:rsidR="009A5126" w:rsidRPr="00C3115F">
              <w:rPr>
                <w:rFonts w:ascii="Arial" w:hAnsi="Arial" w:cs="Arial"/>
                <w:sz w:val="22"/>
                <w:szCs w:val="22"/>
              </w:rPr>
              <w:t>.0</w:t>
            </w:r>
            <w:r w:rsidRPr="00C3115F">
              <w:rPr>
                <w:rFonts w:ascii="Arial" w:hAnsi="Arial" w:cs="Arial"/>
                <w:sz w:val="22"/>
                <w:szCs w:val="22"/>
              </w:rPr>
              <w:t>)</w:t>
            </w:r>
          </w:p>
        </w:tc>
      </w:tr>
      <w:tr w:rsidR="00B40E00" w:rsidRPr="00B0053A" w14:paraId="79518FD7" w14:textId="77777777" w:rsidTr="00F51092">
        <w:trPr>
          <w:cantSplit/>
          <w:trHeight w:val="369"/>
          <w:jc w:val="center"/>
        </w:trPr>
        <w:tc>
          <w:tcPr>
            <w:tcW w:w="3840" w:type="dxa"/>
            <w:tcBorders>
              <w:top w:val="nil"/>
              <w:left w:val="nil"/>
              <w:bottom w:val="nil"/>
              <w:right w:val="nil"/>
            </w:tcBorders>
            <w:tcMar>
              <w:top w:w="72" w:type="dxa"/>
              <w:left w:w="115" w:type="dxa"/>
              <w:bottom w:w="72" w:type="dxa"/>
              <w:right w:w="115" w:type="dxa"/>
            </w:tcMar>
          </w:tcPr>
          <w:p w14:paraId="6542C693" w14:textId="6A534857" w:rsidR="009A5126" w:rsidRPr="00C3115F" w:rsidRDefault="009A5126" w:rsidP="009A5126">
            <w:pPr>
              <w:ind w:left="240"/>
              <w:rPr>
                <w:rFonts w:ascii="Arial" w:hAnsi="Arial" w:cs="Arial"/>
                <w:sz w:val="22"/>
                <w:szCs w:val="22"/>
              </w:rPr>
            </w:pPr>
            <w:r w:rsidRPr="00C3115F">
              <w:rPr>
                <w:rFonts w:ascii="Arial" w:hAnsi="Arial" w:cs="Arial"/>
                <w:sz w:val="22"/>
                <w:szCs w:val="22"/>
              </w:rPr>
              <w:t>202</w:t>
            </w:r>
            <w:r w:rsidR="001F39C9" w:rsidRPr="00C3115F">
              <w:rPr>
                <w:rFonts w:ascii="Arial" w:hAnsi="Arial" w:cs="Arial"/>
                <w:sz w:val="22"/>
                <w:szCs w:val="22"/>
              </w:rPr>
              <w:t>3</w:t>
            </w:r>
            <w:r w:rsidRPr="00C3115F">
              <w:rPr>
                <w:rFonts w:ascii="Arial" w:hAnsi="Arial" w:cs="Arial"/>
                <w:sz w:val="22"/>
                <w:szCs w:val="22"/>
              </w:rPr>
              <w:t>-20</w:t>
            </w:r>
            <w:r w:rsidR="001F39C9" w:rsidRPr="00C3115F">
              <w:rPr>
                <w:rFonts w:ascii="Arial" w:hAnsi="Arial" w:cs="Arial"/>
                <w:sz w:val="22"/>
                <w:szCs w:val="22"/>
              </w:rPr>
              <w:t>24</w:t>
            </w:r>
            <w:r w:rsidRPr="00C3115F">
              <w:rPr>
                <w:rFonts w:ascii="Arial" w:hAnsi="Arial" w:cs="Arial"/>
                <w:sz w:val="22"/>
                <w:szCs w:val="22"/>
              </w:rPr>
              <w:t xml:space="preserve"> Decision Packages</w:t>
            </w:r>
          </w:p>
        </w:tc>
        <w:tc>
          <w:tcPr>
            <w:tcW w:w="180" w:type="dxa"/>
            <w:tcBorders>
              <w:top w:val="nil"/>
              <w:left w:val="nil"/>
              <w:bottom w:val="nil"/>
              <w:right w:val="nil"/>
            </w:tcBorders>
          </w:tcPr>
          <w:p w14:paraId="50A07E4C" w14:textId="0E83589F" w:rsidR="009A5126" w:rsidRPr="00C3115F" w:rsidRDefault="009A5126" w:rsidP="009A5126">
            <w:pPr>
              <w:jc w:val="right"/>
              <w:rPr>
                <w:rFonts w:ascii="Arial" w:hAnsi="Arial" w:cs="Arial"/>
                <w:sz w:val="22"/>
                <w:szCs w:val="22"/>
              </w:rPr>
            </w:pPr>
          </w:p>
        </w:tc>
        <w:tc>
          <w:tcPr>
            <w:tcW w:w="1596" w:type="dxa"/>
            <w:tcBorders>
              <w:top w:val="nil"/>
              <w:left w:val="nil"/>
              <w:bottom w:val="nil"/>
              <w:right w:val="nil"/>
            </w:tcBorders>
          </w:tcPr>
          <w:p w14:paraId="381A02DA" w14:textId="680C1308" w:rsidR="009A5126" w:rsidRPr="00C3115F" w:rsidRDefault="002C7F90" w:rsidP="009A5126">
            <w:pPr>
              <w:jc w:val="right"/>
              <w:rPr>
                <w:rFonts w:ascii="Arial" w:hAnsi="Arial" w:cs="Arial"/>
                <w:sz w:val="22"/>
                <w:szCs w:val="22"/>
              </w:rPr>
            </w:pPr>
            <w:r w:rsidRPr="00C3115F">
              <w:rPr>
                <w:rFonts w:ascii="Arial" w:hAnsi="Arial" w:cs="Arial"/>
                <w:sz w:val="22"/>
                <w:szCs w:val="22"/>
              </w:rPr>
              <w:t>$</w:t>
            </w:r>
            <w:r w:rsidR="00D854CA" w:rsidRPr="00C3115F">
              <w:rPr>
                <w:rFonts w:ascii="Arial" w:hAnsi="Arial" w:cs="Arial"/>
                <w:sz w:val="22"/>
                <w:szCs w:val="22"/>
              </w:rPr>
              <w:t>6,506,797</w:t>
            </w:r>
          </w:p>
        </w:tc>
        <w:tc>
          <w:tcPr>
            <w:tcW w:w="165" w:type="dxa"/>
            <w:tcBorders>
              <w:top w:val="nil"/>
              <w:left w:val="nil"/>
              <w:bottom w:val="nil"/>
              <w:right w:val="nil"/>
            </w:tcBorders>
          </w:tcPr>
          <w:p w14:paraId="4DC8F0CF" w14:textId="45819607" w:rsidR="009A5126" w:rsidRPr="00C3115F" w:rsidRDefault="009A5126" w:rsidP="009A5126">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3AA812A7" w14:textId="11D65F20" w:rsidR="009A5126" w:rsidRPr="00C3115F" w:rsidRDefault="002C7F90" w:rsidP="009A5126">
            <w:pPr>
              <w:jc w:val="right"/>
              <w:rPr>
                <w:rFonts w:ascii="Arial" w:hAnsi="Arial" w:cs="Arial"/>
                <w:sz w:val="22"/>
                <w:szCs w:val="22"/>
              </w:rPr>
            </w:pPr>
            <w:r w:rsidRPr="00C3115F">
              <w:rPr>
                <w:rFonts w:ascii="Arial" w:hAnsi="Arial" w:cs="Arial"/>
                <w:sz w:val="22"/>
                <w:szCs w:val="22"/>
              </w:rPr>
              <w:t>$</w:t>
            </w:r>
            <w:r w:rsidR="00B0053A" w:rsidRPr="00C3115F">
              <w:rPr>
                <w:rFonts w:ascii="Arial" w:hAnsi="Arial" w:cs="Arial"/>
                <w:sz w:val="22"/>
                <w:szCs w:val="22"/>
              </w:rPr>
              <w:t>5,884,694</w:t>
            </w:r>
          </w:p>
        </w:tc>
        <w:tc>
          <w:tcPr>
            <w:tcW w:w="161" w:type="dxa"/>
            <w:tcBorders>
              <w:top w:val="nil"/>
              <w:left w:val="nil"/>
              <w:bottom w:val="nil"/>
              <w:right w:val="nil"/>
            </w:tcBorders>
          </w:tcPr>
          <w:p w14:paraId="5CE057A0" w14:textId="77777777" w:rsidR="009A5126" w:rsidRPr="00C3115F" w:rsidRDefault="009A5126" w:rsidP="009A5126">
            <w:pPr>
              <w:jc w:val="right"/>
              <w:rPr>
                <w:rFonts w:ascii="Arial" w:hAnsi="Arial" w:cs="Arial"/>
                <w:sz w:val="22"/>
                <w:szCs w:val="22"/>
              </w:rPr>
            </w:pPr>
          </w:p>
        </w:tc>
        <w:tc>
          <w:tcPr>
            <w:tcW w:w="896" w:type="dxa"/>
            <w:tcBorders>
              <w:top w:val="nil"/>
              <w:left w:val="nil"/>
              <w:bottom w:val="nil"/>
              <w:right w:val="nil"/>
            </w:tcBorders>
            <w:tcMar>
              <w:top w:w="72" w:type="dxa"/>
              <w:bottom w:w="72" w:type="dxa"/>
            </w:tcMar>
          </w:tcPr>
          <w:p w14:paraId="258E6F7E" w14:textId="2773273A" w:rsidR="009A5126" w:rsidRPr="00C3115F" w:rsidRDefault="00B0053A" w:rsidP="009A5126">
            <w:pPr>
              <w:jc w:val="right"/>
              <w:rPr>
                <w:rFonts w:ascii="Arial" w:hAnsi="Arial" w:cs="Arial"/>
                <w:sz w:val="22"/>
                <w:szCs w:val="22"/>
              </w:rPr>
            </w:pPr>
            <w:r w:rsidRPr="00C3115F">
              <w:rPr>
                <w:rFonts w:ascii="Arial" w:hAnsi="Arial" w:cs="Arial"/>
                <w:sz w:val="22"/>
                <w:szCs w:val="22"/>
              </w:rPr>
              <w:t>(30</w:t>
            </w:r>
            <w:r w:rsidR="009A5126" w:rsidRPr="00C3115F">
              <w:rPr>
                <w:rFonts w:ascii="Arial" w:hAnsi="Arial" w:cs="Arial"/>
                <w:sz w:val="22"/>
                <w:szCs w:val="22"/>
              </w:rPr>
              <w:t>.0</w:t>
            </w:r>
            <w:r w:rsidRPr="00C3115F">
              <w:rPr>
                <w:rFonts w:ascii="Arial" w:hAnsi="Arial" w:cs="Arial"/>
                <w:sz w:val="22"/>
                <w:szCs w:val="22"/>
              </w:rPr>
              <w:t>)</w:t>
            </w:r>
            <w:r w:rsidR="009A5126" w:rsidRPr="00C3115F">
              <w:rPr>
                <w:rFonts w:ascii="Arial" w:hAnsi="Arial" w:cs="Arial"/>
                <w:sz w:val="22"/>
                <w:szCs w:val="22"/>
              </w:rPr>
              <w:t xml:space="preserve"> </w:t>
            </w:r>
          </w:p>
        </w:tc>
        <w:tc>
          <w:tcPr>
            <w:tcW w:w="196" w:type="dxa"/>
            <w:tcBorders>
              <w:top w:val="nil"/>
              <w:left w:val="nil"/>
              <w:bottom w:val="nil"/>
              <w:right w:val="nil"/>
            </w:tcBorders>
          </w:tcPr>
          <w:p w14:paraId="6457EA7F" w14:textId="77777777" w:rsidR="009A5126" w:rsidRPr="00C3115F" w:rsidRDefault="009A5126" w:rsidP="009A5126">
            <w:pPr>
              <w:jc w:val="right"/>
              <w:rPr>
                <w:rFonts w:ascii="Arial" w:hAnsi="Arial" w:cs="Arial"/>
                <w:sz w:val="22"/>
                <w:szCs w:val="22"/>
              </w:rPr>
            </w:pPr>
          </w:p>
        </w:tc>
        <w:tc>
          <w:tcPr>
            <w:tcW w:w="932" w:type="dxa"/>
            <w:gridSpan w:val="2"/>
            <w:tcBorders>
              <w:top w:val="nil"/>
              <w:left w:val="nil"/>
              <w:bottom w:val="nil"/>
              <w:right w:val="single" w:sz="2" w:space="0" w:color="FFFFFF" w:themeColor="background1"/>
            </w:tcBorders>
            <w:tcMar>
              <w:top w:w="72" w:type="dxa"/>
              <w:left w:w="115" w:type="dxa"/>
              <w:bottom w:w="72" w:type="dxa"/>
              <w:right w:w="115" w:type="dxa"/>
            </w:tcMar>
          </w:tcPr>
          <w:p w14:paraId="1BCBED0B" w14:textId="57DCA6F9" w:rsidR="009A5126" w:rsidRPr="00C3115F" w:rsidRDefault="008E7755" w:rsidP="009A5126">
            <w:pPr>
              <w:jc w:val="right"/>
              <w:rPr>
                <w:rFonts w:ascii="Arial" w:hAnsi="Arial" w:cs="Arial"/>
                <w:sz w:val="22"/>
                <w:szCs w:val="22"/>
              </w:rPr>
            </w:pPr>
            <w:r w:rsidRPr="00C3115F">
              <w:rPr>
                <w:rFonts w:ascii="Arial" w:hAnsi="Arial" w:cs="Arial"/>
                <w:sz w:val="22"/>
                <w:szCs w:val="22"/>
              </w:rPr>
              <w:t>(</w:t>
            </w:r>
            <w:r w:rsidR="00B0053A" w:rsidRPr="00C3115F">
              <w:rPr>
                <w:rFonts w:ascii="Arial" w:hAnsi="Arial" w:cs="Arial"/>
                <w:sz w:val="22"/>
                <w:szCs w:val="22"/>
              </w:rPr>
              <w:t>2</w:t>
            </w:r>
            <w:r w:rsidR="009A5126" w:rsidRPr="00C3115F">
              <w:rPr>
                <w:rFonts w:ascii="Arial" w:hAnsi="Arial" w:cs="Arial"/>
                <w:sz w:val="22"/>
                <w:szCs w:val="22"/>
              </w:rPr>
              <w:t>.0</w:t>
            </w:r>
            <w:r w:rsidRPr="00C3115F">
              <w:rPr>
                <w:rFonts w:ascii="Arial" w:hAnsi="Arial" w:cs="Arial"/>
                <w:sz w:val="22"/>
                <w:szCs w:val="22"/>
              </w:rPr>
              <w:t>)</w:t>
            </w:r>
            <w:r w:rsidR="009A5126" w:rsidRPr="00C3115F">
              <w:rPr>
                <w:rFonts w:ascii="Arial" w:hAnsi="Arial" w:cs="Arial"/>
                <w:sz w:val="22"/>
                <w:szCs w:val="22"/>
              </w:rPr>
              <w:t xml:space="preserve"> </w:t>
            </w:r>
          </w:p>
        </w:tc>
      </w:tr>
      <w:tr w:rsidR="005D49A1" w:rsidRPr="008D0300" w14:paraId="25121A11" w14:textId="77777777" w:rsidTr="00F51092">
        <w:trPr>
          <w:cantSplit/>
          <w:jc w:val="center"/>
        </w:trPr>
        <w:tc>
          <w:tcPr>
            <w:tcW w:w="3840" w:type="dxa"/>
            <w:tcBorders>
              <w:top w:val="single" w:sz="4" w:space="0" w:color="auto"/>
              <w:left w:val="nil"/>
              <w:bottom w:val="nil"/>
              <w:right w:val="nil"/>
            </w:tcBorders>
            <w:tcMar>
              <w:top w:w="72" w:type="dxa"/>
              <w:left w:w="115" w:type="dxa"/>
              <w:bottom w:w="72" w:type="dxa"/>
              <w:right w:w="115" w:type="dxa"/>
            </w:tcMar>
          </w:tcPr>
          <w:p w14:paraId="3B2EBE11" w14:textId="630C3F42" w:rsidR="009A5126" w:rsidRPr="00C3115F" w:rsidRDefault="009A5126" w:rsidP="009A5126">
            <w:pPr>
              <w:rPr>
                <w:rFonts w:ascii="Arial" w:hAnsi="Arial" w:cs="Arial"/>
                <w:b/>
                <w:sz w:val="22"/>
                <w:szCs w:val="22"/>
              </w:rPr>
            </w:pPr>
            <w:r w:rsidRPr="00C3115F">
              <w:rPr>
                <w:rFonts w:ascii="Arial" w:hAnsi="Arial" w:cs="Arial"/>
                <w:b/>
                <w:sz w:val="22"/>
                <w:szCs w:val="22"/>
              </w:rPr>
              <w:t>202</w:t>
            </w:r>
            <w:r w:rsidR="001F39C9" w:rsidRPr="00C3115F">
              <w:rPr>
                <w:rFonts w:ascii="Arial" w:hAnsi="Arial" w:cs="Arial"/>
                <w:b/>
                <w:sz w:val="22"/>
                <w:szCs w:val="22"/>
              </w:rPr>
              <w:t>3</w:t>
            </w:r>
            <w:r w:rsidRPr="00C3115F">
              <w:rPr>
                <w:rFonts w:ascii="Arial" w:hAnsi="Arial" w:cs="Arial"/>
                <w:b/>
                <w:sz w:val="22"/>
                <w:szCs w:val="22"/>
              </w:rPr>
              <w:t>-202</w:t>
            </w:r>
            <w:r w:rsidR="001F39C9" w:rsidRPr="00C3115F">
              <w:rPr>
                <w:rFonts w:ascii="Arial" w:hAnsi="Arial" w:cs="Arial"/>
                <w:b/>
                <w:sz w:val="22"/>
                <w:szCs w:val="22"/>
              </w:rPr>
              <w:t>4</w:t>
            </w:r>
            <w:r w:rsidRPr="00C3115F">
              <w:rPr>
                <w:rFonts w:ascii="Arial" w:hAnsi="Arial" w:cs="Arial"/>
                <w:b/>
                <w:sz w:val="22"/>
                <w:szCs w:val="22"/>
              </w:rPr>
              <w:t xml:space="preserve"> Proposed Budget</w:t>
            </w:r>
          </w:p>
        </w:tc>
        <w:tc>
          <w:tcPr>
            <w:tcW w:w="180" w:type="dxa"/>
            <w:tcBorders>
              <w:top w:val="nil"/>
              <w:left w:val="nil"/>
              <w:bottom w:val="nil"/>
              <w:right w:val="nil"/>
            </w:tcBorders>
          </w:tcPr>
          <w:p w14:paraId="3D30E806" w14:textId="77777777" w:rsidR="009A5126" w:rsidRPr="00C3115F" w:rsidRDefault="009A5126" w:rsidP="009A5126">
            <w:pPr>
              <w:jc w:val="right"/>
              <w:rPr>
                <w:rFonts w:ascii="Arial" w:hAnsi="Arial" w:cs="Arial"/>
                <w:sz w:val="22"/>
                <w:szCs w:val="22"/>
              </w:rPr>
            </w:pPr>
          </w:p>
        </w:tc>
        <w:tc>
          <w:tcPr>
            <w:tcW w:w="1596" w:type="dxa"/>
            <w:tcBorders>
              <w:top w:val="single" w:sz="4" w:space="0" w:color="auto"/>
              <w:left w:val="nil"/>
              <w:bottom w:val="nil"/>
              <w:right w:val="nil"/>
            </w:tcBorders>
          </w:tcPr>
          <w:p w14:paraId="184215F5" w14:textId="40435E3D" w:rsidR="009A5126" w:rsidRPr="00C3115F" w:rsidRDefault="005D49A1" w:rsidP="009A5126">
            <w:pPr>
              <w:jc w:val="right"/>
              <w:rPr>
                <w:rFonts w:ascii="Arial" w:hAnsi="Arial" w:cs="Arial"/>
                <w:sz w:val="22"/>
                <w:szCs w:val="22"/>
              </w:rPr>
            </w:pPr>
            <w:r w:rsidRPr="00C3115F">
              <w:rPr>
                <w:rFonts w:ascii="Arial" w:hAnsi="Arial" w:cs="Arial"/>
                <w:b/>
                <w:sz w:val="22"/>
                <w:szCs w:val="22"/>
              </w:rPr>
              <w:t>$</w:t>
            </w:r>
            <w:r w:rsidR="00B0053A" w:rsidRPr="00C3115F">
              <w:rPr>
                <w:rFonts w:ascii="Arial" w:hAnsi="Arial" w:cs="Arial"/>
                <w:b/>
                <w:sz w:val="22"/>
                <w:szCs w:val="22"/>
              </w:rPr>
              <w:t>93,46</w:t>
            </w:r>
            <w:r w:rsidR="003F6C6C" w:rsidRPr="00C3115F">
              <w:rPr>
                <w:rFonts w:ascii="Arial" w:hAnsi="Arial" w:cs="Arial"/>
                <w:b/>
                <w:sz w:val="22"/>
                <w:szCs w:val="22"/>
              </w:rPr>
              <w:t>1</w:t>
            </w:r>
            <w:r w:rsidR="00B0053A" w:rsidRPr="00C3115F">
              <w:rPr>
                <w:rFonts w:ascii="Arial" w:hAnsi="Arial" w:cs="Arial"/>
                <w:b/>
                <w:sz w:val="22"/>
                <w:szCs w:val="22"/>
              </w:rPr>
              <w:t>,</w:t>
            </w:r>
            <w:r w:rsidR="003F6C6C" w:rsidRPr="00C3115F">
              <w:rPr>
                <w:rFonts w:ascii="Arial" w:hAnsi="Arial" w:cs="Arial"/>
                <w:b/>
                <w:sz w:val="22"/>
                <w:szCs w:val="22"/>
              </w:rPr>
              <w:t>000</w:t>
            </w:r>
          </w:p>
        </w:tc>
        <w:tc>
          <w:tcPr>
            <w:tcW w:w="165" w:type="dxa"/>
            <w:tcBorders>
              <w:top w:val="nil"/>
              <w:left w:val="nil"/>
              <w:bottom w:val="nil"/>
              <w:right w:val="nil"/>
            </w:tcBorders>
          </w:tcPr>
          <w:p w14:paraId="0B3E60C7" w14:textId="0663C95F" w:rsidR="009A5126" w:rsidRPr="00C3115F" w:rsidRDefault="009A5126" w:rsidP="009A5126">
            <w:pPr>
              <w:jc w:val="right"/>
              <w:rPr>
                <w:rFonts w:ascii="Arial" w:hAnsi="Arial" w:cs="Arial"/>
                <w:sz w:val="22"/>
                <w:szCs w:val="22"/>
              </w:rPr>
            </w:pPr>
          </w:p>
        </w:tc>
        <w:tc>
          <w:tcPr>
            <w:tcW w:w="1514" w:type="dxa"/>
            <w:tcBorders>
              <w:top w:val="single" w:sz="2" w:space="0" w:color="auto"/>
              <w:left w:val="nil"/>
              <w:bottom w:val="nil"/>
              <w:right w:val="nil"/>
            </w:tcBorders>
            <w:tcMar>
              <w:top w:w="72" w:type="dxa"/>
              <w:bottom w:w="72" w:type="dxa"/>
            </w:tcMar>
          </w:tcPr>
          <w:p w14:paraId="1B5D7957" w14:textId="01389D52" w:rsidR="009A5126" w:rsidRPr="00C3115F" w:rsidRDefault="005D49A1" w:rsidP="009A5126">
            <w:pPr>
              <w:jc w:val="right"/>
              <w:rPr>
                <w:rFonts w:ascii="Arial" w:hAnsi="Arial" w:cs="Arial"/>
                <w:b/>
                <w:sz w:val="22"/>
                <w:szCs w:val="22"/>
              </w:rPr>
            </w:pPr>
            <w:r w:rsidRPr="00C3115F">
              <w:rPr>
                <w:rFonts w:ascii="Arial" w:hAnsi="Arial" w:cs="Arial"/>
                <w:b/>
                <w:sz w:val="22"/>
                <w:szCs w:val="22"/>
              </w:rPr>
              <w:t>$</w:t>
            </w:r>
            <w:r w:rsidR="00B0053A" w:rsidRPr="00C3115F">
              <w:rPr>
                <w:rFonts w:ascii="Arial" w:hAnsi="Arial" w:cs="Arial"/>
                <w:b/>
                <w:sz w:val="22"/>
                <w:szCs w:val="22"/>
              </w:rPr>
              <w:t>92,656,474</w:t>
            </w:r>
          </w:p>
        </w:tc>
        <w:tc>
          <w:tcPr>
            <w:tcW w:w="161" w:type="dxa"/>
            <w:tcBorders>
              <w:top w:val="nil"/>
              <w:left w:val="nil"/>
              <w:bottom w:val="nil"/>
              <w:right w:val="nil"/>
            </w:tcBorders>
          </w:tcPr>
          <w:p w14:paraId="6C04C87B" w14:textId="77777777" w:rsidR="009A5126" w:rsidRPr="00C3115F" w:rsidRDefault="009A5126" w:rsidP="009A5126">
            <w:pPr>
              <w:jc w:val="right"/>
              <w:rPr>
                <w:rFonts w:ascii="Arial" w:hAnsi="Arial" w:cs="Arial"/>
                <w:b/>
                <w:sz w:val="22"/>
                <w:szCs w:val="22"/>
              </w:rPr>
            </w:pPr>
          </w:p>
        </w:tc>
        <w:tc>
          <w:tcPr>
            <w:tcW w:w="896" w:type="dxa"/>
            <w:tcBorders>
              <w:top w:val="single" w:sz="2" w:space="0" w:color="auto"/>
              <w:left w:val="nil"/>
              <w:bottom w:val="nil"/>
              <w:right w:val="single" w:sz="2" w:space="0" w:color="FFFFFF" w:themeColor="background1"/>
            </w:tcBorders>
            <w:tcMar>
              <w:top w:w="72" w:type="dxa"/>
              <w:bottom w:w="72" w:type="dxa"/>
            </w:tcMar>
          </w:tcPr>
          <w:p w14:paraId="0E8C1AA3" w14:textId="2715FEA2" w:rsidR="009A5126" w:rsidRPr="00C3115F" w:rsidRDefault="002C7F90" w:rsidP="009A5126">
            <w:pPr>
              <w:jc w:val="right"/>
              <w:rPr>
                <w:rFonts w:ascii="Arial" w:hAnsi="Arial" w:cs="Arial"/>
                <w:b/>
                <w:sz w:val="22"/>
                <w:szCs w:val="22"/>
              </w:rPr>
            </w:pPr>
            <w:r w:rsidRPr="00C3115F">
              <w:rPr>
                <w:rFonts w:ascii="Arial" w:hAnsi="Arial" w:cs="Arial"/>
                <w:b/>
                <w:sz w:val="22"/>
                <w:szCs w:val="22"/>
              </w:rPr>
              <w:t>98</w:t>
            </w:r>
            <w:r w:rsidR="009A5126" w:rsidRPr="00C3115F">
              <w:rPr>
                <w:rFonts w:ascii="Arial" w:hAnsi="Arial" w:cs="Arial"/>
                <w:b/>
                <w:sz w:val="22"/>
                <w:szCs w:val="22"/>
              </w:rPr>
              <w:t>.0</w:t>
            </w:r>
          </w:p>
        </w:tc>
        <w:tc>
          <w:tcPr>
            <w:tcW w:w="196" w:type="dxa"/>
            <w:tcBorders>
              <w:top w:val="nil"/>
              <w:left w:val="single" w:sz="2" w:space="0" w:color="FFFFFF" w:themeColor="background1"/>
              <w:bottom w:val="nil"/>
              <w:right w:val="single" w:sz="2" w:space="0" w:color="FFFFFF" w:themeColor="background1"/>
            </w:tcBorders>
          </w:tcPr>
          <w:p w14:paraId="2FE68DBF" w14:textId="77777777" w:rsidR="009A5126" w:rsidRPr="00C3115F" w:rsidRDefault="009A5126" w:rsidP="009A5126">
            <w:pPr>
              <w:jc w:val="right"/>
              <w:rPr>
                <w:rFonts w:ascii="Arial" w:hAnsi="Arial" w:cs="Arial"/>
                <w:b/>
                <w:sz w:val="22"/>
                <w:szCs w:val="22"/>
              </w:rPr>
            </w:pPr>
          </w:p>
        </w:tc>
        <w:tc>
          <w:tcPr>
            <w:tcW w:w="932" w:type="dxa"/>
            <w:gridSpan w:val="2"/>
            <w:tcBorders>
              <w:top w:val="single" w:sz="2" w:space="0" w:color="auto"/>
              <w:left w:val="single" w:sz="2" w:space="0" w:color="FFFFFF" w:themeColor="background1"/>
              <w:bottom w:val="nil"/>
              <w:right w:val="single" w:sz="2" w:space="0" w:color="FFFFFF" w:themeColor="background1"/>
            </w:tcBorders>
            <w:tcMar>
              <w:top w:w="72" w:type="dxa"/>
              <w:left w:w="115" w:type="dxa"/>
              <w:bottom w:w="72" w:type="dxa"/>
              <w:right w:w="115" w:type="dxa"/>
            </w:tcMar>
          </w:tcPr>
          <w:p w14:paraId="3AD8AA82" w14:textId="08A13D2F" w:rsidR="009A5126" w:rsidRPr="00C3115F" w:rsidRDefault="002C7F90" w:rsidP="009A5126">
            <w:pPr>
              <w:jc w:val="right"/>
              <w:rPr>
                <w:rFonts w:ascii="Arial" w:hAnsi="Arial" w:cs="Arial"/>
                <w:b/>
                <w:sz w:val="22"/>
                <w:szCs w:val="22"/>
              </w:rPr>
            </w:pPr>
            <w:r w:rsidRPr="00C3115F">
              <w:rPr>
                <w:rFonts w:ascii="Arial" w:hAnsi="Arial" w:cs="Arial"/>
                <w:b/>
                <w:sz w:val="22"/>
                <w:szCs w:val="22"/>
              </w:rPr>
              <w:t>3</w:t>
            </w:r>
            <w:r w:rsidR="009A5126" w:rsidRPr="00C3115F">
              <w:rPr>
                <w:rFonts w:ascii="Arial" w:hAnsi="Arial" w:cs="Arial"/>
                <w:b/>
                <w:sz w:val="22"/>
                <w:szCs w:val="22"/>
              </w:rPr>
              <w:t>.0</w:t>
            </w:r>
          </w:p>
        </w:tc>
      </w:tr>
      <w:tr w:rsidR="008C07EB" w:rsidRPr="008D0300" w14:paraId="214629B8" w14:textId="77777777" w:rsidTr="00F51092">
        <w:trPr>
          <w:cantSplit/>
          <w:trHeight w:val="261"/>
          <w:jc w:val="center"/>
        </w:trPr>
        <w:tc>
          <w:tcPr>
            <w:tcW w:w="3840" w:type="dxa"/>
            <w:tcBorders>
              <w:top w:val="nil"/>
              <w:left w:val="nil"/>
              <w:bottom w:val="nil"/>
              <w:right w:val="nil"/>
            </w:tcBorders>
            <w:tcMar>
              <w:top w:w="72" w:type="dxa"/>
              <w:left w:w="115" w:type="dxa"/>
              <w:bottom w:w="72" w:type="dxa"/>
              <w:right w:w="115" w:type="dxa"/>
            </w:tcMar>
          </w:tcPr>
          <w:p w14:paraId="012AD374" w14:textId="6C87A5EA" w:rsidR="00A27DEA" w:rsidRPr="00C3115F" w:rsidRDefault="00087CD0" w:rsidP="00087CD0">
            <w:pPr>
              <w:rPr>
                <w:rFonts w:ascii="Arial" w:hAnsi="Arial" w:cs="Arial"/>
                <w:sz w:val="22"/>
                <w:szCs w:val="22"/>
              </w:rPr>
            </w:pPr>
            <w:r w:rsidRPr="00C3115F">
              <w:rPr>
                <w:rFonts w:ascii="Arial" w:hAnsi="Arial" w:cs="Arial"/>
                <w:sz w:val="22"/>
                <w:szCs w:val="22"/>
              </w:rPr>
              <w:t>% Change from prior biennium</w:t>
            </w:r>
          </w:p>
        </w:tc>
        <w:tc>
          <w:tcPr>
            <w:tcW w:w="180" w:type="dxa"/>
            <w:tcBorders>
              <w:top w:val="nil"/>
              <w:left w:val="nil"/>
              <w:bottom w:val="nil"/>
              <w:right w:val="nil"/>
            </w:tcBorders>
          </w:tcPr>
          <w:p w14:paraId="62FEBC77" w14:textId="77777777" w:rsidR="00A27DEA" w:rsidRPr="00C3115F" w:rsidRDefault="00A27DEA" w:rsidP="009A5126">
            <w:pPr>
              <w:jc w:val="right"/>
              <w:rPr>
                <w:rFonts w:ascii="Arial" w:hAnsi="Arial" w:cs="Arial"/>
                <w:sz w:val="22"/>
                <w:szCs w:val="22"/>
              </w:rPr>
            </w:pPr>
          </w:p>
        </w:tc>
        <w:tc>
          <w:tcPr>
            <w:tcW w:w="1596" w:type="dxa"/>
            <w:tcBorders>
              <w:top w:val="nil"/>
              <w:left w:val="nil"/>
              <w:bottom w:val="nil"/>
              <w:right w:val="nil"/>
            </w:tcBorders>
          </w:tcPr>
          <w:p w14:paraId="61910B54" w14:textId="21C263E8" w:rsidR="00A27DEA" w:rsidRPr="00C3115F" w:rsidRDefault="003F6C6C" w:rsidP="009A5126">
            <w:pPr>
              <w:jc w:val="right"/>
              <w:rPr>
                <w:rFonts w:ascii="Arial" w:hAnsi="Arial" w:cs="Arial"/>
                <w:sz w:val="22"/>
                <w:szCs w:val="22"/>
              </w:rPr>
            </w:pPr>
            <w:r w:rsidRPr="00C3115F">
              <w:rPr>
                <w:rFonts w:ascii="Arial" w:hAnsi="Arial" w:cs="Arial"/>
                <w:sz w:val="22"/>
                <w:szCs w:val="22"/>
              </w:rPr>
              <w:t>4.</w:t>
            </w:r>
            <w:r w:rsidR="00C3115F" w:rsidRPr="00C3115F">
              <w:rPr>
                <w:rFonts w:ascii="Arial" w:hAnsi="Arial" w:cs="Arial"/>
                <w:sz w:val="22"/>
                <w:szCs w:val="22"/>
              </w:rPr>
              <w:t>6</w:t>
            </w:r>
            <w:r w:rsidR="0046704C" w:rsidRPr="00C3115F">
              <w:rPr>
                <w:rFonts w:ascii="Arial" w:hAnsi="Arial" w:cs="Arial"/>
                <w:sz w:val="22"/>
                <w:szCs w:val="22"/>
              </w:rPr>
              <w:t>%</w:t>
            </w:r>
          </w:p>
        </w:tc>
        <w:tc>
          <w:tcPr>
            <w:tcW w:w="165" w:type="dxa"/>
            <w:tcBorders>
              <w:top w:val="nil"/>
              <w:left w:val="nil"/>
              <w:bottom w:val="nil"/>
              <w:right w:val="nil"/>
            </w:tcBorders>
          </w:tcPr>
          <w:p w14:paraId="146C829D" w14:textId="4CA52A1B" w:rsidR="00A27DEA" w:rsidRPr="00C3115F" w:rsidRDefault="00A27DEA" w:rsidP="009A5126">
            <w:pPr>
              <w:jc w:val="right"/>
              <w:rPr>
                <w:rFonts w:ascii="Arial" w:hAnsi="Arial" w:cs="Arial"/>
                <w:sz w:val="22"/>
                <w:szCs w:val="22"/>
              </w:rPr>
            </w:pPr>
          </w:p>
        </w:tc>
        <w:tc>
          <w:tcPr>
            <w:tcW w:w="1514" w:type="dxa"/>
            <w:tcBorders>
              <w:top w:val="nil"/>
              <w:left w:val="nil"/>
              <w:bottom w:val="nil"/>
              <w:right w:val="nil"/>
            </w:tcBorders>
            <w:tcMar>
              <w:top w:w="72" w:type="dxa"/>
              <w:bottom w:w="72" w:type="dxa"/>
            </w:tcMar>
          </w:tcPr>
          <w:p w14:paraId="21DB867F" w14:textId="71C52C01" w:rsidR="00A27DEA" w:rsidRPr="00C3115F" w:rsidRDefault="00A27DEA" w:rsidP="009A5126">
            <w:pPr>
              <w:jc w:val="right"/>
              <w:rPr>
                <w:rFonts w:ascii="Arial" w:hAnsi="Arial" w:cs="Arial"/>
                <w:sz w:val="22"/>
                <w:szCs w:val="22"/>
              </w:rPr>
            </w:pPr>
          </w:p>
        </w:tc>
        <w:tc>
          <w:tcPr>
            <w:tcW w:w="161" w:type="dxa"/>
            <w:tcBorders>
              <w:top w:val="nil"/>
              <w:left w:val="nil"/>
              <w:bottom w:val="nil"/>
              <w:right w:val="nil"/>
            </w:tcBorders>
          </w:tcPr>
          <w:p w14:paraId="7DC37838" w14:textId="225AD89C" w:rsidR="00A27DEA" w:rsidRPr="00C3115F" w:rsidRDefault="00A27DEA" w:rsidP="009A5126">
            <w:pPr>
              <w:jc w:val="right"/>
              <w:rPr>
                <w:rFonts w:ascii="Arial" w:hAnsi="Arial" w:cs="Arial"/>
                <w:sz w:val="22"/>
                <w:szCs w:val="22"/>
              </w:rPr>
            </w:pPr>
          </w:p>
        </w:tc>
        <w:tc>
          <w:tcPr>
            <w:tcW w:w="896" w:type="dxa"/>
            <w:tcBorders>
              <w:top w:val="nil"/>
              <w:left w:val="nil"/>
              <w:bottom w:val="nil"/>
              <w:right w:val="single" w:sz="2" w:space="0" w:color="FFFFFF" w:themeColor="background1"/>
            </w:tcBorders>
            <w:tcMar>
              <w:top w:w="72" w:type="dxa"/>
              <w:bottom w:w="72" w:type="dxa"/>
            </w:tcMar>
          </w:tcPr>
          <w:p w14:paraId="4EE8047D" w14:textId="7E003D4B" w:rsidR="00A27DEA" w:rsidRPr="00C3115F" w:rsidRDefault="00A27DEA" w:rsidP="009A5126">
            <w:pPr>
              <w:jc w:val="right"/>
              <w:rPr>
                <w:rFonts w:ascii="Arial" w:hAnsi="Arial" w:cs="Arial"/>
                <w:sz w:val="22"/>
                <w:szCs w:val="22"/>
              </w:rPr>
            </w:pPr>
          </w:p>
        </w:tc>
        <w:tc>
          <w:tcPr>
            <w:tcW w:w="196" w:type="dxa"/>
            <w:tcBorders>
              <w:top w:val="nil"/>
              <w:left w:val="single" w:sz="2" w:space="0" w:color="FFFFFF" w:themeColor="background1"/>
              <w:bottom w:val="nil"/>
              <w:right w:val="single" w:sz="2" w:space="0" w:color="FFFFFF" w:themeColor="background1"/>
            </w:tcBorders>
          </w:tcPr>
          <w:p w14:paraId="36010AE6" w14:textId="384BDC8A" w:rsidR="00A27DEA" w:rsidRPr="00C3115F" w:rsidRDefault="00A27DEA" w:rsidP="009A5126">
            <w:pPr>
              <w:jc w:val="right"/>
              <w:rPr>
                <w:rFonts w:ascii="Arial" w:hAnsi="Arial" w:cs="Arial"/>
                <w:sz w:val="22"/>
                <w:szCs w:val="22"/>
              </w:rPr>
            </w:pPr>
          </w:p>
        </w:tc>
        <w:tc>
          <w:tcPr>
            <w:tcW w:w="932" w:type="dxa"/>
            <w:gridSpan w:val="2"/>
            <w:tcBorders>
              <w:top w:val="nil"/>
              <w:left w:val="single" w:sz="2" w:space="0" w:color="FFFFFF" w:themeColor="background1"/>
              <w:bottom w:val="nil"/>
              <w:right w:val="single" w:sz="2" w:space="0" w:color="FFFFFF" w:themeColor="background1"/>
            </w:tcBorders>
            <w:tcMar>
              <w:top w:w="72" w:type="dxa"/>
              <w:left w:w="115" w:type="dxa"/>
              <w:bottom w:w="72" w:type="dxa"/>
              <w:right w:w="115" w:type="dxa"/>
            </w:tcMar>
          </w:tcPr>
          <w:p w14:paraId="610BEB13" w14:textId="5FDF2DFC" w:rsidR="00A27DEA" w:rsidRPr="00C3115F" w:rsidRDefault="00A27DEA" w:rsidP="009A5126">
            <w:pPr>
              <w:jc w:val="right"/>
              <w:rPr>
                <w:rFonts w:ascii="Arial" w:hAnsi="Arial" w:cs="Arial"/>
                <w:sz w:val="22"/>
                <w:szCs w:val="22"/>
              </w:rPr>
            </w:pPr>
          </w:p>
        </w:tc>
      </w:tr>
      <w:tr w:rsidR="005D49A1" w:rsidRPr="008D0300" w14:paraId="6B57AA58" w14:textId="77777777" w:rsidTr="00F51092">
        <w:trPr>
          <w:cantSplit/>
          <w:trHeight w:val="396"/>
          <w:jc w:val="center"/>
        </w:trPr>
        <w:tc>
          <w:tcPr>
            <w:tcW w:w="3840" w:type="dxa"/>
            <w:tcBorders>
              <w:top w:val="nil"/>
              <w:left w:val="nil"/>
              <w:bottom w:val="dotted" w:sz="4" w:space="0" w:color="auto"/>
              <w:right w:val="nil"/>
            </w:tcBorders>
            <w:tcMar>
              <w:top w:w="72" w:type="dxa"/>
              <w:left w:w="115" w:type="dxa"/>
              <w:bottom w:w="72" w:type="dxa"/>
              <w:right w:w="115" w:type="dxa"/>
            </w:tcMar>
          </w:tcPr>
          <w:p w14:paraId="05E85242" w14:textId="0330A860" w:rsidR="00A27DEA" w:rsidRPr="00C3115F" w:rsidRDefault="007D0720" w:rsidP="0004254D">
            <w:pPr>
              <w:rPr>
                <w:rFonts w:ascii="Arial" w:hAnsi="Arial" w:cs="Arial"/>
                <w:sz w:val="22"/>
                <w:szCs w:val="22"/>
              </w:rPr>
            </w:pPr>
            <w:r w:rsidRPr="00C3115F">
              <w:rPr>
                <w:rFonts w:ascii="Arial" w:hAnsi="Arial" w:cs="Arial"/>
                <w:sz w:val="22"/>
                <w:szCs w:val="22"/>
              </w:rPr>
              <w:t xml:space="preserve">Dec. Pkg. as % </w:t>
            </w:r>
            <w:r w:rsidR="0004254D" w:rsidRPr="00C3115F">
              <w:rPr>
                <w:rFonts w:ascii="Arial" w:hAnsi="Arial" w:cs="Arial"/>
                <w:sz w:val="22"/>
                <w:szCs w:val="22"/>
              </w:rPr>
              <w:t>of prior biennium</w:t>
            </w:r>
          </w:p>
        </w:tc>
        <w:tc>
          <w:tcPr>
            <w:tcW w:w="180" w:type="dxa"/>
            <w:tcBorders>
              <w:top w:val="nil"/>
              <w:left w:val="nil"/>
              <w:bottom w:val="dotted" w:sz="4" w:space="0" w:color="auto"/>
              <w:right w:val="nil"/>
            </w:tcBorders>
          </w:tcPr>
          <w:p w14:paraId="3CA8704A" w14:textId="77777777" w:rsidR="00A27DEA" w:rsidRPr="00C3115F" w:rsidRDefault="00A27DEA" w:rsidP="009A5126">
            <w:pPr>
              <w:jc w:val="right"/>
              <w:rPr>
                <w:rFonts w:ascii="Arial" w:hAnsi="Arial" w:cs="Arial"/>
                <w:sz w:val="22"/>
                <w:szCs w:val="22"/>
              </w:rPr>
            </w:pPr>
          </w:p>
        </w:tc>
        <w:tc>
          <w:tcPr>
            <w:tcW w:w="1596" w:type="dxa"/>
            <w:tcBorders>
              <w:top w:val="nil"/>
              <w:left w:val="nil"/>
              <w:bottom w:val="dotted" w:sz="4" w:space="0" w:color="auto"/>
              <w:right w:val="nil"/>
            </w:tcBorders>
          </w:tcPr>
          <w:p w14:paraId="24E89735" w14:textId="23C5CEA6" w:rsidR="00A27DEA" w:rsidRPr="00C3115F" w:rsidRDefault="003F6C6C" w:rsidP="009A5126">
            <w:pPr>
              <w:jc w:val="right"/>
              <w:rPr>
                <w:rFonts w:ascii="Arial" w:hAnsi="Arial" w:cs="Arial"/>
                <w:sz w:val="22"/>
                <w:szCs w:val="22"/>
              </w:rPr>
            </w:pPr>
            <w:r w:rsidRPr="00C3115F">
              <w:rPr>
                <w:rFonts w:ascii="Arial" w:hAnsi="Arial" w:cs="Arial"/>
                <w:sz w:val="22"/>
                <w:szCs w:val="22"/>
              </w:rPr>
              <w:t>7.</w:t>
            </w:r>
            <w:r w:rsidR="00C3115F" w:rsidRPr="00C3115F">
              <w:rPr>
                <w:rFonts w:ascii="Arial" w:hAnsi="Arial" w:cs="Arial"/>
                <w:sz w:val="22"/>
                <w:szCs w:val="22"/>
              </w:rPr>
              <w:t>3</w:t>
            </w:r>
            <w:r w:rsidR="0046704C" w:rsidRPr="00C3115F">
              <w:rPr>
                <w:rFonts w:ascii="Arial" w:hAnsi="Arial" w:cs="Arial"/>
                <w:sz w:val="22"/>
                <w:szCs w:val="22"/>
              </w:rPr>
              <w:t>%</w:t>
            </w:r>
          </w:p>
        </w:tc>
        <w:tc>
          <w:tcPr>
            <w:tcW w:w="165" w:type="dxa"/>
            <w:tcBorders>
              <w:top w:val="nil"/>
              <w:left w:val="nil"/>
              <w:bottom w:val="dotted" w:sz="4" w:space="0" w:color="auto"/>
              <w:right w:val="nil"/>
            </w:tcBorders>
          </w:tcPr>
          <w:p w14:paraId="09FD9B4F" w14:textId="77777777" w:rsidR="00A27DEA" w:rsidRPr="00C3115F" w:rsidRDefault="00A27DEA" w:rsidP="009A5126">
            <w:pPr>
              <w:jc w:val="right"/>
              <w:rPr>
                <w:rFonts w:ascii="Arial" w:hAnsi="Arial" w:cs="Arial"/>
                <w:sz w:val="22"/>
                <w:szCs w:val="22"/>
              </w:rPr>
            </w:pPr>
          </w:p>
        </w:tc>
        <w:tc>
          <w:tcPr>
            <w:tcW w:w="1514" w:type="dxa"/>
            <w:tcBorders>
              <w:top w:val="nil"/>
              <w:left w:val="nil"/>
              <w:bottom w:val="dotted" w:sz="4" w:space="0" w:color="auto"/>
              <w:right w:val="nil"/>
            </w:tcBorders>
            <w:tcMar>
              <w:top w:w="72" w:type="dxa"/>
              <w:bottom w:w="72" w:type="dxa"/>
            </w:tcMar>
          </w:tcPr>
          <w:p w14:paraId="613BCB03" w14:textId="194819C1" w:rsidR="00A27DEA" w:rsidRPr="00C3115F" w:rsidRDefault="00A27DEA" w:rsidP="009A5126">
            <w:pPr>
              <w:jc w:val="right"/>
              <w:rPr>
                <w:rFonts w:ascii="Arial" w:hAnsi="Arial" w:cs="Arial"/>
                <w:sz w:val="22"/>
                <w:szCs w:val="22"/>
              </w:rPr>
            </w:pPr>
          </w:p>
        </w:tc>
        <w:tc>
          <w:tcPr>
            <w:tcW w:w="161" w:type="dxa"/>
            <w:tcBorders>
              <w:top w:val="nil"/>
              <w:left w:val="nil"/>
              <w:bottom w:val="dotted" w:sz="4" w:space="0" w:color="auto"/>
              <w:right w:val="nil"/>
            </w:tcBorders>
          </w:tcPr>
          <w:p w14:paraId="4DE81D76" w14:textId="64293666" w:rsidR="00A27DEA" w:rsidRPr="00C3115F" w:rsidRDefault="00A27DEA" w:rsidP="009A5126">
            <w:pPr>
              <w:jc w:val="right"/>
              <w:rPr>
                <w:rFonts w:ascii="Arial" w:hAnsi="Arial" w:cs="Arial"/>
                <w:sz w:val="22"/>
                <w:szCs w:val="22"/>
              </w:rPr>
            </w:pPr>
          </w:p>
        </w:tc>
        <w:tc>
          <w:tcPr>
            <w:tcW w:w="896" w:type="dxa"/>
            <w:tcBorders>
              <w:top w:val="nil"/>
              <w:left w:val="nil"/>
              <w:bottom w:val="dotted" w:sz="4" w:space="0" w:color="auto"/>
              <w:right w:val="single" w:sz="2" w:space="0" w:color="FFFFFF" w:themeColor="background1"/>
            </w:tcBorders>
            <w:tcMar>
              <w:top w:w="72" w:type="dxa"/>
              <w:bottom w:w="72" w:type="dxa"/>
            </w:tcMar>
          </w:tcPr>
          <w:p w14:paraId="5CBF1CDE" w14:textId="3BA20A0A" w:rsidR="00A27DEA" w:rsidRPr="00C3115F" w:rsidRDefault="00A27DEA" w:rsidP="009A5126">
            <w:pPr>
              <w:jc w:val="right"/>
              <w:rPr>
                <w:rFonts w:ascii="Arial" w:hAnsi="Arial" w:cs="Arial"/>
                <w:sz w:val="22"/>
                <w:szCs w:val="22"/>
              </w:rPr>
            </w:pPr>
          </w:p>
        </w:tc>
        <w:tc>
          <w:tcPr>
            <w:tcW w:w="196" w:type="dxa"/>
            <w:tcBorders>
              <w:top w:val="nil"/>
              <w:left w:val="single" w:sz="2" w:space="0" w:color="FFFFFF" w:themeColor="background1"/>
              <w:bottom w:val="dotted" w:sz="4" w:space="0" w:color="auto"/>
              <w:right w:val="single" w:sz="2" w:space="0" w:color="FFFFFF" w:themeColor="background1"/>
            </w:tcBorders>
          </w:tcPr>
          <w:p w14:paraId="2AC36B28" w14:textId="77777777" w:rsidR="00A27DEA" w:rsidRPr="00C3115F" w:rsidRDefault="00A27DEA" w:rsidP="009A5126">
            <w:pPr>
              <w:jc w:val="right"/>
              <w:rPr>
                <w:rFonts w:ascii="Arial" w:hAnsi="Arial" w:cs="Arial"/>
                <w:sz w:val="22"/>
                <w:szCs w:val="22"/>
              </w:rPr>
            </w:pPr>
          </w:p>
        </w:tc>
        <w:tc>
          <w:tcPr>
            <w:tcW w:w="932" w:type="dxa"/>
            <w:gridSpan w:val="2"/>
            <w:tcBorders>
              <w:top w:val="nil"/>
              <w:left w:val="single" w:sz="2" w:space="0" w:color="FFFFFF" w:themeColor="background1"/>
              <w:bottom w:val="dotted" w:sz="4" w:space="0" w:color="auto"/>
              <w:right w:val="single" w:sz="2" w:space="0" w:color="FFFFFF" w:themeColor="background1"/>
            </w:tcBorders>
            <w:tcMar>
              <w:top w:w="72" w:type="dxa"/>
              <w:left w:w="115" w:type="dxa"/>
              <w:bottom w:w="72" w:type="dxa"/>
              <w:right w:w="115" w:type="dxa"/>
            </w:tcMar>
          </w:tcPr>
          <w:p w14:paraId="25F2B6B3" w14:textId="77777777" w:rsidR="00A27DEA" w:rsidRPr="00C3115F" w:rsidRDefault="00A27DEA" w:rsidP="009A5126">
            <w:pPr>
              <w:jc w:val="right"/>
              <w:rPr>
                <w:rFonts w:ascii="Arial" w:hAnsi="Arial" w:cs="Arial"/>
                <w:sz w:val="22"/>
                <w:szCs w:val="22"/>
              </w:rPr>
            </w:pPr>
          </w:p>
        </w:tc>
      </w:tr>
      <w:tr w:rsidR="006F4699" w:rsidRPr="008D0300" w14:paraId="28475DC1" w14:textId="77777777" w:rsidTr="00580825">
        <w:trPr>
          <w:gridAfter w:val="1"/>
          <w:wAfter w:w="6" w:type="dxa"/>
          <w:cantSplit/>
          <w:trHeight w:val="287"/>
          <w:jc w:val="center"/>
        </w:trPr>
        <w:tc>
          <w:tcPr>
            <w:tcW w:w="9474" w:type="dxa"/>
            <w:gridSpan w:val="9"/>
            <w:tcBorders>
              <w:top w:val="dotted" w:sz="4" w:space="0" w:color="auto"/>
              <w:left w:val="nil"/>
              <w:bottom w:val="nil"/>
              <w:right w:val="single" w:sz="2" w:space="0" w:color="FFFFFF" w:themeColor="background1"/>
            </w:tcBorders>
            <w:tcMar>
              <w:top w:w="72" w:type="dxa"/>
              <w:left w:w="115" w:type="dxa"/>
              <w:bottom w:w="72" w:type="dxa"/>
              <w:right w:w="115" w:type="dxa"/>
            </w:tcMar>
            <w:vAlign w:val="center"/>
          </w:tcPr>
          <w:p w14:paraId="083304AF" w14:textId="62378ACA" w:rsidR="006F4699" w:rsidRPr="00C3115F" w:rsidRDefault="006F4699" w:rsidP="00EC5BF3">
            <w:pPr>
              <w:spacing w:line="264" w:lineRule="auto"/>
              <w:ind w:left="216"/>
              <w:rPr>
                <w:rFonts w:ascii="Arial" w:hAnsi="Arial" w:cs="Arial"/>
                <w:sz w:val="22"/>
                <w:szCs w:val="22"/>
              </w:rPr>
            </w:pPr>
            <w:r w:rsidRPr="00C3115F">
              <w:rPr>
                <w:rFonts w:ascii="Arial" w:hAnsi="Arial" w:cs="Arial"/>
                <w:b/>
                <w:sz w:val="22"/>
                <w:szCs w:val="22"/>
              </w:rPr>
              <w:t xml:space="preserve">Major Revenue Sources: </w:t>
            </w:r>
            <w:r w:rsidR="00017CE0" w:rsidRPr="00C3115F">
              <w:rPr>
                <w:rFonts w:ascii="Arial" w:hAnsi="Arial" w:cs="Arial"/>
                <w:sz w:val="22"/>
                <w:szCs w:val="22"/>
              </w:rPr>
              <w:t xml:space="preserve">SWM </w:t>
            </w:r>
            <w:r w:rsidR="00D25A81">
              <w:rPr>
                <w:rFonts w:ascii="Arial" w:hAnsi="Arial" w:cs="Arial"/>
                <w:sz w:val="22"/>
                <w:szCs w:val="22"/>
              </w:rPr>
              <w:t>f</w:t>
            </w:r>
            <w:r w:rsidR="00017CE0" w:rsidRPr="00C3115F">
              <w:rPr>
                <w:rFonts w:ascii="Arial" w:hAnsi="Arial" w:cs="Arial"/>
                <w:sz w:val="22"/>
                <w:szCs w:val="22"/>
              </w:rPr>
              <w:t>ees, Grants, Contracts, General Fund</w:t>
            </w:r>
          </w:p>
        </w:tc>
      </w:tr>
      <w:tr w:rsidR="00B40E00" w:rsidRPr="008D0300" w14:paraId="768B4162" w14:textId="77777777" w:rsidTr="00443370">
        <w:trPr>
          <w:gridAfter w:val="1"/>
          <w:wAfter w:w="6" w:type="dxa"/>
          <w:cantSplit/>
          <w:trHeight w:val="396"/>
          <w:jc w:val="center"/>
        </w:trPr>
        <w:tc>
          <w:tcPr>
            <w:tcW w:w="9474" w:type="dxa"/>
            <w:gridSpan w:val="9"/>
            <w:tcBorders>
              <w:top w:val="nil"/>
              <w:left w:val="nil"/>
              <w:bottom w:val="single" w:sz="12" w:space="0" w:color="auto"/>
              <w:right w:val="single" w:sz="2" w:space="0" w:color="FFFFFF" w:themeColor="background1"/>
            </w:tcBorders>
            <w:tcMar>
              <w:top w:w="72" w:type="dxa"/>
              <w:left w:w="115" w:type="dxa"/>
              <w:bottom w:w="72" w:type="dxa"/>
              <w:right w:w="115" w:type="dxa"/>
            </w:tcMar>
            <w:vAlign w:val="center"/>
          </w:tcPr>
          <w:p w14:paraId="45234E9A" w14:textId="0F71B6FC" w:rsidR="00B40E00" w:rsidRPr="008C07EB" w:rsidRDefault="008C07EB" w:rsidP="007D0720">
            <w:pPr>
              <w:spacing w:line="264" w:lineRule="auto"/>
              <w:ind w:left="216"/>
              <w:rPr>
                <w:rFonts w:ascii="Arial" w:hAnsi="Arial" w:cs="Arial"/>
                <w:sz w:val="22"/>
                <w:szCs w:val="22"/>
              </w:rPr>
            </w:pPr>
            <w:r>
              <w:rPr>
                <w:rFonts w:ascii="Arial" w:hAnsi="Arial" w:cs="Arial"/>
                <w:b/>
                <w:sz w:val="22"/>
                <w:szCs w:val="22"/>
              </w:rPr>
              <w:t xml:space="preserve">Base </w:t>
            </w:r>
            <w:r w:rsidR="00B40E00">
              <w:rPr>
                <w:rFonts w:ascii="Arial" w:hAnsi="Arial" w:cs="Arial"/>
                <w:b/>
                <w:sz w:val="22"/>
                <w:szCs w:val="22"/>
              </w:rPr>
              <w:t xml:space="preserve">Budget </w:t>
            </w:r>
            <w:r>
              <w:rPr>
                <w:rFonts w:ascii="Arial" w:hAnsi="Arial" w:cs="Arial"/>
                <w:b/>
                <w:sz w:val="22"/>
                <w:szCs w:val="22"/>
              </w:rPr>
              <w:t>Assumptions</w:t>
            </w:r>
            <w:r w:rsidR="00B40E00">
              <w:rPr>
                <w:rFonts w:ascii="Arial" w:hAnsi="Arial" w:cs="Arial"/>
                <w:b/>
                <w:sz w:val="22"/>
                <w:szCs w:val="22"/>
              </w:rPr>
              <w:t>:</w:t>
            </w:r>
            <w:r>
              <w:rPr>
                <w:rFonts w:ascii="Arial" w:hAnsi="Arial" w:cs="Arial"/>
                <w:sz w:val="22"/>
                <w:szCs w:val="22"/>
              </w:rPr>
              <w:t xml:space="preserve"> </w:t>
            </w:r>
            <w:r w:rsidR="000E27DB" w:rsidRPr="000E27DB">
              <w:rPr>
                <w:rFonts w:ascii="Arial" w:hAnsi="Arial" w:cs="Arial"/>
                <w:sz w:val="22"/>
                <w:szCs w:val="22"/>
              </w:rPr>
              <w:t>(1) Remove one-time expenditures, including those related to pandemic response; (2) annualized supplemental changes; (3) update personnel rates; (4) 4.0% GWI for 2023; (5) 4.0% GWI for 2024</w:t>
            </w:r>
          </w:p>
        </w:tc>
      </w:tr>
    </w:tbl>
    <w:p w14:paraId="6441FF93" w14:textId="2427F39C" w:rsidR="008A5CF4" w:rsidRDefault="008A5CF4" w:rsidP="008A5CF4">
      <w:pPr>
        <w:spacing w:line="264" w:lineRule="auto"/>
        <w:contextualSpacing/>
        <w:rPr>
          <w:rFonts w:ascii="Arial" w:hAnsi="Arial" w:cs="Arial"/>
          <w:b/>
          <w:szCs w:val="24"/>
          <w:u w:val="single"/>
        </w:rPr>
      </w:pPr>
    </w:p>
    <w:p w14:paraId="43E0E657" w14:textId="03EA6CAA" w:rsidR="005C2E8B" w:rsidRPr="00B2433E" w:rsidRDefault="008156D8" w:rsidP="008156D8">
      <w:pPr>
        <w:spacing w:line="264" w:lineRule="auto"/>
        <w:contextualSpacing/>
        <w:jc w:val="center"/>
        <w:rPr>
          <w:rFonts w:ascii="Arial" w:hAnsi="Arial" w:cs="Arial"/>
          <w:b/>
          <w:szCs w:val="24"/>
        </w:rPr>
      </w:pPr>
      <w:r>
        <w:rPr>
          <w:rFonts w:ascii="Arial" w:hAnsi="Arial" w:cs="Arial"/>
          <w:b/>
          <w:smallCaps/>
          <w:szCs w:val="24"/>
          <w:u w:val="single"/>
        </w:rPr>
        <w:t>Description</w:t>
      </w:r>
    </w:p>
    <w:p w14:paraId="25F15ECA" w14:textId="19B601BD" w:rsidR="005C2E8B" w:rsidRDefault="005C2E8B" w:rsidP="008A5CF4">
      <w:pPr>
        <w:spacing w:line="264" w:lineRule="auto"/>
        <w:contextualSpacing/>
        <w:jc w:val="both"/>
        <w:rPr>
          <w:rFonts w:ascii="Arial" w:hAnsi="Arial" w:cs="Arial"/>
          <w:szCs w:val="24"/>
        </w:rPr>
      </w:pPr>
    </w:p>
    <w:p w14:paraId="18425A54" w14:textId="41CC4522" w:rsidR="00522AC3" w:rsidRPr="00413DD8" w:rsidRDefault="00413DD8" w:rsidP="006F6C95">
      <w:pPr>
        <w:spacing w:line="264" w:lineRule="auto"/>
        <w:contextualSpacing/>
        <w:jc w:val="both"/>
        <w:rPr>
          <w:rFonts w:ascii="Arial" w:hAnsi="Arial" w:cs="Arial"/>
          <w:szCs w:val="24"/>
        </w:rPr>
      </w:pPr>
      <w:r w:rsidRPr="00413DD8">
        <w:rPr>
          <w:rFonts w:ascii="Arial" w:hAnsi="Arial" w:cs="Arial"/>
          <w:szCs w:val="24"/>
        </w:rPr>
        <w:t xml:space="preserve">Surface Water Management (SWM) </w:t>
      </w:r>
      <w:r w:rsidR="00472050">
        <w:rPr>
          <w:rFonts w:ascii="Arial" w:hAnsi="Arial" w:cs="Arial"/>
          <w:szCs w:val="24"/>
        </w:rPr>
        <w:t>Local Drainage Services</w:t>
      </w:r>
      <w:r w:rsidR="00F32638">
        <w:rPr>
          <w:rFonts w:ascii="Arial" w:hAnsi="Arial" w:cs="Arial"/>
          <w:szCs w:val="24"/>
        </w:rPr>
        <w:t xml:space="preserve"> </w:t>
      </w:r>
      <w:r w:rsidR="00396DD8">
        <w:rPr>
          <w:rFonts w:ascii="Arial" w:hAnsi="Arial" w:cs="Arial"/>
          <w:szCs w:val="24"/>
        </w:rPr>
        <w:t xml:space="preserve">provides a variety of </w:t>
      </w:r>
      <w:r w:rsidR="00941DB8">
        <w:rPr>
          <w:rFonts w:ascii="Arial" w:hAnsi="Arial" w:cs="Arial"/>
          <w:szCs w:val="24"/>
        </w:rPr>
        <w:t xml:space="preserve">functions for surface water management in King County. Local Drainage Services </w:t>
      </w:r>
      <w:r w:rsidRPr="00413DD8">
        <w:rPr>
          <w:rFonts w:ascii="Arial" w:hAnsi="Arial" w:cs="Arial"/>
          <w:szCs w:val="24"/>
        </w:rPr>
        <w:t>designs and constructs stormwater facilities</w:t>
      </w:r>
      <w:r w:rsidR="001A0536">
        <w:rPr>
          <w:rFonts w:ascii="Arial" w:hAnsi="Arial" w:cs="Arial"/>
          <w:szCs w:val="24"/>
        </w:rPr>
        <w:t>;</w:t>
      </w:r>
      <w:r w:rsidRPr="00413DD8">
        <w:rPr>
          <w:rFonts w:ascii="Arial" w:hAnsi="Arial" w:cs="Arial"/>
          <w:szCs w:val="24"/>
        </w:rPr>
        <w:t xml:space="preserve"> updates surface water design standards and regulations</w:t>
      </w:r>
      <w:r w:rsidR="00B30DC2">
        <w:rPr>
          <w:rFonts w:ascii="Arial" w:hAnsi="Arial" w:cs="Arial"/>
          <w:szCs w:val="24"/>
        </w:rPr>
        <w:t xml:space="preserve"> </w:t>
      </w:r>
      <w:r w:rsidR="001A0536">
        <w:rPr>
          <w:rFonts w:ascii="Arial" w:hAnsi="Arial" w:cs="Arial"/>
          <w:szCs w:val="24"/>
        </w:rPr>
        <w:t>in compliance with federal and state requirements;</w:t>
      </w:r>
      <w:r w:rsidRPr="00413DD8">
        <w:rPr>
          <w:rFonts w:ascii="Arial" w:hAnsi="Arial" w:cs="Arial"/>
          <w:szCs w:val="24"/>
        </w:rPr>
        <w:t xml:space="preserve"> inspects and maintains </w:t>
      </w:r>
      <w:r w:rsidR="001A0536">
        <w:rPr>
          <w:rFonts w:ascii="Arial" w:hAnsi="Arial" w:cs="Arial"/>
          <w:szCs w:val="24"/>
        </w:rPr>
        <w:t xml:space="preserve">existing </w:t>
      </w:r>
      <w:r w:rsidRPr="00413DD8">
        <w:rPr>
          <w:rFonts w:ascii="Arial" w:hAnsi="Arial" w:cs="Arial"/>
          <w:szCs w:val="24"/>
        </w:rPr>
        <w:t>stormwater facilities</w:t>
      </w:r>
      <w:r w:rsidR="00522AC3">
        <w:rPr>
          <w:rFonts w:ascii="Arial" w:hAnsi="Arial" w:cs="Arial"/>
          <w:szCs w:val="24"/>
        </w:rPr>
        <w:t>;</w:t>
      </w:r>
      <w:r w:rsidRPr="00413DD8">
        <w:rPr>
          <w:rFonts w:ascii="Arial" w:hAnsi="Arial" w:cs="Arial"/>
          <w:szCs w:val="24"/>
        </w:rPr>
        <w:t xml:space="preserve"> investigates</w:t>
      </w:r>
      <w:r w:rsidR="001A0536">
        <w:rPr>
          <w:rFonts w:ascii="Arial" w:hAnsi="Arial" w:cs="Arial"/>
          <w:szCs w:val="24"/>
        </w:rPr>
        <w:t>,</w:t>
      </w:r>
      <w:r w:rsidRPr="00413DD8">
        <w:rPr>
          <w:rFonts w:ascii="Arial" w:hAnsi="Arial" w:cs="Arial"/>
          <w:szCs w:val="24"/>
        </w:rPr>
        <w:t xml:space="preserve"> reports</w:t>
      </w:r>
      <w:r w:rsidR="001A0536">
        <w:rPr>
          <w:rFonts w:ascii="Arial" w:hAnsi="Arial" w:cs="Arial"/>
          <w:szCs w:val="24"/>
        </w:rPr>
        <w:t>,</w:t>
      </w:r>
      <w:r w:rsidRPr="00413DD8">
        <w:rPr>
          <w:rFonts w:ascii="Arial" w:hAnsi="Arial" w:cs="Arial"/>
          <w:szCs w:val="24"/>
        </w:rPr>
        <w:t xml:space="preserve"> and repairs drainage and water quality problems</w:t>
      </w:r>
      <w:r w:rsidR="00522AC3">
        <w:rPr>
          <w:rFonts w:ascii="Arial" w:hAnsi="Arial" w:cs="Arial"/>
          <w:szCs w:val="24"/>
        </w:rPr>
        <w:t>;</w:t>
      </w:r>
      <w:r w:rsidRPr="00413DD8">
        <w:rPr>
          <w:rFonts w:ascii="Arial" w:hAnsi="Arial" w:cs="Arial"/>
          <w:szCs w:val="24"/>
        </w:rPr>
        <w:t xml:space="preserve"> and manages compliance with the National Pollutant Discharge Elimination System (NPDES) permit required under the Clean Water Act.</w:t>
      </w:r>
      <w:r w:rsidR="009F0AD2">
        <w:rPr>
          <w:rFonts w:ascii="Arial" w:hAnsi="Arial" w:cs="Arial"/>
          <w:szCs w:val="24"/>
        </w:rPr>
        <w:t xml:space="preserve"> </w:t>
      </w:r>
      <w:r w:rsidR="00522AC3">
        <w:rPr>
          <w:rFonts w:ascii="Arial" w:hAnsi="Arial" w:cs="Arial"/>
          <w:szCs w:val="24"/>
        </w:rPr>
        <w:t xml:space="preserve">This fund holds the </w:t>
      </w:r>
      <w:r w:rsidR="009B4C5B">
        <w:rPr>
          <w:rFonts w:ascii="Arial" w:hAnsi="Arial" w:cs="Arial"/>
          <w:szCs w:val="24"/>
        </w:rPr>
        <w:t>mo</w:t>
      </w:r>
      <w:r w:rsidR="00B834C5">
        <w:rPr>
          <w:rFonts w:ascii="Arial" w:hAnsi="Arial" w:cs="Arial"/>
          <w:szCs w:val="24"/>
        </w:rPr>
        <w:t>ney for capital projects</w:t>
      </w:r>
      <w:r w:rsidR="00EA45ED">
        <w:rPr>
          <w:rFonts w:ascii="Arial" w:hAnsi="Arial" w:cs="Arial"/>
          <w:szCs w:val="24"/>
        </w:rPr>
        <w:t xml:space="preserve">, which are transferred to the SWM CIP </w:t>
      </w:r>
      <w:r w:rsidR="00500D71">
        <w:rPr>
          <w:rFonts w:ascii="Arial" w:hAnsi="Arial" w:cs="Arial"/>
          <w:szCs w:val="24"/>
        </w:rPr>
        <w:t>N</w:t>
      </w:r>
      <w:r w:rsidR="00EA45ED">
        <w:rPr>
          <w:rFonts w:ascii="Arial" w:hAnsi="Arial" w:cs="Arial"/>
          <w:szCs w:val="24"/>
        </w:rPr>
        <w:t xml:space="preserve">on-bond </w:t>
      </w:r>
      <w:proofErr w:type="spellStart"/>
      <w:r w:rsidR="00500D71">
        <w:rPr>
          <w:rFonts w:ascii="Arial" w:hAnsi="Arial" w:cs="Arial"/>
          <w:szCs w:val="24"/>
        </w:rPr>
        <w:t>Sub</w:t>
      </w:r>
      <w:r w:rsidR="00CF12D2">
        <w:rPr>
          <w:rFonts w:ascii="Arial" w:hAnsi="Arial" w:cs="Arial"/>
          <w:szCs w:val="24"/>
        </w:rPr>
        <w:t>f</w:t>
      </w:r>
      <w:r w:rsidR="00EA45ED">
        <w:rPr>
          <w:rFonts w:ascii="Arial" w:hAnsi="Arial" w:cs="Arial"/>
          <w:szCs w:val="24"/>
        </w:rPr>
        <w:t>und</w:t>
      </w:r>
      <w:proofErr w:type="spellEnd"/>
      <w:r w:rsidR="00EA45ED">
        <w:rPr>
          <w:rFonts w:ascii="Arial" w:hAnsi="Arial" w:cs="Arial"/>
          <w:szCs w:val="24"/>
        </w:rPr>
        <w:t xml:space="preserve"> </w:t>
      </w:r>
      <w:r w:rsidR="00B834C5">
        <w:rPr>
          <w:rFonts w:ascii="Arial" w:hAnsi="Arial" w:cs="Arial"/>
          <w:szCs w:val="24"/>
        </w:rPr>
        <w:t>through a pay-as-you-go system</w:t>
      </w:r>
      <w:r w:rsidR="009F0AD2">
        <w:rPr>
          <w:rFonts w:ascii="Arial" w:hAnsi="Arial" w:cs="Arial"/>
          <w:szCs w:val="24"/>
        </w:rPr>
        <w:t>.</w:t>
      </w:r>
      <w:r w:rsidR="00B834C5">
        <w:rPr>
          <w:rFonts w:ascii="Arial" w:hAnsi="Arial" w:cs="Arial"/>
          <w:szCs w:val="24"/>
        </w:rPr>
        <w:t xml:space="preserve"> </w:t>
      </w:r>
    </w:p>
    <w:p w14:paraId="58418056" w14:textId="766FA0AF" w:rsidR="004567F8" w:rsidRPr="00F6225B" w:rsidRDefault="004567F8" w:rsidP="008A5CF4">
      <w:pPr>
        <w:spacing w:line="264" w:lineRule="auto"/>
        <w:contextualSpacing/>
        <w:rPr>
          <w:rFonts w:ascii="Arial" w:hAnsi="Arial" w:cs="Arial"/>
          <w:szCs w:val="24"/>
        </w:rPr>
      </w:pPr>
    </w:p>
    <w:p w14:paraId="63E54FF6" w14:textId="154CE1C7" w:rsidR="005C2E8B" w:rsidRPr="00A70D3D" w:rsidRDefault="008156D8" w:rsidP="008156D8">
      <w:pPr>
        <w:spacing w:line="264" w:lineRule="auto"/>
        <w:contextualSpacing/>
        <w:jc w:val="center"/>
        <w:rPr>
          <w:rFonts w:ascii="Arial" w:hAnsi="Arial" w:cs="Arial"/>
          <w:b/>
          <w:szCs w:val="24"/>
        </w:rPr>
      </w:pPr>
      <w:r w:rsidRPr="00A70D3D">
        <w:rPr>
          <w:rFonts w:ascii="Arial" w:hAnsi="Arial" w:cs="Arial"/>
          <w:b/>
          <w:smallCaps/>
          <w:szCs w:val="24"/>
          <w:u w:val="single"/>
        </w:rPr>
        <w:t>Summary of Proposed Budget and Changes</w:t>
      </w:r>
    </w:p>
    <w:p w14:paraId="6F397FB5" w14:textId="77777777" w:rsidR="005C2E8B" w:rsidRPr="00A70D3D" w:rsidRDefault="005C2E8B" w:rsidP="008A5CF4">
      <w:pPr>
        <w:spacing w:line="264" w:lineRule="auto"/>
        <w:contextualSpacing/>
        <w:jc w:val="both"/>
        <w:rPr>
          <w:rFonts w:ascii="Arial" w:hAnsi="Arial" w:cs="Arial"/>
          <w:szCs w:val="24"/>
        </w:rPr>
      </w:pPr>
    </w:p>
    <w:p w14:paraId="158580B4" w14:textId="0CB5C1B7" w:rsidR="005C2E8B" w:rsidRDefault="00780A2F" w:rsidP="008A5CF4">
      <w:pPr>
        <w:spacing w:line="264" w:lineRule="auto"/>
        <w:contextualSpacing/>
        <w:jc w:val="both"/>
        <w:rPr>
          <w:rFonts w:ascii="Arial" w:hAnsi="Arial" w:cs="Arial"/>
          <w:szCs w:val="24"/>
        </w:rPr>
      </w:pPr>
      <w:r w:rsidRPr="00A70D3D">
        <w:rPr>
          <w:rFonts w:ascii="Arial" w:hAnsi="Arial" w:cs="Arial"/>
          <w:szCs w:val="24"/>
        </w:rPr>
        <w:t>The SWM revenue is proposed to increase by $</w:t>
      </w:r>
      <w:r w:rsidR="00F77E3E" w:rsidRPr="00A70D3D">
        <w:rPr>
          <w:rFonts w:ascii="Arial" w:hAnsi="Arial" w:cs="Arial"/>
          <w:szCs w:val="24"/>
        </w:rPr>
        <w:t>9.6</w:t>
      </w:r>
      <w:r w:rsidRPr="00A70D3D">
        <w:rPr>
          <w:rFonts w:ascii="Arial" w:hAnsi="Arial" w:cs="Arial"/>
          <w:szCs w:val="24"/>
        </w:rPr>
        <w:t xml:space="preserve"> million through </w:t>
      </w:r>
      <w:r w:rsidR="00A70095">
        <w:rPr>
          <w:rFonts w:ascii="Arial" w:hAnsi="Arial" w:cs="Arial"/>
          <w:szCs w:val="24"/>
        </w:rPr>
        <w:t>a</w:t>
      </w:r>
      <w:r w:rsidR="00E31FE7">
        <w:rPr>
          <w:rFonts w:ascii="Arial" w:hAnsi="Arial" w:cs="Arial"/>
          <w:szCs w:val="24"/>
        </w:rPr>
        <w:t>n</w:t>
      </w:r>
      <w:r w:rsidR="00A70095">
        <w:rPr>
          <w:rFonts w:ascii="Arial" w:hAnsi="Arial" w:cs="Arial"/>
          <w:szCs w:val="24"/>
        </w:rPr>
        <w:t xml:space="preserve"> 11.8 percent </w:t>
      </w:r>
      <w:r w:rsidRPr="00A70D3D">
        <w:rPr>
          <w:rFonts w:ascii="Arial" w:hAnsi="Arial" w:cs="Arial"/>
          <w:szCs w:val="24"/>
        </w:rPr>
        <w:t xml:space="preserve">increase to the SWM </w:t>
      </w:r>
      <w:r w:rsidR="00236250">
        <w:rPr>
          <w:rFonts w:ascii="Arial" w:hAnsi="Arial" w:cs="Arial"/>
          <w:szCs w:val="24"/>
        </w:rPr>
        <w:t>rate</w:t>
      </w:r>
      <w:r w:rsidR="00A02DAD">
        <w:rPr>
          <w:rFonts w:ascii="Arial" w:hAnsi="Arial" w:cs="Arial"/>
          <w:szCs w:val="24"/>
        </w:rPr>
        <w:t>s</w:t>
      </w:r>
      <w:r w:rsidR="00CF12D2">
        <w:rPr>
          <w:rFonts w:ascii="Arial" w:hAnsi="Arial" w:cs="Arial"/>
          <w:szCs w:val="24"/>
        </w:rPr>
        <w:t>, discussed further in the Issues section below. This revenue w</w:t>
      </w:r>
      <w:r w:rsidR="00E31FE7">
        <w:rPr>
          <w:rFonts w:ascii="Arial" w:hAnsi="Arial" w:cs="Arial"/>
          <w:szCs w:val="24"/>
        </w:rPr>
        <w:t>ould</w:t>
      </w:r>
      <w:r w:rsidR="00CF12D2">
        <w:rPr>
          <w:rFonts w:ascii="Arial" w:hAnsi="Arial" w:cs="Arial"/>
          <w:szCs w:val="24"/>
        </w:rPr>
        <w:t xml:space="preserve"> </w:t>
      </w:r>
      <w:r w:rsidR="006D3B99">
        <w:rPr>
          <w:rFonts w:ascii="Arial" w:hAnsi="Arial" w:cs="Arial"/>
          <w:szCs w:val="24"/>
        </w:rPr>
        <w:t xml:space="preserve">provide for </w:t>
      </w:r>
      <w:r w:rsidRPr="00A70D3D">
        <w:rPr>
          <w:rFonts w:ascii="Arial" w:hAnsi="Arial" w:cs="Arial"/>
          <w:szCs w:val="24"/>
        </w:rPr>
        <w:t xml:space="preserve">current levels </w:t>
      </w:r>
      <w:r w:rsidR="00CF12D2">
        <w:rPr>
          <w:rFonts w:ascii="Arial" w:hAnsi="Arial" w:cs="Arial"/>
          <w:szCs w:val="24"/>
        </w:rPr>
        <w:t>of service</w:t>
      </w:r>
      <w:r w:rsidR="001810EB" w:rsidRPr="00A70D3D">
        <w:rPr>
          <w:rFonts w:ascii="Arial" w:hAnsi="Arial" w:cs="Arial"/>
          <w:szCs w:val="24"/>
        </w:rPr>
        <w:t xml:space="preserve"> and</w:t>
      </w:r>
      <w:r w:rsidRPr="00A70D3D">
        <w:rPr>
          <w:rFonts w:ascii="Arial" w:hAnsi="Arial" w:cs="Arial"/>
          <w:szCs w:val="24"/>
        </w:rPr>
        <w:t xml:space="preserve"> </w:t>
      </w:r>
      <w:r w:rsidR="00C43133">
        <w:rPr>
          <w:rFonts w:ascii="Arial" w:hAnsi="Arial" w:cs="Arial"/>
          <w:szCs w:val="24"/>
        </w:rPr>
        <w:t>expand</w:t>
      </w:r>
      <w:r w:rsidR="006D3B99">
        <w:rPr>
          <w:rFonts w:ascii="Arial" w:hAnsi="Arial" w:cs="Arial"/>
          <w:szCs w:val="24"/>
        </w:rPr>
        <w:t xml:space="preserve"> </w:t>
      </w:r>
      <w:r w:rsidR="00BF2E15">
        <w:rPr>
          <w:rFonts w:ascii="Arial" w:hAnsi="Arial" w:cs="Arial"/>
          <w:szCs w:val="24"/>
        </w:rPr>
        <w:t>support services in both th</w:t>
      </w:r>
      <w:r w:rsidR="00AC62A9">
        <w:rPr>
          <w:rFonts w:ascii="Arial" w:hAnsi="Arial" w:cs="Arial"/>
          <w:szCs w:val="24"/>
        </w:rPr>
        <w:t>e SWM Local Drainage Services appropriation unit</w:t>
      </w:r>
      <w:r w:rsidR="00236250">
        <w:rPr>
          <w:rFonts w:ascii="Arial" w:hAnsi="Arial" w:cs="Arial"/>
          <w:szCs w:val="24"/>
        </w:rPr>
        <w:t xml:space="preserve"> </w:t>
      </w:r>
      <w:r w:rsidR="00BF2E15">
        <w:rPr>
          <w:rFonts w:ascii="Arial" w:hAnsi="Arial" w:cs="Arial"/>
          <w:szCs w:val="24"/>
        </w:rPr>
        <w:t>and the Water and Land appropriation unit</w:t>
      </w:r>
      <w:r w:rsidR="00236250">
        <w:rPr>
          <w:rFonts w:ascii="Arial" w:hAnsi="Arial" w:cs="Arial"/>
          <w:szCs w:val="24"/>
        </w:rPr>
        <w:t xml:space="preserve">. </w:t>
      </w:r>
      <w:r w:rsidRPr="00A70D3D">
        <w:rPr>
          <w:rFonts w:ascii="Arial" w:hAnsi="Arial" w:cs="Arial"/>
          <w:szCs w:val="24"/>
        </w:rPr>
        <w:t xml:space="preserve"> </w:t>
      </w:r>
      <w:r w:rsidR="00902CC2">
        <w:rPr>
          <w:rFonts w:ascii="Arial" w:hAnsi="Arial" w:cs="Arial"/>
          <w:szCs w:val="24"/>
        </w:rPr>
        <w:t xml:space="preserve">Other </w:t>
      </w:r>
      <w:r w:rsidR="00D91E50">
        <w:rPr>
          <w:rFonts w:ascii="Arial" w:hAnsi="Arial" w:cs="Arial"/>
          <w:szCs w:val="24"/>
        </w:rPr>
        <w:t>n</w:t>
      </w:r>
      <w:r w:rsidRPr="00A70D3D">
        <w:rPr>
          <w:rFonts w:ascii="Arial" w:hAnsi="Arial" w:cs="Arial"/>
          <w:szCs w:val="24"/>
        </w:rPr>
        <w:t xml:space="preserve">otable </w:t>
      </w:r>
      <w:r w:rsidR="00273FF0">
        <w:rPr>
          <w:rFonts w:ascii="Arial" w:hAnsi="Arial" w:cs="Arial"/>
          <w:szCs w:val="24"/>
        </w:rPr>
        <w:t>changes</w:t>
      </w:r>
      <w:r w:rsidRPr="00A70D3D">
        <w:rPr>
          <w:rFonts w:ascii="Arial" w:hAnsi="Arial" w:cs="Arial"/>
          <w:szCs w:val="24"/>
        </w:rPr>
        <w:t xml:space="preserve"> are described below:</w:t>
      </w:r>
    </w:p>
    <w:p w14:paraId="7C5B6A13" w14:textId="77777777" w:rsidR="00693391" w:rsidRPr="00693391" w:rsidRDefault="00693391" w:rsidP="00693391">
      <w:pPr>
        <w:spacing w:line="264" w:lineRule="auto"/>
        <w:contextualSpacing/>
        <w:jc w:val="both"/>
        <w:rPr>
          <w:rFonts w:ascii="Arial" w:hAnsi="Arial" w:cs="Arial"/>
          <w:szCs w:val="24"/>
        </w:rPr>
      </w:pPr>
    </w:p>
    <w:p w14:paraId="0E2D1EBF" w14:textId="5BA72C82" w:rsidR="00063A51" w:rsidRDefault="009D4679" w:rsidP="004C460E">
      <w:pPr>
        <w:numPr>
          <w:ilvl w:val="0"/>
          <w:numId w:val="5"/>
        </w:numPr>
        <w:spacing w:line="264" w:lineRule="auto"/>
        <w:contextualSpacing/>
        <w:jc w:val="both"/>
        <w:rPr>
          <w:rFonts w:ascii="Arial" w:hAnsi="Arial" w:cs="Arial"/>
          <w:szCs w:val="24"/>
        </w:rPr>
      </w:pPr>
      <w:r w:rsidRPr="00CE626B">
        <w:rPr>
          <w:rFonts w:ascii="Arial" w:hAnsi="Arial" w:cs="Arial"/>
          <w:szCs w:val="24"/>
        </w:rPr>
        <w:t xml:space="preserve">Add a business analyst </w:t>
      </w:r>
      <w:r w:rsidR="00595B5C" w:rsidRPr="00CE626B">
        <w:rPr>
          <w:rFonts w:ascii="Arial" w:hAnsi="Arial" w:cs="Arial"/>
          <w:szCs w:val="24"/>
        </w:rPr>
        <w:t xml:space="preserve">position, including $327,871 and 1.0 FTE, </w:t>
      </w:r>
      <w:r w:rsidR="00AB3870" w:rsidRPr="00CE626B">
        <w:rPr>
          <w:rFonts w:ascii="Arial" w:hAnsi="Arial" w:cs="Arial"/>
          <w:szCs w:val="24"/>
        </w:rPr>
        <w:t xml:space="preserve">to provide </w:t>
      </w:r>
      <w:r w:rsidR="008A05B8" w:rsidRPr="00CE626B">
        <w:rPr>
          <w:rFonts w:ascii="Arial" w:hAnsi="Arial" w:cs="Arial"/>
          <w:szCs w:val="24"/>
        </w:rPr>
        <w:t xml:space="preserve">support for stormwater management fee billing and </w:t>
      </w:r>
      <w:r w:rsidR="00CF1ABE" w:rsidRPr="00CE626B">
        <w:rPr>
          <w:rFonts w:ascii="Arial" w:hAnsi="Arial" w:cs="Arial"/>
          <w:szCs w:val="24"/>
        </w:rPr>
        <w:t>the customer relationship management database</w:t>
      </w:r>
      <w:r w:rsidR="00E31FE7">
        <w:rPr>
          <w:rFonts w:ascii="Arial" w:hAnsi="Arial" w:cs="Arial"/>
          <w:szCs w:val="24"/>
        </w:rPr>
        <w:t>,</w:t>
      </w:r>
      <w:r w:rsidR="00CF1ABE" w:rsidRPr="00CE626B">
        <w:rPr>
          <w:rFonts w:ascii="Arial" w:hAnsi="Arial" w:cs="Arial"/>
          <w:szCs w:val="24"/>
        </w:rPr>
        <w:t xml:space="preserve"> as well as</w:t>
      </w:r>
      <w:r w:rsidR="00E31FE7">
        <w:rPr>
          <w:rFonts w:ascii="Arial" w:hAnsi="Arial" w:cs="Arial"/>
          <w:szCs w:val="24"/>
        </w:rPr>
        <w:t xml:space="preserve"> to</w:t>
      </w:r>
      <w:r w:rsidR="00CF1ABE" w:rsidRPr="00CE626B">
        <w:rPr>
          <w:rFonts w:ascii="Arial" w:hAnsi="Arial" w:cs="Arial"/>
          <w:szCs w:val="24"/>
        </w:rPr>
        <w:t xml:space="preserve"> provide process improvements. </w:t>
      </w:r>
      <w:r w:rsidR="007F13D2" w:rsidRPr="00CE626B">
        <w:rPr>
          <w:rFonts w:ascii="Arial" w:hAnsi="Arial" w:cs="Arial"/>
          <w:szCs w:val="24"/>
        </w:rPr>
        <w:t xml:space="preserve">Currently, </w:t>
      </w:r>
      <w:r w:rsidR="008C0F9F" w:rsidRPr="00CE626B">
        <w:rPr>
          <w:rFonts w:ascii="Arial" w:hAnsi="Arial" w:cs="Arial"/>
          <w:szCs w:val="24"/>
        </w:rPr>
        <w:t xml:space="preserve">the program </w:t>
      </w:r>
      <w:r w:rsidR="00E96A57" w:rsidRPr="00CE626B">
        <w:rPr>
          <w:rFonts w:ascii="Arial" w:hAnsi="Arial" w:cs="Arial"/>
          <w:szCs w:val="24"/>
        </w:rPr>
        <w:t>pays</w:t>
      </w:r>
      <w:r w:rsidR="008C0F9F" w:rsidRPr="00CE626B">
        <w:rPr>
          <w:rFonts w:ascii="Arial" w:hAnsi="Arial" w:cs="Arial"/>
          <w:szCs w:val="24"/>
        </w:rPr>
        <w:t xml:space="preserve"> KCIT to provide data analytics support</w:t>
      </w:r>
      <w:r w:rsidR="0002007B" w:rsidRPr="00CE626B">
        <w:rPr>
          <w:rFonts w:ascii="Arial" w:hAnsi="Arial" w:cs="Arial"/>
          <w:szCs w:val="24"/>
        </w:rPr>
        <w:t xml:space="preserve">. </w:t>
      </w:r>
      <w:r w:rsidR="00CE626B">
        <w:rPr>
          <w:rFonts w:ascii="Arial" w:hAnsi="Arial" w:cs="Arial"/>
          <w:szCs w:val="24"/>
        </w:rPr>
        <w:t>The agency</w:t>
      </w:r>
      <w:r w:rsidR="00EE1BC1" w:rsidRPr="00CE626B">
        <w:rPr>
          <w:rFonts w:ascii="Arial" w:hAnsi="Arial" w:cs="Arial"/>
          <w:szCs w:val="24"/>
        </w:rPr>
        <w:t xml:space="preserve"> anticipates </w:t>
      </w:r>
      <w:r w:rsidR="00CE626B" w:rsidRPr="00CE626B">
        <w:rPr>
          <w:rFonts w:ascii="Arial" w:hAnsi="Arial" w:cs="Arial"/>
          <w:szCs w:val="24"/>
        </w:rPr>
        <w:t>a</w:t>
      </w:r>
      <w:r w:rsidR="00CE626B">
        <w:rPr>
          <w:rFonts w:ascii="Arial" w:hAnsi="Arial" w:cs="Arial"/>
          <w:szCs w:val="24"/>
        </w:rPr>
        <w:t xml:space="preserve"> cost</w:t>
      </w:r>
      <w:r w:rsidR="00CE626B" w:rsidRPr="00CE626B">
        <w:rPr>
          <w:rFonts w:ascii="Arial" w:hAnsi="Arial" w:cs="Arial"/>
          <w:szCs w:val="24"/>
        </w:rPr>
        <w:t xml:space="preserve"> reduction of up to $75,000</w:t>
      </w:r>
      <w:r w:rsidR="00EE1BC1" w:rsidRPr="00CE626B">
        <w:rPr>
          <w:rFonts w:ascii="Arial" w:hAnsi="Arial" w:cs="Arial"/>
          <w:szCs w:val="24"/>
        </w:rPr>
        <w:t xml:space="preserve"> </w:t>
      </w:r>
      <w:r w:rsidR="00B21761">
        <w:rPr>
          <w:rFonts w:ascii="Arial" w:hAnsi="Arial" w:cs="Arial"/>
          <w:szCs w:val="24"/>
        </w:rPr>
        <w:t xml:space="preserve">after this 2023-2024 biennium, </w:t>
      </w:r>
      <w:r w:rsidR="00CE626B" w:rsidRPr="00CE626B">
        <w:rPr>
          <w:rFonts w:ascii="Arial" w:hAnsi="Arial" w:cs="Arial"/>
          <w:szCs w:val="24"/>
        </w:rPr>
        <w:t>once</w:t>
      </w:r>
      <w:r w:rsidR="00452F83" w:rsidRPr="00CE626B">
        <w:rPr>
          <w:rFonts w:ascii="Arial" w:hAnsi="Arial" w:cs="Arial"/>
          <w:szCs w:val="24"/>
        </w:rPr>
        <w:t xml:space="preserve"> </w:t>
      </w:r>
      <w:r w:rsidR="00EE1BC1" w:rsidRPr="00CE626B">
        <w:rPr>
          <w:rFonts w:ascii="Arial" w:hAnsi="Arial" w:cs="Arial"/>
          <w:szCs w:val="24"/>
        </w:rPr>
        <w:t xml:space="preserve">SWM billing support is </w:t>
      </w:r>
      <w:r w:rsidR="00CE626B">
        <w:rPr>
          <w:rFonts w:ascii="Arial" w:hAnsi="Arial" w:cs="Arial"/>
          <w:szCs w:val="24"/>
        </w:rPr>
        <w:t xml:space="preserve">fully </w:t>
      </w:r>
      <w:r w:rsidR="00EE1BC1" w:rsidRPr="00CE626B">
        <w:rPr>
          <w:rFonts w:ascii="Arial" w:hAnsi="Arial" w:cs="Arial"/>
          <w:szCs w:val="24"/>
        </w:rPr>
        <w:t>transitioned to this business analyst position</w:t>
      </w:r>
      <w:r w:rsidR="00B21761">
        <w:rPr>
          <w:rFonts w:ascii="Arial" w:hAnsi="Arial" w:cs="Arial"/>
          <w:szCs w:val="24"/>
        </w:rPr>
        <w:t>.</w:t>
      </w:r>
    </w:p>
    <w:p w14:paraId="48649110" w14:textId="77777777" w:rsidR="00B21761" w:rsidRPr="00CE626B" w:rsidRDefault="00B21761" w:rsidP="00B21761">
      <w:pPr>
        <w:spacing w:line="264" w:lineRule="auto"/>
        <w:ind w:left="720"/>
        <w:contextualSpacing/>
        <w:jc w:val="both"/>
        <w:rPr>
          <w:rFonts w:ascii="Arial" w:hAnsi="Arial" w:cs="Arial"/>
          <w:szCs w:val="24"/>
        </w:rPr>
      </w:pPr>
    </w:p>
    <w:p w14:paraId="1E263918" w14:textId="1882CC81" w:rsidR="00754D97" w:rsidRPr="00DF505C" w:rsidRDefault="00432385" w:rsidP="008A5CF4">
      <w:pPr>
        <w:numPr>
          <w:ilvl w:val="0"/>
          <w:numId w:val="5"/>
        </w:numPr>
        <w:spacing w:line="264" w:lineRule="auto"/>
        <w:contextualSpacing/>
        <w:jc w:val="both"/>
        <w:rPr>
          <w:rFonts w:ascii="Arial" w:hAnsi="Arial" w:cs="Arial"/>
          <w:szCs w:val="24"/>
        </w:rPr>
      </w:pPr>
      <w:r>
        <w:rPr>
          <w:rFonts w:ascii="Arial" w:hAnsi="Arial" w:cs="Arial"/>
          <w:szCs w:val="24"/>
        </w:rPr>
        <w:t>Move</w:t>
      </w:r>
      <w:r w:rsidR="00F755DB">
        <w:rPr>
          <w:rFonts w:ascii="Arial" w:hAnsi="Arial" w:cs="Arial"/>
          <w:szCs w:val="24"/>
        </w:rPr>
        <w:t xml:space="preserve"> the Agricultural and Neighborhood Drainage and Water Quality Program</w:t>
      </w:r>
      <w:r w:rsidR="00FB608A">
        <w:rPr>
          <w:rFonts w:ascii="Arial" w:hAnsi="Arial" w:cs="Arial"/>
          <w:szCs w:val="24"/>
        </w:rPr>
        <w:t>s</w:t>
      </w:r>
      <w:r w:rsidR="00F755DB">
        <w:rPr>
          <w:rFonts w:ascii="Arial" w:hAnsi="Arial" w:cs="Arial"/>
          <w:szCs w:val="24"/>
        </w:rPr>
        <w:t xml:space="preserve"> (also known as ADAP and NDAP) from the </w:t>
      </w:r>
      <w:r w:rsidR="00D30AA4">
        <w:rPr>
          <w:rFonts w:ascii="Arial" w:hAnsi="Arial" w:cs="Arial"/>
          <w:szCs w:val="24"/>
        </w:rPr>
        <w:t>SWM capital fund to the operating fund</w:t>
      </w:r>
      <w:r w:rsidR="00FB608A">
        <w:rPr>
          <w:rFonts w:ascii="Arial" w:hAnsi="Arial" w:cs="Arial"/>
          <w:szCs w:val="24"/>
        </w:rPr>
        <w:t xml:space="preserve"> d</w:t>
      </w:r>
      <w:r w:rsidR="00D30AA4" w:rsidRPr="00D30AA4">
        <w:rPr>
          <w:rFonts w:ascii="Arial" w:hAnsi="Arial" w:cs="Arial"/>
          <w:szCs w:val="24"/>
        </w:rPr>
        <w:t>ue to the non-capital project nature of th</w:t>
      </w:r>
      <w:r w:rsidR="00FB608A">
        <w:rPr>
          <w:rFonts w:ascii="Arial" w:hAnsi="Arial" w:cs="Arial"/>
          <w:szCs w:val="24"/>
        </w:rPr>
        <w:t>ese</w:t>
      </w:r>
      <w:r w:rsidR="00D30AA4" w:rsidRPr="00D30AA4">
        <w:rPr>
          <w:rFonts w:ascii="Arial" w:hAnsi="Arial" w:cs="Arial"/>
          <w:szCs w:val="24"/>
        </w:rPr>
        <w:t xml:space="preserve"> program</w:t>
      </w:r>
      <w:r w:rsidR="00FB608A">
        <w:rPr>
          <w:rFonts w:ascii="Arial" w:hAnsi="Arial" w:cs="Arial"/>
          <w:szCs w:val="24"/>
        </w:rPr>
        <w:t>s</w:t>
      </w:r>
      <w:r w:rsidR="006B4190">
        <w:rPr>
          <w:rFonts w:ascii="Arial" w:hAnsi="Arial" w:cs="Arial"/>
          <w:szCs w:val="24"/>
        </w:rPr>
        <w:t xml:space="preserve">. Although there is a $1.15 million expenditure request, this is a net-zero impact due to </w:t>
      </w:r>
      <w:r w:rsidR="00507152">
        <w:rPr>
          <w:rFonts w:ascii="Arial" w:hAnsi="Arial" w:cs="Arial"/>
          <w:szCs w:val="24"/>
        </w:rPr>
        <w:t xml:space="preserve">how </w:t>
      </w:r>
      <w:r w:rsidR="0075283A">
        <w:rPr>
          <w:rFonts w:ascii="Arial" w:hAnsi="Arial" w:cs="Arial"/>
          <w:szCs w:val="24"/>
        </w:rPr>
        <w:t>mon</w:t>
      </w:r>
      <w:r w:rsidR="00E31FE7">
        <w:rPr>
          <w:rFonts w:ascii="Arial" w:hAnsi="Arial" w:cs="Arial"/>
          <w:szCs w:val="24"/>
        </w:rPr>
        <w:t>eys</w:t>
      </w:r>
      <w:r w:rsidR="0075283A">
        <w:rPr>
          <w:rFonts w:ascii="Arial" w:hAnsi="Arial" w:cs="Arial"/>
          <w:szCs w:val="24"/>
        </w:rPr>
        <w:t xml:space="preserve"> for </w:t>
      </w:r>
      <w:r w:rsidR="00507152">
        <w:rPr>
          <w:rFonts w:ascii="Arial" w:hAnsi="Arial" w:cs="Arial"/>
          <w:szCs w:val="24"/>
        </w:rPr>
        <w:t xml:space="preserve">capital </w:t>
      </w:r>
      <w:r w:rsidR="00507152" w:rsidRPr="00DF505C">
        <w:rPr>
          <w:rFonts w:ascii="Arial" w:hAnsi="Arial" w:cs="Arial"/>
          <w:szCs w:val="24"/>
        </w:rPr>
        <w:t xml:space="preserve">projects </w:t>
      </w:r>
      <w:r w:rsidR="00D6434C">
        <w:rPr>
          <w:rFonts w:ascii="Arial" w:hAnsi="Arial" w:cs="Arial"/>
          <w:szCs w:val="24"/>
        </w:rPr>
        <w:t xml:space="preserve">are </w:t>
      </w:r>
      <w:r w:rsidR="00AA1654">
        <w:rPr>
          <w:rFonts w:ascii="Arial" w:hAnsi="Arial" w:cs="Arial"/>
          <w:szCs w:val="24"/>
        </w:rPr>
        <w:t>transferred</w:t>
      </w:r>
      <w:r w:rsidR="00C338AB">
        <w:rPr>
          <w:rFonts w:ascii="Arial" w:hAnsi="Arial" w:cs="Arial"/>
          <w:szCs w:val="24"/>
        </w:rPr>
        <w:t xml:space="preserve"> between this operating fund and the SWM CIP </w:t>
      </w:r>
      <w:r w:rsidR="00D91A43">
        <w:rPr>
          <w:rFonts w:ascii="Arial" w:hAnsi="Arial" w:cs="Arial"/>
          <w:szCs w:val="24"/>
        </w:rPr>
        <w:t xml:space="preserve">Non-bond </w:t>
      </w:r>
      <w:proofErr w:type="spellStart"/>
      <w:r w:rsidR="00C338AB">
        <w:rPr>
          <w:rFonts w:ascii="Arial" w:hAnsi="Arial" w:cs="Arial"/>
          <w:szCs w:val="24"/>
        </w:rPr>
        <w:t>Subfund</w:t>
      </w:r>
      <w:proofErr w:type="spellEnd"/>
      <w:r w:rsidR="00507152" w:rsidRPr="00DF505C">
        <w:rPr>
          <w:rFonts w:ascii="Arial" w:hAnsi="Arial" w:cs="Arial"/>
          <w:szCs w:val="24"/>
        </w:rPr>
        <w:t>.</w:t>
      </w:r>
      <w:r w:rsidR="00FB608A" w:rsidRPr="00DF505C">
        <w:rPr>
          <w:rFonts w:ascii="Arial" w:hAnsi="Arial" w:cs="Arial"/>
          <w:szCs w:val="24"/>
        </w:rPr>
        <w:t xml:space="preserve"> </w:t>
      </w:r>
    </w:p>
    <w:p w14:paraId="313F3ED9" w14:textId="77777777" w:rsidR="00A33C8F" w:rsidRPr="00DF505C" w:rsidRDefault="00A33C8F" w:rsidP="00A33C8F">
      <w:pPr>
        <w:spacing w:line="264" w:lineRule="auto"/>
        <w:ind w:left="720"/>
        <w:contextualSpacing/>
        <w:jc w:val="both"/>
        <w:rPr>
          <w:rFonts w:ascii="Arial" w:hAnsi="Arial" w:cs="Arial"/>
          <w:szCs w:val="24"/>
        </w:rPr>
      </w:pPr>
    </w:p>
    <w:p w14:paraId="52A44CAB" w14:textId="453CFED5" w:rsidR="001E042A" w:rsidRPr="004A202B" w:rsidRDefault="001E042A" w:rsidP="001E042A">
      <w:pPr>
        <w:numPr>
          <w:ilvl w:val="0"/>
          <w:numId w:val="5"/>
        </w:numPr>
        <w:spacing w:line="264" w:lineRule="auto"/>
        <w:jc w:val="both"/>
        <w:rPr>
          <w:rFonts w:ascii="Arial" w:hAnsi="Arial" w:cs="Arial"/>
          <w:szCs w:val="24"/>
        </w:rPr>
      </w:pPr>
      <w:r w:rsidRPr="001E042A">
        <w:rPr>
          <w:rFonts w:ascii="Arial" w:hAnsi="Arial" w:cs="Arial"/>
          <w:szCs w:val="24"/>
        </w:rPr>
        <w:t>Move three programs from Surface Water Management Local Drainage Services to the Water and Land</w:t>
      </w:r>
      <w:r w:rsidR="00365D72">
        <w:rPr>
          <w:rFonts w:ascii="Arial" w:hAnsi="Arial" w:cs="Arial"/>
          <w:szCs w:val="24"/>
        </w:rPr>
        <w:t xml:space="preserve"> Resources</w:t>
      </w:r>
      <w:r w:rsidR="00E31FE7">
        <w:rPr>
          <w:rFonts w:ascii="Arial" w:hAnsi="Arial" w:cs="Arial"/>
          <w:szCs w:val="24"/>
        </w:rPr>
        <w:t xml:space="preserve"> appropriation unit</w:t>
      </w:r>
      <w:r w:rsidRPr="001E042A">
        <w:rPr>
          <w:rFonts w:ascii="Arial" w:hAnsi="Arial" w:cs="Arial"/>
          <w:szCs w:val="24"/>
        </w:rPr>
        <w:t xml:space="preserve">. These programs are the Open Space Acquisition (OSA) unit; Agriculture, Forestry, and Incentive unit; and Basin Stewards. The purpose of this move is to </w:t>
      </w:r>
      <w:r w:rsidR="00A24255">
        <w:rPr>
          <w:rFonts w:ascii="Arial" w:hAnsi="Arial" w:cs="Arial"/>
          <w:szCs w:val="24"/>
        </w:rPr>
        <w:t>align the SWM Local Drainage Services fund scope more closely</w:t>
      </w:r>
      <w:r w:rsidR="00A0285C">
        <w:rPr>
          <w:rFonts w:ascii="Arial" w:hAnsi="Arial" w:cs="Arial"/>
          <w:szCs w:val="24"/>
        </w:rPr>
        <w:t xml:space="preserve"> </w:t>
      </w:r>
      <w:r w:rsidR="00195577">
        <w:rPr>
          <w:rFonts w:ascii="Arial" w:hAnsi="Arial" w:cs="Arial"/>
          <w:szCs w:val="24"/>
        </w:rPr>
        <w:t>with</w:t>
      </w:r>
      <w:r w:rsidR="00AA1654">
        <w:rPr>
          <w:rFonts w:ascii="Arial" w:hAnsi="Arial" w:cs="Arial"/>
          <w:szCs w:val="24"/>
        </w:rPr>
        <w:t xml:space="preserve"> surface water </w:t>
      </w:r>
      <w:r w:rsidR="00AA1654" w:rsidRPr="004A202B">
        <w:rPr>
          <w:rFonts w:ascii="Arial" w:hAnsi="Arial" w:cs="Arial"/>
          <w:szCs w:val="24"/>
        </w:rPr>
        <w:t>management</w:t>
      </w:r>
      <w:r w:rsidR="00195577" w:rsidRPr="004A202B">
        <w:rPr>
          <w:rFonts w:ascii="Arial" w:hAnsi="Arial" w:cs="Arial"/>
          <w:szCs w:val="24"/>
        </w:rPr>
        <w:t xml:space="preserve"> activities</w:t>
      </w:r>
      <w:r w:rsidRPr="004A202B">
        <w:rPr>
          <w:rFonts w:ascii="Arial" w:hAnsi="Arial" w:cs="Arial"/>
          <w:szCs w:val="24"/>
        </w:rPr>
        <w:t xml:space="preserve">. This proposed technical adjustment includes </w:t>
      </w:r>
      <w:proofErr w:type="spellStart"/>
      <w:r w:rsidRPr="004A202B">
        <w:rPr>
          <w:rFonts w:ascii="Arial" w:hAnsi="Arial" w:cs="Arial"/>
          <w:szCs w:val="24"/>
        </w:rPr>
        <w:t>disappropriating</w:t>
      </w:r>
      <w:proofErr w:type="spellEnd"/>
      <w:r w:rsidRPr="004A202B">
        <w:rPr>
          <w:rFonts w:ascii="Arial" w:hAnsi="Arial" w:cs="Arial"/>
          <w:szCs w:val="24"/>
        </w:rPr>
        <w:t xml:space="preserve"> $10.08 million, 31.0 FTE and 2.0 TLT positions</w:t>
      </w:r>
    </w:p>
    <w:p w14:paraId="7F80BB8D" w14:textId="77777777" w:rsidR="00507152" w:rsidRDefault="00507152" w:rsidP="001E042A">
      <w:pPr>
        <w:spacing w:line="264" w:lineRule="auto"/>
        <w:ind w:left="720"/>
        <w:contextualSpacing/>
        <w:jc w:val="both"/>
        <w:rPr>
          <w:rFonts w:ascii="Arial" w:hAnsi="Arial" w:cs="Arial"/>
          <w:szCs w:val="24"/>
        </w:rPr>
      </w:pPr>
    </w:p>
    <w:p w14:paraId="2894665F" w14:textId="77777777" w:rsidR="00FB608A" w:rsidRPr="00E74C6E" w:rsidRDefault="00FB608A" w:rsidP="00FB608A">
      <w:pPr>
        <w:spacing w:line="264" w:lineRule="auto"/>
        <w:ind w:left="360"/>
        <w:contextualSpacing/>
        <w:jc w:val="both"/>
        <w:rPr>
          <w:rFonts w:ascii="Arial" w:hAnsi="Arial" w:cs="Arial"/>
          <w:szCs w:val="24"/>
        </w:rPr>
      </w:pPr>
    </w:p>
    <w:p w14:paraId="3DA733C3" w14:textId="09BFEE33" w:rsidR="005C2E8B" w:rsidRPr="00B2433E" w:rsidRDefault="00547964" w:rsidP="008156D8">
      <w:pPr>
        <w:spacing w:line="264" w:lineRule="auto"/>
        <w:contextualSpacing/>
        <w:jc w:val="center"/>
        <w:rPr>
          <w:rFonts w:ascii="Arial" w:hAnsi="Arial" w:cs="Arial"/>
          <w:b/>
          <w:smallCaps/>
          <w:szCs w:val="24"/>
          <w:u w:val="single"/>
        </w:rPr>
      </w:pPr>
      <w:r>
        <w:rPr>
          <w:rFonts w:ascii="Arial" w:hAnsi="Arial" w:cs="Arial"/>
          <w:b/>
          <w:smallCaps/>
          <w:szCs w:val="24"/>
          <w:u w:val="single"/>
        </w:rPr>
        <w:t xml:space="preserve">Key </w:t>
      </w:r>
      <w:r w:rsidR="008156D8">
        <w:rPr>
          <w:rFonts w:ascii="Arial" w:hAnsi="Arial" w:cs="Arial"/>
          <w:b/>
          <w:smallCaps/>
          <w:szCs w:val="24"/>
          <w:u w:val="single"/>
        </w:rPr>
        <w:t>Issues</w:t>
      </w:r>
    </w:p>
    <w:p w14:paraId="5279866C" w14:textId="77777777" w:rsidR="005C2E8B" w:rsidRPr="00F77E3E" w:rsidRDefault="005C2E8B" w:rsidP="008A5CF4">
      <w:pPr>
        <w:spacing w:line="264" w:lineRule="auto"/>
        <w:contextualSpacing/>
        <w:jc w:val="center"/>
        <w:rPr>
          <w:rFonts w:ascii="Arial" w:hAnsi="Arial" w:cs="Arial"/>
          <w:szCs w:val="24"/>
        </w:rPr>
      </w:pPr>
    </w:p>
    <w:p w14:paraId="0BE852FA" w14:textId="17738E13" w:rsidR="00E11318" w:rsidRPr="00820BC6" w:rsidRDefault="00E11318" w:rsidP="00E11318">
      <w:pPr>
        <w:jc w:val="both"/>
        <w:rPr>
          <w:rFonts w:ascii="Arial" w:hAnsi="Arial" w:cs="Arial"/>
          <w:b/>
          <w:smallCaps/>
          <w:color w:val="8064A2" w:themeColor="accent4"/>
          <w:szCs w:val="24"/>
          <w:u w:val="single"/>
        </w:rPr>
      </w:pPr>
      <w:r w:rsidRPr="00F77E3E">
        <w:rPr>
          <w:rFonts w:ascii="Arial" w:hAnsi="Arial" w:cs="Arial"/>
          <w:b/>
          <w:smallCaps/>
          <w:szCs w:val="24"/>
          <w:u w:val="single"/>
        </w:rPr>
        <w:t xml:space="preserve">Issue </w:t>
      </w:r>
      <w:r w:rsidR="00D30EAC" w:rsidRPr="00F77E3E">
        <w:rPr>
          <w:rFonts w:ascii="Arial" w:hAnsi="Arial" w:cs="Arial"/>
          <w:b/>
          <w:smallCaps/>
          <w:szCs w:val="24"/>
          <w:u w:val="single"/>
        </w:rPr>
        <w:t>1</w:t>
      </w:r>
      <w:r w:rsidRPr="00F77E3E">
        <w:rPr>
          <w:rFonts w:ascii="Arial" w:hAnsi="Arial" w:cs="Arial"/>
          <w:b/>
          <w:smallCaps/>
          <w:szCs w:val="24"/>
          <w:u w:val="single"/>
        </w:rPr>
        <w:t xml:space="preserve"> – SWM </w:t>
      </w:r>
      <w:r w:rsidR="00A02DAD">
        <w:rPr>
          <w:rFonts w:ascii="Arial" w:hAnsi="Arial" w:cs="Arial"/>
          <w:b/>
          <w:smallCaps/>
          <w:szCs w:val="24"/>
          <w:u w:val="single"/>
        </w:rPr>
        <w:t>R</w:t>
      </w:r>
      <w:r w:rsidR="006D39C2">
        <w:rPr>
          <w:rFonts w:ascii="Arial" w:hAnsi="Arial" w:cs="Arial"/>
          <w:b/>
          <w:smallCaps/>
          <w:szCs w:val="24"/>
          <w:u w:val="single"/>
        </w:rPr>
        <w:t>ates</w:t>
      </w:r>
      <w:r w:rsidRPr="00F77E3E">
        <w:rPr>
          <w:rFonts w:ascii="Arial" w:hAnsi="Arial" w:cs="Arial"/>
          <w:b/>
          <w:smallCaps/>
          <w:szCs w:val="24"/>
          <w:u w:val="single"/>
        </w:rPr>
        <w:t xml:space="preserve"> Increase</w:t>
      </w:r>
      <w:r w:rsidR="00D30EAC" w:rsidRPr="00F77E3E">
        <w:rPr>
          <w:rFonts w:ascii="Arial" w:hAnsi="Arial" w:cs="Arial"/>
          <w:b/>
          <w:smallCaps/>
          <w:szCs w:val="24"/>
          <w:u w:val="single"/>
        </w:rPr>
        <w:t>:</w:t>
      </w:r>
      <w:r w:rsidRPr="00F77E3E">
        <w:rPr>
          <w:rFonts w:ascii="Arial" w:hAnsi="Arial" w:cs="Arial"/>
          <w:b/>
          <w:smallCaps/>
          <w:szCs w:val="24"/>
          <w:u w:val="single"/>
        </w:rPr>
        <w:t xml:space="preserve"> $</w:t>
      </w:r>
      <w:r w:rsidR="00312AFF" w:rsidRPr="00F77E3E">
        <w:rPr>
          <w:rFonts w:ascii="Arial" w:hAnsi="Arial" w:cs="Arial"/>
          <w:b/>
          <w:smallCaps/>
          <w:szCs w:val="24"/>
          <w:u w:val="single"/>
        </w:rPr>
        <w:t>9,613,272</w:t>
      </w:r>
    </w:p>
    <w:p w14:paraId="6AC3FBB6" w14:textId="77777777" w:rsidR="00E11318" w:rsidRPr="00820BC6" w:rsidRDefault="00E11318" w:rsidP="00E11318">
      <w:pPr>
        <w:jc w:val="both"/>
        <w:rPr>
          <w:rFonts w:ascii="Arial" w:hAnsi="Arial" w:cs="Arial"/>
          <w:color w:val="8064A2" w:themeColor="accent4"/>
          <w:szCs w:val="24"/>
        </w:rPr>
      </w:pPr>
    </w:p>
    <w:p w14:paraId="7B9C6C7A" w14:textId="7A8FDD9B" w:rsidR="00E11318" w:rsidRPr="00820BC6" w:rsidRDefault="00E11318" w:rsidP="00E11318">
      <w:pPr>
        <w:jc w:val="both"/>
        <w:rPr>
          <w:rFonts w:ascii="Arial" w:hAnsi="Arial" w:cs="Arial"/>
          <w:szCs w:val="24"/>
        </w:rPr>
      </w:pPr>
      <w:r w:rsidRPr="001466DB">
        <w:rPr>
          <w:rFonts w:ascii="Arial" w:hAnsi="Arial" w:cs="Arial"/>
          <w:szCs w:val="24"/>
        </w:rPr>
        <w:t xml:space="preserve">The </w:t>
      </w:r>
      <w:r w:rsidR="00E31FE7">
        <w:rPr>
          <w:rFonts w:ascii="Arial" w:hAnsi="Arial" w:cs="Arial"/>
          <w:szCs w:val="24"/>
        </w:rPr>
        <w:t xml:space="preserve">Executive </w:t>
      </w:r>
      <w:r w:rsidRPr="001466DB">
        <w:rPr>
          <w:rFonts w:ascii="Arial" w:hAnsi="Arial" w:cs="Arial"/>
          <w:szCs w:val="24"/>
        </w:rPr>
        <w:t>proposed 20</w:t>
      </w:r>
      <w:r w:rsidR="00312AFF" w:rsidRPr="001466DB">
        <w:rPr>
          <w:rFonts w:ascii="Arial" w:hAnsi="Arial" w:cs="Arial"/>
          <w:szCs w:val="24"/>
        </w:rPr>
        <w:t>23-2024</w:t>
      </w:r>
      <w:r w:rsidRPr="001466DB">
        <w:rPr>
          <w:rFonts w:ascii="Arial" w:hAnsi="Arial" w:cs="Arial"/>
          <w:szCs w:val="24"/>
        </w:rPr>
        <w:t xml:space="preserve"> budget would increase the SWM </w:t>
      </w:r>
      <w:r w:rsidR="006D39C2">
        <w:rPr>
          <w:rFonts w:ascii="Arial" w:hAnsi="Arial" w:cs="Arial"/>
          <w:szCs w:val="24"/>
        </w:rPr>
        <w:t xml:space="preserve">rates </w:t>
      </w:r>
      <w:r w:rsidR="00820BC6" w:rsidRPr="001466DB">
        <w:rPr>
          <w:rFonts w:ascii="Arial" w:hAnsi="Arial" w:cs="Arial"/>
          <w:szCs w:val="24"/>
        </w:rPr>
        <w:t xml:space="preserve">11.8 </w:t>
      </w:r>
      <w:r w:rsidRPr="001466DB">
        <w:rPr>
          <w:rFonts w:ascii="Arial" w:hAnsi="Arial" w:cs="Arial"/>
          <w:szCs w:val="24"/>
        </w:rPr>
        <w:t>percent for all property classifications. Proposed Ordi</w:t>
      </w:r>
      <w:r w:rsidRPr="004917A5">
        <w:rPr>
          <w:rFonts w:ascii="Arial" w:hAnsi="Arial" w:cs="Arial"/>
          <w:szCs w:val="24"/>
        </w:rPr>
        <w:t>nance 20</w:t>
      </w:r>
      <w:r w:rsidR="000770F7" w:rsidRPr="004917A5">
        <w:rPr>
          <w:rFonts w:ascii="Arial" w:hAnsi="Arial" w:cs="Arial"/>
          <w:szCs w:val="24"/>
        </w:rPr>
        <w:t>22</w:t>
      </w:r>
      <w:r w:rsidRPr="004917A5">
        <w:rPr>
          <w:rFonts w:ascii="Arial" w:hAnsi="Arial" w:cs="Arial"/>
          <w:szCs w:val="24"/>
        </w:rPr>
        <w:t>-</w:t>
      </w:r>
      <w:r w:rsidR="0059684C" w:rsidRPr="004917A5">
        <w:rPr>
          <w:rFonts w:ascii="Arial" w:hAnsi="Arial" w:cs="Arial"/>
          <w:szCs w:val="24"/>
        </w:rPr>
        <w:t>0377</w:t>
      </w:r>
      <w:r w:rsidRPr="004917A5">
        <w:rPr>
          <w:rFonts w:ascii="Arial" w:hAnsi="Arial" w:cs="Arial"/>
          <w:szCs w:val="24"/>
        </w:rPr>
        <w:t>, which would</w:t>
      </w:r>
      <w:r w:rsidRPr="00527298">
        <w:rPr>
          <w:rFonts w:ascii="Arial" w:hAnsi="Arial" w:cs="Arial"/>
          <w:szCs w:val="24"/>
        </w:rPr>
        <w:t xml:space="preserve"> increase the SWM </w:t>
      </w:r>
      <w:r w:rsidR="006D39C2">
        <w:rPr>
          <w:rFonts w:ascii="Arial" w:hAnsi="Arial" w:cs="Arial"/>
          <w:szCs w:val="24"/>
        </w:rPr>
        <w:t>rate</w:t>
      </w:r>
      <w:r w:rsidR="00A02DAD">
        <w:rPr>
          <w:rFonts w:ascii="Arial" w:hAnsi="Arial" w:cs="Arial"/>
          <w:szCs w:val="24"/>
        </w:rPr>
        <w:t>s</w:t>
      </w:r>
      <w:r w:rsidRPr="00527298">
        <w:rPr>
          <w:rFonts w:ascii="Arial" w:hAnsi="Arial" w:cs="Arial"/>
          <w:szCs w:val="24"/>
        </w:rPr>
        <w:t>, was transmitted with the Executive’s 20</w:t>
      </w:r>
      <w:r w:rsidR="000770F7" w:rsidRPr="00527298">
        <w:rPr>
          <w:rFonts w:ascii="Arial" w:hAnsi="Arial" w:cs="Arial"/>
          <w:szCs w:val="24"/>
        </w:rPr>
        <w:t>23</w:t>
      </w:r>
      <w:r w:rsidRPr="00527298">
        <w:rPr>
          <w:rFonts w:ascii="Arial" w:hAnsi="Arial" w:cs="Arial"/>
          <w:szCs w:val="24"/>
        </w:rPr>
        <w:t>-202</w:t>
      </w:r>
      <w:r w:rsidR="00F84BC5" w:rsidRPr="00527298">
        <w:rPr>
          <w:rFonts w:ascii="Arial" w:hAnsi="Arial" w:cs="Arial"/>
          <w:szCs w:val="24"/>
        </w:rPr>
        <w:t>24</w:t>
      </w:r>
      <w:r w:rsidR="00527298" w:rsidRPr="00527298">
        <w:rPr>
          <w:rFonts w:ascii="Arial" w:hAnsi="Arial" w:cs="Arial"/>
          <w:szCs w:val="24"/>
        </w:rPr>
        <w:t xml:space="preserve"> </w:t>
      </w:r>
      <w:r w:rsidRPr="00527298">
        <w:rPr>
          <w:rFonts w:ascii="Arial" w:hAnsi="Arial" w:cs="Arial"/>
          <w:szCs w:val="24"/>
        </w:rPr>
        <w:t xml:space="preserve">Proposed Budget. </w:t>
      </w:r>
      <w:r w:rsidRPr="00820BC6">
        <w:rPr>
          <w:rFonts w:ascii="Arial" w:hAnsi="Arial" w:cs="Arial"/>
          <w:szCs w:val="24"/>
        </w:rPr>
        <w:t>The SWM program pays for the cost of planning, designing, constructing, maintaining, and operating stormwater control facilities under county and state law.</w:t>
      </w:r>
      <w:r w:rsidRPr="00820BC6">
        <w:rPr>
          <w:rStyle w:val="FootnoteReference"/>
          <w:rFonts w:ascii="Arial" w:hAnsi="Arial" w:cs="Arial"/>
          <w:szCs w:val="24"/>
        </w:rPr>
        <w:footnoteReference w:id="1"/>
      </w:r>
    </w:p>
    <w:p w14:paraId="3AFA6BB9" w14:textId="77777777" w:rsidR="00E11318" w:rsidRPr="00D6500D" w:rsidRDefault="00E11318" w:rsidP="00E11318">
      <w:pPr>
        <w:jc w:val="both"/>
        <w:rPr>
          <w:rFonts w:ascii="Arial" w:hAnsi="Arial" w:cs="Arial"/>
          <w:szCs w:val="24"/>
        </w:rPr>
      </w:pPr>
    </w:p>
    <w:p w14:paraId="601ED1EE" w14:textId="05832F61" w:rsidR="007A5C44" w:rsidRPr="007A5C44" w:rsidRDefault="00E11318" w:rsidP="00D47556">
      <w:pPr>
        <w:jc w:val="both"/>
        <w:rPr>
          <w:rFonts w:ascii="Arial" w:hAnsi="Arial" w:cs="Arial"/>
          <w:szCs w:val="24"/>
        </w:rPr>
      </w:pPr>
      <w:r w:rsidRPr="00D6500D">
        <w:rPr>
          <w:rFonts w:ascii="Arial" w:hAnsi="Arial" w:cs="Arial"/>
          <w:szCs w:val="24"/>
        </w:rPr>
        <w:t xml:space="preserve">Table </w:t>
      </w:r>
      <w:r w:rsidR="00D6500D" w:rsidRPr="00D6500D">
        <w:rPr>
          <w:rFonts w:ascii="Arial" w:hAnsi="Arial" w:cs="Arial"/>
          <w:szCs w:val="24"/>
        </w:rPr>
        <w:t>1</w:t>
      </w:r>
      <w:r w:rsidRPr="00D6500D">
        <w:rPr>
          <w:rFonts w:ascii="Arial" w:hAnsi="Arial" w:cs="Arial"/>
          <w:szCs w:val="24"/>
        </w:rPr>
        <w:t xml:space="preserve"> below</w:t>
      </w:r>
      <w:r w:rsidRPr="00820BC6">
        <w:rPr>
          <w:rFonts w:ascii="Arial" w:hAnsi="Arial" w:cs="Arial"/>
          <w:szCs w:val="24"/>
        </w:rPr>
        <w:t xml:space="preserve"> illustrates the current SWM </w:t>
      </w:r>
      <w:r w:rsidR="006D39C2">
        <w:rPr>
          <w:rFonts w:ascii="Arial" w:hAnsi="Arial" w:cs="Arial"/>
          <w:szCs w:val="24"/>
        </w:rPr>
        <w:t>rates</w:t>
      </w:r>
      <w:r w:rsidRPr="00820BC6">
        <w:rPr>
          <w:rFonts w:ascii="Arial" w:hAnsi="Arial" w:cs="Arial"/>
          <w:szCs w:val="24"/>
        </w:rPr>
        <w:t xml:space="preserve"> </w:t>
      </w:r>
      <w:r w:rsidRPr="00257A12">
        <w:rPr>
          <w:rFonts w:ascii="Arial" w:hAnsi="Arial" w:cs="Arial"/>
          <w:szCs w:val="24"/>
        </w:rPr>
        <w:t>and the 20</w:t>
      </w:r>
      <w:r w:rsidR="00820BC6" w:rsidRPr="00257A12">
        <w:rPr>
          <w:rFonts w:ascii="Arial" w:hAnsi="Arial" w:cs="Arial"/>
          <w:szCs w:val="24"/>
        </w:rPr>
        <w:t>23-2024</w:t>
      </w:r>
      <w:r w:rsidRPr="00257A12">
        <w:rPr>
          <w:rFonts w:ascii="Arial" w:hAnsi="Arial" w:cs="Arial"/>
          <w:szCs w:val="24"/>
        </w:rPr>
        <w:t xml:space="preserve"> proposed SWM </w:t>
      </w:r>
      <w:r w:rsidR="006D39C2">
        <w:rPr>
          <w:rFonts w:ascii="Arial" w:hAnsi="Arial" w:cs="Arial"/>
          <w:szCs w:val="24"/>
        </w:rPr>
        <w:t>rates</w:t>
      </w:r>
      <w:r w:rsidRPr="00257A12">
        <w:rPr>
          <w:rFonts w:ascii="Arial" w:hAnsi="Arial" w:cs="Arial"/>
          <w:szCs w:val="24"/>
        </w:rPr>
        <w:t xml:space="preserve"> for unincorporated King County property owners. </w:t>
      </w:r>
    </w:p>
    <w:p w14:paraId="14781C0E" w14:textId="77777777" w:rsidR="003211BC" w:rsidRDefault="003211BC" w:rsidP="00E11318">
      <w:pPr>
        <w:jc w:val="both"/>
        <w:rPr>
          <w:rFonts w:ascii="Arial" w:hAnsi="Arial" w:cs="Arial"/>
          <w:szCs w:val="24"/>
          <w:highlight w:val="yellow"/>
        </w:rPr>
      </w:pPr>
    </w:p>
    <w:p w14:paraId="7360CF19" w14:textId="03FE6287" w:rsidR="00E11318" w:rsidRPr="0042717E" w:rsidRDefault="00E11318" w:rsidP="00E11318">
      <w:pPr>
        <w:jc w:val="center"/>
        <w:rPr>
          <w:rFonts w:ascii="Arial" w:hAnsi="Arial" w:cs="Arial"/>
          <w:b/>
          <w:color w:val="C0504D" w:themeColor="accent2"/>
          <w:szCs w:val="24"/>
        </w:rPr>
      </w:pPr>
      <w:r w:rsidRPr="0042717E">
        <w:rPr>
          <w:rFonts w:ascii="Arial" w:hAnsi="Arial" w:cs="Arial"/>
          <w:b/>
          <w:color w:val="C0504D" w:themeColor="accent2"/>
          <w:szCs w:val="24"/>
        </w:rPr>
        <w:t xml:space="preserve">Table </w:t>
      </w:r>
      <w:r w:rsidR="00D6500D" w:rsidRPr="0042717E">
        <w:rPr>
          <w:rFonts w:ascii="Arial" w:hAnsi="Arial" w:cs="Arial"/>
          <w:b/>
          <w:color w:val="C0504D" w:themeColor="accent2"/>
          <w:szCs w:val="24"/>
        </w:rPr>
        <w:t>1</w:t>
      </w:r>
      <w:r w:rsidR="00014C34" w:rsidRPr="0042717E">
        <w:rPr>
          <w:rFonts w:ascii="Arial" w:hAnsi="Arial" w:cs="Arial"/>
          <w:b/>
          <w:color w:val="C0504D" w:themeColor="accent2"/>
          <w:szCs w:val="24"/>
        </w:rPr>
        <w:t>.</w:t>
      </w:r>
      <w:r w:rsidRPr="0042717E">
        <w:rPr>
          <w:rFonts w:ascii="Arial" w:hAnsi="Arial" w:cs="Arial"/>
          <w:b/>
          <w:color w:val="C0504D" w:themeColor="accent2"/>
          <w:szCs w:val="24"/>
        </w:rPr>
        <w:t xml:space="preserve"> 201</w:t>
      </w:r>
      <w:r w:rsidR="00FC256C" w:rsidRPr="0042717E">
        <w:rPr>
          <w:rFonts w:ascii="Arial" w:hAnsi="Arial" w:cs="Arial"/>
          <w:b/>
          <w:color w:val="C0504D" w:themeColor="accent2"/>
          <w:szCs w:val="24"/>
        </w:rPr>
        <w:t>9</w:t>
      </w:r>
      <w:r w:rsidRPr="0042717E">
        <w:rPr>
          <w:rFonts w:ascii="Arial" w:hAnsi="Arial" w:cs="Arial"/>
          <w:b/>
          <w:color w:val="C0504D" w:themeColor="accent2"/>
          <w:szCs w:val="24"/>
        </w:rPr>
        <w:t>-20</w:t>
      </w:r>
      <w:r w:rsidR="00FC256C" w:rsidRPr="0042717E">
        <w:rPr>
          <w:rFonts w:ascii="Arial" w:hAnsi="Arial" w:cs="Arial"/>
          <w:b/>
          <w:color w:val="C0504D" w:themeColor="accent2"/>
          <w:szCs w:val="24"/>
        </w:rPr>
        <w:t>22</w:t>
      </w:r>
      <w:r w:rsidRPr="0042717E">
        <w:rPr>
          <w:rFonts w:ascii="Arial" w:hAnsi="Arial" w:cs="Arial"/>
          <w:b/>
          <w:color w:val="C0504D" w:themeColor="accent2"/>
          <w:szCs w:val="24"/>
        </w:rPr>
        <w:t xml:space="preserve"> SWM </w:t>
      </w:r>
      <w:r w:rsidR="006D39C2" w:rsidRPr="0042717E">
        <w:rPr>
          <w:rFonts w:ascii="Arial" w:hAnsi="Arial" w:cs="Arial"/>
          <w:b/>
          <w:color w:val="C0504D" w:themeColor="accent2"/>
          <w:szCs w:val="24"/>
        </w:rPr>
        <w:t>Rates</w:t>
      </w:r>
      <w:r w:rsidRPr="0042717E">
        <w:rPr>
          <w:rFonts w:ascii="Arial" w:hAnsi="Arial" w:cs="Arial"/>
          <w:b/>
          <w:color w:val="C0504D" w:themeColor="accent2"/>
          <w:szCs w:val="24"/>
        </w:rPr>
        <w:t xml:space="preserve"> and 20</w:t>
      </w:r>
      <w:r w:rsidR="0020627B" w:rsidRPr="0042717E">
        <w:rPr>
          <w:rFonts w:ascii="Arial" w:hAnsi="Arial" w:cs="Arial"/>
          <w:b/>
          <w:color w:val="C0504D" w:themeColor="accent2"/>
          <w:szCs w:val="24"/>
        </w:rPr>
        <w:t>23</w:t>
      </w:r>
      <w:r w:rsidRPr="0042717E">
        <w:rPr>
          <w:rFonts w:ascii="Arial" w:hAnsi="Arial" w:cs="Arial"/>
          <w:b/>
          <w:color w:val="C0504D" w:themeColor="accent2"/>
          <w:szCs w:val="24"/>
        </w:rPr>
        <w:t>-202</w:t>
      </w:r>
      <w:r w:rsidR="0020627B" w:rsidRPr="0042717E">
        <w:rPr>
          <w:rFonts w:ascii="Arial" w:hAnsi="Arial" w:cs="Arial"/>
          <w:b/>
          <w:color w:val="C0504D" w:themeColor="accent2"/>
          <w:szCs w:val="24"/>
        </w:rPr>
        <w:t>4</w:t>
      </w:r>
      <w:r w:rsidRPr="0042717E">
        <w:rPr>
          <w:rFonts w:ascii="Arial" w:hAnsi="Arial" w:cs="Arial"/>
          <w:b/>
          <w:color w:val="C0504D" w:themeColor="accent2"/>
          <w:szCs w:val="24"/>
        </w:rPr>
        <w:t xml:space="preserve"> Proposed SWM </w:t>
      </w:r>
      <w:r w:rsidR="006D39C2" w:rsidRPr="0042717E">
        <w:rPr>
          <w:rFonts w:ascii="Arial" w:hAnsi="Arial" w:cs="Arial"/>
          <w:b/>
          <w:color w:val="C0504D" w:themeColor="accent2"/>
          <w:szCs w:val="24"/>
        </w:rPr>
        <w:t>Rates</w:t>
      </w:r>
      <w:r w:rsidR="0042717E" w:rsidRPr="0042717E">
        <w:rPr>
          <w:rFonts w:ascii="Arial" w:hAnsi="Arial" w:cs="Arial"/>
          <w:b/>
          <w:color w:val="C0504D" w:themeColor="accent2"/>
          <w:szCs w:val="24"/>
        </w:rPr>
        <w:t xml:space="preserve"> (corrected)</w:t>
      </w:r>
    </w:p>
    <w:p w14:paraId="63F5F2F5" w14:textId="77777777" w:rsidR="00E11318" w:rsidRPr="00E11318" w:rsidRDefault="00E11318" w:rsidP="00E11318">
      <w:pPr>
        <w:jc w:val="center"/>
        <w:rPr>
          <w:rFonts w:ascii="Arial" w:hAnsi="Arial" w:cs="Arial"/>
          <w:b/>
          <w:sz w:val="10"/>
          <w:szCs w:val="24"/>
          <w:highlight w:val="yellow"/>
        </w:rPr>
      </w:pPr>
    </w:p>
    <w:tbl>
      <w:tblPr>
        <w:tblStyle w:val="TableGrid"/>
        <w:tblpPr w:leftFromText="180" w:rightFromText="180" w:vertAnchor="text" w:horzAnchor="margin" w:tblpX="468" w:tblpY="131"/>
        <w:tblW w:w="9378" w:type="dxa"/>
        <w:tblLook w:val="0420" w:firstRow="1" w:lastRow="0" w:firstColumn="0" w:lastColumn="0" w:noHBand="0" w:noVBand="1"/>
      </w:tblPr>
      <w:tblGrid>
        <w:gridCol w:w="2358"/>
        <w:gridCol w:w="2250"/>
        <w:gridCol w:w="2340"/>
        <w:gridCol w:w="2430"/>
      </w:tblGrid>
      <w:tr w:rsidR="008E7557" w:rsidRPr="008E7557" w14:paraId="7B6FCCE0" w14:textId="77777777" w:rsidTr="00D6500D">
        <w:trPr>
          <w:trHeight w:val="419"/>
        </w:trPr>
        <w:tc>
          <w:tcPr>
            <w:tcW w:w="235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D769690" w14:textId="77777777" w:rsidR="00D6500D" w:rsidRPr="008E7557" w:rsidRDefault="00D6500D" w:rsidP="00D6500D">
            <w:pPr>
              <w:jc w:val="center"/>
              <w:rPr>
                <w:rFonts w:ascii="Arial" w:hAnsi="Arial" w:cs="Arial"/>
                <w:color w:val="C0504D" w:themeColor="accent2"/>
                <w:szCs w:val="36"/>
              </w:rPr>
            </w:pPr>
            <w:r w:rsidRPr="008E7557">
              <w:rPr>
                <w:rFonts w:ascii="Arial" w:hAnsi="Arial" w:cs="Arial"/>
                <w:b/>
                <w:bCs/>
                <w:color w:val="C0504D" w:themeColor="accent2"/>
                <w:kern w:val="24"/>
                <w:szCs w:val="36"/>
              </w:rPr>
              <w:t>Rate Classification</w:t>
            </w:r>
          </w:p>
        </w:tc>
        <w:tc>
          <w:tcPr>
            <w:tcW w:w="225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97B1249" w14:textId="77777777" w:rsidR="00D6500D" w:rsidRPr="008E7557" w:rsidRDefault="00D6500D" w:rsidP="00D6500D">
            <w:pPr>
              <w:jc w:val="center"/>
              <w:rPr>
                <w:rFonts w:ascii="Arial" w:hAnsi="Arial" w:cs="Arial"/>
                <w:color w:val="C0504D" w:themeColor="accent2"/>
                <w:szCs w:val="36"/>
              </w:rPr>
            </w:pPr>
            <w:r w:rsidRPr="008E7557">
              <w:rPr>
                <w:rFonts w:ascii="Arial" w:hAnsi="Arial" w:cs="Arial"/>
                <w:b/>
                <w:bCs/>
                <w:color w:val="C0504D" w:themeColor="accent2"/>
                <w:kern w:val="24"/>
                <w:szCs w:val="36"/>
              </w:rPr>
              <w:t>Percent Impervious Surface</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D386A5B" w14:textId="77777777" w:rsidR="00D6500D" w:rsidRPr="008E7557" w:rsidRDefault="00D6500D" w:rsidP="00D6500D">
            <w:pPr>
              <w:jc w:val="center"/>
              <w:rPr>
                <w:rFonts w:ascii="Arial" w:hAnsi="Arial" w:cs="Arial"/>
                <w:b/>
                <w:bCs/>
                <w:color w:val="C0504D" w:themeColor="accent2"/>
                <w:kern w:val="24"/>
                <w:szCs w:val="36"/>
              </w:rPr>
            </w:pPr>
            <w:r w:rsidRPr="008E7557">
              <w:rPr>
                <w:rFonts w:ascii="Arial" w:hAnsi="Arial" w:cs="Arial"/>
                <w:b/>
                <w:bCs/>
                <w:color w:val="C0504D" w:themeColor="accent2"/>
                <w:kern w:val="24"/>
                <w:szCs w:val="36"/>
              </w:rPr>
              <w:t xml:space="preserve">2019-2022 </w:t>
            </w:r>
          </w:p>
          <w:p w14:paraId="53DD14AF" w14:textId="0018A9D8" w:rsidR="00D6500D" w:rsidRPr="008E7557" w:rsidRDefault="00D6500D" w:rsidP="00D6500D">
            <w:pPr>
              <w:jc w:val="center"/>
              <w:rPr>
                <w:rFonts w:ascii="Arial" w:hAnsi="Arial" w:cs="Arial"/>
                <w:color w:val="C0504D" w:themeColor="accent2"/>
                <w:szCs w:val="36"/>
              </w:rPr>
            </w:pPr>
            <w:r w:rsidRPr="008E7557">
              <w:rPr>
                <w:rFonts w:ascii="Arial" w:hAnsi="Arial" w:cs="Arial"/>
                <w:b/>
                <w:bCs/>
                <w:color w:val="C0504D" w:themeColor="accent2"/>
                <w:kern w:val="24"/>
                <w:szCs w:val="36"/>
              </w:rPr>
              <w:t>Rate</w:t>
            </w:r>
          </w:p>
        </w:tc>
        <w:tc>
          <w:tcPr>
            <w:tcW w:w="243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4F5A771" w14:textId="23B8F80C" w:rsidR="00D6500D" w:rsidRPr="008E7557" w:rsidRDefault="00D6500D" w:rsidP="00D6500D">
            <w:pPr>
              <w:jc w:val="center"/>
              <w:rPr>
                <w:rFonts w:ascii="Arial" w:hAnsi="Arial" w:cs="Arial"/>
                <w:b/>
                <w:bCs/>
                <w:color w:val="C0504D" w:themeColor="accent2"/>
                <w:kern w:val="24"/>
                <w:szCs w:val="36"/>
              </w:rPr>
            </w:pPr>
            <w:r w:rsidRPr="008E7557">
              <w:rPr>
                <w:rFonts w:ascii="Arial" w:hAnsi="Arial" w:cs="Arial"/>
                <w:b/>
                <w:bCs/>
                <w:color w:val="C0504D" w:themeColor="accent2"/>
                <w:kern w:val="24"/>
                <w:szCs w:val="36"/>
              </w:rPr>
              <w:t>2023-2024 Proposed Rate</w:t>
            </w:r>
          </w:p>
        </w:tc>
      </w:tr>
      <w:tr w:rsidR="008E7557" w:rsidRPr="008E7557" w14:paraId="0A988C19" w14:textId="77777777" w:rsidTr="00D6500D">
        <w:trPr>
          <w:trHeight w:val="220"/>
        </w:trPr>
        <w:tc>
          <w:tcPr>
            <w:tcW w:w="2358" w:type="dxa"/>
            <w:tcBorders>
              <w:top w:val="single" w:sz="4" w:space="0" w:color="auto"/>
              <w:left w:val="single" w:sz="4" w:space="0" w:color="auto"/>
              <w:bottom w:val="single" w:sz="4" w:space="0" w:color="auto"/>
              <w:right w:val="single" w:sz="4" w:space="0" w:color="auto"/>
            </w:tcBorders>
            <w:vAlign w:val="center"/>
            <w:hideMark/>
          </w:tcPr>
          <w:p w14:paraId="0B139C33" w14:textId="77777777" w:rsidR="008E7557" w:rsidRPr="008E7557" w:rsidRDefault="008E7557" w:rsidP="008E7557">
            <w:pPr>
              <w:rPr>
                <w:rFonts w:ascii="Arial" w:hAnsi="Arial" w:cs="Arial"/>
                <w:color w:val="C0504D" w:themeColor="accent2"/>
                <w:szCs w:val="24"/>
              </w:rPr>
            </w:pPr>
            <w:r w:rsidRPr="008E7557">
              <w:rPr>
                <w:rFonts w:ascii="Arial" w:hAnsi="Arial" w:cs="Arial"/>
                <w:color w:val="C0504D" w:themeColor="accent2"/>
                <w:kern w:val="24"/>
                <w:szCs w:val="24"/>
              </w:rPr>
              <w:t>1 Residential</w:t>
            </w:r>
          </w:p>
        </w:tc>
        <w:tc>
          <w:tcPr>
            <w:tcW w:w="2250" w:type="dxa"/>
            <w:tcBorders>
              <w:top w:val="single" w:sz="4" w:space="0" w:color="auto"/>
              <w:left w:val="single" w:sz="4" w:space="0" w:color="auto"/>
              <w:bottom w:val="single" w:sz="4" w:space="0" w:color="auto"/>
              <w:right w:val="single" w:sz="4" w:space="0" w:color="auto"/>
            </w:tcBorders>
            <w:vAlign w:val="center"/>
            <w:hideMark/>
          </w:tcPr>
          <w:p w14:paraId="0A5BF685" w14:textId="77777777" w:rsidR="008E7557" w:rsidRPr="008E7557" w:rsidRDefault="008E7557" w:rsidP="008E7557">
            <w:pPr>
              <w:jc w:val="center"/>
              <w:rPr>
                <w:rFonts w:ascii="Arial" w:hAnsi="Arial" w:cs="Arial"/>
                <w:color w:val="C0504D" w:themeColor="accent2"/>
                <w:szCs w:val="24"/>
              </w:rPr>
            </w:pPr>
            <w:r w:rsidRPr="008E7557">
              <w:rPr>
                <w:rFonts w:ascii="Arial" w:hAnsi="Arial" w:cs="Arial"/>
                <w:color w:val="C0504D" w:themeColor="accent2"/>
                <w:kern w:val="24"/>
                <w:szCs w:val="24"/>
              </w:rPr>
              <w:t>N/A</w:t>
            </w:r>
          </w:p>
        </w:tc>
        <w:tc>
          <w:tcPr>
            <w:tcW w:w="2340" w:type="dxa"/>
            <w:tcBorders>
              <w:top w:val="single" w:sz="4" w:space="0" w:color="auto"/>
              <w:left w:val="single" w:sz="4" w:space="0" w:color="auto"/>
              <w:bottom w:val="single" w:sz="4" w:space="0" w:color="auto"/>
              <w:right w:val="single" w:sz="4" w:space="0" w:color="auto"/>
            </w:tcBorders>
            <w:vAlign w:val="center"/>
          </w:tcPr>
          <w:p w14:paraId="57B4E11D" w14:textId="552B34A9" w:rsidR="008E7557" w:rsidRPr="008E7557" w:rsidRDefault="008E7557" w:rsidP="008E7557">
            <w:pPr>
              <w:ind w:left="76"/>
              <w:rPr>
                <w:rFonts w:ascii="Arial" w:hAnsi="Arial" w:cs="Arial"/>
                <w:color w:val="C0504D" w:themeColor="accent2"/>
                <w:szCs w:val="24"/>
              </w:rPr>
            </w:pPr>
            <w:r w:rsidRPr="008E7557">
              <w:rPr>
                <w:rFonts w:ascii="Arial" w:hAnsi="Arial" w:cs="Arial"/>
                <w:color w:val="C0504D" w:themeColor="accent2"/>
                <w:kern w:val="24"/>
                <w:szCs w:val="24"/>
              </w:rPr>
              <w:t>$289.00 / parcel</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F44FA57" w14:textId="207F0085" w:rsidR="008E7557" w:rsidRPr="008E7557" w:rsidRDefault="008E7557" w:rsidP="008E7557">
            <w:pPr>
              <w:ind w:left="76"/>
              <w:rPr>
                <w:rFonts w:ascii="Arial" w:hAnsi="Arial" w:cs="Arial"/>
                <w:color w:val="C0504D" w:themeColor="accent2"/>
                <w:kern w:val="24"/>
                <w:szCs w:val="24"/>
              </w:rPr>
            </w:pPr>
            <w:r w:rsidRPr="008E7557">
              <w:rPr>
                <w:rFonts w:ascii="Arial" w:hAnsi="Arial" w:cs="Arial"/>
                <w:color w:val="C0504D" w:themeColor="accent2"/>
                <w:kern w:val="24"/>
                <w:szCs w:val="24"/>
              </w:rPr>
              <w:t>$323.00 / parcel</w:t>
            </w:r>
          </w:p>
        </w:tc>
      </w:tr>
      <w:tr w:rsidR="008E7557" w:rsidRPr="008E7557" w14:paraId="4411901F" w14:textId="77777777" w:rsidTr="00D6500D">
        <w:trPr>
          <w:trHeight w:val="193"/>
        </w:trPr>
        <w:tc>
          <w:tcPr>
            <w:tcW w:w="2358" w:type="dxa"/>
            <w:tcBorders>
              <w:top w:val="single" w:sz="4" w:space="0" w:color="auto"/>
              <w:left w:val="single" w:sz="4" w:space="0" w:color="auto"/>
              <w:bottom w:val="single" w:sz="4" w:space="0" w:color="auto"/>
              <w:right w:val="single" w:sz="4" w:space="0" w:color="auto"/>
            </w:tcBorders>
            <w:vAlign w:val="center"/>
            <w:hideMark/>
          </w:tcPr>
          <w:p w14:paraId="19435AD9" w14:textId="77777777" w:rsidR="008E7557" w:rsidRPr="008E7557" w:rsidRDefault="008E7557" w:rsidP="008E7557">
            <w:pPr>
              <w:rPr>
                <w:rFonts w:ascii="Arial" w:hAnsi="Arial" w:cs="Arial"/>
                <w:color w:val="C0504D" w:themeColor="accent2"/>
                <w:szCs w:val="24"/>
              </w:rPr>
            </w:pPr>
            <w:r w:rsidRPr="008E7557">
              <w:rPr>
                <w:rFonts w:ascii="Arial" w:hAnsi="Arial" w:cs="Arial"/>
                <w:color w:val="C0504D" w:themeColor="accent2"/>
                <w:kern w:val="24"/>
                <w:szCs w:val="24"/>
              </w:rPr>
              <w:t>2 Very Light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8010069" w14:textId="77777777" w:rsidR="008E7557" w:rsidRPr="008E7557" w:rsidRDefault="008E7557" w:rsidP="008E7557">
            <w:pPr>
              <w:jc w:val="center"/>
              <w:rPr>
                <w:rFonts w:ascii="Arial" w:hAnsi="Arial" w:cs="Arial"/>
                <w:color w:val="C0504D" w:themeColor="accent2"/>
                <w:szCs w:val="24"/>
              </w:rPr>
            </w:pPr>
            <w:r w:rsidRPr="008E7557">
              <w:rPr>
                <w:rFonts w:ascii="Arial" w:hAnsi="Arial" w:cs="Arial"/>
                <w:color w:val="C0504D" w:themeColor="accent2"/>
                <w:kern w:val="24"/>
                <w:szCs w:val="24"/>
              </w:rPr>
              <w:t xml:space="preserve"> 10% or less</w:t>
            </w:r>
          </w:p>
        </w:tc>
        <w:tc>
          <w:tcPr>
            <w:tcW w:w="2340" w:type="dxa"/>
            <w:tcBorders>
              <w:top w:val="single" w:sz="4" w:space="0" w:color="auto"/>
              <w:left w:val="single" w:sz="4" w:space="0" w:color="auto"/>
              <w:bottom w:val="single" w:sz="4" w:space="0" w:color="auto"/>
              <w:right w:val="single" w:sz="4" w:space="0" w:color="auto"/>
            </w:tcBorders>
            <w:vAlign w:val="center"/>
          </w:tcPr>
          <w:p w14:paraId="76D822CB" w14:textId="759024B6" w:rsidR="008E7557" w:rsidRPr="008E7557" w:rsidRDefault="008E7557" w:rsidP="008E7557">
            <w:pPr>
              <w:ind w:left="76"/>
              <w:rPr>
                <w:rFonts w:ascii="Arial" w:hAnsi="Arial" w:cs="Arial"/>
                <w:color w:val="C0504D" w:themeColor="accent2"/>
                <w:szCs w:val="24"/>
              </w:rPr>
            </w:pPr>
            <w:r w:rsidRPr="008E7557">
              <w:rPr>
                <w:rFonts w:ascii="Arial" w:hAnsi="Arial" w:cs="Arial"/>
                <w:color w:val="C0504D" w:themeColor="accent2"/>
                <w:kern w:val="24"/>
                <w:szCs w:val="24"/>
              </w:rPr>
              <w:t>$289.00 / parcel</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A9DDDA5" w14:textId="169F8388" w:rsidR="008E7557" w:rsidRPr="008E7557" w:rsidRDefault="008E7557" w:rsidP="008E7557">
            <w:pPr>
              <w:ind w:left="76"/>
              <w:rPr>
                <w:rFonts w:ascii="Arial" w:hAnsi="Arial" w:cs="Arial"/>
                <w:color w:val="C0504D" w:themeColor="accent2"/>
                <w:kern w:val="24"/>
                <w:szCs w:val="24"/>
              </w:rPr>
            </w:pPr>
            <w:r w:rsidRPr="008E7557">
              <w:rPr>
                <w:rFonts w:ascii="Arial" w:hAnsi="Arial" w:cs="Arial"/>
                <w:color w:val="C0504D" w:themeColor="accent2"/>
                <w:kern w:val="24"/>
                <w:szCs w:val="24"/>
              </w:rPr>
              <w:t>$323.00 / parcel</w:t>
            </w:r>
          </w:p>
        </w:tc>
      </w:tr>
      <w:tr w:rsidR="008E7557" w:rsidRPr="008E7557" w14:paraId="05E10369" w14:textId="77777777" w:rsidTr="00D6500D">
        <w:trPr>
          <w:trHeight w:val="197"/>
        </w:trPr>
        <w:tc>
          <w:tcPr>
            <w:tcW w:w="2358" w:type="dxa"/>
            <w:tcBorders>
              <w:top w:val="single" w:sz="4" w:space="0" w:color="auto"/>
              <w:left w:val="single" w:sz="4" w:space="0" w:color="auto"/>
              <w:bottom w:val="single" w:sz="4" w:space="0" w:color="auto"/>
              <w:right w:val="single" w:sz="4" w:space="0" w:color="auto"/>
            </w:tcBorders>
            <w:vAlign w:val="center"/>
            <w:hideMark/>
          </w:tcPr>
          <w:p w14:paraId="70D2DD69" w14:textId="77777777" w:rsidR="008E7557" w:rsidRPr="008E7557" w:rsidRDefault="008E7557" w:rsidP="008E7557">
            <w:pPr>
              <w:rPr>
                <w:rFonts w:ascii="Arial" w:hAnsi="Arial" w:cs="Arial"/>
                <w:color w:val="C0504D" w:themeColor="accent2"/>
                <w:szCs w:val="24"/>
              </w:rPr>
            </w:pPr>
            <w:r w:rsidRPr="008E7557">
              <w:rPr>
                <w:rFonts w:ascii="Arial" w:hAnsi="Arial" w:cs="Arial"/>
                <w:color w:val="C0504D" w:themeColor="accent2"/>
                <w:kern w:val="24"/>
                <w:szCs w:val="24"/>
              </w:rPr>
              <w:t>3 Light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484F16A" w14:textId="77777777" w:rsidR="008E7557" w:rsidRPr="008E7557" w:rsidRDefault="008E7557" w:rsidP="008E7557">
            <w:pPr>
              <w:jc w:val="center"/>
              <w:rPr>
                <w:rFonts w:ascii="Arial" w:hAnsi="Arial" w:cs="Arial"/>
                <w:color w:val="C0504D" w:themeColor="accent2"/>
                <w:szCs w:val="24"/>
              </w:rPr>
            </w:pPr>
            <w:r w:rsidRPr="008E7557">
              <w:rPr>
                <w:rFonts w:ascii="Arial" w:hAnsi="Arial" w:cs="Arial"/>
                <w:color w:val="C0504D" w:themeColor="accent2"/>
                <w:kern w:val="24"/>
                <w:szCs w:val="24"/>
              </w:rPr>
              <w:t>10.1% - 20%</w:t>
            </w:r>
          </w:p>
        </w:tc>
        <w:tc>
          <w:tcPr>
            <w:tcW w:w="2340" w:type="dxa"/>
            <w:tcBorders>
              <w:top w:val="single" w:sz="4" w:space="0" w:color="auto"/>
              <w:left w:val="single" w:sz="4" w:space="0" w:color="auto"/>
              <w:bottom w:val="single" w:sz="4" w:space="0" w:color="auto"/>
              <w:right w:val="single" w:sz="4" w:space="0" w:color="auto"/>
            </w:tcBorders>
            <w:vAlign w:val="center"/>
          </w:tcPr>
          <w:p w14:paraId="290DF054" w14:textId="35DD5AD8" w:rsidR="008E7557" w:rsidRPr="008E7557" w:rsidRDefault="008E7557" w:rsidP="008E7557">
            <w:pPr>
              <w:ind w:left="76"/>
              <w:rPr>
                <w:rFonts w:ascii="Arial" w:hAnsi="Arial" w:cs="Arial"/>
                <w:color w:val="C0504D" w:themeColor="accent2"/>
                <w:szCs w:val="24"/>
              </w:rPr>
            </w:pPr>
            <w:r w:rsidRPr="008E7557">
              <w:rPr>
                <w:rFonts w:ascii="Arial" w:hAnsi="Arial" w:cs="Arial"/>
                <w:color w:val="C0504D" w:themeColor="accent2"/>
                <w:kern w:val="24"/>
                <w:szCs w:val="24"/>
              </w:rPr>
              <w:t>$803.51 / acre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C784DB6" w14:textId="22FA7075" w:rsidR="008E7557" w:rsidRPr="008E7557" w:rsidRDefault="008E7557" w:rsidP="008E7557">
            <w:pPr>
              <w:ind w:left="76"/>
              <w:rPr>
                <w:rFonts w:ascii="Arial" w:hAnsi="Arial" w:cs="Arial"/>
                <w:color w:val="C0504D" w:themeColor="accent2"/>
                <w:kern w:val="24"/>
                <w:szCs w:val="24"/>
              </w:rPr>
            </w:pPr>
            <w:r w:rsidRPr="008E7557">
              <w:rPr>
                <w:rFonts w:ascii="Arial" w:hAnsi="Arial" w:cs="Arial"/>
                <w:color w:val="C0504D" w:themeColor="accent2"/>
                <w:kern w:val="24"/>
                <w:szCs w:val="24"/>
              </w:rPr>
              <w:t>$898.04 / acre</w:t>
            </w:r>
          </w:p>
        </w:tc>
      </w:tr>
      <w:tr w:rsidR="008E7557" w:rsidRPr="008E7557" w14:paraId="0F9F4843" w14:textId="77777777" w:rsidTr="002C48EE">
        <w:trPr>
          <w:trHeight w:val="189"/>
        </w:trPr>
        <w:tc>
          <w:tcPr>
            <w:tcW w:w="2358" w:type="dxa"/>
            <w:tcBorders>
              <w:top w:val="single" w:sz="4" w:space="0" w:color="auto"/>
              <w:left w:val="single" w:sz="4" w:space="0" w:color="auto"/>
              <w:bottom w:val="single" w:sz="4" w:space="0" w:color="auto"/>
              <w:right w:val="single" w:sz="4" w:space="0" w:color="auto"/>
            </w:tcBorders>
            <w:vAlign w:val="center"/>
            <w:hideMark/>
          </w:tcPr>
          <w:p w14:paraId="244C96A8" w14:textId="77777777" w:rsidR="008E7557" w:rsidRPr="008E7557" w:rsidRDefault="008E7557" w:rsidP="008E7557">
            <w:pPr>
              <w:rPr>
                <w:rFonts w:ascii="Arial" w:hAnsi="Arial" w:cs="Arial"/>
                <w:color w:val="C0504D" w:themeColor="accent2"/>
                <w:szCs w:val="24"/>
              </w:rPr>
            </w:pPr>
            <w:r w:rsidRPr="008E7557">
              <w:rPr>
                <w:rFonts w:ascii="Arial" w:hAnsi="Arial" w:cs="Arial"/>
                <w:color w:val="C0504D" w:themeColor="accent2"/>
                <w:kern w:val="24"/>
                <w:szCs w:val="24"/>
              </w:rPr>
              <w:t>4 Moderate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93C77C2" w14:textId="77777777" w:rsidR="008E7557" w:rsidRPr="008E7557" w:rsidRDefault="008E7557" w:rsidP="008E7557">
            <w:pPr>
              <w:jc w:val="center"/>
              <w:rPr>
                <w:rFonts w:ascii="Arial" w:hAnsi="Arial" w:cs="Arial"/>
                <w:color w:val="C0504D" w:themeColor="accent2"/>
                <w:szCs w:val="24"/>
              </w:rPr>
            </w:pPr>
            <w:r w:rsidRPr="008E7557">
              <w:rPr>
                <w:rFonts w:ascii="Arial" w:hAnsi="Arial" w:cs="Arial"/>
                <w:color w:val="C0504D" w:themeColor="accent2"/>
                <w:kern w:val="24"/>
                <w:szCs w:val="24"/>
              </w:rPr>
              <w:t>20.1% - 45%</w:t>
            </w:r>
          </w:p>
        </w:tc>
        <w:tc>
          <w:tcPr>
            <w:tcW w:w="2340" w:type="dxa"/>
            <w:tcBorders>
              <w:top w:val="single" w:sz="4" w:space="0" w:color="auto"/>
              <w:left w:val="single" w:sz="4" w:space="0" w:color="auto"/>
              <w:bottom w:val="single" w:sz="4" w:space="0" w:color="auto"/>
              <w:right w:val="single" w:sz="4" w:space="0" w:color="auto"/>
            </w:tcBorders>
            <w:vAlign w:val="center"/>
          </w:tcPr>
          <w:p w14:paraId="03D163EF" w14:textId="07F2ECB6" w:rsidR="008E7557" w:rsidRPr="008E7557" w:rsidRDefault="008E7557" w:rsidP="008E7557">
            <w:pPr>
              <w:ind w:left="76"/>
              <w:rPr>
                <w:rFonts w:ascii="Arial" w:hAnsi="Arial" w:cs="Arial"/>
                <w:color w:val="C0504D" w:themeColor="accent2"/>
                <w:szCs w:val="24"/>
              </w:rPr>
            </w:pPr>
            <w:r w:rsidRPr="008E7557">
              <w:rPr>
                <w:rFonts w:ascii="Arial" w:hAnsi="Arial" w:cs="Arial"/>
                <w:color w:val="C0504D" w:themeColor="accent2"/>
                <w:kern w:val="24"/>
                <w:szCs w:val="24"/>
              </w:rPr>
              <w:t>$1,504.04 / acre</w:t>
            </w:r>
          </w:p>
        </w:tc>
        <w:tc>
          <w:tcPr>
            <w:tcW w:w="2430" w:type="dxa"/>
            <w:tcBorders>
              <w:top w:val="single" w:sz="4" w:space="0" w:color="auto"/>
              <w:left w:val="single" w:sz="4" w:space="0" w:color="auto"/>
              <w:bottom w:val="single" w:sz="4" w:space="0" w:color="auto"/>
              <w:right w:val="single" w:sz="4" w:space="0" w:color="auto"/>
            </w:tcBorders>
            <w:vAlign w:val="bottom"/>
            <w:hideMark/>
          </w:tcPr>
          <w:p w14:paraId="7FB02018" w14:textId="5F781FE1" w:rsidR="008E7557" w:rsidRPr="008E7557" w:rsidRDefault="008E7557" w:rsidP="008E7557">
            <w:pPr>
              <w:ind w:left="76"/>
              <w:rPr>
                <w:rFonts w:ascii="Arial" w:hAnsi="Arial" w:cs="Arial"/>
                <w:color w:val="C0504D" w:themeColor="accent2"/>
                <w:kern w:val="24"/>
                <w:szCs w:val="24"/>
              </w:rPr>
            </w:pPr>
            <w:r w:rsidRPr="008E7557">
              <w:rPr>
                <w:rFonts w:ascii="Arial" w:hAnsi="Arial" w:cs="Arial"/>
                <w:color w:val="C0504D" w:themeColor="accent2"/>
              </w:rPr>
              <w:t>$1,680.99 / acre</w:t>
            </w:r>
          </w:p>
        </w:tc>
      </w:tr>
      <w:tr w:rsidR="008E7557" w:rsidRPr="008E7557" w14:paraId="3844AFA9" w14:textId="77777777" w:rsidTr="002C48EE">
        <w:trPr>
          <w:trHeight w:val="193"/>
        </w:trPr>
        <w:tc>
          <w:tcPr>
            <w:tcW w:w="2358" w:type="dxa"/>
            <w:tcBorders>
              <w:top w:val="single" w:sz="4" w:space="0" w:color="auto"/>
              <w:left w:val="single" w:sz="4" w:space="0" w:color="auto"/>
              <w:bottom w:val="single" w:sz="4" w:space="0" w:color="auto"/>
              <w:right w:val="single" w:sz="4" w:space="0" w:color="auto"/>
            </w:tcBorders>
            <w:vAlign w:val="center"/>
            <w:hideMark/>
          </w:tcPr>
          <w:p w14:paraId="6CA3DEB2" w14:textId="77777777" w:rsidR="008E7557" w:rsidRPr="008E7557" w:rsidRDefault="008E7557" w:rsidP="008E7557">
            <w:pPr>
              <w:rPr>
                <w:rFonts w:ascii="Arial" w:hAnsi="Arial" w:cs="Arial"/>
                <w:color w:val="C0504D" w:themeColor="accent2"/>
                <w:szCs w:val="24"/>
              </w:rPr>
            </w:pPr>
            <w:r w:rsidRPr="008E7557">
              <w:rPr>
                <w:rFonts w:ascii="Arial" w:hAnsi="Arial" w:cs="Arial"/>
                <w:color w:val="C0504D" w:themeColor="accent2"/>
                <w:kern w:val="24"/>
                <w:szCs w:val="24"/>
              </w:rPr>
              <w:t>5 Moderately Heavy</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5A340E2" w14:textId="77777777" w:rsidR="008E7557" w:rsidRPr="008E7557" w:rsidRDefault="008E7557" w:rsidP="008E7557">
            <w:pPr>
              <w:jc w:val="center"/>
              <w:rPr>
                <w:rFonts w:ascii="Arial" w:hAnsi="Arial" w:cs="Arial"/>
                <w:color w:val="C0504D" w:themeColor="accent2"/>
                <w:szCs w:val="24"/>
              </w:rPr>
            </w:pPr>
            <w:r w:rsidRPr="008E7557">
              <w:rPr>
                <w:rFonts w:ascii="Arial" w:hAnsi="Arial" w:cs="Arial"/>
                <w:color w:val="C0504D" w:themeColor="accent2"/>
                <w:kern w:val="24"/>
                <w:szCs w:val="24"/>
              </w:rPr>
              <w:t>45.1% - 65%</w:t>
            </w:r>
          </w:p>
        </w:tc>
        <w:tc>
          <w:tcPr>
            <w:tcW w:w="2340" w:type="dxa"/>
            <w:tcBorders>
              <w:top w:val="single" w:sz="4" w:space="0" w:color="auto"/>
              <w:left w:val="single" w:sz="4" w:space="0" w:color="auto"/>
              <w:bottom w:val="single" w:sz="4" w:space="0" w:color="auto"/>
              <w:right w:val="single" w:sz="4" w:space="0" w:color="auto"/>
            </w:tcBorders>
            <w:vAlign w:val="center"/>
          </w:tcPr>
          <w:p w14:paraId="09FF19E5" w14:textId="0D6FA63C" w:rsidR="008E7557" w:rsidRPr="008E7557" w:rsidRDefault="008E7557" w:rsidP="008E7557">
            <w:pPr>
              <w:ind w:left="76"/>
              <w:rPr>
                <w:rFonts w:ascii="Arial" w:hAnsi="Arial" w:cs="Arial"/>
                <w:color w:val="C0504D" w:themeColor="accent2"/>
                <w:szCs w:val="24"/>
              </w:rPr>
            </w:pPr>
            <w:r w:rsidRPr="008E7557">
              <w:rPr>
                <w:rFonts w:ascii="Arial" w:hAnsi="Arial" w:cs="Arial"/>
                <w:color w:val="C0504D" w:themeColor="accent2"/>
                <w:kern w:val="24"/>
                <w:szCs w:val="24"/>
              </w:rPr>
              <w:t>$2,566.60 /acre</w:t>
            </w:r>
          </w:p>
        </w:tc>
        <w:tc>
          <w:tcPr>
            <w:tcW w:w="2430" w:type="dxa"/>
            <w:tcBorders>
              <w:top w:val="single" w:sz="4" w:space="0" w:color="auto"/>
              <w:left w:val="single" w:sz="4" w:space="0" w:color="auto"/>
              <w:bottom w:val="single" w:sz="4" w:space="0" w:color="auto"/>
              <w:right w:val="single" w:sz="4" w:space="0" w:color="auto"/>
            </w:tcBorders>
            <w:vAlign w:val="bottom"/>
            <w:hideMark/>
          </w:tcPr>
          <w:p w14:paraId="7EE01D49" w14:textId="2AFD7579" w:rsidR="008E7557" w:rsidRPr="008E7557" w:rsidRDefault="008E7557" w:rsidP="008E7557">
            <w:pPr>
              <w:ind w:left="76"/>
              <w:rPr>
                <w:rFonts w:ascii="Arial" w:hAnsi="Arial" w:cs="Arial"/>
                <w:color w:val="C0504D" w:themeColor="accent2"/>
                <w:kern w:val="24"/>
                <w:szCs w:val="24"/>
              </w:rPr>
            </w:pPr>
            <w:r w:rsidRPr="008E7557">
              <w:rPr>
                <w:rFonts w:ascii="Arial" w:hAnsi="Arial" w:cs="Arial"/>
                <w:color w:val="C0504D" w:themeColor="accent2"/>
              </w:rPr>
              <w:t>$2,868.55/ acre</w:t>
            </w:r>
          </w:p>
        </w:tc>
      </w:tr>
      <w:tr w:rsidR="008E7557" w:rsidRPr="008E7557" w14:paraId="214C5FF5" w14:textId="77777777" w:rsidTr="002C48EE">
        <w:trPr>
          <w:trHeight w:val="193"/>
        </w:trPr>
        <w:tc>
          <w:tcPr>
            <w:tcW w:w="2358" w:type="dxa"/>
            <w:tcBorders>
              <w:top w:val="single" w:sz="4" w:space="0" w:color="auto"/>
              <w:left w:val="single" w:sz="4" w:space="0" w:color="auto"/>
              <w:bottom w:val="single" w:sz="4" w:space="0" w:color="auto"/>
              <w:right w:val="single" w:sz="4" w:space="0" w:color="auto"/>
            </w:tcBorders>
            <w:vAlign w:val="center"/>
            <w:hideMark/>
          </w:tcPr>
          <w:p w14:paraId="3E13B24C" w14:textId="77777777" w:rsidR="008E7557" w:rsidRPr="008E7557" w:rsidRDefault="008E7557" w:rsidP="008E7557">
            <w:pPr>
              <w:rPr>
                <w:rFonts w:ascii="Arial" w:hAnsi="Arial" w:cs="Arial"/>
                <w:color w:val="C0504D" w:themeColor="accent2"/>
                <w:szCs w:val="24"/>
              </w:rPr>
            </w:pPr>
            <w:r w:rsidRPr="008E7557">
              <w:rPr>
                <w:rFonts w:ascii="Arial" w:hAnsi="Arial" w:cs="Arial"/>
                <w:color w:val="C0504D" w:themeColor="accent2"/>
                <w:kern w:val="24"/>
                <w:szCs w:val="24"/>
              </w:rPr>
              <w:t>6 Heavy</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4ABE787" w14:textId="77777777" w:rsidR="008E7557" w:rsidRPr="008E7557" w:rsidRDefault="008E7557" w:rsidP="008E7557">
            <w:pPr>
              <w:jc w:val="center"/>
              <w:rPr>
                <w:rFonts w:ascii="Arial" w:hAnsi="Arial" w:cs="Arial"/>
                <w:color w:val="C0504D" w:themeColor="accent2"/>
                <w:szCs w:val="24"/>
              </w:rPr>
            </w:pPr>
            <w:r w:rsidRPr="008E7557">
              <w:rPr>
                <w:rFonts w:ascii="Arial" w:hAnsi="Arial" w:cs="Arial"/>
                <w:color w:val="C0504D" w:themeColor="accent2"/>
                <w:kern w:val="24"/>
                <w:szCs w:val="24"/>
              </w:rPr>
              <w:t>65.1% - 85%</w:t>
            </w:r>
          </w:p>
        </w:tc>
        <w:tc>
          <w:tcPr>
            <w:tcW w:w="2340" w:type="dxa"/>
            <w:tcBorders>
              <w:top w:val="single" w:sz="4" w:space="0" w:color="auto"/>
              <w:left w:val="single" w:sz="4" w:space="0" w:color="auto"/>
              <w:bottom w:val="single" w:sz="4" w:space="0" w:color="auto"/>
              <w:right w:val="single" w:sz="4" w:space="0" w:color="auto"/>
            </w:tcBorders>
            <w:vAlign w:val="center"/>
          </w:tcPr>
          <w:p w14:paraId="769FFC7E" w14:textId="0F491468" w:rsidR="008E7557" w:rsidRPr="008E7557" w:rsidRDefault="008E7557" w:rsidP="008E7557">
            <w:pPr>
              <w:ind w:left="76"/>
              <w:rPr>
                <w:rFonts w:ascii="Arial" w:hAnsi="Arial" w:cs="Arial"/>
                <w:color w:val="C0504D" w:themeColor="accent2"/>
                <w:szCs w:val="24"/>
              </w:rPr>
            </w:pPr>
            <w:r w:rsidRPr="008E7557">
              <w:rPr>
                <w:rFonts w:ascii="Arial" w:hAnsi="Arial" w:cs="Arial"/>
                <w:color w:val="C0504D" w:themeColor="accent2"/>
                <w:kern w:val="24"/>
                <w:szCs w:val="24"/>
              </w:rPr>
              <w:t>$3,575.37 / acre</w:t>
            </w:r>
          </w:p>
        </w:tc>
        <w:tc>
          <w:tcPr>
            <w:tcW w:w="2430" w:type="dxa"/>
            <w:tcBorders>
              <w:top w:val="single" w:sz="4" w:space="0" w:color="auto"/>
              <w:left w:val="single" w:sz="4" w:space="0" w:color="auto"/>
              <w:bottom w:val="single" w:sz="4" w:space="0" w:color="auto"/>
              <w:right w:val="single" w:sz="4" w:space="0" w:color="auto"/>
            </w:tcBorders>
            <w:vAlign w:val="bottom"/>
            <w:hideMark/>
          </w:tcPr>
          <w:p w14:paraId="56C0970E" w14:textId="3689D864" w:rsidR="008E7557" w:rsidRPr="008E7557" w:rsidRDefault="008E7557" w:rsidP="008E7557">
            <w:pPr>
              <w:ind w:left="76"/>
              <w:rPr>
                <w:rFonts w:ascii="Arial" w:hAnsi="Arial" w:cs="Arial"/>
                <w:color w:val="C0504D" w:themeColor="accent2"/>
                <w:kern w:val="24"/>
                <w:szCs w:val="24"/>
              </w:rPr>
            </w:pPr>
            <w:r w:rsidRPr="008E7557">
              <w:rPr>
                <w:rFonts w:ascii="Arial" w:hAnsi="Arial" w:cs="Arial"/>
                <w:color w:val="C0504D" w:themeColor="accent2"/>
              </w:rPr>
              <w:t>$3,996.00 / acre</w:t>
            </w:r>
          </w:p>
        </w:tc>
      </w:tr>
      <w:tr w:rsidR="008E7557" w:rsidRPr="008E7557" w14:paraId="4C52BB16" w14:textId="77777777" w:rsidTr="002C48EE">
        <w:trPr>
          <w:trHeight w:val="193"/>
        </w:trPr>
        <w:tc>
          <w:tcPr>
            <w:tcW w:w="2358" w:type="dxa"/>
            <w:tcBorders>
              <w:top w:val="single" w:sz="4" w:space="0" w:color="auto"/>
              <w:left w:val="single" w:sz="4" w:space="0" w:color="auto"/>
              <w:bottom w:val="single" w:sz="4" w:space="0" w:color="auto"/>
              <w:right w:val="single" w:sz="4" w:space="0" w:color="auto"/>
            </w:tcBorders>
            <w:vAlign w:val="center"/>
            <w:hideMark/>
          </w:tcPr>
          <w:p w14:paraId="0A09F161" w14:textId="77777777" w:rsidR="008E7557" w:rsidRPr="008E7557" w:rsidRDefault="008E7557" w:rsidP="008E7557">
            <w:pPr>
              <w:rPr>
                <w:rFonts w:ascii="Arial" w:hAnsi="Arial" w:cs="Arial"/>
                <w:color w:val="C0504D" w:themeColor="accent2"/>
                <w:szCs w:val="24"/>
              </w:rPr>
            </w:pPr>
            <w:r w:rsidRPr="008E7557">
              <w:rPr>
                <w:rFonts w:ascii="Arial" w:hAnsi="Arial" w:cs="Arial"/>
                <w:color w:val="C0504D" w:themeColor="accent2"/>
                <w:kern w:val="24"/>
                <w:szCs w:val="24"/>
              </w:rPr>
              <w:t>7 Very Heavy</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A7DD2A2" w14:textId="77777777" w:rsidR="008E7557" w:rsidRPr="008E7557" w:rsidRDefault="008E7557" w:rsidP="008E7557">
            <w:pPr>
              <w:jc w:val="center"/>
              <w:rPr>
                <w:rFonts w:ascii="Arial" w:hAnsi="Arial" w:cs="Arial"/>
                <w:color w:val="C0504D" w:themeColor="accent2"/>
                <w:szCs w:val="24"/>
              </w:rPr>
            </w:pPr>
            <w:r w:rsidRPr="008E7557">
              <w:rPr>
                <w:rFonts w:ascii="Arial" w:hAnsi="Arial" w:cs="Arial"/>
                <w:color w:val="C0504D" w:themeColor="accent2"/>
                <w:kern w:val="24"/>
                <w:szCs w:val="24"/>
              </w:rPr>
              <w:t>85.1% - 100%</w:t>
            </w:r>
          </w:p>
        </w:tc>
        <w:tc>
          <w:tcPr>
            <w:tcW w:w="2340" w:type="dxa"/>
            <w:tcBorders>
              <w:top w:val="single" w:sz="4" w:space="0" w:color="auto"/>
              <w:left w:val="single" w:sz="4" w:space="0" w:color="auto"/>
              <w:bottom w:val="single" w:sz="4" w:space="0" w:color="auto"/>
              <w:right w:val="single" w:sz="4" w:space="0" w:color="auto"/>
            </w:tcBorders>
            <w:vAlign w:val="center"/>
          </w:tcPr>
          <w:p w14:paraId="19CB6FE5" w14:textId="01A08DA3" w:rsidR="008E7557" w:rsidRPr="008E7557" w:rsidRDefault="008E7557" w:rsidP="008E7557">
            <w:pPr>
              <w:ind w:left="76"/>
              <w:rPr>
                <w:rFonts w:ascii="Arial" w:hAnsi="Arial" w:cs="Arial"/>
                <w:color w:val="C0504D" w:themeColor="accent2"/>
                <w:szCs w:val="24"/>
              </w:rPr>
            </w:pPr>
            <w:r w:rsidRPr="008E7557">
              <w:rPr>
                <w:rFonts w:ascii="Arial" w:hAnsi="Arial" w:cs="Arial"/>
                <w:color w:val="C0504D" w:themeColor="accent2"/>
                <w:kern w:val="24"/>
                <w:szCs w:val="24"/>
              </w:rPr>
              <w:t>$4,399.10 / acre</w:t>
            </w:r>
          </w:p>
        </w:tc>
        <w:tc>
          <w:tcPr>
            <w:tcW w:w="2430" w:type="dxa"/>
            <w:tcBorders>
              <w:top w:val="single" w:sz="4" w:space="0" w:color="auto"/>
              <w:left w:val="single" w:sz="4" w:space="0" w:color="auto"/>
              <w:bottom w:val="single" w:sz="4" w:space="0" w:color="auto"/>
              <w:right w:val="single" w:sz="4" w:space="0" w:color="auto"/>
            </w:tcBorders>
            <w:vAlign w:val="bottom"/>
            <w:hideMark/>
          </w:tcPr>
          <w:p w14:paraId="75C8418B" w14:textId="5308ABEA" w:rsidR="008E7557" w:rsidRPr="008E7557" w:rsidRDefault="008E7557" w:rsidP="008E7557">
            <w:pPr>
              <w:ind w:left="76"/>
              <w:rPr>
                <w:rFonts w:ascii="Arial" w:hAnsi="Arial" w:cs="Arial"/>
                <w:color w:val="C0504D" w:themeColor="accent2"/>
                <w:kern w:val="24"/>
                <w:szCs w:val="24"/>
              </w:rPr>
            </w:pPr>
            <w:r w:rsidRPr="008E7557">
              <w:rPr>
                <w:rFonts w:ascii="Arial" w:hAnsi="Arial" w:cs="Arial"/>
                <w:color w:val="C0504D" w:themeColor="accent2"/>
              </w:rPr>
              <w:t>$4,916.64 / acre</w:t>
            </w:r>
          </w:p>
        </w:tc>
      </w:tr>
    </w:tbl>
    <w:p w14:paraId="5AFF2763" w14:textId="77777777" w:rsidR="00E11318" w:rsidRPr="00E11318" w:rsidRDefault="00E11318" w:rsidP="00E11318">
      <w:pPr>
        <w:jc w:val="center"/>
        <w:rPr>
          <w:rFonts w:ascii="Arial" w:hAnsi="Arial" w:cs="Arial"/>
          <w:szCs w:val="24"/>
          <w:highlight w:val="yellow"/>
        </w:rPr>
      </w:pPr>
    </w:p>
    <w:p w14:paraId="0996E479" w14:textId="51066EDF" w:rsidR="00E11318" w:rsidRDefault="00E11318" w:rsidP="00E11318">
      <w:pPr>
        <w:jc w:val="both"/>
        <w:rPr>
          <w:rFonts w:ascii="Arial" w:hAnsi="Arial" w:cs="Arial"/>
          <w:szCs w:val="24"/>
        </w:rPr>
      </w:pPr>
      <w:r w:rsidRPr="00D0292B">
        <w:rPr>
          <w:rFonts w:ascii="Arial" w:hAnsi="Arial" w:cs="Arial"/>
          <w:szCs w:val="24"/>
        </w:rPr>
        <w:t>The proposed 20</w:t>
      </w:r>
      <w:r w:rsidR="00062C27" w:rsidRPr="00D0292B">
        <w:rPr>
          <w:rFonts w:ascii="Arial" w:hAnsi="Arial" w:cs="Arial"/>
          <w:szCs w:val="24"/>
        </w:rPr>
        <w:t>23</w:t>
      </w:r>
      <w:r w:rsidRPr="00D0292B">
        <w:rPr>
          <w:rFonts w:ascii="Arial" w:hAnsi="Arial" w:cs="Arial"/>
          <w:szCs w:val="24"/>
        </w:rPr>
        <w:t>-202</w:t>
      </w:r>
      <w:r w:rsidR="00062C27" w:rsidRPr="00D0292B">
        <w:rPr>
          <w:rFonts w:ascii="Arial" w:hAnsi="Arial" w:cs="Arial"/>
          <w:szCs w:val="24"/>
        </w:rPr>
        <w:t>4</w:t>
      </w:r>
      <w:r w:rsidRPr="00D0292B">
        <w:rPr>
          <w:rFonts w:ascii="Arial" w:hAnsi="Arial" w:cs="Arial"/>
          <w:szCs w:val="24"/>
        </w:rPr>
        <w:t xml:space="preserve"> </w:t>
      </w:r>
      <w:r w:rsidR="00A70095">
        <w:rPr>
          <w:rFonts w:ascii="Arial" w:hAnsi="Arial" w:cs="Arial"/>
          <w:szCs w:val="24"/>
        </w:rPr>
        <w:t xml:space="preserve">SWM </w:t>
      </w:r>
      <w:r w:rsidR="00A02DAD">
        <w:rPr>
          <w:rFonts w:ascii="Arial" w:hAnsi="Arial" w:cs="Arial"/>
          <w:szCs w:val="24"/>
        </w:rPr>
        <w:t>fee</w:t>
      </w:r>
      <w:r w:rsidRPr="00D0292B">
        <w:rPr>
          <w:rFonts w:ascii="Arial" w:hAnsi="Arial" w:cs="Arial"/>
          <w:szCs w:val="24"/>
        </w:rPr>
        <w:t xml:space="preserve"> for a single-family residence is $</w:t>
      </w:r>
      <w:r w:rsidR="00062C27" w:rsidRPr="00D0292B">
        <w:rPr>
          <w:rFonts w:ascii="Arial" w:hAnsi="Arial" w:cs="Arial"/>
          <w:szCs w:val="24"/>
        </w:rPr>
        <w:t>323.10</w:t>
      </w:r>
      <w:r w:rsidRPr="00D0292B">
        <w:rPr>
          <w:rFonts w:ascii="Arial" w:hAnsi="Arial" w:cs="Arial"/>
          <w:szCs w:val="24"/>
        </w:rPr>
        <w:t xml:space="preserve"> per parcel. </w:t>
      </w:r>
      <w:r w:rsidR="00DF0430" w:rsidRPr="00D0292B">
        <w:rPr>
          <w:rFonts w:ascii="Arial" w:hAnsi="Arial" w:cs="Arial"/>
          <w:szCs w:val="24"/>
        </w:rPr>
        <w:t>A sample of</w:t>
      </w:r>
      <w:r w:rsidRPr="00D0292B">
        <w:rPr>
          <w:rFonts w:ascii="Arial" w:hAnsi="Arial" w:cs="Arial"/>
          <w:szCs w:val="24"/>
        </w:rPr>
        <w:t xml:space="preserve"> </w:t>
      </w:r>
      <w:r w:rsidR="00DF0430" w:rsidRPr="00D0292B">
        <w:rPr>
          <w:rFonts w:ascii="Arial" w:hAnsi="Arial" w:cs="Arial"/>
          <w:szCs w:val="24"/>
        </w:rPr>
        <w:t>34 jurisdictions in the region identifie</w:t>
      </w:r>
      <w:r w:rsidR="006D39C2">
        <w:rPr>
          <w:rFonts w:ascii="Arial" w:hAnsi="Arial" w:cs="Arial"/>
          <w:szCs w:val="24"/>
        </w:rPr>
        <w:t>d</w:t>
      </w:r>
      <w:r w:rsidR="00DF0430" w:rsidRPr="00D0292B">
        <w:rPr>
          <w:rFonts w:ascii="Arial" w:hAnsi="Arial" w:cs="Arial"/>
          <w:szCs w:val="24"/>
        </w:rPr>
        <w:t xml:space="preserve"> </w:t>
      </w:r>
      <w:r w:rsidR="00354D9C">
        <w:rPr>
          <w:rFonts w:ascii="Arial" w:hAnsi="Arial" w:cs="Arial"/>
          <w:szCs w:val="24"/>
        </w:rPr>
        <w:t>a range of $129 to $466</w:t>
      </w:r>
      <w:r w:rsidR="00354D9C" w:rsidRPr="00354D9C">
        <w:rPr>
          <w:rFonts w:ascii="Arial" w:hAnsi="Arial" w:cs="Arial"/>
          <w:szCs w:val="24"/>
        </w:rPr>
        <w:t xml:space="preserve"> </w:t>
      </w:r>
      <w:r w:rsidR="00354D9C" w:rsidRPr="00D0292B">
        <w:rPr>
          <w:rFonts w:ascii="Arial" w:hAnsi="Arial" w:cs="Arial"/>
          <w:szCs w:val="24"/>
        </w:rPr>
        <w:t>for a single-family residence</w:t>
      </w:r>
      <w:r w:rsidR="00354D9C">
        <w:rPr>
          <w:rFonts w:ascii="Arial" w:hAnsi="Arial" w:cs="Arial"/>
          <w:szCs w:val="24"/>
        </w:rPr>
        <w:t xml:space="preserve"> in 2022, with a </w:t>
      </w:r>
      <w:r w:rsidR="00DF0430" w:rsidRPr="00D0292B">
        <w:rPr>
          <w:rFonts w:ascii="Arial" w:hAnsi="Arial" w:cs="Arial"/>
          <w:szCs w:val="24"/>
        </w:rPr>
        <w:t>median</w:t>
      </w:r>
      <w:r w:rsidRPr="00D0292B">
        <w:rPr>
          <w:rFonts w:ascii="Arial" w:hAnsi="Arial" w:cs="Arial"/>
          <w:szCs w:val="24"/>
        </w:rPr>
        <w:t xml:space="preserve"> SWM </w:t>
      </w:r>
      <w:r w:rsidR="00A02DAD">
        <w:rPr>
          <w:rFonts w:ascii="Arial" w:hAnsi="Arial" w:cs="Arial"/>
          <w:szCs w:val="24"/>
        </w:rPr>
        <w:t>fee</w:t>
      </w:r>
      <w:r w:rsidRPr="00D0292B">
        <w:rPr>
          <w:rFonts w:ascii="Arial" w:hAnsi="Arial" w:cs="Arial"/>
          <w:szCs w:val="24"/>
        </w:rPr>
        <w:t xml:space="preserve"> </w:t>
      </w:r>
      <w:r w:rsidR="00354D9C">
        <w:rPr>
          <w:rFonts w:ascii="Arial" w:hAnsi="Arial" w:cs="Arial"/>
          <w:szCs w:val="24"/>
        </w:rPr>
        <w:t>of</w:t>
      </w:r>
      <w:r w:rsidRPr="00D0292B">
        <w:rPr>
          <w:rFonts w:ascii="Arial" w:hAnsi="Arial" w:cs="Arial"/>
          <w:szCs w:val="24"/>
        </w:rPr>
        <w:t xml:space="preserve"> $20</w:t>
      </w:r>
      <w:r w:rsidR="00B05F43" w:rsidRPr="00D0292B">
        <w:rPr>
          <w:rFonts w:ascii="Arial" w:hAnsi="Arial" w:cs="Arial"/>
          <w:szCs w:val="24"/>
        </w:rPr>
        <w:t>7</w:t>
      </w:r>
      <w:r w:rsidRPr="00D0292B">
        <w:rPr>
          <w:rFonts w:ascii="Arial" w:hAnsi="Arial" w:cs="Arial"/>
          <w:szCs w:val="24"/>
        </w:rPr>
        <w:t xml:space="preserve">. </w:t>
      </w:r>
    </w:p>
    <w:p w14:paraId="3666B17E" w14:textId="614199B8" w:rsidR="00D47556" w:rsidRDefault="00D47556" w:rsidP="00E11318">
      <w:pPr>
        <w:jc w:val="both"/>
        <w:rPr>
          <w:rFonts w:ascii="Arial" w:hAnsi="Arial" w:cs="Arial"/>
          <w:szCs w:val="24"/>
        </w:rPr>
      </w:pPr>
    </w:p>
    <w:p w14:paraId="2CB3214E" w14:textId="19E0A47F" w:rsidR="00D47556" w:rsidRPr="00D0292B" w:rsidRDefault="00D47556" w:rsidP="00E11318">
      <w:pPr>
        <w:jc w:val="both"/>
        <w:rPr>
          <w:rFonts w:ascii="Arial" w:hAnsi="Arial" w:cs="Arial"/>
          <w:szCs w:val="24"/>
        </w:rPr>
      </w:pPr>
      <w:r w:rsidRPr="00257A12">
        <w:rPr>
          <w:rFonts w:ascii="Arial" w:hAnsi="Arial" w:cs="Arial"/>
          <w:szCs w:val="24"/>
        </w:rPr>
        <w:t xml:space="preserve">The SWM </w:t>
      </w:r>
      <w:r w:rsidR="00C173CC">
        <w:rPr>
          <w:rFonts w:ascii="Arial" w:hAnsi="Arial" w:cs="Arial"/>
          <w:szCs w:val="24"/>
        </w:rPr>
        <w:t>rate</w:t>
      </w:r>
      <w:r w:rsidRPr="00257A12">
        <w:rPr>
          <w:rFonts w:ascii="Arial" w:hAnsi="Arial" w:cs="Arial"/>
          <w:szCs w:val="24"/>
        </w:rPr>
        <w:t xml:space="preserve"> increase would cover inflationary increases to maintain current levels of service and expand support services in both the Water and Land Resources appropriation unit and the SWM Local Drainage Services appropriation unit. According to </w:t>
      </w:r>
      <w:r w:rsidR="00C173CC">
        <w:rPr>
          <w:rFonts w:ascii="Arial" w:hAnsi="Arial" w:cs="Arial"/>
          <w:szCs w:val="24"/>
        </w:rPr>
        <w:t>Executive staff</w:t>
      </w:r>
      <w:r w:rsidRPr="00257A12">
        <w:rPr>
          <w:rFonts w:ascii="Arial" w:hAnsi="Arial" w:cs="Arial"/>
          <w:szCs w:val="24"/>
        </w:rPr>
        <w:t>, these support services would include</w:t>
      </w:r>
      <w:r>
        <w:rPr>
          <w:rFonts w:ascii="Arial" w:hAnsi="Arial" w:cs="Arial"/>
          <w:szCs w:val="24"/>
        </w:rPr>
        <w:t xml:space="preserve"> g</w:t>
      </w:r>
      <w:r w:rsidRPr="007A5C44">
        <w:rPr>
          <w:rFonts w:ascii="Arial" w:hAnsi="Arial" w:cs="Arial"/>
          <w:szCs w:val="24"/>
        </w:rPr>
        <w:t xml:space="preserve">rant </w:t>
      </w:r>
      <w:r>
        <w:rPr>
          <w:rFonts w:ascii="Arial" w:hAnsi="Arial" w:cs="Arial"/>
          <w:szCs w:val="24"/>
        </w:rPr>
        <w:t>development, policy and interjurisdictional relations, human resources, prioritization of chemicals of emerging concern, kokanee salmon recovery, immigrant-refugee farm program staffing, forest health and restoration staffing, fish passage restoration capital projects team, business analysis support, and fish passage projects in County rights-of-way. Information on these support services</w:t>
      </w:r>
      <w:r w:rsidR="006F6C95">
        <w:rPr>
          <w:rFonts w:ascii="Arial" w:hAnsi="Arial" w:cs="Arial"/>
          <w:szCs w:val="24"/>
        </w:rPr>
        <w:t>, proposed expenditures</w:t>
      </w:r>
      <w:r w:rsidR="00C173CC">
        <w:rPr>
          <w:rFonts w:ascii="Arial" w:hAnsi="Arial" w:cs="Arial"/>
          <w:szCs w:val="24"/>
        </w:rPr>
        <w:t>,</w:t>
      </w:r>
      <w:r w:rsidR="006F6C95">
        <w:rPr>
          <w:rFonts w:ascii="Arial" w:hAnsi="Arial" w:cs="Arial"/>
          <w:szCs w:val="24"/>
        </w:rPr>
        <w:t xml:space="preserve"> and staffing</w:t>
      </w:r>
      <w:r>
        <w:rPr>
          <w:rFonts w:ascii="Arial" w:hAnsi="Arial" w:cs="Arial"/>
          <w:szCs w:val="24"/>
        </w:rPr>
        <w:t xml:space="preserve"> can be found in the </w:t>
      </w:r>
      <w:r w:rsidR="00C173CC">
        <w:rPr>
          <w:rFonts w:ascii="Arial" w:hAnsi="Arial" w:cs="Arial"/>
          <w:szCs w:val="24"/>
        </w:rPr>
        <w:t xml:space="preserve">budget </w:t>
      </w:r>
      <w:r>
        <w:rPr>
          <w:rFonts w:ascii="Arial" w:hAnsi="Arial" w:cs="Arial"/>
          <w:szCs w:val="24"/>
        </w:rPr>
        <w:t>summary</w:t>
      </w:r>
      <w:r w:rsidR="006F6C95">
        <w:rPr>
          <w:rFonts w:ascii="Arial" w:hAnsi="Arial" w:cs="Arial"/>
          <w:szCs w:val="24"/>
        </w:rPr>
        <w:t xml:space="preserve"> section for these appropriation units.</w:t>
      </w:r>
    </w:p>
    <w:p w14:paraId="7CC7B1D2" w14:textId="77777777" w:rsidR="00E11318" w:rsidRPr="00062C27" w:rsidRDefault="00E11318" w:rsidP="00E11318">
      <w:pPr>
        <w:jc w:val="both"/>
        <w:rPr>
          <w:rFonts w:ascii="Arial" w:hAnsi="Arial" w:cs="Arial"/>
          <w:szCs w:val="24"/>
        </w:rPr>
      </w:pPr>
    </w:p>
    <w:p w14:paraId="13FDCA84" w14:textId="4AADAD66" w:rsidR="00E11318" w:rsidRPr="008D3254" w:rsidRDefault="00E11318" w:rsidP="00E11318">
      <w:pPr>
        <w:jc w:val="both"/>
        <w:rPr>
          <w:rFonts w:ascii="Arial" w:hAnsi="Arial" w:cs="Arial"/>
          <w:szCs w:val="24"/>
        </w:rPr>
      </w:pPr>
      <w:r w:rsidRPr="00062C27">
        <w:rPr>
          <w:rFonts w:ascii="Arial" w:hAnsi="Arial" w:cs="Arial"/>
          <w:szCs w:val="24"/>
        </w:rPr>
        <w:t xml:space="preserve">The Council will have the opportunity to review the proposed </w:t>
      </w:r>
      <w:r w:rsidR="00C173CC">
        <w:rPr>
          <w:rFonts w:ascii="Arial" w:hAnsi="Arial" w:cs="Arial"/>
          <w:szCs w:val="24"/>
        </w:rPr>
        <w:t>rate</w:t>
      </w:r>
      <w:r w:rsidRPr="00062C27">
        <w:rPr>
          <w:rFonts w:ascii="Arial" w:hAnsi="Arial" w:cs="Arial"/>
          <w:szCs w:val="24"/>
        </w:rPr>
        <w:t xml:space="preserve"> increases as part of its review of Proposed Ordinance </w:t>
      </w:r>
      <w:r w:rsidR="00062C27" w:rsidRPr="00062C27">
        <w:rPr>
          <w:rFonts w:ascii="Arial" w:hAnsi="Arial" w:cs="Arial"/>
          <w:szCs w:val="24"/>
        </w:rPr>
        <w:t>2022-0377</w:t>
      </w:r>
      <w:r w:rsidRPr="00062C27">
        <w:rPr>
          <w:rFonts w:ascii="Arial" w:hAnsi="Arial" w:cs="Arial"/>
          <w:szCs w:val="24"/>
        </w:rPr>
        <w:t>.</w:t>
      </w:r>
      <w:r w:rsidRPr="00062C27">
        <w:t xml:space="preserve"> </w:t>
      </w:r>
      <w:r w:rsidRPr="00062C27">
        <w:rPr>
          <w:rFonts w:ascii="Arial" w:hAnsi="Arial" w:cs="Arial"/>
          <w:szCs w:val="24"/>
        </w:rPr>
        <w:t xml:space="preserve">If the proposed </w:t>
      </w:r>
      <w:r w:rsidR="00C173CC">
        <w:rPr>
          <w:rFonts w:ascii="Arial" w:hAnsi="Arial" w:cs="Arial"/>
          <w:szCs w:val="24"/>
        </w:rPr>
        <w:t>rate</w:t>
      </w:r>
      <w:r w:rsidRPr="00062C27">
        <w:rPr>
          <w:rFonts w:ascii="Arial" w:hAnsi="Arial" w:cs="Arial"/>
          <w:szCs w:val="24"/>
        </w:rPr>
        <w:t xml:space="preserve"> increases are not approved, in whole or in part, the proposed 20</w:t>
      </w:r>
      <w:r w:rsidR="00724C22" w:rsidRPr="00062C27">
        <w:rPr>
          <w:rFonts w:ascii="Arial" w:hAnsi="Arial" w:cs="Arial"/>
          <w:szCs w:val="24"/>
        </w:rPr>
        <w:t>23</w:t>
      </w:r>
      <w:r w:rsidRPr="00062C27">
        <w:rPr>
          <w:rFonts w:ascii="Arial" w:hAnsi="Arial" w:cs="Arial"/>
          <w:szCs w:val="24"/>
        </w:rPr>
        <w:t>-202</w:t>
      </w:r>
      <w:r w:rsidR="00724C22" w:rsidRPr="00062C27">
        <w:rPr>
          <w:rFonts w:ascii="Arial" w:hAnsi="Arial" w:cs="Arial"/>
          <w:szCs w:val="24"/>
        </w:rPr>
        <w:t>4</w:t>
      </w:r>
      <w:r w:rsidRPr="00062C27">
        <w:rPr>
          <w:rFonts w:ascii="Arial" w:hAnsi="Arial" w:cs="Arial"/>
          <w:szCs w:val="24"/>
        </w:rPr>
        <w:t xml:space="preserve"> operating and capital budget expenditures in several agency divisions would need to be adjusted or fund balance would need to be used.</w:t>
      </w:r>
    </w:p>
    <w:p w14:paraId="0CBBB9A7" w14:textId="07619162" w:rsidR="002220A5" w:rsidRDefault="002220A5" w:rsidP="00E11318">
      <w:pPr>
        <w:spacing w:line="264" w:lineRule="auto"/>
        <w:contextualSpacing/>
        <w:jc w:val="both"/>
      </w:pPr>
    </w:p>
    <w:p w14:paraId="4513085C" w14:textId="65369009" w:rsidR="002C1C20" w:rsidRDefault="002C1C20" w:rsidP="002C1C20">
      <w:pPr>
        <w:jc w:val="both"/>
        <w:rPr>
          <w:rFonts w:ascii="Arial" w:hAnsi="Arial" w:cs="Arial"/>
          <w:b/>
          <w:smallCaps/>
          <w:szCs w:val="24"/>
          <w:u w:val="single"/>
        </w:rPr>
      </w:pPr>
      <w:r w:rsidRPr="00F77E3E">
        <w:rPr>
          <w:rFonts w:ascii="Arial" w:hAnsi="Arial" w:cs="Arial"/>
          <w:b/>
          <w:smallCaps/>
          <w:szCs w:val="24"/>
          <w:u w:val="single"/>
        </w:rPr>
        <w:t xml:space="preserve">Issue </w:t>
      </w:r>
      <w:r w:rsidR="00354D9C">
        <w:rPr>
          <w:rFonts w:ascii="Arial" w:hAnsi="Arial" w:cs="Arial"/>
          <w:b/>
          <w:smallCaps/>
          <w:szCs w:val="24"/>
          <w:u w:val="single"/>
        </w:rPr>
        <w:t>2</w:t>
      </w:r>
      <w:r w:rsidRPr="00F77E3E">
        <w:rPr>
          <w:rFonts w:ascii="Arial" w:hAnsi="Arial" w:cs="Arial"/>
          <w:b/>
          <w:smallCaps/>
          <w:szCs w:val="24"/>
          <w:u w:val="single"/>
        </w:rPr>
        <w:t xml:space="preserve"> – </w:t>
      </w:r>
      <w:r>
        <w:rPr>
          <w:rFonts w:ascii="Arial" w:hAnsi="Arial" w:cs="Arial"/>
          <w:b/>
          <w:smallCaps/>
          <w:szCs w:val="24"/>
          <w:u w:val="single"/>
        </w:rPr>
        <w:t>WSDOT SWM Payment</w:t>
      </w:r>
    </w:p>
    <w:p w14:paraId="2E62545D" w14:textId="77777777" w:rsidR="00E47DA7" w:rsidRDefault="00E47DA7" w:rsidP="002C1C20">
      <w:pPr>
        <w:jc w:val="both"/>
        <w:rPr>
          <w:rFonts w:ascii="Arial" w:hAnsi="Arial" w:cs="Arial"/>
          <w:szCs w:val="24"/>
        </w:rPr>
      </w:pPr>
    </w:p>
    <w:p w14:paraId="26E988C0" w14:textId="596839CC" w:rsidR="006D10CF" w:rsidRDefault="00463A02" w:rsidP="002C1C20">
      <w:pPr>
        <w:jc w:val="both"/>
        <w:rPr>
          <w:rFonts w:ascii="Arial" w:hAnsi="Arial" w:cs="Arial"/>
          <w:szCs w:val="24"/>
        </w:rPr>
      </w:pPr>
      <w:r w:rsidRPr="00164AD5">
        <w:rPr>
          <w:rFonts w:ascii="Arial" w:hAnsi="Arial" w:cs="Arial"/>
          <w:szCs w:val="24"/>
        </w:rPr>
        <w:t xml:space="preserve">There is an ongoing </w:t>
      </w:r>
      <w:r w:rsidR="00E47DA7" w:rsidRPr="00164AD5">
        <w:rPr>
          <w:rFonts w:ascii="Arial" w:hAnsi="Arial" w:cs="Arial"/>
          <w:szCs w:val="24"/>
        </w:rPr>
        <w:t xml:space="preserve">issue related to WSDOT's payment of SWM fees to the County. </w:t>
      </w:r>
      <w:r w:rsidR="000B0042" w:rsidRPr="00164AD5">
        <w:rPr>
          <w:rFonts w:ascii="Arial" w:hAnsi="Arial" w:cs="Arial"/>
          <w:szCs w:val="24"/>
        </w:rPr>
        <w:t>Since 20</w:t>
      </w:r>
      <w:r w:rsidR="0060205A" w:rsidRPr="00164AD5">
        <w:rPr>
          <w:rFonts w:ascii="Arial" w:hAnsi="Arial" w:cs="Arial"/>
          <w:szCs w:val="24"/>
        </w:rPr>
        <w:t xml:space="preserve">20, </w:t>
      </w:r>
      <w:r w:rsidR="00E304CC" w:rsidRPr="00164AD5">
        <w:rPr>
          <w:rFonts w:ascii="Arial" w:hAnsi="Arial" w:cs="Arial"/>
          <w:szCs w:val="24"/>
        </w:rPr>
        <w:t>WSDOT</w:t>
      </w:r>
      <w:r w:rsidR="000C6D92" w:rsidRPr="00164AD5">
        <w:rPr>
          <w:rFonts w:ascii="Arial" w:hAnsi="Arial" w:cs="Arial"/>
          <w:szCs w:val="24"/>
        </w:rPr>
        <w:t xml:space="preserve"> has not paid </w:t>
      </w:r>
      <w:r w:rsidR="006C349D" w:rsidRPr="00164AD5">
        <w:rPr>
          <w:rFonts w:ascii="Arial" w:hAnsi="Arial" w:cs="Arial"/>
          <w:szCs w:val="24"/>
        </w:rPr>
        <w:t>its</w:t>
      </w:r>
      <w:r w:rsidR="00CA213A" w:rsidRPr="00164AD5">
        <w:rPr>
          <w:rFonts w:ascii="Arial" w:hAnsi="Arial" w:cs="Arial"/>
          <w:szCs w:val="24"/>
        </w:rPr>
        <w:t xml:space="preserve"> SWM fees under </w:t>
      </w:r>
      <w:r w:rsidR="00C938A0" w:rsidRPr="00164AD5">
        <w:rPr>
          <w:rFonts w:ascii="Arial" w:hAnsi="Arial" w:cs="Arial"/>
          <w:szCs w:val="24"/>
        </w:rPr>
        <w:t>its</w:t>
      </w:r>
      <w:r w:rsidR="00CA213A" w:rsidRPr="00164AD5">
        <w:rPr>
          <w:rFonts w:ascii="Arial" w:hAnsi="Arial" w:cs="Arial"/>
          <w:szCs w:val="24"/>
        </w:rPr>
        <w:t xml:space="preserve"> interpretation of </w:t>
      </w:r>
      <w:r w:rsidR="00112E9E" w:rsidRPr="00164AD5">
        <w:rPr>
          <w:rFonts w:ascii="Arial" w:hAnsi="Arial" w:cs="Arial"/>
          <w:szCs w:val="24"/>
        </w:rPr>
        <w:t>RCW 90.03.525</w:t>
      </w:r>
      <w:r w:rsidR="00236D8F" w:rsidRPr="00164AD5">
        <w:rPr>
          <w:rFonts w:ascii="Arial" w:hAnsi="Arial" w:cs="Arial"/>
          <w:szCs w:val="24"/>
        </w:rPr>
        <w:t>,</w:t>
      </w:r>
      <w:r w:rsidR="00112E9E" w:rsidRPr="00164AD5">
        <w:rPr>
          <w:rFonts w:ascii="Arial" w:hAnsi="Arial" w:cs="Arial"/>
          <w:szCs w:val="24"/>
        </w:rPr>
        <w:t xml:space="preserve"> as amended</w:t>
      </w:r>
      <w:r w:rsidR="00C938A0" w:rsidRPr="00164AD5">
        <w:rPr>
          <w:rFonts w:ascii="Arial" w:hAnsi="Arial" w:cs="Arial"/>
          <w:szCs w:val="24"/>
        </w:rPr>
        <w:t xml:space="preserve"> in 2019</w:t>
      </w:r>
      <w:r w:rsidR="00CA213A" w:rsidRPr="00164AD5">
        <w:rPr>
          <w:rFonts w:ascii="Arial" w:hAnsi="Arial" w:cs="Arial"/>
          <w:szCs w:val="24"/>
        </w:rPr>
        <w:t xml:space="preserve">. </w:t>
      </w:r>
      <w:r w:rsidR="00E304CC" w:rsidRPr="00164AD5">
        <w:rPr>
          <w:rFonts w:ascii="Arial" w:hAnsi="Arial" w:cs="Arial"/>
          <w:szCs w:val="24"/>
        </w:rPr>
        <w:t xml:space="preserve"> </w:t>
      </w:r>
      <w:r w:rsidR="006D10CF" w:rsidRPr="00164AD5">
        <w:rPr>
          <w:rFonts w:ascii="Arial" w:hAnsi="Arial" w:cs="Arial"/>
          <w:szCs w:val="24"/>
        </w:rPr>
        <w:t>WSDOT is one of the largest SWM fee rate payers</w:t>
      </w:r>
      <w:r w:rsidR="002033E2" w:rsidRPr="00164AD5">
        <w:rPr>
          <w:rFonts w:ascii="Arial" w:hAnsi="Arial" w:cs="Arial"/>
          <w:szCs w:val="24"/>
        </w:rPr>
        <w:t xml:space="preserve">, and according to </w:t>
      </w:r>
      <w:r w:rsidR="00C6112C" w:rsidRPr="00164AD5">
        <w:rPr>
          <w:rFonts w:ascii="Arial" w:hAnsi="Arial" w:cs="Arial"/>
          <w:szCs w:val="24"/>
        </w:rPr>
        <w:t>Executive staff</w:t>
      </w:r>
      <w:r w:rsidR="002033E2" w:rsidRPr="00164AD5">
        <w:rPr>
          <w:rFonts w:ascii="Arial" w:hAnsi="Arial" w:cs="Arial"/>
          <w:szCs w:val="24"/>
        </w:rPr>
        <w:t xml:space="preserve">, </w:t>
      </w:r>
      <w:r w:rsidR="00C6112C" w:rsidRPr="00164AD5">
        <w:rPr>
          <w:rFonts w:ascii="Arial" w:hAnsi="Arial" w:cs="Arial"/>
          <w:szCs w:val="24"/>
        </w:rPr>
        <w:t xml:space="preserve">WSDOT's </w:t>
      </w:r>
      <w:r w:rsidR="002033E2" w:rsidRPr="00164AD5">
        <w:rPr>
          <w:rFonts w:ascii="Arial" w:hAnsi="Arial" w:cs="Arial"/>
          <w:szCs w:val="24"/>
        </w:rPr>
        <w:t>no</w:t>
      </w:r>
      <w:r w:rsidR="00EC7204" w:rsidRPr="00164AD5">
        <w:rPr>
          <w:rFonts w:ascii="Arial" w:hAnsi="Arial" w:cs="Arial"/>
          <w:szCs w:val="24"/>
        </w:rPr>
        <w:t>npayment presents a financi</w:t>
      </w:r>
      <w:r w:rsidR="00711807" w:rsidRPr="00164AD5">
        <w:rPr>
          <w:rFonts w:ascii="Arial" w:hAnsi="Arial" w:cs="Arial"/>
          <w:szCs w:val="24"/>
        </w:rPr>
        <w:t xml:space="preserve">al risk </w:t>
      </w:r>
      <w:r w:rsidR="008F25DE" w:rsidRPr="00164AD5">
        <w:rPr>
          <w:rFonts w:ascii="Arial" w:hAnsi="Arial" w:cs="Arial"/>
          <w:szCs w:val="24"/>
        </w:rPr>
        <w:t>of up to $</w:t>
      </w:r>
      <w:r w:rsidR="00C6112C" w:rsidRPr="00164AD5">
        <w:rPr>
          <w:rFonts w:ascii="Arial" w:hAnsi="Arial" w:cs="Arial"/>
          <w:szCs w:val="24"/>
        </w:rPr>
        <w:t>3.</w:t>
      </w:r>
      <w:r w:rsidR="008F25DE" w:rsidRPr="00164AD5">
        <w:rPr>
          <w:rFonts w:ascii="Arial" w:hAnsi="Arial" w:cs="Arial"/>
          <w:szCs w:val="24"/>
        </w:rPr>
        <w:t xml:space="preserve">9 million </w:t>
      </w:r>
      <w:r w:rsidR="00C6112C" w:rsidRPr="00164AD5">
        <w:rPr>
          <w:rFonts w:ascii="Arial" w:hAnsi="Arial" w:cs="Arial"/>
          <w:szCs w:val="24"/>
        </w:rPr>
        <w:t>for the 2023-</w:t>
      </w:r>
      <w:r w:rsidR="002033E2" w:rsidRPr="00164AD5">
        <w:rPr>
          <w:rFonts w:ascii="Arial" w:hAnsi="Arial" w:cs="Arial"/>
          <w:szCs w:val="24"/>
        </w:rPr>
        <w:t>2024</w:t>
      </w:r>
      <w:r w:rsidR="00C6112C" w:rsidRPr="00164AD5">
        <w:rPr>
          <w:rFonts w:ascii="Arial" w:hAnsi="Arial" w:cs="Arial"/>
          <w:szCs w:val="24"/>
        </w:rPr>
        <w:t xml:space="preserve"> biennium</w:t>
      </w:r>
      <w:r w:rsidR="00176DF6" w:rsidRPr="00164AD5">
        <w:rPr>
          <w:rFonts w:ascii="Arial" w:hAnsi="Arial" w:cs="Arial"/>
          <w:szCs w:val="24"/>
        </w:rPr>
        <w:t xml:space="preserve">. </w:t>
      </w:r>
      <w:r w:rsidR="007A7506" w:rsidRPr="00164AD5">
        <w:rPr>
          <w:rFonts w:ascii="Arial" w:hAnsi="Arial" w:cs="Arial"/>
          <w:szCs w:val="24"/>
        </w:rPr>
        <w:t>Consistent with the statute, t</w:t>
      </w:r>
      <w:r w:rsidR="008400AA" w:rsidRPr="00164AD5">
        <w:rPr>
          <w:rFonts w:ascii="Arial" w:hAnsi="Arial" w:cs="Arial"/>
          <w:szCs w:val="24"/>
        </w:rPr>
        <w:t>he Executive is in discussions with WSDOT on how to resolve this issue</w:t>
      </w:r>
      <w:r w:rsidR="007A7506" w:rsidRPr="00164AD5">
        <w:rPr>
          <w:rFonts w:ascii="Arial" w:hAnsi="Arial" w:cs="Arial"/>
          <w:szCs w:val="24"/>
        </w:rPr>
        <w:t xml:space="preserve"> for the biennium and for past nonpayment</w:t>
      </w:r>
      <w:r w:rsidR="008400AA" w:rsidRPr="00164AD5">
        <w:rPr>
          <w:rFonts w:ascii="Arial" w:hAnsi="Arial" w:cs="Arial"/>
          <w:szCs w:val="24"/>
        </w:rPr>
        <w:t xml:space="preserve">. </w:t>
      </w:r>
      <w:r w:rsidR="007A7506" w:rsidRPr="00164AD5">
        <w:rPr>
          <w:rFonts w:ascii="Arial" w:hAnsi="Arial" w:cs="Arial"/>
          <w:szCs w:val="24"/>
        </w:rPr>
        <w:t xml:space="preserve">The 2023-2024 </w:t>
      </w:r>
      <w:r w:rsidR="00E31FE7">
        <w:rPr>
          <w:rFonts w:ascii="Arial" w:hAnsi="Arial" w:cs="Arial"/>
          <w:szCs w:val="24"/>
        </w:rPr>
        <w:t xml:space="preserve">Executive </w:t>
      </w:r>
      <w:r w:rsidR="007A7506" w:rsidRPr="00164AD5">
        <w:rPr>
          <w:rFonts w:ascii="Arial" w:hAnsi="Arial" w:cs="Arial"/>
          <w:szCs w:val="24"/>
        </w:rPr>
        <w:t>proposed budget assumes full payment of the WSDOT SWM fee.</w:t>
      </w:r>
    </w:p>
    <w:p w14:paraId="6114DADC" w14:textId="781D087A" w:rsidR="00322220" w:rsidRDefault="00322220" w:rsidP="002C1C20">
      <w:pPr>
        <w:jc w:val="both"/>
        <w:rPr>
          <w:rFonts w:ascii="Arial" w:hAnsi="Arial" w:cs="Arial"/>
          <w:szCs w:val="24"/>
        </w:rPr>
      </w:pPr>
    </w:p>
    <w:p w14:paraId="727E08E3" w14:textId="77777777" w:rsidR="006E251A" w:rsidRPr="00B2433E" w:rsidRDefault="006E251A" w:rsidP="006E251A">
      <w:pPr>
        <w:spacing w:line="264" w:lineRule="auto"/>
        <w:contextualSpacing/>
        <w:jc w:val="center"/>
        <w:rPr>
          <w:rFonts w:ascii="Arial" w:hAnsi="Arial" w:cs="Arial"/>
          <w:b/>
          <w:smallCaps/>
          <w:szCs w:val="24"/>
          <w:u w:val="single"/>
        </w:rPr>
      </w:pPr>
      <w:r>
        <w:rPr>
          <w:rFonts w:ascii="Arial" w:hAnsi="Arial" w:cs="Arial"/>
          <w:b/>
          <w:smallCaps/>
          <w:szCs w:val="24"/>
          <w:u w:val="single"/>
        </w:rPr>
        <w:t>Response to Council Inquiries</w:t>
      </w:r>
    </w:p>
    <w:p w14:paraId="6827EDDD" w14:textId="77777777" w:rsidR="006E251A" w:rsidRPr="00B2433E" w:rsidRDefault="006E251A" w:rsidP="006E251A">
      <w:pPr>
        <w:spacing w:line="264" w:lineRule="auto"/>
        <w:contextualSpacing/>
        <w:jc w:val="center"/>
        <w:rPr>
          <w:rFonts w:ascii="Arial" w:hAnsi="Arial" w:cs="Arial"/>
          <w:szCs w:val="24"/>
        </w:rPr>
      </w:pPr>
    </w:p>
    <w:p w14:paraId="5EDD2BCC" w14:textId="48E30481" w:rsidR="006E251A" w:rsidRDefault="006E251A" w:rsidP="009D0DB8">
      <w:pPr>
        <w:contextualSpacing/>
        <w:jc w:val="both"/>
        <w:rPr>
          <w:rFonts w:ascii="Arial" w:hAnsi="Arial" w:cs="Arial"/>
          <w:b/>
          <w:smallCaps/>
          <w:szCs w:val="24"/>
        </w:rPr>
      </w:pPr>
      <w:r>
        <w:rPr>
          <w:rFonts w:ascii="Arial" w:hAnsi="Arial" w:cs="Arial"/>
          <w:b/>
          <w:smallCaps/>
          <w:szCs w:val="24"/>
          <w:u w:val="single"/>
        </w:rPr>
        <w:t>Question 1:</w:t>
      </w:r>
      <w:r>
        <w:rPr>
          <w:rFonts w:ascii="Arial" w:hAnsi="Arial" w:cs="Arial"/>
          <w:b/>
          <w:smallCaps/>
          <w:szCs w:val="24"/>
        </w:rPr>
        <w:t xml:space="preserve">  Corrected SWM Rate Tables</w:t>
      </w:r>
    </w:p>
    <w:p w14:paraId="4830B120" w14:textId="77777777" w:rsidR="00DC6208" w:rsidRPr="005D49A1" w:rsidRDefault="00DC6208" w:rsidP="009D0DB8">
      <w:pPr>
        <w:contextualSpacing/>
        <w:jc w:val="both"/>
        <w:rPr>
          <w:rFonts w:ascii="Arial" w:hAnsi="Arial" w:cs="Arial"/>
          <w:b/>
          <w:smallCaps/>
          <w:szCs w:val="24"/>
          <w:u w:val="single"/>
        </w:rPr>
      </w:pPr>
    </w:p>
    <w:p w14:paraId="6958C57B" w14:textId="49CC99E1" w:rsidR="0040531A" w:rsidRDefault="006E251A" w:rsidP="009D0DB8">
      <w:pPr>
        <w:contextualSpacing/>
        <w:rPr>
          <w:rFonts w:ascii="Arial" w:hAnsi="Arial" w:cs="Arial"/>
          <w:smallCaps/>
          <w:szCs w:val="24"/>
        </w:rPr>
      </w:pPr>
      <w:r w:rsidRPr="005D49A1">
        <w:rPr>
          <w:rFonts w:ascii="Arial" w:hAnsi="Arial" w:cs="Arial"/>
          <w:smallCaps/>
          <w:szCs w:val="24"/>
          <w:u w:val="single"/>
        </w:rPr>
        <w:t>Answer:</w:t>
      </w:r>
      <w:r w:rsidRPr="005D49A1">
        <w:rPr>
          <w:rFonts w:ascii="Arial" w:hAnsi="Arial" w:cs="Arial"/>
          <w:smallCaps/>
          <w:szCs w:val="24"/>
        </w:rPr>
        <w:t xml:space="preserve">  </w:t>
      </w:r>
    </w:p>
    <w:p w14:paraId="493824EE" w14:textId="695ED78E" w:rsidR="0042717E" w:rsidRPr="009D0DB8" w:rsidRDefault="0042717E" w:rsidP="009D0DB8">
      <w:pPr>
        <w:contextualSpacing/>
        <w:jc w:val="center"/>
        <w:rPr>
          <w:rFonts w:ascii="Arial" w:hAnsi="Arial" w:cs="Arial"/>
          <w:color w:val="C0504D" w:themeColor="accent2"/>
          <w:szCs w:val="24"/>
        </w:rPr>
      </w:pPr>
      <w:r w:rsidRPr="009D0DB8">
        <w:rPr>
          <w:rFonts w:ascii="Arial" w:hAnsi="Arial" w:cs="Arial"/>
          <w:b/>
          <w:color w:val="C0504D" w:themeColor="accent2"/>
          <w:szCs w:val="24"/>
        </w:rPr>
        <w:t>Table 2. 2019-2022 SWM Rates and 2023-2024 Proposed SWM Rates</w:t>
      </w:r>
    </w:p>
    <w:tbl>
      <w:tblPr>
        <w:tblStyle w:val="TableGrid"/>
        <w:tblpPr w:leftFromText="180" w:rightFromText="180" w:vertAnchor="text" w:horzAnchor="margin" w:tblpX="468" w:tblpY="131"/>
        <w:tblW w:w="9378" w:type="dxa"/>
        <w:tblLook w:val="0420" w:firstRow="1" w:lastRow="0" w:firstColumn="0" w:lastColumn="0" w:noHBand="0" w:noVBand="1"/>
      </w:tblPr>
      <w:tblGrid>
        <w:gridCol w:w="2358"/>
        <w:gridCol w:w="2250"/>
        <w:gridCol w:w="2340"/>
        <w:gridCol w:w="2430"/>
      </w:tblGrid>
      <w:tr w:rsidR="009D0DB8" w:rsidRPr="009D0DB8" w14:paraId="01041481" w14:textId="77777777" w:rsidTr="00EF34E8">
        <w:trPr>
          <w:trHeight w:val="419"/>
        </w:trPr>
        <w:tc>
          <w:tcPr>
            <w:tcW w:w="2358"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1F46003" w14:textId="77777777" w:rsidR="00BD7B07" w:rsidRPr="009D0DB8" w:rsidRDefault="00BD7B07" w:rsidP="009D0DB8">
            <w:pPr>
              <w:jc w:val="center"/>
              <w:rPr>
                <w:rFonts w:ascii="Arial" w:hAnsi="Arial" w:cs="Arial"/>
                <w:color w:val="C0504D" w:themeColor="accent2"/>
                <w:szCs w:val="36"/>
              </w:rPr>
            </w:pPr>
            <w:r w:rsidRPr="009D0DB8">
              <w:rPr>
                <w:rFonts w:ascii="Arial" w:hAnsi="Arial" w:cs="Arial"/>
                <w:b/>
                <w:bCs/>
                <w:color w:val="C0504D" w:themeColor="accent2"/>
                <w:kern w:val="24"/>
                <w:szCs w:val="36"/>
              </w:rPr>
              <w:t>Rate Classification</w:t>
            </w:r>
          </w:p>
        </w:tc>
        <w:tc>
          <w:tcPr>
            <w:tcW w:w="225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7143014" w14:textId="77777777" w:rsidR="00BD7B07" w:rsidRPr="009D0DB8" w:rsidRDefault="00BD7B07" w:rsidP="009D0DB8">
            <w:pPr>
              <w:jc w:val="center"/>
              <w:rPr>
                <w:rFonts w:ascii="Arial" w:hAnsi="Arial" w:cs="Arial"/>
                <w:color w:val="C0504D" w:themeColor="accent2"/>
                <w:szCs w:val="36"/>
              </w:rPr>
            </w:pPr>
            <w:r w:rsidRPr="009D0DB8">
              <w:rPr>
                <w:rFonts w:ascii="Arial" w:hAnsi="Arial" w:cs="Arial"/>
                <w:b/>
                <w:bCs/>
                <w:color w:val="C0504D" w:themeColor="accent2"/>
                <w:kern w:val="24"/>
                <w:szCs w:val="36"/>
              </w:rPr>
              <w:t>Percent Impervious Surface</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C8532B4" w14:textId="77777777" w:rsidR="00BD7B07" w:rsidRPr="009D0DB8" w:rsidRDefault="00BD7B07" w:rsidP="009D0DB8">
            <w:pPr>
              <w:jc w:val="center"/>
              <w:rPr>
                <w:rFonts w:ascii="Arial" w:hAnsi="Arial" w:cs="Arial"/>
                <w:b/>
                <w:bCs/>
                <w:color w:val="C0504D" w:themeColor="accent2"/>
                <w:kern w:val="24"/>
                <w:szCs w:val="36"/>
              </w:rPr>
            </w:pPr>
            <w:r w:rsidRPr="009D0DB8">
              <w:rPr>
                <w:rFonts w:ascii="Arial" w:hAnsi="Arial" w:cs="Arial"/>
                <w:b/>
                <w:bCs/>
                <w:color w:val="C0504D" w:themeColor="accent2"/>
                <w:kern w:val="24"/>
                <w:szCs w:val="36"/>
              </w:rPr>
              <w:t xml:space="preserve">2019-2022 </w:t>
            </w:r>
          </w:p>
          <w:p w14:paraId="0CF6E927" w14:textId="77777777" w:rsidR="00BD7B07" w:rsidRPr="009D0DB8" w:rsidRDefault="00BD7B07" w:rsidP="009D0DB8">
            <w:pPr>
              <w:jc w:val="center"/>
              <w:rPr>
                <w:rFonts w:ascii="Arial" w:hAnsi="Arial" w:cs="Arial"/>
                <w:color w:val="C0504D" w:themeColor="accent2"/>
                <w:szCs w:val="36"/>
              </w:rPr>
            </w:pPr>
            <w:r w:rsidRPr="009D0DB8">
              <w:rPr>
                <w:rFonts w:ascii="Arial" w:hAnsi="Arial" w:cs="Arial"/>
                <w:b/>
                <w:bCs/>
                <w:color w:val="C0504D" w:themeColor="accent2"/>
                <w:kern w:val="24"/>
                <w:szCs w:val="36"/>
              </w:rPr>
              <w:t>Rate</w:t>
            </w:r>
          </w:p>
        </w:tc>
        <w:tc>
          <w:tcPr>
            <w:tcW w:w="243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75B34C3" w14:textId="77777777" w:rsidR="00BD7B07" w:rsidRPr="009D0DB8" w:rsidRDefault="00BD7B07" w:rsidP="009D0DB8">
            <w:pPr>
              <w:jc w:val="center"/>
              <w:rPr>
                <w:rFonts w:ascii="Arial" w:hAnsi="Arial" w:cs="Arial"/>
                <w:b/>
                <w:bCs/>
                <w:color w:val="C0504D" w:themeColor="accent2"/>
                <w:kern w:val="24"/>
                <w:szCs w:val="36"/>
              </w:rPr>
            </w:pPr>
            <w:r w:rsidRPr="009D0DB8">
              <w:rPr>
                <w:rFonts w:ascii="Arial" w:hAnsi="Arial" w:cs="Arial"/>
                <w:b/>
                <w:bCs/>
                <w:color w:val="C0504D" w:themeColor="accent2"/>
                <w:kern w:val="24"/>
                <w:szCs w:val="36"/>
              </w:rPr>
              <w:t>2023-2024 Proposed Rate</w:t>
            </w:r>
          </w:p>
        </w:tc>
      </w:tr>
      <w:tr w:rsidR="009D0DB8" w:rsidRPr="009D0DB8" w14:paraId="444CC652" w14:textId="77777777" w:rsidTr="00EF34E8">
        <w:trPr>
          <w:trHeight w:val="220"/>
        </w:trPr>
        <w:tc>
          <w:tcPr>
            <w:tcW w:w="2358" w:type="dxa"/>
            <w:tcBorders>
              <w:top w:val="single" w:sz="4" w:space="0" w:color="auto"/>
              <w:left w:val="single" w:sz="4" w:space="0" w:color="auto"/>
              <w:bottom w:val="single" w:sz="4" w:space="0" w:color="auto"/>
              <w:right w:val="single" w:sz="4" w:space="0" w:color="auto"/>
            </w:tcBorders>
            <w:vAlign w:val="center"/>
            <w:hideMark/>
          </w:tcPr>
          <w:p w14:paraId="14934F7D" w14:textId="77777777" w:rsidR="00BD7B07" w:rsidRPr="009D0DB8" w:rsidRDefault="00BD7B07" w:rsidP="009D0DB8">
            <w:pPr>
              <w:rPr>
                <w:rFonts w:ascii="Arial" w:hAnsi="Arial" w:cs="Arial"/>
                <w:color w:val="C0504D" w:themeColor="accent2"/>
                <w:szCs w:val="24"/>
              </w:rPr>
            </w:pPr>
            <w:r w:rsidRPr="009D0DB8">
              <w:rPr>
                <w:rFonts w:ascii="Arial" w:hAnsi="Arial" w:cs="Arial"/>
                <w:color w:val="C0504D" w:themeColor="accent2"/>
                <w:kern w:val="24"/>
                <w:szCs w:val="24"/>
              </w:rPr>
              <w:t>1 Residential</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25D31D8" w14:textId="77777777" w:rsidR="00BD7B07" w:rsidRPr="009D0DB8" w:rsidRDefault="00BD7B07" w:rsidP="009D0DB8">
            <w:pPr>
              <w:jc w:val="center"/>
              <w:rPr>
                <w:rFonts w:ascii="Arial" w:hAnsi="Arial" w:cs="Arial"/>
                <w:color w:val="C0504D" w:themeColor="accent2"/>
                <w:szCs w:val="24"/>
              </w:rPr>
            </w:pPr>
            <w:r w:rsidRPr="009D0DB8">
              <w:rPr>
                <w:rFonts w:ascii="Arial" w:hAnsi="Arial" w:cs="Arial"/>
                <w:color w:val="C0504D" w:themeColor="accent2"/>
                <w:kern w:val="24"/>
                <w:szCs w:val="24"/>
              </w:rPr>
              <w:t>N/A</w:t>
            </w:r>
          </w:p>
        </w:tc>
        <w:tc>
          <w:tcPr>
            <w:tcW w:w="2340" w:type="dxa"/>
            <w:tcBorders>
              <w:top w:val="single" w:sz="4" w:space="0" w:color="auto"/>
              <w:left w:val="single" w:sz="4" w:space="0" w:color="auto"/>
              <w:bottom w:val="single" w:sz="4" w:space="0" w:color="auto"/>
              <w:right w:val="single" w:sz="4" w:space="0" w:color="auto"/>
            </w:tcBorders>
            <w:vAlign w:val="center"/>
          </w:tcPr>
          <w:p w14:paraId="7C4E2317" w14:textId="77777777" w:rsidR="00BD7B07" w:rsidRPr="009D0DB8" w:rsidRDefault="00BD7B07" w:rsidP="009D0DB8">
            <w:pPr>
              <w:ind w:left="76"/>
              <w:rPr>
                <w:rFonts w:ascii="Arial" w:hAnsi="Arial" w:cs="Arial"/>
                <w:color w:val="C0504D" w:themeColor="accent2"/>
                <w:szCs w:val="24"/>
              </w:rPr>
            </w:pPr>
            <w:r w:rsidRPr="009D0DB8">
              <w:rPr>
                <w:rFonts w:ascii="Arial" w:hAnsi="Arial" w:cs="Arial"/>
                <w:color w:val="C0504D" w:themeColor="accent2"/>
                <w:kern w:val="24"/>
                <w:szCs w:val="24"/>
              </w:rPr>
              <w:t>$289.00 / parcel</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CA51613" w14:textId="56AC1C21" w:rsidR="00BD7B07" w:rsidRPr="009D0DB8" w:rsidRDefault="00BD7B07" w:rsidP="009D0DB8">
            <w:pPr>
              <w:ind w:left="76"/>
              <w:rPr>
                <w:rFonts w:ascii="Arial" w:hAnsi="Arial" w:cs="Arial"/>
                <w:color w:val="C0504D" w:themeColor="accent2"/>
                <w:kern w:val="24"/>
                <w:szCs w:val="24"/>
              </w:rPr>
            </w:pPr>
            <w:r w:rsidRPr="009D0DB8">
              <w:rPr>
                <w:rFonts w:ascii="Arial" w:hAnsi="Arial" w:cs="Arial"/>
                <w:color w:val="C0504D" w:themeColor="accent2"/>
                <w:kern w:val="24"/>
                <w:szCs w:val="24"/>
              </w:rPr>
              <w:t>$323</w:t>
            </w:r>
            <w:r w:rsidR="00F95B17" w:rsidRPr="009D0DB8">
              <w:rPr>
                <w:rFonts w:ascii="Arial" w:hAnsi="Arial" w:cs="Arial"/>
                <w:color w:val="C0504D" w:themeColor="accent2"/>
                <w:kern w:val="24"/>
                <w:szCs w:val="24"/>
              </w:rPr>
              <w:t>.00</w:t>
            </w:r>
            <w:r w:rsidRPr="009D0DB8">
              <w:rPr>
                <w:rFonts w:ascii="Arial" w:hAnsi="Arial" w:cs="Arial"/>
                <w:color w:val="C0504D" w:themeColor="accent2"/>
                <w:kern w:val="24"/>
                <w:szCs w:val="24"/>
              </w:rPr>
              <w:t xml:space="preserve"> / parcel</w:t>
            </w:r>
          </w:p>
        </w:tc>
      </w:tr>
      <w:tr w:rsidR="009D0DB8" w:rsidRPr="009D0DB8" w14:paraId="3C5661F5" w14:textId="77777777" w:rsidTr="00EF34E8">
        <w:trPr>
          <w:trHeight w:val="193"/>
        </w:trPr>
        <w:tc>
          <w:tcPr>
            <w:tcW w:w="2358" w:type="dxa"/>
            <w:tcBorders>
              <w:top w:val="single" w:sz="4" w:space="0" w:color="auto"/>
              <w:left w:val="single" w:sz="4" w:space="0" w:color="auto"/>
              <w:bottom w:val="single" w:sz="4" w:space="0" w:color="auto"/>
              <w:right w:val="single" w:sz="4" w:space="0" w:color="auto"/>
            </w:tcBorders>
            <w:vAlign w:val="center"/>
            <w:hideMark/>
          </w:tcPr>
          <w:p w14:paraId="50611573" w14:textId="77777777" w:rsidR="00BD7B07" w:rsidRPr="009D0DB8" w:rsidRDefault="00BD7B07" w:rsidP="009D0DB8">
            <w:pPr>
              <w:rPr>
                <w:rFonts w:ascii="Arial" w:hAnsi="Arial" w:cs="Arial"/>
                <w:color w:val="C0504D" w:themeColor="accent2"/>
                <w:szCs w:val="24"/>
              </w:rPr>
            </w:pPr>
            <w:r w:rsidRPr="009D0DB8">
              <w:rPr>
                <w:rFonts w:ascii="Arial" w:hAnsi="Arial" w:cs="Arial"/>
                <w:color w:val="C0504D" w:themeColor="accent2"/>
                <w:kern w:val="24"/>
                <w:szCs w:val="24"/>
              </w:rPr>
              <w:t>2 Very Light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780B891" w14:textId="77777777" w:rsidR="00BD7B07" w:rsidRPr="009D0DB8" w:rsidRDefault="00BD7B07" w:rsidP="009D0DB8">
            <w:pPr>
              <w:jc w:val="center"/>
              <w:rPr>
                <w:rFonts w:ascii="Arial" w:hAnsi="Arial" w:cs="Arial"/>
                <w:color w:val="C0504D" w:themeColor="accent2"/>
                <w:szCs w:val="24"/>
              </w:rPr>
            </w:pPr>
            <w:r w:rsidRPr="009D0DB8">
              <w:rPr>
                <w:rFonts w:ascii="Arial" w:hAnsi="Arial" w:cs="Arial"/>
                <w:color w:val="C0504D" w:themeColor="accent2"/>
                <w:kern w:val="24"/>
                <w:szCs w:val="24"/>
              </w:rPr>
              <w:t xml:space="preserve"> 10% or less</w:t>
            </w:r>
          </w:p>
        </w:tc>
        <w:tc>
          <w:tcPr>
            <w:tcW w:w="2340" w:type="dxa"/>
            <w:tcBorders>
              <w:top w:val="single" w:sz="4" w:space="0" w:color="auto"/>
              <w:left w:val="single" w:sz="4" w:space="0" w:color="auto"/>
              <w:bottom w:val="single" w:sz="4" w:space="0" w:color="auto"/>
              <w:right w:val="single" w:sz="4" w:space="0" w:color="auto"/>
            </w:tcBorders>
            <w:vAlign w:val="center"/>
          </w:tcPr>
          <w:p w14:paraId="603559B5" w14:textId="77777777" w:rsidR="00BD7B07" w:rsidRPr="009D0DB8" w:rsidRDefault="00BD7B07" w:rsidP="009D0DB8">
            <w:pPr>
              <w:ind w:left="76"/>
              <w:rPr>
                <w:rFonts w:ascii="Arial" w:hAnsi="Arial" w:cs="Arial"/>
                <w:color w:val="C0504D" w:themeColor="accent2"/>
                <w:szCs w:val="24"/>
              </w:rPr>
            </w:pPr>
            <w:r w:rsidRPr="009D0DB8">
              <w:rPr>
                <w:rFonts w:ascii="Arial" w:hAnsi="Arial" w:cs="Arial"/>
                <w:color w:val="C0504D" w:themeColor="accent2"/>
                <w:kern w:val="24"/>
                <w:szCs w:val="24"/>
              </w:rPr>
              <w:t>$289.00 / parcel</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9BF5615" w14:textId="6BABEDE4" w:rsidR="00BD7B07" w:rsidRPr="009D0DB8" w:rsidRDefault="00BD7B07" w:rsidP="009D0DB8">
            <w:pPr>
              <w:ind w:left="76"/>
              <w:rPr>
                <w:rFonts w:ascii="Arial" w:hAnsi="Arial" w:cs="Arial"/>
                <w:color w:val="C0504D" w:themeColor="accent2"/>
                <w:kern w:val="24"/>
                <w:szCs w:val="24"/>
              </w:rPr>
            </w:pPr>
            <w:r w:rsidRPr="009D0DB8">
              <w:rPr>
                <w:rFonts w:ascii="Arial" w:hAnsi="Arial" w:cs="Arial"/>
                <w:color w:val="C0504D" w:themeColor="accent2"/>
                <w:kern w:val="24"/>
                <w:szCs w:val="24"/>
              </w:rPr>
              <w:t>$323</w:t>
            </w:r>
            <w:r w:rsidR="00F95B17" w:rsidRPr="009D0DB8">
              <w:rPr>
                <w:rFonts w:ascii="Arial" w:hAnsi="Arial" w:cs="Arial"/>
                <w:color w:val="C0504D" w:themeColor="accent2"/>
                <w:kern w:val="24"/>
                <w:szCs w:val="24"/>
              </w:rPr>
              <w:t xml:space="preserve">.00 </w:t>
            </w:r>
            <w:r w:rsidRPr="009D0DB8">
              <w:rPr>
                <w:rFonts w:ascii="Arial" w:hAnsi="Arial" w:cs="Arial"/>
                <w:color w:val="C0504D" w:themeColor="accent2"/>
                <w:kern w:val="24"/>
                <w:szCs w:val="24"/>
              </w:rPr>
              <w:t>/ parcel</w:t>
            </w:r>
          </w:p>
        </w:tc>
      </w:tr>
      <w:tr w:rsidR="009D0DB8" w:rsidRPr="009D0DB8" w14:paraId="15B1F347" w14:textId="77777777" w:rsidTr="00EF34E8">
        <w:trPr>
          <w:trHeight w:val="197"/>
        </w:trPr>
        <w:tc>
          <w:tcPr>
            <w:tcW w:w="2358" w:type="dxa"/>
            <w:tcBorders>
              <w:top w:val="single" w:sz="4" w:space="0" w:color="auto"/>
              <w:left w:val="single" w:sz="4" w:space="0" w:color="auto"/>
              <w:bottom w:val="single" w:sz="4" w:space="0" w:color="auto"/>
              <w:right w:val="single" w:sz="4" w:space="0" w:color="auto"/>
            </w:tcBorders>
            <w:vAlign w:val="center"/>
            <w:hideMark/>
          </w:tcPr>
          <w:p w14:paraId="58F8D76F" w14:textId="77777777" w:rsidR="00BD7B07" w:rsidRPr="009D0DB8" w:rsidRDefault="00BD7B07" w:rsidP="009D0DB8">
            <w:pPr>
              <w:rPr>
                <w:rFonts w:ascii="Arial" w:hAnsi="Arial" w:cs="Arial"/>
                <w:color w:val="C0504D" w:themeColor="accent2"/>
                <w:szCs w:val="24"/>
              </w:rPr>
            </w:pPr>
            <w:r w:rsidRPr="009D0DB8">
              <w:rPr>
                <w:rFonts w:ascii="Arial" w:hAnsi="Arial" w:cs="Arial"/>
                <w:color w:val="C0504D" w:themeColor="accent2"/>
                <w:kern w:val="24"/>
                <w:szCs w:val="24"/>
              </w:rPr>
              <w:t>3 Light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D6D9896" w14:textId="77777777" w:rsidR="00BD7B07" w:rsidRPr="009D0DB8" w:rsidRDefault="00BD7B07" w:rsidP="009D0DB8">
            <w:pPr>
              <w:jc w:val="center"/>
              <w:rPr>
                <w:rFonts w:ascii="Arial" w:hAnsi="Arial" w:cs="Arial"/>
                <w:color w:val="C0504D" w:themeColor="accent2"/>
                <w:szCs w:val="24"/>
              </w:rPr>
            </w:pPr>
            <w:r w:rsidRPr="009D0DB8">
              <w:rPr>
                <w:rFonts w:ascii="Arial" w:hAnsi="Arial" w:cs="Arial"/>
                <w:color w:val="C0504D" w:themeColor="accent2"/>
                <w:kern w:val="24"/>
                <w:szCs w:val="24"/>
              </w:rPr>
              <w:t>10.1% - 20%</w:t>
            </w:r>
          </w:p>
        </w:tc>
        <w:tc>
          <w:tcPr>
            <w:tcW w:w="2340" w:type="dxa"/>
            <w:tcBorders>
              <w:top w:val="single" w:sz="4" w:space="0" w:color="auto"/>
              <w:left w:val="single" w:sz="4" w:space="0" w:color="auto"/>
              <w:bottom w:val="single" w:sz="4" w:space="0" w:color="auto"/>
              <w:right w:val="single" w:sz="4" w:space="0" w:color="auto"/>
            </w:tcBorders>
            <w:vAlign w:val="center"/>
          </w:tcPr>
          <w:p w14:paraId="50839579" w14:textId="77777777" w:rsidR="00BD7B07" w:rsidRPr="009D0DB8" w:rsidRDefault="00BD7B07" w:rsidP="009D0DB8">
            <w:pPr>
              <w:ind w:left="76"/>
              <w:rPr>
                <w:rFonts w:ascii="Arial" w:hAnsi="Arial" w:cs="Arial"/>
                <w:color w:val="C0504D" w:themeColor="accent2"/>
                <w:szCs w:val="24"/>
              </w:rPr>
            </w:pPr>
            <w:r w:rsidRPr="009D0DB8">
              <w:rPr>
                <w:rFonts w:ascii="Arial" w:hAnsi="Arial" w:cs="Arial"/>
                <w:color w:val="C0504D" w:themeColor="accent2"/>
                <w:kern w:val="24"/>
                <w:szCs w:val="24"/>
              </w:rPr>
              <w:t>$803.51 / acre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30A1AC5" w14:textId="32C33103" w:rsidR="00BD7B07" w:rsidRPr="009D0DB8" w:rsidRDefault="00BD7B07" w:rsidP="009D0DB8">
            <w:pPr>
              <w:ind w:left="76"/>
              <w:rPr>
                <w:rFonts w:ascii="Arial" w:hAnsi="Arial" w:cs="Arial"/>
                <w:color w:val="C0504D" w:themeColor="accent2"/>
                <w:kern w:val="24"/>
                <w:szCs w:val="24"/>
              </w:rPr>
            </w:pPr>
            <w:r w:rsidRPr="009D0DB8">
              <w:rPr>
                <w:rFonts w:ascii="Arial" w:hAnsi="Arial" w:cs="Arial"/>
                <w:color w:val="C0504D" w:themeColor="accent2"/>
                <w:kern w:val="24"/>
                <w:szCs w:val="24"/>
              </w:rPr>
              <w:t>$898</w:t>
            </w:r>
            <w:r w:rsidR="00BB05C1" w:rsidRPr="009D0DB8">
              <w:rPr>
                <w:rFonts w:ascii="Arial" w:hAnsi="Arial" w:cs="Arial"/>
                <w:color w:val="C0504D" w:themeColor="accent2"/>
                <w:kern w:val="24"/>
                <w:szCs w:val="24"/>
              </w:rPr>
              <w:t>.04</w:t>
            </w:r>
            <w:r w:rsidRPr="009D0DB8">
              <w:rPr>
                <w:rFonts w:ascii="Arial" w:hAnsi="Arial" w:cs="Arial"/>
                <w:color w:val="C0504D" w:themeColor="accent2"/>
                <w:kern w:val="24"/>
                <w:szCs w:val="24"/>
              </w:rPr>
              <w:t xml:space="preserve"> / acre</w:t>
            </w:r>
          </w:p>
        </w:tc>
      </w:tr>
      <w:tr w:rsidR="009D0DB8" w:rsidRPr="009D0DB8" w14:paraId="1A015413" w14:textId="77777777" w:rsidTr="00145D7D">
        <w:trPr>
          <w:trHeight w:val="189"/>
        </w:trPr>
        <w:tc>
          <w:tcPr>
            <w:tcW w:w="2358" w:type="dxa"/>
            <w:tcBorders>
              <w:top w:val="single" w:sz="4" w:space="0" w:color="auto"/>
              <w:left w:val="single" w:sz="4" w:space="0" w:color="auto"/>
              <w:bottom w:val="single" w:sz="4" w:space="0" w:color="auto"/>
              <w:right w:val="single" w:sz="4" w:space="0" w:color="auto"/>
            </w:tcBorders>
            <w:vAlign w:val="center"/>
            <w:hideMark/>
          </w:tcPr>
          <w:p w14:paraId="66CE99FF" w14:textId="77777777" w:rsidR="00C4238B" w:rsidRPr="009D0DB8" w:rsidRDefault="00C4238B" w:rsidP="009D0DB8">
            <w:pPr>
              <w:rPr>
                <w:rFonts w:ascii="Arial" w:hAnsi="Arial" w:cs="Arial"/>
                <w:color w:val="C0504D" w:themeColor="accent2"/>
                <w:szCs w:val="24"/>
              </w:rPr>
            </w:pPr>
            <w:r w:rsidRPr="009D0DB8">
              <w:rPr>
                <w:rFonts w:ascii="Arial" w:hAnsi="Arial" w:cs="Arial"/>
                <w:color w:val="C0504D" w:themeColor="accent2"/>
                <w:kern w:val="24"/>
                <w:szCs w:val="24"/>
              </w:rPr>
              <w:t>4 Moderate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EF6B61D" w14:textId="77777777" w:rsidR="00C4238B" w:rsidRPr="009D0DB8" w:rsidRDefault="00C4238B" w:rsidP="009D0DB8">
            <w:pPr>
              <w:jc w:val="center"/>
              <w:rPr>
                <w:rFonts w:ascii="Arial" w:hAnsi="Arial" w:cs="Arial"/>
                <w:color w:val="C0504D" w:themeColor="accent2"/>
                <w:szCs w:val="24"/>
              </w:rPr>
            </w:pPr>
            <w:r w:rsidRPr="009D0DB8">
              <w:rPr>
                <w:rFonts w:ascii="Arial" w:hAnsi="Arial" w:cs="Arial"/>
                <w:color w:val="C0504D" w:themeColor="accent2"/>
                <w:kern w:val="24"/>
                <w:szCs w:val="24"/>
              </w:rPr>
              <w:t>20.1% - 45%</w:t>
            </w:r>
          </w:p>
        </w:tc>
        <w:tc>
          <w:tcPr>
            <w:tcW w:w="2340" w:type="dxa"/>
            <w:tcBorders>
              <w:top w:val="single" w:sz="4" w:space="0" w:color="auto"/>
              <w:left w:val="single" w:sz="4" w:space="0" w:color="auto"/>
              <w:bottom w:val="single" w:sz="4" w:space="0" w:color="auto"/>
              <w:right w:val="single" w:sz="4" w:space="0" w:color="auto"/>
            </w:tcBorders>
            <w:vAlign w:val="center"/>
          </w:tcPr>
          <w:p w14:paraId="79B52E47" w14:textId="77777777" w:rsidR="00C4238B" w:rsidRPr="009D0DB8" w:rsidRDefault="00C4238B" w:rsidP="009D0DB8">
            <w:pPr>
              <w:ind w:left="76"/>
              <w:rPr>
                <w:rFonts w:ascii="Arial" w:hAnsi="Arial" w:cs="Arial"/>
                <w:color w:val="C0504D" w:themeColor="accent2"/>
                <w:szCs w:val="24"/>
              </w:rPr>
            </w:pPr>
            <w:r w:rsidRPr="009D0DB8">
              <w:rPr>
                <w:rFonts w:ascii="Arial" w:hAnsi="Arial" w:cs="Arial"/>
                <w:color w:val="C0504D" w:themeColor="accent2"/>
                <w:kern w:val="24"/>
                <w:szCs w:val="24"/>
              </w:rPr>
              <w:t>$1,504.04 / acre</w:t>
            </w:r>
          </w:p>
        </w:tc>
        <w:tc>
          <w:tcPr>
            <w:tcW w:w="2430" w:type="dxa"/>
            <w:tcBorders>
              <w:top w:val="single" w:sz="4" w:space="0" w:color="auto"/>
              <w:left w:val="single" w:sz="4" w:space="0" w:color="auto"/>
              <w:bottom w:val="single" w:sz="4" w:space="0" w:color="auto"/>
              <w:right w:val="single" w:sz="4" w:space="0" w:color="auto"/>
            </w:tcBorders>
            <w:vAlign w:val="bottom"/>
            <w:hideMark/>
          </w:tcPr>
          <w:p w14:paraId="36BD5F64" w14:textId="2FBAE70D" w:rsidR="00C4238B" w:rsidRPr="009D0DB8" w:rsidRDefault="00C4238B" w:rsidP="009D0DB8">
            <w:pPr>
              <w:ind w:left="76"/>
              <w:rPr>
                <w:rFonts w:ascii="Arial" w:hAnsi="Arial" w:cs="Arial"/>
                <w:color w:val="C0504D" w:themeColor="accent2"/>
                <w:kern w:val="24"/>
                <w:szCs w:val="24"/>
              </w:rPr>
            </w:pPr>
            <w:r w:rsidRPr="009D0DB8">
              <w:rPr>
                <w:rFonts w:ascii="Arial" w:hAnsi="Arial" w:cs="Arial"/>
                <w:color w:val="C0504D" w:themeColor="accent2"/>
              </w:rPr>
              <w:t>$1,680.99 / acre</w:t>
            </w:r>
          </w:p>
        </w:tc>
      </w:tr>
      <w:tr w:rsidR="009D0DB8" w:rsidRPr="009D0DB8" w14:paraId="3927502D" w14:textId="77777777" w:rsidTr="00145D7D">
        <w:trPr>
          <w:trHeight w:val="193"/>
        </w:trPr>
        <w:tc>
          <w:tcPr>
            <w:tcW w:w="2358" w:type="dxa"/>
            <w:tcBorders>
              <w:top w:val="single" w:sz="4" w:space="0" w:color="auto"/>
              <w:left w:val="single" w:sz="4" w:space="0" w:color="auto"/>
              <w:bottom w:val="single" w:sz="4" w:space="0" w:color="auto"/>
              <w:right w:val="single" w:sz="4" w:space="0" w:color="auto"/>
            </w:tcBorders>
            <w:vAlign w:val="center"/>
            <w:hideMark/>
          </w:tcPr>
          <w:p w14:paraId="40032116" w14:textId="77777777" w:rsidR="00C4238B" w:rsidRPr="009D0DB8" w:rsidRDefault="00C4238B" w:rsidP="009D0DB8">
            <w:pPr>
              <w:rPr>
                <w:rFonts w:ascii="Arial" w:hAnsi="Arial" w:cs="Arial"/>
                <w:color w:val="C0504D" w:themeColor="accent2"/>
                <w:szCs w:val="24"/>
              </w:rPr>
            </w:pPr>
            <w:r w:rsidRPr="009D0DB8">
              <w:rPr>
                <w:rFonts w:ascii="Arial" w:hAnsi="Arial" w:cs="Arial"/>
                <w:color w:val="C0504D" w:themeColor="accent2"/>
                <w:kern w:val="24"/>
                <w:szCs w:val="24"/>
              </w:rPr>
              <w:t>5 Moderately Heavy</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3192E12" w14:textId="77777777" w:rsidR="00C4238B" w:rsidRPr="009D0DB8" w:rsidRDefault="00C4238B" w:rsidP="009D0DB8">
            <w:pPr>
              <w:jc w:val="center"/>
              <w:rPr>
                <w:rFonts w:ascii="Arial" w:hAnsi="Arial" w:cs="Arial"/>
                <w:color w:val="C0504D" w:themeColor="accent2"/>
                <w:szCs w:val="24"/>
              </w:rPr>
            </w:pPr>
            <w:r w:rsidRPr="009D0DB8">
              <w:rPr>
                <w:rFonts w:ascii="Arial" w:hAnsi="Arial" w:cs="Arial"/>
                <w:color w:val="C0504D" w:themeColor="accent2"/>
                <w:kern w:val="24"/>
                <w:szCs w:val="24"/>
              </w:rPr>
              <w:t>45.1% - 65%</w:t>
            </w:r>
          </w:p>
        </w:tc>
        <w:tc>
          <w:tcPr>
            <w:tcW w:w="2340" w:type="dxa"/>
            <w:tcBorders>
              <w:top w:val="single" w:sz="4" w:space="0" w:color="auto"/>
              <w:left w:val="single" w:sz="4" w:space="0" w:color="auto"/>
              <w:bottom w:val="single" w:sz="4" w:space="0" w:color="auto"/>
              <w:right w:val="single" w:sz="4" w:space="0" w:color="auto"/>
            </w:tcBorders>
            <w:vAlign w:val="center"/>
          </w:tcPr>
          <w:p w14:paraId="080943A8" w14:textId="77777777" w:rsidR="00C4238B" w:rsidRPr="009D0DB8" w:rsidRDefault="00C4238B" w:rsidP="009D0DB8">
            <w:pPr>
              <w:ind w:left="76"/>
              <w:rPr>
                <w:rFonts w:ascii="Arial" w:hAnsi="Arial" w:cs="Arial"/>
                <w:color w:val="C0504D" w:themeColor="accent2"/>
                <w:szCs w:val="24"/>
              </w:rPr>
            </w:pPr>
            <w:r w:rsidRPr="009D0DB8">
              <w:rPr>
                <w:rFonts w:ascii="Arial" w:hAnsi="Arial" w:cs="Arial"/>
                <w:color w:val="C0504D" w:themeColor="accent2"/>
                <w:kern w:val="24"/>
                <w:szCs w:val="24"/>
              </w:rPr>
              <w:t>$2,566.60 /acre</w:t>
            </w:r>
          </w:p>
        </w:tc>
        <w:tc>
          <w:tcPr>
            <w:tcW w:w="2430" w:type="dxa"/>
            <w:tcBorders>
              <w:top w:val="single" w:sz="4" w:space="0" w:color="auto"/>
              <w:left w:val="single" w:sz="4" w:space="0" w:color="auto"/>
              <w:bottom w:val="single" w:sz="4" w:space="0" w:color="auto"/>
              <w:right w:val="single" w:sz="4" w:space="0" w:color="auto"/>
            </w:tcBorders>
            <w:vAlign w:val="bottom"/>
            <w:hideMark/>
          </w:tcPr>
          <w:p w14:paraId="667532B6" w14:textId="303E9AF1" w:rsidR="00C4238B" w:rsidRPr="009D0DB8" w:rsidRDefault="00C4238B" w:rsidP="009D0DB8">
            <w:pPr>
              <w:ind w:left="76"/>
              <w:rPr>
                <w:rFonts w:ascii="Arial" w:hAnsi="Arial" w:cs="Arial"/>
                <w:color w:val="C0504D" w:themeColor="accent2"/>
                <w:kern w:val="24"/>
                <w:szCs w:val="24"/>
              </w:rPr>
            </w:pPr>
            <w:r w:rsidRPr="009D0DB8">
              <w:rPr>
                <w:rFonts w:ascii="Arial" w:hAnsi="Arial" w:cs="Arial"/>
                <w:color w:val="C0504D" w:themeColor="accent2"/>
              </w:rPr>
              <w:t>$2,868.55/ acre</w:t>
            </w:r>
          </w:p>
        </w:tc>
      </w:tr>
      <w:tr w:rsidR="009D0DB8" w:rsidRPr="009D0DB8" w14:paraId="13BBE9EE" w14:textId="77777777" w:rsidTr="00145D7D">
        <w:trPr>
          <w:trHeight w:val="193"/>
        </w:trPr>
        <w:tc>
          <w:tcPr>
            <w:tcW w:w="2358" w:type="dxa"/>
            <w:tcBorders>
              <w:top w:val="single" w:sz="4" w:space="0" w:color="auto"/>
              <w:left w:val="single" w:sz="4" w:space="0" w:color="auto"/>
              <w:bottom w:val="single" w:sz="4" w:space="0" w:color="auto"/>
              <w:right w:val="single" w:sz="4" w:space="0" w:color="auto"/>
            </w:tcBorders>
            <w:vAlign w:val="center"/>
            <w:hideMark/>
          </w:tcPr>
          <w:p w14:paraId="343BA2F1" w14:textId="77777777" w:rsidR="00C4238B" w:rsidRPr="009D0DB8" w:rsidRDefault="00C4238B" w:rsidP="009D0DB8">
            <w:pPr>
              <w:rPr>
                <w:rFonts w:ascii="Arial" w:hAnsi="Arial" w:cs="Arial"/>
                <w:color w:val="C0504D" w:themeColor="accent2"/>
                <w:szCs w:val="24"/>
              </w:rPr>
            </w:pPr>
            <w:r w:rsidRPr="009D0DB8">
              <w:rPr>
                <w:rFonts w:ascii="Arial" w:hAnsi="Arial" w:cs="Arial"/>
                <w:color w:val="C0504D" w:themeColor="accent2"/>
                <w:kern w:val="24"/>
                <w:szCs w:val="24"/>
              </w:rPr>
              <w:t>6 Heavy</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EE6D429" w14:textId="77777777" w:rsidR="00C4238B" w:rsidRPr="009D0DB8" w:rsidRDefault="00C4238B" w:rsidP="009D0DB8">
            <w:pPr>
              <w:jc w:val="center"/>
              <w:rPr>
                <w:rFonts w:ascii="Arial" w:hAnsi="Arial" w:cs="Arial"/>
                <w:color w:val="C0504D" w:themeColor="accent2"/>
                <w:szCs w:val="24"/>
              </w:rPr>
            </w:pPr>
            <w:r w:rsidRPr="009D0DB8">
              <w:rPr>
                <w:rFonts w:ascii="Arial" w:hAnsi="Arial" w:cs="Arial"/>
                <w:color w:val="C0504D" w:themeColor="accent2"/>
                <w:kern w:val="24"/>
                <w:szCs w:val="24"/>
              </w:rPr>
              <w:t>65.1% - 85%</w:t>
            </w:r>
          </w:p>
        </w:tc>
        <w:tc>
          <w:tcPr>
            <w:tcW w:w="2340" w:type="dxa"/>
            <w:tcBorders>
              <w:top w:val="single" w:sz="4" w:space="0" w:color="auto"/>
              <w:left w:val="single" w:sz="4" w:space="0" w:color="auto"/>
              <w:bottom w:val="single" w:sz="4" w:space="0" w:color="auto"/>
              <w:right w:val="single" w:sz="4" w:space="0" w:color="auto"/>
            </w:tcBorders>
            <w:vAlign w:val="center"/>
          </w:tcPr>
          <w:p w14:paraId="28661637" w14:textId="77777777" w:rsidR="00C4238B" w:rsidRPr="009D0DB8" w:rsidRDefault="00C4238B" w:rsidP="009D0DB8">
            <w:pPr>
              <w:ind w:left="76"/>
              <w:rPr>
                <w:rFonts w:ascii="Arial" w:hAnsi="Arial" w:cs="Arial"/>
                <w:color w:val="C0504D" w:themeColor="accent2"/>
                <w:szCs w:val="24"/>
              </w:rPr>
            </w:pPr>
            <w:r w:rsidRPr="009D0DB8">
              <w:rPr>
                <w:rFonts w:ascii="Arial" w:hAnsi="Arial" w:cs="Arial"/>
                <w:color w:val="C0504D" w:themeColor="accent2"/>
                <w:kern w:val="24"/>
                <w:szCs w:val="24"/>
              </w:rPr>
              <w:t>$3,575.37 / acre</w:t>
            </w:r>
          </w:p>
        </w:tc>
        <w:tc>
          <w:tcPr>
            <w:tcW w:w="2430" w:type="dxa"/>
            <w:tcBorders>
              <w:top w:val="single" w:sz="4" w:space="0" w:color="auto"/>
              <w:left w:val="single" w:sz="4" w:space="0" w:color="auto"/>
              <w:bottom w:val="single" w:sz="4" w:space="0" w:color="auto"/>
              <w:right w:val="single" w:sz="4" w:space="0" w:color="auto"/>
            </w:tcBorders>
            <w:vAlign w:val="bottom"/>
            <w:hideMark/>
          </w:tcPr>
          <w:p w14:paraId="6F6F166B" w14:textId="6CCAD262" w:rsidR="00C4238B" w:rsidRPr="009D0DB8" w:rsidRDefault="00C4238B" w:rsidP="009D0DB8">
            <w:pPr>
              <w:ind w:left="76"/>
              <w:rPr>
                <w:rFonts w:ascii="Arial" w:hAnsi="Arial" w:cs="Arial"/>
                <w:color w:val="C0504D" w:themeColor="accent2"/>
                <w:kern w:val="24"/>
                <w:szCs w:val="24"/>
              </w:rPr>
            </w:pPr>
            <w:r w:rsidRPr="009D0DB8">
              <w:rPr>
                <w:rFonts w:ascii="Arial" w:hAnsi="Arial" w:cs="Arial"/>
                <w:color w:val="C0504D" w:themeColor="accent2"/>
              </w:rPr>
              <w:t>$3,996.00 / acre</w:t>
            </w:r>
          </w:p>
        </w:tc>
      </w:tr>
      <w:tr w:rsidR="009D0DB8" w:rsidRPr="009D0DB8" w14:paraId="636879BA" w14:textId="77777777" w:rsidTr="00145D7D">
        <w:trPr>
          <w:trHeight w:val="193"/>
        </w:trPr>
        <w:tc>
          <w:tcPr>
            <w:tcW w:w="2358" w:type="dxa"/>
            <w:tcBorders>
              <w:top w:val="single" w:sz="4" w:space="0" w:color="auto"/>
              <w:left w:val="single" w:sz="4" w:space="0" w:color="auto"/>
              <w:bottom w:val="single" w:sz="4" w:space="0" w:color="auto"/>
              <w:right w:val="single" w:sz="4" w:space="0" w:color="auto"/>
            </w:tcBorders>
            <w:vAlign w:val="center"/>
            <w:hideMark/>
          </w:tcPr>
          <w:p w14:paraId="2B0A0809" w14:textId="77777777" w:rsidR="00C4238B" w:rsidRPr="009D0DB8" w:rsidRDefault="00C4238B" w:rsidP="009D0DB8">
            <w:pPr>
              <w:rPr>
                <w:rFonts w:ascii="Arial" w:hAnsi="Arial" w:cs="Arial"/>
                <w:color w:val="C0504D" w:themeColor="accent2"/>
                <w:szCs w:val="24"/>
              </w:rPr>
            </w:pPr>
            <w:r w:rsidRPr="009D0DB8">
              <w:rPr>
                <w:rFonts w:ascii="Arial" w:hAnsi="Arial" w:cs="Arial"/>
                <w:color w:val="C0504D" w:themeColor="accent2"/>
                <w:kern w:val="24"/>
                <w:szCs w:val="24"/>
              </w:rPr>
              <w:t>7 Very Heavy</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AE2FA11" w14:textId="77777777" w:rsidR="00C4238B" w:rsidRPr="009D0DB8" w:rsidRDefault="00C4238B" w:rsidP="009D0DB8">
            <w:pPr>
              <w:jc w:val="center"/>
              <w:rPr>
                <w:rFonts w:ascii="Arial" w:hAnsi="Arial" w:cs="Arial"/>
                <w:color w:val="C0504D" w:themeColor="accent2"/>
                <w:szCs w:val="24"/>
              </w:rPr>
            </w:pPr>
            <w:r w:rsidRPr="009D0DB8">
              <w:rPr>
                <w:rFonts w:ascii="Arial" w:hAnsi="Arial" w:cs="Arial"/>
                <w:color w:val="C0504D" w:themeColor="accent2"/>
                <w:kern w:val="24"/>
                <w:szCs w:val="24"/>
              </w:rPr>
              <w:t>85.1% - 100%</w:t>
            </w:r>
          </w:p>
        </w:tc>
        <w:tc>
          <w:tcPr>
            <w:tcW w:w="2340" w:type="dxa"/>
            <w:tcBorders>
              <w:top w:val="single" w:sz="4" w:space="0" w:color="auto"/>
              <w:left w:val="single" w:sz="4" w:space="0" w:color="auto"/>
              <w:bottom w:val="single" w:sz="4" w:space="0" w:color="auto"/>
              <w:right w:val="single" w:sz="4" w:space="0" w:color="auto"/>
            </w:tcBorders>
            <w:vAlign w:val="center"/>
          </w:tcPr>
          <w:p w14:paraId="30A02BE1" w14:textId="77777777" w:rsidR="00C4238B" w:rsidRPr="009D0DB8" w:rsidRDefault="00C4238B" w:rsidP="009D0DB8">
            <w:pPr>
              <w:ind w:left="76"/>
              <w:rPr>
                <w:rFonts w:ascii="Arial" w:hAnsi="Arial" w:cs="Arial"/>
                <w:color w:val="C0504D" w:themeColor="accent2"/>
                <w:szCs w:val="24"/>
              </w:rPr>
            </w:pPr>
            <w:r w:rsidRPr="009D0DB8">
              <w:rPr>
                <w:rFonts w:ascii="Arial" w:hAnsi="Arial" w:cs="Arial"/>
                <w:color w:val="C0504D" w:themeColor="accent2"/>
                <w:kern w:val="24"/>
                <w:szCs w:val="24"/>
              </w:rPr>
              <w:t>$4,399.10 / acre</w:t>
            </w:r>
          </w:p>
        </w:tc>
        <w:tc>
          <w:tcPr>
            <w:tcW w:w="2430" w:type="dxa"/>
            <w:tcBorders>
              <w:top w:val="single" w:sz="4" w:space="0" w:color="auto"/>
              <w:left w:val="single" w:sz="4" w:space="0" w:color="auto"/>
              <w:bottom w:val="single" w:sz="4" w:space="0" w:color="auto"/>
              <w:right w:val="single" w:sz="4" w:space="0" w:color="auto"/>
            </w:tcBorders>
            <w:vAlign w:val="bottom"/>
            <w:hideMark/>
          </w:tcPr>
          <w:p w14:paraId="0BC01814" w14:textId="3BF5FAB4" w:rsidR="00C4238B" w:rsidRPr="009D0DB8" w:rsidRDefault="00C4238B" w:rsidP="009D0DB8">
            <w:pPr>
              <w:ind w:left="76"/>
              <w:rPr>
                <w:rFonts w:ascii="Arial" w:hAnsi="Arial" w:cs="Arial"/>
                <w:color w:val="C0504D" w:themeColor="accent2"/>
                <w:kern w:val="24"/>
                <w:szCs w:val="24"/>
              </w:rPr>
            </w:pPr>
            <w:r w:rsidRPr="009D0DB8">
              <w:rPr>
                <w:rFonts w:ascii="Arial" w:hAnsi="Arial" w:cs="Arial"/>
                <w:color w:val="C0504D" w:themeColor="accent2"/>
              </w:rPr>
              <w:t>$4,916.64 / acre</w:t>
            </w:r>
          </w:p>
        </w:tc>
      </w:tr>
    </w:tbl>
    <w:p w14:paraId="65E61C41" w14:textId="2108CACC" w:rsidR="006E251A" w:rsidRPr="009D0DB8" w:rsidRDefault="006E251A" w:rsidP="009D0DB8">
      <w:pPr>
        <w:contextualSpacing/>
        <w:rPr>
          <w:rFonts w:ascii="Arial" w:hAnsi="Arial" w:cs="Arial"/>
          <w:color w:val="C0504D" w:themeColor="accent2"/>
          <w:szCs w:val="24"/>
        </w:rPr>
      </w:pPr>
    </w:p>
    <w:p w14:paraId="47D6E013" w14:textId="7ECA4D10" w:rsidR="006E251A" w:rsidRDefault="006E251A" w:rsidP="009D0DB8">
      <w:pPr>
        <w:contextualSpacing/>
        <w:rPr>
          <w:rFonts w:ascii="Arial" w:hAnsi="Arial" w:cs="Arial"/>
          <w:szCs w:val="24"/>
        </w:rPr>
      </w:pPr>
    </w:p>
    <w:p w14:paraId="31FB5FFD" w14:textId="0F07FC22" w:rsidR="008F5A54" w:rsidRDefault="008F5A54" w:rsidP="009D0DB8">
      <w:pPr>
        <w:contextualSpacing/>
        <w:rPr>
          <w:rFonts w:ascii="Arial" w:hAnsi="Arial" w:cs="Arial"/>
          <w:szCs w:val="24"/>
        </w:rPr>
      </w:pPr>
    </w:p>
    <w:p w14:paraId="40606038" w14:textId="77777777" w:rsidR="00DC6208" w:rsidRDefault="00DC6208" w:rsidP="009D0DB8">
      <w:pPr>
        <w:contextualSpacing/>
        <w:rPr>
          <w:rFonts w:ascii="Arial" w:hAnsi="Arial" w:cs="Arial"/>
          <w:szCs w:val="24"/>
        </w:rPr>
      </w:pPr>
    </w:p>
    <w:p w14:paraId="195F196A" w14:textId="4C582334" w:rsidR="006E251A" w:rsidRDefault="006E251A" w:rsidP="009D0DB8">
      <w:pPr>
        <w:contextualSpacing/>
        <w:jc w:val="both"/>
        <w:rPr>
          <w:rFonts w:ascii="Arial" w:hAnsi="Arial" w:cs="Arial"/>
          <w:b/>
          <w:smallCaps/>
          <w:szCs w:val="24"/>
        </w:rPr>
      </w:pPr>
      <w:r>
        <w:rPr>
          <w:rFonts w:ascii="Arial" w:hAnsi="Arial" w:cs="Arial"/>
          <w:b/>
          <w:smallCaps/>
          <w:szCs w:val="24"/>
          <w:u w:val="single"/>
        </w:rPr>
        <w:lastRenderedPageBreak/>
        <w:t>Question 2:</w:t>
      </w:r>
      <w:r>
        <w:rPr>
          <w:rFonts w:ascii="Arial" w:hAnsi="Arial" w:cs="Arial"/>
          <w:b/>
          <w:smallCaps/>
          <w:szCs w:val="24"/>
        </w:rPr>
        <w:t xml:space="preserve">  What were SWM rates over the past 10 years? </w:t>
      </w:r>
    </w:p>
    <w:p w14:paraId="6C4B5A14" w14:textId="77777777" w:rsidR="00DC6208" w:rsidRPr="005D49A1" w:rsidRDefault="00DC6208" w:rsidP="009D0DB8">
      <w:pPr>
        <w:contextualSpacing/>
        <w:jc w:val="both"/>
        <w:rPr>
          <w:rFonts w:ascii="Arial" w:hAnsi="Arial" w:cs="Arial"/>
          <w:b/>
          <w:smallCaps/>
          <w:szCs w:val="24"/>
          <w:u w:val="single"/>
        </w:rPr>
      </w:pPr>
    </w:p>
    <w:p w14:paraId="38A93688" w14:textId="21CBA974" w:rsidR="0040531A" w:rsidRDefault="006E251A" w:rsidP="009D0DB8">
      <w:pPr>
        <w:contextualSpacing/>
        <w:rPr>
          <w:rFonts w:ascii="Arial" w:hAnsi="Arial" w:cs="Arial"/>
          <w:color w:val="C0504D" w:themeColor="accent2"/>
          <w:szCs w:val="24"/>
        </w:rPr>
      </w:pPr>
      <w:r w:rsidRPr="005D49A1">
        <w:rPr>
          <w:rFonts w:ascii="Arial" w:hAnsi="Arial" w:cs="Arial"/>
          <w:smallCaps/>
          <w:szCs w:val="24"/>
          <w:u w:val="single"/>
        </w:rPr>
        <w:t>Answer:</w:t>
      </w:r>
      <w:r w:rsidRPr="005D49A1">
        <w:rPr>
          <w:rFonts w:ascii="Arial" w:hAnsi="Arial" w:cs="Arial"/>
          <w:smallCaps/>
          <w:szCs w:val="24"/>
        </w:rPr>
        <w:t xml:space="preserve">  </w:t>
      </w:r>
      <w:r w:rsidR="003C6147" w:rsidRPr="00DC6208">
        <w:rPr>
          <w:rFonts w:ascii="Arial" w:hAnsi="Arial" w:cs="Arial"/>
          <w:color w:val="C0504D" w:themeColor="accent2"/>
          <w:szCs w:val="24"/>
        </w:rPr>
        <w:t>Historical SWM rates are shown in the table below.</w:t>
      </w:r>
    </w:p>
    <w:p w14:paraId="1D30881B" w14:textId="77777777" w:rsidR="00DC6208" w:rsidRDefault="00DC6208" w:rsidP="009D0DB8">
      <w:pPr>
        <w:contextualSpacing/>
        <w:rPr>
          <w:rFonts w:ascii="Arial" w:hAnsi="Arial" w:cs="Arial"/>
          <w:smallCaps/>
          <w:szCs w:val="24"/>
        </w:rPr>
      </w:pPr>
    </w:p>
    <w:p w14:paraId="4AB1DFE1" w14:textId="77777777" w:rsidR="003C6147" w:rsidRPr="009D0DB8" w:rsidRDefault="0042717E" w:rsidP="009D0DB8">
      <w:pPr>
        <w:contextualSpacing/>
        <w:jc w:val="center"/>
        <w:rPr>
          <w:rFonts w:ascii="Arial" w:hAnsi="Arial" w:cs="Arial"/>
          <w:b/>
          <w:color w:val="C0504D" w:themeColor="accent2"/>
          <w:szCs w:val="24"/>
        </w:rPr>
      </w:pPr>
      <w:r w:rsidRPr="009D0DB8">
        <w:rPr>
          <w:rFonts w:ascii="Arial" w:hAnsi="Arial" w:cs="Arial"/>
          <w:b/>
          <w:color w:val="C0504D" w:themeColor="accent2"/>
          <w:szCs w:val="24"/>
        </w:rPr>
        <w:t xml:space="preserve">Table 3. King County SWM Rates between 1986 and </w:t>
      </w:r>
      <w:r w:rsidR="003C6147" w:rsidRPr="009D0DB8">
        <w:rPr>
          <w:rFonts w:ascii="Arial" w:hAnsi="Arial" w:cs="Arial"/>
          <w:b/>
          <w:color w:val="C0504D" w:themeColor="accent2"/>
          <w:szCs w:val="24"/>
        </w:rPr>
        <w:t xml:space="preserve">2019 </w:t>
      </w:r>
    </w:p>
    <w:p w14:paraId="0C5BF1E3" w14:textId="7A7134C3" w:rsidR="0042717E" w:rsidRPr="009D0DB8" w:rsidRDefault="003C6147" w:rsidP="009D0DB8">
      <w:pPr>
        <w:contextualSpacing/>
        <w:jc w:val="center"/>
        <w:rPr>
          <w:rFonts w:ascii="Arial" w:hAnsi="Arial" w:cs="Arial"/>
          <w:color w:val="C0504D" w:themeColor="accent2"/>
          <w:szCs w:val="24"/>
        </w:rPr>
      </w:pPr>
      <w:r w:rsidRPr="009D0DB8">
        <w:rPr>
          <w:rFonts w:ascii="Arial" w:hAnsi="Arial" w:cs="Arial"/>
          <w:b/>
          <w:color w:val="C0504D" w:themeColor="accent2"/>
          <w:szCs w:val="24"/>
        </w:rPr>
        <w:t>with Proposed 2023 Rates</w:t>
      </w:r>
    </w:p>
    <w:tbl>
      <w:tblPr>
        <w:tblW w:w="0" w:type="auto"/>
        <w:tblInd w:w="1008" w:type="dxa"/>
        <w:tblCellMar>
          <w:left w:w="0" w:type="dxa"/>
          <w:right w:w="0" w:type="dxa"/>
        </w:tblCellMar>
        <w:tblLook w:val="04A0" w:firstRow="1" w:lastRow="0" w:firstColumn="1" w:lastColumn="0" w:noHBand="0" w:noVBand="1"/>
      </w:tblPr>
      <w:tblGrid>
        <w:gridCol w:w="1338"/>
        <w:gridCol w:w="1558"/>
        <w:gridCol w:w="1571"/>
        <w:gridCol w:w="1571"/>
        <w:gridCol w:w="1431"/>
      </w:tblGrid>
      <w:tr w:rsidR="009D0DB8" w:rsidRPr="0040531A" w14:paraId="28F6130B" w14:textId="77777777" w:rsidTr="0040531A">
        <w:tc>
          <w:tcPr>
            <w:tcW w:w="1338"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4E9DCA42"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b/>
                <w:bCs/>
                <w:color w:val="C0504D" w:themeColor="accent2"/>
                <w:sz w:val="20"/>
              </w:rPr>
              <w:t>Year</w:t>
            </w:r>
          </w:p>
        </w:tc>
        <w:tc>
          <w:tcPr>
            <w:tcW w:w="1558"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1665316D"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b/>
                <w:bCs/>
                <w:color w:val="C0504D" w:themeColor="accent2"/>
                <w:sz w:val="20"/>
              </w:rPr>
              <w:t>SWM Service Charge</w:t>
            </w:r>
          </w:p>
        </w:tc>
        <w:tc>
          <w:tcPr>
            <w:tcW w:w="1571"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4325E835"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b/>
                <w:bCs/>
                <w:color w:val="C0504D" w:themeColor="accent2"/>
                <w:sz w:val="20"/>
              </w:rPr>
              <w:t>Dollar</w:t>
            </w:r>
            <w:r w:rsidRPr="0040531A">
              <w:rPr>
                <w:rFonts w:ascii="Arial" w:eastAsia="Calibri" w:hAnsi="Arial" w:cs="Arial"/>
                <w:b/>
                <w:bCs/>
                <w:color w:val="C0504D" w:themeColor="accent2"/>
                <w:sz w:val="20"/>
              </w:rPr>
              <w:br/>
              <w:t>Increase</w:t>
            </w:r>
          </w:p>
        </w:tc>
        <w:tc>
          <w:tcPr>
            <w:tcW w:w="1571"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204A0948"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b/>
                <w:bCs/>
                <w:color w:val="C0504D" w:themeColor="accent2"/>
                <w:sz w:val="20"/>
              </w:rPr>
              <w:t>Percent</w:t>
            </w:r>
            <w:r w:rsidRPr="0040531A">
              <w:rPr>
                <w:rFonts w:ascii="Arial" w:eastAsia="Calibri" w:hAnsi="Arial" w:cs="Arial"/>
                <w:b/>
                <w:bCs/>
                <w:color w:val="C0504D" w:themeColor="accent2"/>
                <w:sz w:val="20"/>
              </w:rPr>
              <w:br/>
              <w:t>Increase</w:t>
            </w:r>
          </w:p>
        </w:tc>
        <w:tc>
          <w:tcPr>
            <w:tcW w:w="1431"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5352C255" w14:textId="77777777" w:rsidR="0040531A" w:rsidRPr="0040531A" w:rsidRDefault="0040531A" w:rsidP="009D0DB8">
            <w:pPr>
              <w:jc w:val="center"/>
              <w:rPr>
                <w:rFonts w:ascii="Arial" w:eastAsia="Calibri" w:hAnsi="Arial" w:cs="Arial"/>
                <w:b/>
                <w:bCs/>
                <w:color w:val="C0504D" w:themeColor="accent2"/>
                <w:sz w:val="20"/>
              </w:rPr>
            </w:pPr>
            <w:r w:rsidRPr="0040531A">
              <w:rPr>
                <w:rFonts w:ascii="Arial" w:eastAsia="Calibri" w:hAnsi="Arial" w:cs="Arial"/>
                <w:b/>
                <w:bCs/>
                <w:color w:val="C0504D" w:themeColor="accent2"/>
                <w:sz w:val="20"/>
              </w:rPr>
              <w:t xml:space="preserve">Inflation Over Same </w:t>
            </w:r>
            <w:proofErr w:type="gramStart"/>
            <w:r w:rsidRPr="0040531A">
              <w:rPr>
                <w:rFonts w:ascii="Arial" w:eastAsia="Calibri" w:hAnsi="Arial" w:cs="Arial"/>
                <w:b/>
                <w:bCs/>
                <w:color w:val="C0504D" w:themeColor="accent2"/>
                <w:sz w:val="20"/>
              </w:rPr>
              <w:t>Period</w:t>
            </w:r>
            <w:r w:rsidRPr="0040531A">
              <w:rPr>
                <w:rFonts w:ascii="Arial" w:eastAsia="Calibri" w:hAnsi="Arial" w:cs="Arial"/>
                <w:b/>
                <w:bCs/>
                <w:color w:val="C0504D" w:themeColor="accent2"/>
                <w:sz w:val="20"/>
                <w:vertAlign w:val="superscript"/>
              </w:rPr>
              <w:footnoteReference w:customMarkFollows="1" w:id="2"/>
              <w:t>[</w:t>
            </w:r>
            <w:proofErr w:type="gramEnd"/>
            <w:r w:rsidRPr="0040531A">
              <w:rPr>
                <w:rFonts w:ascii="Arial" w:eastAsia="Calibri" w:hAnsi="Arial" w:cs="Arial"/>
                <w:b/>
                <w:bCs/>
                <w:color w:val="C0504D" w:themeColor="accent2"/>
                <w:sz w:val="20"/>
                <w:vertAlign w:val="superscript"/>
              </w:rPr>
              <w:t>1]</w:t>
            </w:r>
          </w:p>
        </w:tc>
      </w:tr>
      <w:tr w:rsidR="009D0DB8" w:rsidRPr="0040531A" w14:paraId="0EFC6B70" w14:textId="77777777" w:rsidTr="0040531A">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3455083" w14:textId="77777777" w:rsidR="0040531A" w:rsidRPr="0040531A" w:rsidRDefault="0040531A" w:rsidP="009D0DB8">
            <w:pPr>
              <w:jc w:val="center"/>
              <w:rPr>
                <w:rFonts w:ascii="Arial" w:eastAsia="Calibri" w:hAnsi="Arial" w:cs="Arial"/>
                <w:b/>
                <w:bCs/>
                <w:color w:val="C0504D" w:themeColor="accent2"/>
                <w:sz w:val="20"/>
              </w:rPr>
            </w:pPr>
            <w:r w:rsidRPr="0040531A">
              <w:rPr>
                <w:rFonts w:ascii="Arial" w:eastAsia="Calibri" w:hAnsi="Arial" w:cs="Arial"/>
                <w:b/>
                <w:bCs/>
                <w:color w:val="C0504D" w:themeColor="accent2"/>
                <w:sz w:val="20"/>
              </w:rPr>
              <w:t>1986</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2E57F5"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$26.07</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F1057C"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6C285D"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14:paraId="5A5521BE"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w:t>
            </w:r>
          </w:p>
        </w:tc>
      </w:tr>
      <w:tr w:rsidR="009D0DB8" w:rsidRPr="0040531A" w14:paraId="2AFF9DAB" w14:textId="77777777" w:rsidTr="0040531A">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B2735E"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b/>
                <w:bCs/>
                <w:color w:val="C0504D" w:themeColor="accent2"/>
                <w:sz w:val="20"/>
              </w:rPr>
              <w:t>1992</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00A228"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$85.02</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59BD89"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$58.95</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C904EB"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226%</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14:paraId="7FCE5E2B"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26%</w:t>
            </w:r>
          </w:p>
        </w:tc>
      </w:tr>
      <w:tr w:rsidR="009D0DB8" w:rsidRPr="0040531A" w14:paraId="577C1ACE" w14:textId="77777777" w:rsidTr="0040531A">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B508150"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b/>
                <w:bCs/>
                <w:color w:val="C0504D" w:themeColor="accent2"/>
                <w:sz w:val="20"/>
              </w:rPr>
              <w:t>2002</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7DABE2"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$102.00</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37E46D"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$16.98</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4315F2"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20.0%</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14:paraId="39ADB16B"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28.2%</w:t>
            </w:r>
          </w:p>
        </w:tc>
      </w:tr>
      <w:tr w:rsidR="009D0DB8" w:rsidRPr="0040531A" w14:paraId="4BA825ED" w14:textId="77777777" w:rsidTr="0040531A">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F1D2EDF"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b/>
                <w:bCs/>
                <w:color w:val="C0504D" w:themeColor="accent2"/>
                <w:sz w:val="20"/>
              </w:rPr>
              <w:t>2007</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9BF947"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$111.00</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B6F195"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$9.00</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5EC456"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8.8%</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14:paraId="4A9EDD99"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14.3%</w:t>
            </w:r>
          </w:p>
        </w:tc>
      </w:tr>
      <w:tr w:rsidR="009D0DB8" w:rsidRPr="0040531A" w14:paraId="30F3CF1F" w14:textId="77777777" w:rsidTr="0040531A">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C3CBCB"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b/>
                <w:bCs/>
                <w:color w:val="C0504D" w:themeColor="accent2"/>
                <w:sz w:val="20"/>
              </w:rPr>
              <w:t>2011</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6DE44A"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$133.00</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DBD7E7"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$22.00</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F69DC5"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19.8%</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14:paraId="140F7B24"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8.8%</w:t>
            </w:r>
          </w:p>
        </w:tc>
      </w:tr>
      <w:tr w:rsidR="009D0DB8" w:rsidRPr="0040531A" w14:paraId="69BAB4B6" w14:textId="77777777" w:rsidTr="0040531A">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5DB733"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b/>
                <w:bCs/>
                <w:color w:val="C0504D" w:themeColor="accent2"/>
                <w:sz w:val="20"/>
              </w:rPr>
              <w:t>2013</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49D852"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$151.00</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FCB5DB"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$18.00</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D953E5"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13.5%</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14:paraId="76746103"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4.6%</w:t>
            </w:r>
          </w:p>
        </w:tc>
      </w:tr>
      <w:tr w:rsidR="009D0DB8" w:rsidRPr="0040531A" w14:paraId="77D6FE7E" w14:textId="77777777" w:rsidTr="0040531A">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B39770"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b/>
                <w:bCs/>
                <w:color w:val="C0504D" w:themeColor="accent2"/>
                <w:sz w:val="20"/>
              </w:rPr>
              <w:t>2014</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C57E0E"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$171.50</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8194D0"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$20.50</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36AC1B"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13.6%</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14:paraId="737558A7"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1.6%</w:t>
            </w:r>
          </w:p>
        </w:tc>
      </w:tr>
      <w:tr w:rsidR="009D0DB8" w:rsidRPr="0040531A" w14:paraId="5CCA9860" w14:textId="77777777" w:rsidTr="0040531A">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DEE237C"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b/>
                <w:bCs/>
                <w:color w:val="C0504D" w:themeColor="accent2"/>
                <w:sz w:val="20"/>
              </w:rPr>
              <w:t>2017</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D3FB55"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$240.44</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5D9097"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$68.94</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80F134"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40.2%</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14:paraId="33B25DF0"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3.8%</w:t>
            </w:r>
          </w:p>
        </w:tc>
      </w:tr>
      <w:tr w:rsidR="009D0DB8" w:rsidRPr="0040531A" w14:paraId="5E9F1F66" w14:textId="77777777" w:rsidTr="0040531A">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344930F" w14:textId="77777777" w:rsidR="0040531A" w:rsidRPr="0040531A" w:rsidRDefault="0040531A" w:rsidP="009D0DB8">
            <w:pPr>
              <w:jc w:val="center"/>
              <w:rPr>
                <w:rFonts w:ascii="Arial" w:eastAsia="Calibri" w:hAnsi="Arial" w:cs="Arial"/>
                <w:b/>
                <w:bCs/>
                <w:color w:val="C0504D" w:themeColor="accent2"/>
                <w:sz w:val="20"/>
              </w:rPr>
            </w:pPr>
            <w:r w:rsidRPr="0040531A">
              <w:rPr>
                <w:rFonts w:ascii="Arial" w:eastAsia="Calibri" w:hAnsi="Arial" w:cs="Arial"/>
                <w:b/>
                <w:bCs/>
                <w:color w:val="C0504D" w:themeColor="accent2"/>
                <w:sz w:val="20"/>
              </w:rPr>
              <w:t>2019</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A8DC6"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$289.00</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DD146"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$48.56</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25D4C"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20.2%</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1F19E" w14:textId="0FA1BBE8" w:rsidR="0040531A" w:rsidRPr="0040531A" w:rsidRDefault="00DC6208" w:rsidP="00DC6208">
            <w:pPr>
              <w:jc w:val="center"/>
              <w:rPr>
                <w:rFonts w:ascii="Arial" w:eastAsia="Calibri" w:hAnsi="Arial" w:cs="Arial"/>
                <w:color w:val="C0504D" w:themeColor="accent2"/>
                <w:sz w:val="20"/>
              </w:rPr>
            </w:pPr>
            <w:r>
              <w:rPr>
                <w:rFonts w:ascii="Arial" w:eastAsia="Calibri" w:hAnsi="Arial" w:cs="Arial"/>
                <w:color w:val="C0504D" w:themeColor="accent2"/>
                <w:sz w:val="20"/>
              </w:rPr>
              <w:t>--</w:t>
            </w:r>
          </w:p>
        </w:tc>
      </w:tr>
      <w:tr w:rsidR="009D0DB8" w:rsidRPr="0040531A" w14:paraId="6C926937" w14:textId="77777777" w:rsidTr="0040531A">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848691" w14:textId="77777777" w:rsidR="0040531A" w:rsidRPr="0040531A" w:rsidRDefault="0040531A" w:rsidP="009D0DB8">
            <w:pPr>
              <w:jc w:val="center"/>
              <w:rPr>
                <w:rFonts w:ascii="Arial" w:eastAsia="Calibri" w:hAnsi="Arial" w:cs="Arial"/>
                <w:b/>
                <w:bCs/>
                <w:color w:val="C0504D" w:themeColor="accent2"/>
                <w:sz w:val="20"/>
              </w:rPr>
            </w:pPr>
            <w:r w:rsidRPr="0040531A">
              <w:rPr>
                <w:rFonts w:ascii="Arial" w:eastAsia="Calibri" w:hAnsi="Arial" w:cs="Arial"/>
                <w:b/>
                <w:bCs/>
                <w:color w:val="C0504D" w:themeColor="accent2"/>
                <w:sz w:val="20"/>
              </w:rPr>
              <w:t>2023 (proposed)</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B1B7B"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$323.00</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C9F700"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$34.00</w:t>
            </w:r>
          </w:p>
        </w:tc>
        <w:tc>
          <w:tcPr>
            <w:tcW w:w="15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15B97B" w14:textId="77777777" w:rsidR="0040531A" w:rsidRPr="0040531A" w:rsidRDefault="0040531A" w:rsidP="009D0DB8">
            <w:pPr>
              <w:jc w:val="center"/>
              <w:rPr>
                <w:rFonts w:ascii="Arial" w:eastAsia="Calibri" w:hAnsi="Arial" w:cs="Arial"/>
                <w:color w:val="C0504D" w:themeColor="accent2"/>
                <w:sz w:val="20"/>
              </w:rPr>
            </w:pPr>
            <w:r w:rsidRPr="0040531A">
              <w:rPr>
                <w:rFonts w:ascii="Arial" w:eastAsia="Calibri" w:hAnsi="Arial" w:cs="Arial"/>
                <w:color w:val="C0504D" w:themeColor="accent2"/>
                <w:sz w:val="20"/>
              </w:rPr>
              <w:t>11.8%</w:t>
            </w:r>
          </w:p>
        </w:tc>
        <w:tc>
          <w:tcPr>
            <w:tcW w:w="14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B796E8A" w14:textId="3A30E5BC" w:rsidR="0040531A" w:rsidRPr="0040531A" w:rsidRDefault="00DC6208" w:rsidP="00DC6208">
            <w:pPr>
              <w:jc w:val="center"/>
              <w:rPr>
                <w:rFonts w:ascii="Arial" w:eastAsia="Calibri" w:hAnsi="Arial" w:cs="Arial"/>
                <w:color w:val="C0504D" w:themeColor="accent2"/>
                <w:sz w:val="20"/>
              </w:rPr>
            </w:pPr>
            <w:r>
              <w:rPr>
                <w:rFonts w:ascii="Arial" w:eastAsia="Calibri" w:hAnsi="Arial" w:cs="Arial"/>
                <w:color w:val="C0504D" w:themeColor="accent2"/>
                <w:sz w:val="20"/>
              </w:rPr>
              <w:t>--</w:t>
            </w:r>
          </w:p>
        </w:tc>
      </w:tr>
    </w:tbl>
    <w:p w14:paraId="705EA92F" w14:textId="2D51DD72" w:rsidR="006E251A" w:rsidRDefault="006E251A" w:rsidP="009D0DB8">
      <w:pPr>
        <w:contextualSpacing/>
        <w:rPr>
          <w:rFonts w:ascii="Arial" w:hAnsi="Arial" w:cs="Arial"/>
          <w:szCs w:val="24"/>
        </w:rPr>
      </w:pPr>
    </w:p>
    <w:p w14:paraId="7A8D5A52" w14:textId="77777777" w:rsidR="006E251A" w:rsidRDefault="006E251A" w:rsidP="009D0DB8">
      <w:pPr>
        <w:contextualSpacing/>
        <w:rPr>
          <w:rFonts w:ascii="Arial" w:hAnsi="Arial" w:cs="Arial"/>
          <w:szCs w:val="24"/>
        </w:rPr>
      </w:pPr>
    </w:p>
    <w:p w14:paraId="1BCEEB82" w14:textId="00EA2AB4" w:rsidR="006E251A" w:rsidRDefault="006E251A" w:rsidP="009D0DB8">
      <w:pPr>
        <w:contextualSpacing/>
        <w:jc w:val="both"/>
        <w:rPr>
          <w:rFonts w:ascii="Arial" w:hAnsi="Arial" w:cs="Arial"/>
          <w:b/>
          <w:smallCaps/>
          <w:szCs w:val="24"/>
        </w:rPr>
      </w:pPr>
      <w:r>
        <w:rPr>
          <w:rFonts w:ascii="Arial" w:hAnsi="Arial" w:cs="Arial"/>
          <w:b/>
          <w:smallCaps/>
          <w:szCs w:val="24"/>
          <w:u w:val="single"/>
        </w:rPr>
        <w:t>Question 3:</w:t>
      </w:r>
      <w:r>
        <w:rPr>
          <w:rFonts w:ascii="Arial" w:hAnsi="Arial" w:cs="Arial"/>
          <w:b/>
          <w:smallCaps/>
          <w:szCs w:val="24"/>
        </w:rPr>
        <w:t xml:space="preserve">  </w:t>
      </w:r>
      <w:r w:rsidR="0052722A">
        <w:rPr>
          <w:rFonts w:ascii="Arial" w:hAnsi="Arial" w:cs="Arial"/>
          <w:b/>
          <w:smallCaps/>
          <w:szCs w:val="24"/>
        </w:rPr>
        <w:t xml:space="preserve">Concerning </w:t>
      </w:r>
      <w:r w:rsidR="00BA4334">
        <w:rPr>
          <w:rFonts w:ascii="Arial" w:hAnsi="Arial" w:cs="Arial"/>
          <w:b/>
          <w:smallCaps/>
          <w:szCs w:val="24"/>
        </w:rPr>
        <w:t>the Neighborhood Drainage Assistance Program (NDAP), what is the current demand for the program, what is the backlog for this program</w:t>
      </w:r>
      <w:r w:rsidR="00CE0DBE">
        <w:rPr>
          <w:rFonts w:ascii="Arial" w:hAnsi="Arial" w:cs="Arial"/>
          <w:b/>
          <w:smallCaps/>
          <w:szCs w:val="24"/>
        </w:rPr>
        <w:t>, have there been discussion on how to clear the backlog, what would it take to clear such a backlog?</w:t>
      </w:r>
    </w:p>
    <w:p w14:paraId="3274E0DB" w14:textId="77777777" w:rsidR="00DC6208" w:rsidRPr="005D49A1" w:rsidRDefault="00DC6208" w:rsidP="009D0DB8">
      <w:pPr>
        <w:contextualSpacing/>
        <w:jc w:val="both"/>
        <w:rPr>
          <w:rFonts w:ascii="Arial" w:hAnsi="Arial" w:cs="Arial"/>
          <w:b/>
          <w:smallCaps/>
          <w:szCs w:val="24"/>
          <w:u w:val="single"/>
        </w:rPr>
      </w:pPr>
    </w:p>
    <w:p w14:paraId="6C2DAD78" w14:textId="66819EFF" w:rsidR="006E251A" w:rsidRPr="00DC6208" w:rsidRDefault="006E251A" w:rsidP="00D8514B">
      <w:pPr>
        <w:contextualSpacing/>
        <w:jc w:val="both"/>
        <w:rPr>
          <w:rFonts w:ascii="Arial" w:hAnsi="Arial" w:cs="Arial"/>
          <w:color w:val="C0504D" w:themeColor="accent2"/>
          <w:szCs w:val="24"/>
        </w:rPr>
      </w:pPr>
      <w:r w:rsidRPr="005D49A1">
        <w:rPr>
          <w:rFonts w:ascii="Arial" w:hAnsi="Arial" w:cs="Arial"/>
          <w:smallCaps/>
          <w:szCs w:val="24"/>
          <w:u w:val="single"/>
        </w:rPr>
        <w:t>Answer:</w:t>
      </w:r>
      <w:r w:rsidRPr="005D49A1">
        <w:rPr>
          <w:rFonts w:ascii="Arial" w:hAnsi="Arial" w:cs="Arial"/>
          <w:smallCaps/>
          <w:szCs w:val="24"/>
        </w:rPr>
        <w:t xml:space="preserve">  </w:t>
      </w:r>
      <w:r w:rsidR="00685A55">
        <w:rPr>
          <w:rFonts w:ascii="Arial" w:hAnsi="Arial" w:cs="Arial"/>
          <w:color w:val="C0504D" w:themeColor="accent2"/>
          <w:szCs w:val="24"/>
        </w:rPr>
        <w:t>The W</w:t>
      </w:r>
      <w:r w:rsidR="0005001A" w:rsidRPr="00DC6208">
        <w:rPr>
          <w:rFonts w:ascii="Arial" w:hAnsi="Arial" w:cs="Arial"/>
          <w:color w:val="C0504D" w:themeColor="accent2"/>
          <w:szCs w:val="24"/>
        </w:rPr>
        <w:t xml:space="preserve">ater and Land Resources Division staff have reached out directly to Councilmember </w:t>
      </w:r>
      <w:r w:rsidR="006D416E" w:rsidRPr="00DC6208">
        <w:rPr>
          <w:rFonts w:ascii="Arial" w:hAnsi="Arial" w:cs="Arial"/>
          <w:color w:val="C0504D" w:themeColor="accent2"/>
          <w:szCs w:val="24"/>
        </w:rPr>
        <w:t xml:space="preserve">Upthegrove </w:t>
      </w:r>
      <w:r w:rsidR="0005001A" w:rsidRPr="00DC6208">
        <w:rPr>
          <w:rFonts w:ascii="Arial" w:hAnsi="Arial" w:cs="Arial"/>
          <w:color w:val="C0504D" w:themeColor="accent2"/>
          <w:szCs w:val="24"/>
        </w:rPr>
        <w:t xml:space="preserve">to </w:t>
      </w:r>
      <w:r w:rsidR="006D416E" w:rsidRPr="00DC6208">
        <w:rPr>
          <w:rFonts w:ascii="Arial" w:hAnsi="Arial" w:cs="Arial"/>
          <w:color w:val="C0504D" w:themeColor="accent2"/>
          <w:szCs w:val="24"/>
        </w:rPr>
        <w:t>provide additional information.</w:t>
      </w:r>
      <w:r w:rsidRPr="00DC6208">
        <w:rPr>
          <w:rFonts w:ascii="Arial" w:hAnsi="Arial" w:cs="Arial"/>
          <w:color w:val="C0504D" w:themeColor="accent2"/>
          <w:szCs w:val="24"/>
        </w:rPr>
        <w:t xml:space="preserve"> </w:t>
      </w:r>
    </w:p>
    <w:p w14:paraId="6D5CBB6D" w14:textId="77777777" w:rsidR="009F7031" w:rsidRDefault="009F7031" w:rsidP="009D0DB8">
      <w:pPr>
        <w:contextualSpacing/>
        <w:rPr>
          <w:rFonts w:ascii="Arial" w:hAnsi="Arial" w:cs="Arial"/>
          <w:szCs w:val="24"/>
        </w:rPr>
      </w:pPr>
    </w:p>
    <w:p w14:paraId="0EEFDC33" w14:textId="69E239CA" w:rsidR="009F7031" w:rsidRDefault="009F7031" w:rsidP="009D0DB8">
      <w:pPr>
        <w:contextualSpacing/>
        <w:jc w:val="both"/>
        <w:rPr>
          <w:rFonts w:ascii="Arial" w:hAnsi="Arial" w:cs="Arial"/>
          <w:b/>
          <w:smallCaps/>
          <w:szCs w:val="24"/>
        </w:rPr>
      </w:pPr>
      <w:r>
        <w:rPr>
          <w:rFonts w:ascii="Arial" w:hAnsi="Arial" w:cs="Arial"/>
          <w:b/>
          <w:smallCaps/>
          <w:szCs w:val="24"/>
          <w:u w:val="single"/>
        </w:rPr>
        <w:t xml:space="preserve">Question </w:t>
      </w:r>
      <w:r w:rsidR="00AD2A6D">
        <w:rPr>
          <w:rFonts w:ascii="Arial" w:hAnsi="Arial" w:cs="Arial"/>
          <w:b/>
          <w:smallCaps/>
          <w:szCs w:val="24"/>
          <w:u w:val="single"/>
        </w:rPr>
        <w:t>4</w:t>
      </w:r>
      <w:r>
        <w:rPr>
          <w:rFonts w:ascii="Arial" w:hAnsi="Arial" w:cs="Arial"/>
          <w:b/>
          <w:smallCaps/>
          <w:szCs w:val="24"/>
          <w:u w:val="single"/>
        </w:rPr>
        <w:t>:</w:t>
      </w:r>
      <w:r>
        <w:rPr>
          <w:rFonts w:ascii="Arial" w:hAnsi="Arial" w:cs="Arial"/>
          <w:b/>
          <w:smallCaps/>
          <w:szCs w:val="24"/>
        </w:rPr>
        <w:t xml:space="preserve">  Has WSDOT paid all of the SWM fees? What grounds are we expected to be made whole?</w:t>
      </w:r>
    </w:p>
    <w:p w14:paraId="26CFED40" w14:textId="77777777" w:rsidR="00DC6208" w:rsidRPr="005D49A1" w:rsidRDefault="00DC6208" w:rsidP="009D0DB8">
      <w:pPr>
        <w:contextualSpacing/>
        <w:jc w:val="both"/>
        <w:rPr>
          <w:rFonts w:ascii="Arial" w:hAnsi="Arial" w:cs="Arial"/>
          <w:b/>
          <w:smallCaps/>
          <w:szCs w:val="24"/>
          <w:u w:val="single"/>
        </w:rPr>
      </w:pPr>
    </w:p>
    <w:p w14:paraId="22DF4D12" w14:textId="768C1A19" w:rsidR="009F7031" w:rsidRDefault="009F7031" w:rsidP="00D8514B">
      <w:pPr>
        <w:contextualSpacing/>
        <w:jc w:val="both"/>
        <w:rPr>
          <w:rFonts w:ascii="Arial" w:hAnsi="Arial" w:cs="Arial"/>
          <w:szCs w:val="24"/>
        </w:rPr>
      </w:pPr>
      <w:r w:rsidRPr="005D49A1">
        <w:rPr>
          <w:rFonts w:ascii="Arial" w:hAnsi="Arial" w:cs="Arial"/>
          <w:smallCaps/>
          <w:szCs w:val="24"/>
          <w:u w:val="single"/>
        </w:rPr>
        <w:t>Answer:</w:t>
      </w:r>
      <w:r w:rsidRPr="005D49A1">
        <w:rPr>
          <w:rFonts w:ascii="Arial" w:hAnsi="Arial" w:cs="Arial"/>
          <w:smallCaps/>
          <w:szCs w:val="24"/>
        </w:rPr>
        <w:t xml:space="preserve">  </w:t>
      </w:r>
      <w:r w:rsidR="00D07ACD" w:rsidRPr="00DC6208">
        <w:rPr>
          <w:rFonts w:ascii="Arial" w:hAnsi="Arial" w:cs="Arial"/>
          <w:color w:val="C0504D" w:themeColor="accent2"/>
          <w:szCs w:val="24"/>
        </w:rPr>
        <w:t>No, W</w:t>
      </w:r>
      <w:r w:rsidR="005B5DC9" w:rsidRPr="00DC6208">
        <w:rPr>
          <w:rFonts w:ascii="Arial" w:hAnsi="Arial" w:cs="Arial"/>
          <w:color w:val="C0504D" w:themeColor="accent2"/>
          <w:szCs w:val="24"/>
        </w:rPr>
        <w:t>SDOT's last payment of SWM fees occurred in 2019</w:t>
      </w:r>
      <w:r w:rsidR="00E7457F" w:rsidRPr="00DC6208">
        <w:rPr>
          <w:rFonts w:ascii="Arial" w:hAnsi="Arial" w:cs="Arial"/>
          <w:color w:val="C0504D" w:themeColor="accent2"/>
          <w:szCs w:val="24"/>
        </w:rPr>
        <w:t xml:space="preserve">. If the issue is unresolved through 2022, that would equate to $5.3 million in past-due fees. </w:t>
      </w:r>
      <w:r w:rsidR="002226AA" w:rsidRPr="00DC6208">
        <w:rPr>
          <w:rFonts w:ascii="Arial" w:hAnsi="Arial" w:cs="Arial"/>
          <w:color w:val="C0504D" w:themeColor="accent2"/>
          <w:szCs w:val="24"/>
        </w:rPr>
        <w:t xml:space="preserve">If fees are not </w:t>
      </w:r>
      <w:r w:rsidR="00D8514B">
        <w:rPr>
          <w:rFonts w:ascii="Arial" w:hAnsi="Arial" w:cs="Arial"/>
          <w:color w:val="C0504D" w:themeColor="accent2"/>
          <w:szCs w:val="24"/>
        </w:rPr>
        <w:t xml:space="preserve">paid </w:t>
      </w:r>
      <w:r w:rsidR="002F622B" w:rsidRPr="00DC6208">
        <w:rPr>
          <w:rFonts w:ascii="Arial" w:hAnsi="Arial" w:cs="Arial"/>
          <w:color w:val="C0504D" w:themeColor="accent2"/>
          <w:szCs w:val="24"/>
        </w:rPr>
        <w:t xml:space="preserve">through </w:t>
      </w:r>
      <w:r w:rsidR="002226AA" w:rsidRPr="00DC6208">
        <w:rPr>
          <w:rFonts w:ascii="Arial" w:hAnsi="Arial" w:cs="Arial"/>
          <w:color w:val="C0504D" w:themeColor="accent2"/>
          <w:szCs w:val="24"/>
        </w:rPr>
        <w:t>2024</w:t>
      </w:r>
      <w:r w:rsidR="002F622B" w:rsidRPr="00DC6208">
        <w:rPr>
          <w:rFonts w:ascii="Arial" w:hAnsi="Arial" w:cs="Arial"/>
          <w:color w:val="C0504D" w:themeColor="accent2"/>
          <w:szCs w:val="24"/>
        </w:rPr>
        <w:t>, this would equate to</w:t>
      </w:r>
      <w:r w:rsidRPr="00DC6208">
        <w:rPr>
          <w:rFonts w:ascii="Arial" w:hAnsi="Arial" w:cs="Arial"/>
          <w:color w:val="C0504D" w:themeColor="accent2"/>
          <w:szCs w:val="24"/>
        </w:rPr>
        <w:t xml:space="preserve"> </w:t>
      </w:r>
      <w:r w:rsidR="00D07ACD" w:rsidRPr="00DC6208">
        <w:rPr>
          <w:rFonts w:ascii="Arial" w:hAnsi="Arial" w:cs="Arial"/>
          <w:color w:val="C0504D" w:themeColor="accent2"/>
          <w:szCs w:val="24"/>
        </w:rPr>
        <w:t>$9 million. As discussed in the issues section above and by Director Dively during th</w:t>
      </w:r>
      <w:r w:rsidR="004E662F" w:rsidRPr="00DC6208">
        <w:rPr>
          <w:rFonts w:ascii="Arial" w:hAnsi="Arial" w:cs="Arial"/>
          <w:color w:val="C0504D" w:themeColor="accent2"/>
          <w:szCs w:val="24"/>
        </w:rPr>
        <w:t>e October 5</w:t>
      </w:r>
      <w:r w:rsidR="004E662F" w:rsidRPr="00DC6208">
        <w:rPr>
          <w:rFonts w:ascii="Arial" w:hAnsi="Arial" w:cs="Arial"/>
          <w:color w:val="C0504D" w:themeColor="accent2"/>
          <w:szCs w:val="24"/>
          <w:vertAlign w:val="superscript"/>
        </w:rPr>
        <w:t>th</w:t>
      </w:r>
      <w:r w:rsidR="004E662F" w:rsidRPr="00DC6208">
        <w:rPr>
          <w:rFonts w:ascii="Arial" w:hAnsi="Arial" w:cs="Arial"/>
          <w:color w:val="C0504D" w:themeColor="accent2"/>
          <w:szCs w:val="24"/>
        </w:rPr>
        <w:t xml:space="preserve"> Budget Panel 2 meeting, the Executive is in discussions with WSDOT on </w:t>
      </w:r>
      <w:r w:rsidR="004C5758" w:rsidRPr="00DC6208">
        <w:rPr>
          <w:rFonts w:ascii="Arial" w:hAnsi="Arial" w:cs="Arial"/>
          <w:color w:val="C0504D" w:themeColor="accent2"/>
          <w:szCs w:val="24"/>
        </w:rPr>
        <w:t>a resolution.</w:t>
      </w:r>
    </w:p>
    <w:p w14:paraId="58BAD0EB" w14:textId="77777777" w:rsidR="00AD2A6D" w:rsidRDefault="00AD2A6D" w:rsidP="009D0DB8">
      <w:pPr>
        <w:contextualSpacing/>
        <w:rPr>
          <w:rFonts w:ascii="Arial" w:hAnsi="Arial" w:cs="Arial"/>
          <w:szCs w:val="24"/>
        </w:rPr>
      </w:pPr>
    </w:p>
    <w:p w14:paraId="1395A9A8" w14:textId="6AA6FFE7" w:rsidR="00C55D6F" w:rsidRDefault="00C55D6F" w:rsidP="009D0DB8">
      <w:pPr>
        <w:contextualSpacing/>
        <w:jc w:val="both"/>
        <w:rPr>
          <w:rFonts w:ascii="Arial" w:hAnsi="Arial" w:cs="Arial"/>
          <w:b/>
          <w:smallCaps/>
          <w:szCs w:val="24"/>
        </w:rPr>
      </w:pPr>
      <w:r>
        <w:rPr>
          <w:rFonts w:ascii="Arial" w:hAnsi="Arial" w:cs="Arial"/>
          <w:b/>
          <w:smallCaps/>
          <w:szCs w:val="24"/>
          <w:u w:val="single"/>
        </w:rPr>
        <w:t>Question 5:</w:t>
      </w:r>
      <w:r>
        <w:rPr>
          <w:rFonts w:ascii="Arial" w:hAnsi="Arial" w:cs="Arial"/>
          <w:b/>
          <w:smallCaps/>
          <w:szCs w:val="24"/>
        </w:rPr>
        <w:t xml:space="preserve">  Who pays this rate?</w:t>
      </w:r>
    </w:p>
    <w:p w14:paraId="23B42360" w14:textId="77777777" w:rsidR="00DC6208" w:rsidRPr="005D49A1" w:rsidRDefault="00DC6208" w:rsidP="009D0DB8">
      <w:pPr>
        <w:contextualSpacing/>
        <w:jc w:val="both"/>
        <w:rPr>
          <w:rFonts w:ascii="Arial" w:hAnsi="Arial" w:cs="Arial"/>
          <w:b/>
          <w:smallCaps/>
          <w:szCs w:val="24"/>
          <w:u w:val="single"/>
        </w:rPr>
      </w:pPr>
    </w:p>
    <w:p w14:paraId="5672F7B4" w14:textId="529BD5C4" w:rsidR="00C55D6F" w:rsidRDefault="00C55D6F" w:rsidP="009D0DB8">
      <w:pPr>
        <w:contextualSpacing/>
        <w:jc w:val="both"/>
        <w:rPr>
          <w:rFonts w:ascii="Arial" w:hAnsi="Arial" w:cs="Arial"/>
          <w:szCs w:val="24"/>
        </w:rPr>
      </w:pPr>
      <w:r w:rsidRPr="005D49A1">
        <w:rPr>
          <w:rFonts w:ascii="Arial" w:hAnsi="Arial" w:cs="Arial"/>
          <w:smallCaps/>
          <w:szCs w:val="24"/>
          <w:u w:val="single"/>
        </w:rPr>
        <w:t>Answer:</w:t>
      </w:r>
      <w:r w:rsidRPr="005D49A1">
        <w:rPr>
          <w:rFonts w:ascii="Arial" w:hAnsi="Arial" w:cs="Arial"/>
          <w:smallCaps/>
          <w:szCs w:val="24"/>
        </w:rPr>
        <w:t xml:space="preserve">  </w:t>
      </w:r>
      <w:r w:rsidRPr="00DC6208">
        <w:rPr>
          <w:rFonts w:ascii="Arial" w:hAnsi="Arial" w:cs="Arial"/>
          <w:color w:val="C0504D" w:themeColor="accent2"/>
          <w:szCs w:val="24"/>
        </w:rPr>
        <w:t>Every developed parcel in unincorporated King County is subject to a SWM fee</w:t>
      </w:r>
      <w:r w:rsidR="00EE7809" w:rsidRPr="00DC6208">
        <w:rPr>
          <w:rFonts w:ascii="Arial" w:hAnsi="Arial" w:cs="Arial"/>
          <w:color w:val="C0504D" w:themeColor="accent2"/>
          <w:szCs w:val="24"/>
        </w:rPr>
        <w:t>. Fees are dependent on the type of use (single-family residential or non-single-family residential) and</w:t>
      </w:r>
      <w:r w:rsidR="00D8514B">
        <w:rPr>
          <w:rFonts w:ascii="Arial" w:hAnsi="Arial" w:cs="Arial"/>
          <w:color w:val="C0504D" w:themeColor="accent2"/>
          <w:szCs w:val="24"/>
        </w:rPr>
        <w:t>,</w:t>
      </w:r>
      <w:r w:rsidR="00EE7809" w:rsidRPr="00DC6208">
        <w:rPr>
          <w:rFonts w:ascii="Arial" w:hAnsi="Arial" w:cs="Arial"/>
          <w:color w:val="C0504D" w:themeColor="accent2"/>
          <w:szCs w:val="24"/>
        </w:rPr>
        <w:t xml:space="preserve"> </w:t>
      </w:r>
      <w:r w:rsidR="00FC5CCD" w:rsidRPr="00DC6208">
        <w:rPr>
          <w:rFonts w:ascii="Arial" w:hAnsi="Arial" w:cs="Arial"/>
          <w:color w:val="C0504D" w:themeColor="accent2"/>
          <w:szCs w:val="24"/>
        </w:rPr>
        <w:t>for non-single-family residential, the impervious surface cover of the property.</w:t>
      </w:r>
      <w:r w:rsidR="0042717E" w:rsidRPr="00DC6208">
        <w:rPr>
          <w:rFonts w:ascii="Arial" w:hAnsi="Arial" w:cs="Arial"/>
          <w:color w:val="C0504D" w:themeColor="accent2"/>
          <w:szCs w:val="24"/>
        </w:rPr>
        <w:t xml:space="preserve"> The rates are identified in Table 1, above.</w:t>
      </w:r>
      <w:r w:rsidR="00FC5CCD" w:rsidRPr="00DC6208">
        <w:rPr>
          <w:rFonts w:ascii="Arial" w:hAnsi="Arial" w:cs="Arial"/>
          <w:color w:val="C0504D" w:themeColor="accent2"/>
          <w:szCs w:val="24"/>
        </w:rPr>
        <w:t xml:space="preserve"> There </w:t>
      </w:r>
      <w:r w:rsidR="007D05EF" w:rsidRPr="00DC6208">
        <w:rPr>
          <w:rFonts w:ascii="Arial" w:hAnsi="Arial" w:cs="Arial"/>
          <w:color w:val="C0504D" w:themeColor="accent2"/>
          <w:szCs w:val="24"/>
        </w:rPr>
        <w:t xml:space="preserve">are </w:t>
      </w:r>
      <w:r w:rsidR="00D8514B" w:rsidRPr="00DC6208">
        <w:rPr>
          <w:rFonts w:ascii="Arial" w:hAnsi="Arial" w:cs="Arial"/>
          <w:color w:val="C0504D" w:themeColor="accent2"/>
          <w:szCs w:val="24"/>
        </w:rPr>
        <w:t>several</w:t>
      </w:r>
      <w:r w:rsidR="007D05EF" w:rsidRPr="00DC6208">
        <w:rPr>
          <w:rFonts w:ascii="Arial" w:hAnsi="Arial" w:cs="Arial"/>
          <w:color w:val="C0504D" w:themeColor="accent2"/>
          <w:szCs w:val="24"/>
        </w:rPr>
        <w:t xml:space="preserve"> SWM fee discounts available for property owners including</w:t>
      </w:r>
      <w:r w:rsidR="00262496">
        <w:rPr>
          <w:rFonts w:ascii="Arial" w:hAnsi="Arial" w:cs="Arial"/>
          <w:color w:val="C0504D" w:themeColor="accent2"/>
          <w:szCs w:val="24"/>
        </w:rPr>
        <w:t xml:space="preserve">: </w:t>
      </w:r>
      <w:r w:rsidR="007D05EF" w:rsidRPr="00DC6208">
        <w:rPr>
          <w:rFonts w:ascii="Arial" w:hAnsi="Arial" w:cs="Arial"/>
          <w:color w:val="C0504D" w:themeColor="accent2"/>
          <w:szCs w:val="24"/>
        </w:rPr>
        <w:t>senior</w:t>
      </w:r>
      <w:r w:rsidR="00FE76F2" w:rsidRPr="00DC6208">
        <w:rPr>
          <w:rFonts w:ascii="Arial" w:hAnsi="Arial" w:cs="Arial"/>
          <w:color w:val="C0504D" w:themeColor="accent2"/>
          <w:szCs w:val="24"/>
        </w:rPr>
        <w:t xml:space="preserve"> or disabled customers, </w:t>
      </w:r>
      <w:r w:rsidR="00850FC7" w:rsidRPr="00DC6208">
        <w:rPr>
          <w:rFonts w:ascii="Arial" w:hAnsi="Arial" w:cs="Arial"/>
          <w:color w:val="C0504D" w:themeColor="accent2"/>
          <w:szCs w:val="24"/>
        </w:rPr>
        <w:t xml:space="preserve">customers </w:t>
      </w:r>
      <w:r w:rsidR="008E4D0D" w:rsidRPr="00DC6208">
        <w:rPr>
          <w:rFonts w:ascii="Arial" w:hAnsi="Arial" w:cs="Arial"/>
          <w:color w:val="C0504D" w:themeColor="accent2"/>
          <w:szCs w:val="24"/>
        </w:rPr>
        <w:t xml:space="preserve">with household incomes at or below 200 percent of the federal poverty guidelines, </w:t>
      </w:r>
      <w:r w:rsidR="00FE76F2" w:rsidRPr="00DC6208">
        <w:rPr>
          <w:rFonts w:ascii="Arial" w:hAnsi="Arial" w:cs="Arial"/>
          <w:color w:val="C0504D" w:themeColor="accent2"/>
          <w:szCs w:val="24"/>
        </w:rPr>
        <w:t>public schools</w:t>
      </w:r>
      <w:r w:rsidR="00262496">
        <w:rPr>
          <w:rFonts w:ascii="Arial" w:hAnsi="Arial" w:cs="Arial"/>
          <w:color w:val="C0504D" w:themeColor="accent2"/>
          <w:szCs w:val="24"/>
        </w:rPr>
        <w:t xml:space="preserve"> providing a surface water curriculum</w:t>
      </w:r>
      <w:r w:rsidR="003E2BBB" w:rsidRPr="00DC6208">
        <w:rPr>
          <w:rFonts w:ascii="Arial" w:hAnsi="Arial" w:cs="Arial"/>
          <w:color w:val="C0504D" w:themeColor="accent2"/>
          <w:szCs w:val="24"/>
        </w:rPr>
        <w:t>,</w:t>
      </w:r>
      <w:r w:rsidR="00262496">
        <w:rPr>
          <w:rFonts w:ascii="Arial" w:hAnsi="Arial" w:cs="Arial"/>
          <w:color w:val="C0504D" w:themeColor="accent2"/>
          <w:szCs w:val="24"/>
        </w:rPr>
        <w:t xml:space="preserve"> parcels </w:t>
      </w:r>
      <w:r w:rsidR="003E2BBB" w:rsidRPr="00DC6208">
        <w:rPr>
          <w:rFonts w:ascii="Arial" w:hAnsi="Arial" w:cs="Arial"/>
          <w:color w:val="C0504D" w:themeColor="accent2"/>
          <w:szCs w:val="24"/>
        </w:rPr>
        <w:t>with</w:t>
      </w:r>
      <w:r w:rsidR="00262496">
        <w:rPr>
          <w:rFonts w:ascii="Arial" w:hAnsi="Arial" w:cs="Arial"/>
          <w:color w:val="C0504D" w:themeColor="accent2"/>
          <w:szCs w:val="24"/>
        </w:rPr>
        <w:t xml:space="preserve"> on-site</w:t>
      </w:r>
      <w:r w:rsidR="003E2BBB" w:rsidRPr="00DC6208">
        <w:rPr>
          <w:rFonts w:ascii="Arial" w:hAnsi="Arial" w:cs="Arial"/>
          <w:color w:val="C0504D" w:themeColor="accent2"/>
          <w:szCs w:val="24"/>
        </w:rPr>
        <w:t xml:space="preserve"> </w:t>
      </w:r>
      <w:r w:rsidR="003E2BBB" w:rsidRPr="00DC6208">
        <w:rPr>
          <w:rFonts w:ascii="Arial" w:hAnsi="Arial" w:cs="Arial"/>
          <w:color w:val="C0504D" w:themeColor="accent2"/>
          <w:szCs w:val="24"/>
        </w:rPr>
        <w:lastRenderedPageBreak/>
        <w:t>stormwater mitigation systems in place, partially forested properties</w:t>
      </w:r>
      <w:r w:rsidR="00262496">
        <w:rPr>
          <w:rFonts w:ascii="Arial" w:hAnsi="Arial" w:cs="Arial"/>
          <w:color w:val="C0504D" w:themeColor="accent2"/>
          <w:szCs w:val="24"/>
        </w:rPr>
        <w:t>, and open space parcels.</w:t>
      </w:r>
    </w:p>
    <w:p w14:paraId="6AD80745" w14:textId="77777777" w:rsidR="00C55D6F" w:rsidRDefault="00C55D6F" w:rsidP="009D0DB8">
      <w:pPr>
        <w:contextualSpacing/>
        <w:jc w:val="both"/>
        <w:rPr>
          <w:rFonts w:ascii="Arial" w:hAnsi="Arial" w:cs="Arial"/>
          <w:b/>
          <w:smallCaps/>
          <w:szCs w:val="24"/>
          <w:u w:val="single"/>
        </w:rPr>
      </w:pPr>
    </w:p>
    <w:p w14:paraId="4C39F9B5" w14:textId="50BDE746" w:rsidR="00AD2A6D" w:rsidRDefault="00AD2A6D" w:rsidP="009D0DB8">
      <w:pPr>
        <w:contextualSpacing/>
        <w:jc w:val="both"/>
        <w:rPr>
          <w:rFonts w:ascii="Arial" w:hAnsi="Arial" w:cs="Arial"/>
          <w:b/>
          <w:smallCaps/>
          <w:szCs w:val="24"/>
        </w:rPr>
      </w:pPr>
      <w:r>
        <w:rPr>
          <w:rFonts w:ascii="Arial" w:hAnsi="Arial" w:cs="Arial"/>
          <w:b/>
          <w:smallCaps/>
          <w:szCs w:val="24"/>
          <w:u w:val="single"/>
        </w:rPr>
        <w:t xml:space="preserve">Question </w:t>
      </w:r>
      <w:r w:rsidR="00C55D6F">
        <w:rPr>
          <w:rFonts w:ascii="Arial" w:hAnsi="Arial" w:cs="Arial"/>
          <w:b/>
          <w:smallCaps/>
          <w:szCs w:val="24"/>
          <w:u w:val="single"/>
        </w:rPr>
        <w:t>6</w:t>
      </w:r>
      <w:r>
        <w:rPr>
          <w:rFonts w:ascii="Arial" w:hAnsi="Arial" w:cs="Arial"/>
          <w:b/>
          <w:smallCaps/>
          <w:szCs w:val="24"/>
          <w:u w:val="single"/>
        </w:rPr>
        <w:t>:</w:t>
      </w:r>
      <w:r>
        <w:rPr>
          <w:rFonts w:ascii="Arial" w:hAnsi="Arial" w:cs="Arial"/>
          <w:b/>
          <w:smallCaps/>
          <w:szCs w:val="24"/>
        </w:rPr>
        <w:t xml:space="preserve">  </w:t>
      </w:r>
      <w:r w:rsidR="006D3D58">
        <w:rPr>
          <w:rFonts w:ascii="Arial" w:hAnsi="Arial" w:cs="Arial"/>
          <w:b/>
          <w:smallCaps/>
          <w:szCs w:val="24"/>
        </w:rPr>
        <w:t>What is the SWM increase? Is it just to maintain?</w:t>
      </w:r>
    </w:p>
    <w:p w14:paraId="205E5A9F" w14:textId="77777777" w:rsidR="00DC6208" w:rsidRPr="005D49A1" w:rsidRDefault="00DC6208" w:rsidP="009D0DB8">
      <w:pPr>
        <w:contextualSpacing/>
        <w:jc w:val="both"/>
        <w:rPr>
          <w:rFonts w:ascii="Arial" w:hAnsi="Arial" w:cs="Arial"/>
          <w:b/>
          <w:smallCaps/>
          <w:szCs w:val="24"/>
          <w:u w:val="single"/>
        </w:rPr>
      </w:pPr>
    </w:p>
    <w:p w14:paraId="672D6B5E" w14:textId="3BD62A6A" w:rsidR="00AD2A6D" w:rsidRDefault="00AD2A6D" w:rsidP="00D8514B">
      <w:pPr>
        <w:contextualSpacing/>
        <w:jc w:val="both"/>
        <w:rPr>
          <w:rFonts w:ascii="Arial" w:hAnsi="Arial" w:cs="Arial"/>
          <w:color w:val="C0504D" w:themeColor="accent2"/>
          <w:szCs w:val="24"/>
        </w:rPr>
      </w:pPr>
      <w:r w:rsidRPr="005D49A1">
        <w:rPr>
          <w:rFonts w:ascii="Arial" w:hAnsi="Arial" w:cs="Arial"/>
          <w:smallCaps/>
          <w:szCs w:val="24"/>
          <w:u w:val="single"/>
        </w:rPr>
        <w:t>Answer:</w:t>
      </w:r>
      <w:r w:rsidRPr="005D49A1">
        <w:rPr>
          <w:rFonts w:ascii="Arial" w:hAnsi="Arial" w:cs="Arial"/>
          <w:smallCaps/>
          <w:szCs w:val="24"/>
        </w:rPr>
        <w:t xml:space="preserve">  </w:t>
      </w:r>
      <w:r w:rsidR="00865B97" w:rsidRPr="00DC6208">
        <w:rPr>
          <w:rFonts w:ascii="Arial" w:hAnsi="Arial" w:cs="Arial"/>
          <w:color w:val="C0504D" w:themeColor="accent2"/>
          <w:szCs w:val="24"/>
        </w:rPr>
        <w:t xml:space="preserve">The SWM rate increase </w:t>
      </w:r>
      <w:r w:rsidR="00411125" w:rsidRPr="00DC6208">
        <w:rPr>
          <w:rFonts w:ascii="Arial" w:hAnsi="Arial" w:cs="Arial"/>
          <w:color w:val="C0504D" w:themeColor="accent2"/>
          <w:szCs w:val="24"/>
        </w:rPr>
        <w:t xml:space="preserve">is intended to cover both inflationary increases </w:t>
      </w:r>
      <w:r w:rsidR="006D0072" w:rsidRPr="00DC6208">
        <w:rPr>
          <w:rFonts w:ascii="Arial" w:hAnsi="Arial" w:cs="Arial"/>
          <w:color w:val="C0504D" w:themeColor="accent2"/>
          <w:szCs w:val="24"/>
        </w:rPr>
        <w:t xml:space="preserve">and address ongoing efforts </w:t>
      </w:r>
      <w:r w:rsidR="00373559" w:rsidRPr="00DC6208">
        <w:rPr>
          <w:rFonts w:ascii="Arial" w:hAnsi="Arial" w:cs="Arial"/>
          <w:color w:val="C0504D" w:themeColor="accent2"/>
          <w:szCs w:val="24"/>
        </w:rPr>
        <w:t>to improve water quality</w:t>
      </w:r>
      <w:r w:rsidR="00685A55">
        <w:rPr>
          <w:rFonts w:ascii="Arial" w:hAnsi="Arial" w:cs="Arial"/>
          <w:color w:val="C0504D" w:themeColor="accent2"/>
          <w:szCs w:val="24"/>
        </w:rPr>
        <w:t xml:space="preserve"> and</w:t>
      </w:r>
      <w:r w:rsidR="00373559" w:rsidRPr="00DC6208">
        <w:rPr>
          <w:rFonts w:ascii="Arial" w:hAnsi="Arial" w:cs="Arial"/>
          <w:color w:val="C0504D" w:themeColor="accent2"/>
          <w:szCs w:val="24"/>
        </w:rPr>
        <w:t xml:space="preserve"> fish passage</w:t>
      </w:r>
      <w:r w:rsidR="00685A55">
        <w:rPr>
          <w:rFonts w:ascii="Arial" w:hAnsi="Arial" w:cs="Arial"/>
          <w:color w:val="C0504D" w:themeColor="accent2"/>
          <w:szCs w:val="24"/>
        </w:rPr>
        <w:t>,</w:t>
      </w:r>
      <w:r w:rsidR="00373559" w:rsidRPr="00DC6208">
        <w:rPr>
          <w:rFonts w:ascii="Arial" w:hAnsi="Arial" w:cs="Arial"/>
          <w:color w:val="C0504D" w:themeColor="accent2"/>
          <w:szCs w:val="24"/>
        </w:rPr>
        <w:t xml:space="preserve"> and </w:t>
      </w:r>
      <w:r w:rsidR="00685A55">
        <w:rPr>
          <w:rFonts w:ascii="Arial" w:hAnsi="Arial" w:cs="Arial"/>
          <w:color w:val="C0504D" w:themeColor="accent2"/>
          <w:szCs w:val="24"/>
        </w:rPr>
        <w:t xml:space="preserve">to </w:t>
      </w:r>
      <w:r w:rsidR="00373559" w:rsidRPr="00DC6208">
        <w:rPr>
          <w:rFonts w:ascii="Arial" w:hAnsi="Arial" w:cs="Arial"/>
          <w:color w:val="C0504D" w:themeColor="accent2"/>
          <w:szCs w:val="24"/>
        </w:rPr>
        <w:t>address aging infrastructure. Nearly half of the $9.6 million in revenues address</w:t>
      </w:r>
      <w:r w:rsidR="00660569" w:rsidRPr="00DC6208">
        <w:rPr>
          <w:rFonts w:ascii="Arial" w:hAnsi="Arial" w:cs="Arial"/>
          <w:color w:val="C0504D" w:themeColor="accent2"/>
          <w:szCs w:val="24"/>
        </w:rPr>
        <w:t xml:space="preserve"> inflationary costs alone. The remaining </w:t>
      </w:r>
      <w:r w:rsidR="00685A55">
        <w:rPr>
          <w:rFonts w:ascii="Arial" w:hAnsi="Arial" w:cs="Arial"/>
          <w:color w:val="C0504D" w:themeColor="accent2"/>
          <w:szCs w:val="24"/>
        </w:rPr>
        <w:t>moneys</w:t>
      </w:r>
      <w:r w:rsidR="00660569" w:rsidRPr="00DC6208">
        <w:rPr>
          <w:rFonts w:ascii="Arial" w:hAnsi="Arial" w:cs="Arial"/>
          <w:color w:val="C0504D" w:themeColor="accent2"/>
          <w:szCs w:val="24"/>
        </w:rPr>
        <w:t xml:space="preserve"> would support </w:t>
      </w:r>
      <w:r w:rsidR="00BB555B" w:rsidRPr="00DC6208">
        <w:rPr>
          <w:rFonts w:ascii="Arial" w:hAnsi="Arial" w:cs="Arial"/>
          <w:color w:val="C0504D" w:themeColor="accent2"/>
          <w:szCs w:val="24"/>
        </w:rPr>
        <w:t>a majority of 9 FTE adds</w:t>
      </w:r>
      <w:r w:rsidR="00807987" w:rsidRPr="00DC6208">
        <w:rPr>
          <w:rFonts w:ascii="Arial" w:hAnsi="Arial" w:cs="Arial"/>
          <w:color w:val="C0504D" w:themeColor="accent2"/>
          <w:szCs w:val="24"/>
        </w:rPr>
        <w:t xml:space="preserve"> and provide $1.83 million for fish passage work in </w:t>
      </w:r>
      <w:r w:rsidR="001234F4" w:rsidRPr="00DC6208">
        <w:rPr>
          <w:rFonts w:ascii="Arial" w:hAnsi="Arial" w:cs="Arial"/>
          <w:color w:val="C0504D" w:themeColor="accent2"/>
          <w:szCs w:val="24"/>
        </w:rPr>
        <w:t>for capital projects in the</w:t>
      </w:r>
      <w:r w:rsidR="00807987" w:rsidRPr="00DC6208">
        <w:rPr>
          <w:rFonts w:ascii="Arial" w:hAnsi="Arial" w:cs="Arial"/>
          <w:color w:val="C0504D" w:themeColor="accent2"/>
          <w:szCs w:val="24"/>
        </w:rPr>
        <w:t xml:space="preserve"> Roads</w:t>
      </w:r>
      <w:r w:rsidR="001234F4" w:rsidRPr="00DC6208">
        <w:rPr>
          <w:rFonts w:ascii="Arial" w:hAnsi="Arial" w:cs="Arial"/>
          <w:color w:val="C0504D" w:themeColor="accent2"/>
          <w:szCs w:val="24"/>
        </w:rPr>
        <w:t xml:space="preserve"> Division.</w:t>
      </w:r>
    </w:p>
    <w:p w14:paraId="7D7E4BB6" w14:textId="712B7E59" w:rsidR="00014C29" w:rsidRDefault="00014C29" w:rsidP="009D0DB8">
      <w:pPr>
        <w:contextualSpacing/>
        <w:rPr>
          <w:rFonts w:ascii="Arial" w:hAnsi="Arial" w:cs="Arial"/>
          <w:color w:val="C0504D" w:themeColor="accent2"/>
          <w:szCs w:val="24"/>
        </w:rPr>
      </w:pPr>
    </w:p>
    <w:p w14:paraId="34049782" w14:textId="07733F47" w:rsidR="00014C29" w:rsidRDefault="00014C29" w:rsidP="00014C29">
      <w:pPr>
        <w:contextualSpacing/>
        <w:jc w:val="both"/>
        <w:rPr>
          <w:rFonts w:ascii="Arial" w:hAnsi="Arial" w:cs="Arial"/>
          <w:b/>
          <w:smallCaps/>
          <w:szCs w:val="24"/>
        </w:rPr>
      </w:pPr>
      <w:r>
        <w:rPr>
          <w:rFonts w:ascii="Arial" w:hAnsi="Arial" w:cs="Arial"/>
          <w:b/>
          <w:smallCaps/>
          <w:szCs w:val="24"/>
          <w:u w:val="single"/>
        </w:rPr>
        <w:t>Question 7:</w:t>
      </w:r>
      <w:r>
        <w:rPr>
          <w:rFonts w:ascii="Arial" w:hAnsi="Arial" w:cs="Arial"/>
          <w:b/>
          <w:smallCaps/>
          <w:szCs w:val="24"/>
        </w:rPr>
        <w:t xml:space="preserve">  What is the total increase to residents across this Division? </w:t>
      </w:r>
    </w:p>
    <w:p w14:paraId="2F353071" w14:textId="77777777" w:rsidR="00014C29" w:rsidRPr="005D49A1" w:rsidRDefault="00014C29" w:rsidP="00014C29">
      <w:pPr>
        <w:contextualSpacing/>
        <w:jc w:val="both"/>
        <w:rPr>
          <w:rFonts w:ascii="Arial" w:hAnsi="Arial" w:cs="Arial"/>
          <w:b/>
          <w:smallCaps/>
          <w:szCs w:val="24"/>
          <w:u w:val="single"/>
        </w:rPr>
      </w:pPr>
    </w:p>
    <w:p w14:paraId="26902D34" w14:textId="518614EE" w:rsidR="00014C29" w:rsidRDefault="00014C29" w:rsidP="00D8514B">
      <w:pPr>
        <w:contextualSpacing/>
        <w:jc w:val="both"/>
        <w:rPr>
          <w:rFonts w:ascii="Arial" w:hAnsi="Arial" w:cs="Arial"/>
          <w:szCs w:val="24"/>
        </w:rPr>
      </w:pPr>
      <w:r w:rsidRPr="005D49A1">
        <w:rPr>
          <w:rFonts w:ascii="Arial" w:hAnsi="Arial" w:cs="Arial"/>
          <w:smallCaps/>
          <w:szCs w:val="24"/>
          <w:u w:val="single"/>
        </w:rPr>
        <w:t>Answer:</w:t>
      </w:r>
      <w:r w:rsidRPr="005D49A1">
        <w:rPr>
          <w:rFonts w:ascii="Arial" w:hAnsi="Arial" w:cs="Arial"/>
          <w:smallCaps/>
          <w:szCs w:val="24"/>
        </w:rPr>
        <w:t xml:space="preserve">  </w:t>
      </w:r>
      <w:r>
        <w:rPr>
          <w:rFonts w:ascii="Arial" w:hAnsi="Arial" w:cs="Arial"/>
          <w:color w:val="C0504D" w:themeColor="accent2"/>
          <w:szCs w:val="24"/>
        </w:rPr>
        <w:t xml:space="preserve">The </w:t>
      </w:r>
      <w:r w:rsidR="00636C61">
        <w:rPr>
          <w:rFonts w:ascii="Arial" w:hAnsi="Arial" w:cs="Arial"/>
          <w:color w:val="C0504D" w:themeColor="accent2"/>
          <w:szCs w:val="24"/>
        </w:rPr>
        <w:t xml:space="preserve">effect of both the SWM and Noxious Weed </w:t>
      </w:r>
      <w:r w:rsidR="00E6504D">
        <w:rPr>
          <w:rFonts w:ascii="Arial" w:hAnsi="Arial" w:cs="Arial"/>
          <w:color w:val="C0504D" w:themeColor="accent2"/>
          <w:szCs w:val="24"/>
        </w:rPr>
        <w:t>rates combined is roughly $35 per year for a single-family residence</w:t>
      </w:r>
      <w:r w:rsidR="005F5843">
        <w:rPr>
          <w:rFonts w:ascii="Arial" w:hAnsi="Arial" w:cs="Arial"/>
          <w:color w:val="C0504D" w:themeColor="accent2"/>
          <w:szCs w:val="24"/>
        </w:rPr>
        <w:t xml:space="preserve"> in unincorporated King County</w:t>
      </w:r>
      <w:r w:rsidR="00E6504D">
        <w:rPr>
          <w:rFonts w:ascii="Arial" w:hAnsi="Arial" w:cs="Arial"/>
          <w:color w:val="C0504D" w:themeColor="accent2"/>
          <w:szCs w:val="24"/>
        </w:rPr>
        <w:t xml:space="preserve">. However, it is worth noting that </w:t>
      </w:r>
      <w:r>
        <w:rPr>
          <w:rFonts w:ascii="Arial" w:hAnsi="Arial" w:cs="Arial"/>
          <w:color w:val="C0504D" w:themeColor="accent2"/>
          <w:szCs w:val="24"/>
        </w:rPr>
        <w:t>SWM and Noxious Weed rates are calculated differently</w:t>
      </w:r>
      <w:r w:rsidR="005F5843">
        <w:rPr>
          <w:rFonts w:ascii="Arial" w:hAnsi="Arial" w:cs="Arial"/>
          <w:color w:val="C0504D" w:themeColor="accent2"/>
          <w:szCs w:val="24"/>
        </w:rPr>
        <w:t xml:space="preserve"> and will vary. SWM rates </w:t>
      </w:r>
      <w:r w:rsidR="00445F05">
        <w:rPr>
          <w:rFonts w:ascii="Arial" w:hAnsi="Arial" w:cs="Arial"/>
          <w:color w:val="C0504D" w:themeColor="accent2"/>
          <w:szCs w:val="24"/>
        </w:rPr>
        <w:t xml:space="preserve">are adopted by each jurisdiction and vary in range. </w:t>
      </w:r>
    </w:p>
    <w:p w14:paraId="2C9B18A4" w14:textId="77777777" w:rsidR="00014C29" w:rsidRPr="005D49A1" w:rsidRDefault="00014C29" w:rsidP="009D0DB8">
      <w:pPr>
        <w:contextualSpacing/>
        <w:rPr>
          <w:rFonts w:ascii="Arial" w:hAnsi="Arial" w:cs="Arial"/>
          <w:vanish/>
          <w:szCs w:val="24"/>
        </w:rPr>
      </w:pPr>
    </w:p>
    <w:p w14:paraId="11A04313" w14:textId="77777777" w:rsidR="00AD2A6D" w:rsidRPr="005D49A1" w:rsidRDefault="00AD2A6D" w:rsidP="009D0DB8">
      <w:pPr>
        <w:contextualSpacing/>
        <w:rPr>
          <w:rFonts w:ascii="Arial" w:hAnsi="Arial" w:cs="Arial"/>
          <w:vanish/>
          <w:szCs w:val="24"/>
        </w:rPr>
      </w:pPr>
    </w:p>
    <w:p w14:paraId="0BF346CD" w14:textId="77777777" w:rsidR="009F7031" w:rsidRPr="005D49A1" w:rsidRDefault="009F7031" w:rsidP="009D0DB8">
      <w:pPr>
        <w:contextualSpacing/>
        <w:rPr>
          <w:rFonts w:ascii="Arial" w:hAnsi="Arial" w:cs="Arial"/>
          <w:vanish/>
          <w:szCs w:val="24"/>
        </w:rPr>
      </w:pPr>
    </w:p>
    <w:p w14:paraId="0CDB395E" w14:textId="77777777" w:rsidR="00322220" w:rsidRPr="002C1C20" w:rsidRDefault="00322220" w:rsidP="009D0DB8">
      <w:pPr>
        <w:jc w:val="both"/>
        <w:rPr>
          <w:rFonts w:ascii="Arial" w:hAnsi="Arial" w:cs="Arial"/>
          <w:b/>
          <w:smallCaps/>
          <w:color w:val="8064A2" w:themeColor="accent4"/>
          <w:szCs w:val="24"/>
          <w:u w:val="single"/>
        </w:rPr>
      </w:pPr>
    </w:p>
    <w:sectPr w:rsidR="00322220" w:rsidRPr="002C1C20" w:rsidSect="008E7755">
      <w:footerReference w:type="even" r:id="rId11"/>
      <w:footerReference w:type="default" r:id="rId12"/>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B270" w14:textId="77777777" w:rsidR="00021610" w:rsidRDefault="00021610">
      <w:r>
        <w:separator/>
      </w:r>
    </w:p>
  </w:endnote>
  <w:endnote w:type="continuationSeparator" w:id="0">
    <w:p w14:paraId="514DA9B1" w14:textId="77777777" w:rsidR="00021610" w:rsidRDefault="0002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6D38" w14:textId="77777777" w:rsidR="00FD1A00" w:rsidRDefault="00570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AF8E7" w14:textId="77777777" w:rsidR="00FD1A00" w:rsidRDefault="00D85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3672" w14:textId="6361CE0E" w:rsidR="00FD1A00" w:rsidRDefault="00D8514B">
    <w:pPr>
      <w:pStyle w:val="Footer"/>
      <w:jc w:val="center"/>
    </w:pPr>
  </w:p>
  <w:p w14:paraId="35088CA8" w14:textId="77777777" w:rsidR="00FD1A00" w:rsidRDefault="00D85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7014" w14:textId="77777777" w:rsidR="00021610" w:rsidRDefault="00021610">
      <w:r>
        <w:separator/>
      </w:r>
    </w:p>
  </w:footnote>
  <w:footnote w:type="continuationSeparator" w:id="0">
    <w:p w14:paraId="633F3EE0" w14:textId="77777777" w:rsidR="00021610" w:rsidRDefault="00021610">
      <w:r>
        <w:continuationSeparator/>
      </w:r>
    </w:p>
  </w:footnote>
  <w:footnote w:id="1">
    <w:p w14:paraId="0A4EDBEF" w14:textId="77777777" w:rsidR="00E11318" w:rsidRPr="006B3A22" w:rsidRDefault="00E11318" w:rsidP="00E11318">
      <w:pPr>
        <w:pStyle w:val="FootnoteText"/>
        <w:rPr>
          <w:rFonts w:ascii="Arial" w:hAnsi="Arial" w:cs="Arial"/>
        </w:rPr>
      </w:pPr>
      <w:r w:rsidRPr="006B3A22">
        <w:rPr>
          <w:rStyle w:val="FootnoteReference"/>
          <w:rFonts w:ascii="Arial" w:hAnsi="Arial" w:cs="Arial"/>
        </w:rPr>
        <w:footnoteRef/>
      </w:r>
      <w:r w:rsidRPr="006B3A22">
        <w:rPr>
          <w:rFonts w:ascii="Arial" w:hAnsi="Arial" w:cs="Arial"/>
        </w:rPr>
        <w:t xml:space="preserve"> RCW 36.89.080 through 36.89.120 and K.C.C. Chapter 9.08.</w:t>
      </w:r>
    </w:p>
  </w:footnote>
  <w:footnote w:id="2">
    <w:p w14:paraId="47DB4EF4" w14:textId="77777777" w:rsidR="0040531A" w:rsidRDefault="0040531A" w:rsidP="0040531A">
      <w:pPr>
        <w:pStyle w:val="FootnoteText"/>
        <w:rPr>
          <w:rFonts w:ascii="Arial" w:eastAsia="Calibri" w:hAnsi="Arial" w:cs="Arial"/>
        </w:rPr>
      </w:pPr>
      <w:r>
        <w:rPr>
          <w:rStyle w:val="FootnoteReference"/>
        </w:rPr>
        <w:t>[1]</w:t>
      </w:r>
      <w:r>
        <w:rPr>
          <w:rFonts w:ascii="Arial" w:hAnsi="Arial" w:cs="Arial"/>
        </w:rPr>
        <w:t xml:space="preserve"> Bureau of Labor Statistics Consumer Price Index Inflation Calculator starting from January of the given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2D56"/>
    <w:multiLevelType w:val="hybridMultilevel"/>
    <w:tmpl w:val="E864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7ED"/>
    <w:multiLevelType w:val="hybridMultilevel"/>
    <w:tmpl w:val="9A6A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E2F0B"/>
    <w:multiLevelType w:val="hybridMultilevel"/>
    <w:tmpl w:val="F8E8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A7C4C"/>
    <w:multiLevelType w:val="hybridMultilevel"/>
    <w:tmpl w:val="663EC3BC"/>
    <w:lvl w:ilvl="0" w:tplc="46D6DB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F051F"/>
    <w:multiLevelType w:val="hybridMultilevel"/>
    <w:tmpl w:val="0928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E8B"/>
    <w:rsid w:val="00014C29"/>
    <w:rsid w:val="00014C34"/>
    <w:rsid w:val="000168DD"/>
    <w:rsid w:val="00017CE0"/>
    <w:rsid w:val="0002007B"/>
    <w:rsid w:val="00021610"/>
    <w:rsid w:val="0004243D"/>
    <w:rsid w:val="0004254D"/>
    <w:rsid w:val="0005001A"/>
    <w:rsid w:val="00062C27"/>
    <w:rsid w:val="00063A51"/>
    <w:rsid w:val="00073802"/>
    <w:rsid w:val="000770F7"/>
    <w:rsid w:val="00083F57"/>
    <w:rsid w:val="00087CD0"/>
    <w:rsid w:val="000B0042"/>
    <w:rsid w:val="000C6D92"/>
    <w:rsid w:val="000D7EDA"/>
    <w:rsid w:val="000E27DB"/>
    <w:rsid w:val="00107A61"/>
    <w:rsid w:val="00112E9E"/>
    <w:rsid w:val="001234F4"/>
    <w:rsid w:val="0013260D"/>
    <w:rsid w:val="001466DB"/>
    <w:rsid w:val="00164AD5"/>
    <w:rsid w:val="00176DF6"/>
    <w:rsid w:val="001810EB"/>
    <w:rsid w:val="001872CC"/>
    <w:rsid w:val="00195577"/>
    <w:rsid w:val="001A0536"/>
    <w:rsid w:val="001B0953"/>
    <w:rsid w:val="001E042A"/>
    <w:rsid w:val="001F0027"/>
    <w:rsid w:val="001F39C9"/>
    <w:rsid w:val="001F7735"/>
    <w:rsid w:val="0020060E"/>
    <w:rsid w:val="002029B2"/>
    <w:rsid w:val="002033E2"/>
    <w:rsid w:val="0020627B"/>
    <w:rsid w:val="00213A0F"/>
    <w:rsid w:val="002220A5"/>
    <w:rsid w:val="002226AA"/>
    <w:rsid w:val="00230397"/>
    <w:rsid w:val="00236250"/>
    <w:rsid w:val="00236A42"/>
    <w:rsid w:val="00236D8F"/>
    <w:rsid w:val="00251304"/>
    <w:rsid w:val="00257A12"/>
    <w:rsid w:val="002609A9"/>
    <w:rsid w:val="00262496"/>
    <w:rsid w:val="002662BD"/>
    <w:rsid w:val="00270A5F"/>
    <w:rsid w:val="00273FF0"/>
    <w:rsid w:val="002953AF"/>
    <w:rsid w:val="00296C6C"/>
    <w:rsid w:val="002A759F"/>
    <w:rsid w:val="002B440F"/>
    <w:rsid w:val="002C1C20"/>
    <w:rsid w:val="002C7F90"/>
    <w:rsid w:val="002E35C0"/>
    <w:rsid w:val="002E656B"/>
    <w:rsid w:val="002F1FC2"/>
    <w:rsid w:val="002F622B"/>
    <w:rsid w:val="00312AFF"/>
    <w:rsid w:val="003211BC"/>
    <w:rsid w:val="00322220"/>
    <w:rsid w:val="00334B6F"/>
    <w:rsid w:val="003515B2"/>
    <w:rsid w:val="00354D9C"/>
    <w:rsid w:val="003605CB"/>
    <w:rsid w:val="00365D72"/>
    <w:rsid w:val="00373559"/>
    <w:rsid w:val="00396DD8"/>
    <w:rsid w:val="003B1D3F"/>
    <w:rsid w:val="003B6EC3"/>
    <w:rsid w:val="003C6147"/>
    <w:rsid w:val="003E2BBB"/>
    <w:rsid w:val="003F6C6C"/>
    <w:rsid w:val="003F73E3"/>
    <w:rsid w:val="0040531A"/>
    <w:rsid w:val="00411125"/>
    <w:rsid w:val="004127C4"/>
    <w:rsid w:val="00413DD8"/>
    <w:rsid w:val="00414282"/>
    <w:rsid w:val="0042356F"/>
    <w:rsid w:val="0042717E"/>
    <w:rsid w:val="00432385"/>
    <w:rsid w:val="00443370"/>
    <w:rsid w:val="00445F05"/>
    <w:rsid w:val="00452F83"/>
    <w:rsid w:val="0045674D"/>
    <w:rsid w:val="004567F8"/>
    <w:rsid w:val="004619E8"/>
    <w:rsid w:val="00463A02"/>
    <w:rsid w:val="0046704C"/>
    <w:rsid w:val="00472050"/>
    <w:rsid w:val="004917A5"/>
    <w:rsid w:val="004A202B"/>
    <w:rsid w:val="004C5758"/>
    <w:rsid w:val="004D0115"/>
    <w:rsid w:val="004E22CD"/>
    <w:rsid w:val="004E662F"/>
    <w:rsid w:val="00500D71"/>
    <w:rsid w:val="00507152"/>
    <w:rsid w:val="00522AC3"/>
    <w:rsid w:val="0052722A"/>
    <w:rsid w:val="00527298"/>
    <w:rsid w:val="00532EA9"/>
    <w:rsid w:val="00545B8A"/>
    <w:rsid w:val="0054772A"/>
    <w:rsid w:val="00547964"/>
    <w:rsid w:val="00547B49"/>
    <w:rsid w:val="00570083"/>
    <w:rsid w:val="00580825"/>
    <w:rsid w:val="00595B5C"/>
    <w:rsid w:val="0059684C"/>
    <w:rsid w:val="005B1223"/>
    <w:rsid w:val="005B5DC9"/>
    <w:rsid w:val="005B7D48"/>
    <w:rsid w:val="005C1BCF"/>
    <w:rsid w:val="005C2E8B"/>
    <w:rsid w:val="005D2B85"/>
    <w:rsid w:val="005D49A1"/>
    <w:rsid w:val="005F5843"/>
    <w:rsid w:val="0060205A"/>
    <w:rsid w:val="0063060C"/>
    <w:rsid w:val="006309EB"/>
    <w:rsid w:val="006314A2"/>
    <w:rsid w:val="00636C61"/>
    <w:rsid w:val="00636E66"/>
    <w:rsid w:val="00657AD7"/>
    <w:rsid w:val="00660569"/>
    <w:rsid w:val="0068108D"/>
    <w:rsid w:val="00685A55"/>
    <w:rsid w:val="00693391"/>
    <w:rsid w:val="006B4190"/>
    <w:rsid w:val="006C349D"/>
    <w:rsid w:val="006C41CA"/>
    <w:rsid w:val="006C7A7A"/>
    <w:rsid w:val="006D0072"/>
    <w:rsid w:val="006D10CF"/>
    <w:rsid w:val="006D39C2"/>
    <w:rsid w:val="006D3B99"/>
    <w:rsid w:val="006D3D58"/>
    <w:rsid w:val="006D416E"/>
    <w:rsid w:val="006E251A"/>
    <w:rsid w:val="006F30E2"/>
    <w:rsid w:val="006F4699"/>
    <w:rsid w:val="006F6C95"/>
    <w:rsid w:val="006F7BCE"/>
    <w:rsid w:val="007068CD"/>
    <w:rsid w:val="00711807"/>
    <w:rsid w:val="00724C22"/>
    <w:rsid w:val="00734BBF"/>
    <w:rsid w:val="0075283A"/>
    <w:rsid w:val="00754D97"/>
    <w:rsid w:val="00764E70"/>
    <w:rsid w:val="00780A2F"/>
    <w:rsid w:val="007A2ABB"/>
    <w:rsid w:val="007A5C44"/>
    <w:rsid w:val="007A7506"/>
    <w:rsid w:val="007D05EF"/>
    <w:rsid w:val="007D0720"/>
    <w:rsid w:val="007D2D13"/>
    <w:rsid w:val="007F13D2"/>
    <w:rsid w:val="007F6500"/>
    <w:rsid w:val="007F67B2"/>
    <w:rsid w:val="00807987"/>
    <w:rsid w:val="008156D8"/>
    <w:rsid w:val="00815BFA"/>
    <w:rsid w:val="00820BC6"/>
    <w:rsid w:val="00823EBB"/>
    <w:rsid w:val="008400AA"/>
    <w:rsid w:val="00850FC7"/>
    <w:rsid w:val="00865B97"/>
    <w:rsid w:val="0087000B"/>
    <w:rsid w:val="008A05B8"/>
    <w:rsid w:val="008A28C6"/>
    <w:rsid w:val="008A3C0A"/>
    <w:rsid w:val="008A5CF4"/>
    <w:rsid w:val="008C07EB"/>
    <w:rsid w:val="008C0F9F"/>
    <w:rsid w:val="008E4D0D"/>
    <w:rsid w:val="008E7557"/>
    <w:rsid w:val="008E7755"/>
    <w:rsid w:val="008F25DE"/>
    <w:rsid w:val="008F5A54"/>
    <w:rsid w:val="00902CC2"/>
    <w:rsid w:val="009100AD"/>
    <w:rsid w:val="00941DB8"/>
    <w:rsid w:val="009713E9"/>
    <w:rsid w:val="00981933"/>
    <w:rsid w:val="00986E6B"/>
    <w:rsid w:val="00987307"/>
    <w:rsid w:val="009A5126"/>
    <w:rsid w:val="009B26F5"/>
    <w:rsid w:val="009B4C5B"/>
    <w:rsid w:val="009D0DB8"/>
    <w:rsid w:val="009D4679"/>
    <w:rsid w:val="009E0017"/>
    <w:rsid w:val="009E036B"/>
    <w:rsid w:val="009F0AD2"/>
    <w:rsid w:val="009F3F40"/>
    <w:rsid w:val="009F7031"/>
    <w:rsid w:val="00A0285C"/>
    <w:rsid w:val="00A02DAD"/>
    <w:rsid w:val="00A063B1"/>
    <w:rsid w:val="00A24255"/>
    <w:rsid w:val="00A25FEC"/>
    <w:rsid w:val="00A27DEA"/>
    <w:rsid w:val="00A30A62"/>
    <w:rsid w:val="00A31F54"/>
    <w:rsid w:val="00A33C8F"/>
    <w:rsid w:val="00A45B01"/>
    <w:rsid w:val="00A70095"/>
    <w:rsid w:val="00A70D3B"/>
    <w:rsid w:val="00A70D3D"/>
    <w:rsid w:val="00AA1654"/>
    <w:rsid w:val="00AB1E4D"/>
    <w:rsid w:val="00AB3870"/>
    <w:rsid w:val="00AC4AF5"/>
    <w:rsid w:val="00AC62A9"/>
    <w:rsid w:val="00AD2A6D"/>
    <w:rsid w:val="00AF0E97"/>
    <w:rsid w:val="00B0053A"/>
    <w:rsid w:val="00B05F43"/>
    <w:rsid w:val="00B21761"/>
    <w:rsid w:val="00B25766"/>
    <w:rsid w:val="00B30DC2"/>
    <w:rsid w:val="00B40E00"/>
    <w:rsid w:val="00B42E40"/>
    <w:rsid w:val="00B46CA9"/>
    <w:rsid w:val="00B761B1"/>
    <w:rsid w:val="00B76DF6"/>
    <w:rsid w:val="00B834C5"/>
    <w:rsid w:val="00B84C5D"/>
    <w:rsid w:val="00BA2475"/>
    <w:rsid w:val="00BA4334"/>
    <w:rsid w:val="00BB05C1"/>
    <w:rsid w:val="00BB555B"/>
    <w:rsid w:val="00BC3150"/>
    <w:rsid w:val="00BC6BA5"/>
    <w:rsid w:val="00BD7B07"/>
    <w:rsid w:val="00BE01CA"/>
    <w:rsid w:val="00BE6F7B"/>
    <w:rsid w:val="00BF2E15"/>
    <w:rsid w:val="00BF543C"/>
    <w:rsid w:val="00C1633F"/>
    <w:rsid w:val="00C173CC"/>
    <w:rsid w:val="00C22190"/>
    <w:rsid w:val="00C3115F"/>
    <w:rsid w:val="00C338AB"/>
    <w:rsid w:val="00C4238B"/>
    <w:rsid w:val="00C43133"/>
    <w:rsid w:val="00C55D6F"/>
    <w:rsid w:val="00C6112C"/>
    <w:rsid w:val="00C938A0"/>
    <w:rsid w:val="00CA213A"/>
    <w:rsid w:val="00CA4443"/>
    <w:rsid w:val="00CB3CC8"/>
    <w:rsid w:val="00CE0DBE"/>
    <w:rsid w:val="00CE626B"/>
    <w:rsid w:val="00CF12D2"/>
    <w:rsid w:val="00CF1ABE"/>
    <w:rsid w:val="00D0061D"/>
    <w:rsid w:val="00D0292B"/>
    <w:rsid w:val="00D07ACD"/>
    <w:rsid w:val="00D1233D"/>
    <w:rsid w:val="00D25A81"/>
    <w:rsid w:val="00D30AA4"/>
    <w:rsid w:val="00D30EAC"/>
    <w:rsid w:val="00D367F4"/>
    <w:rsid w:val="00D47556"/>
    <w:rsid w:val="00D566D0"/>
    <w:rsid w:val="00D6434C"/>
    <w:rsid w:val="00D6500D"/>
    <w:rsid w:val="00D8514B"/>
    <w:rsid w:val="00D854CA"/>
    <w:rsid w:val="00D861DB"/>
    <w:rsid w:val="00D91A43"/>
    <w:rsid w:val="00D91E50"/>
    <w:rsid w:val="00DB63D4"/>
    <w:rsid w:val="00DC0956"/>
    <w:rsid w:val="00DC6208"/>
    <w:rsid w:val="00DD7B66"/>
    <w:rsid w:val="00DE2902"/>
    <w:rsid w:val="00DF0430"/>
    <w:rsid w:val="00DF2640"/>
    <w:rsid w:val="00DF505C"/>
    <w:rsid w:val="00E11318"/>
    <w:rsid w:val="00E20775"/>
    <w:rsid w:val="00E304CC"/>
    <w:rsid w:val="00E31FE7"/>
    <w:rsid w:val="00E35D91"/>
    <w:rsid w:val="00E36AFC"/>
    <w:rsid w:val="00E46837"/>
    <w:rsid w:val="00E47DA7"/>
    <w:rsid w:val="00E642CF"/>
    <w:rsid w:val="00E6504D"/>
    <w:rsid w:val="00E7457F"/>
    <w:rsid w:val="00E74ACE"/>
    <w:rsid w:val="00E74C6E"/>
    <w:rsid w:val="00E96A57"/>
    <w:rsid w:val="00E96CE7"/>
    <w:rsid w:val="00EA45ED"/>
    <w:rsid w:val="00EC1FB4"/>
    <w:rsid w:val="00EC5BF3"/>
    <w:rsid w:val="00EC7204"/>
    <w:rsid w:val="00ED07FF"/>
    <w:rsid w:val="00EE1BC1"/>
    <w:rsid w:val="00EE7809"/>
    <w:rsid w:val="00F055A1"/>
    <w:rsid w:val="00F20221"/>
    <w:rsid w:val="00F248D6"/>
    <w:rsid w:val="00F32638"/>
    <w:rsid w:val="00F41D1D"/>
    <w:rsid w:val="00F51092"/>
    <w:rsid w:val="00F64694"/>
    <w:rsid w:val="00F755DB"/>
    <w:rsid w:val="00F77E3E"/>
    <w:rsid w:val="00F84BC5"/>
    <w:rsid w:val="00F95B17"/>
    <w:rsid w:val="00FB608A"/>
    <w:rsid w:val="00FC256C"/>
    <w:rsid w:val="00FC5CCD"/>
    <w:rsid w:val="00FE76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0CD1"/>
  <w15:docId w15:val="{5ADE9C08-3525-4DEE-80AE-B9805477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8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Times11">
    <w:name w:val="CG Times 11"/>
    <w:basedOn w:val="Normal"/>
    <w:link w:val="CGTimes11Char"/>
    <w:rsid w:val="005C2E8B"/>
    <w:rPr>
      <w:rFonts w:ascii="CG Times" w:hAnsi="CG Times"/>
      <w:sz w:val="22"/>
    </w:rPr>
  </w:style>
  <w:style w:type="paragraph" w:styleId="Footer">
    <w:name w:val="footer"/>
    <w:basedOn w:val="Normal"/>
    <w:link w:val="FooterChar"/>
    <w:uiPriority w:val="99"/>
    <w:rsid w:val="005C2E8B"/>
    <w:pPr>
      <w:tabs>
        <w:tab w:val="center" w:pos="4320"/>
        <w:tab w:val="right" w:pos="8640"/>
      </w:tabs>
    </w:pPr>
  </w:style>
  <w:style w:type="character" w:customStyle="1" w:styleId="FooterChar">
    <w:name w:val="Footer Char"/>
    <w:basedOn w:val="DefaultParagraphFont"/>
    <w:link w:val="Footer"/>
    <w:uiPriority w:val="99"/>
    <w:rsid w:val="005C2E8B"/>
    <w:rPr>
      <w:rFonts w:ascii="Times New Roman" w:eastAsia="Times New Roman" w:hAnsi="Times New Roman" w:cs="Times New Roman"/>
      <w:sz w:val="24"/>
      <w:szCs w:val="20"/>
    </w:rPr>
  </w:style>
  <w:style w:type="character" w:styleId="PageNumber">
    <w:name w:val="page number"/>
    <w:basedOn w:val="DefaultParagraphFont"/>
    <w:rsid w:val="005C2E8B"/>
  </w:style>
  <w:style w:type="character" w:customStyle="1" w:styleId="CGTimes11Char">
    <w:name w:val="CG Times 11 Char"/>
    <w:link w:val="CGTimes11"/>
    <w:rsid w:val="005C2E8B"/>
    <w:rPr>
      <w:rFonts w:ascii="CG Times" w:eastAsia="Times New Roman" w:hAnsi="CG Times" w:cs="Times New Roman"/>
      <w:szCs w:val="20"/>
    </w:rPr>
  </w:style>
  <w:style w:type="table" w:styleId="TableGrid">
    <w:name w:val="Table Grid"/>
    <w:basedOn w:val="TableNormal"/>
    <w:uiPriority w:val="59"/>
    <w:rsid w:val="008A5C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9B2"/>
    <w:pPr>
      <w:tabs>
        <w:tab w:val="center" w:pos="4680"/>
        <w:tab w:val="right" w:pos="9360"/>
      </w:tabs>
    </w:pPr>
  </w:style>
  <w:style w:type="character" w:customStyle="1" w:styleId="HeaderChar">
    <w:name w:val="Header Char"/>
    <w:basedOn w:val="DefaultParagraphFont"/>
    <w:link w:val="Header"/>
    <w:uiPriority w:val="99"/>
    <w:rsid w:val="002029B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0E00"/>
    <w:rPr>
      <w:sz w:val="16"/>
      <w:szCs w:val="16"/>
    </w:rPr>
  </w:style>
  <w:style w:type="paragraph" w:styleId="CommentText">
    <w:name w:val="annotation text"/>
    <w:basedOn w:val="Normal"/>
    <w:link w:val="CommentTextChar"/>
    <w:uiPriority w:val="99"/>
    <w:semiHidden/>
    <w:unhideWhenUsed/>
    <w:rsid w:val="00B40E00"/>
    <w:rPr>
      <w:sz w:val="20"/>
    </w:rPr>
  </w:style>
  <w:style w:type="character" w:customStyle="1" w:styleId="CommentTextChar">
    <w:name w:val="Comment Text Char"/>
    <w:basedOn w:val="DefaultParagraphFont"/>
    <w:link w:val="CommentText"/>
    <w:uiPriority w:val="99"/>
    <w:semiHidden/>
    <w:rsid w:val="00B40E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00"/>
    <w:rPr>
      <w:b/>
      <w:bCs/>
    </w:rPr>
  </w:style>
  <w:style w:type="character" w:customStyle="1" w:styleId="CommentSubjectChar">
    <w:name w:val="Comment Subject Char"/>
    <w:basedOn w:val="CommentTextChar"/>
    <w:link w:val="CommentSubject"/>
    <w:uiPriority w:val="99"/>
    <w:semiHidden/>
    <w:rsid w:val="00B40E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0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00"/>
    <w:rPr>
      <w:rFonts w:ascii="Segoe UI" w:eastAsia="Times New Roman" w:hAnsi="Segoe UI" w:cs="Segoe UI"/>
      <w:sz w:val="18"/>
      <w:szCs w:val="18"/>
    </w:rPr>
  </w:style>
  <w:style w:type="paragraph" w:styleId="ListParagraph">
    <w:name w:val="List Paragraph"/>
    <w:basedOn w:val="Normal"/>
    <w:uiPriority w:val="34"/>
    <w:qFormat/>
    <w:rsid w:val="008156D8"/>
    <w:pPr>
      <w:ind w:left="720"/>
      <w:contextualSpacing/>
    </w:pPr>
  </w:style>
  <w:style w:type="paragraph" w:styleId="FootnoteText">
    <w:name w:val="footnote text"/>
    <w:basedOn w:val="Normal"/>
    <w:link w:val="FootnoteTextChar"/>
    <w:uiPriority w:val="99"/>
    <w:semiHidden/>
    <w:unhideWhenUsed/>
    <w:rsid w:val="00E11318"/>
    <w:rPr>
      <w:sz w:val="20"/>
    </w:rPr>
  </w:style>
  <w:style w:type="character" w:customStyle="1" w:styleId="FootnoteTextChar">
    <w:name w:val="Footnote Text Char"/>
    <w:basedOn w:val="DefaultParagraphFont"/>
    <w:link w:val="FootnoteText"/>
    <w:uiPriority w:val="99"/>
    <w:semiHidden/>
    <w:rsid w:val="00E113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113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179">
      <w:bodyDiv w:val="1"/>
      <w:marLeft w:val="0"/>
      <w:marRight w:val="0"/>
      <w:marTop w:val="0"/>
      <w:marBottom w:val="0"/>
      <w:divBdr>
        <w:top w:val="none" w:sz="0" w:space="0" w:color="auto"/>
        <w:left w:val="none" w:sz="0" w:space="0" w:color="auto"/>
        <w:bottom w:val="none" w:sz="0" w:space="0" w:color="auto"/>
        <w:right w:val="none" w:sz="0" w:space="0" w:color="auto"/>
      </w:divBdr>
    </w:div>
    <w:div w:id="239289596">
      <w:bodyDiv w:val="1"/>
      <w:marLeft w:val="0"/>
      <w:marRight w:val="0"/>
      <w:marTop w:val="0"/>
      <w:marBottom w:val="0"/>
      <w:divBdr>
        <w:top w:val="none" w:sz="0" w:space="0" w:color="auto"/>
        <w:left w:val="none" w:sz="0" w:space="0" w:color="auto"/>
        <w:bottom w:val="none" w:sz="0" w:space="0" w:color="auto"/>
        <w:right w:val="none" w:sz="0" w:space="0" w:color="auto"/>
      </w:divBdr>
    </w:div>
    <w:div w:id="402263603">
      <w:bodyDiv w:val="1"/>
      <w:marLeft w:val="0"/>
      <w:marRight w:val="0"/>
      <w:marTop w:val="0"/>
      <w:marBottom w:val="0"/>
      <w:divBdr>
        <w:top w:val="none" w:sz="0" w:space="0" w:color="auto"/>
        <w:left w:val="none" w:sz="0" w:space="0" w:color="auto"/>
        <w:bottom w:val="none" w:sz="0" w:space="0" w:color="auto"/>
        <w:right w:val="none" w:sz="0" w:space="0" w:color="auto"/>
      </w:divBdr>
    </w:div>
    <w:div w:id="883365801">
      <w:bodyDiv w:val="1"/>
      <w:marLeft w:val="0"/>
      <w:marRight w:val="0"/>
      <w:marTop w:val="0"/>
      <w:marBottom w:val="0"/>
      <w:divBdr>
        <w:top w:val="none" w:sz="0" w:space="0" w:color="auto"/>
        <w:left w:val="none" w:sz="0" w:space="0" w:color="auto"/>
        <w:bottom w:val="none" w:sz="0" w:space="0" w:color="auto"/>
        <w:right w:val="none" w:sz="0" w:space="0" w:color="auto"/>
      </w:divBdr>
    </w:div>
    <w:div w:id="955139522">
      <w:bodyDiv w:val="1"/>
      <w:marLeft w:val="0"/>
      <w:marRight w:val="0"/>
      <w:marTop w:val="0"/>
      <w:marBottom w:val="0"/>
      <w:divBdr>
        <w:top w:val="none" w:sz="0" w:space="0" w:color="auto"/>
        <w:left w:val="none" w:sz="0" w:space="0" w:color="auto"/>
        <w:bottom w:val="none" w:sz="0" w:space="0" w:color="auto"/>
        <w:right w:val="none" w:sz="0" w:space="0" w:color="auto"/>
      </w:divBdr>
    </w:div>
    <w:div w:id="1304580255">
      <w:bodyDiv w:val="1"/>
      <w:marLeft w:val="0"/>
      <w:marRight w:val="0"/>
      <w:marTop w:val="0"/>
      <w:marBottom w:val="0"/>
      <w:divBdr>
        <w:top w:val="none" w:sz="0" w:space="0" w:color="auto"/>
        <w:left w:val="none" w:sz="0" w:space="0" w:color="auto"/>
        <w:bottom w:val="none" w:sz="0" w:space="0" w:color="auto"/>
        <w:right w:val="none" w:sz="0" w:space="0" w:color="auto"/>
      </w:divBdr>
    </w:div>
    <w:div w:id="17354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0" ma:contentTypeDescription="Create a new document." ma:contentTypeScope="" ma:versionID="a08cbf2a25614058b53784f7ec973484">
  <xsd:schema xmlns:xsd="http://www.w3.org/2001/XMLSchema" xmlns:xs="http://www.w3.org/2001/XMLSchema" xmlns:p="http://schemas.microsoft.com/office/2006/metadata/properties" xmlns:ns3="4aba5fda-01fb-42e4-a102-58659c678a77" targetNamespace="http://schemas.microsoft.com/office/2006/metadata/properties" ma:root="true" ma:fieldsID="5c52963a4240e854101b58bd4ca27871" ns3:_="">
    <xsd:import namespace="4aba5fda-01fb-42e4-a102-58659c678a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37E2D-BBDF-4D0A-870A-9F3BEB0E7A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BFD9A2-A397-40CA-96E0-C2913181A545}">
  <ds:schemaRefs>
    <ds:schemaRef ds:uri="http://schemas.microsoft.com/sharepoint/v3/contenttype/forms"/>
  </ds:schemaRefs>
</ds:datastoreItem>
</file>

<file path=customXml/itemProps3.xml><?xml version="1.0" encoding="utf-8"?>
<ds:datastoreItem xmlns:ds="http://schemas.openxmlformats.org/officeDocument/2006/customXml" ds:itemID="{E388746F-8D59-40F9-B640-4365792AD95F}">
  <ds:schemaRefs>
    <ds:schemaRef ds:uri="http://schemas.openxmlformats.org/officeDocument/2006/bibliography"/>
  </ds:schemaRefs>
</ds:datastoreItem>
</file>

<file path=customXml/itemProps4.xml><?xml version="1.0" encoding="utf-8"?>
<ds:datastoreItem xmlns:ds="http://schemas.openxmlformats.org/officeDocument/2006/customXml" ds:itemID="{C506C7B0-1D3C-47CD-829C-4E4137AAC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dc:creator>
  <cp:lastModifiedBy>Paribello, Brandi</cp:lastModifiedBy>
  <cp:revision>251</cp:revision>
  <dcterms:created xsi:type="dcterms:W3CDTF">2022-08-31T22:02:00Z</dcterms:created>
  <dcterms:modified xsi:type="dcterms:W3CDTF">2022-10-07T19:53:00Z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